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580" w:lineRule="exact"/>
        <w:rPr>
          <w:rFonts w:ascii="方正小标宋简体" w:hAnsi="方正小标宋简体" w:eastAsia="方正小标宋简体" w:cs="方正小标宋简体"/>
          <w:color w:val="FF0000"/>
          <w:sz w:val="44"/>
          <w:szCs w:val="44"/>
        </w:rPr>
      </w:pPr>
    </w:p>
    <w:p>
      <w:pPr>
        <w:widowControl/>
        <w:adjustRightInd w:val="0"/>
        <w:snapToGrid w:val="0"/>
        <w:spacing w:line="580" w:lineRule="exact"/>
        <w:rPr>
          <w:rFonts w:ascii="方正小标宋简体" w:hAnsi="方正小标宋简体" w:eastAsia="方正小标宋简体" w:cs="方正小标宋简体"/>
          <w:color w:val="FF0000"/>
          <w:sz w:val="44"/>
          <w:szCs w:val="44"/>
        </w:rPr>
      </w:pPr>
    </w:p>
    <w:p>
      <w:pPr>
        <w:widowControl/>
        <w:adjustRightInd w:val="0"/>
        <w:snapToGrid w:val="0"/>
        <w:spacing w:line="580" w:lineRule="exact"/>
        <w:rPr>
          <w:rFonts w:ascii="方正小标宋简体" w:hAnsi="方正小标宋简体" w:eastAsia="方正小标宋简体" w:cs="方正小标宋简体"/>
          <w:color w:val="FF0000"/>
          <w:sz w:val="44"/>
          <w:szCs w:val="44"/>
        </w:rPr>
      </w:pPr>
    </w:p>
    <w:p>
      <w:pPr>
        <w:jc w:val="center"/>
        <w:rPr>
          <w:rFonts w:ascii="方正仿宋简体" w:hAnsi="方正仿宋简体" w:eastAsia="方正仿宋简体" w:cs="方正仿宋简体"/>
          <w:color w:val="FF0000"/>
          <w:sz w:val="33"/>
          <w:szCs w:val="33"/>
          <w:u w:val="thick" w:color="FF0000"/>
        </w:rPr>
      </w:pPr>
      <w:r>
        <w:rPr>
          <w:rFonts w:hint="eastAsia" w:ascii="华文中宋" w:hAnsi="华文中宋" w:eastAsia="华文中宋" w:cs="黑体"/>
          <w:color w:val="FF0000"/>
          <w:w w:val="75"/>
          <w:sz w:val="130"/>
          <w:szCs w:val="130"/>
        </w:rPr>
        <w:t>乐至县蚕桑局文件</w:t>
      </w:r>
    </w:p>
    <w:p>
      <w:pPr>
        <w:widowControl/>
        <w:adjustRightInd w:val="0"/>
        <w:snapToGrid w:val="0"/>
        <w:spacing w:line="580" w:lineRule="exact"/>
        <w:jc w:val="left"/>
        <w:rPr>
          <w:rFonts w:ascii="方正仿宋简体" w:hAnsi="方正仿宋简体" w:eastAsia="方正仿宋简体" w:cs="方正仿宋简体"/>
          <w:color w:val="FF0000"/>
          <w:sz w:val="33"/>
          <w:szCs w:val="33"/>
          <w:u w:val="thick" w:color="FF0000"/>
        </w:rPr>
      </w:pPr>
    </w:p>
    <w:p>
      <w:pPr>
        <w:widowControl/>
        <w:adjustRightInd w:val="0"/>
        <w:snapToGrid w:val="0"/>
        <w:spacing w:line="580" w:lineRule="exact"/>
        <w:jc w:val="left"/>
        <w:rPr>
          <w:rFonts w:ascii="方正仿宋简体" w:hAnsi="方正仿宋简体" w:eastAsia="方正仿宋简体" w:cs="方正仿宋简体"/>
          <w:color w:val="FF0000"/>
          <w:sz w:val="33"/>
          <w:szCs w:val="33"/>
          <w:u w:val="thick" w:color="FF0000"/>
        </w:rPr>
      </w:pPr>
    </w:p>
    <w:p>
      <w:pPr>
        <w:widowControl/>
        <w:adjustRightInd w:val="0"/>
        <w:snapToGrid w:val="0"/>
        <w:spacing w:line="580" w:lineRule="exact"/>
        <w:ind w:firstLine="320" w:firstLineChars="100"/>
        <w:jc w:val="left"/>
        <w:rPr>
          <w:rFonts w:ascii="楷体" w:hAnsi="楷体" w:eastAsia="楷体" w:cs="楷体"/>
          <w:sz w:val="33"/>
          <w:szCs w:val="33"/>
        </w:rPr>
      </w:pPr>
      <w:r>
        <w:rPr>
          <w:rFonts w:hint="default" w:ascii="Times New Roman" w:hAnsi="Times New Roman" w:eastAsia="方正仿宋简体" w:cs="Times New Roman"/>
          <w:b w:val="0"/>
          <w:i w:val="0"/>
          <w:caps w:val="0"/>
          <w:spacing w:val="0"/>
          <w:w w:val="100"/>
          <w:sz w:val="32"/>
          <w:szCs w:val="32"/>
          <w:lang w:val="en-US" w:eastAsia="zh-CN"/>
        </w:rPr>
        <w:t xml:space="preserve"> </w:t>
      </w:r>
      <w:r>
        <w:rPr>
          <w:rFonts w:hint="eastAsia" w:ascii="Times New Roman" w:hAnsi="Times New Roman" w:eastAsia="方正仿宋简体" w:cs="Times New Roman"/>
          <w:b w:val="0"/>
          <w:i w:val="0"/>
          <w:caps w:val="0"/>
          <w:spacing w:val="0"/>
          <w:w w:val="100"/>
          <w:sz w:val="32"/>
          <w:szCs w:val="32"/>
          <w:lang w:val="en-US" w:eastAsia="zh-CN"/>
        </w:rPr>
        <w:t>乐蚕〔</w:t>
      </w:r>
      <w:r>
        <w:rPr>
          <w:rFonts w:hint="default" w:ascii="Times New Roman" w:hAnsi="Times New Roman" w:eastAsia="方正仿宋简体" w:cs="Times New Roman"/>
          <w:b w:val="0"/>
          <w:i w:val="0"/>
          <w:caps w:val="0"/>
          <w:spacing w:val="0"/>
          <w:w w:val="100"/>
          <w:sz w:val="32"/>
          <w:szCs w:val="32"/>
          <w:lang w:val="en-US" w:eastAsia="zh-CN"/>
        </w:rPr>
        <w:t>202</w:t>
      </w:r>
      <w:r>
        <w:rPr>
          <w:rFonts w:hint="eastAsia" w:ascii="Times New Roman" w:hAnsi="Times New Roman" w:eastAsia="方正仿宋简体" w:cs="Times New Roman"/>
          <w:b w:val="0"/>
          <w:i w:val="0"/>
          <w:caps w:val="0"/>
          <w:spacing w:val="0"/>
          <w:w w:val="100"/>
          <w:sz w:val="32"/>
          <w:szCs w:val="32"/>
          <w:lang w:val="en-US" w:eastAsia="zh-CN"/>
        </w:rPr>
        <w:t>3〕8号</w:t>
      </w:r>
      <w:r>
        <w:rPr>
          <w:rFonts w:hint="default" w:ascii="Times New Roman" w:hAnsi="Times New Roman" w:eastAsia="方正仿宋简体" w:cs="Times New Roman"/>
          <w:b w:val="0"/>
          <w:i w:val="0"/>
          <w:caps w:val="0"/>
          <w:spacing w:val="0"/>
          <w:w w:val="100"/>
          <w:sz w:val="32"/>
          <w:szCs w:val="32"/>
          <w:lang w:val="en-US" w:eastAsia="zh-CN"/>
        </w:rPr>
        <w:t xml:space="preserve">              </w:t>
      </w:r>
      <w:r>
        <w:rPr>
          <w:rFonts w:hint="eastAsia" w:ascii="Times New Roman" w:hAnsi="Times New Roman" w:eastAsia="方正仿宋简体" w:cs="Times New Roman"/>
          <w:b w:val="0"/>
          <w:i w:val="0"/>
          <w:caps w:val="0"/>
          <w:spacing w:val="0"/>
          <w:w w:val="100"/>
          <w:sz w:val="32"/>
          <w:szCs w:val="32"/>
          <w:lang w:val="en-US" w:eastAsia="zh-CN"/>
        </w:rPr>
        <w:t xml:space="preserve">  </w:t>
      </w:r>
      <w:r>
        <w:rPr>
          <w:rFonts w:hint="default" w:ascii="Times New Roman" w:hAnsi="Times New Roman" w:eastAsia="方正仿宋简体" w:cs="Times New Roman"/>
          <w:b w:val="0"/>
          <w:i w:val="0"/>
          <w:caps w:val="0"/>
          <w:spacing w:val="0"/>
          <w:w w:val="100"/>
          <w:sz w:val="32"/>
          <w:szCs w:val="32"/>
          <w:lang w:val="en-US" w:eastAsia="zh-CN"/>
        </w:rPr>
        <w:t xml:space="preserve"> </w:t>
      </w:r>
      <w:r>
        <w:rPr>
          <w:rFonts w:hint="eastAsia" w:ascii="Times New Roman" w:hAnsi="Times New Roman" w:eastAsia="方正仿宋简体" w:cs="Times New Roman"/>
          <w:b w:val="0"/>
          <w:i w:val="0"/>
          <w:caps w:val="0"/>
          <w:spacing w:val="0"/>
          <w:w w:val="100"/>
          <w:sz w:val="32"/>
          <w:szCs w:val="32"/>
          <w:lang w:val="en-US" w:eastAsia="zh-CN"/>
        </w:rPr>
        <w:t>签发人：</w:t>
      </w:r>
      <w:r>
        <w:rPr>
          <w:rFonts w:hint="eastAsia" w:ascii="楷体" w:hAnsi="楷体" w:eastAsia="楷体" w:cs="楷体"/>
          <w:sz w:val="32"/>
          <w:szCs w:val="32"/>
        </w:rPr>
        <w:t>都国胜</w:t>
      </w:r>
      <w:r>
        <w:rPr>
          <w:rFonts w:ascii="楷体" w:hAnsi="楷体" w:eastAsia="楷体" w:cs="楷体"/>
          <w:sz w:val="33"/>
          <w:szCs w:val="33"/>
        </w:rPr>
        <w:t xml:space="preserve"> </w:t>
      </w:r>
    </w:p>
    <w:p>
      <w:r>
        <w:pict>
          <v:line id="直接连接符 13" o:spid="_x0000_s1026" o:spt="20" style="position:absolute;left:0pt;margin-left:11.25pt;margin-top:5.55pt;height:0pt;width:404.25pt;z-index:251659264;mso-width-relative:page;mso-height-relative:page;" filled="f" stroked="t" coordsize="21600,21600" o:gfxdata="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Sb6+FdYAAAAIAQAADwAAAAAAAAABACAAAAAiAAAAZHJzL2Rvd25yZXYueG1s&#10;UEsBAhQAFAAAAAgAh07iQB67eBr6AQAA5wMAAA4AAAAAAAAAAQAgAAAAJQEAAGRycy9lMm9Eb2Mu&#10;eG1sUEsFBgAAAAAGAAYAWQEAAJEFAAAAAA==&#10;">
            <v:path arrowok="t"/>
            <v:fill on="f" focussize="0,0"/>
            <v:stroke weight="1.5pt" color="#FF0000" joinstyle="round"/>
            <v:imagedata o:title=""/>
            <o:lock v:ext="edit" aspectratio="f"/>
          </v:line>
        </w:pict>
      </w:r>
      <w:r>
        <w:rPr>
          <w:rFonts w:hint="eastAsia"/>
        </w:rPr>
        <w:t xml:space="preserve"> </w:t>
      </w:r>
      <w: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615"/>
        <w:jc w:val="center"/>
        <w:rPr>
          <w:rFonts w:ascii="宋体" w:hAnsi="宋体" w:cs="方正小标宋简体"/>
          <w:b/>
          <w:sz w:val="44"/>
          <w:szCs w:val="44"/>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center"/>
        <w:textAlignment w:val="baseline"/>
      </w:pPr>
    </w:p>
    <w:p>
      <w:pPr>
        <w:keepNext w:val="0"/>
        <w:keepLines w:val="0"/>
        <w:pageBreakBefore w:val="0"/>
        <w:widowControl/>
        <w:kinsoku/>
        <w:overflowPunct/>
        <w:topLinePunct w:val="0"/>
        <w:autoSpaceDE/>
        <w:autoSpaceDN/>
        <w:bidi w:val="0"/>
        <w:adjustRightInd/>
        <w:snapToGrid/>
        <w:spacing w:line="580" w:lineRule="exact"/>
        <w:jc w:val="center"/>
        <w:rPr>
          <w:rFonts w:eastAsia="方正小标宋简体"/>
          <w:sz w:val="44"/>
          <w:szCs w:val="44"/>
        </w:rPr>
      </w:pPr>
      <w:r>
        <w:rPr>
          <w:rFonts w:hint="eastAsia" w:eastAsia="方正小标宋简体"/>
          <w:sz w:val="44"/>
          <w:szCs w:val="44"/>
        </w:rPr>
        <w:t>乐至县蚕桑局</w:t>
      </w:r>
    </w:p>
    <w:p>
      <w:pPr>
        <w:keepNext w:val="0"/>
        <w:keepLines w:val="0"/>
        <w:pageBreakBefore w:val="0"/>
        <w:widowControl/>
        <w:kinsoku/>
        <w:overflowPunct/>
        <w:topLinePunct w:val="0"/>
        <w:autoSpaceDE/>
        <w:autoSpaceDN/>
        <w:bidi w:val="0"/>
        <w:adjustRightInd/>
        <w:snapToGrid/>
        <w:spacing w:line="580" w:lineRule="exact"/>
        <w:jc w:val="center"/>
        <w:rPr>
          <w:rFonts w:eastAsia="方正小标宋简体"/>
          <w:sz w:val="44"/>
          <w:szCs w:val="44"/>
        </w:rPr>
      </w:pPr>
      <w:r>
        <w:rPr>
          <w:rFonts w:eastAsia="方正小标宋简体"/>
          <w:sz w:val="44"/>
          <w:szCs w:val="44"/>
        </w:rPr>
        <w:t>20</w:t>
      </w:r>
      <w:r>
        <w:rPr>
          <w:rFonts w:hint="eastAsia" w:eastAsia="方正小标宋简体"/>
          <w:sz w:val="44"/>
          <w:szCs w:val="44"/>
        </w:rPr>
        <w:t>22年度预算绩效管理工作总结</w:t>
      </w:r>
    </w:p>
    <w:p>
      <w:pPr>
        <w:keepNext w:val="0"/>
        <w:keepLines w:val="0"/>
        <w:pageBreakBefore w:val="0"/>
        <w:widowControl/>
        <w:kinsoku/>
        <w:overflowPunct/>
        <w:topLinePunct w:val="0"/>
        <w:autoSpaceDE/>
        <w:autoSpaceDN/>
        <w:bidi w:val="0"/>
        <w:adjustRightInd/>
        <w:snapToGrid/>
        <w:spacing w:line="580" w:lineRule="exact"/>
        <w:rPr>
          <w:rFonts w:ascii="仿宋" w:hAnsi="仿宋" w:eastAsia="仿宋"/>
          <w:sz w:val="32"/>
          <w:szCs w:val="32"/>
        </w:rPr>
      </w:pPr>
    </w:p>
    <w:p>
      <w:pPr>
        <w:keepNext w:val="0"/>
        <w:keepLines w:val="0"/>
        <w:pageBreakBefore w:val="0"/>
        <w:widowControl/>
        <w:numPr>
          <w:ilvl w:val="0"/>
          <w:numId w:val="1"/>
        </w:numPr>
        <w:kinsoku/>
        <w:overflowPunct/>
        <w:topLinePunct w:val="0"/>
        <w:autoSpaceDE/>
        <w:autoSpaceDN/>
        <w:bidi w:val="0"/>
        <w:adjustRightInd/>
        <w:snapToGrid/>
        <w:spacing w:line="580" w:lineRule="exact"/>
        <w:ind w:firstLine="660" w:firstLineChars="200"/>
        <w:rPr>
          <w:rFonts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预算绩效管理工作总体情况</w:t>
      </w:r>
    </w:p>
    <w:p>
      <w:pPr>
        <w:keepNext w:val="0"/>
        <w:keepLines w:val="0"/>
        <w:pageBreakBefore w:val="0"/>
        <w:widowControl/>
        <w:kinsoku/>
        <w:overflowPunct/>
        <w:topLinePunct w:val="0"/>
        <w:autoSpaceDE/>
        <w:autoSpaceDN/>
        <w:bidi w:val="0"/>
        <w:adjustRightInd/>
        <w:snapToGrid/>
        <w:spacing w:line="580" w:lineRule="exact"/>
        <w:rPr>
          <w:rFonts w:eastAsia="方正仿宋简体"/>
          <w:sz w:val="33"/>
          <w:szCs w:val="33"/>
        </w:rPr>
      </w:pPr>
      <w:r>
        <w:rPr>
          <w:rFonts w:eastAsia="方正仿宋简体"/>
          <w:sz w:val="33"/>
          <w:szCs w:val="33"/>
        </w:rPr>
        <w:t xml:space="preserve">    为规范和加强财政</w:t>
      </w:r>
      <w:r>
        <w:rPr>
          <w:rFonts w:hint="eastAsia" w:eastAsia="方正仿宋简体"/>
          <w:sz w:val="33"/>
          <w:szCs w:val="33"/>
        </w:rPr>
        <w:t>预算绩效</w:t>
      </w:r>
      <w:r>
        <w:rPr>
          <w:rFonts w:eastAsia="方正仿宋简体"/>
          <w:sz w:val="33"/>
          <w:szCs w:val="33"/>
        </w:rPr>
        <w:t>管理</w:t>
      </w:r>
      <w:r>
        <w:rPr>
          <w:rFonts w:hint="eastAsia" w:eastAsia="方正仿宋简体"/>
          <w:sz w:val="33"/>
          <w:szCs w:val="33"/>
        </w:rPr>
        <w:t>工作</w:t>
      </w:r>
      <w:r>
        <w:rPr>
          <w:rFonts w:eastAsia="方正仿宋简体"/>
          <w:sz w:val="33"/>
          <w:szCs w:val="33"/>
        </w:rPr>
        <w:t>，提高</w:t>
      </w:r>
      <w:r>
        <w:rPr>
          <w:rFonts w:hint="eastAsia" w:eastAsia="方正仿宋简体"/>
          <w:sz w:val="33"/>
          <w:szCs w:val="33"/>
        </w:rPr>
        <w:t>财政</w:t>
      </w:r>
      <w:r>
        <w:rPr>
          <w:rFonts w:eastAsia="方正仿宋简体"/>
          <w:sz w:val="33"/>
          <w:szCs w:val="33"/>
        </w:rPr>
        <w:t>资金的使用效益和管理水平，实现</w:t>
      </w:r>
      <w:r>
        <w:rPr>
          <w:rFonts w:hint="eastAsia" w:eastAsia="方正仿宋简体"/>
          <w:sz w:val="33"/>
          <w:szCs w:val="33"/>
        </w:rPr>
        <w:t>财政</w:t>
      </w:r>
      <w:r>
        <w:rPr>
          <w:rFonts w:eastAsia="方正仿宋简体"/>
          <w:sz w:val="33"/>
          <w:szCs w:val="33"/>
        </w:rPr>
        <w:t>资金</w:t>
      </w:r>
      <w:r>
        <w:rPr>
          <w:rFonts w:hint="eastAsia" w:eastAsia="方正仿宋简体"/>
          <w:sz w:val="33"/>
          <w:szCs w:val="33"/>
        </w:rPr>
        <w:t>预算</w:t>
      </w:r>
      <w:r>
        <w:rPr>
          <w:rFonts w:eastAsia="方正仿宋简体"/>
          <w:sz w:val="33"/>
          <w:szCs w:val="33"/>
        </w:rPr>
        <w:t>安排的科学化，</w:t>
      </w:r>
      <w:r>
        <w:rPr>
          <w:rFonts w:hint="eastAsia" w:eastAsia="方正仿宋简体"/>
          <w:sz w:val="33"/>
          <w:szCs w:val="33"/>
        </w:rPr>
        <w:t>本年度</w:t>
      </w:r>
      <w:r>
        <w:rPr>
          <w:rFonts w:eastAsia="方正仿宋简体"/>
          <w:sz w:val="33"/>
          <w:szCs w:val="33"/>
        </w:rPr>
        <w:t>我单位严格按照上级预算文件相关要求，认真落实预算绩效管理工作。</w:t>
      </w:r>
      <w:r>
        <w:rPr>
          <w:rFonts w:hint="eastAsia" w:eastAsia="方正仿宋简体"/>
          <w:sz w:val="33"/>
          <w:szCs w:val="33"/>
        </w:rPr>
        <w:t>全面提升种桑养蚕经济效益，促进农业增效、蚕民增收，不断巩固脱贫成效，助推乡村振兴。切实将有限的资金用在刀刃上，实现财政资金效益最大化。</w:t>
      </w:r>
      <w:r>
        <w:rPr>
          <w:rFonts w:eastAsia="方正仿宋简体"/>
          <w:sz w:val="33"/>
          <w:szCs w:val="33"/>
        </w:rPr>
        <w:t>一</w:t>
      </w:r>
      <w:r>
        <w:rPr>
          <w:rFonts w:eastAsia="方正仿宋简体"/>
          <w:b/>
          <w:bCs/>
          <w:sz w:val="33"/>
          <w:szCs w:val="33"/>
        </w:rPr>
        <w:t>是</w:t>
      </w:r>
      <w:r>
        <w:rPr>
          <w:rFonts w:eastAsia="方正仿宋简体"/>
          <w:sz w:val="33"/>
          <w:szCs w:val="33"/>
        </w:rPr>
        <w:t>在预算编制工作中，将绩效目标设置作为预算安排的前提，全面实施绩效管理，完善管理流程，扩大预算范围，加强评价结果运用，盘活存量、用好增量，提高财政资金配置效率和使用效益。</w:t>
      </w:r>
      <w:r>
        <w:rPr>
          <w:rFonts w:eastAsia="方正仿宋简体"/>
          <w:b/>
          <w:bCs/>
          <w:sz w:val="33"/>
          <w:szCs w:val="33"/>
        </w:rPr>
        <w:t>二是</w:t>
      </w:r>
      <w:r>
        <w:rPr>
          <w:rFonts w:eastAsia="方正仿宋简体"/>
          <w:sz w:val="33"/>
          <w:szCs w:val="33"/>
        </w:rPr>
        <w:t>加强重点项目绩效评价和政策评估，重点围绕现代蚕桑产业园专项资金和事关民生的蚕桑切块项目等进行绩效评价，对绩效目标审核不合格的项目不予安排预算，对评分低的项目整合安排预算。</w:t>
      </w:r>
      <w:r>
        <w:rPr>
          <w:rFonts w:eastAsia="方正仿宋简体"/>
          <w:b/>
          <w:bCs/>
          <w:sz w:val="33"/>
          <w:szCs w:val="33"/>
        </w:rPr>
        <w:t>三是</w:t>
      </w:r>
      <w:r>
        <w:rPr>
          <w:rFonts w:eastAsia="方正仿宋简体"/>
          <w:sz w:val="33"/>
          <w:szCs w:val="33"/>
        </w:rPr>
        <w:t>加强资金动态监管，实时跟进资金使用情况，切实增强资金主管部门及资金使用单位支出责任意识和支出效率意识。202</w:t>
      </w:r>
      <w:r>
        <w:rPr>
          <w:rFonts w:hint="eastAsia" w:eastAsia="方正仿宋简体"/>
          <w:sz w:val="33"/>
          <w:szCs w:val="33"/>
        </w:rPr>
        <w:t>2</w:t>
      </w:r>
      <w:r>
        <w:rPr>
          <w:rFonts w:eastAsia="方正仿宋简体"/>
          <w:sz w:val="33"/>
          <w:szCs w:val="33"/>
        </w:rPr>
        <w:t>年预算绩效管理工作覆盖蚕桑局，共涉及金额</w:t>
      </w:r>
      <w:r>
        <w:rPr>
          <w:rFonts w:hint="eastAsia" w:eastAsia="方正仿宋简体"/>
          <w:sz w:val="33"/>
          <w:szCs w:val="33"/>
        </w:rPr>
        <w:t>938.53</w:t>
      </w:r>
      <w:r>
        <w:rPr>
          <w:rFonts w:eastAsia="方正仿宋简体"/>
          <w:sz w:val="33"/>
          <w:szCs w:val="33"/>
        </w:rPr>
        <w:t>万元，其中</w:t>
      </w:r>
      <w:r>
        <w:rPr>
          <w:rFonts w:hint="eastAsia" w:eastAsia="方正仿宋简体"/>
          <w:sz w:val="33"/>
          <w:szCs w:val="33"/>
        </w:rPr>
        <w:t>:</w:t>
      </w:r>
      <w:r>
        <w:rPr>
          <w:rFonts w:eastAsia="方正仿宋简体"/>
          <w:sz w:val="33"/>
          <w:szCs w:val="33"/>
        </w:rPr>
        <w:t>单位临聘人员专项经费10万元。</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ascii="方正黑体简体" w:hAnsi="方正黑体简体" w:eastAsia="方正黑体简体" w:cs="方正黑体简体"/>
          <w:sz w:val="33"/>
          <w:szCs w:val="33"/>
        </w:rPr>
      </w:pPr>
      <w:r>
        <w:rPr>
          <w:rFonts w:ascii="方正黑体简体" w:hAnsi="方正黑体简体" w:eastAsia="方正黑体简体" w:cs="方正黑体简体"/>
          <w:sz w:val="33"/>
          <w:szCs w:val="33"/>
        </w:rPr>
        <w:t>二、自评得分情况及说明</w:t>
      </w:r>
    </w:p>
    <w:p>
      <w:pPr>
        <w:keepNext w:val="0"/>
        <w:keepLines w:val="0"/>
        <w:pageBreakBefore w:val="0"/>
        <w:widowControl/>
        <w:kinsoku/>
        <w:overflowPunct/>
        <w:topLinePunct w:val="0"/>
        <w:autoSpaceDE/>
        <w:autoSpaceDN/>
        <w:bidi w:val="0"/>
        <w:adjustRightInd/>
        <w:snapToGrid/>
        <w:spacing w:line="580" w:lineRule="exact"/>
        <w:ind w:firstLine="663" w:firstLineChars="200"/>
        <w:rPr>
          <w:rFonts w:ascii="方正楷体简体" w:hAnsi="方正楷体简体" w:eastAsia="方正楷体简体" w:cs="方正楷体简体"/>
          <w:b/>
          <w:bCs/>
          <w:sz w:val="33"/>
          <w:szCs w:val="33"/>
        </w:rPr>
      </w:pPr>
      <w:r>
        <w:rPr>
          <w:rFonts w:hint="eastAsia" w:ascii="方正楷体简体" w:hAnsi="方正楷体简体" w:eastAsia="方正楷体简体" w:cs="方正楷体简体"/>
          <w:b/>
          <w:bCs/>
          <w:sz w:val="33"/>
          <w:szCs w:val="33"/>
        </w:rPr>
        <w:t>（一）基础管理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1.领导重视方面：</w:t>
      </w:r>
      <w:r>
        <w:rPr>
          <w:rFonts w:hint="eastAsia" w:eastAsia="方正仿宋简体"/>
          <w:sz w:val="33"/>
          <w:szCs w:val="33"/>
        </w:rPr>
        <w:t>党组专题研究预算绩效管理工作，听取预算绩效管理工作开展情况汇报，</w:t>
      </w:r>
      <w:r>
        <w:rPr>
          <w:rFonts w:eastAsia="方正仿宋简体"/>
          <w:sz w:val="33"/>
          <w:szCs w:val="33"/>
        </w:rPr>
        <w:t>成立预算绩效评价管理工作专项领导小组，全年根据财政绩效评价管理安排，共开展相关会议3次，此项得分</w:t>
      </w:r>
      <w:r>
        <w:rPr>
          <w:rFonts w:hint="eastAsia" w:eastAsia="方正仿宋简体"/>
          <w:sz w:val="33"/>
          <w:szCs w:val="33"/>
        </w:rPr>
        <w:t>5</w:t>
      </w:r>
      <w:r>
        <w:rPr>
          <w:rFonts w:eastAsia="方正仿宋简体"/>
          <w:sz w:val="33"/>
          <w:szCs w:val="33"/>
        </w:rPr>
        <w:t>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2.职责明确方面：由局长都国胜担任组长，财务分管领导罗红琼担任副组长，</w:t>
      </w:r>
      <w:r>
        <w:rPr>
          <w:rFonts w:hint="eastAsia" w:eastAsia="方正仿宋简体"/>
          <w:sz w:val="33"/>
          <w:szCs w:val="33"/>
        </w:rPr>
        <w:t>局</w:t>
      </w:r>
      <w:r>
        <w:rPr>
          <w:rFonts w:eastAsia="方正仿宋简体"/>
          <w:sz w:val="33"/>
          <w:szCs w:val="33"/>
        </w:rPr>
        <w:t>下</w:t>
      </w:r>
      <w:r>
        <w:rPr>
          <w:rFonts w:hint="eastAsia" w:eastAsia="方正仿宋简体"/>
          <w:sz w:val="33"/>
          <w:szCs w:val="33"/>
        </w:rPr>
        <w:t>属</w:t>
      </w:r>
      <w:r>
        <w:rPr>
          <w:rFonts w:eastAsia="方正仿宋简体"/>
          <w:sz w:val="33"/>
          <w:szCs w:val="33"/>
        </w:rPr>
        <w:t>科室</w:t>
      </w:r>
      <w:r>
        <w:rPr>
          <w:rFonts w:hint="eastAsia" w:eastAsia="方正仿宋简体"/>
          <w:sz w:val="33"/>
          <w:szCs w:val="33"/>
        </w:rPr>
        <w:t>经办人员</w:t>
      </w:r>
      <w:r>
        <w:rPr>
          <w:rFonts w:eastAsia="方正仿宋简体"/>
          <w:sz w:val="33"/>
          <w:szCs w:val="33"/>
        </w:rPr>
        <w:t>具体负责日常工作开展。此项得分2分。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3.制度建设方面：根据单位实际，制度了完善的预算绩效管理实施办法</w:t>
      </w:r>
      <w:r>
        <w:rPr>
          <w:rFonts w:hint="eastAsia" w:eastAsia="方正仿宋简体"/>
          <w:sz w:val="33"/>
          <w:szCs w:val="33"/>
        </w:rPr>
        <w:t>及具体实施方案，</w:t>
      </w:r>
      <w:r>
        <w:rPr>
          <w:rFonts w:eastAsia="方正仿宋简体"/>
          <w:sz w:val="33"/>
          <w:szCs w:val="33"/>
        </w:rPr>
        <w:t>涵盖相关流程，指标体系完善，并将</w:t>
      </w:r>
      <w:r>
        <w:rPr>
          <w:rFonts w:hint="eastAsia" w:eastAsia="方正仿宋简体"/>
          <w:sz w:val="33"/>
          <w:szCs w:val="33"/>
        </w:rPr>
        <w:t>局</w:t>
      </w:r>
      <w:r>
        <w:rPr>
          <w:rFonts w:eastAsia="方正仿宋简体"/>
          <w:sz w:val="33"/>
          <w:szCs w:val="33"/>
        </w:rPr>
        <w:t>下</w:t>
      </w:r>
      <w:r>
        <w:rPr>
          <w:rFonts w:hint="eastAsia" w:eastAsia="方正仿宋简体"/>
          <w:sz w:val="33"/>
          <w:szCs w:val="33"/>
        </w:rPr>
        <w:t>属</w:t>
      </w:r>
      <w:r>
        <w:rPr>
          <w:rFonts w:eastAsia="方正仿宋简体"/>
          <w:sz w:val="33"/>
          <w:szCs w:val="33"/>
        </w:rPr>
        <w:t>科室绩效管理工作纳入年度考核。此项得分</w:t>
      </w:r>
      <w:r>
        <w:rPr>
          <w:rFonts w:hint="eastAsia" w:eastAsia="方正仿宋简体"/>
          <w:sz w:val="33"/>
          <w:szCs w:val="33"/>
        </w:rPr>
        <w:t>4</w:t>
      </w:r>
      <w:r>
        <w:rPr>
          <w:rFonts w:eastAsia="方正仿宋简体"/>
          <w:sz w:val="33"/>
          <w:szCs w:val="33"/>
        </w:rPr>
        <w:t>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4.指标体系方面：指标体系建立完善，符合单位工作实际。此项得分4分。</w:t>
      </w:r>
    </w:p>
    <w:p>
      <w:pPr>
        <w:keepNext w:val="0"/>
        <w:keepLines w:val="0"/>
        <w:pageBreakBefore w:val="0"/>
        <w:widowControl/>
        <w:kinsoku/>
        <w:overflowPunct/>
        <w:topLinePunct w:val="0"/>
        <w:autoSpaceDE/>
        <w:autoSpaceDN/>
        <w:bidi w:val="0"/>
        <w:adjustRightInd/>
        <w:snapToGrid/>
        <w:spacing w:line="580" w:lineRule="exact"/>
        <w:ind w:firstLine="663" w:firstLineChars="200"/>
        <w:rPr>
          <w:rFonts w:ascii="方正楷体简体" w:hAnsi="方正楷体简体" w:eastAsia="方正楷体简体" w:cs="方正楷体简体"/>
          <w:b/>
          <w:bCs/>
          <w:sz w:val="33"/>
          <w:szCs w:val="33"/>
        </w:rPr>
      </w:pPr>
      <w:r>
        <w:rPr>
          <w:rFonts w:ascii="方正楷体简体" w:hAnsi="方正楷体简体" w:eastAsia="方正楷体简体" w:cs="方正楷体简体"/>
          <w:b/>
          <w:bCs/>
          <w:sz w:val="33"/>
          <w:szCs w:val="33"/>
        </w:rPr>
        <w:t>（二）过程管理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1.事前绩效评估管理：</w:t>
      </w:r>
      <w:r>
        <w:rPr>
          <w:rFonts w:hint="eastAsia" w:eastAsia="方正仿宋简体"/>
          <w:sz w:val="33"/>
          <w:szCs w:val="33"/>
        </w:rPr>
        <w:t>按规定全面开展政策、项目事前绩效评估，</w:t>
      </w:r>
      <w:r>
        <w:rPr>
          <w:rFonts w:eastAsia="方正仿宋简体"/>
          <w:sz w:val="33"/>
          <w:szCs w:val="33"/>
        </w:rPr>
        <w:t>每个项目都按要求做好完整的事前绩效评估报告。此项得分10分。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2.绩效目标管理：</w:t>
      </w:r>
      <w:r>
        <w:rPr>
          <w:rFonts w:hint="eastAsia" w:eastAsia="方正仿宋简体"/>
          <w:sz w:val="33"/>
          <w:szCs w:val="33"/>
        </w:rPr>
        <w:t>在规定时间内</w:t>
      </w:r>
      <w:r>
        <w:rPr>
          <w:rFonts w:eastAsia="方正仿宋简体"/>
          <w:sz w:val="33"/>
          <w:szCs w:val="33"/>
        </w:rPr>
        <w:t>及时报送部门整体和项目绩效评估报告，</w:t>
      </w:r>
      <w:r>
        <w:rPr>
          <w:rFonts w:hint="eastAsia" w:eastAsia="方正仿宋简体"/>
          <w:sz w:val="33"/>
          <w:szCs w:val="33"/>
        </w:rPr>
        <w:t>部门整体和项目绩效指标细化、量化，能清晰反映绩效实现程度，绩效目标设定依据充分、符合相关法律法规、国家相关规定</w:t>
      </w:r>
      <w:r>
        <w:rPr>
          <w:rFonts w:eastAsia="方正仿宋简体"/>
          <w:sz w:val="33"/>
          <w:szCs w:val="33"/>
        </w:rPr>
        <w:t>。此项得分</w:t>
      </w:r>
      <w:r>
        <w:rPr>
          <w:rFonts w:hint="eastAsia" w:eastAsia="方正仿宋简体"/>
          <w:sz w:val="33"/>
          <w:szCs w:val="33"/>
        </w:rPr>
        <w:t>18</w:t>
      </w:r>
      <w:r>
        <w:rPr>
          <w:rFonts w:eastAsia="方正仿宋简体"/>
          <w:sz w:val="33"/>
          <w:szCs w:val="33"/>
        </w:rPr>
        <w:t>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3.绩效监控管理：按相关部门要求，及时保质地对绩效执行信息进行归纳汇总，并向财政部门报送监控报告；</w:t>
      </w:r>
      <w:r>
        <w:rPr>
          <w:color w:val="000000"/>
          <w:kern w:val="0"/>
          <w:szCs w:val="21"/>
        </w:rPr>
        <w:t>.</w:t>
      </w:r>
      <w:r>
        <w:rPr>
          <w:rFonts w:eastAsia="方正仿宋简体"/>
          <w:sz w:val="33"/>
          <w:szCs w:val="33"/>
        </w:rPr>
        <w:t>未出现偏离绩效目标的项目，能确保项目达到预期目标。此项得分</w:t>
      </w:r>
      <w:r>
        <w:rPr>
          <w:rFonts w:hint="eastAsia" w:eastAsia="方正仿宋简体"/>
          <w:sz w:val="33"/>
          <w:szCs w:val="33"/>
        </w:rPr>
        <w:t>9</w:t>
      </w:r>
      <w:r>
        <w:rPr>
          <w:rFonts w:eastAsia="方正仿宋简体"/>
          <w:sz w:val="33"/>
          <w:szCs w:val="33"/>
        </w:rPr>
        <w:t>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4.事后绩效评价管理：能够按照规定及时开展绩效管理自评工作，及时报送报告资料，报送资料符合财政部门要求，</w:t>
      </w:r>
      <w:r>
        <w:rPr>
          <w:rFonts w:hint="eastAsia" w:eastAsia="方正仿宋简体"/>
          <w:sz w:val="33"/>
          <w:szCs w:val="33"/>
        </w:rPr>
        <w:t>绩效归纳合理，陈述明确，总分结合，有理有据，与指标体系特别是反映实际绩效的指标有较好的关联度</w:t>
      </w:r>
      <w:r>
        <w:rPr>
          <w:rFonts w:hint="eastAsia"/>
          <w:color w:val="000000"/>
          <w:kern w:val="0"/>
          <w:szCs w:val="21"/>
        </w:rPr>
        <w:t>，</w:t>
      </w:r>
      <w:r>
        <w:rPr>
          <w:rFonts w:hint="eastAsia" w:eastAsia="方正仿宋简体"/>
          <w:sz w:val="33"/>
          <w:szCs w:val="33"/>
        </w:rPr>
        <w:t>绩效自评报告格式规范，内容完整，</w:t>
      </w:r>
      <w:r>
        <w:rPr>
          <w:rFonts w:eastAsia="方正仿宋简体"/>
          <w:sz w:val="33"/>
          <w:szCs w:val="33"/>
        </w:rPr>
        <w:t>描述准确，但图表、图片运用不够广泛，多为文字叙述。此项得分2</w:t>
      </w:r>
      <w:r>
        <w:rPr>
          <w:rFonts w:hint="eastAsia" w:eastAsia="方正仿宋简体"/>
          <w:sz w:val="33"/>
          <w:szCs w:val="33"/>
        </w:rPr>
        <w:t>0</w:t>
      </w:r>
      <w:r>
        <w:rPr>
          <w:rFonts w:eastAsia="方正仿宋简体"/>
          <w:sz w:val="33"/>
          <w:szCs w:val="33"/>
        </w:rPr>
        <w:t>.5分。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5.绩效结果运用管理：能够有效发现绩效管理中存在问题，并提出具有针对性的整改措施，能够及时公开预算决算等相关信息，</w:t>
      </w:r>
      <w:r>
        <w:rPr>
          <w:rFonts w:hint="eastAsia" w:eastAsia="方正仿宋简体"/>
          <w:sz w:val="33"/>
          <w:szCs w:val="33"/>
        </w:rPr>
        <w:t>对事前绩效评估、事中绩效监控、事后绩效评价结果作为预算安排、预算调整、资金分配、政策调整完善、改进内部管理依据，</w:t>
      </w:r>
      <w:r>
        <w:rPr>
          <w:rFonts w:eastAsia="方正仿宋简体"/>
          <w:sz w:val="33"/>
          <w:szCs w:val="33"/>
        </w:rPr>
        <w:t>对绩效管理评价结果较好地运用。此项得分1</w:t>
      </w:r>
      <w:r>
        <w:rPr>
          <w:rFonts w:hint="eastAsia" w:eastAsia="方正仿宋简体"/>
          <w:sz w:val="33"/>
          <w:szCs w:val="33"/>
        </w:rPr>
        <w:t>6</w:t>
      </w:r>
      <w:r>
        <w:rPr>
          <w:rFonts w:eastAsia="方正仿宋简体"/>
          <w:sz w:val="33"/>
          <w:szCs w:val="33"/>
        </w:rPr>
        <w:t>分。</w:t>
      </w:r>
    </w:p>
    <w:p>
      <w:pPr>
        <w:keepNext w:val="0"/>
        <w:keepLines w:val="0"/>
        <w:pageBreakBefore w:val="0"/>
        <w:widowControl/>
        <w:kinsoku/>
        <w:overflowPunct/>
        <w:topLinePunct w:val="0"/>
        <w:autoSpaceDE/>
        <w:autoSpaceDN/>
        <w:bidi w:val="0"/>
        <w:adjustRightInd/>
        <w:snapToGrid/>
        <w:spacing w:line="580" w:lineRule="exact"/>
        <w:ind w:firstLine="663" w:firstLineChars="200"/>
        <w:rPr>
          <w:rFonts w:ascii="方正楷体简体" w:hAnsi="方正楷体简体" w:eastAsia="方正楷体简体" w:cs="方正楷体简体"/>
          <w:b/>
          <w:bCs/>
          <w:sz w:val="33"/>
          <w:szCs w:val="33"/>
        </w:rPr>
      </w:pPr>
      <w:r>
        <w:rPr>
          <w:rFonts w:hint="eastAsia" w:ascii="方正楷体简体" w:hAnsi="方正楷体简体" w:eastAsia="方正楷体简体" w:cs="方正楷体简体"/>
          <w:b/>
          <w:bCs/>
          <w:sz w:val="33"/>
          <w:szCs w:val="33"/>
        </w:rPr>
        <w:t>（三）</w:t>
      </w:r>
      <w:r>
        <w:rPr>
          <w:rFonts w:ascii="方正楷体简体" w:hAnsi="方正楷体简体" w:eastAsia="方正楷体简体" w:cs="方正楷体简体"/>
          <w:b/>
          <w:bCs/>
          <w:sz w:val="33"/>
          <w:szCs w:val="33"/>
        </w:rPr>
        <w:t>培训宣传</w:t>
      </w:r>
    </w:p>
    <w:p>
      <w:pPr>
        <w:keepNext w:val="0"/>
        <w:keepLines w:val="0"/>
        <w:pageBreakBefore w:val="0"/>
        <w:widowControl/>
        <w:kinsoku/>
        <w:overflowPunct/>
        <w:topLinePunct w:val="0"/>
        <w:autoSpaceDE/>
        <w:autoSpaceDN/>
        <w:bidi w:val="0"/>
        <w:adjustRightInd/>
        <w:snapToGrid/>
        <w:spacing w:line="580" w:lineRule="exact"/>
        <w:ind w:firstLine="660"/>
        <w:rPr>
          <w:rFonts w:eastAsia="方正仿宋简体"/>
          <w:sz w:val="33"/>
          <w:szCs w:val="33"/>
        </w:rPr>
      </w:pPr>
      <w:r>
        <w:rPr>
          <w:rFonts w:hint="eastAsia" w:eastAsia="方正仿宋简体"/>
          <w:sz w:val="33"/>
          <w:szCs w:val="33"/>
        </w:rPr>
        <w:t>积极组织开展本单位预算绩效管理业务学习和培训工作</w:t>
      </w:r>
      <w:r>
        <w:rPr>
          <w:rFonts w:eastAsia="方正仿宋简体"/>
          <w:sz w:val="33"/>
          <w:szCs w:val="33"/>
        </w:rPr>
        <w:t>，</w:t>
      </w:r>
      <w:r>
        <w:rPr>
          <w:rFonts w:hint="eastAsia" w:eastAsia="方正仿宋简体"/>
          <w:sz w:val="33"/>
          <w:szCs w:val="33"/>
        </w:rPr>
        <w:t>按时向财政部门报送本部门预算绩效管理的相关制度办法、工作考核材料、绩效指标体系、工作计划总结、本部门预算绩效管理的工作动态信息，积极参加财政部门组织的预算绩效管理会议，积极做好财政部门组织评价项目的配合工作。</w:t>
      </w:r>
      <w:r>
        <w:rPr>
          <w:rFonts w:eastAsia="方正仿宋简体"/>
          <w:sz w:val="33"/>
          <w:szCs w:val="33"/>
        </w:rPr>
        <w:t>此项得分</w:t>
      </w:r>
      <w:r>
        <w:rPr>
          <w:rFonts w:hint="eastAsia" w:eastAsia="方正仿宋简体"/>
          <w:sz w:val="33"/>
          <w:szCs w:val="33"/>
        </w:rPr>
        <w:t>11</w:t>
      </w:r>
      <w:r>
        <w:rPr>
          <w:rFonts w:eastAsia="方正仿宋简体"/>
          <w:sz w:val="33"/>
          <w:szCs w:val="33"/>
        </w:rPr>
        <w:t>分。</w:t>
      </w:r>
    </w:p>
    <w:p>
      <w:pPr>
        <w:keepNext w:val="0"/>
        <w:keepLines w:val="0"/>
        <w:pageBreakBefore w:val="0"/>
        <w:widowControl/>
        <w:kinsoku/>
        <w:overflowPunct/>
        <w:topLinePunct w:val="0"/>
        <w:autoSpaceDE/>
        <w:autoSpaceDN/>
        <w:bidi w:val="0"/>
        <w:adjustRightInd/>
        <w:snapToGrid/>
        <w:spacing w:line="580" w:lineRule="exact"/>
        <w:ind w:firstLine="663" w:firstLineChars="200"/>
        <w:rPr>
          <w:rFonts w:hint="eastAsia" w:ascii="方正楷体简体" w:hAnsi="方正楷体简体" w:eastAsia="方正楷体简体" w:cs="方正楷体简体"/>
          <w:b/>
          <w:bCs/>
          <w:sz w:val="33"/>
          <w:szCs w:val="33"/>
        </w:rPr>
      </w:pP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综上所述，单位总体得分</w:t>
      </w:r>
      <w:r>
        <w:rPr>
          <w:rFonts w:hint="eastAsia" w:eastAsia="方正仿宋简体"/>
          <w:sz w:val="33"/>
          <w:szCs w:val="33"/>
        </w:rPr>
        <w:t>99</w:t>
      </w:r>
      <w:r>
        <w:rPr>
          <w:rFonts w:eastAsia="方正仿宋简体"/>
          <w:sz w:val="33"/>
          <w:szCs w:val="33"/>
        </w:rPr>
        <w:t>.5分，考核结果为优。</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ascii="方正黑体简体" w:hAnsi="方正黑体简体" w:eastAsia="方正黑体简体" w:cs="方正黑体简体"/>
          <w:sz w:val="33"/>
          <w:szCs w:val="33"/>
        </w:rPr>
      </w:pPr>
      <w:r>
        <w:rPr>
          <w:rFonts w:ascii="方正黑体简体" w:hAnsi="方正黑体简体" w:eastAsia="方正黑体简体" w:cs="方正黑体简体"/>
          <w:sz w:val="33"/>
          <w:szCs w:val="33"/>
        </w:rPr>
        <w:t>三、主要经验和存在不足</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取得主要经验有以下几点：</w:t>
      </w:r>
      <w:r>
        <w:rPr>
          <w:rFonts w:eastAsia="方正仿宋简体"/>
          <w:b/>
          <w:bCs/>
          <w:sz w:val="33"/>
          <w:szCs w:val="33"/>
        </w:rPr>
        <w:t>一是</w:t>
      </w:r>
      <w:r>
        <w:rPr>
          <w:rFonts w:hint="eastAsia" w:eastAsia="方正仿宋简体"/>
          <w:b/>
          <w:bCs/>
          <w:sz w:val="33"/>
          <w:szCs w:val="33"/>
        </w:rPr>
        <w:t>做好</w:t>
      </w:r>
      <w:r>
        <w:rPr>
          <w:rFonts w:eastAsia="方正仿宋简体"/>
          <w:b/>
          <w:bCs/>
          <w:sz w:val="33"/>
          <w:szCs w:val="33"/>
        </w:rPr>
        <w:t>预算绩效目标编制。</w:t>
      </w:r>
      <w:r>
        <w:rPr>
          <w:rFonts w:eastAsia="方正仿宋简体"/>
          <w:sz w:val="33"/>
          <w:szCs w:val="33"/>
        </w:rPr>
        <w:t>在编制202</w:t>
      </w:r>
      <w:r>
        <w:rPr>
          <w:rFonts w:hint="eastAsia" w:eastAsia="方正仿宋简体"/>
          <w:sz w:val="33"/>
          <w:szCs w:val="33"/>
        </w:rPr>
        <w:t>2</w:t>
      </w:r>
      <w:r>
        <w:rPr>
          <w:rFonts w:eastAsia="方正仿宋简体"/>
          <w:sz w:val="33"/>
          <w:szCs w:val="33"/>
        </w:rPr>
        <w:t>年度预算时，围绕预算绩效管理的主要内容和环节，建立起涵盖预算绩效目标管理、预算绩效运行监控、预算绩效评价管理、评价结果应用等环节的流程、管理制度及实施细则，夯实了预算绩效管理的规制基础。不断推进预算绩效管理制度体系建设及运行，局机关</w:t>
      </w:r>
      <w:r>
        <w:rPr>
          <w:rFonts w:hint="eastAsia" w:eastAsia="方正仿宋简体"/>
          <w:sz w:val="33"/>
          <w:szCs w:val="33"/>
        </w:rPr>
        <w:t>及各科室</w:t>
      </w:r>
      <w:r>
        <w:rPr>
          <w:rFonts w:eastAsia="方正仿宋简体"/>
          <w:sz w:val="33"/>
          <w:szCs w:val="33"/>
        </w:rPr>
        <w:t>预算绩效管理意识明显增强，预算绩效管理主体责任显著强化，各</w:t>
      </w:r>
      <w:r>
        <w:rPr>
          <w:rFonts w:hint="eastAsia" w:eastAsia="方正仿宋简体"/>
          <w:sz w:val="33"/>
          <w:szCs w:val="33"/>
        </w:rPr>
        <w:t>科室</w:t>
      </w:r>
      <w:r>
        <w:rPr>
          <w:rFonts w:eastAsia="方正仿宋简体"/>
          <w:sz w:val="33"/>
          <w:szCs w:val="33"/>
        </w:rPr>
        <w:t>将预算绩效管理工作摆在重要位置、纳入议事日程、安排专职人员负责</w:t>
      </w:r>
      <w:r>
        <w:rPr>
          <w:rFonts w:hint="eastAsia" w:eastAsia="方正仿宋简体"/>
          <w:sz w:val="33"/>
          <w:szCs w:val="33"/>
        </w:rPr>
        <w:t>。</w:t>
      </w:r>
      <w:r>
        <w:rPr>
          <w:rFonts w:eastAsia="方正仿宋简体"/>
          <w:sz w:val="33"/>
          <w:szCs w:val="33"/>
        </w:rPr>
        <w:t>按照“细、实、准”的要求，提供预算依据，明确绩效目标、时间进度及资金使用明细。全年编制基本支出</w:t>
      </w:r>
      <w:r>
        <w:rPr>
          <w:rFonts w:hint="eastAsia" w:eastAsia="方正仿宋简体"/>
          <w:sz w:val="33"/>
          <w:szCs w:val="33"/>
        </w:rPr>
        <w:t>938.53</w:t>
      </w:r>
      <w:r>
        <w:rPr>
          <w:rFonts w:eastAsia="方正仿宋简体"/>
          <w:sz w:val="33"/>
          <w:szCs w:val="33"/>
        </w:rPr>
        <w:t>万元，其中临聘人员专项支出10万元。</w:t>
      </w:r>
      <w:r>
        <w:rPr>
          <w:rFonts w:eastAsia="方正仿宋简体"/>
          <w:b/>
          <w:bCs/>
          <w:sz w:val="33"/>
          <w:szCs w:val="33"/>
        </w:rPr>
        <w:t>二是</w:t>
      </w:r>
      <w:r>
        <w:rPr>
          <w:rFonts w:hint="eastAsia" w:eastAsia="方正仿宋简体"/>
          <w:b/>
          <w:bCs/>
          <w:sz w:val="33"/>
          <w:szCs w:val="33"/>
        </w:rPr>
        <w:t>强化绩效导向，严格过程管控</w:t>
      </w:r>
      <w:r>
        <w:rPr>
          <w:rFonts w:hint="eastAsia" w:eastAsia="方正仿宋简体"/>
          <w:sz w:val="33"/>
          <w:szCs w:val="33"/>
        </w:rPr>
        <w:t>。我局将绩效管理工作渗透到预算资金运行的事前、事中、事后各个环节，打造绩效管理的闭环。重点强化预算绩效目标管理，加强绩效指标</w:t>
      </w:r>
      <w:r>
        <w:rPr>
          <w:rFonts w:eastAsia="方正仿宋简体"/>
          <w:sz w:val="33"/>
          <w:szCs w:val="33"/>
        </w:rPr>
        <w:t>,</w:t>
      </w:r>
      <w:r>
        <w:rPr>
          <w:rFonts w:hint="eastAsia" w:eastAsia="方正仿宋简体"/>
          <w:sz w:val="33"/>
          <w:szCs w:val="33"/>
        </w:rPr>
        <w:t>将预算绩效目标管理前移至预算审核关口，以实现预算绩效目标管理与部门预算编制的有机结合</w:t>
      </w:r>
      <w:r>
        <w:rPr>
          <w:rFonts w:eastAsia="方正仿宋简体"/>
          <w:sz w:val="33"/>
          <w:szCs w:val="33"/>
        </w:rPr>
        <w:t>;</w:t>
      </w:r>
      <w:r>
        <w:rPr>
          <w:rFonts w:hint="eastAsia" w:eastAsia="方正仿宋简体"/>
          <w:sz w:val="33"/>
          <w:szCs w:val="33"/>
        </w:rPr>
        <w:t>通过强化预算绩效监控，确保重点项目财政资金落到实处</w:t>
      </w:r>
      <w:r>
        <w:rPr>
          <w:rFonts w:eastAsia="方正仿宋简体"/>
          <w:sz w:val="33"/>
          <w:szCs w:val="33"/>
        </w:rPr>
        <w:t>,</w:t>
      </w:r>
      <w:r>
        <w:rPr>
          <w:rFonts w:hint="eastAsia" w:eastAsia="方正仿宋简体"/>
          <w:sz w:val="33"/>
          <w:szCs w:val="33"/>
        </w:rPr>
        <w:t>对现代蚕桑产业园项目专项资金列入重点监控范围，在预算执行时，对项目预算执行进度、绩效目标实现程度进行跟踪管理，督促各项目预算单位尽快将资金量转化为实物量，加快财政资金预算执行进度，不断提高预算执行的均衡性和有效性。</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b/>
          <w:bCs/>
          <w:sz w:val="33"/>
          <w:szCs w:val="33"/>
        </w:rPr>
      </w:pPr>
      <w:r>
        <w:rPr>
          <w:rFonts w:eastAsia="方正仿宋简体"/>
          <w:sz w:val="33"/>
          <w:szCs w:val="33"/>
        </w:rPr>
        <w:t>存在不足:</w:t>
      </w:r>
      <w:r>
        <w:rPr>
          <w:rFonts w:eastAsia="方正仿宋简体"/>
          <w:b/>
          <w:bCs/>
          <w:sz w:val="33"/>
          <w:szCs w:val="33"/>
        </w:rPr>
        <w:t>一是绩效管理环节运行不够完善。</w:t>
      </w:r>
      <w:r>
        <w:rPr>
          <w:rFonts w:eastAsia="方正仿宋简体"/>
          <w:sz w:val="33"/>
          <w:szCs w:val="33"/>
        </w:rPr>
        <w:t>重考核办法和考核结果，轻绩效计划和绩效反馈，真正通过绩效管理提升工作效益的作用不明显。</w:t>
      </w:r>
      <w:r>
        <w:rPr>
          <w:rFonts w:eastAsia="方正仿宋简体"/>
          <w:b/>
          <w:bCs/>
          <w:sz w:val="33"/>
          <w:szCs w:val="33"/>
        </w:rPr>
        <w:t>二是绩效管理机构分工不够科学</w:t>
      </w:r>
      <w:r>
        <w:rPr>
          <w:rFonts w:eastAsia="方正仿宋简体"/>
          <w:sz w:val="33"/>
          <w:szCs w:val="33"/>
        </w:rPr>
        <w:t xml:space="preserve">。绩效管理工作大部分由财务科室开展，财务人员未实时参与各蚕桑项目的工作开展，无法全面把握项目运行情况及绩效监管。 </w:t>
      </w:r>
      <w:r>
        <w:rPr>
          <w:rFonts w:eastAsia="方正仿宋简体"/>
          <w:b/>
          <w:bCs/>
          <w:sz w:val="33"/>
          <w:szCs w:val="33"/>
        </w:rPr>
        <w:t>三是绩效管理</w:t>
      </w:r>
      <w:r>
        <w:rPr>
          <w:rFonts w:hint="eastAsia" w:eastAsia="方正仿宋简体"/>
          <w:b/>
          <w:bCs/>
          <w:sz w:val="33"/>
          <w:szCs w:val="33"/>
        </w:rPr>
        <w:t>执行力有待加强</w:t>
      </w:r>
      <w:r>
        <w:rPr>
          <w:rFonts w:eastAsia="方正仿宋简体"/>
          <w:b/>
          <w:bCs/>
          <w:sz w:val="33"/>
          <w:szCs w:val="33"/>
        </w:rPr>
        <w:t>。</w:t>
      </w:r>
      <w:r>
        <w:rPr>
          <w:rFonts w:eastAsia="方正仿宋简体"/>
          <w:sz w:val="33"/>
          <w:szCs w:val="33"/>
        </w:rPr>
        <w:t>制度执行不力,存在不到位的现象。虽然制定了各种管理制度，但由于人员编制紧张、工作量大等因素执行中存在一些畏难情绪，导致执行力度不够。</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b/>
          <w:bCs/>
          <w:sz w:val="33"/>
          <w:szCs w:val="33"/>
        </w:rPr>
      </w:pPr>
      <w:r>
        <w:rPr>
          <w:rFonts w:hint="eastAsia" w:ascii="方正黑体简体" w:hAnsi="方正黑体简体" w:eastAsia="方正黑体简体" w:cs="方正黑体简体"/>
          <w:sz w:val="33"/>
          <w:szCs w:val="33"/>
        </w:rPr>
        <w:t>四、</w:t>
      </w:r>
      <w:r>
        <w:rPr>
          <w:rFonts w:ascii="方正黑体简体" w:hAnsi="方正黑体简体" w:eastAsia="方正黑体简体" w:cs="方正黑体简体"/>
          <w:sz w:val="33"/>
          <w:szCs w:val="33"/>
        </w:rPr>
        <w:t>下一步工作打算和改进举措</w:t>
      </w:r>
    </w:p>
    <w:p>
      <w:pPr>
        <w:keepNext w:val="0"/>
        <w:keepLines w:val="0"/>
        <w:pageBreakBefore w:val="0"/>
        <w:widowControl/>
        <w:kinsoku/>
        <w:overflowPunct/>
        <w:topLinePunct w:val="0"/>
        <w:autoSpaceDE/>
        <w:autoSpaceDN/>
        <w:bidi w:val="0"/>
        <w:adjustRightInd/>
        <w:snapToGrid/>
        <w:spacing w:line="580" w:lineRule="exact"/>
        <w:ind w:firstLine="663" w:firstLineChars="200"/>
        <w:rPr>
          <w:rFonts w:eastAsia="方正仿宋简体"/>
          <w:sz w:val="33"/>
          <w:szCs w:val="33"/>
        </w:rPr>
      </w:pPr>
      <w:r>
        <w:rPr>
          <w:rFonts w:eastAsia="方正仿宋简体"/>
          <w:b/>
          <w:bCs/>
          <w:sz w:val="33"/>
          <w:szCs w:val="33"/>
        </w:rPr>
        <w:t>一是完善绩效管理机制。</w:t>
      </w:r>
      <w:r>
        <w:rPr>
          <w:rFonts w:eastAsia="方正仿宋简体"/>
          <w:sz w:val="33"/>
          <w:szCs w:val="33"/>
        </w:rPr>
        <w:t>建立单位、科室综合目标管理责任制，成立由单位领导担任组长的绩效管理工作小组，财务科室负责绩效目标管理综合工作，由各相关科室负责本科室具体绩效管理工作。</w:t>
      </w:r>
      <w:r>
        <w:rPr>
          <w:rFonts w:eastAsia="方正仿宋简体"/>
          <w:b/>
          <w:bCs/>
          <w:sz w:val="33"/>
          <w:szCs w:val="33"/>
        </w:rPr>
        <w:t>二是积极运用绩效评估结果。</w:t>
      </w:r>
      <w:r>
        <w:rPr>
          <w:rFonts w:eastAsia="方正仿宋简体"/>
          <w:sz w:val="33"/>
          <w:szCs w:val="33"/>
        </w:rPr>
        <w:t>高度重视绩效评估结果和反馈整改，激励优良、问责不足，以此作为以后年度预算的重要依据，切实发挥绩效评价工作应有的作用。</w:t>
      </w:r>
      <w:r>
        <w:rPr>
          <w:rFonts w:hint="eastAsia" w:eastAsia="方正仿宋简体"/>
          <w:b/>
          <w:bCs/>
          <w:sz w:val="33"/>
          <w:szCs w:val="33"/>
        </w:rPr>
        <w:t>三是</w:t>
      </w:r>
      <w:r>
        <w:rPr>
          <w:rFonts w:eastAsia="方正仿宋简体"/>
          <w:b/>
          <w:bCs/>
          <w:sz w:val="33"/>
          <w:szCs w:val="33"/>
        </w:rPr>
        <w:t>强化单位财务管理工作,提高资金使用效率。</w:t>
      </w:r>
      <w:r>
        <w:rPr>
          <w:rFonts w:eastAsia="方正仿宋简体"/>
          <w:sz w:val="33"/>
          <w:szCs w:val="33"/>
        </w:rPr>
        <w:t>按照年初预算项目,在资金的管理和使用上,守法律底线、纪律底线，严格</w:t>
      </w:r>
      <w:r>
        <w:rPr>
          <w:rFonts w:hint="eastAsia" w:eastAsia="方正仿宋简体"/>
          <w:sz w:val="33"/>
          <w:szCs w:val="33"/>
        </w:rPr>
        <w:t>执行</w:t>
      </w:r>
      <w:r>
        <w:rPr>
          <w:rFonts w:eastAsia="方正仿宋简体"/>
          <w:sz w:val="33"/>
          <w:szCs w:val="33"/>
        </w:rPr>
        <w:t>财经纪律，核算真实完整，项目资金支出和原定用途、预算批复用途相符,提高财政资金使用效率。严格执行财务管理制度，及时进行会计核算,对项目资金、政府采购进行公开公示，接受群众监督。</w:t>
      </w:r>
      <w:r>
        <w:rPr>
          <w:rFonts w:eastAsia="方正仿宋简体"/>
          <w:b/>
          <w:bCs/>
          <w:sz w:val="33"/>
          <w:szCs w:val="33"/>
        </w:rPr>
        <w:t>四是强化机制建设，夯实支撑力量</w:t>
      </w:r>
      <w:r>
        <w:rPr>
          <w:rFonts w:hint="eastAsia" w:eastAsia="方正仿宋简体"/>
          <w:b/>
          <w:bCs/>
          <w:sz w:val="33"/>
          <w:szCs w:val="33"/>
        </w:rPr>
        <w:t>。</w:t>
      </w:r>
      <w:r>
        <w:rPr>
          <w:rFonts w:eastAsia="方正仿宋简体"/>
          <w:sz w:val="33"/>
          <w:szCs w:val="33"/>
        </w:rPr>
        <w:t>深刻理解绩效管理工作重要性，把绩效管理工作列入单位年度重要工作清单，出台绩效目标管理办法，在职责分工、各环节要求上细化分解，为预算绩效目标管理提供基本遵循;搭建预算绩效管理信息平台，为绩效目标管理提供信息技术支撑。拓展管理范围，实现多维覆盖。按照“谁申请资金，谁设定目标”的原则，把绩效目标作为预算安排的前置条件，对纳入部门预算管理的资金项目实现绩效目标管理全覆盖。</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五、建议意见</w:t>
      </w:r>
    </w:p>
    <w:p>
      <w:pPr>
        <w:keepNext w:val="0"/>
        <w:keepLines w:val="0"/>
        <w:pageBreakBefore w:val="0"/>
        <w:widowControl/>
        <w:kinsoku/>
        <w:overflowPunct/>
        <w:topLinePunct w:val="0"/>
        <w:autoSpaceDE/>
        <w:autoSpaceDN/>
        <w:bidi w:val="0"/>
        <w:adjustRightInd/>
        <w:snapToGrid/>
        <w:spacing w:line="580" w:lineRule="exact"/>
        <w:ind w:firstLine="560" w:firstLineChars="200"/>
        <w:rPr>
          <w:rFonts w:hint="default" w:ascii="Times New Roman" w:hAnsi="Times New Roman" w:eastAsia="方正仿宋简体" w:cs="Times New Roman"/>
          <w:sz w:val="33"/>
          <w:szCs w:val="33"/>
        </w:rPr>
      </w:pPr>
      <w:r>
        <w:rPr>
          <w:rFonts w:hint="default" w:ascii="Times New Roman" w:hAnsi="Times New Roman" w:eastAsia="方正仿宋简体" w:cs="Times New Roman"/>
          <w:color w:val="000000"/>
          <w:kern w:val="0"/>
          <w:sz w:val="28"/>
          <w:szCs w:val="28"/>
        </w:rPr>
        <w:t>（</w:t>
      </w:r>
      <w:r>
        <w:rPr>
          <w:rFonts w:hint="default" w:ascii="Times New Roman" w:hAnsi="Times New Roman" w:eastAsia="方正仿宋简体" w:cs="Times New Roman"/>
          <w:sz w:val="33"/>
          <w:szCs w:val="33"/>
        </w:rPr>
        <w:t xml:space="preserve">一）加强项目全流程的项目管理，制定风险管控措施，有序推进项目实施。 </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hint="default" w:ascii="Times New Roman" w:hAnsi="Times New Roman" w:eastAsia="方正仿宋简体" w:cs="Times New Roman"/>
          <w:sz w:val="33"/>
          <w:szCs w:val="33"/>
        </w:rPr>
      </w:pPr>
      <w:r>
        <w:rPr>
          <w:rFonts w:hint="default" w:ascii="Times New Roman" w:hAnsi="Times New Roman" w:eastAsia="方正仿宋简体" w:cs="Times New Roman"/>
          <w:sz w:val="33"/>
          <w:szCs w:val="33"/>
        </w:rPr>
        <w:t>（二）细化预算内容，合理测算资金需求，明确项目单价标准，提高预算的可执行性；明确成本控制标准和措施，按照成本绩效管理要求，有效控制运行成本。</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hint="eastAsia" w:eastAsia="方正仿宋简体"/>
          <w:sz w:val="33"/>
          <w:szCs w:val="33"/>
        </w:rPr>
        <w:t>（三）</w:t>
      </w:r>
      <w:r>
        <w:rPr>
          <w:rFonts w:eastAsia="方正仿宋简体"/>
          <w:sz w:val="33"/>
          <w:szCs w:val="33"/>
        </w:rPr>
        <w:t>加强同行业交流。采取网上案例展示，行业学习培训等方式，加强与财政部门和行业内专家的互动,进</w:t>
      </w:r>
      <w:r>
        <w:rPr>
          <w:rFonts w:hint="eastAsia" w:eastAsia="方正仿宋简体"/>
          <w:sz w:val="33"/>
          <w:szCs w:val="33"/>
        </w:rPr>
        <w:t>一</w:t>
      </w:r>
      <w:r>
        <w:rPr>
          <w:rFonts w:eastAsia="方正仿宋简体"/>
          <w:sz w:val="33"/>
          <w:szCs w:val="33"/>
        </w:rPr>
        <w:t>步统</w:t>
      </w:r>
      <w:r>
        <w:rPr>
          <w:rFonts w:hint="eastAsia" w:eastAsia="方正仿宋简体"/>
          <w:sz w:val="33"/>
          <w:szCs w:val="33"/>
        </w:rPr>
        <w:t>一</w:t>
      </w:r>
      <w:r>
        <w:rPr>
          <w:rFonts w:eastAsia="方正仿宋简体"/>
          <w:sz w:val="33"/>
          <w:szCs w:val="33"/>
        </w:rPr>
        <w:t>认</w:t>
      </w:r>
      <w:r>
        <w:rPr>
          <w:rFonts w:hint="eastAsia" w:eastAsia="方正仿宋简体"/>
          <w:sz w:val="33"/>
          <w:szCs w:val="33"/>
        </w:rPr>
        <w:t>识，充实业务知识。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p>
    <w:p>
      <w:pPr>
        <w:keepNext w:val="0"/>
        <w:keepLines w:val="0"/>
        <w:pageBreakBefore w:val="0"/>
        <w:kinsoku/>
        <w:overflowPunct/>
        <w:topLinePunct w:val="0"/>
        <w:autoSpaceDE/>
        <w:autoSpaceDN/>
        <w:bidi w:val="0"/>
        <w:adjustRightInd/>
        <w:snapToGrid/>
        <w:spacing w:line="580" w:lineRule="exact"/>
        <w:rPr>
          <w:rFonts w:hint="default" w:ascii="Times New Roman" w:hAnsi="Times New Roman" w:eastAsia="方正仿宋简体" w:cs="Times New Roman"/>
          <w:sz w:val="33"/>
          <w:szCs w:val="33"/>
          <w:lang w:val="en-US" w:eastAsia="zh-CN"/>
        </w:rPr>
      </w:pPr>
      <w:r>
        <w:rPr>
          <w:rFonts w:hint="eastAsia" w:ascii="仿宋" w:hAnsi="仿宋" w:eastAsia="仿宋"/>
          <w:sz w:val="32"/>
          <w:szCs w:val="32"/>
        </w:rPr>
        <w:t>　　　</w:t>
      </w:r>
    </w:p>
    <w:p>
      <w:pPr>
        <w:keepNext w:val="0"/>
        <w:keepLines w:val="0"/>
        <w:pageBreakBefore w:val="0"/>
        <w:kinsoku/>
        <w:wordWrap w:val="0"/>
        <w:overflowPunct/>
        <w:topLinePunct w:val="0"/>
        <w:autoSpaceDE/>
        <w:autoSpaceDN/>
        <w:bidi w:val="0"/>
        <w:adjustRightInd/>
        <w:snapToGrid/>
        <w:spacing w:line="580" w:lineRule="exact"/>
        <w:jc w:val="right"/>
        <w:rPr>
          <w:rFonts w:hint="default" w:ascii="Times New Roman" w:hAnsi="Times New Roman" w:eastAsia="方正仿宋简体" w:cs="Times New Roman"/>
          <w:sz w:val="33"/>
          <w:szCs w:val="33"/>
          <w:lang w:val="en-US" w:eastAsia="zh-CN"/>
        </w:rPr>
      </w:pPr>
      <w:r>
        <w:rPr>
          <w:rFonts w:hint="default" w:ascii="Times New Roman" w:hAnsi="Times New Roman" w:eastAsia="方正仿宋简体" w:cs="Times New Roman"/>
          <w:sz w:val="33"/>
          <w:szCs w:val="33"/>
          <w:lang w:val="en-US" w:eastAsia="zh-CN"/>
        </w:rPr>
        <w:t>乐至县蚕桑局</w:t>
      </w:r>
      <w:r>
        <w:rPr>
          <w:rFonts w:hint="eastAsia" w:eastAsia="方正仿宋简体" w:cs="Times New Roman"/>
          <w:sz w:val="33"/>
          <w:szCs w:val="33"/>
          <w:lang w:val="en-US" w:eastAsia="zh-CN"/>
        </w:rPr>
        <w:t xml:space="preserve">          </w:t>
      </w:r>
    </w:p>
    <w:p>
      <w:pPr>
        <w:keepNext w:val="0"/>
        <w:keepLines w:val="0"/>
        <w:pageBreakBefore w:val="0"/>
        <w:kinsoku/>
        <w:wordWrap w:val="0"/>
        <w:overflowPunct/>
        <w:topLinePunct w:val="0"/>
        <w:autoSpaceDE/>
        <w:autoSpaceDN/>
        <w:bidi w:val="0"/>
        <w:adjustRightInd/>
        <w:snapToGrid/>
        <w:spacing w:line="580" w:lineRule="exact"/>
        <w:jc w:val="right"/>
        <w:rPr>
          <w:rFonts w:hint="default" w:ascii="Times New Roman" w:hAnsi="Times New Roman" w:eastAsia="方正仿宋简体" w:cs="Times New Roman"/>
          <w:sz w:val="33"/>
          <w:szCs w:val="33"/>
          <w:lang w:val="en-US" w:eastAsia="zh-CN"/>
        </w:rPr>
      </w:pPr>
      <w:r>
        <w:rPr>
          <w:rFonts w:hint="default" w:ascii="Times New Roman" w:hAnsi="Times New Roman" w:eastAsia="方正仿宋简体" w:cs="Times New Roman"/>
          <w:sz w:val="33"/>
          <w:szCs w:val="33"/>
          <w:lang w:val="en-US" w:eastAsia="zh-CN"/>
        </w:rPr>
        <w:t>2023年2月27日</w:t>
      </w:r>
      <w:r>
        <w:rPr>
          <w:rFonts w:hint="eastAsia" w:eastAsia="方正仿宋简体" w:cs="Times New Roman"/>
          <w:sz w:val="33"/>
          <w:szCs w:val="33"/>
          <w:lang w:val="en-US" w:eastAsia="zh-CN"/>
        </w:rPr>
        <w:t xml:space="preserve">       </w:t>
      </w:r>
    </w:p>
    <w:p>
      <w:pPr>
        <w:keepNext w:val="0"/>
        <w:keepLines w:val="0"/>
        <w:pageBreakBefore w:val="0"/>
        <w:kinsoku/>
        <w:overflowPunct/>
        <w:topLinePunct w:val="0"/>
        <w:autoSpaceDE/>
        <w:autoSpaceDN/>
        <w:bidi w:val="0"/>
        <w:adjustRightInd/>
        <w:snapToGrid/>
        <w:spacing w:line="580" w:lineRule="exact"/>
        <w:rPr>
          <w:rFonts w:hint="eastAsia"/>
          <w:lang w:val="en-US" w:eastAsia="zh-CN"/>
        </w:rPr>
      </w:pPr>
    </w:p>
    <w:p>
      <w:pPr>
        <w:keepNext w:val="0"/>
        <w:keepLines w:val="0"/>
        <w:pageBreakBefore w:val="0"/>
        <w:kinsoku/>
        <w:overflowPunct/>
        <w:topLinePunct w:val="0"/>
        <w:autoSpaceDE/>
        <w:autoSpaceDN/>
        <w:bidi w:val="0"/>
        <w:adjustRightInd/>
        <w:snapToGrid/>
        <w:spacing w:line="580" w:lineRule="exact"/>
        <w:rPr>
          <w:rFonts w:hint="eastAsia"/>
          <w:lang w:val="en-US" w:eastAsia="zh-CN"/>
        </w:rPr>
      </w:pPr>
    </w:p>
    <w:p>
      <w:pPr>
        <w:keepNext w:val="0"/>
        <w:keepLines w:val="0"/>
        <w:pageBreakBefore w:val="0"/>
        <w:kinsoku/>
        <w:overflowPunct/>
        <w:topLinePunct w:val="0"/>
        <w:autoSpaceDE/>
        <w:autoSpaceDN/>
        <w:bidi w:val="0"/>
        <w:adjustRightInd/>
        <w:snapToGrid/>
        <w:spacing w:line="580" w:lineRule="exact"/>
        <w:rPr>
          <w:rFonts w:hint="eastAsia"/>
          <w:lang w:val="en-US" w:eastAsia="zh-CN"/>
        </w:rPr>
      </w:pPr>
    </w:p>
    <w:p>
      <w:pPr>
        <w:keepNext w:val="0"/>
        <w:keepLines w:val="0"/>
        <w:pageBreakBefore w:val="0"/>
        <w:kinsoku/>
        <w:overflowPunct/>
        <w:topLinePunct w:val="0"/>
        <w:autoSpaceDE/>
        <w:autoSpaceDN/>
        <w:bidi w:val="0"/>
        <w:adjustRightInd/>
        <w:snapToGrid/>
        <w:spacing w:line="580" w:lineRule="exact"/>
        <w:rPr>
          <w:rFonts w:hint="eastAsia"/>
          <w:lang w:val="en-US" w:eastAsia="zh-CN"/>
        </w:rPr>
      </w:pPr>
    </w:p>
    <w:p>
      <w:pPr>
        <w:keepNext w:val="0"/>
        <w:keepLines w:val="0"/>
        <w:pageBreakBefore w:val="0"/>
        <w:kinsoku/>
        <w:overflowPunct/>
        <w:topLinePunct w:val="0"/>
        <w:autoSpaceDE/>
        <w:autoSpaceDN/>
        <w:bidi w:val="0"/>
        <w:adjustRightInd/>
        <w:snapToGrid/>
        <w:spacing w:line="580" w:lineRule="exact"/>
        <w:rPr>
          <w:rFonts w:hint="eastAsia"/>
          <w:lang w:val="en-US" w:eastAsia="zh-CN"/>
        </w:rPr>
      </w:pPr>
    </w:p>
    <w:p>
      <w:pPr>
        <w:keepNext w:val="0"/>
        <w:keepLines w:val="0"/>
        <w:pageBreakBefore w:val="0"/>
        <w:kinsoku/>
        <w:overflowPunct/>
        <w:topLinePunct w:val="0"/>
        <w:autoSpaceDE/>
        <w:autoSpaceDN/>
        <w:bidi w:val="0"/>
        <w:adjustRightInd/>
        <w:snapToGrid/>
        <w:spacing w:line="580" w:lineRule="exact"/>
        <w:rPr>
          <w:rFonts w:hint="eastAsia"/>
          <w:lang w:val="en-US" w:eastAsia="zh-CN"/>
        </w:rPr>
      </w:pPr>
    </w:p>
    <w:p>
      <w:pPr>
        <w:keepNext w:val="0"/>
        <w:keepLines w:val="0"/>
        <w:pageBreakBefore w:val="0"/>
        <w:tabs>
          <w:tab w:val="left" w:pos="968"/>
        </w:tabs>
        <w:kinsoku/>
        <w:overflowPunct/>
        <w:topLinePunct w:val="0"/>
        <w:autoSpaceDE/>
        <w:autoSpaceDN/>
        <w:bidi w:val="0"/>
        <w:adjustRightInd/>
        <w:snapToGrid/>
        <w:spacing w:line="580" w:lineRule="exact"/>
        <w:jc w:val="left"/>
        <w:rPr>
          <w:rFonts w:hint="eastAsia"/>
          <w:lang w:val="en-US" w:eastAsia="zh-CN"/>
        </w:rPr>
        <w:sectPr>
          <w:headerReference r:id="rId3" w:type="default"/>
          <w:footerReference r:id="rId4" w:type="default"/>
          <w:pgSz w:w="11906" w:h="16838"/>
          <w:pgMar w:top="2098" w:right="1474" w:bottom="1928" w:left="1588" w:header="851" w:footer="992" w:gutter="0"/>
          <w:cols w:space="720" w:num="1"/>
          <w:docGrid w:type="lines" w:linePitch="312" w:charSpace="0"/>
        </w:sectPr>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pPr>
    </w:p>
    <w:p>
      <w:pPr>
        <w:keepNext w:val="0"/>
        <w:keepLines w:val="0"/>
        <w:pageBreakBefore w:val="0"/>
        <w:kinsoku/>
        <w:overflowPunct/>
        <w:topLinePunct w:val="0"/>
        <w:autoSpaceDE/>
        <w:autoSpaceDN/>
        <w:bidi w:val="0"/>
        <w:adjustRightInd/>
        <w:snapToGrid/>
        <w:spacing w:line="580" w:lineRule="exact"/>
        <w:rPr>
          <w:rFonts w:ascii="方正仿宋简体" w:hAnsi="方正仿宋简体" w:eastAsia="方正仿宋简体" w:cs="方正仿宋简体"/>
          <w:sz w:val="33"/>
          <w:szCs w:val="33"/>
        </w:rPr>
      </w:pPr>
    </w:p>
    <w:p>
      <w:pPr>
        <w:keepNext w:val="0"/>
        <w:keepLines w:val="0"/>
        <w:pageBreakBefore w:val="0"/>
        <w:kinsoku/>
        <w:overflowPunct/>
        <w:topLinePunct w:val="0"/>
        <w:autoSpaceDE/>
        <w:autoSpaceDN/>
        <w:bidi w:val="0"/>
        <w:adjustRightInd/>
        <w:snapToGrid/>
        <w:spacing w:line="580" w:lineRule="exact"/>
        <w:ind w:firstLine="660" w:firstLineChars="200"/>
        <w:rPr>
          <w:rFonts w:ascii="方正仿宋简体" w:hAnsi="方正仿宋简体" w:eastAsia="方正仿宋简体" w:cs="方正仿宋简体"/>
          <w:sz w:val="33"/>
          <w:szCs w:val="33"/>
        </w:rPr>
      </w:pPr>
    </w:p>
    <w:p>
      <w:pPr>
        <w:keepNext w:val="0"/>
        <w:keepLines w:val="0"/>
        <w:pageBreakBefore w:val="0"/>
        <w:pBdr>
          <w:top w:val="single" w:color="auto" w:sz="4" w:space="0"/>
          <w:bottom w:val="single" w:color="auto" w:sz="4" w:space="0"/>
        </w:pBdr>
        <w:kinsoku/>
        <w:overflowPunct/>
        <w:topLinePunct w:val="0"/>
        <w:autoSpaceDE/>
        <w:autoSpaceDN/>
        <w:bidi w:val="0"/>
        <w:adjustRightInd/>
        <w:snapToGrid/>
        <w:spacing w:line="580" w:lineRule="exact"/>
        <w:ind w:firstLine="280" w:firstLineChars="100"/>
        <w:rPr>
          <w:rFonts w:eastAsia="方正仿宋简体"/>
          <w:color w:val="000000" w:themeColor="text1"/>
          <w:sz w:val="28"/>
          <w:szCs w:val="28"/>
        </w:rPr>
        <w:sectPr>
          <w:pgSz w:w="11906" w:h="16838"/>
          <w:pgMar w:top="1440" w:right="1800" w:bottom="1440" w:left="1800" w:header="851" w:footer="992" w:gutter="0"/>
          <w:cols w:space="425" w:num="1"/>
          <w:docGrid w:type="lines" w:linePitch="312" w:charSpace="0"/>
        </w:sectPr>
      </w:pPr>
      <w:r>
        <w:rPr>
          <w:rFonts w:hint="eastAsia" w:ascii="方正仿宋简体" w:hAnsi="方正仿宋简体" w:eastAsia="方正仿宋简体" w:cs="方正仿宋简体"/>
          <w:color w:val="000000" w:themeColor="text1"/>
          <w:sz w:val="28"/>
          <w:szCs w:val="28"/>
        </w:rPr>
        <w:t xml:space="preserve">乐至县蚕桑局办公室                  </w:t>
      </w:r>
      <w:r>
        <w:rPr>
          <w:rFonts w:eastAsia="方正仿宋简体"/>
          <w:color w:val="000000" w:themeColor="text1"/>
          <w:sz w:val="28"/>
          <w:szCs w:val="28"/>
        </w:rPr>
        <w:t xml:space="preserve"> 202</w:t>
      </w:r>
      <w:r>
        <w:rPr>
          <w:rFonts w:hint="eastAsia" w:eastAsia="方正仿宋简体"/>
          <w:color w:val="000000" w:themeColor="text1"/>
          <w:sz w:val="28"/>
          <w:szCs w:val="28"/>
        </w:rPr>
        <w:t>3</w:t>
      </w:r>
      <w:r>
        <w:rPr>
          <w:rFonts w:eastAsia="方正仿宋简体"/>
          <w:color w:val="000000" w:themeColor="text1"/>
          <w:sz w:val="28"/>
          <w:szCs w:val="28"/>
        </w:rPr>
        <w:t>年</w:t>
      </w:r>
      <w:r>
        <w:rPr>
          <w:rFonts w:hint="eastAsia" w:eastAsia="方正仿宋简体"/>
          <w:color w:val="000000" w:themeColor="text1"/>
          <w:sz w:val="28"/>
          <w:szCs w:val="28"/>
        </w:rPr>
        <w:t>2</w:t>
      </w:r>
      <w:r>
        <w:rPr>
          <w:rFonts w:eastAsia="方正仿宋简体"/>
          <w:color w:val="000000" w:themeColor="text1"/>
          <w:sz w:val="28"/>
          <w:szCs w:val="28"/>
        </w:rPr>
        <w:t>月</w:t>
      </w:r>
      <w:r>
        <w:rPr>
          <w:rFonts w:hint="eastAsia" w:eastAsia="方正仿宋简体"/>
          <w:color w:val="000000" w:themeColor="text1"/>
          <w:sz w:val="28"/>
          <w:szCs w:val="28"/>
        </w:rPr>
        <w:t>27</w:t>
      </w:r>
      <w:r>
        <w:rPr>
          <w:rFonts w:eastAsia="方正仿宋简体"/>
          <w:color w:val="000000" w:themeColor="text1"/>
          <w:sz w:val="28"/>
          <w:szCs w:val="28"/>
        </w:rPr>
        <w:t>日印发</w:t>
      </w:r>
    </w:p>
    <w:tbl>
      <w:tblPr>
        <w:tblW w:w="139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559"/>
        <w:gridCol w:w="985"/>
        <w:gridCol w:w="1993"/>
        <w:gridCol w:w="3550"/>
        <w:gridCol w:w="1019"/>
        <w:gridCol w:w="1065"/>
        <w:gridCol w:w="1664"/>
        <w:gridCol w:w="1065"/>
        <w:gridCol w:w="10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13979" w:type="dxa"/>
            <w:gridSpan w:val="9"/>
            <w:tcBorders>
              <w:top w:val="nil"/>
              <w:left w:val="nil"/>
              <w:bottom w:val="nil"/>
              <w:right w:val="nil"/>
            </w:tcBorders>
            <w:shd w:val="cle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bdr w:val="none" w:color="auto" w:sz="0" w:space="0"/>
                <w:lang w:val="en-US" w:eastAsia="zh-CN" w:bidi="ar"/>
              </w:rPr>
              <w:t>乐至县预算绩效管理工作考核评分表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5" w:hRule="atLeast"/>
        </w:trPr>
        <w:tc>
          <w:tcPr>
            <w:tcW w:w="13979" w:type="dxa"/>
            <w:gridSpan w:val="9"/>
            <w:tcBorders>
              <w:top w:val="nil"/>
              <w:left w:val="nil"/>
              <w:bottom w:val="nil"/>
              <w:right w:val="nil"/>
            </w:tcBorders>
            <w:shd w:val="clear"/>
            <w:vAlign w:val="center"/>
          </w:tcPr>
          <w:p>
            <w:pPr>
              <w:keepNext w:val="0"/>
              <w:keepLines w:val="0"/>
              <w:widowControl/>
              <w:suppressLineNumbers w:val="0"/>
              <w:jc w:val="center"/>
              <w:textAlignment w:val="center"/>
              <w:rPr>
                <w:rFonts w:ascii="方正楷体简体" w:hAnsi="方正楷体简体" w:eastAsia="方正楷体简体" w:cs="方正楷体简体"/>
                <w:b/>
                <w:bCs/>
                <w:i w:val="0"/>
                <w:iCs w:val="0"/>
                <w:color w:val="000000"/>
                <w:sz w:val="32"/>
                <w:szCs w:val="32"/>
                <w:u w:val="none"/>
              </w:rPr>
            </w:pPr>
            <w:r>
              <w:rPr>
                <w:rFonts w:hint="eastAsia" w:ascii="方正楷体简体" w:hAnsi="方正楷体简体" w:eastAsia="方正楷体简体" w:cs="方正楷体简体"/>
                <w:b/>
                <w:bCs/>
                <w:i w:val="0"/>
                <w:iCs w:val="0"/>
                <w:color w:val="000000"/>
                <w:kern w:val="0"/>
                <w:sz w:val="32"/>
                <w:szCs w:val="32"/>
                <w:u w:val="none"/>
                <w:bdr w:val="none" w:color="auto" w:sz="0" w:space="0"/>
                <w:lang w:val="en-US" w:eastAsia="zh-CN" w:bidi="ar"/>
              </w:rPr>
              <w:t>（</w:t>
            </w:r>
            <w:r>
              <w:rPr>
                <w:rStyle w:val="7"/>
                <w:rFonts w:eastAsia="方正楷体简体"/>
                <w:bdr w:val="none" w:color="auto" w:sz="0" w:space="0"/>
                <w:lang w:val="en-US" w:eastAsia="zh-CN" w:bidi="ar"/>
              </w:rPr>
              <w:t>2022</w:t>
            </w:r>
            <w:r>
              <w:rPr>
                <w:rStyle w:val="8"/>
                <w:rFonts w:ascii="宋体" w:hAnsi="宋体" w:eastAsia="宋体" w:cs="宋体"/>
                <w:sz w:val="24"/>
                <w:szCs w:val="24"/>
                <w:bdr w:val="none" w:color="auto" w:sz="0" w:space="0"/>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13979" w:type="dxa"/>
            <w:gridSpan w:val="9"/>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部门（单位）：乐至县蚕桑局</w:t>
            </w:r>
            <w:r>
              <w:rPr>
                <w:rStyle w:val="9"/>
                <w:rFonts w:eastAsia="宋体"/>
                <w:bdr w:val="none" w:color="auto" w:sz="0" w:space="0"/>
                <w:lang w:val="en-US" w:eastAsia="zh-CN" w:bidi="ar"/>
              </w:rPr>
              <w:t xml:space="preserve">    </w:t>
            </w:r>
            <w:r>
              <w:rPr>
                <w:rStyle w:val="10"/>
                <w:bdr w:val="none" w:color="auto" w:sz="0" w:space="0"/>
                <w:lang w:val="en-US" w:eastAsia="zh-CN" w:bidi="ar"/>
              </w:rPr>
              <w:t>填报时间：</w:t>
            </w:r>
            <w:r>
              <w:rPr>
                <w:rStyle w:val="9"/>
                <w:rFonts w:eastAsia="宋体"/>
                <w:bdr w:val="none" w:color="auto" w:sz="0" w:space="0"/>
                <w:lang w:val="en-US" w:eastAsia="zh-CN" w:bidi="ar"/>
              </w:rPr>
              <w:t xml:space="preserve"> 2023 </w:t>
            </w:r>
            <w:r>
              <w:rPr>
                <w:rStyle w:val="10"/>
                <w:bdr w:val="none" w:color="auto" w:sz="0" w:space="0"/>
                <w:lang w:val="en-US" w:eastAsia="zh-CN" w:bidi="ar"/>
              </w:rPr>
              <w:t>年</w:t>
            </w:r>
            <w:r>
              <w:rPr>
                <w:rStyle w:val="9"/>
                <w:rFonts w:eastAsia="宋体"/>
                <w:bdr w:val="none" w:color="auto" w:sz="0" w:space="0"/>
                <w:lang w:val="en-US" w:eastAsia="zh-CN" w:bidi="ar"/>
              </w:rPr>
              <w:t xml:space="preserve"> 2</w:t>
            </w:r>
            <w:r>
              <w:rPr>
                <w:rStyle w:val="10"/>
                <w:bdr w:val="none" w:color="auto" w:sz="0" w:space="0"/>
                <w:lang w:val="en-US" w:eastAsia="zh-CN" w:bidi="ar"/>
              </w:rPr>
              <w:t>月</w:t>
            </w:r>
            <w:r>
              <w:rPr>
                <w:rStyle w:val="9"/>
                <w:rFonts w:eastAsia="宋体"/>
                <w:bdr w:val="none" w:color="auto" w:sz="0" w:space="0"/>
                <w:lang w:val="en-US" w:eastAsia="zh-CN" w:bidi="ar"/>
              </w:rPr>
              <w:t xml:space="preserve"> 27 </w:t>
            </w:r>
            <w:r>
              <w:rPr>
                <w:rStyle w:val="10"/>
                <w:bdr w:val="none" w:color="auto" w:sz="0" w:space="0"/>
                <w:lang w:val="en-US" w:eastAsia="zh-CN" w:bidi="ar"/>
              </w:rPr>
              <w:t>日</w:t>
            </w:r>
            <w:r>
              <w:rPr>
                <w:rStyle w:val="9"/>
                <w:rFonts w:eastAsia="宋体"/>
                <w:bdr w:val="none" w:color="auto" w:sz="0" w:space="0"/>
                <w:lang w:val="en-US" w:eastAsia="zh-CN" w:bidi="ar"/>
              </w:rPr>
              <w:t xml:space="preserve">       </w:t>
            </w:r>
            <w:r>
              <w:rPr>
                <w:rStyle w:val="10"/>
                <w:bdr w:val="none" w:color="auto" w:sz="0" w:space="0"/>
                <w:lang w:val="en-US" w:eastAsia="zh-CN" w:bidi="ar"/>
              </w:rPr>
              <w:t>填报人：熊春燕</w:t>
            </w:r>
            <w:r>
              <w:rPr>
                <w:rStyle w:val="9"/>
                <w:rFonts w:eastAsia="宋体"/>
                <w:bdr w:val="none" w:color="auto" w:sz="0" w:space="0"/>
                <w:lang w:val="en-US" w:eastAsia="zh-CN" w:bidi="ar"/>
              </w:rPr>
              <w:t xml:space="preserve">       </w:t>
            </w:r>
            <w:r>
              <w:rPr>
                <w:rStyle w:val="10"/>
                <w:bdr w:val="none" w:color="auto" w:sz="0" w:space="0"/>
                <w:lang w:val="en-US" w:eastAsia="zh-CN" w:bidi="ar"/>
              </w:rPr>
              <w:t>职务：会计</w:t>
            </w:r>
            <w:r>
              <w:rPr>
                <w:rStyle w:val="9"/>
                <w:rFonts w:eastAsia="宋体"/>
                <w:bdr w:val="none" w:color="auto" w:sz="0" w:space="0"/>
                <w:lang w:val="en-US" w:eastAsia="zh-CN" w:bidi="ar"/>
              </w:rPr>
              <w:t xml:space="preserve">   </w:t>
            </w:r>
            <w:r>
              <w:rPr>
                <w:rStyle w:val="10"/>
                <w:bdr w:val="none" w:color="auto" w:sz="0" w:space="0"/>
                <w:lang w:val="en-US" w:eastAsia="zh-CN" w:bidi="ar"/>
              </w:rPr>
              <w:t>联系电话：</w:t>
            </w:r>
            <w:r>
              <w:rPr>
                <w:rStyle w:val="9"/>
                <w:rFonts w:eastAsia="宋体"/>
                <w:bdr w:val="none" w:color="auto" w:sz="0" w:space="0"/>
                <w:lang w:val="en-US" w:eastAsia="zh-CN" w:bidi="ar"/>
              </w:rPr>
              <w:t>26317535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20"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bdr w:val="none" w:color="auto" w:sz="0" w:space="0"/>
                <w:lang w:val="en-US" w:eastAsia="zh-CN" w:bidi="ar"/>
              </w:rPr>
              <w:t>考核内容</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bdr w:val="none" w:color="auto" w:sz="0" w:space="0"/>
                <w:lang w:val="en-US" w:eastAsia="zh-CN" w:bidi="ar"/>
              </w:rPr>
              <w:t>分值</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bdr w:val="none" w:color="auto" w:sz="0" w:space="0"/>
                <w:lang w:val="en-US" w:eastAsia="zh-CN" w:bidi="ar"/>
              </w:rPr>
              <w:t>佐证材料要求</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bdr w:val="none" w:color="auto" w:sz="0" w:space="0"/>
                <w:lang w:val="en-US" w:eastAsia="zh-CN" w:bidi="ar"/>
              </w:rPr>
              <w:t>计分标准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bdr w:val="none" w:color="auto" w:sz="0" w:space="0"/>
                <w:lang w:val="en-US" w:eastAsia="zh-CN" w:bidi="ar"/>
              </w:rPr>
              <w:t>是否附佐证材料</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bdr w:val="none" w:color="auto" w:sz="0" w:space="0"/>
                <w:lang w:val="en-US" w:eastAsia="zh-CN" w:bidi="ar"/>
              </w:rPr>
              <w:t>自评分数</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bdr w:val="none" w:color="auto" w:sz="0" w:space="0"/>
                <w:lang w:val="en-US" w:eastAsia="zh-CN" w:bidi="ar"/>
              </w:rPr>
              <w:t>自评依据及佐证材料简要说明</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bdr w:val="none" w:color="auto" w:sz="0" w:space="0"/>
                <w:lang w:val="en-US" w:eastAsia="zh-CN" w:bidi="ar"/>
              </w:rPr>
              <w:t>县财政局评定分数</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bdr w:val="none" w:color="auto" w:sz="0" w:space="0"/>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合计</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99.5</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一、基础管理</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15</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15</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36"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（一）领导重视</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会议记录</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党委（党组）专题研究预算绩效管理工作，听取预算绩效管理工作开展情况汇报，每次</w:t>
            </w:r>
            <w:r>
              <w:rPr>
                <w:rStyle w:val="12"/>
                <w:rFonts w:eastAsia="宋体"/>
                <w:bdr w:val="none" w:color="auto" w:sz="0" w:space="0"/>
                <w:lang w:val="en-US" w:eastAsia="zh-CN" w:bidi="ar"/>
              </w:rPr>
              <w:t>1.5</w:t>
            </w:r>
            <w:r>
              <w:rPr>
                <w:rStyle w:val="11"/>
                <w:bdr w:val="none" w:color="auto" w:sz="0" w:space="0"/>
                <w:lang w:val="en-US" w:eastAsia="zh-CN" w:bidi="ar"/>
              </w:rPr>
              <w:t>分，最多</w:t>
            </w:r>
            <w:r>
              <w:rPr>
                <w:rStyle w:val="12"/>
                <w:rFonts w:eastAsia="宋体"/>
                <w:bdr w:val="none" w:color="auto" w:sz="0" w:space="0"/>
                <w:lang w:val="en-US" w:eastAsia="zh-CN" w:bidi="ar"/>
              </w:rPr>
              <w:t>3</w:t>
            </w:r>
            <w:r>
              <w:rPr>
                <w:rStyle w:val="11"/>
                <w:bdr w:val="none" w:color="auto" w:sz="0" w:space="0"/>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（会议记录）领导专题研究绩效管理工作</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795"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正式文件</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r>
              <w:rPr>
                <w:rStyle w:val="11"/>
                <w:bdr w:val="none" w:color="auto" w:sz="0" w:space="0"/>
                <w:lang w:val="en-US" w:eastAsia="zh-CN" w:bidi="ar"/>
              </w:rPr>
              <w:t>成立预算绩效管理工作领导小组并由部门主要领导担任领导小组组长的得</w:t>
            </w:r>
            <w:r>
              <w:rPr>
                <w:rStyle w:val="12"/>
                <w:rFonts w:eastAsia="宋体"/>
                <w:bdr w:val="none" w:color="auto" w:sz="0" w:space="0"/>
                <w:lang w:val="en-US" w:eastAsia="zh-CN" w:bidi="ar"/>
              </w:rPr>
              <w:t>2</w:t>
            </w:r>
            <w:r>
              <w:rPr>
                <w:rStyle w:val="11"/>
                <w:bdr w:val="none" w:color="auto" w:sz="0" w:space="0"/>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成立领导小组的通知</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5"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（二）职责明确</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r>
              <w:rPr>
                <w:rStyle w:val="11"/>
                <w:bdr w:val="none" w:color="auto" w:sz="0" w:space="0"/>
                <w:lang w:val="en-US" w:eastAsia="zh-CN" w:bidi="ar"/>
              </w:rPr>
              <w:t>明确内部预算绩效管理工作牵头负责的股室并落实专人负责的得</w:t>
            </w:r>
            <w:r>
              <w:rPr>
                <w:rStyle w:val="12"/>
                <w:rFonts w:eastAsia="宋体"/>
                <w:bdr w:val="none" w:color="auto" w:sz="0" w:space="0"/>
                <w:lang w:val="en-US" w:eastAsia="zh-CN" w:bidi="ar"/>
              </w:rPr>
              <w:t>2</w:t>
            </w:r>
            <w:r>
              <w:rPr>
                <w:rStyle w:val="11"/>
                <w:bdr w:val="none" w:color="auto" w:sz="0" w:space="0"/>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成立领导小组的通知</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56"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（三）制度建设</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r>
              <w:rPr>
                <w:rStyle w:val="11"/>
                <w:bdr w:val="none" w:color="auto" w:sz="0" w:space="0"/>
                <w:lang w:val="en-US" w:eastAsia="zh-CN" w:bidi="ar"/>
              </w:rPr>
              <w:t>制定本系统预算绩效管理具体实施方案的得</w:t>
            </w:r>
            <w:r>
              <w:rPr>
                <w:rStyle w:val="12"/>
                <w:rFonts w:eastAsia="宋体"/>
                <w:bdr w:val="none" w:color="auto" w:sz="0" w:space="0"/>
                <w:lang w:val="en-US" w:eastAsia="zh-CN" w:bidi="ar"/>
              </w:rPr>
              <w:t>2</w:t>
            </w:r>
            <w:r>
              <w:rPr>
                <w:rStyle w:val="11"/>
                <w:bdr w:val="none" w:color="auto" w:sz="0" w:space="0"/>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预算绩效管理具体实施方案</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76"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6.</w:t>
            </w:r>
            <w:r>
              <w:rPr>
                <w:rStyle w:val="11"/>
                <w:bdr w:val="none" w:color="auto" w:sz="0" w:space="0"/>
                <w:lang w:val="en-US" w:eastAsia="zh-CN" w:bidi="ar"/>
              </w:rPr>
              <w:t>将内部业务股室、下属单位的预算绩效管理工作内容纳入本部门年度工作绩效考核的</w:t>
            </w:r>
            <w:r>
              <w:rPr>
                <w:rStyle w:val="12"/>
                <w:rFonts w:eastAsia="宋体"/>
                <w:bdr w:val="none" w:color="auto" w:sz="0" w:space="0"/>
                <w:lang w:val="en-US" w:eastAsia="zh-CN" w:bidi="ar"/>
              </w:rPr>
              <w:t>2</w:t>
            </w:r>
            <w:r>
              <w:rPr>
                <w:rStyle w:val="11"/>
                <w:bdr w:val="none" w:color="auto" w:sz="0" w:space="0"/>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乐至县蚕桑局预算绩效管理办法</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0"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（四）指标体系</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提供指标体系范本</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7.</w:t>
            </w:r>
            <w:r>
              <w:rPr>
                <w:rStyle w:val="11"/>
                <w:bdr w:val="none" w:color="auto" w:sz="0" w:space="0"/>
                <w:lang w:val="en-US" w:eastAsia="zh-CN" w:bidi="ar"/>
              </w:rPr>
              <w:t>研究建立本行业或本系统普遍适用的综合指标体系，每项</w:t>
            </w:r>
            <w:r>
              <w:rPr>
                <w:rStyle w:val="12"/>
                <w:rFonts w:eastAsia="宋体"/>
                <w:bdr w:val="none" w:color="auto" w:sz="0" w:space="0"/>
                <w:lang w:val="en-US" w:eastAsia="zh-CN" w:bidi="ar"/>
              </w:rPr>
              <w:t>1</w:t>
            </w:r>
            <w:r>
              <w:rPr>
                <w:rStyle w:val="11"/>
                <w:bdr w:val="none" w:color="auto" w:sz="0" w:space="0"/>
                <w:lang w:val="en-US" w:eastAsia="zh-CN" w:bidi="ar"/>
              </w:rPr>
              <w:t>分，最多</w:t>
            </w:r>
            <w:r>
              <w:rPr>
                <w:rStyle w:val="12"/>
                <w:rFonts w:eastAsia="宋体"/>
                <w:bdr w:val="none" w:color="auto" w:sz="0" w:space="0"/>
                <w:lang w:val="en-US" w:eastAsia="zh-CN" w:bidi="ar"/>
              </w:rPr>
              <w:t>4</w:t>
            </w:r>
            <w:r>
              <w:rPr>
                <w:rStyle w:val="11"/>
                <w:bdr w:val="none" w:color="auto" w:sz="0" w:space="0"/>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已建立指标体系</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二、过程管理</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74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73.5</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2"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（一）事前绩效评估管理</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w:t>
            </w:r>
            <w:r>
              <w:rPr>
                <w:rStyle w:val="12"/>
                <w:rFonts w:eastAsia="宋体"/>
                <w:bdr w:val="none" w:color="auto" w:sz="0" w:space="0"/>
                <w:lang w:val="en-US" w:eastAsia="zh-CN" w:bidi="ar"/>
              </w:rPr>
              <w:t>2022</w:t>
            </w:r>
            <w:r>
              <w:rPr>
                <w:rStyle w:val="11"/>
                <w:bdr w:val="none" w:color="auto" w:sz="0" w:space="0"/>
                <w:lang w:val="en-US" w:eastAsia="zh-CN" w:bidi="ar"/>
              </w:rPr>
              <w:t>年度预算项目支出明细表（含年初预算和调整预算项目）；</w:t>
            </w:r>
            <w:r>
              <w:rPr>
                <w:rStyle w:val="12"/>
                <w:rFonts w:eastAsia="宋体"/>
                <w:bdr w:val="none" w:color="auto" w:sz="0" w:space="0"/>
                <w:lang w:val="en-US" w:eastAsia="zh-CN" w:bidi="ar"/>
              </w:rPr>
              <w:t>2</w:t>
            </w:r>
            <w:r>
              <w:rPr>
                <w:rStyle w:val="11"/>
                <w:bdr w:val="none" w:color="auto" w:sz="0" w:space="0"/>
                <w:lang w:val="en-US" w:eastAsia="zh-CN" w:bidi="ar"/>
              </w:rPr>
              <w:t>、提供符合评估条件的项目事前绩效评估报告</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8.</w:t>
            </w:r>
            <w:r>
              <w:rPr>
                <w:rStyle w:val="11"/>
                <w:bdr w:val="none" w:color="auto" w:sz="0" w:space="0"/>
                <w:lang w:val="en-US" w:eastAsia="zh-CN" w:bidi="ar"/>
              </w:rPr>
              <w:t>按规定全面开展政策、项目事前绩效评估的得</w:t>
            </w:r>
            <w:r>
              <w:rPr>
                <w:rStyle w:val="12"/>
                <w:rFonts w:eastAsia="宋体"/>
                <w:bdr w:val="none" w:color="auto" w:sz="0" w:space="0"/>
                <w:lang w:val="en-US" w:eastAsia="zh-CN" w:bidi="ar"/>
              </w:rPr>
              <w:t>10</w:t>
            </w:r>
            <w:r>
              <w:rPr>
                <w:rStyle w:val="11"/>
                <w:bdr w:val="none" w:color="auto" w:sz="0" w:space="0"/>
                <w:lang w:val="en-US" w:eastAsia="zh-CN" w:bidi="ar"/>
              </w:rPr>
              <w:t>分，每少一项扣</w:t>
            </w:r>
            <w:r>
              <w:rPr>
                <w:rStyle w:val="12"/>
                <w:rFonts w:eastAsia="宋体"/>
                <w:bdr w:val="none" w:color="auto" w:sz="0" w:space="0"/>
                <w:lang w:val="en-US" w:eastAsia="zh-CN" w:bidi="ar"/>
              </w:rPr>
              <w:t>1</w:t>
            </w:r>
            <w:r>
              <w:rPr>
                <w:rStyle w:val="11"/>
                <w:bdr w:val="none" w:color="auto" w:sz="0" w:space="0"/>
                <w:lang w:val="en-US" w:eastAsia="zh-CN" w:bidi="ar"/>
              </w:rPr>
              <w:t>分，扣完为止。</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每个项目都已做绩效评估</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如全年无达到评估条件的项目，则该项作为缺省项，并单独标注说明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0"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（二）绩效目标管理</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10"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、申报时间</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bdr w:val="none" w:color="auto" w:sz="0" w:space="0"/>
                <w:lang w:val="en-US" w:eastAsia="zh-CN" w:bidi="ar"/>
              </w:rPr>
              <w:t>该项无需提供佐证资料，</w:t>
            </w:r>
            <w:r>
              <w:rPr>
                <w:rStyle w:val="11"/>
                <w:bdr w:val="none" w:color="auto" w:sz="0" w:space="0"/>
                <w:lang w:val="en-US" w:eastAsia="zh-CN" w:bidi="ar"/>
              </w:rPr>
              <w:t>按照县财政局日常掌握情况综合评定</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9.</w:t>
            </w:r>
            <w:r>
              <w:rPr>
                <w:rStyle w:val="11"/>
                <w:bdr w:val="none" w:color="auto" w:sz="0" w:space="0"/>
                <w:lang w:val="en-US" w:eastAsia="zh-CN" w:bidi="ar"/>
              </w:rPr>
              <w:t>在规定时间内报送部门整体和项目（政策）绩效目标的得</w:t>
            </w:r>
            <w:r>
              <w:rPr>
                <w:rStyle w:val="12"/>
                <w:rFonts w:eastAsia="宋体"/>
                <w:bdr w:val="none" w:color="auto" w:sz="0" w:space="0"/>
                <w:lang w:val="en-US" w:eastAsia="zh-CN" w:bidi="ar"/>
              </w:rPr>
              <w:t>2</w:t>
            </w:r>
            <w:r>
              <w:rPr>
                <w:rStyle w:val="11"/>
                <w:bdr w:val="none" w:color="auto" w:sz="0" w:space="0"/>
                <w:lang w:val="en-US" w:eastAsia="zh-CN" w:bidi="ar"/>
              </w:rPr>
              <w:t>分，逾期报送一天扣</w:t>
            </w:r>
            <w:r>
              <w:rPr>
                <w:rStyle w:val="12"/>
                <w:rFonts w:eastAsia="宋体"/>
                <w:bdr w:val="none" w:color="auto" w:sz="0" w:space="0"/>
                <w:lang w:val="en-US" w:eastAsia="zh-CN" w:bidi="ar"/>
              </w:rPr>
              <w:t>0.5</w:t>
            </w:r>
            <w:r>
              <w:rPr>
                <w:rStyle w:val="11"/>
                <w:bdr w:val="none" w:color="auto" w:sz="0" w:space="0"/>
                <w:lang w:val="en-US" w:eastAsia="zh-CN" w:bidi="ar"/>
              </w:rPr>
              <w:t>分，扣完为止。</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全部按时报送</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50"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r>
              <w:rPr>
                <w:rStyle w:val="11"/>
                <w:bdr w:val="none" w:color="auto" w:sz="0" w:space="0"/>
                <w:lang w:val="en-US" w:eastAsia="zh-CN" w:bidi="ar"/>
              </w:rPr>
              <w:t>、申报规模</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w:t>
            </w:r>
            <w:r>
              <w:rPr>
                <w:rStyle w:val="12"/>
                <w:rFonts w:eastAsia="宋体"/>
                <w:bdr w:val="none" w:color="auto" w:sz="0" w:space="0"/>
                <w:lang w:val="en-US" w:eastAsia="zh-CN" w:bidi="ar"/>
              </w:rPr>
              <w:t>2022</w:t>
            </w:r>
            <w:r>
              <w:rPr>
                <w:rStyle w:val="11"/>
                <w:bdr w:val="none" w:color="auto" w:sz="0" w:space="0"/>
                <w:lang w:val="en-US" w:eastAsia="zh-CN" w:bidi="ar"/>
              </w:rPr>
              <w:t>年度预算项目支出明细表（含年初预算和调整预算项目）；</w:t>
            </w:r>
            <w:r>
              <w:rPr>
                <w:rStyle w:val="12"/>
                <w:rFonts w:eastAsia="宋体"/>
                <w:bdr w:val="none" w:color="auto" w:sz="0" w:space="0"/>
                <w:lang w:val="en-US" w:eastAsia="zh-CN" w:bidi="ar"/>
              </w:rPr>
              <w:t>2</w:t>
            </w:r>
            <w:r>
              <w:rPr>
                <w:rStyle w:val="11"/>
                <w:bdr w:val="none" w:color="auto" w:sz="0" w:space="0"/>
                <w:lang w:val="en-US" w:eastAsia="zh-CN" w:bidi="ar"/>
              </w:rPr>
              <w:t>、项目绩效目标申报表</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10.</w:t>
            </w:r>
            <w:r>
              <w:rPr>
                <w:rStyle w:val="11"/>
                <w:bdr w:val="none" w:color="auto" w:sz="0" w:space="0"/>
                <w:lang w:val="en-US" w:eastAsia="zh-CN" w:bidi="ar"/>
              </w:rPr>
              <w:t>部门（单位）年度申报绩效目标项目资金额占部门（单位）申报项目预算资金额的比例</w:t>
            </w:r>
            <w:r>
              <w:rPr>
                <w:rStyle w:val="12"/>
                <w:rFonts w:eastAsia="宋体"/>
                <w:bdr w:val="none" w:color="auto" w:sz="0" w:space="0"/>
                <w:lang w:val="en-US" w:eastAsia="zh-CN" w:bidi="ar"/>
              </w:rPr>
              <w:t>*4</w:t>
            </w:r>
            <w:r>
              <w:rPr>
                <w:rStyle w:val="11"/>
                <w:bdr w:val="none" w:color="auto" w:sz="0" w:space="0"/>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50"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r>
              <w:rPr>
                <w:rStyle w:val="11"/>
                <w:bdr w:val="none" w:color="auto" w:sz="0" w:space="0"/>
                <w:lang w:val="en-US" w:eastAsia="zh-CN" w:bidi="ar"/>
              </w:rPr>
              <w:t>、申报质量</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9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w:t>
            </w:r>
            <w:r>
              <w:rPr>
                <w:rStyle w:val="12"/>
                <w:rFonts w:eastAsia="宋体"/>
                <w:bdr w:val="none" w:color="auto" w:sz="0" w:space="0"/>
                <w:lang w:val="en-US" w:eastAsia="zh-CN" w:bidi="ar"/>
              </w:rPr>
              <w:t>2022</w:t>
            </w:r>
            <w:r>
              <w:rPr>
                <w:rStyle w:val="11"/>
                <w:bdr w:val="none" w:color="auto" w:sz="0" w:space="0"/>
                <w:lang w:val="en-US" w:eastAsia="zh-CN" w:bidi="ar"/>
              </w:rPr>
              <w:t>年度预算项目支出明细表（含年初预算和调整预算项目）；</w:t>
            </w:r>
            <w:r>
              <w:rPr>
                <w:rStyle w:val="12"/>
                <w:rFonts w:eastAsia="宋体"/>
                <w:bdr w:val="none" w:color="auto" w:sz="0" w:space="0"/>
                <w:lang w:val="en-US" w:eastAsia="zh-CN" w:bidi="ar"/>
              </w:rPr>
              <w:t>2</w:t>
            </w:r>
            <w:r>
              <w:rPr>
                <w:rStyle w:val="11"/>
                <w:bdr w:val="none" w:color="auto" w:sz="0" w:space="0"/>
                <w:lang w:val="en-US" w:eastAsia="zh-CN" w:bidi="ar"/>
              </w:rPr>
              <w:t>、项目绩效目标申报表；</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11.</w:t>
            </w:r>
            <w:r>
              <w:rPr>
                <w:rStyle w:val="11"/>
                <w:bdr w:val="none" w:color="auto" w:sz="0" w:space="0"/>
                <w:lang w:val="en-US" w:eastAsia="zh-CN" w:bidi="ar"/>
              </w:rPr>
              <w:t>申报的部门整体和项目（政策）绩效目标符合规定的格式要求，相关内容完整的得</w:t>
            </w:r>
            <w:r>
              <w:rPr>
                <w:rStyle w:val="12"/>
                <w:rFonts w:eastAsia="宋体"/>
                <w:bdr w:val="none" w:color="auto" w:sz="0" w:space="0"/>
                <w:lang w:val="en-US" w:eastAsia="zh-CN" w:bidi="ar"/>
              </w:rPr>
              <w:t>3</w:t>
            </w:r>
            <w:r>
              <w:rPr>
                <w:rStyle w:val="11"/>
                <w:bdr w:val="none" w:color="auto" w:sz="0" w:space="0"/>
                <w:lang w:val="en-US" w:eastAsia="zh-CN" w:bidi="ar"/>
              </w:rPr>
              <w:t>分；缺失一项内容扣</w:t>
            </w:r>
            <w:r>
              <w:rPr>
                <w:rStyle w:val="12"/>
                <w:rFonts w:eastAsia="宋体"/>
                <w:bdr w:val="none" w:color="auto" w:sz="0" w:space="0"/>
                <w:lang w:val="en-US" w:eastAsia="zh-CN" w:bidi="ar"/>
              </w:rPr>
              <w:t>1</w:t>
            </w:r>
            <w:r>
              <w:rPr>
                <w:rStyle w:val="11"/>
                <w:bdr w:val="none" w:color="auto" w:sz="0" w:space="0"/>
                <w:lang w:val="en-US" w:eastAsia="zh-CN" w:bidi="ar"/>
              </w:rPr>
              <w:t>分，扣完为止。</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报送资料及时且符合要求</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65"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9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12.</w:t>
            </w:r>
            <w:r>
              <w:rPr>
                <w:rStyle w:val="11"/>
                <w:bdr w:val="none" w:color="auto" w:sz="0" w:space="0"/>
                <w:lang w:val="en-US" w:eastAsia="zh-CN" w:bidi="ar"/>
              </w:rPr>
              <w:t>部门整体和项目（政策）绩效目标的设定符合自身特点的</w:t>
            </w:r>
            <w:r>
              <w:rPr>
                <w:rStyle w:val="12"/>
                <w:rFonts w:eastAsia="宋体"/>
                <w:bdr w:val="none" w:color="auto" w:sz="0" w:space="0"/>
                <w:lang w:val="en-US" w:eastAsia="zh-CN" w:bidi="ar"/>
              </w:rPr>
              <w:t>1.5</w:t>
            </w:r>
            <w:r>
              <w:rPr>
                <w:rStyle w:val="11"/>
                <w:bdr w:val="none" w:color="auto" w:sz="0" w:space="0"/>
                <w:lang w:val="en-US" w:eastAsia="zh-CN" w:bidi="ar"/>
              </w:rPr>
              <w:t>分；部门整体和项目（政策）绩效目标的描述清楚明确的</w:t>
            </w:r>
            <w:r>
              <w:rPr>
                <w:rStyle w:val="12"/>
                <w:rFonts w:eastAsia="宋体"/>
                <w:bdr w:val="none" w:color="auto" w:sz="0" w:space="0"/>
                <w:lang w:val="en-US" w:eastAsia="zh-CN" w:bidi="ar"/>
              </w:rPr>
              <w:t>1.5</w:t>
            </w:r>
            <w:r>
              <w:rPr>
                <w:rStyle w:val="11"/>
                <w:bdr w:val="none" w:color="auto" w:sz="0" w:space="0"/>
                <w:lang w:val="en-US" w:eastAsia="zh-CN" w:bidi="ar"/>
              </w:rPr>
              <w:t>分。否则不得分。最多</w:t>
            </w:r>
            <w:r>
              <w:rPr>
                <w:rStyle w:val="12"/>
                <w:rFonts w:eastAsia="宋体"/>
                <w:bdr w:val="none" w:color="auto" w:sz="0" w:space="0"/>
                <w:lang w:val="en-US" w:eastAsia="zh-CN" w:bidi="ar"/>
              </w:rPr>
              <w:t>3</w:t>
            </w:r>
            <w:r>
              <w:rPr>
                <w:rStyle w:val="11"/>
                <w:bdr w:val="none" w:color="auto" w:sz="0" w:space="0"/>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665"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符合</w:t>
            </w:r>
            <w:r>
              <w:rPr>
                <w:rStyle w:val="11"/>
                <w:bdr w:val="none" w:color="auto" w:sz="0" w:space="0"/>
                <w:lang w:val="en-US" w:eastAsia="zh-CN" w:bidi="ar"/>
              </w:rPr>
              <w:t>自身特点，描述明清楚确</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90"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9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13.</w:t>
            </w:r>
            <w:r>
              <w:rPr>
                <w:rStyle w:val="11"/>
                <w:bdr w:val="none" w:color="auto" w:sz="0" w:space="0"/>
                <w:lang w:val="en-US" w:eastAsia="zh-CN" w:bidi="ar"/>
              </w:rPr>
              <w:t>部门整体和项目（政策）绩效指标细化、量化，能清晰反映绩效实现程度。其中，绩效指标细化到三级或三级以上的，得</w:t>
            </w:r>
            <w:r>
              <w:rPr>
                <w:rStyle w:val="12"/>
                <w:rFonts w:eastAsia="宋体"/>
                <w:bdr w:val="none" w:color="auto" w:sz="0" w:space="0"/>
                <w:lang w:val="en-US" w:eastAsia="zh-CN" w:bidi="ar"/>
              </w:rPr>
              <w:t>2</w:t>
            </w:r>
            <w:r>
              <w:rPr>
                <w:rStyle w:val="11"/>
                <w:bdr w:val="none" w:color="auto" w:sz="0" w:space="0"/>
                <w:lang w:val="en-US" w:eastAsia="zh-CN" w:bidi="ar"/>
              </w:rPr>
              <w:t>分；细化到二级的得</w:t>
            </w:r>
            <w:r>
              <w:rPr>
                <w:rStyle w:val="12"/>
                <w:rFonts w:eastAsia="宋体"/>
                <w:bdr w:val="none" w:color="auto" w:sz="0" w:space="0"/>
                <w:lang w:val="en-US" w:eastAsia="zh-CN" w:bidi="ar"/>
              </w:rPr>
              <w:t>1</w:t>
            </w:r>
            <w:r>
              <w:rPr>
                <w:rStyle w:val="11"/>
                <w:bdr w:val="none" w:color="auto" w:sz="0" w:space="0"/>
                <w:lang w:val="en-US" w:eastAsia="zh-CN" w:bidi="ar"/>
              </w:rPr>
              <w:t>分。该项得分</w:t>
            </w:r>
            <w:r>
              <w:rPr>
                <w:rStyle w:val="12"/>
                <w:rFonts w:eastAsia="宋体"/>
                <w:bdr w:val="none" w:color="auto" w:sz="0" w:space="0"/>
                <w:lang w:val="en-US" w:eastAsia="zh-CN" w:bidi="ar"/>
              </w:rPr>
              <w:t>=</w:t>
            </w:r>
            <w:r>
              <w:rPr>
                <w:rStyle w:val="11"/>
                <w:bdr w:val="none" w:color="auto" w:sz="0" w:space="0"/>
                <w:lang w:val="en-US" w:eastAsia="zh-CN" w:bidi="ar"/>
              </w:rPr>
              <w:t>（三级或三级以上绩效指标个数</w:t>
            </w:r>
            <w:r>
              <w:rPr>
                <w:rStyle w:val="12"/>
                <w:rFonts w:eastAsia="宋体"/>
                <w:bdr w:val="none" w:color="auto" w:sz="0" w:space="0"/>
                <w:lang w:val="en-US" w:eastAsia="zh-CN" w:bidi="ar"/>
              </w:rPr>
              <w:t>*2+</w:t>
            </w:r>
            <w:r>
              <w:rPr>
                <w:rStyle w:val="11"/>
                <w:bdr w:val="none" w:color="auto" w:sz="0" w:space="0"/>
                <w:lang w:val="en-US" w:eastAsia="zh-CN" w:bidi="ar"/>
              </w:rPr>
              <w:t>二级绩效指标个数</w:t>
            </w:r>
            <w:r>
              <w:rPr>
                <w:rStyle w:val="12"/>
                <w:rFonts w:eastAsia="宋体"/>
                <w:bdr w:val="none" w:color="auto" w:sz="0" w:space="0"/>
                <w:lang w:val="en-US" w:eastAsia="zh-CN" w:bidi="ar"/>
              </w:rPr>
              <w:t>*1</w:t>
            </w:r>
            <w:r>
              <w:rPr>
                <w:rStyle w:val="11"/>
                <w:bdr w:val="none" w:color="auto" w:sz="0" w:space="0"/>
                <w:lang w:val="en-US" w:eastAsia="zh-CN" w:bidi="ar"/>
              </w:rPr>
              <w:t>）</w:t>
            </w:r>
            <w:r>
              <w:rPr>
                <w:rStyle w:val="12"/>
                <w:rFonts w:eastAsia="宋体"/>
                <w:bdr w:val="none" w:color="auto" w:sz="0" w:space="0"/>
                <w:lang w:val="en-US" w:eastAsia="zh-CN" w:bidi="ar"/>
              </w:rPr>
              <w:t>/</w:t>
            </w:r>
            <w:r>
              <w:rPr>
                <w:rStyle w:val="11"/>
                <w:bdr w:val="none" w:color="auto" w:sz="0" w:space="0"/>
                <w:lang w:val="en-US" w:eastAsia="zh-CN" w:bidi="ar"/>
              </w:rPr>
              <w:t>绩效指标总个数。</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665"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绩效指标</w:t>
            </w:r>
            <w:r>
              <w:rPr>
                <w:rStyle w:val="11"/>
                <w:bdr w:val="none" w:color="auto" w:sz="0" w:space="0"/>
                <w:lang w:val="en-US" w:eastAsia="zh-CN" w:bidi="ar"/>
              </w:rPr>
              <w:t>都细化到</w:t>
            </w:r>
            <w:r>
              <w:rPr>
                <w:rStyle w:val="13"/>
                <w:rFonts w:eastAsia="宋体"/>
                <w:bdr w:val="none" w:color="auto" w:sz="0" w:space="0"/>
                <w:lang w:val="en-US" w:eastAsia="zh-CN" w:bidi="ar"/>
              </w:rPr>
              <w:t>3</w:t>
            </w:r>
            <w:r>
              <w:rPr>
                <w:rStyle w:val="11"/>
                <w:bdr w:val="none" w:color="auto" w:sz="0" w:space="0"/>
                <w:lang w:val="en-US" w:eastAsia="zh-CN" w:bidi="ar"/>
              </w:rPr>
              <w:t>级</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5"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9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14.</w:t>
            </w:r>
            <w:r>
              <w:rPr>
                <w:rStyle w:val="11"/>
                <w:bdr w:val="none" w:color="auto" w:sz="0" w:space="0"/>
                <w:lang w:val="en-US" w:eastAsia="zh-CN" w:bidi="ar"/>
              </w:rPr>
              <w:t>绩效目标设定依据充分、符合相关法律法规、国家相关规定的得</w:t>
            </w:r>
            <w:r>
              <w:rPr>
                <w:rStyle w:val="12"/>
                <w:rFonts w:eastAsia="宋体"/>
                <w:bdr w:val="none" w:color="auto" w:sz="0" w:space="0"/>
                <w:lang w:val="en-US" w:eastAsia="zh-CN" w:bidi="ar"/>
              </w:rPr>
              <w:t>3</w:t>
            </w:r>
            <w:r>
              <w:rPr>
                <w:rStyle w:val="11"/>
                <w:bdr w:val="none" w:color="auto" w:sz="0" w:space="0"/>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665"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绩效目标设定依据充分、符合规定</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0"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（三）绩效监控管理</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9</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1050"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、实施绩效监控</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bdr w:val="none" w:color="auto" w:sz="0" w:space="0"/>
                <w:lang w:val="en-US" w:eastAsia="zh-CN" w:bidi="ar"/>
              </w:rPr>
              <w:t>该项无需提供佐证资料</w:t>
            </w:r>
            <w:r>
              <w:rPr>
                <w:rStyle w:val="11"/>
                <w:bdr w:val="none" w:color="auto" w:sz="0" w:space="0"/>
                <w:lang w:val="en-US" w:eastAsia="zh-CN" w:bidi="ar"/>
              </w:rPr>
              <w:t>，按照县财政局日常掌握情况综合评定</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15.</w:t>
            </w:r>
            <w:r>
              <w:rPr>
                <w:rStyle w:val="11"/>
                <w:bdr w:val="none" w:color="auto" w:sz="0" w:space="0"/>
                <w:lang w:val="en-US" w:eastAsia="zh-CN" w:bidi="ar"/>
              </w:rPr>
              <w:t>按财政部门要求，定期采集绩效运行和收支执行的信息进行汇总分析，并及时向财政部门报送监控信息，得</w:t>
            </w:r>
            <w:r>
              <w:rPr>
                <w:rStyle w:val="12"/>
                <w:rFonts w:eastAsia="宋体"/>
                <w:bdr w:val="none" w:color="auto" w:sz="0" w:space="0"/>
                <w:lang w:val="en-US" w:eastAsia="zh-CN" w:bidi="ar"/>
              </w:rPr>
              <w:t>2</w:t>
            </w:r>
            <w:r>
              <w:rPr>
                <w:rStyle w:val="11"/>
                <w:bdr w:val="none" w:color="auto" w:sz="0" w:space="0"/>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报送资料及时且符合要求</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0"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9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FF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w:t>
            </w:r>
            <w:r>
              <w:rPr>
                <w:rStyle w:val="11"/>
                <w:bdr w:val="none" w:color="auto" w:sz="0" w:space="0"/>
                <w:lang w:val="en-US" w:eastAsia="zh-CN" w:bidi="ar"/>
              </w:rPr>
              <w:t>绩效监控覆盖面得分</w:t>
            </w:r>
            <w:r>
              <w:rPr>
                <w:rStyle w:val="12"/>
                <w:rFonts w:eastAsia="宋体"/>
                <w:bdr w:val="none" w:color="auto" w:sz="0" w:space="0"/>
                <w:lang w:val="en-US" w:eastAsia="zh-CN" w:bidi="ar"/>
              </w:rPr>
              <w:t>=</w:t>
            </w:r>
            <w:r>
              <w:rPr>
                <w:rStyle w:val="11"/>
                <w:bdr w:val="none" w:color="auto" w:sz="0" w:space="0"/>
                <w:lang w:val="en-US" w:eastAsia="zh-CN" w:bidi="ar"/>
              </w:rPr>
              <w:t>实际绩效监控项目个数</w:t>
            </w:r>
            <w:r>
              <w:rPr>
                <w:rStyle w:val="12"/>
                <w:rFonts w:eastAsia="宋体"/>
                <w:bdr w:val="none" w:color="auto" w:sz="0" w:space="0"/>
                <w:lang w:val="en-US" w:eastAsia="zh-CN" w:bidi="ar"/>
              </w:rPr>
              <w:t>/</w:t>
            </w:r>
            <w:r>
              <w:rPr>
                <w:rStyle w:val="11"/>
                <w:bdr w:val="none" w:color="auto" w:sz="0" w:space="0"/>
                <w:lang w:val="en-US" w:eastAsia="zh-CN" w:bidi="ar"/>
              </w:rPr>
              <w:t>批复绩效目标项目个数</w:t>
            </w:r>
            <w:r>
              <w:rPr>
                <w:rStyle w:val="12"/>
                <w:rFonts w:eastAsia="宋体"/>
                <w:bdr w:val="none" w:color="auto" w:sz="0" w:space="0"/>
                <w:lang w:val="en-US" w:eastAsia="zh-CN" w:bidi="ar"/>
              </w:rPr>
              <w:t>*3</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批复个数全部监控</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50"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r>
              <w:rPr>
                <w:rStyle w:val="11"/>
                <w:bdr w:val="none" w:color="auto" w:sz="0" w:space="0"/>
                <w:lang w:val="en-US" w:eastAsia="zh-CN" w:bidi="ar"/>
              </w:rPr>
              <w:t>、绩效监控质量</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体现纠偏的工作通知、方案或管理办法等</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17.</w:t>
            </w:r>
            <w:r>
              <w:rPr>
                <w:rStyle w:val="11"/>
                <w:bdr w:val="none" w:color="auto" w:sz="0" w:space="0"/>
                <w:lang w:val="en-US" w:eastAsia="zh-CN" w:bidi="ar"/>
              </w:rPr>
              <w:t>对如期实现绩效目标、偏离绩效目标、预期无效项目及时相应提出推进措施、绩效纠偏、预算调整措施和意见的，得</w:t>
            </w:r>
            <w:r>
              <w:rPr>
                <w:rStyle w:val="12"/>
                <w:rFonts w:eastAsia="宋体"/>
                <w:bdr w:val="none" w:color="auto" w:sz="0" w:space="0"/>
                <w:lang w:val="en-US" w:eastAsia="zh-CN" w:bidi="ar"/>
              </w:rPr>
              <w:t>4</w:t>
            </w:r>
            <w:r>
              <w:rPr>
                <w:rStyle w:val="11"/>
                <w:bdr w:val="none" w:color="auto" w:sz="0" w:space="0"/>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p>
        </w:tc>
        <w:tc>
          <w:tcPr>
            <w:tcW w:w="166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二、（三）2、蚕桑局预算绩效管理存在的问题及整改措施</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0"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（四）事后绩效评价管理</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20.5</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20"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、自评开展</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bdr w:val="none" w:color="auto" w:sz="0" w:space="0"/>
                <w:lang w:val="en-US" w:eastAsia="zh-CN" w:bidi="ar"/>
              </w:rPr>
              <w:t>该项无需提供佐证资料</w:t>
            </w:r>
            <w:r>
              <w:rPr>
                <w:rStyle w:val="11"/>
                <w:bdr w:val="none" w:color="auto" w:sz="0" w:space="0"/>
                <w:lang w:val="en-US" w:eastAsia="zh-CN" w:bidi="ar"/>
              </w:rPr>
              <w:t>，按照县财政局日常掌握情况综合评定</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18.</w:t>
            </w:r>
            <w:r>
              <w:rPr>
                <w:rStyle w:val="11"/>
                <w:bdr w:val="none" w:color="auto" w:sz="0" w:space="0"/>
                <w:lang w:val="en-US" w:eastAsia="zh-CN" w:bidi="ar"/>
              </w:rPr>
              <w:t>按时报送覆盖部门全部支出的汇总绩效自评报告（含部门整体支出自评报告、政策支出自评报告、项目支出自评报告）书面和电子文档的得</w:t>
            </w:r>
            <w:r>
              <w:rPr>
                <w:rStyle w:val="12"/>
                <w:rFonts w:eastAsia="宋体"/>
                <w:bdr w:val="none" w:color="auto" w:sz="0" w:space="0"/>
                <w:lang w:val="en-US" w:eastAsia="zh-CN" w:bidi="ar"/>
              </w:rPr>
              <w:t>2</w:t>
            </w:r>
            <w:r>
              <w:rPr>
                <w:rStyle w:val="11"/>
                <w:bdr w:val="none" w:color="auto" w:sz="0" w:space="0"/>
                <w:lang w:val="en-US" w:eastAsia="zh-CN" w:bidi="ar"/>
              </w:rPr>
              <w:t>分。每逾期一天扣</w:t>
            </w:r>
            <w:r>
              <w:rPr>
                <w:rStyle w:val="12"/>
                <w:rFonts w:eastAsia="宋体"/>
                <w:bdr w:val="none" w:color="auto" w:sz="0" w:space="0"/>
                <w:lang w:val="en-US" w:eastAsia="zh-CN" w:bidi="ar"/>
              </w:rPr>
              <w:t>0.5</w:t>
            </w:r>
            <w:r>
              <w:rPr>
                <w:rStyle w:val="11"/>
                <w:bdr w:val="none" w:color="auto" w:sz="0" w:space="0"/>
                <w:lang w:val="en-US" w:eastAsia="zh-CN" w:bidi="ar"/>
              </w:rPr>
              <w:t>分，扣完为止。</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按时报送资料且符合要求</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5"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w:t>
            </w:r>
            <w:r>
              <w:rPr>
                <w:rStyle w:val="12"/>
                <w:rFonts w:eastAsia="宋体"/>
                <w:bdr w:val="none" w:color="auto" w:sz="0" w:space="0"/>
                <w:lang w:val="en-US" w:eastAsia="zh-CN" w:bidi="ar"/>
              </w:rPr>
              <w:t>2021</w:t>
            </w:r>
            <w:r>
              <w:rPr>
                <w:rStyle w:val="11"/>
                <w:bdr w:val="none" w:color="auto" w:sz="0" w:space="0"/>
                <w:lang w:val="en-US" w:eastAsia="zh-CN" w:bidi="ar"/>
              </w:rPr>
              <w:t>年度项目支出明细表；</w:t>
            </w:r>
            <w:r>
              <w:rPr>
                <w:rStyle w:val="12"/>
                <w:rFonts w:eastAsia="宋体"/>
                <w:bdr w:val="none" w:color="auto" w:sz="0" w:space="0"/>
                <w:lang w:val="en-US" w:eastAsia="zh-CN" w:bidi="ar"/>
              </w:rPr>
              <w:t>2</w:t>
            </w:r>
            <w:r>
              <w:rPr>
                <w:rStyle w:val="11"/>
                <w:bdr w:val="none" w:color="auto" w:sz="0" w:space="0"/>
                <w:lang w:val="en-US" w:eastAsia="zh-CN" w:bidi="ar"/>
              </w:rPr>
              <w:t>、项目自评报告</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19.</w:t>
            </w:r>
            <w:r>
              <w:rPr>
                <w:rStyle w:val="11"/>
                <w:bdr w:val="none" w:color="auto" w:sz="0" w:space="0"/>
                <w:lang w:val="en-US" w:eastAsia="zh-CN" w:bidi="ar"/>
              </w:rPr>
              <w:t>组织开展部门本级和下属预算单位全面开展绩效自评并分别形成自评报告的得</w:t>
            </w:r>
            <w:r>
              <w:rPr>
                <w:rStyle w:val="12"/>
                <w:rFonts w:eastAsia="宋体"/>
                <w:bdr w:val="none" w:color="auto" w:sz="0" w:space="0"/>
                <w:lang w:val="en-US" w:eastAsia="zh-CN" w:bidi="ar"/>
              </w:rPr>
              <w:t>3</w:t>
            </w:r>
            <w:r>
              <w:rPr>
                <w:rStyle w:val="11"/>
                <w:bdr w:val="none" w:color="auto" w:sz="0" w:space="0"/>
                <w:lang w:val="en-US" w:eastAsia="zh-CN" w:bidi="ar"/>
              </w:rPr>
              <w:t>分，否则按比例扣减，扣完为止。</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665"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二、（四）乐至县蚕桑局</w:t>
            </w:r>
            <w:r>
              <w:rPr>
                <w:rStyle w:val="13"/>
                <w:rFonts w:eastAsia="宋体"/>
                <w:bdr w:val="none" w:color="auto" w:sz="0" w:space="0"/>
                <w:lang w:val="en-US" w:eastAsia="zh-CN" w:bidi="ar"/>
              </w:rPr>
              <w:t>2021</w:t>
            </w:r>
            <w:r>
              <w:rPr>
                <w:rStyle w:val="11"/>
                <w:bdr w:val="none" w:color="auto" w:sz="0" w:space="0"/>
                <w:lang w:val="en-US" w:eastAsia="zh-CN" w:bidi="ar"/>
              </w:rPr>
              <w:t>年绩效自评报告</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20"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r>
              <w:rPr>
                <w:rStyle w:val="11"/>
                <w:bdr w:val="none" w:color="auto" w:sz="0" w:space="0"/>
                <w:lang w:val="en-US" w:eastAsia="zh-CN" w:bidi="ar"/>
              </w:rPr>
              <w:t>、自评质量</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w:t>
            </w:r>
            <w:r>
              <w:rPr>
                <w:rStyle w:val="12"/>
                <w:rFonts w:eastAsia="宋体"/>
                <w:bdr w:val="none" w:color="auto" w:sz="0" w:space="0"/>
                <w:lang w:val="en-US" w:eastAsia="zh-CN" w:bidi="ar"/>
              </w:rPr>
              <w:t>2021</w:t>
            </w:r>
            <w:r>
              <w:rPr>
                <w:rStyle w:val="11"/>
                <w:bdr w:val="none" w:color="auto" w:sz="0" w:space="0"/>
                <w:lang w:val="en-US" w:eastAsia="zh-CN" w:bidi="ar"/>
              </w:rPr>
              <w:t>年度项目支出明细表；</w:t>
            </w:r>
            <w:r>
              <w:rPr>
                <w:rStyle w:val="12"/>
                <w:rFonts w:eastAsia="宋体"/>
                <w:bdr w:val="none" w:color="auto" w:sz="0" w:space="0"/>
                <w:lang w:val="en-US" w:eastAsia="zh-CN" w:bidi="ar"/>
              </w:rPr>
              <w:t>2</w:t>
            </w:r>
            <w:r>
              <w:rPr>
                <w:rStyle w:val="11"/>
                <w:bdr w:val="none" w:color="auto" w:sz="0" w:space="0"/>
                <w:lang w:val="en-US" w:eastAsia="zh-CN" w:bidi="ar"/>
              </w:rPr>
              <w:t>、项目自评报告</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20.</w:t>
            </w:r>
            <w:r>
              <w:rPr>
                <w:rStyle w:val="11"/>
                <w:bdr w:val="none" w:color="auto" w:sz="0" w:space="0"/>
                <w:lang w:val="en-US" w:eastAsia="zh-CN" w:bidi="ar"/>
              </w:rPr>
              <w:t>绩效自评报告格式规范，内容完整的得</w:t>
            </w:r>
            <w:r>
              <w:rPr>
                <w:rStyle w:val="12"/>
                <w:rFonts w:eastAsia="宋体"/>
                <w:bdr w:val="none" w:color="auto" w:sz="0" w:space="0"/>
                <w:lang w:val="en-US" w:eastAsia="zh-CN" w:bidi="ar"/>
              </w:rPr>
              <w:t>1</w:t>
            </w:r>
            <w:r>
              <w:rPr>
                <w:rStyle w:val="11"/>
                <w:bdr w:val="none" w:color="auto" w:sz="0" w:space="0"/>
                <w:lang w:val="en-US" w:eastAsia="zh-CN" w:bidi="ar"/>
              </w:rPr>
              <w:t>分，否则酌情扣分；文字部分结构规范、基本情况、绩效情况、评价结论、问题、建议等各项内容节点清晰的得</w:t>
            </w:r>
            <w:r>
              <w:rPr>
                <w:rStyle w:val="12"/>
                <w:rFonts w:eastAsia="宋体"/>
                <w:bdr w:val="none" w:color="auto" w:sz="0" w:space="0"/>
                <w:lang w:val="en-US" w:eastAsia="zh-CN" w:bidi="ar"/>
              </w:rPr>
              <w:t>1</w:t>
            </w:r>
            <w:r>
              <w:rPr>
                <w:rStyle w:val="11"/>
                <w:bdr w:val="none" w:color="auto" w:sz="0" w:space="0"/>
                <w:lang w:val="en-US" w:eastAsia="zh-CN" w:bidi="ar"/>
              </w:rPr>
              <w:t>分，否则酌情扣分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二、（四）乐至县蚕桑局</w:t>
            </w:r>
            <w:r>
              <w:rPr>
                <w:rStyle w:val="13"/>
                <w:rFonts w:eastAsia="宋体"/>
                <w:bdr w:val="none" w:color="auto" w:sz="0" w:space="0"/>
                <w:lang w:val="en-US" w:eastAsia="zh-CN" w:bidi="ar"/>
              </w:rPr>
              <w:t>2021</w:t>
            </w:r>
            <w:r>
              <w:rPr>
                <w:rStyle w:val="11"/>
                <w:bdr w:val="none" w:color="auto" w:sz="0" w:space="0"/>
                <w:lang w:val="en-US" w:eastAsia="zh-CN" w:bidi="ar"/>
              </w:rPr>
              <w:t>年绩效自评报告</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05"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21.</w:t>
            </w:r>
            <w:r>
              <w:rPr>
                <w:rStyle w:val="11"/>
                <w:bdr w:val="none" w:color="auto" w:sz="0" w:space="0"/>
                <w:lang w:val="en-US" w:eastAsia="zh-CN" w:bidi="ar"/>
              </w:rPr>
              <w:t>绩效归纳合理，陈述明确，总分结合，有理有据，与指标体系特别是反映实际绩效的指标有较好的关联度，能用图表、照片等形式直观反映实施情况和绩效的得</w:t>
            </w:r>
            <w:r>
              <w:rPr>
                <w:rStyle w:val="12"/>
                <w:rFonts w:eastAsia="宋体"/>
                <w:bdr w:val="none" w:color="auto" w:sz="0" w:space="0"/>
                <w:lang w:val="en-US" w:eastAsia="zh-CN" w:bidi="ar"/>
              </w:rPr>
              <w:t>2</w:t>
            </w:r>
            <w:r>
              <w:rPr>
                <w:rStyle w:val="11"/>
                <w:bdr w:val="none" w:color="auto" w:sz="0" w:space="0"/>
                <w:lang w:val="en-US" w:eastAsia="zh-CN" w:bidi="ar"/>
              </w:rPr>
              <w:t>分，否则酌情扣分。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1.5</w:t>
            </w:r>
          </w:p>
        </w:tc>
        <w:tc>
          <w:tcPr>
            <w:tcW w:w="1665"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二、（四）乐至县蚕桑局</w:t>
            </w:r>
            <w:r>
              <w:rPr>
                <w:rStyle w:val="13"/>
                <w:rFonts w:eastAsia="宋体"/>
                <w:bdr w:val="none" w:color="auto" w:sz="0" w:space="0"/>
                <w:lang w:val="en-US" w:eastAsia="zh-CN" w:bidi="ar"/>
              </w:rPr>
              <w:t>2021</w:t>
            </w:r>
            <w:r>
              <w:rPr>
                <w:rStyle w:val="11"/>
                <w:bdr w:val="none" w:color="auto" w:sz="0" w:space="0"/>
                <w:lang w:val="en-US" w:eastAsia="zh-CN" w:bidi="ar"/>
              </w:rPr>
              <w:t>年绩效自评报告</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5"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22.</w:t>
            </w:r>
            <w:r>
              <w:rPr>
                <w:rStyle w:val="11"/>
                <w:bdr w:val="none" w:color="auto" w:sz="0" w:space="0"/>
                <w:lang w:val="en-US" w:eastAsia="zh-CN" w:bidi="ar"/>
              </w:rPr>
              <w:t>反映的问题具体清楚，依据充分，提出的问题与建议针对性强，表达明确，合理可行的得</w:t>
            </w:r>
            <w:r>
              <w:rPr>
                <w:rStyle w:val="12"/>
                <w:rFonts w:eastAsia="宋体"/>
                <w:bdr w:val="none" w:color="auto" w:sz="0" w:space="0"/>
                <w:lang w:val="en-US" w:eastAsia="zh-CN" w:bidi="ar"/>
              </w:rPr>
              <w:t>2</w:t>
            </w:r>
            <w:r>
              <w:rPr>
                <w:rStyle w:val="11"/>
                <w:bdr w:val="none" w:color="auto" w:sz="0" w:space="0"/>
                <w:lang w:val="en-US" w:eastAsia="zh-CN" w:bidi="ar"/>
              </w:rPr>
              <w:t>分，否则酌情扣分。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二、（四）乐至县蚕桑局</w:t>
            </w:r>
            <w:r>
              <w:rPr>
                <w:rStyle w:val="13"/>
                <w:rFonts w:eastAsia="宋体"/>
                <w:bdr w:val="none" w:color="auto" w:sz="0" w:space="0"/>
                <w:lang w:val="en-US" w:eastAsia="zh-CN" w:bidi="ar"/>
              </w:rPr>
              <w:t>2021</w:t>
            </w:r>
            <w:r>
              <w:rPr>
                <w:rStyle w:val="11"/>
                <w:bdr w:val="none" w:color="auto" w:sz="0" w:space="0"/>
                <w:lang w:val="en-US" w:eastAsia="zh-CN" w:bidi="ar"/>
              </w:rPr>
              <w:t>年绩效自评报告</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50"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23.</w:t>
            </w:r>
            <w:r>
              <w:rPr>
                <w:rStyle w:val="11"/>
                <w:bdr w:val="none" w:color="auto" w:sz="0" w:space="0"/>
                <w:lang w:val="en-US" w:eastAsia="zh-CN" w:bidi="ar"/>
              </w:rPr>
              <w:t>各项指标评分依据充分，评价结论合理有据、客观公正，与取得绩效、存在问题等内容存在较强一致性的得</w:t>
            </w:r>
            <w:r>
              <w:rPr>
                <w:rStyle w:val="12"/>
                <w:rFonts w:eastAsia="宋体"/>
                <w:bdr w:val="none" w:color="auto" w:sz="0" w:space="0"/>
                <w:lang w:val="en-US" w:eastAsia="zh-CN" w:bidi="ar"/>
              </w:rPr>
              <w:t>2</w:t>
            </w:r>
            <w:r>
              <w:rPr>
                <w:rStyle w:val="11"/>
                <w:bdr w:val="none" w:color="auto" w:sz="0" w:space="0"/>
                <w:lang w:val="en-US" w:eastAsia="zh-CN" w:bidi="ar"/>
              </w:rPr>
              <w:t>分，否则酌情扣分。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二、（四）乐至县蚕桑局</w:t>
            </w:r>
            <w:r>
              <w:rPr>
                <w:rStyle w:val="13"/>
                <w:rFonts w:eastAsia="宋体"/>
                <w:bdr w:val="none" w:color="auto" w:sz="0" w:space="0"/>
                <w:lang w:val="en-US" w:eastAsia="zh-CN" w:bidi="ar"/>
              </w:rPr>
              <w:t>2021</w:t>
            </w:r>
            <w:r>
              <w:rPr>
                <w:rStyle w:val="11"/>
                <w:bdr w:val="none" w:color="auto" w:sz="0" w:space="0"/>
                <w:lang w:val="en-US" w:eastAsia="zh-CN" w:bidi="ar"/>
              </w:rPr>
              <w:t>年绩效自评报告</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40"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r>
              <w:rPr>
                <w:rStyle w:val="11"/>
                <w:bdr w:val="none" w:color="auto" w:sz="0" w:space="0"/>
                <w:lang w:val="en-US" w:eastAsia="zh-CN" w:bidi="ar"/>
              </w:rPr>
              <w:t>、自评抽查</w:t>
            </w:r>
          </w:p>
        </w:tc>
        <w:tc>
          <w:tcPr>
            <w:tcW w:w="98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、含有自评抽查内容的工作通知或方案等；</w:t>
            </w:r>
          </w:p>
        </w:tc>
        <w:tc>
          <w:tcPr>
            <w:tcW w:w="355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24.</w:t>
            </w:r>
            <w:r>
              <w:rPr>
                <w:rStyle w:val="11"/>
                <w:bdr w:val="none" w:color="auto" w:sz="0" w:space="0"/>
                <w:lang w:val="en-US" w:eastAsia="zh-CN" w:bidi="ar"/>
              </w:rPr>
              <w:t>对下属单位实施的项目按照每年不少于项目个数的三分之一开展绩效自评抽查的得</w:t>
            </w:r>
            <w:r>
              <w:rPr>
                <w:rStyle w:val="12"/>
                <w:rFonts w:eastAsia="宋体"/>
                <w:bdr w:val="none" w:color="auto" w:sz="0" w:space="0"/>
                <w:lang w:val="en-US" w:eastAsia="zh-CN" w:bidi="ar"/>
              </w:rPr>
              <w:t>4</w:t>
            </w:r>
            <w:r>
              <w:rPr>
                <w:rStyle w:val="11"/>
                <w:bdr w:val="none" w:color="auto" w:sz="0" w:space="0"/>
                <w:lang w:val="en-US" w:eastAsia="zh-CN" w:bidi="ar"/>
              </w:rPr>
              <w:t>分，实际得分按照实际抽查比例计算。</w:t>
            </w:r>
          </w:p>
        </w:tc>
        <w:tc>
          <w:tcPr>
            <w:tcW w:w="1020"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p>
        </w:tc>
        <w:tc>
          <w:tcPr>
            <w:tcW w:w="1665" w:type="dxa"/>
            <w:vMerge w:val="restart"/>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无下属单位</w:t>
            </w:r>
          </w:p>
        </w:tc>
        <w:tc>
          <w:tcPr>
            <w:tcW w:w="1066"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无下属单位的部门该项作为缺省项，并单独标注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r>
              <w:rPr>
                <w:rStyle w:val="11"/>
                <w:bdr w:val="none" w:color="auto" w:sz="0" w:space="0"/>
                <w:lang w:val="en-US" w:eastAsia="zh-CN" w:bidi="ar"/>
              </w:rPr>
              <w:t>、工作底稿等</w:t>
            </w:r>
          </w:p>
        </w:tc>
        <w:tc>
          <w:tcPr>
            <w:tcW w:w="355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vAlign w:val="bottom"/>
          </w:tcPr>
          <w:p>
            <w:pPr>
              <w:jc w:val="center"/>
              <w:rPr>
                <w:rFonts w:hint="eastAsia" w:ascii="宋体" w:hAnsi="宋体" w:eastAsia="宋体" w:cs="宋体"/>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704"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r>
              <w:rPr>
                <w:rStyle w:val="11"/>
                <w:bdr w:val="none" w:color="auto" w:sz="0" w:space="0"/>
                <w:lang w:val="en-US" w:eastAsia="zh-CN" w:bidi="ar"/>
              </w:rPr>
              <w:t>、绩效评价</w:t>
            </w:r>
          </w:p>
        </w:tc>
        <w:tc>
          <w:tcPr>
            <w:tcW w:w="98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、工作通知或方案等正式文件</w:t>
            </w:r>
          </w:p>
        </w:tc>
        <w:tc>
          <w:tcPr>
            <w:tcW w:w="355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25.</w:t>
            </w:r>
            <w:r>
              <w:rPr>
                <w:rStyle w:val="11"/>
                <w:bdr w:val="none" w:color="auto" w:sz="0" w:space="0"/>
                <w:lang w:val="en-US" w:eastAsia="zh-CN" w:bidi="ar"/>
              </w:rPr>
              <w:t>对下属单位实施的项目按照每年不少于项目个数的五分之一开展绩效评价的得</w:t>
            </w:r>
            <w:r>
              <w:rPr>
                <w:rStyle w:val="12"/>
                <w:rFonts w:eastAsia="宋体"/>
                <w:bdr w:val="none" w:color="auto" w:sz="0" w:space="0"/>
                <w:lang w:val="en-US" w:eastAsia="zh-CN" w:bidi="ar"/>
              </w:rPr>
              <w:t>4</w:t>
            </w:r>
            <w:r>
              <w:rPr>
                <w:rStyle w:val="11"/>
                <w:bdr w:val="none" w:color="auto" w:sz="0" w:space="0"/>
                <w:lang w:val="en-US" w:eastAsia="zh-CN" w:bidi="ar"/>
              </w:rPr>
              <w:t>分，实际得分按照实际评价比例计算。</w:t>
            </w:r>
          </w:p>
        </w:tc>
        <w:tc>
          <w:tcPr>
            <w:tcW w:w="1020"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p>
        </w:tc>
        <w:tc>
          <w:tcPr>
            <w:tcW w:w="1665" w:type="dxa"/>
            <w:vMerge w:val="restart"/>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无下属单位</w:t>
            </w:r>
          </w:p>
        </w:tc>
        <w:tc>
          <w:tcPr>
            <w:tcW w:w="1066"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无下属单位的部门该项作为缺省项，并单独标注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5"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r>
              <w:rPr>
                <w:rStyle w:val="11"/>
                <w:bdr w:val="none" w:color="auto" w:sz="0" w:space="0"/>
                <w:lang w:val="en-US" w:eastAsia="zh-CN" w:bidi="ar"/>
              </w:rPr>
              <w:t>、项目支出绩效评价报告等</w:t>
            </w:r>
          </w:p>
        </w:tc>
        <w:tc>
          <w:tcPr>
            <w:tcW w:w="355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vAlign w:val="bottom"/>
          </w:tcPr>
          <w:p>
            <w:pPr>
              <w:jc w:val="center"/>
              <w:rPr>
                <w:rFonts w:hint="eastAsia" w:ascii="宋体" w:hAnsi="宋体" w:eastAsia="宋体" w:cs="宋体"/>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0"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（五）绩效结果应用管理</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16</w:t>
            </w:r>
          </w:p>
        </w:tc>
        <w:tc>
          <w:tcPr>
            <w:tcW w:w="1665" w:type="dxa"/>
            <w:tcBorders>
              <w:top w:val="single" w:color="000000" w:sz="4" w:space="0"/>
              <w:left w:val="single" w:color="000000" w:sz="4" w:space="0"/>
              <w:bottom w:val="single" w:color="000000" w:sz="4" w:space="0"/>
              <w:right w:val="single" w:color="000000" w:sz="4" w:space="0"/>
            </w:tcBorders>
            <w:shd w:val="clear"/>
            <w:vAlign w:val="bottom"/>
          </w:tcPr>
          <w:p>
            <w:pPr>
              <w:jc w:val="both"/>
              <w:rPr>
                <w:rFonts w:hint="default" w:ascii="Calibri" w:hAnsi="Calibri" w:eastAsia="宋体" w:cs="Calibri"/>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30"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、问题整改</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整改情况报告</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26.</w:t>
            </w:r>
            <w:r>
              <w:rPr>
                <w:rStyle w:val="11"/>
                <w:bdr w:val="none" w:color="auto" w:sz="0" w:space="0"/>
                <w:lang w:val="en-US" w:eastAsia="zh-CN" w:bidi="ar"/>
              </w:rPr>
              <w:t>对预算绩效管理各环节反映的问题及时整改落实到位的得</w:t>
            </w:r>
            <w:r>
              <w:rPr>
                <w:rStyle w:val="12"/>
                <w:rFonts w:eastAsia="宋体"/>
                <w:bdr w:val="none" w:color="auto" w:sz="0" w:space="0"/>
                <w:lang w:val="en-US" w:eastAsia="zh-CN" w:bidi="ar"/>
              </w:rPr>
              <w:t>4</w:t>
            </w:r>
            <w:r>
              <w:rPr>
                <w:rStyle w:val="11"/>
                <w:bdr w:val="none" w:color="auto" w:sz="0" w:space="0"/>
                <w:lang w:val="en-US" w:eastAsia="zh-CN" w:bidi="ar"/>
              </w:rPr>
              <w:t>分，整改不到位的酌情扣分，未及时整改的不得分（未报送整改情况报告的视同未整改）</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无整改要求</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无整改要求的部门该项作为缺省项，并单独标注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30"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r>
              <w:rPr>
                <w:rStyle w:val="11"/>
                <w:bdr w:val="none" w:color="auto" w:sz="0" w:space="0"/>
                <w:lang w:val="en-US" w:eastAsia="zh-CN" w:bidi="ar"/>
              </w:rPr>
              <w:t>、通报考核</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、考核通知或方案正式文件；</w:t>
            </w:r>
            <w:r>
              <w:rPr>
                <w:rStyle w:val="12"/>
                <w:rFonts w:eastAsia="宋体"/>
                <w:bdr w:val="none" w:color="auto" w:sz="0" w:space="0"/>
                <w:lang w:val="en-US" w:eastAsia="zh-CN" w:bidi="ar"/>
              </w:rPr>
              <w:t>2</w:t>
            </w:r>
            <w:r>
              <w:rPr>
                <w:rStyle w:val="11"/>
                <w:bdr w:val="none" w:color="auto" w:sz="0" w:space="0"/>
                <w:lang w:val="en-US" w:eastAsia="zh-CN" w:bidi="ar"/>
              </w:rPr>
              <w:t>、通报考核正式文件</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27.</w:t>
            </w:r>
            <w:r>
              <w:rPr>
                <w:rStyle w:val="11"/>
                <w:bdr w:val="none" w:color="auto" w:sz="0" w:space="0"/>
                <w:lang w:val="en-US" w:eastAsia="zh-CN" w:bidi="ar"/>
              </w:rPr>
              <w:t>定期对下属预算单位预算绩效管理工作实施考核并通报考核结果，将考核结果纳入对下属单位的综合考核体系，得</w:t>
            </w:r>
            <w:r>
              <w:rPr>
                <w:rStyle w:val="12"/>
                <w:rFonts w:eastAsia="宋体"/>
                <w:bdr w:val="none" w:color="auto" w:sz="0" w:space="0"/>
                <w:lang w:val="en-US" w:eastAsia="zh-CN" w:bidi="ar"/>
              </w:rPr>
              <w:t>2</w:t>
            </w:r>
            <w:r>
              <w:rPr>
                <w:rStyle w:val="11"/>
                <w:bdr w:val="none" w:color="auto" w:sz="0" w:space="0"/>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无下级单位</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无下属单位的部门该项作为缺省项，并单独标注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5"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r>
              <w:rPr>
                <w:rStyle w:val="11"/>
                <w:bdr w:val="none" w:color="auto" w:sz="0" w:space="0"/>
                <w:lang w:val="en-US" w:eastAsia="zh-CN" w:bidi="ar"/>
              </w:rPr>
              <w:t>、请示报告</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报告正式文件、会议有关材料、审查意见或批复等</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28.</w:t>
            </w:r>
            <w:r>
              <w:rPr>
                <w:rStyle w:val="11"/>
                <w:bdr w:val="none" w:color="auto" w:sz="0" w:space="0"/>
                <w:lang w:val="en-US" w:eastAsia="zh-CN" w:bidi="ar"/>
              </w:rPr>
              <w:t>将本部门绩效管理工作有关情况正式县领导、上级部门汇报报送的，得</w:t>
            </w:r>
            <w:r>
              <w:rPr>
                <w:rStyle w:val="12"/>
                <w:rFonts w:eastAsia="宋体"/>
                <w:bdr w:val="none" w:color="auto" w:sz="0" w:space="0"/>
                <w:lang w:val="en-US" w:eastAsia="zh-CN" w:bidi="ar"/>
              </w:rPr>
              <w:t>3</w:t>
            </w:r>
            <w:r>
              <w:rPr>
                <w:rStyle w:val="11"/>
                <w:bdr w:val="none" w:color="auto" w:sz="0" w:space="0"/>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04"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r>
              <w:rPr>
                <w:rStyle w:val="11"/>
                <w:bdr w:val="none" w:color="auto" w:sz="0" w:space="0"/>
                <w:lang w:val="en-US" w:eastAsia="zh-CN" w:bidi="ar"/>
              </w:rPr>
              <w:t>、公开公示</w:t>
            </w:r>
          </w:p>
        </w:tc>
        <w:tc>
          <w:tcPr>
            <w:tcW w:w="98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、信息公开网址；</w:t>
            </w:r>
          </w:p>
        </w:tc>
        <w:tc>
          <w:tcPr>
            <w:tcW w:w="355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29.</w:t>
            </w:r>
            <w:r>
              <w:rPr>
                <w:rStyle w:val="11"/>
                <w:bdr w:val="none" w:color="auto" w:sz="0" w:space="0"/>
                <w:lang w:val="en-US" w:eastAsia="zh-CN" w:bidi="ar"/>
              </w:rPr>
              <w:t>将绩效目标随同部门预算向社会公开；将部门整体支出、项目支出绩效自评结果随同部门决算向社会公开；将部门重点绩效评价结果向社会公开。每项得</w:t>
            </w:r>
            <w:r>
              <w:rPr>
                <w:rStyle w:val="12"/>
                <w:rFonts w:eastAsia="宋体"/>
                <w:bdr w:val="none" w:color="auto" w:sz="0" w:space="0"/>
                <w:lang w:val="en-US" w:eastAsia="zh-CN" w:bidi="ar"/>
              </w:rPr>
              <w:t>1</w:t>
            </w:r>
            <w:r>
              <w:rPr>
                <w:rStyle w:val="11"/>
                <w:bdr w:val="none" w:color="auto" w:sz="0" w:space="0"/>
                <w:lang w:val="en-US" w:eastAsia="zh-CN" w:bidi="ar"/>
              </w:rPr>
              <w:t>分，总计</w:t>
            </w:r>
            <w:r>
              <w:rPr>
                <w:rStyle w:val="12"/>
                <w:rFonts w:eastAsia="宋体"/>
                <w:bdr w:val="none" w:color="auto" w:sz="0" w:space="0"/>
                <w:lang w:val="en-US" w:eastAsia="zh-CN" w:bidi="ar"/>
              </w:rPr>
              <w:t>3</w:t>
            </w:r>
            <w:r>
              <w:rPr>
                <w:rStyle w:val="11"/>
                <w:bdr w:val="none" w:color="auto" w:sz="0" w:space="0"/>
                <w:lang w:val="en-US" w:eastAsia="zh-CN" w:bidi="ar"/>
              </w:rPr>
              <w:t>分。</w:t>
            </w:r>
          </w:p>
        </w:tc>
        <w:tc>
          <w:tcPr>
            <w:tcW w:w="1020"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66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二（五）4、蚕桑局预算、决算公开网址</w:t>
            </w:r>
          </w:p>
        </w:tc>
        <w:tc>
          <w:tcPr>
            <w:tcW w:w="1066"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5"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r>
              <w:rPr>
                <w:rStyle w:val="11"/>
                <w:bdr w:val="none" w:color="auto" w:sz="0" w:space="0"/>
                <w:lang w:val="en-US" w:eastAsia="zh-CN" w:bidi="ar"/>
              </w:rPr>
              <w:t>、含公开绩效信息的截图等</w:t>
            </w:r>
          </w:p>
        </w:tc>
        <w:tc>
          <w:tcPr>
            <w:tcW w:w="355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both"/>
              <w:rPr>
                <w:rFonts w:hint="eastAsia" w:ascii="宋体" w:hAnsi="宋体" w:eastAsia="宋体" w:cs="宋体"/>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40"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w:t>
            </w:r>
            <w:r>
              <w:rPr>
                <w:rStyle w:val="11"/>
                <w:bdr w:val="none" w:color="auto" w:sz="0" w:space="0"/>
                <w:lang w:val="en-US" w:eastAsia="zh-CN" w:bidi="ar"/>
              </w:rPr>
              <w:t>、结果应用</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对事前绩效评估、绩效目标管理、绩效运行监控、事后绩效评价结果应用情况逐项进行详细说明，并提供充分的结果应用材料，以及体现结果应用的工作通知、方案或管理办法等</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30.</w:t>
            </w:r>
            <w:r>
              <w:rPr>
                <w:rStyle w:val="11"/>
                <w:bdr w:val="none" w:color="auto" w:sz="0" w:space="0"/>
                <w:lang w:val="en-US" w:eastAsia="zh-CN" w:bidi="ar"/>
              </w:rPr>
              <w:t>将事前绩效评估、事中绩效监控、事后绩效评价结果作为预算安排、预算调整、资金分配、政策调整完善、改进内部管理依据的得</w:t>
            </w:r>
            <w:r>
              <w:rPr>
                <w:rStyle w:val="12"/>
                <w:rFonts w:eastAsia="宋体"/>
                <w:bdr w:val="none" w:color="auto" w:sz="0" w:space="0"/>
                <w:lang w:val="en-US" w:eastAsia="zh-CN" w:bidi="ar"/>
              </w:rPr>
              <w:t>4</w:t>
            </w:r>
            <w:r>
              <w:rPr>
                <w:rStyle w:val="11"/>
                <w:bdr w:val="none" w:color="auto" w:sz="0" w:space="0"/>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二（五）5、预算绩效评价结果应用管理办法的通知</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三、培训宣传</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11</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65"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（一）宣传报道</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纸质媒体宣传的需提供完整扫描件或照片等；网络媒体宣传的需提供刊载网址和截图等</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31.</w:t>
            </w:r>
            <w:r>
              <w:rPr>
                <w:rStyle w:val="11"/>
                <w:bdr w:val="none" w:color="auto" w:sz="0" w:space="0"/>
                <w:lang w:val="en-US" w:eastAsia="zh-CN" w:bidi="ar"/>
              </w:rPr>
              <w:t>利用各种媒体形式，宣传预算绩效管理工作，创造良好社会舆论氛围，县级媒体发表的每篇</w:t>
            </w:r>
            <w:r>
              <w:rPr>
                <w:rStyle w:val="12"/>
                <w:rFonts w:eastAsia="宋体"/>
                <w:bdr w:val="none" w:color="auto" w:sz="0" w:space="0"/>
                <w:lang w:val="en-US" w:eastAsia="zh-CN" w:bidi="ar"/>
              </w:rPr>
              <w:t>1</w:t>
            </w:r>
            <w:r>
              <w:rPr>
                <w:rStyle w:val="11"/>
                <w:bdr w:val="none" w:color="auto" w:sz="0" w:space="0"/>
                <w:lang w:val="en-US" w:eastAsia="zh-CN" w:bidi="ar"/>
              </w:rPr>
              <w:t>分，市级及以上媒体发表的每篇</w:t>
            </w:r>
            <w:r>
              <w:rPr>
                <w:rStyle w:val="12"/>
                <w:rFonts w:eastAsia="宋体"/>
                <w:bdr w:val="none" w:color="auto" w:sz="0" w:space="0"/>
                <w:lang w:val="en-US" w:eastAsia="zh-CN" w:bidi="ar"/>
              </w:rPr>
              <w:t>2</w:t>
            </w:r>
            <w:r>
              <w:rPr>
                <w:rStyle w:val="11"/>
                <w:bdr w:val="none" w:color="auto" w:sz="0" w:space="0"/>
                <w:lang w:val="en-US" w:eastAsia="zh-CN" w:bidi="ar"/>
              </w:rPr>
              <w:t>分，本项最多</w:t>
            </w:r>
            <w:r>
              <w:rPr>
                <w:rStyle w:val="12"/>
                <w:rFonts w:eastAsia="宋体"/>
                <w:bdr w:val="none" w:color="auto" w:sz="0" w:space="0"/>
                <w:lang w:val="en-US" w:eastAsia="zh-CN" w:bidi="ar"/>
              </w:rPr>
              <w:t>2</w:t>
            </w:r>
            <w:r>
              <w:rPr>
                <w:rStyle w:val="11"/>
                <w:bdr w:val="none" w:color="auto" w:sz="0" w:space="0"/>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5"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（三）会议培训</w:t>
            </w:r>
          </w:p>
        </w:tc>
        <w:tc>
          <w:tcPr>
            <w:tcW w:w="98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、培训、会议通知或方案等</w:t>
            </w:r>
          </w:p>
        </w:tc>
        <w:tc>
          <w:tcPr>
            <w:tcW w:w="355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32.</w:t>
            </w:r>
            <w:r>
              <w:rPr>
                <w:rStyle w:val="11"/>
                <w:bdr w:val="none" w:color="auto" w:sz="0" w:space="0"/>
                <w:lang w:val="en-US" w:eastAsia="zh-CN" w:bidi="ar"/>
              </w:rPr>
              <w:t>组织本部门预算绩效管理业务学习和培训，每次</w:t>
            </w:r>
            <w:r>
              <w:rPr>
                <w:rStyle w:val="12"/>
                <w:rFonts w:eastAsia="宋体"/>
                <w:bdr w:val="none" w:color="auto" w:sz="0" w:space="0"/>
                <w:lang w:val="en-US" w:eastAsia="zh-CN" w:bidi="ar"/>
              </w:rPr>
              <w:t>1</w:t>
            </w:r>
            <w:r>
              <w:rPr>
                <w:rStyle w:val="11"/>
                <w:bdr w:val="none" w:color="auto" w:sz="0" w:space="0"/>
                <w:lang w:val="en-US" w:eastAsia="zh-CN" w:bidi="ar"/>
              </w:rPr>
              <w:t>分。本项最多</w:t>
            </w:r>
            <w:r>
              <w:rPr>
                <w:rStyle w:val="12"/>
                <w:rFonts w:eastAsia="宋体"/>
                <w:bdr w:val="none" w:color="auto" w:sz="0" w:space="0"/>
                <w:lang w:val="en-US" w:eastAsia="zh-CN" w:bidi="ar"/>
              </w:rPr>
              <w:t>2</w:t>
            </w:r>
            <w:r>
              <w:rPr>
                <w:rStyle w:val="11"/>
                <w:bdr w:val="none" w:color="auto" w:sz="0" w:space="0"/>
                <w:lang w:val="en-US" w:eastAsia="zh-CN" w:bidi="ar"/>
              </w:rPr>
              <w:t>分。</w:t>
            </w:r>
          </w:p>
        </w:tc>
        <w:tc>
          <w:tcPr>
            <w:tcW w:w="1020"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665" w:type="dxa"/>
            <w:vMerge w:val="restart"/>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三、</w:t>
            </w:r>
            <w:r>
              <w:rPr>
                <w:rStyle w:val="13"/>
                <w:rFonts w:eastAsia="宋体"/>
                <w:bdr w:val="none" w:color="auto" w:sz="0" w:space="0"/>
                <w:lang w:val="en-US" w:eastAsia="zh-CN" w:bidi="ar"/>
              </w:rPr>
              <w:t>2022</w:t>
            </w:r>
            <w:r>
              <w:rPr>
                <w:rStyle w:val="14"/>
                <w:bdr w:val="none" w:color="auto" w:sz="0" w:space="0"/>
                <w:lang w:val="en-US" w:eastAsia="zh-CN" w:bidi="ar"/>
              </w:rPr>
              <w:t>年度预算绩效管理业务培训会议</w:t>
            </w:r>
          </w:p>
        </w:tc>
        <w:tc>
          <w:tcPr>
            <w:tcW w:w="1066"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5"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r>
              <w:rPr>
                <w:rStyle w:val="11"/>
                <w:bdr w:val="none" w:color="auto" w:sz="0" w:space="0"/>
                <w:lang w:val="en-US" w:eastAsia="zh-CN" w:bidi="ar"/>
              </w:rPr>
              <w:t>、签到表和照片等（如为线上培训则无需提供）</w:t>
            </w:r>
          </w:p>
        </w:tc>
        <w:tc>
          <w:tcPr>
            <w:tcW w:w="355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vAlign w:val="bottom"/>
          </w:tcPr>
          <w:p>
            <w:pPr>
              <w:jc w:val="both"/>
              <w:rPr>
                <w:rFonts w:hint="eastAsia" w:ascii="宋体" w:hAnsi="宋体" w:eastAsia="宋体" w:cs="宋体"/>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05" w:hRule="atLeast"/>
        </w:trPr>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（四）信息交流</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bdr w:val="none" w:color="auto" w:sz="0" w:space="0"/>
                <w:lang w:val="en-US" w:eastAsia="zh-CN" w:bidi="ar"/>
              </w:rPr>
              <w:t>该项无需提供佐证资料，</w:t>
            </w:r>
            <w:r>
              <w:rPr>
                <w:rStyle w:val="11"/>
                <w:bdr w:val="none" w:color="auto" w:sz="0" w:space="0"/>
                <w:lang w:val="en-US" w:eastAsia="zh-CN" w:bidi="ar"/>
              </w:rPr>
              <w:t>按照县财政局日常掌握情况综合评定</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33.</w:t>
            </w:r>
            <w:r>
              <w:rPr>
                <w:rStyle w:val="11"/>
                <w:bdr w:val="none" w:color="auto" w:sz="0" w:space="0"/>
                <w:lang w:val="en-US" w:eastAsia="zh-CN" w:bidi="ar"/>
              </w:rPr>
              <w:t>及时向财政部门报送本部门预算绩效管理的相关制度办法、工作考核材料、绩效指标体系、工作计划总结、本部门预算绩效管理的工作动态信息的得</w:t>
            </w:r>
            <w:r>
              <w:rPr>
                <w:rStyle w:val="12"/>
                <w:rFonts w:eastAsia="宋体"/>
                <w:bdr w:val="none" w:color="auto" w:sz="0" w:space="0"/>
                <w:lang w:val="en-US" w:eastAsia="zh-CN" w:bidi="ar"/>
              </w:rPr>
              <w:t>1</w:t>
            </w:r>
            <w:r>
              <w:rPr>
                <w:rStyle w:val="11"/>
                <w:bdr w:val="none" w:color="auto" w:sz="0" w:space="0"/>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p>
        </w:tc>
        <w:tc>
          <w:tcPr>
            <w:tcW w:w="1665"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按规定及时报送</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5"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（五）协同配合</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bdr w:val="none" w:color="auto" w:sz="0" w:space="0"/>
                <w:lang w:val="en-US" w:eastAsia="zh-CN" w:bidi="ar"/>
              </w:rPr>
              <w:t>该项无需提供佐证资料</w:t>
            </w:r>
            <w:r>
              <w:rPr>
                <w:rStyle w:val="11"/>
                <w:bdr w:val="none" w:color="auto" w:sz="0" w:space="0"/>
                <w:lang w:val="en-US" w:eastAsia="zh-CN" w:bidi="ar"/>
              </w:rPr>
              <w:t>，按照县财政局日常掌握情况综合评定</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34.</w:t>
            </w:r>
            <w:r>
              <w:rPr>
                <w:rStyle w:val="11"/>
                <w:bdr w:val="none" w:color="auto" w:sz="0" w:space="0"/>
                <w:lang w:val="en-US" w:eastAsia="zh-CN" w:bidi="ar"/>
              </w:rPr>
              <w:t>积极参加财政部门组织的预算绩效管理会议、学习的得</w:t>
            </w:r>
            <w:r>
              <w:rPr>
                <w:rStyle w:val="12"/>
                <w:rFonts w:eastAsia="宋体"/>
                <w:bdr w:val="none" w:color="auto" w:sz="0" w:space="0"/>
                <w:lang w:val="en-US" w:eastAsia="zh-CN" w:bidi="ar"/>
              </w:rPr>
              <w:t>1</w:t>
            </w:r>
            <w:r>
              <w:rPr>
                <w:rStyle w:val="11"/>
                <w:bdr w:val="none" w:color="auto" w:sz="0" w:space="0"/>
                <w:lang w:val="en-US" w:eastAsia="zh-CN" w:bidi="ar"/>
              </w:rPr>
              <w:t>分，每缺席一次扣</w:t>
            </w:r>
            <w:r>
              <w:rPr>
                <w:rStyle w:val="12"/>
                <w:rFonts w:eastAsia="宋体"/>
                <w:bdr w:val="none" w:color="auto" w:sz="0" w:space="0"/>
                <w:lang w:val="en-US" w:eastAsia="zh-CN" w:bidi="ar"/>
              </w:rPr>
              <w:t>0.5</w:t>
            </w:r>
            <w:r>
              <w:rPr>
                <w:rStyle w:val="11"/>
                <w:bdr w:val="none" w:color="auto" w:sz="0" w:space="0"/>
                <w:lang w:val="en-US" w:eastAsia="zh-CN" w:bidi="ar"/>
              </w:rPr>
              <w:t>分，扣完为止。</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无</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全部参加会议</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50"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bdr w:val="none" w:color="auto" w:sz="0" w:space="0"/>
                <w:lang w:val="en-US" w:eastAsia="zh-CN" w:bidi="ar"/>
              </w:rPr>
              <w:t>该项无需提供佐证资料</w:t>
            </w:r>
            <w:r>
              <w:rPr>
                <w:rStyle w:val="11"/>
                <w:bdr w:val="none" w:color="auto" w:sz="0" w:space="0"/>
                <w:lang w:val="en-US" w:eastAsia="zh-CN" w:bidi="ar"/>
              </w:rPr>
              <w:t>，按照县财政局日常掌握情况综合评定</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35.</w:t>
            </w:r>
            <w:r>
              <w:rPr>
                <w:rStyle w:val="11"/>
                <w:bdr w:val="none" w:color="auto" w:sz="0" w:space="0"/>
                <w:lang w:val="en-US" w:eastAsia="zh-CN" w:bidi="ar"/>
              </w:rPr>
              <w:t>认真做好财政部门组织评价项目的配合工作，及时提供相关资料，协调现场勘查、调查等事宜的得</w:t>
            </w:r>
            <w:r>
              <w:rPr>
                <w:rStyle w:val="12"/>
                <w:rFonts w:eastAsia="宋体"/>
                <w:bdr w:val="none" w:color="auto" w:sz="0" w:space="0"/>
                <w:lang w:val="en-US" w:eastAsia="zh-CN" w:bidi="ar"/>
              </w:rPr>
              <w:t>1</w:t>
            </w:r>
            <w:r>
              <w:rPr>
                <w:rStyle w:val="11"/>
                <w:bdr w:val="none" w:color="auto" w:sz="0" w:space="0"/>
                <w:lang w:val="en-US" w:eastAsia="zh-CN" w:bidi="ar"/>
              </w:rPr>
              <w:t>分，否则相应扣分。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无</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认真配合工作，及时提供相关资料</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65"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bdr w:val="none" w:color="auto" w:sz="0" w:space="0"/>
                <w:lang w:val="en-US" w:eastAsia="zh-CN" w:bidi="ar"/>
              </w:rPr>
              <w:t>该项无需提供佐证资料</w:t>
            </w:r>
            <w:r>
              <w:rPr>
                <w:rStyle w:val="11"/>
                <w:bdr w:val="none" w:color="auto" w:sz="0" w:space="0"/>
                <w:lang w:val="en-US" w:eastAsia="zh-CN" w:bidi="ar"/>
              </w:rPr>
              <w:t>，按照县财政局日常掌握情况综合评定</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36.</w:t>
            </w:r>
            <w:r>
              <w:rPr>
                <w:rStyle w:val="11"/>
                <w:bdr w:val="none" w:color="auto" w:sz="0" w:space="0"/>
                <w:lang w:val="en-US" w:eastAsia="zh-CN" w:bidi="ar"/>
              </w:rPr>
              <w:t>按规定报送预算绩效管理工作考核自评材料且工作总结内容翔实的得</w:t>
            </w:r>
            <w:r>
              <w:rPr>
                <w:rStyle w:val="12"/>
                <w:rFonts w:eastAsia="宋体"/>
                <w:bdr w:val="none" w:color="auto" w:sz="0" w:space="0"/>
                <w:lang w:val="en-US" w:eastAsia="zh-CN" w:bidi="ar"/>
              </w:rPr>
              <w:t>1</w:t>
            </w:r>
            <w:r>
              <w:rPr>
                <w:rStyle w:val="11"/>
                <w:bdr w:val="none" w:color="auto" w:sz="0" w:space="0"/>
                <w:lang w:val="en-US" w:eastAsia="zh-CN" w:bidi="ar"/>
              </w:rPr>
              <w:t>分；逾期报送的不得分；逾期</w:t>
            </w:r>
            <w:r>
              <w:rPr>
                <w:rStyle w:val="12"/>
                <w:rFonts w:eastAsia="宋体"/>
                <w:bdr w:val="none" w:color="auto" w:sz="0" w:space="0"/>
                <w:lang w:val="en-US" w:eastAsia="zh-CN" w:bidi="ar"/>
              </w:rPr>
              <w:t>7</w:t>
            </w:r>
            <w:r>
              <w:rPr>
                <w:rStyle w:val="11"/>
                <w:bdr w:val="none" w:color="auto" w:sz="0" w:space="0"/>
                <w:lang w:val="en-US" w:eastAsia="zh-CN" w:bidi="ar"/>
              </w:rPr>
              <w:t>天的取消考核评比资格。工作总结内容缺失的酌情扣分。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无</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按规定按时报送材料</w:t>
            </w: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10"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四、加分项（最高加</w:t>
            </w:r>
            <w:r>
              <w:rPr>
                <w:rStyle w:val="12"/>
                <w:rFonts w:eastAsia="宋体"/>
                <w:bdr w:val="none" w:color="auto" w:sz="0" w:space="0"/>
                <w:lang w:val="en-US" w:eastAsia="zh-CN" w:bidi="ar"/>
              </w:rPr>
              <w:t>8</w:t>
            </w:r>
            <w:r>
              <w:rPr>
                <w:rStyle w:val="11"/>
                <w:bdr w:val="none" w:color="auto" w:sz="0" w:space="0"/>
                <w:lang w:val="en-US" w:eastAsia="zh-CN" w:bidi="ar"/>
              </w:rPr>
              <w:t>分）</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提供获得表彰的相关文件材料</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在组织实施预算绩效管理过程中，被县财政局或上级部门评定为</w:t>
            </w:r>
            <w:r>
              <w:rPr>
                <w:rStyle w:val="12"/>
                <w:rFonts w:eastAsia="宋体"/>
                <w:bdr w:val="none" w:color="auto" w:sz="0" w:space="0"/>
                <w:lang w:val="en-US" w:eastAsia="zh-CN" w:bidi="ar"/>
              </w:rPr>
              <w:t>“</w:t>
            </w:r>
            <w:r>
              <w:rPr>
                <w:rStyle w:val="11"/>
                <w:bdr w:val="none" w:color="auto" w:sz="0" w:space="0"/>
                <w:lang w:val="en-US" w:eastAsia="zh-CN" w:bidi="ar"/>
              </w:rPr>
              <w:t>优</w:t>
            </w:r>
            <w:r>
              <w:rPr>
                <w:rStyle w:val="12"/>
                <w:rFonts w:eastAsia="宋体"/>
                <w:bdr w:val="none" w:color="auto" w:sz="0" w:space="0"/>
                <w:lang w:val="en-US" w:eastAsia="zh-CN" w:bidi="ar"/>
              </w:rPr>
              <w:t>”，每次加1分，最高加2分。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50"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请将主要内容、创新举措、取得成效和典型经验等形成专项经验材料</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 xml:space="preserve">2. </w:t>
            </w:r>
            <w:r>
              <w:rPr>
                <w:rStyle w:val="11"/>
                <w:bdr w:val="none" w:color="auto" w:sz="0" w:space="0"/>
                <w:lang w:val="en-US" w:eastAsia="zh-CN" w:bidi="ar"/>
              </w:rPr>
              <w:t>推进绩效与预算深度融合，在预算编制、资金分配、统筹平衡等方面有创新举措，取得明显成效的，经县财政局复评认定后予以加分，最高加</w:t>
            </w:r>
            <w:r>
              <w:rPr>
                <w:rStyle w:val="12"/>
                <w:rFonts w:eastAsia="宋体"/>
                <w:bdr w:val="none" w:color="auto" w:sz="0" w:space="0"/>
                <w:lang w:val="en-US" w:eastAsia="zh-CN" w:bidi="ar"/>
              </w:rPr>
              <w:t>2</w:t>
            </w:r>
            <w:r>
              <w:rPr>
                <w:rStyle w:val="11"/>
                <w:bdr w:val="none" w:color="auto" w:sz="0" w:space="0"/>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28"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98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、绩效评价工作委托函或合同等</w:t>
            </w:r>
          </w:p>
        </w:tc>
        <w:tc>
          <w:tcPr>
            <w:tcW w:w="355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r>
              <w:rPr>
                <w:rStyle w:val="11"/>
                <w:bdr w:val="none" w:color="auto" w:sz="0" w:space="0"/>
                <w:lang w:val="en-US" w:eastAsia="zh-CN" w:bidi="ar"/>
              </w:rPr>
              <w:t>引入第三方机构参与事前绩效评估、绩效评价环节的，每环节加</w:t>
            </w:r>
            <w:r>
              <w:rPr>
                <w:rStyle w:val="12"/>
                <w:rFonts w:eastAsia="宋体"/>
                <w:bdr w:val="none" w:color="auto" w:sz="0" w:space="0"/>
                <w:lang w:val="en-US" w:eastAsia="zh-CN" w:bidi="ar"/>
              </w:rPr>
              <w:t>1</w:t>
            </w:r>
            <w:r>
              <w:rPr>
                <w:rStyle w:val="11"/>
                <w:bdr w:val="none" w:color="auto" w:sz="0" w:space="0"/>
                <w:lang w:val="en-US" w:eastAsia="zh-CN" w:bidi="ar"/>
              </w:rPr>
              <w:t>分，最高</w:t>
            </w:r>
            <w:r>
              <w:rPr>
                <w:rStyle w:val="12"/>
                <w:rFonts w:eastAsia="宋体"/>
                <w:bdr w:val="none" w:color="auto" w:sz="0" w:space="0"/>
                <w:lang w:val="en-US" w:eastAsia="zh-CN" w:bidi="ar"/>
              </w:rPr>
              <w:t>2</w:t>
            </w:r>
            <w:r>
              <w:rPr>
                <w:rStyle w:val="11"/>
                <w:bdr w:val="none" w:color="auto" w:sz="0" w:space="0"/>
                <w:lang w:val="en-US" w:eastAsia="zh-CN" w:bidi="ar"/>
              </w:rPr>
              <w:t>分。</w:t>
            </w:r>
          </w:p>
        </w:tc>
        <w:tc>
          <w:tcPr>
            <w:tcW w:w="1020"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665"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r>
              <w:rPr>
                <w:rStyle w:val="11"/>
                <w:bdr w:val="none" w:color="auto" w:sz="0" w:space="0"/>
                <w:lang w:val="en-US" w:eastAsia="zh-CN" w:bidi="ar"/>
              </w:rPr>
              <w:t>、第三方绩效评价报告等</w:t>
            </w:r>
          </w:p>
        </w:tc>
        <w:tc>
          <w:tcPr>
            <w:tcW w:w="355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65"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bdr w:val="none" w:color="auto" w:sz="0" w:space="0"/>
                <w:lang w:val="en-US" w:eastAsia="zh-CN" w:bidi="ar"/>
              </w:rPr>
              <w:t>该项无需提供佐证资料</w:t>
            </w:r>
            <w:r>
              <w:rPr>
                <w:rStyle w:val="11"/>
                <w:bdr w:val="none" w:color="auto" w:sz="0" w:space="0"/>
                <w:lang w:val="en-US" w:eastAsia="zh-CN" w:bidi="ar"/>
              </w:rPr>
              <w:t>，按照县财政局日常掌握情况综合评定</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4.</w:t>
            </w:r>
            <w:r>
              <w:rPr>
                <w:rStyle w:val="11"/>
                <w:bdr w:val="none" w:color="auto" w:sz="0" w:space="0"/>
                <w:lang w:val="en-US" w:eastAsia="zh-CN" w:bidi="ar"/>
              </w:rPr>
              <w:t>积极参加省财政厅预算绩效管理知识竞赛，获得优秀组织奖的加</w:t>
            </w:r>
            <w:r>
              <w:rPr>
                <w:rStyle w:val="12"/>
                <w:rFonts w:eastAsia="宋体"/>
                <w:bdr w:val="none" w:color="auto" w:sz="0" w:space="0"/>
                <w:lang w:val="en-US" w:eastAsia="zh-CN" w:bidi="ar"/>
              </w:rPr>
              <w:t>2</w:t>
            </w:r>
            <w:r>
              <w:rPr>
                <w:rStyle w:val="11"/>
                <w:bdr w:val="none" w:color="auto" w:sz="0" w:space="0"/>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10"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五、减分项（最高减</w:t>
            </w:r>
            <w:r>
              <w:rPr>
                <w:rStyle w:val="12"/>
                <w:rFonts w:eastAsia="宋体"/>
                <w:bdr w:val="none" w:color="auto" w:sz="0" w:space="0"/>
                <w:lang w:val="en-US" w:eastAsia="zh-CN" w:bidi="ar"/>
              </w:rPr>
              <w:t>6</w:t>
            </w:r>
            <w:r>
              <w:rPr>
                <w:rStyle w:val="11"/>
                <w:bdr w:val="none" w:color="auto" w:sz="0" w:space="0"/>
                <w:lang w:val="en-US" w:eastAsia="zh-CN" w:bidi="ar"/>
              </w:rPr>
              <w:t>分）</w:t>
            </w: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bdr w:val="none" w:color="auto" w:sz="0" w:space="0"/>
                <w:lang w:val="en-US" w:eastAsia="zh-CN" w:bidi="ar"/>
              </w:rPr>
              <w:t>该项无需提供佐证资料</w:t>
            </w:r>
            <w:r>
              <w:rPr>
                <w:rStyle w:val="11"/>
                <w:bdr w:val="none" w:color="auto" w:sz="0" w:space="0"/>
                <w:lang w:val="en-US" w:eastAsia="zh-CN" w:bidi="ar"/>
              </w:rPr>
              <w:t>，按照县财政局日常掌握情况综合评定</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r>
              <w:rPr>
                <w:rStyle w:val="11"/>
                <w:bdr w:val="none" w:color="auto" w:sz="0" w:space="0"/>
                <w:lang w:val="en-US" w:eastAsia="zh-CN" w:bidi="ar"/>
              </w:rPr>
              <w:t>在组织实施预算绩效管理过程中，被县财政局或上级部门评定为</w:t>
            </w:r>
            <w:r>
              <w:rPr>
                <w:rStyle w:val="12"/>
                <w:rFonts w:eastAsia="宋体"/>
                <w:bdr w:val="none" w:color="auto" w:sz="0" w:space="0"/>
                <w:lang w:val="en-US" w:eastAsia="zh-CN" w:bidi="ar"/>
              </w:rPr>
              <w:t>“</w:t>
            </w:r>
            <w:r>
              <w:rPr>
                <w:rStyle w:val="11"/>
                <w:bdr w:val="none" w:color="auto" w:sz="0" w:space="0"/>
                <w:lang w:val="en-US" w:eastAsia="zh-CN" w:bidi="ar"/>
              </w:rPr>
              <w:t>差</w:t>
            </w:r>
            <w:r>
              <w:rPr>
                <w:rStyle w:val="12"/>
                <w:rFonts w:eastAsia="宋体"/>
                <w:bdr w:val="none" w:color="auto" w:sz="0" w:space="0"/>
                <w:lang w:val="en-US" w:eastAsia="zh-CN" w:bidi="ar"/>
              </w:rPr>
              <w:t>”</w:t>
            </w:r>
            <w:r>
              <w:rPr>
                <w:rStyle w:val="11"/>
                <w:bdr w:val="none" w:color="auto" w:sz="0" w:space="0"/>
                <w:lang w:val="en-US" w:eastAsia="zh-CN" w:bidi="ar"/>
              </w:rPr>
              <w:t>，每次减</w:t>
            </w:r>
            <w:r>
              <w:rPr>
                <w:rStyle w:val="12"/>
                <w:rFonts w:eastAsia="宋体"/>
                <w:bdr w:val="none" w:color="auto" w:sz="0" w:space="0"/>
                <w:lang w:val="en-US" w:eastAsia="zh-CN" w:bidi="ar"/>
              </w:rPr>
              <w:t>1</w:t>
            </w:r>
            <w:r>
              <w:rPr>
                <w:rStyle w:val="11"/>
                <w:bdr w:val="none" w:color="auto" w:sz="0" w:space="0"/>
                <w:lang w:val="en-US" w:eastAsia="zh-CN" w:bidi="ar"/>
              </w:rPr>
              <w:t>分，最高减</w:t>
            </w:r>
            <w:r>
              <w:rPr>
                <w:rStyle w:val="12"/>
                <w:rFonts w:eastAsia="宋体"/>
                <w:bdr w:val="none" w:color="auto" w:sz="0" w:space="0"/>
                <w:lang w:val="en-US" w:eastAsia="zh-CN" w:bidi="ar"/>
              </w:rPr>
              <w:t>2</w:t>
            </w:r>
            <w:r>
              <w:rPr>
                <w:rStyle w:val="11"/>
                <w:bdr w:val="none" w:color="auto" w:sz="0" w:space="0"/>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65"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bdr w:val="none" w:color="auto" w:sz="0" w:space="0"/>
                <w:lang w:val="en-US" w:eastAsia="zh-CN" w:bidi="ar"/>
              </w:rPr>
              <w:t>该项无需提供佐证资料</w:t>
            </w:r>
            <w:r>
              <w:rPr>
                <w:rStyle w:val="11"/>
                <w:bdr w:val="none" w:color="auto" w:sz="0" w:space="0"/>
                <w:lang w:val="en-US" w:eastAsia="zh-CN" w:bidi="ar"/>
              </w:rPr>
              <w:t>，按照县财政局日常掌握情况综合评定</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 xml:space="preserve">2. </w:t>
            </w:r>
            <w:r>
              <w:rPr>
                <w:rStyle w:val="11"/>
                <w:bdr w:val="none" w:color="auto" w:sz="0" w:space="0"/>
                <w:lang w:val="en-US" w:eastAsia="zh-CN" w:bidi="ar"/>
              </w:rPr>
              <w:t>在组织实施预算绩效管理过程中，因工作推进不力、绩效管理混乱等情况被县财政局</w:t>
            </w:r>
            <w:r>
              <w:rPr>
                <w:rStyle w:val="12"/>
                <w:rFonts w:eastAsia="宋体"/>
                <w:bdr w:val="none" w:color="auto" w:sz="0" w:space="0"/>
                <w:lang w:val="en-US" w:eastAsia="zh-CN" w:bidi="ar"/>
              </w:rPr>
              <w:t>“</w:t>
            </w:r>
            <w:r>
              <w:rPr>
                <w:rStyle w:val="11"/>
                <w:bdr w:val="none" w:color="auto" w:sz="0" w:space="0"/>
                <w:lang w:val="en-US" w:eastAsia="zh-CN" w:bidi="ar"/>
              </w:rPr>
              <w:t>工作督促</w:t>
            </w:r>
            <w:r>
              <w:rPr>
                <w:rStyle w:val="12"/>
                <w:rFonts w:eastAsia="宋体"/>
                <w:bdr w:val="none" w:color="auto" w:sz="0" w:space="0"/>
                <w:lang w:val="en-US" w:eastAsia="zh-CN" w:bidi="ar"/>
              </w:rPr>
              <w:t>”“</w:t>
            </w:r>
            <w:r>
              <w:rPr>
                <w:rStyle w:val="11"/>
                <w:bdr w:val="none" w:color="auto" w:sz="0" w:space="0"/>
                <w:lang w:val="en-US" w:eastAsia="zh-CN" w:bidi="ar"/>
              </w:rPr>
              <w:t>责令整改</w:t>
            </w:r>
            <w:r>
              <w:rPr>
                <w:rStyle w:val="12"/>
                <w:rFonts w:eastAsia="宋体"/>
                <w:bdr w:val="none" w:color="auto" w:sz="0" w:space="0"/>
                <w:lang w:val="en-US" w:eastAsia="zh-CN" w:bidi="ar"/>
              </w:rPr>
              <w:t>”“</w:t>
            </w:r>
            <w:r>
              <w:rPr>
                <w:rStyle w:val="11"/>
                <w:bdr w:val="none" w:color="auto" w:sz="0" w:space="0"/>
                <w:lang w:val="en-US" w:eastAsia="zh-CN" w:bidi="ar"/>
              </w:rPr>
              <w:t>约谈</w:t>
            </w:r>
            <w:r>
              <w:rPr>
                <w:rStyle w:val="12"/>
                <w:rFonts w:eastAsia="宋体"/>
                <w:bdr w:val="none" w:color="auto" w:sz="0" w:space="0"/>
                <w:lang w:val="en-US" w:eastAsia="zh-CN" w:bidi="ar"/>
              </w:rPr>
              <w:t>”</w:t>
            </w:r>
            <w:r>
              <w:rPr>
                <w:rStyle w:val="11"/>
                <w:bdr w:val="none" w:color="auto" w:sz="0" w:space="0"/>
                <w:lang w:val="en-US" w:eastAsia="zh-CN" w:bidi="ar"/>
              </w:rPr>
              <w:t>，每次减</w:t>
            </w:r>
            <w:r>
              <w:rPr>
                <w:rStyle w:val="12"/>
                <w:rFonts w:eastAsia="宋体"/>
                <w:bdr w:val="none" w:color="auto" w:sz="0" w:space="0"/>
                <w:lang w:val="en-US" w:eastAsia="zh-CN" w:bidi="ar"/>
              </w:rPr>
              <w:t>1</w:t>
            </w:r>
            <w:r>
              <w:rPr>
                <w:rStyle w:val="11"/>
                <w:bdr w:val="none" w:color="auto" w:sz="0" w:space="0"/>
                <w:lang w:val="en-US" w:eastAsia="zh-CN" w:bidi="ar"/>
              </w:rPr>
              <w:t>分，最高减</w:t>
            </w:r>
            <w:r>
              <w:rPr>
                <w:rStyle w:val="12"/>
                <w:rFonts w:eastAsia="宋体"/>
                <w:bdr w:val="none" w:color="auto" w:sz="0" w:space="0"/>
                <w:lang w:val="en-US" w:eastAsia="zh-CN" w:bidi="ar"/>
              </w:rPr>
              <w:t>2</w:t>
            </w:r>
            <w:r>
              <w:rPr>
                <w:rStyle w:val="11"/>
                <w:bdr w:val="none" w:color="auto" w:sz="0" w:space="0"/>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5"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bdr w:val="none" w:color="auto" w:sz="0" w:space="0"/>
                <w:lang w:val="en-US" w:eastAsia="zh-CN" w:bidi="ar"/>
              </w:rPr>
              <w:t>该项无需提供佐证资料</w:t>
            </w:r>
            <w:r>
              <w:rPr>
                <w:rStyle w:val="11"/>
                <w:bdr w:val="none" w:color="auto" w:sz="0" w:space="0"/>
                <w:lang w:val="en-US" w:eastAsia="zh-CN" w:bidi="ar"/>
              </w:rPr>
              <w:t>，按照县财政局日常掌握情况综合评定</w:t>
            </w:r>
          </w:p>
        </w:tc>
        <w:tc>
          <w:tcPr>
            <w:tcW w:w="35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r>
              <w:rPr>
                <w:rStyle w:val="11"/>
                <w:bdr w:val="none" w:color="auto" w:sz="0" w:space="0"/>
                <w:lang w:val="en-US" w:eastAsia="zh-CN" w:bidi="ar"/>
              </w:rPr>
              <w:t>被上级有关部门或本级人大、审计部门、巡视巡察、财政监督检查等发现反映有关预算绩效管理方面问题的，每一次扣</w:t>
            </w:r>
            <w:r>
              <w:rPr>
                <w:rStyle w:val="12"/>
                <w:rFonts w:eastAsia="宋体"/>
                <w:bdr w:val="none" w:color="auto" w:sz="0" w:space="0"/>
                <w:lang w:val="en-US" w:eastAsia="zh-CN" w:bidi="ar"/>
              </w:rPr>
              <w:t>1</w:t>
            </w:r>
            <w:r>
              <w:rPr>
                <w:rStyle w:val="11"/>
                <w:bdr w:val="none" w:color="auto" w:sz="0" w:space="0"/>
                <w:lang w:val="en-US" w:eastAsia="zh-CN" w:bidi="ar"/>
              </w:rPr>
              <w:t>分，最高减</w:t>
            </w:r>
            <w:r>
              <w:rPr>
                <w:rStyle w:val="12"/>
                <w:rFonts w:eastAsia="宋体"/>
                <w:bdr w:val="none" w:color="auto" w:sz="0" w:space="0"/>
                <w:lang w:val="en-US" w:eastAsia="zh-CN" w:bidi="ar"/>
              </w:rPr>
              <w:t>2</w:t>
            </w:r>
            <w:r>
              <w:rPr>
                <w:rStyle w:val="11"/>
                <w:bdr w:val="none" w:color="auto" w:sz="0" w:space="0"/>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66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default" w:ascii="Times New Roman" w:hAnsi="Times New Roman" w:eastAsia="宋体" w:cs="Times New Roman"/>
                <w:i w:val="0"/>
                <w:iCs w:val="0"/>
                <w:color w:val="000000"/>
                <w:sz w:val="21"/>
                <w:szCs w:val="21"/>
                <w:u w:val="none"/>
              </w:rPr>
            </w:pPr>
          </w:p>
        </w:tc>
      </w:tr>
    </w:tbl>
    <w:p>
      <w:pPr>
        <w:keepNext w:val="0"/>
        <w:keepLines w:val="0"/>
        <w:pageBreakBefore w:val="0"/>
        <w:pBdr>
          <w:top w:val="single" w:color="auto" w:sz="4" w:space="0"/>
          <w:bottom w:val="single" w:color="auto" w:sz="4" w:space="0"/>
        </w:pBdr>
        <w:kinsoku/>
        <w:overflowPunct/>
        <w:topLinePunct w:val="0"/>
        <w:autoSpaceDE/>
        <w:autoSpaceDN/>
        <w:bidi w:val="0"/>
        <w:adjustRightInd/>
        <w:snapToGrid/>
        <w:spacing w:line="580" w:lineRule="exact"/>
        <w:ind w:firstLine="280" w:firstLineChars="100"/>
        <w:rPr>
          <w:rFonts w:eastAsia="方正仿宋简体"/>
          <w:color w:val="000000" w:themeColor="text1"/>
          <w:sz w:val="28"/>
          <w:szCs w:val="28"/>
        </w:rPr>
      </w:pP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黑体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357" w:wrap="around" w:vAnchor="text" w:hAnchor="margin" w:xAlign="outside" w:y="9"/>
      <w:jc w:val="center"/>
      <w:rPr>
        <w:rStyle w:val="6"/>
        <w:sz w:val="28"/>
        <w:szCs w:val="28"/>
      </w:rPr>
    </w:pPr>
    <w:r>
      <w:rPr>
        <w:rStyle w:val="6"/>
        <w:sz w:val="28"/>
        <w:szCs w:val="28"/>
      </w:rPr>
      <w:t xml:space="preserve">— </w:t>
    </w: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7</w:t>
    </w:r>
    <w:r>
      <w:rPr>
        <w:rStyle w:val="6"/>
        <w:sz w:val="28"/>
        <w:szCs w:val="28"/>
      </w:rPr>
      <w:fldChar w:fldCharType="end"/>
    </w:r>
    <w:r>
      <w:rPr>
        <w:rStyle w:val="6"/>
        <w:sz w:val="28"/>
        <w:szCs w:val="28"/>
      </w:rPr>
      <w:t xml:space="preserve"> —</w:t>
    </w:r>
  </w:p>
  <w:p>
    <w:pPr>
      <w:pStyle w:val="2"/>
      <w:ind w:right="360" w:firstLine="360"/>
      <w:jc w:val="center"/>
      <w:rPr>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D96F8"/>
    <w:multiLevelType w:val="singleLevel"/>
    <w:tmpl w:val="8DFD96F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U0ZGE3NGFjNDJiNTMzYTQ0N2Q0ZDQ5ODRlMDg1MGMifQ=="/>
  </w:docVars>
  <w:rsids>
    <w:rsidRoot w:val="08A06CFB"/>
    <w:rsid w:val="0000418D"/>
    <w:rsid w:val="00073E56"/>
    <w:rsid w:val="0009147C"/>
    <w:rsid w:val="00094A93"/>
    <w:rsid w:val="000F7B17"/>
    <w:rsid w:val="00234316"/>
    <w:rsid w:val="00273A3E"/>
    <w:rsid w:val="002A51D0"/>
    <w:rsid w:val="002B247F"/>
    <w:rsid w:val="002D59A5"/>
    <w:rsid w:val="003074FA"/>
    <w:rsid w:val="00315872"/>
    <w:rsid w:val="003256BD"/>
    <w:rsid w:val="00375A08"/>
    <w:rsid w:val="003B35C2"/>
    <w:rsid w:val="005749AF"/>
    <w:rsid w:val="005D5A2A"/>
    <w:rsid w:val="005E43FE"/>
    <w:rsid w:val="00605E99"/>
    <w:rsid w:val="006C70A8"/>
    <w:rsid w:val="007B1B35"/>
    <w:rsid w:val="007B6579"/>
    <w:rsid w:val="008A067D"/>
    <w:rsid w:val="009E7056"/>
    <w:rsid w:val="00A25A60"/>
    <w:rsid w:val="00A64FD9"/>
    <w:rsid w:val="00B46F81"/>
    <w:rsid w:val="00BA7AC9"/>
    <w:rsid w:val="00C105F6"/>
    <w:rsid w:val="00C53F09"/>
    <w:rsid w:val="00C6525A"/>
    <w:rsid w:val="00CC3662"/>
    <w:rsid w:val="00D03A3B"/>
    <w:rsid w:val="00D628D6"/>
    <w:rsid w:val="00DB5363"/>
    <w:rsid w:val="00DD0670"/>
    <w:rsid w:val="00DE1506"/>
    <w:rsid w:val="00DE38DA"/>
    <w:rsid w:val="00DF0F17"/>
    <w:rsid w:val="00EA4006"/>
    <w:rsid w:val="00ED7354"/>
    <w:rsid w:val="00EE59A0"/>
    <w:rsid w:val="00FE69DE"/>
    <w:rsid w:val="01B75E46"/>
    <w:rsid w:val="02830946"/>
    <w:rsid w:val="03AD1B4C"/>
    <w:rsid w:val="04844854"/>
    <w:rsid w:val="058368B9"/>
    <w:rsid w:val="06E8731C"/>
    <w:rsid w:val="06EF5A5E"/>
    <w:rsid w:val="086A3D60"/>
    <w:rsid w:val="08A06CFB"/>
    <w:rsid w:val="09DD6C33"/>
    <w:rsid w:val="0A4800D1"/>
    <w:rsid w:val="0C01678A"/>
    <w:rsid w:val="0D6D2583"/>
    <w:rsid w:val="0DD1522E"/>
    <w:rsid w:val="10003594"/>
    <w:rsid w:val="10D77ADC"/>
    <w:rsid w:val="11503939"/>
    <w:rsid w:val="12657895"/>
    <w:rsid w:val="12C66037"/>
    <w:rsid w:val="13673C09"/>
    <w:rsid w:val="147246C9"/>
    <w:rsid w:val="14A979BF"/>
    <w:rsid w:val="161372CA"/>
    <w:rsid w:val="17D11706"/>
    <w:rsid w:val="1ACA358A"/>
    <w:rsid w:val="1B177D78"/>
    <w:rsid w:val="1D100F23"/>
    <w:rsid w:val="1D903E12"/>
    <w:rsid w:val="1E7B2E90"/>
    <w:rsid w:val="1ED40862"/>
    <w:rsid w:val="1EF36406"/>
    <w:rsid w:val="201605FE"/>
    <w:rsid w:val="20CA13E8"/>
    <w:rsid w:val="21C30312"/>
    <w:rsid w:val="232A3ADD"/>
    <w:rsid w:val="2366189C"/>
    <w:rsid w:val="23AA41C8"/>
    <w:rsid w:val="255D2C12"/>
    <w:rsid w:val="262B1788"/>
    <w:rsid w:val="267F67D1"/>
    <w:rsid w:val="27710810"/>
    <w:rsid w:val="285239B0"/>
    <w:rsid w:val="2AED63FF"/>
    <w:rsid w:val="2B8925CC"/>
    <w:rsid w:val="2BB92785"/>
    <w:rsid w:val="2BFD08C4"/>
    <w:rsid w:val="2C1A1476"/>
    <w:rsid w:val="2C844B41"/>
    <w:rsid w:val="2CAC3151"/>
    <w:rsid w:val="2CC413E2"/>
    <w:rsid w:val="2D1046A7"/>
    <w:rsid w:val="2D3E7309"/>
    <w:rsid w:val="2DF976ED"/>
    <w:rsid w:val="2ED438FE"/>
    <w:rsid w:val="2F8310E0"/>
    <w:rsid w:val="2F997048"/>
    <w:rsid w:val="30202DD3"/>
    <w:rsid w:val="3293788C"/>
    <w:rsid w:val="33501C21"/>
    <w:rsid w:val="341964B7"/>
    <w:rsid w:val="361231BE"/>
    <w:rsid w:val="36FD10D3"/>
    <w:rsid w:val="37F9283D"/>
    <w:rsid w:val="38F14465"/>
    <w:rsid w:val="38F848ED"/>
    <w:rsid w:val="399D5494"/>
    <w:rsid w:val="39F17061"/>
    <w:rsid w:val="3B182927"/>
    <w:rsid w:val="3C7526A2"/>
    <w:rsid w:val="3CAD3A64"/>
    <w:rsid w:val="3CDE204C"/>
    <w:rsid w:val="3D4D2D2E"/>
    <w:rsid w:val="3E3443C1"/>
    <w:rsid w:val="40C94DC1"/>
    <w:rsid w:val="42C16581"/>
    <w:rsid w:val="43482915"/>
    <w:rsid w:val="43DE2931"/>
    <w:rsid w:val="44564BBE"/>
    <w:rsid w:val="446C618F"/>
    <w:rsid w:val="44713F1F"/>
    <w:rsid w:val="44890EAD"/>
    <w:rsid w:val="449B0777"/>
    <w:rsid w:val="468477C0"/>
    <w:rsid w:val="48217291"/>
    <w:rsid w:val="485D29BF"/>
    <w:rsid w:val="4AD52CE0"/>
    <w:rsid w:val="4AE5660E"/>
    <w:rsid w:val="4AFD5FDD"/>
    <w:rsid w:val="4C602902"/>
    <w:rsid w:val="4D04165B"/>
    <w:rsid w:val="4D2B34E9"/>
    <w:rsid w:val="4D371A30"/>
    <w:rsid w:val="4EDB463D"/>
    <w:rsid w:val="5184720E"/>
    <w:rsid w:val="52622141"/>
    <w:rsid w:val="539D3442"/>
    <w:rsid w:val="53BF452D"/>
    <w:rsid w:val="546A10A1"/>
    <w:rsid w:val="55456CB4"/>
    <w:rsid w:val="55BA31FE"/>
    <w:rsid w:val="572052E3"/>
    <w:rsid w:val="57DA71EA"/>
    <w:rsid w:val="59B7305E"/>
    <w:rsid w:val="5A137381"/>
    <w:rsid w:val="5A755946"/>
    <w:rsid w:val="5AB05B78"/>
    <w:rsid w:val="5B081FD1"/>
    <w:rsid w:val="5BD56AE2"/>
    <w:rsid w:val="5C705D4E"/>
    <w:rsid w:val="5E1E62F4"/>
    <w:rsid w:val="5E563CE0"/>
    <w:rsid w:val="5F155949"/>
    <w:rsid w:val="5FD01870"/>
    <w:rsid w:val="604069F6"/>
    <w:rsid w:val="61122998"/>
    <w:rsid w:val="61247BC4"/>
    <w:rsid w:val="61A87A01"/>
    <w:rsid w:val="61AC33CD"/>
    <w:rsid w:val="622F00BF"/>
    <w:rsid w:val="62FA5334"/>
    <w:rsid w:val="632717A7"/>
    <w:rsid w:val="636724EC"/>
    <w:rsid w:val="644744E9"/>
    <w:rsid w:val="64526CF8"/>
    <w:rsid w:val="647E5010"/>
    <w:rsid w:val="64F47DAF"/>
    <w:rsid w:val="66D87988"/>
    <w:rsid w:val="66FE4F15"/>
    <w:rsid w:val="67897DDC"/>
    <w:rsid w:val="696A4AE4"/>
    <w:rsid w:val="6B0C289F"/>
    <w:rsid w:val="6B8F438D"/>
    <w:rsid w:val="6BCF0C2E"/>
    <w:rsid w:val="6DB63E53"/>
    <w:rsid w:val="6DB963C9"/>
    <w:rsid w:val="6F213E96"/>
    <w:rsid w:val="6FB76637"/>
    <w:rsid w:val="7046768A"/>
    <w:rsid w:val="70785D38"/>
    <w:rsid w:val="718A5D23"/>
    <w:rsid w:val="721101F2"/>
    <w:rsid w:val="73942E89"/>
    <w:rsid w:val="74602D6B"/>
    <w:rsid w:val="75A373B3"/>
    <w:rsid w:val="761738FD"/>
    <w:rsid w:val="764010A6"/>
    <w:rsid w:val="768076F4"/>
    <w:rsid w:val="77AE203F"/>
    <w:rsid w:val="77B40003"/>
    <w:rsid w:val="78141133"/>
    <w:rsid w:val="782642CC"/>
    <w:rsid w:val="7840538D"/>
    <w:rsid w:val="79166739"/>
    <w:rsid w:val="79896456"/>
    <w:rsid w:val="799A0ACD"/>
    <w:rsid w:val="79E16DFF"/>
    <w:rsid w:val="7BDB6FF5"/>
    <w:rsid w:val="7C4F3DF1"/>
    <w:rsid w:val="7C507FEF"/>
    <w:rsid w:val="7CDD3EDD"/>
    <w:rsid w:val="7D556963"/>
    <w:rsid w:val="7DF82266"/>
    <w:rsid w:val="7E6D055E"/>
    <w:rsid w:val="7E8F3F35"/>
    <w:rsid w:val="7F3455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rPr>
      <w:rFonts w:cs="Times New Roman"/>
    </w:rPr>
  </w:style>
  <w:style w:type="character" w:customStyle="1" w:styleId="7">
    <w:name w:val="font101"/>
    <w:basedOn w:val="5"/>
    <w:uiPriority w:val="0"/>
    <w:rPr>
      <w:rFonts w:hint="default" w:ascii="Times New Roman" w:hAnsi="Times New Roman" w:cs="Times New Roman"/>
      <w:b/>
      <w:bCs/>
      <w:color w:val="000000"/>
      <w:sz w:val="32"/>
      <w:szCs w:val="32"/>
      <w:u w:val="none"/>
    </w:rPr>
  </w:style>
  <w:style w:type="character" w:customStyle="1" w:styleId="8">
    <w:name w:val="font112"/>
    <w:basedOn w:val="5"/>
    <w:uiPriority w:val="0"/>
    <w:rPr>
      <w:rFonts w:hint="eastAsia" w:ascii="方正楷体简体" w:hAnsi="方正楷体简体" w:eastAsia="方正楷体简体" w:cs="方正楷体简体"/>
      <w:b/>
      <w:bCs/>
      <w:color w:val="000000"/>
      <w:sz w:val="32"/>
      <w:szCs w:val="32"/>
      <w:u w:val="none"/>
    </w:rPr>
  </w:style>
  <w:style w:type="character" w:customStyle="1" w:styleId="9">
    <w:name w:val="font121"/>
    <w:basedOn w:val="5"/>
    <w:uiPriority w:val="0"/>
    <w:rPr>
      <w:rFonts w:hint="default" w:ascii="Times New Roman" w:hAnsi="Times New Roman" w:cs="Times New Roman"/>
      <w:color w:val="000000"/>
      <w:sz w:val="24"/>
      <w:szCs w:val="24"/>
      <w:u w:val="none"/>
    </w:rPr>
  </w:style>
  <w:style w:type="character" w:customStyle="1" w:styleId="10">
    <w:name w:val="font131"/>
    <w:basedOn w:val="5"/>
    <w:uiPriority w:val="0"/>
    <w:rPr>
      <w:rFonts w:hint="eastAsia" w:ascii="宋体" w:hAnsi="宋体" w:eastAsia="宋体" w:cs="宋体"/>
      <w:color w:val="000000"/>
      <w:sz w:val="24"/>
      <w:szCs w:val="24"/>
      <w:u w:val="none"/>
    </w:rPr>
  </w:style>
  <w:style w:type="character" w:customStyle="1" w:styleId="11">
    <w:name w:val="font141"/>
    <w:basedOn w:val="5"/>
    <w:uiPriority w:val="0"/>
    <w:rPr>
      <w:rFonts w:hint="eastAsia" w:ascii="宋体" w:hAnsi="宋体" w:eastAsia="宋体" w:cs="宋体"/>
      <w:color w:val="000000"/>
      <w:sz w:val="21"/>
      <w:szCs w:val="21"/>
      <w:u w:val="none"/>
    </w:rPr>
  </w:style>
  <w:style w:type="character" w:customStyle="1" w:styleId="12">
    <w:name w:val="font151"/>
    <w:basedOn w:val="5"/>
    <w:uiPriority w:val="0"/>
    <w:rPr>
      <w:rFonts w:hint="default" w:ascii="Times New Roman" w:hAnsi="Times New Roman" w:cs="Times New Roman"/>
      <w:color w:val="000000"/>
      <w:sz w:val="21"/>
      <w:szCs w:val="21"/>
      <w:u w:val="none"/>
    </w:rPr>
  </w:style>
  <w:style w:type="character" w:customStyle="1" w:styleId="13">
    <w:name w:val="font161"/>
    <w:basedOn w:val="5"/>
    <w:uiPriority w:val="0"/>
    <w:rPr>
      <w:rFonts w:ascii="Calibri" w:hAnsi="Calibri" w:cs="Calibri"/>
      <w:color w:val="000000"/>
      <w:sz w:val="21"/>
      <w:szCs w:val="21"/>
      <w:u w:val="none"/>
    </w:rPr>
  </w:style>
  <w:style w:type="character" w:customStyle="1" w:styleId="14">
    <w:name w:val="font51"/>
    <w:basedOn w:val="5"/>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10</Pages>
  <Words>2903</Words>
  <Characters>2954</Characters>
  <Lines>8</Lines>
  <Paragraphs>13</Paragraphs>
  <TotalTime>4</TotalTime>
  <ScaleCrop>false</ScaleCrop>
  <LinksUpToDate>false</LinksUpToDate>
  <CharactersWithSpaces>3043</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2022-02-14T03:17:00Z</dcterms:created>
  <dc:creator>Administrator</dc:creator>
  <cp:lastModifiedBy>村姑</cp:lastModifiedBy>
  <cp:lastPrinted>2023-02-28T02:59:00Z</cp:lastPrinted>
  <dcterms:modified xsi:type="dcterms:W3CDTF">2023-11-02T02:52:34Z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D164D5AEEB6E4B98860ADA2F063975FC</vt:lpwstr>
  </property>
</Properties>
</file>