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eastAsia="方正黑体简体"/>
          <w:sz w:val="32"/>
          <w:szCs w:val="32"/>
        </w:rPr>
      </w:pPr>
      <w:r>
        <w:rPr>
          <w:rFonts w:hint="eastAsia" w:eastAsia="方正黑体简体"/>
          <w:sz w:val="32"/>
          <w:szCs w:val="32"/>
        </w:rPr>
        <w:t>附件</w:t>
      </w:r>
      <w:r>
        <w:rPr>
          <w:rFonts w:eastAsia="方正黑体简体"/>
          <w:sz w:val="32"/>
          <w:szCs w:val="32"/>
        </w:rPr>
        <w:t>4</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乐至县白僵蚕产业园建设项目前期工作经费</w:t>
      </w:r>
      <w:r>
        <w:rPr>
          <w:rFonts w:hint="eastAsia" w:eastAsia="方正楷体简体"/>
          <w:b/>
          <w:sz w:val="32"/>
          <w:szCs w:val="32"/>
        </w:rPr>
        <w:t>项目）</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（一）概况</w:t>
      </w:r>
    </w:p>
    <w:p>
      <w:pPr>
        <w:spacing w:line="580" w:lineRule="exact"/>
        <w:ind w:firstLine="640" w:firstLineChars="200"/>
        <w:rPr>
          <w:rFonts w:hint="eastAsia" w:eastAsia="方正仿宋简体"/>
          <w:sz w:val="32"/>
          <w:szCs w:val="32"/>
        </w:rPr>
      </w:pPr>
      <w:r>
        <w:rPr>
          <w:rFonts w:hint="eastAsia" w:eastAsia="方正仿宋简体"/>
          <w:sz w:val="32"/>
          <w:szCs w:val="32"/>
        </w:rPr>
        <w:t>项目背景：</w:t>
      </w:r>
    </w:p>
    <w:p>
      <w:pPr>
        <w:spacing w:line="580" w:lineRule="exact"/>
        <w:ind w:firstLine="640" w:firstLineChars="200"/>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 xml:space="preserve"> 白僵蚕是我县蚕桑产业的新兴朝阳产业</w:t>
      </w:r>
      <w:r>
        <w:rPr>
          <w:rFonts w:hint="eastAsia"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lang w:val="en-US" w:eastAsia="zh-CN"/>
        </w:rPr>
        <w:t>市场需求大，发展前景好。为了进一步提升我县白僵蚕发展质量，扩大发展规模，提高乐至县白僵蚕市场影响，全力打造“中国白僵蚕之乡”，助力中国桑都建设，2021年，经认真考察，科学谋划，策划包装了乐至县白僵蚕产业园建设项目，项目于2021年11月立项，并上报申请地方专项债券资金。</w:t>
      </w:r>
    </w:p>
    <w:p>
      <w:pPr>
        <w:spacing w:line="580" w:lineRule="exact"/>
        <w:ind w:firstLine="640" w:firstLineChars="200"/>
        <w:rPr>
          <w:rFonts w:hint="eastAsia" w:eastAsia="方正仿宋简体"/>
          <w:sz w:val="32"/>
          <w:szCs w:val="32"/>
        </w:rPr>
      </w:pPr>
      <w:r>
        <w:rPr>
          <w:rFonts w:hint="eastAsia" w:eastAsia="方正仿宋简体"/>
          <w:sz w:val="32"/>
          <w:szCs w:val="32"/>
        </w:rPr>
        <w:t>建设内容：</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编制乐至县白僵蚕产业园建设项目可行性研究报告和一案两书。</w:t>
      </w:r>
    </w:p>
    <w:p>
      <w:pPr>
        <w:spacing w:line="580" w:lineRule="exact"/>
        <w:ind w:firstLine="640" w:firstLineChars="200"/>
        <w:rPr>
          <w:rFonts w:hint="eastAsia" w:eastAsia="方正仿宋简体"/>
          <w:sz w:val="32"/>
          <w:szCs w:val="32"/>
        </w:rPr>
      </w:pPr>
      <w:r>
        <w:rPr>
          <w:rFonts w:eastAsia="方正仿宋简体"/>
          <w:sz w:val="32"/>
          <w:szCs w:val="32"/>
        </w:rPr>
        <w:t>资金来源</w:t>
      </w:r>
      <w:r>
        <w:rPr>
          <w:rFonts w:hint="eastAsia" w:eastAsia="方正仿宋简体"/>
          <w:sz w:val="32"/>
          <w:szCs w:val="32"/>
        </w:rPr>
        <w:t>：</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eastAsia="zh-CN"/>
        </w:rPr>
        <w:t>县级财政资金</w:t>
      </w:r>
      <w:r>
        <w:rPr>
          <w:rFonts w:hint="eastAsia" w:eastAsia="方正仿宋简体"/>
          <w:sz w:val="32"/>
          <w:szCs w:val="32"/>
          <w:lang w:val="en-US" w:eastAsia="zh-CN"/>
        </w:rPr>
        <w:t>22.6万元。</w:t>
      </w:r>
    </w:p>
    <w:p>
      <w:pPr>
        <w:spacing w:line="580" w:lineRule="exact"/>
        <w:ind w:firstLine="640" w:firstLineChars="200"/>
        <w:rPr>
          <w:rFonts w:hint="eastAsia" w:eastAsia="方正仿宋简体"/>
          <w:sz w:val="32"/>
          <w:szCs w:val="32"/>
        </w:rPr>
      </w:pPr>
      <w:r>
        <w:rPr>
          <w:rFonts w:eastAsia="方正仿宋简体"/>
          <w:sz w:val="32"/>
          <w:szCs w:val="32"/>
        </w:rPr>
        <w:t>实施情况</w:t>
      </w:r>
      <w:r>
        <w:rPr>
          <w:rFonts w:hint="eastAsia" w:eastAsia="方正仿宋简体"/>
          <w:sz w:val="32"/>
          <w:szCs w:val="32"/>
        </w:rPr>
        <w:t>：</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eastAsia="方正仿宋简体"/>
          <w:sz w:val="32"/>
          <w:szCs w:val="32"/>
          <w:lang w:val="en-US" w:eastAsia="zh-CN"/>
        </w:rPr>
        <w:t>2022年4月底前编制完成</w:t>
      </w:r>
      <w:r>
        <w:rPr>
          <w:rFonts w:hint="eastAsia" w:ascii="Times New Roman" w:hAnsi="Times New Roman" w:eastAsia="方正仿宋简体" w:cs="Times New Roman"/>
          <w:sz w:val="32"/>
          <w:szCs w:val="32"/>
          <w:lang w:val="en-US" w:eastAsia="zh-CN"/>
        </w:rPr>
        <w:t>乐至县白僵蚕产业园建设项目可行性研究报告和一案两书。</w:t>
      </w:r>
    </w:p>
    <w:p>
      <w:pPr>
        <w:spacing w:line="580" w:lineRule="exact"/>
        <w:ind w:firstLine="640" w:firstLineChars="200"/>
        <w:rPr>
          <w:rFonts w:hint="eastAsia" w:eastAsia="方正仿宋简体"/>
          <w:sz w:val="32"/>
          <w:szCs w:val="32"/>
        </w:rPr>
      </w:pPr>
      <w:r>
        <w:rPr>
          <w:rFonts w:eastAsia="方正仿宋简体"/>
          <w:sz w:val="32"/>
          <w:szCs w:val="32"/>
        </w:rPr>
        <w:t>组织管理情况</w:t>
      </w:r>
      <w:r>
        <w:rPr>
          <w:rFonts w:hint="eastAsia" w:eastAsia="方正仿宋简体"/>
          <w:sz w:val="32"/>
          <w:szCs w:val="32"/>
        </w:rPr>
        <w:t>：</w:t>
      </w:r>
    </w:p>
    <w:p>
      <w:pPr>
        <w:spacing w:line="580" w:lineRule="exact"/>
        <w:ind w:firstLine="640" w:firstLineChars="200"/>
        <w:rPr>
          <w:rFonts w:hint="eastAsia" w:eastAsia="方正仿宋简体"/>
          <w:sz w:val="32"/>
          <w:szCs w:val="32"/>
        </w:rPr>
      </w:pPr>
      <w:r>
        <w:rPr>
          <w:rFonts w:hint="eastAsia" w:eastAsia="方正仿宋简体"/>
          <w:sz w:val="32"/>
          <w:szCs w:val="32"/>
          <w:lang w:eastAsia="zh-CN"/>
        </w:rPr>
        <w:t>乐至县蚕桑局指导乐至县乐兴现代农业开发有限公司与相关的专业机构签定咨询合同，</w:t>
      </w:r>
      <w:r>
        <w:rPr>
          <w:rFonts w:hint="eastAsia" w:eastAsia="方正仿宋简体"/>
          <w:sz w:val="32"/>
          <w:szCs w:val="32"/>
          <w:lang w:val="en-US" w:eastAsia="zh-CN"/>
        </w:rPr>
        <w:t>2021年11月与四川飞红工程管理咨询有限公司答订乐至县白僵蚕产业园建设项目可行性研究报告合同，2022年2月与成都恒瑞兴工程项目管理有限公司签订乐至县白僵蚕产业园建设项目实施方案咨询合同，2022年2月与四川博锐会计师事务所有限责任公司签订乐至县白僵蚕产业园建设项目专项债券项目财务评估报告咨询合同，2022年2月与四川缘一律师事务所签订乐至县白僵蚕产业园建设项目专项法律顾问合同。合同明确各机构的职能、职责及报告书完成时限等，报告完成后经验收合后划拨资金。</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2022年4月底前编制完成乐至县白僵蚕产业园建设项目可行性研究报告和一案两书。</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0" w:firstLineChars="200"/>
        <w:rPr>
          <w:rFonts w:hint="eastAsia" w:eastAsia="方正黑体简体"/>
          <w:sz w:val="32"/>
          <w:szCs w:val="32"/>
        </w:rPr>
      </w:pPr>
      <w:r>
        <w:rPr>
          <w:rFonts w:hint="eastAsia" w:eastAsia="方正仿宋简体"/>
          <w:sz w:val="32"/>
          <w:szCs w:val="32"/>
        </w:rPr>
        <w:t>局财务部门为主、业务股室配合收集绩效评价资料，开展</w:t>
      </w:r>
      <w:r>
        <w:rPr>
          <w:rFonts w:eastAsia="方正仿宋简体"/>
          <w:sz w:val="32"/>
          <w:szCs w:val="32"/>
        </w:rPr>
        <w:t>绩效评价工作</w:t>
      </w:r>
      <w:r>
        <w:rPr>
          <w:rFonts w:hint="eastAsia" w:eastAsia="方正仿宋简体"/>
          <w:sz w:val="32"/>
          <w:szCs w:val="32"/>
        </w:rPr>
        <w:t>，通过翻阅资料，</w:t>
      </w:r>
      <w:r>
        <w:rPr>
          <w:rFonts w:eastAsia="方正仿宋简体"/>
          <w:sz w:val="32"/>
          <w:szCs w:val="32"/>
        </w:rPr>
        <w:t>资金落实、业务管理、财务管理、项目产出等方面进行了充分评估</w:t>
      </w:r>
      <w:r>
        <w:rPr>
          <w:rFonts w:hint="eastAsia" w:eastAsia="方正仿宋简体"/>
          <w:sz w:val="32"/>
          <w:szCs w:val="32"/>
        </w:rPr>
        <w:t>。</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hint="eastAsia" w:eastAsia="方正黑体简体"/>
          <w:sz w:val="32"/>
          <w:szCs w:val="32"/>
        </w:rPr>
      </w:pPr>
      <w:r>
        <w:rPr>
          <w:rFonts w:hint="eastAsia" w:eastAsia="方正仿宋简体"/>
          <w:sz w:val="32"/>
          <w:szCs w:val="32"/>
          <w:lang w:val="en-US" w:eastAsia="zh-CN"/>
        </w:rPr>
        <w:t>乐至县白僵蚕产业园建设项目前期工作经费</w:t>
      </w:r>
      <w:r>
        <w:rPr>
          <w:rFonts w:hint="eastAsia" w:eastAsia="方正仿宋简体"/>
          <w:sz w:val="32"/>
          <w:szCs w:val="32"/>
        </w:rPr>
        <w:t>项目</w:t>
      </w:r>
      <w:r>
        <w:rPr>
          <w:rFonts w:hint="eastAsia" w:eastAsia="方正仿宋简体"/>
          <w:sz w:val="32"/>
          <w:szCs w:val="32"/>
          <w:lang w:eastAsia="zh-CN"/>
        </w:rPr>
        <w:t>评分为</w:t>
      </w:r>
      <w:r>
        <w:rPr>
          <w:rFonts w:hint="eastAsia" w:eastAsia="方正仿宋简体"/>
          <w:sz w:val="32"/>
          <w:szCs w:val="32"/>
          <w:lang w:val="en-US" w:eastAsia="zh-CN"/>
        </w:rPr>
        <w:t>95分，评价等级为优。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eastAsia="方正仿宋简体"/>
          <w:sz w:val="32"/>
          <w:szCs w:val="32"/>
        </w:rPr>
      </w:pPr>
      <w:r>
        <w:rPr>
          <w:rFonts w:hint="eastAsia" w:eastAsia="方正仿宋简体"/>
          <w:sz w:val="32"/>
          <w:szCs w:val="32"/>
        </w:rPr>
        <w:t>（一）项目投入分析。</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2022年乐至县白僵蚕产业园建设项目前期工作经费</w:t>
      </w:r>
      <w:r>
        <w:rPr>
          <w:rFonts w:hint="eastAsia" w:eastAsia="方正仿宋简体"/>
          <w:sz w:val="32"/>
          <w:szCs w:val="32"/>
        </w:rPr>
        <w:t>项目立项依据充分、立项程序规范，项目符合国家相关法律法规、国民经济发展规划和政府决策，项目绩效目标明确。</w:t>
      </w:r>
    </w:p>
    <w:p>
      <w:pPr>
        <w:spacing w:line="580" w:lineRule="exact"/>
        <w:ind w:firstLine="640" w:firstLineChars="200"/>
        <w:rPr>
          <w:rFonts w:hint="eastAsia" w:eastAsia="方正仿宋简体"/>
          <w:sz w:val="32"/>
          <w:szCs w:val="32"/>
        </w:rPr>
      </w:pPr>
      <w:r>
        <w:rPr>
          <w:rFonts w:hint="eastAsia" w:eastAsia="方正仿宋简体"/>
          <w:sz w:val="32"/>
          <w:szCs w:val="32"/>
        </w:rPr>
        <w:t>（二）项目过程情况分析。</w:t>
      </w:r>
    </w:p>
    <w:p>
      <w:pPr>
        <w:spacing w:line="580" w:lineRule="exact"/>
        <w:ind w:firstLine="640" w:firstLineChars="200"/>
        <w:rPr>
          <w:rFonts w:hint="eastAsia" w:eastAsia="方正仿宋简体"/>
          <w:sz w:val="32"/>
          <w:szCs w:val="32"/>
        </w:rPr>
      </w:pPr>
      <w:r>
        <w:rPr>
          <w:rFonts w:hint="eastAsia" w:eastAsia="方正仿宋简体"/>
          <w:sz w:val="32"/>
          <w:szCs w:val="32"/>
        </w:rPr>
        <w:t>项目资金使用符合国家财经法规和财务管理制度以及有关专项资金管理办法的规定，资金拨付有完整的审批程序和手续，符合项目预算批复或合同规定的用途，不存在截留、挤占、挪用、虚列支出等情况。</w:t>
      </w:r>
    </w:p>
    <w:p>
      <w:pPr>
        <w:spacing w:line="580" w:lineRule="exact"/>
        <w:ind w:firstLine="640" w:firstLineChars="200"/>
        <w:rPr>
          <w:rFonts w:eastAsia="方正仿宋简体"/>
          <w:sz w:val="32"/>
          <w:szCs w:val="32"/>
        </w:rPr>
      </w:pPr>
      <w:r>
        <w:rPr>
          <w:rFonts w:hint="eastAsia" w:eastAsia="方正仿宋简体"/>
          <w:sz w:val="32"/>
          <w:szCs w:val="32"/>
        </w:rPr>
        <w:t>项目实施过程中，</w:t>
      </w:r>
      <w:r>
        <w:rPr>
          <w:rFonts w:hint="eastAsia" w:eastAsia="方正仿宋简体"/>
          <w:sz w:val="32"/>
          <w:szCs w:val="32"/>
          <w:lang w:eastAsia="zh-CN"/>
        </w:rPr>
        <w:t>乐至县蚕桑局</w:t>
      </w:r>
      <w:r>
        <w:rPr>
          <w:rFonts w:hint="eastAsia" w:eastAsia="方正仿宋简体"/>
          <w:sz w:val="32"/>
          <w:szCs w:val="32"/>
        </w:rPr>
        <w:t>对项目实施进行指导，</w:t>
      </w:r>
      <w:r>
        <w:rPr>
          <w:rFonts w:hint="eastAsia" w:eastAsia="方正仿宋简体"/>
          <w:sz w:val="32"/>
          <w:szCs w:val="32"/>
          <w:lang w:eastAsia="zh-CN"/>
        </w:rPr>
        <w:t>提供相关资料，</w:t>
      </w:r>
      <w:r>
        <w:rPr>
          <w:rFonts w:hint="eastAsia" w:eastAsia="方正仿宋简体"/>
          <w:sz w:val="32"/>
          <w:szCs w:val="32"/>
        </w:rPr>
        <w:t>并对项目进行督导监管，对督导监管中发现的问题、项目实施缓慢或未按政策规定实施的项目单位、督促及时整改。</w:t>
      </w:r>
    </w:p>
    <w:p>
      <w:pPr>
        <w:spacing w:line="580" w:lineRule="exact"/>
        <w:ind w:firstLine="640" w:firstLineChars="200"/>
        <w:rPr>
          <w:rFonts w:hint="eastAsia" w:eastAsia="方正仿宋简体"/>
          <w:sz w:val="32"/>
          <w:szCs w:val="32"/>
        </w:rPr>
      </w:pPr>
      <w:r>
        <w:rPr>
          <w:rFonts w:hint="eastAsia" w:eastAsia="方正仿宋简体"/>
          <w:sz w:val="32"/>
          <w:szCs w:val="32"/>
        </w:rPr>
        <w:t>（三）项目产出情况分析。</w:t>
      </w:r>
    </w:p>
    <w:p>
      <w:pPr>
        <w:spacing w:line="580" w:lineRule="exact"/>
        <w:ind w:firstLine="640" w:firstLineChars="200"/>
        <w:rPr>
          <w:rFonts w:hint="eastAsia" w:eastAsia="方正仿宋简体"/>
          <w:sz w:val="32"/>
          <w:szCs w:val="32"/>
        </w:rPr>
      </w:pPr>
      <w:r>
        <w:rPr>
          <w:rFonts w:hint="eastAsia" w:eastAsia="方正仿宋简体"/>
          <w:sz w:val="32"/>
          <w:szCs w:val="32"/>
        </w:rPr>
        <w:t>项目在实际完成率、完成及时率、质量达标率、成本节约率等方面，均达到了预期目标。</w:t>
      </w:r>
    </w:p>
    <w:p>
      <w:pPr>
        <w:spacing w:line="580" w:lineRule="exact"/>
        <w:ind w:firstLine="640" w:firstLineChars="200"/>
        <w:rPr>
          <w:rFonts w:hint="eastAsia" w:eastAsia="方正仿宋简体"/>
          <w:sz w:val="32"/>
          <w:szCs w:val="32"/>
        </w:rPr>
      </w:pPr>
      <w:r>
        <w:rPr>
          <w:rFonts w:hint="eastAsia" w:eastAsia="方正仿宋简体"/>
          <w:sz w:val="32"/>
          <w:szCs w:val="32"/>
        </w:rPr>
        <w:t>（四）项目效益及满意度情况分析。</w:t>
      </w:r>
    </w:p>
    <w:p>
      <w:pPr>
        <w:spacing w:line="580" w:lineRule="exact"/>
        <w:ind w:firstLine="640" w:firstLineChars="200"/>
        <w:rPr>
          <w:rFonts w:hint="eastAsia" w:eastAsia="方正黑体简体"/>
          <w:sz w:val="32"/>
          <w:szCs w:val="32"/>
        </w:rPr>
      </w:pPr>
      <w:r>
        <w:rPr>
          <w:rFonts w:hint="eastAsia" w:eastAsia="方正仿宋简体"/>
          <w:sz w:val="32"/>
          <w:szCs w:val="32"/>
          <w:lang w:val="en-US" w:eastAsia="zh-CN"/>
        </w:rPr>
        <w:t>2022年乐至县白僵蚕产业园建设项目前期工作经费</w:t>
      </w:r>
      <w:r>
        <w:rPr>
          <w:rFonts w:hint="eastAsia" w:eastAsia="方正仿宋简体"/>
          <w:sz w:val="32"/>
          <w:szCs w:val="32"/>
        </w:rPr>
        <w:t>项目</w:t>
      </w:r>
      <w:r>
        <w:rPr>
          <w:rFonts w:hint="eastAsia" w:eastAsia="方正仿宋简体"/>
          <w:sz w:val="32"/>
          <w:szCs w:val="32"/>
          <w:lang w:eastAsia="zh-CN"/>
        </w:rPr>
        <w:t>的实施，成功申请地方专项债券资金，推动了</w:t>
      </w:r>
      <w:r>
        <w:rPr>
          <w:rFonts w:hint="eastAsia" w:eastAsia="方正仿宋简体"/>
          <w:sz w:val="32"/>
          <w:szCs w:val="32"/>
          <w:lang w:val="en-US" w:eastAsia="zh-CN"/>
        </w:rPr>
        <w:t>乐至县白僵蚕产业园建设项目工作顺利有序推进，助力乡村振兴、产业振兴，为县域济发展及”中国桑都“提供坚实支撑，产生了较明显的社会效益。</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eastAsia="zh-CN"/>
        </w:rPr>
        <w:t>事前经过充分的调查了解，选择业务能力强、信誉度高</w:t>
      </w:r>
      <w:bookmarkStart w:id="0" w:name="_GoBack"/>
      <w:bookmarkEnd w:id="0"/>
      <w:r>
        <w:rPr>
          <w:rFonts w:hint="eastAsia" w:eastAsia="方正仿宋简体"/>
          <w:sz w:val="32"/>
          <w:szCs w:val="32"/>
          <w:lang w:eastAsia="zh-CN"/>
        </w:rPr>
        <w:t>的专业机构，进行</w:t>
      </w:r>
      <w:r>
        <w:rPr>
          <w:rFonts w:hint="eastAsia" w:eastAsia="方正仿宋简体"/>
          <w:sz w:val="32"/>
          <w:szCs w:val="32"/>
          <w:lang w:val="en-US" w:eastAsia="zh-CN"/>
        </w:rPr>
        <w:t>乐至县白僵蚕产业园建设项目可行性研究报告和一案两书的编制。在编制过程中我局相关的专业技术人员提供了充分指导，及时提供相关资料，按要求的时间节点高质量完成了乐至县白僵蚕产业园建设项目可行性研究报告和一案两书的编制。</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3" w:firstLineChars="200"/>
        <w:rPr>
          <w:rFonts w:hint="eastAsia" w:eastAsia="方正楷体简体"/>
          <w:b/>
          <w:sz w:val="32"/>
          <w:szCs w:val="32"/>
        </w:rPr>
      </w:pPr>
      <w:r>
        <w:rPr>
          <w:rFonts w:hint="eastAsia" w:eastAsia="方正楷体简体"/>
          <w:b/>
          <w:sz w:val="32"/>
          <w:szCs w:val="32"/>
          <w:lang w:eastAsia="zh-CN"/>
        </w:rPr>
        <w:t>无</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eastAsia="方正仿宋简体"/>
          <w:sz w:val="32"/>
          <w:szCs w:val="32"/>
          <w:lang w:eastAsia="zh-CN"/>
        </w:rPr>
      </w:pPr>
      <w:r>
        <w:rPr>
          <w:rFonts w:hint="eastAsia" w:eastAsia="方正仿宋简体"/>
          <w:sz w:val="32"/>
          <w:szCs w:val="32"/>
          <w:lang w:eastAsia="zh-CN"/>
        </w:rPr>
        <w:t>无</w:t>
      </w: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ind w:left="1916" w:leftChars="760" w:hanging="320" w:hangingChars="100"/>
        <w:jc w:val="left"/>
        <w:rPr>
          <w:rFonts w:ascii="宋体" w:hAnsi="宋体" w:eastAsia="方正仿宋简体"/>
          <w:b/>
          <w:sz w:val="32"/>
          <w:szCs w:val="32"/>
        </w:rPr>
      </w:pPr>
    </w:p>
    <w:p>
      <w:pPr>
        <w:spacing w:line="620" w:lineRule="exact"/>
        <w:ind w:left="1916" w:leftChars="760" w:hanging="320" w:hangingChars="100"/>
        <w:jc w:val="left"/>
        <w:rPr>
          <w:rFonts w:ascii="宋体" w:hAnsi="宋体" w:eastAsia="方正仿宋简体"/>
          <w:b/>
          <w:sz w:val="32"/>
          <w:szCs w:val="32"/>
        </w:rPr>
      </w:pPr>
    </w:p>
    <w:p>
      <w:pPr>
        <w:spacing w:line="620" w:lineRule="exact"/>
        <w:ind w:left="1916" w:leftChars="760" w:hanging="320"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headerReference r:id="rId3" w:type="default"/>
          <w:footerReference r:id="rId4" w:type="default"/>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val="en-US" w:eastAsia="zh-CN"/>
        </w:rPr>
        <w:t>乐至县白僵蚕产业园建设项目前期工作经费</w:t>
      </w:r>
      <w:r>
        <w:rPr>
          <w:rFonts w:hint="eastAsia" w:eastAsia="方正楷体简体"/>
          <w:b/>
          <w:bCs/>
          <w:kern w:val="0"/>
          <w:sz w:val="32"/>
          <w:szCs w:val="32"/>
        </w:rPr>
        <w:t>项目）</w:t>
      </w:r>
    </w:p>
    <w:p>
      <w:pPr>
        <w:spacing w:line="620" w:lineRule="exact"/>
        <w:rPr>
          <w:rFonts w:hint="eastAsia" w:eastAsia="宋体"/>
          <w:sz w:val="24"/>
          <w:lang w:eastAsia="zh-CN"/>
        </w:rPr>
      </w:pPr>
      <w:r>
        <w:rPr>
          <w:rFonts w:hint="eastAsia"/>
          <w:bCs/>
          <w:kern w:val="0"/>
          <w:sz w:val="24"/>
        </w:rPr>
        <w:t>预算单位名称：</w:t>
      </w:r>
      <w:r>
        <w:rPr>
          <w:rFonts w:hint="eastAsia"/>
          <w:bCs/>
          <w:kern w:val="0"/>
          <w:sz w:val="24"/>
          <w:lang w:val="en-US" w:eastAsia="zh-CN"/>
        </w:rPr>
        <w:t xml:space="preserve">乐至县蚕桑局         </w:t>
      </w:r>
      <w:r>
        <w:rPr>
          <w:rFonts w:hint="eastAsia"/>
          <w:bCs/>
          <w:kern w:val="0"/>
          <w:sz w:val="24"/>
        </w:rPr>
        <w:t>预算单位编码：</w:t>
      </w:r>
      <w:r>
        <w:rPr>
          <w:rFonts w:hint="eastAsia"/>
          <w:bCs/>
          <w:kern w:val="0"/>
          <w:sz w:val="24"/>
          <w:lang w:val="en-US" w:eastAsia="zh-CN"/>
        </w:rPr>
        <w:t>194101</w:t>
      </w:r>
      <w:r>
        <w:rPr>
          <w:bCs/>
          <w:kern w:val="0"/>
          <w:sz w:val="24"/>
        </w:rPr>
        <w:t xml:space="preserve">    </w:t>
      </w:r>
      <w:r>
        <w:rPr>
          <w:rFonts w:hint="eastAsia"/>
          <w:bCs/>
          <w:kern w:val="0"/>
          <w:sz w:val="24"/>
        </w:rPr>
        <w:t>自评等级：</w:t>
      </w:r>
      <w:r>
        <w:rPr>
          <w:rFonts w:hint="eastAsia"/>
          <w:bCs/>
          <w:kern w:val="0"/>
          <w:sz w:val="24"/>
          <w:lang w:eastAsia="zh-CN"/>
        </w:rPr>
        <w:t>优</w:t>
      </w:r>
    </w:p>
    <w:tbl>
      <w:tblPr>
        <w:tblStyle w:val="5"/>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restart"/>
            <w:shd w:val="clear" w:color="auto" w:fill="FFFFFF"/>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8</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95</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pPr>
        <w:spacing w:line="620" w:lineRule="exact"/>
        <w:jc w:val="center"/>
        <w:rPr>
          <w:rFonts w:eastAsia="方正小标宋简体"/>
          <w:color w:val="000000"/>
          <w:spacing w:val="-12"/>
          <w:kern w:val="0"/>
          <w:sz w:val="36"/>
          <w:szCs w:val="36"/>
        </w:rPr>
      </w:pPr>
      <w:r>
        <w:rPr>
          <w:rFonts w:eastAsia="方正小标宋简体"/>
          <w:color w:val="000000"/>
          <w:spacing w:val="-12"/>
          <w:kern w:val="0"/>
          <w:sz w:val="36"/>
          <w:szCs w:val="36"/>
        </w:rPr>
        <w:t>202</w:t>
      </w:r>
      <w:r>
        <w:rPr>
          <w:rFonts w:hint="eastAsia" w:eastAsia="方正小标宋简体"/>
          <w:color w:val="000000"/>
          <w:spacing w:val="-12"/>
          <w:kern w:val="0"/>
          <w:sz w:val="36"/>
          <w:szCs w:val="36"/>
          <w:lang w:val="en-US" w:eastAsia="zh-CN"/>
        </w:rPr>
        <w:t>2</w:t>
      </w:r>
      <w:r>
        <w:rPr>
          <w:rFonts w:hint="eastAsia" w:eastAsia="方正小标宋简体"/>
          <w:color w:val="000000"/>
          <w:spacing w:val="-12"/>
          <w:kern w:val="0"/>
          <w:sz w:val="36"/>
          <w:szCs w:val="36"/>
        </w:rPr>
        <w:t>年度乐至县项目支出绩效目标完成情况表</w:t>
      </w:r>
    </w:p>
    <w:p>
      <w:pPr>
        <w:pStyle w:val="2"/>
        <w:spacing w:after="0" w:line="240" w:lineRule="exact"/>
        <w:rPr>
          <w:rFonts w:ascii="宋体"/>
        </w:rPr>
      </w:pP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65"/>
        <w:gridCol w:w="912"/>
        <w:gridCol w:w="676"/>
        <w:gridCol w:w="85"/>
        <w:gridCol w:w="679"/>
        <w:gridCol w:w="1355"/>
        <w:gridCol w:w="1623"/>
        <w:gridCol w:w="22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7597" w:type="dxa"/>
            <w:gridSpan w:val="7"/>
            <w:tcBorders>
              <w:top w:val="single" w:color="auto" w:sz="12" w:space="0"/>
            </w:tcBorders>
            <w:noWrap/>
            <w:vAlign w:val="center"/>
          </w:tcPr>
          <w:p>
            <w:pPr>
              <w:widowControl/>
              <w:spacing w:line="240" w:lineRule="exact"/>
              <w:jc w:val="both"/>
              <w:rPr>
                <w:rFonts w:hint="default" w:eastAsia="宋体"/>
                <w:color w:val="000000"/>
                <w:kern w:val="0"/>
                <w:szCs w:val="21"/>
                <w:lang w:val="en-US" w:eastAsia="zh-CN"/>
              </w:rPr>
            </w:pPr>
            <w:r>
              <w:rPr>
                <w:rFonts w:hint="eastAsia" w:eastAsia="宋体" w:cs="Times New Roman"/>
                <w:kern w:val="0"/>
                <w:sz w:val="24"/>
                <w:szCs w:val="24"/>
                <w:lang w:val="en-US" w:eastAsia="zh-CN"/>
              </w:rPr>
              <w:t>乐至县白僵蚕产业园建设项目</w:t>
            </w:r>
            <w:r>
              <w:rPr>
                <w:rFonts w:hint="eastAsia" w:cs="Times New Roman"/>
                <w:kern w:val="0"/>
                <w:sz w:val="24"/>
                <w:szCs w:val="24"/>
                <w:lang w:val="en-US" w:eastAsia="zh-CN"/>
              </w:rPr>
              <w:t>前期工作经费</w:t>
            </w:r>
            <w:r>
              <w:rPr>
                <w:rFonts w:hint="eastAsia"/>
                <w:color w:val="000000"/>
                <w:kern w:val="0"/>
                <w:szCs w:val="21"/>
                <w:lang w:val="en-US" w:eastAsia="zh-CN"/>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5"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761" w:type="dxa"/>
            <w:gridSpan w:val="2"/>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034"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default" w:ascii="Arial" w:hAnsi="Arial" w:cs="Arial"/>
                <w:color w:val="000000"/>
                <w:kern w:val="0"/>
                <w:szCs w:val="21"/>
              </w:rPr>
              <w:t>√</w:t>
            </w:r>
          </w:p>
        </w:tc>
        <w:tc>
          <w:tcPr>
            <w:tcW w:w="761" w:type="dxa"/>
            <w:gridSpan w:val="2"/>
            <w:noWrap/>
            <w:vAlign w:val="center"/>
          </w:tcPr>
          <w:p>
            <w:pPr>
              <w:spacing w:line="240" w:lineRule="exact"/>
              <w:jc w:val="center"/>
              <w:rPr>
                <w:szCs w:val="21"/>
              </w:rPr>
            </w:pPr>
          </w:p>
        </w:tc>
        <w:tc>
          <w:tcPr>
            <w:tcW w:w="2034" w:type="dxa"/>
            <w:gridSpan w:val="2"/>
            <w:noWrap/>
            <w:vAlign w:val="center"/>
          </w:tcPr>
          <w:p>
            <w:pPr>
              <w:spacing w:line="240" w:lineRule="exact"/>
              <w:jc w:val="center"/>
              <w:rPr>
                <w:szCs w:val="21"/>
              </w:rPr>
            </w:pPr>
          </w:p>
        </w:tc>
        <w:tc>
          <w:tcPr>
            <w:tcW w:w="3890" w:type="dxa"/>
            <w:gridSpan w:val="2"/>
            <w:noWrap/>
            <w:vAlign w:val="center"/>
          </w:tcPr>
          <w:p>
            <w:pPr>
              <w:spacing w:line="240" w:lineRule="exac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3707" w:type="dxa"/>
            <w:gridSpan w:val="5"/>
            <w:noWrap/>
            <w:vAlign w:val="center"/>
          </w:tcPr>
          <w:p>
            <w:pPr>
              <w:widowControl/>
              <w:spacing w:line="240" w:lineRule="exact"/>
              <w:jc w:val="center"/>
              <w:rPr>
                <w:color w:val="000000"/>
                <w:kern w:val="0"/>
                <w:szCs w:val="21"/>
              </w:rPr>
            </w:pPr>
            <w:r>
              <w:rPr>
                <w:rFonts w:hint="eastAsia"/>
                <w:color w:val="000000"/>
                <w:kern w:val="0"/>
                <w:szCs w:val="21"/>
              </w:rPr>
              <w:t>乐至县</w:t>
            </w:r>
            <w:r>
              <w:rPr>
                <w:rFonts w:hint="eastAsia"/>
                <w:color w:val="000000"/>
                <w:kern w:val="0"/>
                <w:szCs w:val="21"/>
                <w:lang w:val="en-US" w:eastAsia="zh-CN"/>
              </w:rPr>
              <w:t>蚕桑</w:t>
            </w:r>
            <w:r>
              <w:rPr>
                <w:rFonts w:hint="eastAsia"/>
                <w:color w:val="000000"/>
                <w:kern w:val="0"/>
                <w:szCs w:val="21"/>
              </w:rPr>
              <w:t>局　</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26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194101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764" w:type="dxa"/>
            <w:gridSpan w:val="2"/>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67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2260</w:t>
            </w:r>
          </w:p>
        </w:tc>
        <w:tc>
          <w:tcPr>
            <w:tcW w:w="764"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2260</w:t>
            </w:r>
          </w:p>
        </w:tc>
        <w:tc>
          <w:tcPr>
            <w:tcW w:w="135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67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2260</w:t>
            </w:r>
          </w:p>
        </w:tc>
        <w:tc>
          <w:tcPr>
            <w:tcW w:w="764"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2260</w:t>
            </w:r>
          </w:p>
        </w:tc>
        <w:tc>
          <w:tcPr>
            <w:tcW w:w="1355" w:type="dxa"/>
            <w:noWrap/>
            <w:vAlign w:val="center"/>
          </w:tcPr>
          <w:p>
            <w:pPr>
              <w:widowControl/>
              <w:spacing w:line="240" w:lineRule="exact"/>
              <w:ind w:firstLine="210" w:firstLineChars="100"/>
              <w:jc w:val="left"/>
              <w:rPr>
                <w:rFonts w:hint="eastAsia" w:eastAsia="宋体"/>
                <w:color w:val="000000"/>
                <w:kern w:val="0"/>
                <w:szCs w:val="21"/>
                <w:lang w:val="en-US" w:eastAsia="zh-CN"/>
              </w:rPr>
            </w:pPr>
            <w:r>
              <w:rPr>
                <w:rFonts w:hint="eastAsia"/>
                <w:color w:val="000000"/>
                <w:kern w:val="0"/>
                <w:szCs w:val="21"/>
                <w:lang w:val="en-US" w:eastAsia="zh-CN"/>
              </w:rPr>
              <w:t>0</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100%</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0"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67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764" w:type="dxa"/>
            <w:gridSpan w:val="2"/>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67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2260</w:t>
            </w:r>
          </w:p>
        </w:tc>
        <w:tc>
          <w:tcPr>
            <w:tcW w:w="764"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2260</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67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2260</w:t>
            </w:r>
          </w:p>
        </w:tc>
        <w:tc>
          <w:tcPr>
            <w:tcW w:w="764" w:type="dxa"/>
            <w:gridSpan w:val="2"/>
            <w:noWrap/>
            <w:vAlign w:val="center"/>
          </w:tcPr>
          <w:p>
            <w:pPr>
              <w:widowControl/>
              <w:spacing w:line="240" w:lineRule="exact"/>
              <w:jc w:val="both"/>
              <w:rPr>
                <w:rFonts w:hint="default" w:eastAsia="宋体"/>
                <w:color w:val="000000"/>
                <w:kern w:val="0"/>
                <w:szCs w:val="21"/>
                <w:lang w:val="en-US" w:eastAsia="zh-CN"/>
              </w:rPr>
            </w:pPr>
            <w:r>
              <w:rPr>
                <w:rFonts w:hint="eastAsia" w:ascii="Times New Roman" w:hAnsi="Times New Roman" w:cs="Times New Roman"/>
                <w:color w:val="000000"/>
                <w:kern w:val="0"/>
                <w:szCs w:val="21"/>
                <w:lang w:val="en-US" w:eastAsia="zh-CN"/>
              </w:rPr>
              <w:t>2260</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67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64" w:type="dxa"/>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67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67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58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119" w:type="dxa"/>
            <w:gridSpan w:val="3"/>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75" w:hRule="atLeast"/>
          <w:jc w:val="center"/>
        </w:trPr>
        <w:tc>
          <w:tcPr>
            <w:tcW w:w="765" w:type="dxa"/>
            <w:vMerge w:val="continue"/>
            <w:vAlign w:val="center"/>
          </w:tcPr>
          <w:p>
            <w:pPr>
              <w:widowControl/>
              <w:spacing w:line="240" w:lineRule="exact"/>
              <w:jc w:val="left"/>
              <w:rPr>
                <w:color w:val="000000"/>
                <w:kern w:val="0"/>
                <w:szCs w:val="21"/>
              </w:rPr>
            </w:pPr>
          </w:p>
        </w:tc>
        <w:tc>
          <w:tcPr>
            <w:tcW w:w="1588" w:type="dxa"/>
            <w:gridSpan w:val="2"/>
            <w:noWrap/>
            <w:vAlign w:val="center"/>
          </w:tcPr>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目标一：完成项目可行性研究报告</w:t>
            </w:r>
          </w:p>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目标二：完成一案两书编制</w:t>
            </w:r>
          </w:p>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目标三：在</w:t>
            </w:r>
            <w:r>
              <w:rPr>
                <w:rFonts w:hint="eastAsia" w:ascii="Times New Roman" w:hAnsi="Times New Roman" w:cs="Times New Roman"/>
                <w:kern w:val="0"/>
                <w:sz w:val="18"/>
                <w:szCs w:val="18"/>
                <w:lang w:val="en-US" w:eastAsia="zh-CN"/>
              </w:rPr>
              <w:t>2022年4月前完成</w:t>
            </w:r>
            <w:r>
              <w:rPr>
                <w:rFonts w:hint="eastAsia" w:ascii="Times New Roman" w:hAnsi="Times New Roman" w:cs="Times New Roman"/>
                <w:kern w:val="0"/>
                <w:sz w:val="18"/>
                <w:szCs w:val="18"/>
                <w:lang w:eastAsia="zh-CN"/>
              </w:rPr>
              <w:t>可研报告和一案两书</w:t>
            </w:r>
          </w:p>
          <w:p>
            <w:pPr>
              <w:spacing w:line="290" w:lineRule="exact"/>
              <w:jc w:val="left"/>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eastAsia="zh-CN"/>
              </w:rPr>
              <w:t>目标四：在</w:t>
            </w:r>
            <w:r>
              <w:rPr>
                <w:rFonts w:hint="eastAsia" w:ascii="Times New Roman" w:hAnsi="Times New Roman" w:cs="Times New Roman"/>
                <w:kern w:val="0"/>
                <w:sz w:val="18"/>
                <w:szCs w:val="18"/>
                <w:lang w:val="en-US" w:eastAsia="zh-CN"/>
              </w:rPr>
              <w:t>2022年4月通过省级专项债券资金评审</w:t>
            </w:r>
          </w:p>
          <w:p>
            <w:pPr>
              <w:widowControl/>
              <w:spacing w:line="240" w:lineRule="exact"/>
              <w:jc w:val="left"/>
              <w:rPr>
                <w:color w:val="000000"/>
                <w:kern w:val="0"/>
                <w:sz w:val="18"/>
                <w:szCs w:val="18"/>
              </w:rPr>
            </w:pPr>
          </w:p>
        </w:tc>
        <w:tc>
          <w:tcPr>
            <w:tcW w:w="2119" w:type="dxa"/>
            <w:gridSpan w:val="3"/>
            <w:noWrap/>
            <w:vAlign w:val="center"/>
          </w:tcPr>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目标一：</w:t>
            </w:r>
            <w:r>
              <w:rPr>
                <w:rFonts w:hint="eastAsia" w:cs="Times New Roman"/>
                <w:kern w:val="0"/>
                <w:sz w:val="18"/>
                <w:szCs w:val="18"/>
                <w:lang w:val="en-US" w:eastAsia="zh-CN"/>
              </w:rPr>
              <w:t>已</w:t>
            </w:r>
            <w:r>
              <w:rPr>
                <w:rFonts w:hint="eastAsia" w:ascii="Times New Roman" w:hAnsi="Times New Roman" w:cs="Times New Roman"/>
                <w:kern w:val="0"/>
                <w:sz w:val="18"/>
                <w:szCs w:val="18"/>
                <w:lang w:eastAsia="zh-CN"/>
              </w:rPr>
              <w:t>完成项目可行性研究报告</w:t>
            </w:r>
          </w:p>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目标二：</w:t>
            </w:r>
            <w:r>
              <w:rPr>
                <w:rFonts w:hint="eastAsia" w:cs="Times New Roman"/>
                <w:kern w:val="0"/>
                <w:sz w:val="18"/>
                <w:szCs w:val="18"/>
                <w:lang w:val="en-US" w:eastAsia="zh-CN"/>
              </w:rPr>
              <w:t>已</w:t>
            </w:r>
            <w:r>
              <w:rPr>
                <w:rFonts w:hint="eastAsia" w:ascii="Times New Roman" w:hAnsi="Times New Roman" w:cs="Times New Roman"/>
                <w:kern w:val="0"/>
                <w:sz w:val="18"/>
                <w:szCs w:val="18"/>
                <w:lang w:eastAsia="zh-CN"/>
              </w:rPr>
              <w:t>完成一案两书编制</w:t>
            </w:r>
          </w:p>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目标三：在</w:t>
            </w:r>
            <w:r>
              <w:rPr>
                <w:rFonts w:hint="eastAsia" w:ascii="Times New Roman" w:hAnsi="Times New Roman" w:cs="Times New Roman"/>
                <w:kern w:val="0"/>
                <w:sz w:val="18"/>
                <w:szCs w:val="18"/>
                <w:lang w:val="en-US" w:eastAsia="zh-CN"/>
              </w:rPr>
              <w:t>2022年4月前</w:t>
            </w:r>
            <w:r>
              <w:rPr>
                <w:rFonts w:hint="eastAsia" w:cs="Times New Roman"/>
                <w:kern w:val="0"/>
                <w:sz w:val="18"/>
                <w:szCs w:val="18"/>
                <w:lang w:val="en-US" w:eastAsia="zh-CN"/>
              </w:rPr>
              <w:t>已</w:t>
            </w:r>
            <w:r>
              <w:rPr>
                <w:rFonts w:hint="eastAsia" w:ascii="Times New Roman" w:hAnsi="Times New Roman" w:cs="Times New Roman"/>
                <w:kern w:val="0"/>
                <w:sz w:val="18"/>
                <w:szCs w:val="18"/>
                <w:lang w:val="en-US" w:eastAsia="zh-CN"/>
              </w:rPr>
              <w:t>完成</w:t>
            </w:r>
            <w:r>
              <w:rPr>
                <w:rFonts w:hint="eastAsia" w:ascii="Times New Roman" w:hAnsi="Times New Roman" w:cs="Times New Roman"/>
                <w:kern w:val="0"/>
                <w:sz w:val="18"/>
                <w:szCs w:val="18"/>
                <w:lang w:eastAsia="zh-CN"/>
              </w:rPr>
              <w:t>可研报告和一案两书</w:t>
            </w:r>
          </w:p>
          <w:p>
            <w:pPr>
              <w:spacing w:line="290" w:lineRule="exact"/>
              <w:jc w:val="left"/>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eastAsia="zh-CN"/>
              </w:rPr>
              <w:t>目标四：在</w:t>
            </w:r>
            <w:r>
              <w:rPr>
                <w:rFonts w:hint="eastAsia" w:ascii="Times New Roman" w:hAnsi="Times New Roman" w:cs="Times New Roman"/>
                <w:kern w:val="0"/>
                <w:sz w:val="18"/>
                <w:szCs w:val="18"/>
                <w:lang w:val="en-US" w:eastAsia="zh-CN"/>
              </w:rPr>
              <w:t>2022年4月</w:t>
            </w:r>
            <w:r>
              <w:rPr>
                <w:rFonts w:hint="eastAsia" w:cs="Times New Roman"/>
                <w:kern w:val="0"/>
                <w:sz w:val="18"/>
                <w:szCs w:val="18"/>
                <w:lang w:val="en-US" w:eastAsia="zh-CN"/>
              </w:rPr>
              <w:t>已</w:t>
            </w:r>
            <w:r>
              <w:rPr>
                <w:rFonts w:hint="eastAsia" w:ascii="Times New Roman" w:hAnsi="Times New Roman" w:cs="Times New Roman"/>
                <w:kern w:val="0"/>
                <w:sz w:val="18"/>
                <w:szCs w:val="18"/>
                <w:lang w:val="en-US" w:eastAsia="zh-CN"/>
              </w:rPr>
              <w:t>通过省级专项债券资金评审</w:t>
            </w:r>
          </w:p>
          <w:p>
            <w:pPr>
              <w:widowControl/>
              <w:spacing w:line="240" w:lineRule="exact"/>
              <w:jc w:val="center"/>
              <w:rPr>
                <w:color w:val="000000"/>
                <w:kern w:val="0"/>
                <w:sz w:val="18"/>
                <w:szCs w:val="18"/>
              </w:rPr>
            </w:pP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764" w:type="dxa"/>
            <w:gridSpan w:val="2"/>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eastAsia"/>
                <w:color w:val="000000"/>
                <w:kern w:val="0"/>
                <w:szCs w:val="21"/>
                <w:lang w:val="en-US" w:eastAsia="zh-CN"/>
              </w:rPr>
            </w:pPr>
            <w:r>
              <w:rPr>
                <w:rFonts w:hint="eastAsia"/>
                <w:color w:val="000000"/>
                <w:kern w:val="0"/>
                <w:szCs w:val="21"/>
                <w:lang w:val="en-US" w:eastAsia="zh-CN"/>
              </w:rPr>
              <w:t>编制1份可研报告</w:t>
            </w:r>
          </w:p>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编制1份一案两书</w:t>
            </w:r>
          </w:p>
        </w:tc>
        <w:tc>
          <w:tcPr>
            <w:tcW w:w="1623" w:type="dxa"/>
            <w:noWrap/>
            <w:vAlign w:val="center"/>
          </w:tcPr>
          <w:p>
            <w:pPr>
              <w:widowControl/>
              <w:spacing w:line="240" w:lineRule="exact"/>
              <w:jc w:val="left"/>
              <w:rPr>
                <w:rFonts w:hint="eastAsia"/>
                <w:color w:val="000000"/>
                <w:kern w:val="0"/>
                <w:szCs w:val="21"/>
                <w:lang w:val="en-US" w:eastAsia="zh-CN"/>
              </w:rPr>
            </w:pPr>
            <w:r>
              <w:rPr>
                <w:rFonts w:hint="eastAsia"/>
                <w:color w:val="000000"/>
                <w:kern w:val="0"/>
                <w:szCs w:val="21"/>
                <w:lang w:val="en-US" w:eastAsia="zh-CN"/>
              </w:rPr>
              <w:t>完成1份可研报告</w:t>
            </w:r>
          </w:p>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完成1份一案两书</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lang w:val="en-US" w:eastAsia="zh-CN"/>
              </w:rPr>
              <w:t>2022年4月100%通过省级专项债劵资金</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在2022年4月100%通过省级专项债劵资金审定</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eastAsia"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2021年12月</w:t>
            </w:r>
            <w:r>
              <w:rPr>
                <w:rFonts w:hint="default" w:ascii="Times New Roman" w:hAnsi="Times New Roman" w:cs="Times New Roman"/>
                <w:color w:val="000000"/>
                <w:kern w:val="0"/>
                <w:szCs w:val="21"/>
                <w:lang w:val="en-US" w:eastAsia="zh-CN"/>
              </w:rPr>
              <w:t>按时</w:t>
            </w:r>
            <w:r>
              <w:rPr>
                <w:rFonts w:hint="eastAsia" w:ascii="Times New Roman" w:hAnsi="Times New Roman" w:cs="Times New Roman"/>
                <w:color w:val="000000"/>
                <w:kern w:val="0"/>
                <w:szCs w:val="21"/>
                <w:lang w:val="en-US" w:eastAsia="zh-CN"/>
              </w:rPr>
              <w:t>取得可研报告</w:t>
            </w:r>
          </w:p>
          <w:p>
            <w:pPr>
              <w:widowControl/>
              <w:spacing w:line="240" w:lineRule="exact"/>
              <w:jc w:val="left"/>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2022年3月按时取得一案两书</w:t>
            </w:r>
          </w:p>
        </w:tc>
        <w:tc>
          <w:tcPr>
            <w:tcW w:w="1623" w:type="dxa"/>
            <w:noWrap/>
            <w:vAlign w:val="center"/>
          </w:tcPr>
          <w:p>
            <w:pPr>
              <w:widowControl/>
              <w:spacing w:line="240" w:lineRule="exact"/>
              <w:jc w:val="left"/>
              <w:rPr>
                <w:rFonts w:hint="eastAsia"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2021年12月</w:t>
            </w:r>
            <w:r>
              <w:rPr>
                <w:rFonts w:hint="default" w:ascii="Times New Roman" w:hAnsi="Times New Roman" w:cs="Times New Roman"/>
                <w:color w:val="000000"/>
                <w:kern w:val="0"/>
                <w:szCs w:val="21"/>
                <w:lang w:val="en-US" w:eastAsia="zh-CN"/>
              </w:rPr>
              <w:t>按时</w:t>
            </w:r>
            <w:r>
              <w:rPr>
                <w:rFonts w:hint="eastAsia" w:ascii="Times New Roman" w:hAnsi="Times New Roman" w:cs="Times New Roman"/>
                <w:color w:val="000000"/>
                <w:kern w:val="0"/>
                <w:szCs w:val="21"/>
                <w:lang w:val="en-US" w:eastAsia="zh-CN"/>
              </w:rPr>
              <w:t>完成可研报告</w:t>
            </w:r>
          </w:p>
          <w:p>
            <w:pPr>
              <w:widowControl/>
              <w:spacing w:line="240" w:lineRule="exact"/>
              <w:jc w:val="left"/>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2022年3月按时完成一案两书</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5"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推动项目实施效果达到优</w:t>
            </w:r>
          </w:p>
        </w:tc>
        <w:tc>
          <w:tcPr>
            <w:tcW w:w="1623" w:type="dxa"/>
            <w:noWrap/>
            <w:vAlign w:val="center"/>
          </w:tcPr>
          <w:p>
            <w:pPr>
              <w:widowControl/>
              <w:spacing w:line="240" w:lineRule="exact"/>
              <w:jc w:val="left"/>
              <w:rPr>
                <w:color w:val="000000"/>
                <w:kern w:val="0"/>
                <w:szCs w:val="21"/>
              </w:rPr>
            </w:pPr>
            <w:r>
              <w:rPr>
                <w:rFonts w:hint="eastAsia"/>
                <w:color w:val="000000"/>
                <w:kern w:val="0"/>
                <w:szCs w:val="21"/>
                <w:lang w:val="en-US" w:eastAsia="zh-CN"/>
              </w:rPr>
              <w:t>推动项目实施效果已达到优</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vMerge w:val="continue"/>
            <w:vAlign w:val="center"/>
          </w:tcPr>
          <w:p>
            <w:pPr>
              <w:widowControl/>
              <w:spacing w:line="240" w:lineRule="exact"/>
              <w:jc w:val="left"/>
              <w:rPr>
                <w:color w:val="000000"/>
                <w:kern w:val="0"/>
                <w:szCs w:val="21"/>
              </w:rPr>
            </w:pP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355" w:type="dxa"/>
            <w:noWrap/>
            <w:vAlign w:val="center"/>
          </w:tcPr>
          <w:p>
            <w:pPr>
              <w:widowControl/>
              <w:spacing w:line="240" w:lineRule="exact"/>
              <w:jc w:val="left"/>
              <w:rPr>
                <w:color w:val="000000"/>
                <w:kern w:val="0"/>
                <w:szCs w:val="21"/>
              </w:rPr>
            </w:pP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color w:val="000000"/>
                <w:kern w:val="0"/>
                <w:szCs w:val="21"/>
              </w:rPr>
            </w:pP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vMerge w:val="continue"/>
            <w:vAlign w:val="center"/>
          </w:tcPr>
          <w:p>
            <w:pPr>
              <w:widowControl/>
              <w:spacing w:line="240" w:lineRule="exact"/>
              <w:jc w:val="left"/>
              <w:rPr>
                <w:color w:val="000000"/>
                <w:kern w:val="0"/>
                <w:szCs w:val="21"/>
              </w:rPr>
            </w:pP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355" w:type="dxa"/>
            <w:noWrap/>
            <w:vAlign w:val="center"/>
          </w:tcPr>
          <w:p>
            <w:pPr>
              <w:widowControl/>
              <w:spacing w:line="240" w:lineRule="exact"/>
              <w:jc w:val="left"/>
              <w:rPr>
                <w:color w:val="000000"/>
                <w:kern w:val="0"/>
                <w:szCs w:val="21"/>
              </w:rPr>
            </w:pP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本行业未来可持续发展的影响</w:t>
            </w:r>
            <w:r>
              <w:rPr>
                <w:rFonts w:hint="eastAsia" w:ascii="宋体" w:hAnsi="宋体"/>
                <w:color w:val="000000"/>
                <w:kern w:val="0"/>
                <w:szCs w:val="21"/>
              </w:rPr>
              <w:t>≥</w:t>
            </w:r>
            <w:r>
              <w:rPr>
                <w:rFonts w:hint="eastAsia" w:ascii="宋体" w:hAnsi="宋体"/>
                <w:color w:val="000000"/>
                <w:kern w:val="0"/>
                <w:szCs w:val="21"/>
                <w:lang w:val="en-US" w:eastAsia="zh-CN"/>
              </w:rPr>
              <w:t>15年</w:t>
            </w:r>
          </w:p>
        </w:tc>
        <w:tc>
          <w:tcPr>
            <w:tcW w:w="1623" w:type="dxa"/>
            <w:noWrap/>
            <w:vAlign w:val="center"/>
          </w:tcPr>
          <w:p>
            <w:pPr>
              <w:widowControl/>
              <w:spacing w:line="240" w:lineRule="exact"/>
              <w:jc w:val="left"/>
              <w:rPr>
                <w:color w:val="000000"/>
                <w:kern w:val="0"/>
                <w:szCs w:val="21"/>
              </w:rPr>
            </w:pPr>
            <w:r>
              <w:rPr>
                <w:rFonts w:hint="eastAsia"/>
                <w:color w:val="000000"/>
                <w:kern w:val="0"/>
                <w:szCs w:val="21"/>
                <w:lang w:val="en-US" w:eastAsia="zh-CN"/>
              </w:rPr>
              <w:t>本行业未来可持续发展的影响</w:t>
            </w:r>
            <w:r>
              <w:rPr>
                <w:rFonts w:hint="eastAsia" w:ascii="宋体" w:hAnsi="宋体"/>
                <w:color w:val="000000"/>
                <w:kern w:val="0"/>
                <w:szCs w:val="21"/>
              </w:rPr>
              <w:t>≥</w:t>
            </w:r>
            <w:r>
              <w:rPr>
                <w:rFonts w:hint="eastAsia" w:ascii="宋体" w:hAnsi="宋体"/>
                <w:color w:val="000000"/>
                <w:kern w:val="0"/>
                <w:szCs w:val="21"/>
                <w:lang w:val="en-US" w:eastAsia="zh-CN"/>
              </w:rPr>
              <w:t>15年</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区域辐射人群满意度</w:t>
            </w:r>
            <w:r>
              <w:rPr>
                <w:rFonts w:hint="eastAsia" w:ascii="宋体" w:hAnsi="宋体"/>
                <w:color w:val="000000"/>
                <w:kern w:val="0"/>
                <w:szCs w:val="21"/>
              </w:rPr>
              <w:t>≥</w:t>
            </w:r>
            <w:r>
              <w:rPr>
                <w:rFonts w:hint="eastAsia" w:ascii="宋体" w:hAnsi="宋体"/>
                <w:color w:val="000000"/>
                <w:kern w:val="0"/>
                <w:szCs w:val="21"/>
                <w:lang w:val="en-US" w:eastAsia="zh-CN"/>
              </w:rPr>
              <w:t>90%</w:t>
            </w:r>
          </w:p>
        </w:tc>
        <w:tc>
          <w:tcPr>
            <w:tcW w:w="1623" w:type="dxa"/>
            <w:noWrap/>
            <w:vAlign w:val="center"/>
          </w:tcPr>
          <w:p>
            <w:pPr>
              <w:widowControl/>
              <w:spacing w:line="240" w:lineRule="exact"/>
              <w:jc w:val="left"/>
              <w:rPr>
                <w:color w:val="000000"/>
                <w:kern w:val="0"/>
                <w:szCs w:val="21"/>
              </w:rPr>
            </w:pPr>
            <w:r>
              <w:rPr>
                <w:rFonts w:hint="eastAsia"/>
                <w:color w:val="000000"/>
                <w:kern w:val="0"/>
                <w:szCs w:val="21"/>
                <w:lang w:val="en-US" w:eastAsia="zh-CN"/>
              </w:rPr>
              <w:t>区域辐射人群满意度</w:t>
            </w:r>
            <w:r>
              <w:rPr>
                <w:rFonts w:hint="eastAsia" w:ascii="宋体" w:hAnsi="宋体"/>
                <w:color w:val="000000"/>
                <w:kern w:val="0"/>
                <w:szCs w:val="21"/>
              </w:rPr>
              <w:t>≥</w:t>
            </w:r>
            <w:r>
              <w:rPr>
                <w:rFonts w:hint="eastAsia" w:ascii="宋体" w:hAnsi="宋体"/>
                <w:color w:val="000000"/>
                <w:kern w:val="0"/>
                <w:szCs w:val="21"/>
                <w:lang w:val="en-US" w:eastAsia="zh-CN"/>
              </w:rPr>
              <w:t>90%</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方正仿宋简体">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994"/>
    <w:rsid w:val="0017573F"/>
    <w:rsid w:val="001F7819"/>
    <w:rsid w:val="00297A13"/>
    <w:rsid w:val="00371BB5"/>
    <w:rsid w:val="003C4CB3"/>
    <w:rsid w:val="00471047"/>
    <w:rsid w:val="004C2500"/>
    <w:rsid w:val="00501185"/>
    <w:rsid w:val="0060648E"/>
    <w:rsid w:val="00895C33"/>
    <w:rsid w:val="00910994"/>
    <w:rsid w:val="00920A7F"/>
    <w:rsid w:val="009C2D13"/>
    <w:rsid w:val="009D078C"/>
    <w:rsid w:val="00A258DB"/>
    <w:rsid w:val="00B35069"/>
    <w:rsid w:val="00B43B44"/>
    <w:rsid w:val="00D11D91"/>
    <w:rsid w:val="00D65C8B"/>
    <w:rsid w:val="00D838A3"/>
    <w:rsid w:val="00D862B6"/>
    <w:rsid w:val="00D9419D"/>
    <w:rsid w:val="00E5259C"/>
    <w:rsid w:val="00E61E6F"/>
    <w:rsid w:val="00E76008"/>
    <w:rsid w:val="00EE124E"/>
    <w:rsid w:val="027B12D4"/>
    <w:rsid w:val="0A8F7C62"/>
    <w:rsid w:val="0ADE3333"/>
    <w:rsid w:val="0D53538B"/>
    <w:rsid w:val="111F3530"/>
    <w:rsid w:val="12A450E4"/>
    <w:rsid w:val="291F7548"/>
    <w:rsid w:val="2DF402D3"/>
    <w:rsid w:val="34142BCA"/>
    <w:rsid w:val="35C12F3E"/>
    <w:rsid w:val="36FF5D00"/>
    <w:rsid w:val="37F81C64"/>
    <w:rsid w:val="3E67796F"/>
    <w:rsid w:val="47B574D9"/>
    <w:rsid w:val="47F90BE8"/>
    <w:rsid w:val="4B2D00D4"/>
    <w:rsid w:val="4CC4617F"/>
    <w:rsid w:val="4E780CC2"/>
    <w:rsid w:val="53496262"/>
    <w:rsid w:val="56CE59CC"/>
    <w:rsid w:val="58F62642"/>
    <w:rsid w:val="593F2E68"/>
    <w:rsid w:val="5BCB34F4"/>
    <w:rsid w:val="5BF954BF"/>
    <w:rsid w:val="5BFA11C8"/>
    <w:rsid w:val="5F861B62"/>
    <w:rsid w:val="5FEE1A0E"/>
    <w:rsid w:val="69123E71"/>
    <w:rsid w:val="761F4AA0"/>
    <w:rsid w:val="7C4477BF"/>
    <w:rsid w:val="7C9B6A7C"/>
    <w:rsid w:val="7D1D32E6"/>
    <w:rsid w:val="7E35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7"/>
    <w:semiHidden/>
    <w:qFormat/>
    <w:uiPriority w:val="0"/>
    <w:pPr>
      <w:spacing w:after="120"/>
    </w:pPr>
    <w:rPr>
      <w:rFonts w:ascii="Calibri" w:hAnsi="Calibri" w:cs="宋体" w:eastAsiaTheme="minorEastAsia"/>
      <w:szCs w:val="21"/>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正文文本 Char"/>
    <w:link w:val="2"/>
    <w:semiHidden/>
    <w:qFormat/>
    <w:locked/>
    <w:uiPriority w:val="0"/>
    <w:rPr>
      <w:rFonts w:ascii="Calibri" w:hAnsi="Calibri" w:cs="宋体"/>
      <w:szCs w:val="21"/>
    </w:rPr>
  </w:style>
  <w:style w:type="character" w:customStyle="1" w:styleId="8">
    <w:name w:val="正文文本 Char1"/>
    <w:basedOn w:val="6"/>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841</Words>
  <Characters>4797</Characters>
  <Lines>39</Lines>
  <Paragraphs>11</Paragraphs>
  <TotalTime>12</TotalTime>
  <ScaleCrop>false</ScaleCrop>
  <LinksUpToDate>false</LinksUpToDate>
  <CharactersWithSpaces>5627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2022-08-31T02:32:00Z</dcterms:created>
  <dc:creator>dell111</dc:creator>
  <cp:lastModifiedBy>红袖</cp:lastModifiedBy>
  <cp:lastPrinted>2022-09-02T08:48:00Z</cp:lastPrinted>
  <dcterms:modified xsi:type="dcterms:W3CDTF">2023-06-16T02:15:22Z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D2C5516BE3914C33B3009009E1947EE3</vt:lpwstr>
  </property>
</Properties>
</file>