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 w:cs="黑体"/>
          <w:color w:val="000000"/>
        </w:rPr>
      </w:pPr>
      <w:bookmarkStart w:id="0" w:name="YS040100"/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乐至县南塔街道第二社区卫生服务中心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</w:rPr>
        <w:t>年度部门决算报表填报说明</w:t>
      </w:r>
    </w:p>
    <w:p>
      <w:pPr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一、决算信息来源说明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本套决算依据本单位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  <w:lang w:val="en-US" w:eastAsia="zh-CN"/>
        </w:rPr>
        <w:t>2023年</w:t>
      </w:r>
      <w:r>
        <w:rPr>
          <w:rFonts w:hint="eastAsia" w:ascii="方正仿宋简体" w:hAnsi="方正仿宋简体" w:eastAsia="方正仿宋简体" w:cs="方正仿宋简体"/>
          <w:bCs/>
          <w:color w:val="auto"/>
          <w:sz w:val="32"/>
          <w:szCs w:val="32"/>
        </w:rPr>
        <w:t>登记完整、核对无误的账簿记录和其他有关会计核算资料编制，账证相符、账实相符、账表相符、表表相符，真实、准确、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完整地反映了本单位预算执行结果和财务状况。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（一）本套决算主表数据主要依据本单位会计账簿总账及明细账数据填列，预算数据依据本单位预、决算批复文件及预算调整文件填列。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（二）本套决算附表数据主要依据本单位资产、人事台账及相关统计资料填列，其中：“资产情况表”依据本单位资产相关会计账簿数据；“基本数据表”“机构人员情况表”依据本单位人事台账相关资料填列；</w:t>
      </w:r>
    </w:p>
    <w:p>
      <w:pPr>
        <w:ind w:firstLine="640" w:firstLineChars="200"/>
        <w:rPr>
          <w:rFonts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二、决算编制基本情况</w:t>
      </w:r>
    </w:p>
    <w:p>
      <w:pPr>
        <w:ind w:firstLine="567"/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本单位为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乐至县卫生健康局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所属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二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pacing w:val="14"/>
          <w:sz w:val="32"/>
          <w:szCs w:val="32"/>
          <w14:textFill>
            <w14:solidFill>
              <w14:schemeClr w14:val="tx1"/>
            </w14:solidFill>
          </w14:textFill>
        </w:rPr>
        <w:t>预算单位，单位性质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财政补助事业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决算编报类型为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单户表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，按照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政府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会计制度填报决算数据。</w:t>
      </w:r>
    </w:p>
    <w:p>
      <w:pPr>
        <w:ind w:firstLine="567"/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纳入本套决算编制范围的独立核算单位共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个，比上年增减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既本单位为连续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上报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年度，纳入本部门决算汇编范围的独立核算单位共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个，比上年增减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个，分类说明如下：</w:t>
      </w:r>
    </w:p>
    <w:tbl>
      <w:tblPr>
        <w:tblStyle w:val="3"/>
        <w:tblW w:w="8528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28"/>
        <w:gridCol w:w="1034"/>
        <w:gridCol w:w="1106"/>
        <w:gridCol w:w="34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" w:hRule="atLeast"/>
        </w:trPr>
        <w:tc>
          <w:tcPr>
            <w:tcW w:w="29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0" w:lineRule="atLeas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0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0" w:lineRule="atLeas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1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0" w:lineRule="atLeas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比上年增减</w:t>
            </w:r>
          </w:p>
        </w:tc>
        <w:tc>
          <w:tcPr>
            <w:tcW w:w="34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70" w:lineRule="atLeas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变动原因说明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一、按单位基本性质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仿宋_GB2312" w:hAnsi="仿宋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行政单位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事业单位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二、按执行会计制度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 政府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民间非营利组织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其他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三、按单位预算级次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一级预算单位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二级预算单位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三级预算单位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四、按事业单位分类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行政类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公益一类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公益二类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生产经营类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292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暂未明确类别</w:t>
            </w:r>
          </w:p>
        </w:tc>
        <w:tc>
          <w:tcPr>
            <w:tcW w:w="10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—</w:t>
            </w:r>
          </w:p>
        </w:tc>
        <w:tc>
          <w:tcPr>
            <w:tcW w:w="34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ind w:firstLine="567"/>
        <w:rPr>
          <w:rFonts w:ascii="仿宋_GB2312" w:hAnsi="仿宋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（二）部门录入户数说明</w:t>
      </w:r>
      <w:r>
        <w:rPr>
          <w:rFonts w:hint="eastAsia" w:ascii="仿宋_GB2312" w:hAnsi="仿宋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567"/>
        <w:rPr>
          <w:rFonts w:ascii="仿宋_GB2312" w:hAnsi="仿宋" w:eastAsia="仿宋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2023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仿宋_GB2312" w:hAnsi="仿宋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年度，本部门决算汇编户数共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个，比上年增减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eastAsia="仿宋_GB2312" w:cs="Times New Roman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仿宋_GB2312" w:hAnsi="仿宋" w:eastAsia="仿宋_GB2312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个，分类说明如下：</w:t>
      </w:r>
    </w:p>
    <w:tbl>
      <w:tblPr>
        <w:tblStyle w:val="3"/>
        <w:tblW w:w="8646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02"/>
        <w:gridCol w:w="1082"/>
        <w:gridCol w:w="1092"/>
        <w:gridCol w:w="2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tblHeader/>
        </w:trPr>
        <w:tc>
          <w:tcPr>
            <w:tcW w:w="360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" w:lineRule="atLeas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</w:tc>
        <w:tc>
          <w:tcPr>
            <w:tcW w:w="10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" w:lineRule="atLeas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10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" w:lineRule="atLeas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比上年增减</w:t>
            </w:r>
          </w:p>
        </w:tc>
        <w:tc>
          <w:tcPr>
            <w:tcW w:w="287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" w:lineRule="atLeast"/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变动原因说明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合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    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一、单户表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Times New Roman" w:eastAsia="仿宋_GB2312" w:cs="Times New Roman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40" w:firstLineChars="100"/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Times New Roman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Times New Roman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二、行政单位汇总录入表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三、事业单位汇总录入表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四、</w:t>
            </w:r>
            <w:r>
              <w:rPr>
                <w:rFonts w:hint="eastAsia" w:ascii="仿宋_GB2312" w:hAnsi="仿宋" w:eastAsia="仿宋_GB2312" w:cs="仿宋_GB2312"/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经费自理事业单位汇总录入表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五、乡镇汇总录入表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六、其他单位汇总录入表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七、经费差额表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八、调整表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602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九、叠加汇总表</w:t>
            </w:r>
          </w:p>
        </w:tc>
        <w:tc>
          <w:tcPr>
            <w:tcW w:w="10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  <w:tc>
          <w:tcPr>
            <w:tcW w:w="287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="仿宋_GB2312" w:hAnsi="仿宋" w:eastAsia="仿宋_GB2312" w:cs="Times New Roman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 w:cs="仿宋_GB2312"/>
                <w:color w:val="000000" w:themeColor="text1"/>
                <w:sz w:val="24"/>
                <w:szCs w:val="28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</w:tbl>
    <w:p>
      <w:pPr>
        <w:ind w:firstLine="567"/>
        <w:rPr>
          <w:rFonts w:hint="eastAsia" w:ascii="仿宋_GB2312" w:hAnsi="仿宋" w:eastAsia="仿宋_GB2312" w:cs="仿宋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ind w:firstLine="707" w:firstLineChars="221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三、基础数据核对情况</w:t>
      </w:r>
    </w:p>
    <w:p>
      <w:pPr>
        <w:ind w:firstLine="709"/>
        <w:rPr>
          <w:rFonts w:ascii="楷体_GB2312" w:hAnsi="仿宋" w:eastAsia="楷体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（一）财政资金对账情况。</w:t>
      </w:r>
    </w:p>
    <w:p>
      <w:pPr>
        <w:ind w:firstLine="709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单位本年度实际收到的</w:t>
      </w:r>
      <w:r>
        <w:rPr>
          <w:rFonts w:hint="eastAsia" w:ascii="方正仿宋简体" w:hAnsi="方正仿宋简体" w:eastAsia="方正仿宋简体" w:cs="方正仿宋简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一般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公共预算财政拨款收入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388.46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万元，财政部门拨款对账单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>388.46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差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额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709"/>
        <w:rPr>
          <w:rFonts w:ascii="楷体_GB2312" w:hAnsi="仿宋" w:eastAsia="楷体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仿宋" w:eastAsia="楷体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（二）与上年指标核对情况。</w:t>
      </w:r>
    </w:p>
    <w:p>
      <w:pPr>
        <w:ind w:firstLine="480" w:firstLineChars="15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1.本年收入与上年同期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163.89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32.51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％，其中原因是：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财政拨款收入较去年增加了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113.83万元，增加率为41.45%，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事业收入比去年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50.07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主要原因为本年二类疫苗及中草药收入增加，本年无其他收入。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2.财政拨款与上年同期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113.83万元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41.45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%，主要原因是：一般补助财政拨款比上年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113.83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元，主要为基药补助及公共卫生服务项目财政拨款增加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3.本年支出与上年同期支出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183.09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，增长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34.32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基本支出中的药品支出（疫苗）增加及公共卫生人员费用增加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4.基本支出与上年同期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增加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107.65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17.08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％，主要原因是：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疫苗支出及保险费用的增加。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5.资产总计与上年同期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91.70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25.86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%，主要原因是：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当年固定资产折旧额较大，加之一般公共财政拔款人员经费拨款不够，使用了年初结转结余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。 </w:t>
      </w:r>
    </w:p>
    <w:p>
      <w:pPr>
        <w:ind w:firstLine="640" w:firstLineChars="200"/>
        <w:rPr>
          <w:rFonts w:hint="default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6.年末实有人数与上年同期增加2人，增长率5.56%，主要原因是：发展中医药服务，在编人员增加2人。</w:t>
      </w:r>
    </w:p>
    <w:p>
      <w:pPr>
        <w:snapToGrid w:val="0"/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.负债总计与上年同期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18.82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12.37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，主要是疫苗欠款减少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。 </w:t>
      </w:r>
    </w:p>
    <w:p>
      <w:pPr>
        <w:snapToGrid w:val="0"/>
        <w:spacing w:line="360" w:lineRule="auto"/>
        <w:ind w:firstLine="640" w:firstLineChars="200"/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累计盈余减少了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70.06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减少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率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36.60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，主要是财政拔款人员经费不足，使用年初结转结余</w:t>
      </w:r>
      <w:r>
        <w:rPr>
          <w:rFonts w:hint="eastAsia" w:ascii="方正仿宋简体" w:hAnsi="方正仿宋简体" w:eastAsia="方正仿宋简体" w:cs="方正仿宋简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snapToGrid w:val="0"/>
        <w:spacing w:line="360" w:lineRule="auto"/>
        <w:ind w:firstLine="640" w:firstLineChars="200"/>
        <w:rPr>
          <w:rFonts w:ascii="楷体_GB2312" w:hAnsi="仿宋" w:eastAsia="楷体_GB2312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四、报表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核实性情况说明</w:t>
      </w:r>
    </w:p>
    <w:p>
      <w:pPr>
        <w:ind w:firstLine="709"/>
        <w:rPr>
          <w:rFonts w:hint="default" w:ascii="仿宋_GB2312" w:hAnsi="仿宋" w:eastAsia="仿宋_GB2312" w:cs="仿宋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本单位编制的决算报表审核有无提示核实。</w:t>
      </w:r>
    </w:p>
    <w:p>
      <w:pPr>
        <w:ind w:firstLine="709"/>
        <w:rPr>
          <w:rFonts w:ascii="黑体" w:hAnsi="黑体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五、决算数据其他需要说明的情况</w:t>
      </w:r>
      <w:bookmarkStart w:id="1" w:name="_GoBack"/>
      <w:bookmarkEnd w:id="1"/>
    </w:p>
    <w:p>
      <w:pPr>
        <w:ind w:firstLine="664" w:firstLineChars="200"/>
        <w:rPr>
          <w:rFonts w:hint="default" w:ascii="仿宋_GB2312" w:hAnsi="仿宋" w:eastAsia="仿宋_GB2312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>
      <w:pPr>
        <w:ind w:firstLine="664" w:firstLineChars="200"/>
        <w:rPr>
          <w:rFonts w:hint="eastAsia" w:ascii="仿宋_GB2312" w:hAnsi="仿宋" w:eastAsia="仿宋_GB2312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ind w:firstLine="2656" w:firstLineChars="800"/>
        <w:rPr>
          <w:rFonts w:hint="eastAsia" w:ascii="仿宋_GB2312" w:hAnsi="仿宋" w:eastAsia="仿宋_GB2312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乐至县南塔街道第二社区卫生服务中心</w:t>
      </w:r>
    </w:p>
    <w:p>
      <w:pPr>
        <w:ind w:firstLine="4316" w:firstLineChars="1300"/>
        <w:rPr>
          <w:rFonts w:hint="eastAsia" w:ascii="仿宋_GB2312" w:hAnsi="仿宋" w:eastAsia="仿宋_GB2312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 w:cs="仿宋"/>
          <w:color w:val="000000" w:themeColor="text1"/>
          <w:spacing w:val="6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2024年2月22日</w:t>
      </w: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588" w:bottom="1440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5</w:t>
    </w:r>
    <w:r>
      <w:rPr>
        <w:rFonts w:ascii="Arial" w:hAnsi="Arial" w:cs="Arial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4MjgwZGZhMDgxM2I0ZmVhOTUyZTVlZmM0OTM5NWQifQ=="/>
    <w:docVar w:name="KSO_WPS_MARK_KEY" w:val="446dacaf-8128-43ea-a0d9-1f5e3f6ce26d"/>
  </w:docVars>
  <w:rsids>
    <w:rsidRoot w:val="00000000"/>
    <w:rsid w:val="195E4557"/>
    <w:rsid w:val="1C861465"/>
    <w:rsid w:val="1D12489F"/>
    <w:rsid w:val="25E3404B"/>
    <w:rsid w:val="299F14E6"/>
    <w:rsid w:val="36053C8C"/>
    <w:rsid w:val="38666D15"/>
    <w:rsid w:val="39DE48F8"/>
    <w:rsid w:val="3B5A6639"/>
    <w:rsid w:val="42FA438F"/>
    <w:rsid w:val="4DCE2781"/>
    <w:rsid w:val="5821140D"/>
    <w:rsid w:val="5BA07514"/>
    <w:rsid w:val="5D696F07"/>
    <w:rsid w:val="5E8F3D0A"/>
    <w:rsid w:val="668B0E13"/>
    <w:rsid w:val="7345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1305</Words>
  <Characters>1427</Characters>
  <Lines>0</Lines>
  <Paragraphs>0</Paragraphs>
  <TotalTime>84</TotalTime>
  <ScaleCrop>false</ScaleCrop>
  <LinksUpToDate>false</LinksUpToDate>
  <CharactersWithSpaces>1623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2019-09-04T14:41:00Z</dcterms:created>
  <dc:creator>admin</dc:creator>
  <cp:lastModifiedBy>Administrator</cp:lastModifiedBy>
  <dcterms:modified xsi:type="dcterms:W3CDTF">2024-03-13T07:41:17Z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1BACDDBF4FFB4B8D8A0E37D7D366436A_12</vt:lpwstr>
  </property>
</Properties>
</file>