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50E8">
      <w:pPr>
        <w:spacing w:line="600" w:lineRule="exact"/>
        <w:jc w:val="left"/>
        <w:outlineLvl w:val="0"/>
        <w:rPr>
          <w:rFonts w:ascii="方正小标宋简体" w:hAnsi="宋体" w:eastAsia="方正小标宋简体"/>
          <w:szCs w:val="21"/>
        </w:rPr>
      </w:pPr>
      <w:bookmarkStart w:id="0" w:name="_Toc15306267"/>
    </w:p>
    <w:p w14:paraId="31074024">
      <w:pPr>
        <w:pStyle w:val="6"/>
        <w:spacing w:before="93"/>
      </w:pPr>
    </w:p>
    <w:p w14:paraId="32E24884">
      <w:pPr>
        <w:spacing w:line="600" w:lineRule="exact"/>
        <w:jc w:val="center"/>
        <w:outlineLvl w:val="0"/>
        <w:rPr>
          <w:rFonts w:ascii="方正小标宋简体" w:hAnsi="宋体" w:eastAsia="方正小标宋简体"/>
          <w:sz w:val="72"/>
          <w:szCs w:val="72"/>
        </w:rPr>
      </w:pPr>
    </w:p>
    <w:p w14:paraId="589B01BF">
      <w:pPr>
        <w:spacing w:line="600" w:lineRule="exact"/>
        <w:jc w:val="center"/>
        <w:outlineLvl w:val="0"/>
        <w:rPr>
          <w:rFonts w:ascii="方正小标宋简体" w:hAnsi="宋体" w:eastAsia="方正小标宋简体"/>
          <w:sz w:val="72"/>
          <w:szCs w:val="72"/>
        </w:rPr>
      </w:pPr>
    </w:p>
    <w:p w14:paraId="61FF5798">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193"/>
      <w:bookmarkStart w:id="2" w:name="_Toc15377425"/>
      <w:bookmarkStart w:id="3" w:name="_Toc15378441"/>
      <w:bookmarkStart w:id="4" w:name="_Toc15396475"/>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741662D9">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194"/>
      <w:bookmarkStart w:id="7" w:name="_Toc15377426"/>
      <w:bookmarkStart w:id="8" w:name="_Toc15396598"/>
      <w:bookmarkStart w:id="9" w:name="_Toc1539647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省</w:t>
      </w:r>
      <w:r>
        <w:rPr>
          <w:rFonts w:hint="eastAsia" w:ascii="方正小标宋简体" w:hAnsi="方正小标宋简体" w:eastAsia="方正小标宋简体" w:cs="方正小标宋简体"/>
          <w:sz w:val="72"/>
          <w:szCs w:val="72"/>
          <w:lang w:eastAsia="zh-CN"/>
        </w:rPr>
        <w:t>资阳市乐至县</w:t>
      </w:r>
    </w:p>
    <w:p w14:paraId="25B4DCB6">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公路养护管理段</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1419053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7EC0345D">
      <w:pPr>
        <w:widowControl/>
        <w:jc w:val="center"/>
        <w:rPr>
          <w:rFonts w:ascii="黑体" w:hAnsi="黑体" w:eastAsia="黑体" w:cstheme="minorBidi"/>
          <w:sz w:val="28"/>
          <w:szCs w:val="28"/>
        </w:rPr>
      </w:pPr>
    </w:p>
    <w:p w14:paraId="61FE050D">
      <w:pPr>
        <w:pStyle w:val="12"/>
      </w:pPr>
      <w:r>
        <w:rPr>
          <w:rFonts w:hint="eastAsia"/>
        </w:rPr>
        <w:t>公开时间：2023年</w:t>
      </w:r>
      <w:r>
        <w:rPr>
          <w:rFonts w:hint="eastAsia"/>
          <w:lang w:val="en-US" w:eastAsia="zh-CN"/>
        </w:rPr>
        <w:t>8</w:t>
      </w:r>
      <w:r>
        <w:rPr>
          <w:rFonts w:hint="eastAsia"/>
        </w:rPr>
        <w:t>月</w:t>
      </w:r>
      <w:r>
        <w:rPr>
          <w:rFonts w:hint="eastAsia"/>
          <w:lang w:val="en-US" w:eastAsia="zh-CN"/>
        </w:rPr>
        <w:t>15</w:t>
      </w:r>
      <w:r>
        <w:rPr>
          <w:rFonts w:hint="eastAsia"/>
        </w:rPr>
        <w:t>日</w:t>
      </w:r>
    </w:p>
    <w:p w14:paraId="744F6BC8"/>
    <w:p w14:paraId="4DCFEE0B">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14:paraId="404E663E">
      <w:pPr>
        <w:pStyle w:val="13"/>
        <w:adjustRightInd w:val="0"/>
        <w:snapToGrid w:val="0"/>
        <w:spacing w:line="440" w:lineRule="exact"/>
        <w:jc w:val="left"/>
        <w:rPr>
          <w:sz w:val="24"/>
        </w:rPr>
      </w:pPr>
      <w:r>
        <w:rPr>
          <w:rFonts w:hint="eastAsia"/>
          <w:sz w:val="24"/>
        </w:rPr>
        <w:t>一、主要职责</w:t>
      </w:r>
    </w:p>
    <w:p w14:paraId="40B63A88">
      <w:pPr>
        <w:pStyle w:val="13"/>
        <w:adjustRightInd w:val="0"/>
        <w:snapToGrid w:val="0"/>
        <w:spacing w:line="440" w:lineRule="exact"/>
        <w:jc w:val="left"/>
      </w:pPr>
      <w:r>
        <w:rPr>
          <w:rFonts w:hint="eastAsia"/>
          <w:sz w:val="24"/>
        </w:rPr>
        <w:t>二、机构设置</w:t>
      </w:r>
    </w:p>
    <w:p w14:paraId="4A92D58C">
      <w:pPr>
        <w:pStyle w:val="12"/>
        <w:adjustRightInd w:val="0"/>
        <w:snapToGrid w:val="0"/>
        <w:spacing w:before="0" w:line="440" w:lineRule="exact"/>
        <w:jc w:val="left"/>
        <w:rPr>
          <w:sz w:val="24"/>
          <w:szCs w:val="24"/>
        </w:rPr>
      </w:pPr>
      <w:r>
        <w:rPr>
          <w:rFonts w:hint="eastAsia"/>
          <w:sz w:val="24"/>
        </w:rPr>
        <w:t>第二部分 2023年度单位决算情况说明</w:t>
      </w:r>
    </w:p>
    <w:p w14:paraId="0BACC851">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14:paraId="46790E92">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14:paraId="28233369">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14:paraId="794FFCE1">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14:paraId="30CB6BDC">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14:paraId="0B077F49">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14:paraId="780B4583">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14:paraId="077BE557">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14:paraId="32635EEA">
      <w:pPr>
        <w:pStyle w:val="13"/>
        <w:adjustRightInd w:val="0"/>
        <w:snapToGrid w:val="0"/>
        <w:spacing w:line="440" w:lineRule="exact"/>
        <w:jc w:val="left"/>
        <w:rPr>
          <w:sz w:val="24"/>
        </w:rPr>
      </w:pPr>
      <w:r>
        <w:rPr>
          <w:rFonts w:hint="eastAsia"/>
          <w:sz w:val="24"/>
        </w:rPr>
        <w:t>九、国有资本经营预算支出决算情况说明</w:t>
      </w:r>
    </w:p>
    <w:p w14:paraId="425183CE">
      <w:pPr>
        <w:pStyle w:val="13"/>
        <w:adjustRightInd w:val="0"/>
        <w:snapToGrid w:val="0"/>
        <w:spacing w:line="440" w:lineRule="exact"/>
        <w:jc w:val="left"/>
        <w:rPr>
          <w:sz w:val="24"/>
        </w:rPr>
      </w:pPr>
      <w:r>
        <w:rPr>
          <w:rFonts w:hint="eastAsia"/>
          <w:sz w:val="24"/>
        </w:rPr>
        <w:t>十、其他重要事项的情况说明</w:t>
      </w:r>
    </w:p>
    <w:p w14:paraId="32326757">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14:paraId="5F2B8DD6">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14:paraId="4B48D92A">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14:paraId="237856E6">
      <w:pPr>
        <w:pStyle w:val="13"/>
        <w:adjustRightInd w:val="0"/>
        <w:snapToGrid w:val="0"/>
        <w:spacing w:line="440" w:lineRule="exact"/>
        <w:jc w:val="left"/>
        <w:rPr>
          <w:sz w:val="24"/>
        </w:rPr>
      </w:pPr>
      <w:r>
        <w:rPr>
          <w:rFonts w:hint="eastAsia"/>
          <w:sz w:val="24"/>
        </w:rPr>
        <w:t>一、收入支出决算总表</w:t>
      </w:r>
    </w:p>
    <w:p w14:paraId="5A84460A">
      <w:pPr>
        <w:pStyle w:val="13"/>
        <w:adjustRightInd w:val="0"/>
        <w:snapToGrid w:val="0"/>
        <w:spacing w:line="440" w:lineRule="exact"/>
        <w:jc w:val="left"/>
        <w:rPr>
          <w:sz w:val="24"/>
        </w:rPr>
      </w:pPr>
      <w:r>
        <w:rPr>
          <w:rFonts w:hint="eastAsia"/>
          <w:sz w:val="24"/>
        </w:rPr>
        <w:t>二、收入决算表</w:t>
      </w:r>
    </w:p>
    <w:p w14:paraId="6D1665FE">
      <w:pPr>
        <w:pStyle w:val="13"/>
        <w:adjustRightInd w:val="0"/>
        <w:snapToGrid w:val="0"/>
        <w:spacing w:line="440" w:lineRule="exact"/>
        <w:jc w:val="left"/>
        <w:rPr>
          <w:sz w:val="24"/>
        </w:rPr>
      </w:pPr>
      <w:r>
        <w:rPr>
          <w:rFonts w:hint="eastAsia"/>
          <w:sz w:val="24"/>
        </w:rPr>
        <w:t>三、支出决算表</w:t>
      </w:r>
    </w:p>
    <w:p w14:paraId="16AC282B">
      <w:pPr>
        <w:pStyle w:val="13"/>
        <w:adjustRightInd w:val="0"/>
        <w:snapToGrid w:val="0"/>
        <w:spacing w:line="440" w:lineRule="exact"/>
        <w:jc w:val="left"/>
        <w:rPr>
          <w:sz w:val="24"/>
        </w:rPr>
      </w:pPr>
      <w:r>
        <w:rPr>
          <w:rFonts w:hint="eastAsia"/>
          <w:sz w:val="24"/>
        </w:rPr>
        <w:t>四、财政拨款收入支出决算总表</w:t>
      </w:r>
    </w:p>
    <w:p w14:paraId="0703615A">
      <w:pPr>
        <w:pStyle w:val="13"/>
        <w:adjustRightInd w:val="0"/>
        <w:snapToGrid w:val="0"/>
        <w:spacing w:line="440" w:lineRule="exact"/>
        <w:jc w:val="left"/>
        <w:rPr>
          <w:sz w:val="24"/>
        </w:rPr>
      </w:pPr>
      <w:r>
        <w:rPr>
          <w:rFonts w:hint="eastAsia"/>
          <w:sz w:val="24"/>
        </w:rPr>
        <w:t>五、财政拨款支出决算明细表</w:t>
      </w:r>
    </w:p>
    <w:p w14:paraId="665172DF">
      <w:pPr>
        <w:pStyle w:val="13"/>
        <w:adjustRightInd w:val="0"/>
        <w:snapToGrid w:val="0"/>
        <w:spacing w:line="440" w:lineRule="exact"/>
        <w:jc w:val="left"/>
        <w:rPr>
          <w:sz w:val="24"/>
        </w:rPr>
      </w:pPr>
      <w:r>
        <w:rPr>
          <w:rFonts w:hint="eastAsia"/>
          <w:sz w:val="24"/>
        </w:rPr>
        <w:t>六、一般公共预算财政拨款支出决算表</w:t>
      </w:r>
    </w:p>
    <w:p w14:paraId="2F14B175">
      <w:pPr>
        <w:pStyle w:val="13"/>
        <w:adjustRightInd w:val="0"/>
        <w:snapToGrid w:val="0"/>
        <w:spacing w:line="440" w:lineRule="exact"/>
        <w:jc w:val="left"/>
        <w:rPr>
          <w:sz w:val="24"/>
        </w:rPr>
      </w:pPr>
      <w:r>
        <w:rPr>
          <w:rFonts w:hint="eastAsia"/>
          <w:sz w:val="24"/>
        </w:rPr>
        <w:t>七、一般公共预算财政拨款支出决算明细表</w:t>
      </w:r>
    </w:p>
    <w:p w14:paraId="69B6FCA7">
      <w:pPr>
        <w:pStyle w:val="13"/>
        <w:adjustRightInd w:val="0"/>
        <w:snapToGrid w:val="0"/>
        <w:spacing w:line="440" w:lineRule="exact"/>
        <w:jc w:val="left"/>
        <w:rPr>
          <w:sz w:val="24"/>
        </w:rPr>
      </w:pPr>
      <w:r>
        <w:rPr>
          <w:rFonts w:hint="eastAsia"/>
          <w:sz w:val="24"/>
        </w:rPr>
        <w:t>八、一般公共预算财政拨款基本支出决算明细表</w:t>
      </w:r>
    </w:p>
    <w:p w14:paraId="1F4A080C">
      <w:pPr>
        <w:pStyle w:val="13"/>
        <w:adjustRightInd w:val="0"/>
        <w:snapToGrid w:val="0"/>
        <w:spacing w:line="440" w:lineRule="exact"/>
        <w:jc w:val="left"/>
        <w:rPr>
          <w:sz w:val="24"/>
        </w:rPr>
      </w:pPr>
      <w:r>
        <w:rPr>
          <w:rFonts w:hint="eastAsia"/>
          <w:sz w:val="24"/>
        </w:rPr>
        <w:t>九、一般公共预算财政拨款项目支出决算表</w:t>
      </w:r>
    </w:p>
    <w:p w14:paraId="1709FB5D">
      <w:pPr>
        <w:pStyle w:val="13"/>
        <w:adjustRightInd w:val="0"/>
        <w:snapToGrid w:val="0"/>
        <w:spacing w:line="440" w:lineRule="exact"/>
        <w:jc w:val="left"/>
        <w:rPr>
          <w:sz w:val="24"/>
        </w:rPr>
      </w:pPr>
      <w:r>
        <w:rPr>
          <w:rFonts w:hint="eastAsia"/>
          <w:sz w:val="24"/>
        </w:rPr>
        <w:t>十、政府性基金预算财政拨款收入支出决算表</w:t>
      </w:r>
    </w:p>
    <w:p w14:paraId="74BEB189">
      <w:pPr>
        <w:pStyle w:val="13"/>
        <w:adjustRightInd w:val="0"/>
        <w:snapToGrid w:val="0"/>
        <w:spacing w:line="440" w:lineRule="exact"/>
        <w:jc w:val="left"/>
        <w:rPr>
          <w:sz w:val="24"/>
        </w:rPr>
      </w:pPr>
      <w:r>
        <w:rPr>
          <w:rFonts w:hint="eastAsia"/>
          <w:sz w:val="24"/>
        </w:rPr>
        <w:t>十一、国有资本经营预算财政拨款收入支出决算表</w:t>
      </w:r>
    </w:p>
    <w:p w14:paraId="15B3580F">
      <w:pPr>
        <w:pStyle w:val="13"/>
        <w:adjustRightInd w:val="0"/>
        <w:snapToGrid w:val="0"/>
        <w:spacing w:line="440" w:lineRule="exact"/>
        <w:jc w:val="left"/>
        <w:rPr>
          <w:sz w:val="24"/>
        </w:rPr>
      </w:pPr>
      <w:r>
        <w:rPr>
          <w:rFonts w:hint="eastAsia"/>
          <w:sz w:val="24"/>
        </w:rPr>
        <w:t>十二、国有资本经营预算财政拨款支出决算表</w:t>
      </w:r>
    </w:p>
    <w:p w14:paraId="039CA0EA">
      <w:pPr>
        <w:pStyle w:val="13"/>
        <w:adjustRightInd w:val="0"/>
        <w:snapToGrid w:val="0"/>
        <w:spacing w:line="440" w:lineRule="exact"/>
        <w:jc w:val="left"/>
        <w:rPr>
          <w:sz w:val="24"/>
        </w:rPr>
      </w:pPr>
      <w:r>
        <w:rPr>
          <w:rFonts w:hint="eastAsia"/>
          <w:sz w:val="24"/>
        </w:rPr>
        <w:t>十三、财政拨款“三公”经费支出决算表</w:t>
      </w:r>
    </w:p>
    <w:p w14:paraId="05272C2A">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请单位根据实际注明页码</w:t>
      </w:r>
      <w:r>
        <w:rPr>
          <w:rFonts w:ascii="仿宋" w:hAnsi="仿宋" w:eastAsia="仿宋"/>
          <w:sz w:val="24"/>
        </w:rPr>
        <w:t>)</w:t>
      </w:r>
    </w:p>
    <w:p w14:paraId="1AAAD4F0">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1AA039FD">
      <w:pPr>
        <w:pStyle w:val="3"/>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14:paraId="4E4F87BE">
      <w:pPr>
        <w:pStyle w:val="4"/>
        <w:rPr>
          <w:rFonts w:hint="eastAsia" w:ascii="黑体" w:hAnsi="黑体" w:eastAsia="黑体"/>
          <w:b w:val="0"/>
        </w:rPr>
      </w:pPr>
      <w:bookmarkStart w:id="14" w:name="_Toc15377197"/>
      <w:bookmarkStart w:id="15" w:name="_Toc15396600"/>
      <w:r>
        <w:rPr>
          <w:rFonts w:hint="eastAsia" w:ascii="黑体" w:hAnsi="黑体" w:eastAsia="黑体"/>
          <w:b w:val="0"/>
        </w:rPr>
        <w:t>一、</w:t>
      </w:r>
      <w:bookmarkEnd w:id="14"/>
      <w:bookmarkEnd w:id="15"/>
      <w:r>
        <w:rPr>
          <w:rFonts w:hint="eastAsia" w:ascii="黑体" w:hAnsi="黑体" w:eastAsia="黑体"/>
          <w:b w:val="0"/>
        </w:rPr>
        <w:t>部门职责</w:t>
      </w:r>
    </w:p>
    <w:p w14:paraId="41AC819A">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对全县的国省干道进行日常养护，管养国省干道167.67公里。</w:t>
      </w:r>
    </w:p>
    <w:p w14:paraId="6EFB11D1">
      <w:pPr>
        <w:pStyle w:val="4"/>
        <w:rPr>
          <w:rStyle w:val="29"/>
          <w:b w:val="0"/>
          <w:bCs w:val="0"/>
        </w:rPr>
      </w:pPr>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p>
    <w:p w14:paraId="2E5AA8EF">
      <w:pPr>
        <w:ind w:firstLine="800" w:firstLineChars="250"/>
      </w:pPr>
      <w:r>
        <w:rPr>
          <w:rFonts w:hint="eastAsia" w:ascii="仿宋" w:hAnsi="仿宋" w:eastAsia="仿宋"/>
          <w:sz w:val="32"/>
          <w:szCs w:val="32"/>
        </w:rPr>
        <w:t>乐至县</w:t>
      </w:r>
      <w:r>
        <w:rPr>
          <w:rFonts w:hint="eastAsia" w:ascii="仿宋" w:hAnsi="仿宋" w:eastAsia="仿宋"/>
          <w:sz w:val="32"/>
          <w:szCs w:val="32"/>
          <w:lang w:val="en-US" w:eastAsia="zh-CN"/>
        </w:rPr>
        <w:t>公路养护管理段</w:t>
      </w:r>
      <w:r>
        <w:rPr>
          <w:rFonts w:hint="eastAsia" w:ascii="仿宋" w:hAnsi="仿宋" w:eastAsia="仿宋"/>
          <w:sz w:val="32"/>
          <w:szCs w:val="32"/>
        </w:rPr>
        <w:t>属乐至县</w:t>
      </w:r>
      <w:r>
        <w:rPr>
          <w:rFonts w:hint="eastAsia" w:ascii="仿宋" w:hAnsi="仿宋" w:eastAsia="仿宋"/>
          <w:sz w:val="32"/>
          <w:szCs w:val="32"/>
          <w:lang w:val="en-US" w:eastAsia="zh-CN"/>
        </w:rPr>
        <w:t>交通运输</w:t>
      </w:r>
      <w:r>
        <w:rPr>
          <w:rFonts w:hint="eastAsia" w:ascii="仿宋" w:hAnsi="仿宋" w:eastAsia="仿宋"/>
          <w:sz w:val="32"/>
          <w:szCs w:val="32"/>
        </w:rPr>
        <w:t>局的下属二级预算单位，</w:t>
      </w:r>
      <w:r>
        <w:rPr>
          <w:rFonts w:hint="eastAsia" w:ascii="仿宋_GB2312" w:hAnsi="仿宋" w:eastAsia="仿宋_GB2312"/>
          <w:sz w:val="32"/>
          <w:szCs w:val="32"/>
        </w:rPr>
        <w:t>事业性质，差额拨款。</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个。纳入202</w:t>
      </w:r>
      <w:r>
        <w:rPr>
          <w:rFonts w:hint="eastAsia" w:ascii="仿宋" w:hAnsi="仿宋" w:eastAsia="仿宋"/>
          <w:sz w:val="32"/>
          <w:szCs w:val="32"/>
          <w:lang w:val="en-US" w:eastAsia="zh-CN"/>
        </w:rPr>
        <w:t>3</w:t>
      </w:r>
      <w:r>
        <w:rPr>
          <w:rFonts w:hint="eastAsia" w:ascii="仿宋" w:hAnsi="仿宋" w:eastAsia="仿宋"/>
          <w:sz w:val="32"/>
          <w:szCs w:val="32"/>
        </w:rPr>
        <w:t>年度部门决算编制范围的二级预算单位包括：</w:t>
      </w:r>
      <w:r>
        <w:rPr>
          <w:rFonts w:hint="eastAsia" w:ascii="仿宋" w:hAnsi="仿宋" w:eastAsia="仿宋"/>
          <w:sz w:val="32"/>
          <w:szCs w:val="32"/>
          <w:lang w:val="en-US" w:eastAsia="zh-CN"/>
        </w:rPr>
        <w:t>四川省</w:t>
      </w:r>
      <w:r>
        <w:rPr>
          <w:rFonts w:hint="eastAsia" w:ascii="仿宋" w:hAnsi="仿宋" w:eastAsia="仿宋"/>
          <w:sz w:val="32"/>
          <w:szCs w:val="32"/>
          <w:lang w:eastAsia="zh-CN"/>
        </w:rPr>
        <w:t>乐至县</w:t>
      </w:r>
      <w:r>
        <w:rPr>
          <w:rFonts w:hint="eastAsia" w:ascii="仿宋" w:hAnsi="仿宋" w:eastAsia="仿宋"/>
          <w:sz w:val="32"/>
          <w:szCs w:val="32"/>
          <w:lang w:val="en-US" w:eastAsia="zh-CN"/>
        </w:rPr>
        <w:t>公路养护管理段</w:t>
      </w:r>
      <w:r>
        <w:rPr>
          <w:rFonts w:hint="eastAsia" w:ascii="仿宋" w:hAnsi="仿宋" w:eastAsia="仿宋"/>
          <w:sz w:val="32"/>
          <w:szCs w:val="32"/>
          <w:lang w:eastAsia="zh-CN"/>
        </w:rPr>
        <w:t>。</w:t>
      </w:r>
    </w:p>
    <w:p w14:paraId="5974A175">
      <w:pPr>
        <w:pStyle w:val="4"/>
        <w:rPr>
          <w:rFonts w:ascii="仿宋" w:hAnsi="仿宋" w:eastAsia="仿宋"/>
          <w:kern w:val="0"/>
          <w:sz w:val="32"/>
          <w:szCs w:val="32"/>
        </w:rPr>
      </w:pPr>
      <w:r>
        <w:rPr>
          <w:rFonts w:ascii="仿宋" w:hAnsi="仿宋" w:eastAsia="仿宋"/>
          <w:sz w:val="32"/>
          <w:szCs w:val="32"/>
        </w:rPr>
        <w:br w:type="page"/>
      </w:r>
    </w:p>
    <w:p w14:paraId="6CF26B5F">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16"/>
      <w:bookmarkEnd w:id="17"/>
    </w:p>
    <w:p w14:paraId="44B7D0BC"/>
    <w:p w14:paraId="5818C4A8">
      <w:pPr>
        <w:pStyle w:val="27"/>
        <w:numPr>
          <w:ilvl w:val="0"/>
          <w:numId w:val="1"/>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14:paraId="12AB8416">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eastAsia="zh-CN"/>
        </w:rPr>
        <w:t>收入总计</w:t>
      </w:r>
      <w:r>
        <w:rPr>
          <w:rFonts w:hint="eastAsia" w:ascii="仿宋" w:hAnsi="仿宋" w:eastAsia="仿宋"/>
          <w:sz w:val="32"/>
          <w:szCs w:val="32"/>
          <w:lang w:val="en-US" w:eastAsia="zh-CN"/>
        </w:rPr>
        <w:t>1168.18万元，</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总计均为</w:t>
      </w:r>
      <w:r>
        <w:rPr>
          <w:rFonts w:hint="eastAsia" w:ascii="仿宋" w:hAnsi="仿宋" w:eastAsia="仿宋"/>
          <w:sz w:val="32"/>
          <w:szCs w:val="32"/>
          <w:lang w:val="en-US" w:eastAsia="zh-CN"/>
        </w:rPr>
        <w:t>1223.94</w:t>
      </w:r>
      <w:r>
        <w:rPr>
          <w:rFonts w:hint="eastAsia" w:ascii="仿宋" w:hAnsi="仿宋" w:eastAsia="仿宋"/>
          <w:sz w:val="32"/>
          <w:szCs w:val="32"/>
        </w:rPr>
        <w:t>万元。与2022年度相比，收</w:t>
      </w:r>
      <w:r>
        <w:rPr>
          <w:rFonts w:hint="eastAsia" w:ascii="仿宋" w:hAnsi="仿宋" w:eastAsia="仿宋"/>
          <w:sz w:val="32"/>
          <w:szCs w:val="32"/>
          <w:lang w:eastAsia="zh-CN"/>
        </w:rPr>
        <w:t>入增加</w:t>
      </w:r>
      <w:r>
        <w:rPr>
          <w:rFonts w:hint="eastAsia" w:ascii="仿宋" w:hAnsi="仿宋" w:eastAsia="仿宋"/>
          <w:sz w:val="32"/>
          <w:szCs w:val="32"/>
          <w:lang w:val="en-US" w:eastAsia="zh-CN"/>
        </w:rPr>
        <w:t>11.42万元</w:t>
      </w:r>
      <w:r>
        <w:rPr>
          <w:rFonts w:hint="eastAsia" w:ascii="仿宋" w:hAnsi="仿宋" w:eastAsia="仿宋"/>
          <w:sz w:val="32"/>
          <w:szCs w:val="32"/>
        </w:rPr>
        <w:t>、</w:t>
      </w:r>
      <w:r>
        <w:rPr>
          <w:rFonts w:hint="eastAsia" w:ascii="仿宋" w:hAnsi="仿宋" w:eastAsia="仿宋"/>
          <w:sz w:val="32"/>
          <w:szCs w:val="32"/>
          <w:lang w:eastAsia="zh-CN"/>
        </w:rPr>
        <w:t>增长</w:t>
      </w:r>
      <w:r>
        <w:rPr>
          <w:rFonts w:hint="eastAsia" w:ascii="仿宋" w:hAnsi="仿宋" w:eastAsia="仿宋"/>
          <w:sz w:val="32"/>
          <w:szCs w:val="32"/>
          <w:lang w:val="en-US" w:eastAsia="zh-CN"/>
        </w:rPr>
        <w:t>1.9%，</w:t>
      </w:r>
      <w:r>
        <w:rPr>
          <w:rFonts w:hint="eastAsia" w:ascii="仿宋" w:hAnsi="仿宋" w:eastAsia="仿宋"/>
          <w:sz w:val="32"/>
          <w:szCs w:val="32"/>
        </w:rPr>
        <w:t>支</w:t>
      </w:r>
      <w:r>
        <w:rPr>
          <w:rFonts w:hint="eastAsia" w:ascii="仿宋" w:hAnsi="仿宋" w:eastAsia="仿宋"/>
          <w:sz w:val="32"/>
          <w:szCs w:val="32"/>
          <w:lang w:eastAsia="zh-CN"/>
        </w:rPr>
        <w:t>出</w:t>
      </w:r>
      <w:r>
        <w:rPr>
          <w:rFonts w:hint="eastAsia" w:ascii="仿宋" w:hAnsi="仿宋" w:eastAsia="仿宋"/>
          <w:sz w:val="32"/>
          <w:szCs w:val="32"/>
        </w:rPr>
        <w:t>总计各增加</w:t>
      </w:r>
      <w:r>
        <w:rPr>
          <w:rFonts w:hint="eastAsia" w:ascii="仿宋" w:hAnsi="仿宋" w:eastAsia="仿宋"/>
          <w:sz w:val="32"/>
          <w:szCs w:val="32"/>
          <w:lang w:val="en-US" w:eastAsia="zh-CN"/>
        </w:rPr>
        <w:t>33.18</w:t>
      </w:r>
      <w:r>
        <w:rPr>
          <w:rFonts w:hint="eastAsia" w:ascii="仿宋" w:hAnsi="仿宋" w:eastAsia="仿宋"/>
          <w:sz w:val="32"/>
          <w:szCs w:val="32"/>
        </w:rPr>
        <w:t>万元，增长</w:t>
      </w:r>
      <w:r>
        <w:rPr>
          <w:rFonts w:hint="eastAsia" w:ascii="仿宋" w:hAnsi="仿宋" w:eastAsia="仿宋"/>
          <w:sz w:val="32"/>
          <w:szCs w:val="32"/>
          <w:lang w:val="en-US" w:eastAsia="zh-CN"/>
        </w:rPr>
        <w:t>2.71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财政支付退休职工职业年金级职工工资调整</w:t>
      </w:r>
      <w:r>
        <w:rPr>
          <w:rFonts w:hint="eastAsia" w:ascii="仿宋" w:hAnsi="仿宋" w:eastAsia="仿宋"/>
          <w:sz w:val="32"/>
          <w:szCs w:val="32"/>
        </w:rPr>
        <w:t>。</w:t>
      </w:r>
    </w:p>
    <w:p w14:paraId="68D4A045">
      <w:pPr>
        <w:pStyle w:val="2"/>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861D32">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6F4460E">
      <w:pPr>
        <w:spacing w:line="600" w:lineRule="exact"/>
        <w:ind w:firstLine="640" w:firstLineChars="200"/>
        <w:jc w:val="left"/>
        <w:rPr>
          <w:rFonts w:ascii="仿宋_GB2312" w:eastAsia="仿宋_GB2312"/>
          <w:sz w:val="32"/>
          <w:szCs w:val="32"/>
        </w:rPr>
      </w:pPr>
    </w:p>
    <w:p w14:paraId="3EAB8338">
      <w:pPr>
        <w:pStyle w:val="27"/>
        <w:numPr>
          <w:ilvl w:val="0"/>
          <w:numId w:val="1"/>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14:paraId="3D406B6E">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1168.18</w:t>
      </w:r>
      <w:r>
        <w:rPr>
          <w:rFonts w:hint="eastAsia" w:ascii="仿宋" w:hAnsi="仿宋" w:eastAsia="仿宋"/>
          <w:sz w:val="32"/>
          <w:szCs w:val="32"/>
        </w:rPr>
        <w:t>万元，其中：一般公共预算财政拨款收入</w:t>
      </w:r>
      <w:r>
        <w:rPr>
          <w:rFonts w:ascii="仿宋" w:hAnsi="仿宋" w:eastAsia="仿宋"/>
          <w:b/>
          <w:sz w:val="32"/>
          <w:szCs w:val="32"/>
        </w:rPr>
        <w:t>1168.18</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14:paraId="5A756DE8">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，仅罗列本单位涉及的收入。</w:t>
      </w:r>
      <w:r>
        <w:rPr>
          <w:rFonts w:ascii="仿宋" w:hAnsi="仿宋" w:eastAsia="仿宋"/>
          <w:b/>
          <w:sz w:val="32"/>
          <w:szCs w:val="32"/>
        </w:rPr>
        <w:t>）</w:t>
      </w:r>
    </w:p>
    <w:p w14:paraId="5EF31D62">
      <w:pPr>
        <w:pStyle w:val="2"/>
        <w:rPr>
          <w:rFonts w:hint="eastAsia" w:ascii="仿宋" w:hAnsi="仿宋" w:eastAsia="仿宋"/>
          <w:color w:val="auto"/>
          <w:sz w:val="32"/>
          <w:szCs w:val="32"/>
          <w:lang w:eastAsia="zh-CN"/>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77CBE">
      <w:pP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BC9B66C">
      <w:pPr>
        <w:pStyle w:val="2"/>
        <w:rPr>
          <w:rFonts w:hint="eastAsia"/>
          <w:lang w:eastAsia="zh-CN"/>
        </w:rPr>
      </w:pPr>
    </w:p>
    <w:p w14:paraId="46549A3D">
      <w:pPr>
        <w:spacing w:line="600" w:lineRule="exact"/>
        <w:ind w:firstLine="640" w:firstLineChars="200"/>
        <w:outlineLvl w:val="1"/>
        <w:rPr>
          <w:rFonts w:hint="eastAsia" w:ascii="仿宋" w:hAnsi="仿宋" w:eastAsia="仿宋"/>
          <w:sz w:val="32"/>
          <w:szCs w:val="32"/>
          <w:lang w:eastAsia="zh-CN"/>
        </w:rPr>
      </w:pPr>
    </w:p>
    <w:p w14:paraId="1CB27D68">
      <w:pPr>
        <w:spacing w:line="600" w:lineRule="exact"/>
        <w:ind w:firstLine="640" w:firstLineChars="200"/>
        <w:outlineLvl w:val="1"/>
        <w:rPr>
          <w:rFonts w:hint="eastAsia" w:ascii="仿宋" w:hAnsi="仿宋" w:eastAsia="仿宋"/>
          <w:sz w:val="32"/>
          <w:szCs w:val="32"/>
          <w:lang w:eastAsia="zh-CN"/>
        </w:rPr>
      </w:pPr>
    </w:p>
    <w:p w14:paraId="4A3C1B0A">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59768027">
      <w:pPr>
        <w:spacing w:line="600" w:lineRule="exact"/>
        <w:ind w:firstLine="640" w:firstLineChars="200"/>
        <w:rPr>
          <w:rFonts w:ascii="仿宋_GB2312" w:eastAsia="仿宋_GB2312"/>
          <w:sz w:val="32"/>
          <w:szCs w:val="32"/>
        </w:rPr>
      </w:pPr>
    </w:p>
    <w:p w14:paraId="7064B95D">
      <w:pPr>
        <w:pStyle w:val="27"/>
        <w:numPr>
          <w:ilvl w:val="0"/>
          <w:numId w:val="1"/>
        </w:numPr>
        <w:spacing w:line="600" w:lineRule="exact"/>
        <w:ind w:firstLineChars="0"/>
        <w:outlineLvl w:val="1"/>
        <w:rPr>
          <w:rStyle w:val="29"/>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14:paraId="5F35B739">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1223.94</w:t>
      </w:r>
      <w:r>
        <w:rPr>
          <w:rFonts w:hint="eastAsia" w:ascii="仿宋" w:hAnsi="仿宋" w:eastAsia="仿宋"/>
          <w:sz w:val="32"/>
          <w:szCs w:val="32"/>
        </w:rPr>
        <w:t>万元，其中：基本支出</w:t>
      </w:r>
      <w:r>
        <w:rPr>
          <w:rFonts w:ascii="仿宋" w:hAnsi="仿宋" w:eastAsia="仿宋"/>
          <w:b/>
          <w:sz w:val="32"/>
          <w:szCs w:val="32"/>
        </w:rPr>
        <w:t>1128.29</w:t>
      </w:r>
      <w:r>
        <w:rPr>
          <w:rFonts w:hint="eastAsia" w:ascii="仿宋" w:hAnsi="仿宋" w:eastAsia="仿宋"/>
          <w:sz w:val="32"/>
          <w:szCs w:val="32"/>
        </w:rPr>
        <w:t>万元，占</w:t>
      </w:r>
      <w:r>
        <w:rPr>
          <w:rFonts w:ascii="仿宋" w:hAnsi="仿宋" w:eastAsia="仿宋"/>
          <w:b/>
          <w:sz w:val="32"/>
          <w:szCs w:val="32"/>
        </w:rPr>
        <w:t>92.18</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95.65</w:t>
      </w:r>
      <w:r>
        <w:rPr>
          <w:rFonts w:hint="eastAsia" w:ascii="仿宋" w:hAnsi="仿宋" w:eastAsia="仿宋"/>
          <w:sz w:val="32"/>
          <w:szCs w:val="32"/>
        </w:rPr>
        <w:t>万元，占</w:t>
      </w:r>
      <w:r>
        <w:rPr>
          <w:rFonts w:ascii="仿宋" w:hAnsi="仿宋" w:eastAsia="仿宋"/>
          <w:b/>
          <w:sz w:val="32"/>
          <w:szCs w:val="32"/>
        </w:rPr>
        <w:t>7.81</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14:paraId="7E4AF346">
      <w:pPr>
        <w:spacing w:line="600" w:lineRule="exact"/>
        <w:ind w:firstLine="643" w:firstLineChars="200"/>
        <w:outlineLvl w:val="1"/>
        <w:rPr>
          <w:rFonts w:hint="eastAsia"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表，仅罗列本单位涉及的支出。）</w:t>
      </w:r>
    </w:p>
    <w:p w14:paraId="066A0358">
      <w:pPr>
        <w:pStyle w:val="2"/>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D13874">
      <w:pPr>
        <w:spacing w:line="600" w:lineRule="exact"/>
        <w:ind w:firstLine="640"/>
        <w:rPr>
          <w:rFonts w:ascii="仿宋" w:hAnsi="仿宋" w:eastAsia="仿宋"/>
          <w:sz w:val="32"/>
          <w:szCs w:val="32"/>
          <w:shd w:val="pct10" w:color="auto" w:fill="FFFFFF"/>
        </w:rPr>
      </w:pPr>
    </w:p>
    <w:p w14:paraId="4A56E303">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6A064760">
      <w:pPr>
        <w:spacing w:line="600" w:lineRule="exact"/>
        <w:ind w:firstLine="640" w:firstLineChars="200"/>
        <w:rPr>
          <w:rFonts w:ascii="仿宋_GB2312" w:eastAsia="仿宋_GB2312"/>
          <w:sz w:val="32"/>
          <w:szCs w:val="32"/>
        </w:rPr>
      </w:pPr>
    </w:p>
    <w:p w14:paraId="0132B2FD">
      <w:pPr>
        <w:spacing w:line="600" w:lineRule="exact"/>
        <w:ind w:firstLine="640" w:firstLineChars="200"/>
        <w:outlineLvl w:val="1"/>
        <w:rPr>
          <w:rStyle w:val="29"/>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4"/>
      <w:bookmarkEnd w:id="25"/>
    </w:p>
    <w:p w14:paraId="7F446314">
      <w:pPr>
        <w:spacing w:line="600" w:lineRule="exact"/>
        <w:ind w:firstLine="640"/>
        <w:rPr>
          <w:rFonts w:hint="eastAsia" w:ascii="仿宋" w:hAnsi="仿宋" w:eastAsia="仿宋"/>
          <w:sz w:val="32"/>
          <w:szCs w:val="32"/>
          <w:lang w:val="en-US" w:eastAsia="zh-CN"/>
        </w:rPr>
      </w:pPr>
      <w:r>
        <w:rPr>
          <w:rFonts w:hint="eastAsia" w:ascii="仿宋" w:hAnsi="仿宋" w:eastAsia="仿宋"/>
          <w:sz w:val="32"/>
          <w:szCs w:val="32"/>
        </w:rPr>
        <w:t>2023年度财政拨款收、支总计均为</w:t>
      </w:r>
      <w:r>
        <w:rPr>
          <w:rFonts w:ascii="仿宋" w:hAnsi="仿宋" w:eastAsia="仿宋"/>
          <w:b/>
          <w:sz w:val="32"/>
          <w:szCs w:val="32"/>
        </w:rPr>
        <w:t>1168.18</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84.11</w:t>
      </w:r>
      <w:r>
        <w:rPr>
          <w:rFonts w:hint="eastAsia" w:ascii="仿宋" w:hAnsi="仿宋" w:eastAsia="仿宋"/>
          <w:sz w:val="32"/>
          <w:szCs w:val="32"/>
        </w:rPr>
        <w:t>万元，增长</w:t>
      </w:r>
      <w:r>
        <w:rPr>
          <w:rFonts w:hint="eastAsia" w:ascii="仿宋" w:hAnsi="仿宋" w:eastAsia="仿宋"/>
          <w:sz w:val="32"/>
          <w:szCs w:val="32"/>
          <w:lang w:val="en-US" w:eastAsia="zh-CN"/>
        </w:rPr>
        <w:t>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增加了人员支出。</w:t>
      </w:r>
    </w:p>
    <w:p w14:paraId="5B97E9B5">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1456B7E6">
      <w:r>
        <w:rPr>
          <w:rFonts w:hint="eastAsia" w:ascii="仿宋" w:hAnsi="仿宋" w:eastAsia="仿宋"/>
          <w:sz w:val="32"/>
          <w:szCs w:val="32"/>
          <w:lang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D82F54">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0037FDB9">
      <w:pPr>
        <w:spacing w:line="600" w:lineRule="exact"/>
        <w:ind w:firstLine="640"/>
        <w:rPr>
          <w:rFonts w:ascii="仿宋" w:hAnsi="仿宋" w:eastAsia="仿宋"/>
          <w:b/>
          <w:sz w:val="32"/>
          <w:szCs w:val="32"/>
        </w:rPr>
      </w:pPr>
    </w:p>
    <w:p w14:paraId="70E6AF95">
      <w:pPr>
        <w:spacing w:line="600" w:lineRule="exact"/>
        <w:ind w:firstLine="640" w:firstLineChars="200"/>
        <w:outlineLvl w:val="1"/>
        <w:rPr>
          <w:rStyle w:val="29"/>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14:paraId="7F05E7E4">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403753BD">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1168.18</w:t>
      </w:r>
      <w:r>
        <w:rPr>
          <w:rFonts w:hint="eastAsia" w:ascii="仿宋" w:hAnsi="仿宋" w:eastAsia="仿宋"/>
          <w:sz w:val="32"/>
          <w:szCs w:val="32"/>
        </w:rPr>
        <w:t>万元，占本年支出合计的</w:t>
      </w:r>
      <w:r>
        <w:rPr>
          <w:rFonts w:ascii="仿宋" w:hAnsi="仿宋" w:eastAsia="仿宋"/>
          <w:b/>
          <w:sz w:val="32"/>
          <w:szCs w:val="32"/>
        </w:rPr>
        <w:t>95.44</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84.11</w:t>
      </w:r>
      <w:r>
        <w:rPr>
          <w:rFonts w:hint="eastAsia" w:ascii="仿宋" w:hAnsi="仿宋" w:eastAsia="仿宋"/>
          <w:sz w:val="32"/>
          <w:szCs w:val="32"/>
        </w:rPr>
        <w:t>万元，增长</w:t>
      </w:r>
      <w:r>
        <w:rPr>
          <w:rFonts w:hint="eastAsia" w:ascii="仿宋" w:hAnsi="仿宋" w:eastAsia="仿宋"/>
          <w:sz w:val="32"/>
          <w:szCs w:val="32"/>
          <w:lang w:val="en-US" w:eastAsia="zh-CN"/>
        </w:rPr>
        <w:t>7.2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增加了人员支出</w:t>
      </w:r>
    </w:p>
    <w:p w14:paraId="70C051FE">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71B38D8D">
      <w:pPr>
        <w:spacing w:line="600" w:lineRule="exact"/>
        <w:ind w:firstLine="640" w:firstLineChars="200"/>
        <w:rPr>
          <w:rFonts w:ascii="仿宋" w:hAnsi="仿宋" w:eastAsia="仿宋"/>
          <w:sz w:val="32"/>
          <w:szCs w:val="32"/>
        </w:rPr>
      </w:pPr>
    </w:p>
    <w:p w14:paraId="7E37CEF1">
      <w:pPr>
        <w:pStyle w:val="2"/>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8BB423">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103A10D6">
      <w:pPr>
        <w:spacing w:line="600" w:lineRule="exact"/>
        <w:ind w:firstLine="640"/>
        <w:rPr>
          <w:rFonts w:hint="eastAsia" w:ascii="仿宋" w:hAnsi="仿宋" w:eastAsia="仿宋"/>
          <w:b/>
          <w:sz w:val="32"/>
          <w:szCs w:val="32"/>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1168.18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lang w:eastAsia="zh-CN"/>
        </w:rPr>
        <w:t>交通运输支出</w:t>
      </w:r>
      <w:r>
        <w:rPr>
          <w:rFonts w:hint="eastAsia" w:ascii="仿宋" w:hAnsi="仿宋" w:eastAsia="仿宋"/>
          <w:b/>
          <w:bCs/>
          <w:sz w:val="32"/>
          <w:szCs w:val="32"/>
          <w:lang w:val="en-US" w:eastAsia="zh-CN"/>
        </w:rPr>
        <w:t>934.55</w:t>
      </w:r>
      <w:r>
        <w:rPr>
          <w:rFonts w:hint="eastAsia" w:ascii="仿宋" w:hAnsi="仿宋" w:eastAsia="仿宋"/>
          <w:sz w:val="32"/>
          <w:szCs w:val="32"/>
        </w:rPr>
        <w:t>万元，占</w:t>
      </w:r>
      <w:r>
        <w:rPr>
          <w:rFonts w:hint="eastAsia" w:ascii="仿宋" w:hAnsi="仿宋" w:eastAsia="仿宋"/>
          <w:sz w:val="32"/>
          <w:szCs w:val="32"/>
          <w:lang w:val="en-US" w:eastAsia="zh-CN"/>
        </w:rPr>
        <w:t>80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105.66</w:t>
      </w:r>
      <w:r>
        <w:rPr>
          <w:rFonts w:hint="eastAsia" w:ascii="仿宋" w:hAnsi="仿宋" w:eastAsia="仿宋"/>
          <w:sz w:val="32"/>
          <w:szCs w:val="32"/>
        </w:rPr>
        <w:t>万元，占</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47.89</w:t>
      </w:r>
      <w:r>
        <w:rPr>
          <w:rFonts w:hint="eastAsia" w:ascii="仿宋" w:hAnsi="仿宋" w:eastAsia="仿宋"/>
          <w:sz w:val="32"/>
          <w:szCs w:val="32"/>
        </w:rPr>
        <w:t>万元，占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80.08</w:t>
      </w:r>
      <w:r>
        <w:rPr>
          <w:rFonts w:hint="eastAsia" w:ascii="仿宋" w:hAnsi="仿宋" w:eastAsia="仿宋"/>
          <w:sz w:val="32"/>
          <w:szCs w:val="32"/>
        </w:rPr>
        <w:t>万元，占</w:t>
      </w:r>
      <w:r>
        <w:rPr>
          <w:rFonts w:hint="eastAsia" w:ascii="仿宋" w:hAnsi="仿宋" w:eastAsia="仿宋"/>
          <w:sz w:val="32"/>
          <w:szCs w:val="32"/>
          <w:lang w:val="en-US" w:eastAsia="zh-CN"/>
        </w:rPr>
        <w:t>7</w:t>
      </w:r>
      <w:r>
        <w:rPr>
          <w:rFonts w:ascii="仿宋" w:hAnsi="仿宋" w:eastAsia="仿宋"/>
          <w:sz w:val="32"/>
          <w:szCs w:val="32"/>
        </w:rPr>
        <w:t>%</w:t>
      </w:r>
      <w:r>
        <w:rPr>
          <w:rFonts w:hint="eastAsia" w:ascii="仿宋" w:hAnsi="仿宋" w:eastAsia="仿宋"/>
          <w:sz w:val="32"/>
          <w:szCs w:val="32"/>
          <w:lang w:eastAsia="zh-CN"/>
        </w:rPr>
        <w:t>。</w:t>
      </w:r>
    </w:p>
    <w:p w14:paraId="7FE3D4C6">
      <w:pPr>
        <w:spacing w:line="600" w:lineRule="exact"/>
        <w:ind w:firstLine="640"/>
        <w:rPr>
          <w:rFonts w:hint="eastAsia" w:ascii="仿宋" w:hAnsi="仿宋" w:eastAsia="仿宋"/>
          <w:b/>
          <w:sz w:val="32"/>
          <w:szCs w:val="32"/>
        </w:rPr>
      </w:pPr>
      <w:r>
        <w:rPr>
          <w:rFonts w:hint="eastAsia" w:ascii="仿宋" w:hAnsi="仿宋" w:eastAsia="仿宋"/>
          <w:b/>
          <w:sz w:val="32"/>
          <w:szCs w:val="32"/>
        </w:rPr>
        <w:t>（注：数据来源于财决01-1表，仅罗列本单位涉及的全部功能分类科目，至类级。）</w:t>
      </w:r>
    </w:p>
    <w:p w14:paraId="2807A5AE">
      <w:pPr>
        <w:rPr>
          <w:rFonts w:hint="eastAsia" w:eastAsia="仿宋"/>
          <w:lang w:eastAsia="zh-CN"/>
        </w:rPr>
      </w:pPr>
      <w:r>
        <w:rPr>
          <w:rFonts w:hint="eastAsia" w:eastAsia="仿宋"/>
          <w:lang w:eastAsia="zh-CN"/>
        </w:rPr>
        <w:drawing>
          <wp:inline distT="0" distB="0" distL="114300" distR="114300">
            <wp:extent cx="4424045" cy="2489200"/>
            <wp:effectExtent l="4445" t="4445" r="10160" b="2095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50249C">
      <w:pPr>
        <w:spacing w:line="600" w:lineRule="exact"/>
        <w:ind w:firstLine="640"/>
        <w:rPr>
          <w:rFonts w:ascii="仿宋" w:hAnsi="仿宋" w:eastAsia="仿宋"/>
          <w:sz w:val="32"/>
          <w:szCs w:val="32"/>
        </w:rPr>
      </w:pPr>
    </w:p>
    <w:p w14:paraId="0DE27956">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00FA5906">
      <w:pPr>
        <w:spacing w:line="600" w:lineRule="exact"/>
        <w:ind w:firstLine="640" w:firstLineChars="200"/>
        <w:rPr>
          <w:rFonts w:ascii="仿宋" w:hAnsi="仿宋" w:eastAsia="仿宋"/>
          <w:sz w:val="32"/>
          <w:szCs w:val="32"/>
        </w:rPr>
      </w:pPr>
    </w:p>
    <w:p w14:paraId="5F8510F8">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5BBEE876">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2023年度一般公共预算支出决算数为</w:t>
      </w:r>
      <w:r>
        <w:rPr>
          <w:rFonts w:ascii="仿宋" w:hAnsi="仿宋" w:eastAsia="仿宋"/>
          <w:b/>
          <w:sz w:val="32"/>
          <w:szCs w:val="32"/>
        </w:rPr>
        <w:t>1168.18</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35218E8E">
      <w:pPr>
        <w:spacing w:line="600" w:lineRule="exact"/>
        <w:ind w:firstLine="643" w:firstLineChars="200"/>
        <w:rPr>
          <w:rFonts w:ascii="仿宋" w:hAnsi="仿宋" w:eastAsia="仿宋"/>
          <w:b/>
          <w:sz w:val="32"/>
          <w:szCs w:val="32"/>
        </w:rPr>
      </w:pPr>
      <w:r>
        <w:rPr>
          <w:rStyle w:val="17"/>
          <w:rFonts w:ascii="仿宋" w:hAnsi="仿宋" w:eastAsia="仿宋"/>
          <w:bCs/>
          <w:sz w:val="32"/>
          <w:szCs w:val="32"/>
        </w:rPr>
        <w:t>1.</w:t>
      </w:r>
      <w:r>
        <w:rPr>
          <w:rStyle w:val="17"/>
          <w:rFonts w:hint="eastAsia" w:ascii="仿宋" w:hAnsi="仿宋" w:eastAsia="仿宋"/>
          <w:bCs/>
          <w:sz w:val="32"/>
          <w:szCs w:val="32"/>
        </w:rPr>
        <w:t>一般公共服务（类）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，决算等于预算数的主要原因是</w:t>
      </w:r>
      <w:r>
        <w:rPr>
          <w:rStyle w:val="17"/>
          <w:rFonts w:hint="eastAsia" w:ascii="仿宋" w:hAnsi="仿宋" w:eastAsia="仿宋"/>
          <w:b w:val="0"/>
          <w:bCs/>
          <w:sz w:val="32"/>
          <w:szCs w:val="32"/>
          <w:lang w:eastAsia="zh-CN"/>
        </w:rPr>
        <w:t>严格按照年初预算数执行</w:t>
      </w:r>
      <w:r>
        <w:rPr>
          <w:rStyle w:val="17"/>
          <w:rFonts w:hint="eastAsia" w:ascii="仿宋" w:hAnsi="仿宋" w:eastAsia="仿宋"/>
          <w:b w:val="0"/>
          <w:bCs/>
          <w:sz w:val="32"/>
          <w:szCs w:val="32"/>
        </w:rPr>
        <w:t>。</w:t>
      </w:r>
    </w:p>
    <w:p w14:paraId="6CDC073A">
      <w:pPr>
        <w:spacing w:line="600" w:lineRule="exact"/>
        <w:ind w:firstLine="643" w:firstLineChars="200"/>
        <w:rPr>
          <w:rFonts w:ascii="仿宋" w:hAnsi="仿宋" w:eastAsia="仿宋"/>
          <w:b/>
          <w:sz w:val="32"/>
          <w:szCs w:val="32"/>
        </w:rPr>
      </w:pPr>
      <w:r>
        <w:rPr>
          <w:rStyle w:val="17"/>
          <w:rFonts w:ascii="仿宋" w:hAnsi="仿宋" w:eastAsia="仿宋"/>
          <w:bCs/>
          <w:sz w:val="32"/>
          <w:szCs w:val="32"/>
        </w:rPr>
        <w:t>2.</w:t>
      </w:r>
      <w:r>
        <w:rPr>
          <w:rStyle w:val="17"/>
          <w:rFonts w:hint="eastAsia" w:ascii="仿宋" w:hAnsi="仿宋" w:eastAsia="仿宋"/>
          <w:bCs/>
          <w:sz w:val="32"/>
          <w:szCs w:val="32"/>
        </w:rPr>
        <w:t>教育（类）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b w:val="0"/>
          <w:bCs/>
          <w:sz w:val="32"/>
          <w:szCs w:val="32"/>
          <w:lang w:eastAsia="zh-CN"/>
        </w:rPr>
        <w:t>严格按照年初预算数执行</w:t>
      </w:r>
      <w:r>
        <w:rPr>
          <w:rStyle w:val="17"/>
          <w:rFonts w:hint="eastAsia" w:ascii="仿宋" w:hAnsi="仿宋" w:eastAsia="仿宋"/>
          <w:b w:val="0"/>
          <w:bCs/>
          <w:sz w:val="32"/>
          <w:szCs w:val="32"/>
        </w:rPr>
        <w:t>。</w:t>
      </w:r>
    </w:p>
    <w:p w14:paraId="7A3E1E60">
      <w:pPr>
        <w:spacing w:line="600" w:lineRule="exact"/>
        <w:ind w:firstLine="643" w:firstLineChars="200"/>
        <w:rPr>
          <w:rFonts w:ascii="仿宋" w:hAnsi="仿宋" w:eastAsia="仿宋"/>
          <w:b/>
          <w:sz w:val="32"/>
          <w:szCs w:val="32"/>
        </w:rPr>
      </w:pPr>
      <w:r>
        <w:rPr>
          <w:rStyle w:val="17"/>
          <w:rFonts w:ascii="仿宋" w:hAnsi="仿宋" w:eastAsia="仿宋"/>
          <w:bCs/>
          <w:sz w:val="32"/>
          <w:szCs w:val="32"/>
        </w:rPr>
        <w:t>3.</w:t>
      </w:r>
      <w:r>
        <w:rPr>
          <w:rStyle w:val="17"/>
          <w:rFonts w:hint="eastAsia" w:ascii="仿宋" w:hAnsi="仿宋" w:eastAsia="仿宋"/>
          <w:bCs/>
          <w:sz w:val="32"/>
          <w:szCs w:val="32"/>
        </w:rPr>
        <w:t>科学技术（类）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b w:val="0"/>
          <w:bCs/>
          <w:sz w:val="32"/>
          <w:szCs w:val="32"/>
          <w:lang w:eastAsia="zh-CN"/>
        </w:rPr>
        <w:t>我单位不承担科学技术类项目。</w:t>
      </w:r>
    </w:p>
    <w:p w14:paraId="0627EDFA">
      <w:pPr>
        <w:spacing w:line="600" w:lineRule="exact"/>
        <w:ind w:firstLine="643" w:firstLineChars="200"/>
        <w:rPr>
          <w:rFonts w:ascii="仿宋" w:hAnsi="仿宋" w:eastAsia="仿宋"/>
          <w:b/>
          <w:sz w:val="32"/>
          <w:szCs w:val="32"/>
        </w:rPr>
      </w:pPr>
      <w:r>
        <w:rPr>
          <w:rStyle w:val="17"/>
          <w:rFonts w:ascii="仿宋" w:hAnsi="仿宋" w:eastAsia="仿宋"/>
          <w:bCs/>
          <w:sz w:val="32"/>
          <w:szCs w:val="32"/>
        </w:rPr>
        <w:t>4.</w:t>
      </w:r>
      <w:r>
        <w:rPr>
          <w:rStyle w:val="17"/>
          <w:rFonts w:hint="eastAsia" w:ascii="仿宋" w:hAnsi="仿宋" w:eastAsia="仿宋"/>
          <w:bCs/>
          <w:sz w:val="32"/>
          <w:szCs w:val="32"/>
        </w:rPr>
        <w:t>文化旅游体育与传媒（类）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0</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b w:val="0"/>
          <w:bCs/>
          <w:sz w:val="32"/>
          <w:szCs w:val="32"/>
          <w:lang w:eastAsia="zh-CN"/>
        </w:rPr>
        <w:t>不承担此项工作。</w:t>
      </w:r>
    </w:p>
    <w:p w14:paraId="3E5C8D04">
      <w:pPr>
        <w:spacing w:line="600" w:lineRule="exact"/>
        <w:ind w:firstLine="643" w:firstLineChars="200"/>
        <w:rPr>
          <w:rFonts w:ascii="仿宋" w:hAnsi="仿宋" w:eastAsia="仿宋"/>
          <w:b/>
          <w:sz w:val="32"/>
          <w:szCs w:val="32"/>
        </w:rPr>
      </w:pPr>
      <w:r>
        <w:rPr>
          <w:rStyle w:val="17"/>
          <w:rFonts w:ascii="仿宋" w:hAnsi="仿宋" w:eastAsia="仿宋"/>
          <w:bCs/>
          <w:sz w:val="32"/>
          <w:szCs w:val="32"/>
        </w:rPr>
        <w:t>5.</w:t>
      </w:r>
      <w:r>
        <w:rPr>
          <w:rStyle w:val="17"/>
          <w:rFonts w:hint="eastAsia" w:ascii="仿宋" w:hAnsi="仿宋" w:eastAsia="仿宋"/>
          <w:bCs/>
          <w:sz w:val="32"/>
          <w:szCs w:val="32"/>
        </w:rPr>
        <w:t>社会保障和就业（类）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105.66</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9</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b w:val="0"/>
          <w:bCs/>
          <w:sz w:val="32"/>
          <w:szCs w:val="32"/>
          <w:lang w:eastAsia="zh-CN"/>
        </w:rPr>
        <w:t>严格按照年初预算数执行</w:t>
      </w:r>
      <w:r>
        <w:rPr>
          <w:rStyle w:val="17"/>
          <w:rFonts w:hint="eastAsia" w:ascii="仿宋" w:hAnsi="仿宋" w:eastAsia="仿宋"/>
          <w:b w:val="0"/>
          <w:bCs/>
          <w:sz w:val="32"/>
          <w:szCs w:val="32"/>
        </w:rPr>
        <w:t>。</w:t>
      </w:r>
    </w:p>
    <w:p w14:paraId="19204481">
      <w:pPr>
        <w:spacing w:line="600" w:lineRule="exact"/>
        <w:ind w:firstLine="643" w:firstLineChars="200"/>
        <w:rPr>
          <w:rFonts w:ascii="仿宋" w:hAnsi="仿宋" w:eastAsia="仿宋"/>
          <w:sz w:val="32"/>
          <w:szCs w:val="32"/>
        </w:rPr>
      </w:pPr>
      <w:r>
        <w:rPr>
          <w:rStyle w:val="17"/>
          <w:rFonts w:ascii="仿宋" w:hAnsi="仿宋" w:eastAsia="仿宋"/>
          <w:bCs/>
          <w:sz w:val="32"/>
          <w:szCs w:val="32"/>
        </w:rPr>
        <w:t>6.</w:t>
      </w:r>
      <w:r>
        <w:rPr>
          <w:rFonts w:hint="eastAsia" w:ascii="仿宋" w:hAnsi="仿宋" w:eastAsia="仿宋"/>
          <w:b/>
          <w:bCs/>
          <w:sz w:val="32"/>
          <w:szCs w:val="32"/>
        </w:rPr>
        <w:t>卫生健康</w:t>
      </w:r>
      <w:r>
        <w:rPr>
          <w:rStyle w:val="17"/>
          <w:rFonts w:hint="eastAsia" w:ascii="仿宋" w:hAnsi="仿宋" w:eastAsia="仿宋"/>
          <w:bCs/>
          <w:sz w:val="32"/>
          <w:szCs w:val="32"/>
        </w:rPr>
        <w:t>（类）</w:t>
      </w:r>
      <w:r>
        <w:rPr>
          <w:rStyle w:val="17"/>
          <w:rFonts w:ascii="仿宋" w:hAnsi="仿宋" w:eastAsia="仿宋"/>
          <w:bCs/>
          <w:sz w:val="32"/>
          <w:szCs w:val="32"/>
        </w:rPr>
        <w:t>***</w:t>
      </w:r>
      <w:r>
        <w:rPr>
          <w:rStyle w:val="17"/>
          <w:rFonts w:hint="eastAsia" w:ascii="仿宋" w:hAnsi="仿宋" w:eastAsia="仿宋"/>
          <w:bCs/>
          <w:sz w:val="32"/>
          <w:szCs w:val="32"/>
        </w:rPr>
        <w:t>（款）</w:t>
      </w:r>
      <w:r>
        <w:rPr>
          <w:rStyle w:val="17"/>
          <w:rFonts w:ascii="仿宋" w:hAnsi="仿宋" w:eastAsia="仿宋"/>
          <w:bCs/>
          <w:sz w:val="32"/>
          <w:szCs w:val="32"/>
        </w:rPr>
        <w:t>***</w:t>
      </w:r>
      <w:r>
        <w:rPr>
          <w:rStyle w:val="17"/>
          <w:rFonts w:hint="eastAsia" w:ascii="仿宋" w:hAnsi="仿宋" w:eastAsia="仿宋"/>
          <w:bCs/>
          <w:sz w:val="32"/>
          <w:szCs w:val="32"/>
        </w:rPr>
        <w:t>（项）</w:t>
      </w:r>
      <w:r>
        <w:rPr>
          <w:rStyle w:val="17"/>
          <w:rFonts w:ascii="仿宋" w:hAnsi="仿宋" w:eastAsia="仿宋"/>
          <w:bCs/>
          <w:sz w:val="32"/>
          <w:szCs w:val="32"/>
        </w:rPr>
        <w:t>:</w:t>
      </w:r>
      <w:r>
        <w:rPr>
          <w:rStyle w:val="17"/>
          <w:rFonts w:hint="eastAsia" w:ascii="仿宋" w:hAnsi="仿宋" w:eastAsia="仿宋"/>
          <w:b w:val="0"/>
          <w:bCs/>
          <w:sz w:val="32"/>
          <w:szCs w:val="32"/>
        </w:rPr>
        <w:t>支出决算为</w:t>
      </w:r>
      <w:r>
        <w:rPr>
          <w:rStyle w:val="17"/>
          <w:rFonts w:hint="eastAsia" w:ascii="仿宋" w:hAnsi="仿宋" w:eastAsia="仿宋"/>
          <w:b w:val="0"/>
          <w:bCs/>
          <w:sz w:val="32"/>
          <w:szCs w:val="32"/>
          <w:lang w:val="en-US" w:eastAsia="zh-CN"/>
        </w:rPr>
        <w:t>47.89</w:t>
      </w:r>
      <w:r>
        <w:rPr>
          <w:rStyle w:val="17"/>
          <w:rFonts w:hint="eastAsia" w:ascii="仿宋" w:hAnsi="仿宋" w:eastAsia="仿宋"/>
          <w:b w:val="0"/>
          <w:bCs/>
          <w:sz w:val="32"/>
          <w:szCs w:val="32"/>
        </w:rPr>
        <w:t>万元，完成预算</w:t>
      </w:r>
      <w:r>
        <w:rPr>
          <w:rStyle w:val="17"/>
          <w:rFonts w:hint="eastAsia" w:ascii="仿宋" w:hAnsi="仿宋" w:eastAsia="仿宋"/>
          <w:b w:val="0"/>
          <w:bCs/>
          <w:sz w:val="32"/>
          <w:szCs w:val="32"/>
          <w:lang w:val="en-US" w:eastAsia="zh-CN"/>
        </w:rPr>
        <w:t>4</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b w:val="0"/>
          <w:bCs/>
          <w:sz w:val="32"/>
          <w:szCs w:val="32"/>
          <w:lang w:eastAsia="zh-CN"/>
        </w:rPr>
        <w:t>严格按照年初预算数执行</w:t>
      </w:r>
      <w:r>
        <w:rPr>
          <w:rStyle w:val="17"/>
          <w:rFonts w:hint="eastAsia" w:ascii="仿宋" w:hAnsi="仿宋" w:eastAsia="仿宋"/>
          <w:b w:val="0"/>
          <w:bCs/>
          <w:sz w:val="32"/>
          <w:szCs w:val="32"/>
        </w:rPr>
        <w:t>。</w:t>
      </w:r>
    </w:p>
    <w:p w14:paraId="4EEB22D9">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14:paraId="4A524659">
      <w:pPr>
        <w:spacing w:line="600" w:lineRule="exact"/>
        <w:ind w:firstLine="640"/>
        <w:rPr>
          <w:rFonts w:ascii="仿宋" w:hAnsi="仿宋" w:eastAsia="仿宋"/>
          <w:b/>
          <w:sz w:val="32"/>
          <w:szCs w:val="32"/>
        </w:rPr>
      </w:pPr>
    </w:p>
    <w:p w14:paraId="08C26440">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14:paraId="2D4D57DD">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1128.29</w:t>
      </w:r>
      <w:r>
        <w:rPr>
          <w:rFonts w:hint="eastAsia" w:ascii="仿宋" w:hAnsi="仿宋" w:eastAsia="仿宋"/>
          <w:sz w:val="32"/>
          <w:szCs w:val="32"/>
        </w:rPr>
        <w:t>万元，其中：</w:t>
      </w:r>
    </w:p>
    <w:p w14:paraId="0A928D04">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b/>
          <w:sz w:val="32"/>
          <w:szCs w:val="32"/>
        </w:rPr>
        <w:t>1030.36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97.93</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E200141">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7表和财决08-1表，仅罗列本单位实际支出涉及的经济分类科目。）</w:t>
      </w:r>
    </w:p>
    <w:p w14:paraId="36101054">
      <w:pPr>
        <w:spacing w:line="600" w:lineRule="exact"/>
        <w:ind w:firstLine="640"/>
        <w:rPr>
          <w:rFonts w:ascii="仿宋" w:hAnsi="仿宋" w:eastAsia="仿宋"/>
          <w:b/>
          <w:sz w:val="32"/>
          <w:szCs w:val="32"/>
        </w:rPr>
      </w:pPr>
    </w:p>
    <w:p w14:paraId="23917EEF">
      <w:pPr>
        <w:spacing w:line="600" w:lineRule="exact"/>
        <w:ind w:firstLine="640"/>
        <w:outlineLvl w:val="1"/>
        <w:rPr>
          <w:rStyle w:val="29"/>
          <w:rFonts w:ascii="黑体" w:hAnsi="黑体" w:eastAsia="黑体"/>
          <w:b w:val="0"/>
        </w:rPr>
      </w:pPr>
      <w:bookmarkStart w:id="36" w:name="_Toc15377215"/>
      <w:bookmarkStart w:id="37"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14:paraId="185700B7">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0734CB76">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3.27</w:t>
      </w:r>
      <w:r>
        <w:rPr>
          <w:rFonts w:hint="eastAsia" w:ascii="仿宋" w:hAnsi="仿宋" w:eastAsia="仿宋"/>
          <w:sz w:val="32"/>
          <w:szCs w:val="32"/>
        </w:rPr>
        <w:t>万元，完成预算</w:t>
      </w:r>
      <w:r>
        <w:rPr>
          <w:rFonts w:ascii="仿宋" w:hAnsi="仿宋" w:eastAsia="仿宋"/>
          <w:b/>
          <w:sz w:val="32"/>
          <w:szCs w:val="32"/>
        </w:rPr>
        <w:t>46.75</w:t>
      </w:r>
      <w:r>
        <w:rPr>
          <w:rFonts w:ascii="仿宋" w:hAnsi="仿宋" w:eastAsia="仿宋"/>
          <w:sz w:val="32"/>
          <w:szCs w:val="32"/>
        </w:rPr>
        <w:t>%</w:t>
      </w:r>
      <w:r>
        <w:rPr>
          <w:rFonts w:hint="eastAsia" w:ascii="仿宋" w:hAnsi="仿宋" w:eastAsia="仿宋"/>
          <w:sz w:val="32"/>
          <w:szCs w:val="32"/>
        </w:rPr>
        <w:t>，较上年度增加/减少**万元，增长/下降**%。决算数小于预算数（或与预算数持平）的主要原因是……。</w:t>
      </w:r>
    </w:p>
    <w:p w14:paraId="171A22A9">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14:paraId="10FA6B92">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3F966A56">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2.41</w:t>
      </w:r>
      <w:r>
        <w:rPr>
          <w:rFonts w:hint="eastAsia" w:ascii="仿宋" w:hAnsi="仿宋" w:eastAsia="仿宋"/>
          <w:sz w:val="32"/>
          <w:szCs w:val="32"/>
        </w:rPr>
        <w:t>万元，占</w:t>
      </w:r>
      <w:r>
        <w:rPr>
          <w:rFonts w:ascii="仿宋" w:hAnsi="仿宋" w:eastAsia="仿宋"/>
          <w:b/>
          <w:sz w:val="32"/>
          <w:szCs w:val="32"/>
        </w:rPr>
        <w:t>73.5</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0.87</w:t>
      </w:r>
      <w:r>
        <w:rPr>
          <w:rFonts w:hint="eastAsia" w:ascii="仿宋" w:hAnsi="仿宋" w:eastAsia="仿宋"/>
          <w:sz w:val="32"/>
          <w:szCs w:val="32"/>
        </w:rPr>
        <w:t>万元，占</w:t>
      </w:r>
      <w:r>
        <w:rPr>
          <w:rFonts w:ascii="仿宋" w:hAnsi="仿宋" w:eastAsia="仿宋"/>
          <w:b/>
          <w:sz w:val="32"/>
          <w:szCs w:val="32"/>
        </w:rPr>
        <w:t>26.49</w:t>
      </w:r>
      <w:r>
        <w:rPr>
          <w:rFonts w:ascii="仿宋" w:hAnsi="仿宋" w:eastAsia="仿宋"/>
          <w:sz w:val="32"/>
          <w:szCs w:val="32"/>
        </w:rPr>
        <w:t>%</w:t>
      </w:r>
      <w:r>
        <w:rPr>
          <w:rFonts w:hint="eastAsia" w:ascii="仿宋" w:hAnsi="仿宋" w:eastAsia="仿宋"/>
          <w:sz w:val="32"/>
          <w:szCs w:val="32"/>
        </w:rPr>
        <w:t>。具体情况如下：</w:t>
      </w:r>
    </w:p>
    <w:p w14:paraId="5F6BCCBF">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65C0EB3D">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AA2728F">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2.41</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40.09</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公务用车购置及运行维护费支出决算比2022年度减少</w:t>
      </w:r>
      <w:r>
        <w:rPr>
          <w:rFonts w:hint="eastAsia" w:ascii="仿宋_GB2312" w:eastAsia="仿宋_GB2312"/>
          <w:sz w:val="32"/>
          <w:szCs w:val="32"/>
          <w:lang w:val="en-US" w:eastAsia="zh-CN"/>
        </w:rPr>
        <w:t>0.93</w:t>
      </w:r>
      <w:r>
        <w:rPr>
          <w:rFonts w:hint="eastAsia" w:ascii="仿宋_GB2312" w:eastAsia="仿宋_GB2312"/>
          <w:sz w:val="32"/>
          <w:szCs w:val="32"/>
        </w:rPr>
        <w:t>万元，下降</w:t>
      </w:r>
      <w:r>
        <w:rPr>
          <w:rFonts w:hint="eastAsia" w:ascii="仿宋_GB2312" w:eastAsia="仿宋_GB2312"/>
          <w:sz w:val="32"/>
          <w:szCs w:val="32"/>
          <w:lang w:val="en-US" w:eastAsia="zh-CN"/>
        </w:rPr>
        <w:t>27.8</w:t>
      </w:r>
      <w:r>
        <w:rPr>
          <w:rFonts w:ascii="仿宋_GB2312" w:eastAsia="仿宋_GB2312"/>
          <w:sz w:val="32"/>
          <w:szCs w:val="32"/>
        </w:rPr>
        <w:t>%</w:t>
      </w:r>
      <w:r>
        <w:rPr>
          <w:rFonts w:hint="eastAsia" w:ascii="仿宋_GB2312" w:eastAsia="仿宋_GB2312"/>
          <w:sz w:val="32"/>
          <w:szCs w:val="32"/>
        </w:rPr>
        <w:t>。主要原因是。</w:t>
      </w:r>
    </w:p>
    <w:p w14:paraId="5F389D12">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万元，主要用于…。截至2023年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01C7CCE3">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2.41</w:t>
      </w:r>
      <w:r>
        <w:rPr>
          <w:rFonts w:hint="eastAsia" w:ascii="仿宋_GB2312" w:eastAsia="仿宋_GB2312"/>
          <w:sz w:val="32"/>
          <w:szCs w:val="32"/>
        </w:rPr>
        <w:t>万元。主要用于</w:t>
      </w:r>
      <w:r>
        <w:rPr>
          <w:rFonts w:hint="eastAsia" w:ascii="仿宋_GB2312" w:eastAsia="仿宋_GB2312"/>
          <w:color w:val="000000"/>
          <w:sz w:val="32"/>
          <w:szCs w:val="32"/>
        </w:rPr>
        <w:t>主要用于主要用于主要用于</w:t>
      </w:r>
      <w:r>
        <w:rPr>
          <w:rFonts w:hint="eastAsia" w:ascii="仿宋_GB2312" w:eastAsia="仿宋_GB2312"/>
          <w:color w:val="000000"/>
          <w:sz w:val="32"/>
          <w:szCs w:val="32"/>
          <w:lang w:eastAsia="zh-CN"/>
        </w:rPr>
        <w:t>川</w:t>
      </w:r>
      <w:r>
        <w:rPr>
          <w:rFonts w:hint="eastAsia" w:ascii="仿宋_GB2312" w:eastAsia="仿宋_GB2312"/>
          <w:color w:val="000000"/>
          <w:sz w:val="32"/>
          <w:szCs w:val="32"/>
          <w:lang w:val="en-US" w:eastAsia="zh-CN"/>
        </w:rPr>
        <w:t>M26287、川M09899车辆</w:t>
      </w:r>
      <w:r>
        <w:rPr>
          <w:rFonts w:hint="eastAsia" w:ascii="仿宋_GB2312" w:eastAsia="仿宋_GB2312"/>
          <w:color w:val="000000"/>
          <w:sz w:val="32"/>
          <w:szCs w:val="32"/>
        </w:rPr>
        <w:t>等所需的公务用车燃料费、维修费、过路过桥费、保险费等支出</w:t>
      </w:r>
      <w:r>
        <w:rPr>
          <w:rFonts w:hint="eastAsia" w:ascii="仿宋_GB2312" w:eastAsia="仿宋_GB2312"/>
          <w:sz w:val="32"/>
          <w:szCs w:val="32"/>
        </w:rPr>
        <w:t>。</w:t>
      </w:r>
    </w:p>
    <w:p w14:paraId="667D7BB9">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0.87</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86.73%</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0.37</w:t>
      </w:r>
      <w:r>
        <w:rPr>
          <w:rFonts w:hint="eastAsia" w:ascii="仿宋_GB2312" w:eastAsia="仿宋_GB2312"/>
          <w:sz w:val="32"/>
          <w:szCs w:val="32"/>
        </w:rPr>
        <w:t>万元，增长</w:t>
      </w:r>
      <w:r>
        <w:rPr>
          <w:rFonts w:hint="eastAsia" w:ascii="仿宋_GB2312" w:eastAsia="仿宋_GB2312"/>
          <w:sz w:val="32"/>
          <w:szCs w:val="32"/>
          <w:lang w:val="en-US" w:eastAsia="zh-CN"/>
        </w:rPr>
        <w:t>0.7</w:t>
      </w:r>
      <w:r>
        <w:rPr>
          <w:rFonts w:ascii="仿宋_GB2312" w:eastAsia="仿宋_GB2312"/>
          <w:sz w:val="32"/>
          <w:szCs w:val="32"/>
        </w:rPr>
        <w:t>%</w:t>
      </w:r>
      <w:r>
        <w:rPr>
          <w:rFonts w:hint="eastAsia" w:ascii="仿宋_GB2312" w:eastAsia="仿宋_GB2312"/>
          <w:sz w:val="32"/>
          <w:szCs w:val="32"/>
        </w:rPr>
        <w:t>。主要原因是其中：</w:t>
      </w:r>
    </w:p>
    <w:p w14:paraId="4A80D7BD">
      <w:pPr>
        <w:spacing w:line="600" w:lineRule="exact"/>
        <w:ind w:firstLine="643" w:firstLineChars="20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0.87</w:t>
      </w:r>
      <w:r>
        <w:rPr>
          <w:rFonts w:hint="eastAsia" w:ascii="仿宋_GB2312" w:eastAsia="仿宋_GB2312"/>
          <w:sz w:val="32"/>
          <w:szCs w:val="32"/>
        </w:rPr>
        <w:t>万元，国内公务接待</w:t>
      </w:r>
      <w:r>
        <w:rPr>
          <w:rFonts w:hint="eastAsia" w:ascii="仿宋_GB2312" w:eastAsia="仿宋_GB2312"/>
          <w:sz w:val="32"/>
          <w:szCs w:val="32"/>
          <w:lang w:val="en-US" w:eastAsia="zh-CN"/>
        </w:rPr>
        <w:t>14</w:t>
      </w:r>
      <w:r>
        <w:rPr>
          <w:rFonts w:hint="eastAsia" w:ascii="仿宋_GB2312" w:eastAsia="仿宋_GB2312"/>
          <w:sz w:val="32"/>
          <w:szCs w:val="32"/>
        </w:rPr>
        <w:t>批次，</w:t>
      </w:r>
      <w:r>
        <w:rPr>
          <w:rFonts w:hint="eastAsia" w:ascii="仿宋_GB2312" w:eastAsia="仿宋_GB2312"/>
          <w:sz w:val="32"/>
          <w:szCs w:val="32"/>
          <w:lang w:val="en-US" w:eastAsia="zh-CN"/>
        </w:rPr>
        <w:t>90</w:t>
      </w:r>
      <w:r>
        <w:rPr>
          <w:rFonts w:hint="eastAsia" w:ascii="仿宋_GB2312" w:eastAsia="仿宋_GB2312"/>
          <w:sz w:val="32"/>
          <w:szCs w:val="32"/>
        </w:rPr>
        <w:t>人次，共计支出</w:t>
      </w:r>
      <w:r>
        <w:rPr>
          <w:rFonts w:hint="eastAsia" w:ascii="仿宋_GB2312" w:eastAsia="仿宋_GB2312"/>
          <w:sz w:val="32"/>
          <w:szCs w:val="32"/>
          <w:lang w:val="en-US" w:eastAsia="zh-CN"/>
        </w:rPr>
        <w:t>0.87</w:t>
      </w:r>
      <w:r>
        <w:rPr>
          <w:rFonts w:hint="eastAsia" w:ascii="仿宋_GB2312" w:eastAsia="仿宋_GB2312"/>
          <w:sz w:val="32"/>
          <w:szCs w:val="32"/>
        </w:rPr>
        <w:t>万元。</w:t>
      </w:r>
      <w:r>
        <w:rPr>
          <w:rFonts w:hint="eastAsia" w:ascii="仿宋_GB2312" w:eastAsia="仿宋_GB2312"/>
          <w:color w:val="000000"/>
          <w:sz w:val="32"/>
          <w:szCs w:val="32"/>
        </w:rPr>
        <w:t>具体内容包括：</w:t>
      </w:r>
      <w:r>
        <w:rPr>
          <w:rFonts w:hint="eastAsia" w:ascii="仿宋_GB2312" w:eastAsia="仿宋_GB2312"/>
          <w:color w:val="000000"/>
          <w:sz w:val="32"/>
          <w:szCs w:val="32"/>
          <w:lang w:val="en-US" w:eastAsia="zh-CN"/>
        </w:rPr>
        <w:t>接待市资阳市雁江区公路养护管理段学习养护安全管理工作560元；接待市公路事业发展中心开展省道PQI情况测评工作600元等。</w:t>
      </w:r>
    </w:p>
    <w:p w14:paraId="49644678">
      <w:pPr>
        <w:spacing w:line="600" w:lineRule="exact"/>
        <w:ind w:firstLine="640"/>
        <w:outlineLvl w:val="1"/>
        <w:rPr>
          <w:rFonts w:ascii="黑体" w:eastAsia="黑体"/>
          <w:sz w:val="32"/>
          <w:szCs w:val="32"/>
        </w:rPr>
      </w:pPr>
    </w:p>
    <w:p w14:paraId="3A73A0BD">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14:paraId="160F0690">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14:paraId="2E1FA489">
      <w:pPr>
        <w:spacing w:line="600" w:lineRule="exact"/>
        <w:ind w:firstLine="640"/>
        <w:rPr>
          <w:rFonts w:ascii="仿宋_GB2312" w:eastAsia="仿宋_GB2312"/>
          <w:sz w:val="32"/>
          <w:szCs w:val="32"/>
        </w:rPr>
      </w:pPr>
    </w:p>
    <w:p w14:paraId="752CC9AF">
      <w:pPr>
        <w:numPr>
          <w:ilvl w:val="0"/>
          <w:numId w:val="2"/>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14:paraId="648EF91A">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14:paraId="7051FCD5">
      <w:pPr>
        <w:spacing w:line="580" w:lineRule="exact"/>
        <w:jc w:val="center"/>
        <w:rPr>
          <w:rFonts w:ascii="方正小标宋简体" w:hAnsi="方正小标宋简体" w:eastAsia="方正小标宋简体" w:cs="方正小标宋简体"/>
          <w:sz w:val="44"/>
          <w:szCs w:val="44"/>
        </w:rPr>
      </w:pPr>
    </w:p>
    <w:p w14:paraId="1A6BF622">
      <w:pPr>
        <w:numPr>
          <w:ilvl w:val="0"/>
          <w:numId w:val="2"/>
        </w:numPr>
        <w:spacing w:line="600" w:lineRule="exact"/>
        <w:ind w:firstLine="640"/>
        <w:outlineLvl w:val="1"/>
        <w:rPr>
          <w:rStyle w:val="29"/>
          <w:rFonts w:ascii="黑体" w:hAnsi="黑体" w:eastAsia="黑体"/>
          <w:b w:val="0"/>
        </w:rPr>
      </w:pPr>
      <w:bookmarkStart w:id="44" w:name="_Toc15396612"/>
      <w:bookmarkStart w:id="45" w:name="_Toc15377221"/>
      <w:r>
        <w:rPr>
          <w:rStyle w:val="29"/>
          <w:rFonts w:hint="eastAsia" w:ascii="黑体" w:hAnsi="黑体" w:eastAsia="黑体"/>
          <w:b w:val="0"/>
        </w:rPr>
        <w:t>其他重要事项的情况说明</w:t>
      </w:r>
      <w:bookmarkEnd w:id="44"/>
      <w:bookmarkEnd w:id="45"/>
    </w:p>
    <w:p w14:paraId="5210DD11">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61CA2E9F">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四川省乐至县公路养护管理段</w:t>
      </w:r>
      <w:r>
        <w:rPr>
          <w:rFonts w:hint="eastAsia" w:ascii="仿宋_GB2312" w:eastAsia="仿宋_GB2312"/>
          <w:sz w:val="32"/>
          <w:szCs w:val="32"/>
        </w:rPr>
        <w:t>机关运行经费支出</w:t>
      </w:r>
      <w:r>
        <w:rPr>
          <w:rFonts w:ascii="仿宋" w:hAnsi="仿宋" w:eastAsia="仿宋"/>
          <w:b/>
          <w:sz w:val="32"/>
          <w:szCs w:val="32"/>
        </w:rPr>
        <w:t>0</w:t>
      </w:r>
      <w:r>
        <w:rPr>
          <w:rFonts w:hint="eastAsia" w:ascii="仿宋_GB2312" w:eastAsia="仿宋_GB2312"/>
          <w:sz w:val="32"/>
          <w:szCs w:val="32"/>
        </w:rPr>
        <w:t>万元，比2022年度增加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（或与2022年度决算数持平）。。</w:t>
      </w:r>
    </w:p>
    <w:p w14:paraId="0A441104">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661E190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0ECC30C2">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四川省乐至县公路养护管理段</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14:paraId="236CAAA1">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DE7AAD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1B8FD533">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四川省乐至县公路养护管理段</w:t>
      </w:r>
      <w:r>
        <w:rPr>
          <w:rFonts w:hint="eastAsia" w:ascii="仿宋_GB2312" w:eastAsia="仿宋_GB2312"/>
          <w:sz w:val="32"/>
          <w:szCs w:val="32"/>
        </w:rPr>
        <w:t>共有车辆</w:t>
      </w:r>
      <w:r>
        <w:rPr>
          <w:rFonts w:hint="eastAsia" w:ascii="仿宋_GB2312" w:eastAsia="仿宋_GB2312"/>
          <w:b/>
          <w:sz w:val="32"/>
          <w:szCs w:val="32"/>
        </w:rPr>
        <w:t>9</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eastAsia="zh-CN"/>
        </w:rPr>
        <w:t>（</w:t>
      </w:r>
      <w:r>
        <w:rPr>
          <w:rFonts w:hint="eastAsia" w:ascii="仿宋_GB2312" w:eastAsia="仿宋_GB2312"/>
          <w:sz w:val="32"/>
          <w:szCs w:val="32"/>
          <w:lang w:val="en-US" w:eastAsia="zh-CN"/>
        </w:rPr>
        <w:t>特种车辆</w:t>
      </w:r>
      <w:r>
        <w:rPr>
          <w:rFonts w:hint="eastAsia" w:ascii="仿宋_GB2312" w:eastAsia="仿宋_GB2312"/>
          <w:sz w:val="32"/>
          <w:szCs w:val="32"/>
          <w:lang w:eastAsia="zh-CN"/>
        </w:rPr>
        <w:t>）</w:t>
      </w:r>
      <w:r>
        <w:rPr>
          <w:rFonts w:hint="eastAsia" w:ascii="仿宋_GB2312" w:eastAsia="仿宋_GB2312"/>
          <w:sz w:val="32"/>
          <w:szCs w:val="32"/>
          <w:lang w:val="en-US" w:eastAsia="zh-CN"/>
        </w:rPr>
        <w:t>7</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辆，其他用车主要是</w:t>
      </w:r>
      <w:r>
        <w:rPr>
          <w:rFonts w:hint="eastAsia" w:ascii="仿宋_GB2312" w:eastAsia="仿宋_GB2312"/>
          <w:color w:val="000000"/>
          <w:sz w:val="32"/>
          <w:szCs w:val="32"/>
        </w:rPr>
        <w:t>用于</w:t>
      </w:r>
      <w:r>
        <w:rPr>
          <w:rFonts w:hint="eastAsia" w:ascii="仿宋_GB2312" w:eastAsia="仿宋_GB2312"/>
          <w:color w:val="000000"/>
          <w:sz w:val="32"/>
          <w:szCs w:val="32"/>
          <w:lang w:eastAsia="zh-CN"/>
        </w:rPr>
        <w:t>办理日常外出工作</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62C50452">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14:paraId="0BB0FBCA">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0800FEB">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eastAsia="仿宋_GB2312"/>
          <w:sz w:val="32"/>
          <w:szCs w:val="32"/>
          <w:lang w:eastAsia="zh-CN"/>
        </w:rPr>
        <w:t>乐至县</w:t>
      </w:r>
      <w:r>
        <w:rPr>
          <w:rFonts w:hint="eastAsia" w:ascii="仿宋_GB2312" w:eastAsia="仿宋_GB2312"/>
          <w:sz w:val="32"/>
          <w:szCs w:val="32"/>
          <w:lang w:val="en-US" w:eastAsia="zh-CN"/>
        </w:rPr>
        <w:t>公路养护管理段</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年度预算编制阶段，组织对历年公路养护人员劳务费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专用燃料费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w:t>
      </w:r>
    </w:p>
    <w:p w14:paraId="200AB76F">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项目绩效目标完成情况。</w:t>
      </w:r>
      <w:r>
        <w:rPr>
          <w:rFonts w:hint="eastAsia" w:ascii="仿宋_GB2312" w:hAnsi="仿宋" w:eastAsia="仿宋_GB2312"/>
          <w:sz w:val="32"/>
          <w:szCs w:val="32"/>
          <w:lang w:eastAsia="zh-CN"/>
        </w:rPr>
        <w:t>今年项目总收入</w:t>
      </w:r>
      <w:r>
        <w:rPr>
          <w:rFonts w:hint="eastAsia" w:ascii="仿宋_GB2312" w:hAnsi="仿宋" w:eastAsia="仿宋_GB2312"/>
          <w:sz w:val="32"/>
          <w:szCs w:val="32"/>
          <w:lang w:val="en-US" w:eastAsia="zh-CN"/>
        </w:rPr>
        <w:t>95.65万元，其中，对</w:t>
      </w:r>
      <w:r>
        <w:rPr>
          <w:rFonts w:hint="eastAsia" w:ascii="仿宋_GB2312" w:hAnsi="仿宋_GB2312" w:eastAsia="仿宋_GB2312" w:cs="仿宋_GB2312"/>
          <w:sz w:val="32"/>
          <w:szCs w:val="32"/>
        </w:rPr>
        <w:t>历年公路养护人员劳务费</w:t>
      </w:r>
      <w:r>
        <w:rPr>
          <w:rFonts w:hint="eastAsia" w:ascii="仿宋_GB2312" w:hAnsi="仿宋_GB2312" w:eastAsia="仿宋_GB2312" w:cs="仿宋_GB2312"/>
          <w:sz w:val="32"/>
          <w:szCs w:val="32"/>
          <w:lang w:val="en-US" w:eastAsia="zh-CN"/>
        </w:rPr>
        <w:t>95.65</w:t>
      </w:r>
      <w:r>
        <w:rPr>
          <w:rFonts w:hint="eastAsia" w:ascii="仿宋_GB2312" w:hAnsi="仿宋" w:eastAsia="仿宋_GB2312"/>
          <w:sz w:val="32"/>
          <w:szCs w:val="32"/>
          <w:lang w:val="en-US" w:eastAsia="zh-CN"/>
        </w:rPr>
        <w:t xml:space="preserve"> 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绩效自评报告详细见附件四</w:t>
      </w:r>
      <w:r>
        <w:rPr>
          <w:rFonts w:hint="eastAsia" w:ascii="仿宋_GB2312" w:hAnsi="仿宋" w:eastAsia="仿宋_GB2312"/>
          <w:sz w:val="32"/>
          <w:szCs w:val="32"/>
          <w:highlight w:val="none"/>
          <w:lang w:eastAsia="zh-CN"/>
        </w:rPr>
        <w:t>。</w:t>
      </w:r>
    </w:p>
    <w:p w14:paraId="5A331C50">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整体支出绩效目标实现情况。</w:t>
      </w:r>
      <w:r>
        <w:rPr>
          <w:rFonts w:hint="eastAsia" w:ascii="仿宋_GB2312" w:hAnsi="仿宋" w:eastAsia="仿宋_GB2312"/>
          <w:sz w:val="32"/>
          <w:szCs w:val="32"/>
          <w:lang w:eastAsia="zh-CN"/>
        </w:rPr>
        <w:t>今年预算总收入</w:t>
      </w:r>
      <w:r>
        <w:rPr>
          <w:rFonts w:hint="eastAsia" w:ascii="仿宋_GB2312" w:hAnsi="仿宋" w:eastAsia="仿宋_GB2312"/>
          <w:sz w:val="32"/>
          <w:szCs w:val="32"/>
          <w:lang w:val="en-US" w:eastAsia="zh-CN"/>
        </w:rPr>
        <w:t>1168.18 万</w:t>
      </w:r>
      <w:r>
        <w:rPr>
          <w:rFonts w:hint="eastAsia" w:ascii="仿宋_GB2312" w:hAnsi="仿宋" w:eastAsia="仿宋_GB2312"/>
          <w:sz w:val="32"/>
          <w:szCs w:val="32"/>
          <w:lang w:eastAsia="zh-CN"/>
        </w:rPr>
        <w:t>元，今年单位预算总支出</w:t>
      </w:r>
      <w:r>
        <w:rPr>
          <w:rFonts w:hint="eastAsia" w:ascii="仿宋_GB2312" w:hAnsi="仿宋" w:eastAsia="仿宋_GB2312"/>
          <w:sz w:val="32"/>
          <w:szCs w:val="32"/>
          <w:lang w:val="en-US" w:eastAsia="zh-CN"/>
        </w:rPr>
        <w:t>1168.18 万</w:t>
      </w:r>
      <w:r>
        <w:rPr>
          <w:rFonts w:hint="eastAsia" w:ascii="仿宋_GB2312" w:hAnsi="仿宋" w:eastAsia="仿宋_GB2312"/>
          <w:sz w:val="32"/>
          <w:szCs w:val="32"/>
          <w:lang w:eastAsia="zh-CN"/>
        </w:rPr>
        <w:t>元。今年总收入</w:t>
      </w:r>
      <w:r>
        <w:rPr>
          <w:rFonts w:hint="eastAsia" w:ascii="仿宋_GB2312" w:hAnsi="仿宋" w:eastAsia="仿宋_GB2312"/>
          <w:sz w:val="32"/>
          <w:szCs w:val="32"/>
          <w:lang w:val="en-US" w:eastAsia="zh-CN"/>
        </w:rPr>
        <w:t>1168.18 万</w:t>
      </w:r>
      <w:r>
        <w:rPr>
          <w:rFonts w:hint="eastAsia" w:ascii="仿宋_GB2312" w:hAnsi="仿宋" w:eastAsia="仿宋_GB2312"/>
          <w:sz w:val="32"/>
          <w:szCs w:val="32"/>
          <w:lang w:eastAsia="zh-CN"/>
        </w:rPr>
        <w:t>元，其中一般公共预算财政拨款收入</w:t>
      </w:r>
      <w:r>
        <w:rPr>
          <w:rFonts w:hint="eastAsia" w:ascii="仿宋_GB2312" w:hAnsi="仿宋" w:eastAsia="仿宋_GB2312"/>
          <w:sz w:val="32"/>
          <w:szCs w:val="32"/>
          <w:lang w:val="en-US" w:eastAsia="zh-CN"/>
        </w:rPr>
        <w:t>1128.29 万元</w:t>
      </w:r>
      <w:r>
        <w:rPr>
          <w:rFonts w:hint="eastAsia" w:ascii="仿宋_GB2312" w:hAnsi="仿宋" w:eastAsia="仿宋_GB2312"/>
          <w:sz w:val="32"/>
          <w:szCs w:val="32"/>
          <w:lang w:eastAsia="zh-CN"/>
        </w:rPr>
        <w:t>元，占总收入的</w:t>
      </w:r>
      <w:r>
        <w:rPr>
          <w:rFonts w:hint="eastAsia" w:ascii="仿宋_GB2312" w:hAnsi="仿宋" w:eastAsia="仿宋_GB2312"/>
          <w:sz w:val="32"/>
          <w:szCs w:val="32"/>
          <w:lang w:val="en-US" w:eastAsia="zh-CN"/>
        </w:rPr>
        <w:t xml:space="preserve">93.71 </w:t>
      </w:r>
      <w:r>
        <w:rPr>
          <w:rFonts w:hint="eastAsia" w:ascii="仿宋_GB2312" w:hAnsi="仿宋" w:eastAsia="仿宋_GB2312"/>
          <w:sz w:val="32"/>
          <w:szCs w:val="32"/>
          <w:lang w:eastAsia="zh-CN"/>
        </w:rPr>
        <w:t>%，政府性基金预算财政拨款收入</w:t>
      </w:r>
      <w:r>
        <w:rPr>
          <w:rFonts w:hint="eastAsia" w:ascii="仿宋_GB2312" w:hAnsi="仿宋" w:eastAsia="仿宋_GB2312"/>
          <w:sz w:val="32"/>
          <w:szCs w:val="32"/>
          <w:lang w:val="en-US" w:eastAsia="zh-CN"/>
        </w:rPr>
        <w:t>0元，</w:t>
      </w:r>
      <w:r>
        <w:rPr>
          <w:rFonts w:hint="eastAsia" w:ascii="仿宋_GB2312" w:hAnsi="仿宋" w:eastAsia="仿宋_GB2312"/>
          <w:sz w:val="32"/>
          <w:szCs w:val="32"/>
          <w:lang w:eastAsia="zh-CN"/>
        </w:rPr>
        <w:t>占总收入</w:t>
      </w:r>
      <w:bookmarkStart w:id="67" w:name="_GoBack"/>
      <w:bookmarkEnd w:id="67"/>
      <w:r>
        <w:rPr>
          <w:rFonts w:hint="eastAsia" w:ascii="仿宋_GB2312" w:hAnsi="仿宋" w:eastAsia="仿宋_GB2312"/>
          <w:sz w:val="32"/>
          <w:szCs w:val="32"/>
          <w:lang w:eastAsia="zh-CN"/>
        </w:rPr>
        <w:t>的</w:t>
      </w:r>
      <w:r>
        <w:rPr>
          <w:rFonts w:hint="eastAsia" w:ascii="仿宋_GB2312" w:hAnsi="仿宋" w:eastAsia="仿宋_GB2312"/>
          <w:sz w:val="32"/>
          <w:szCs w:val="32"/>
          <w:lang w:val="en-US" w:eastAsia="zh-CN"/>
        </w:rPr>
        <w:t>0</w:t>
      </w:r>
      <w:r>
        <w:rPr>
          <w:rFonts w:hint="eastAsia" w:ascii="仿宋_GB2312" w:hAnsi="仿宋" w:eastAsia="仿宋_GB2312"/>
          <w:sz w:val="32"/>
          <w:szCs w:val="32"/>
          <w:lang w:eastAsia="zh-CN"/>
        </w:rPr>
        <w:t>%，事业收入</w:t>
      </w:r>
      <w:r>
        <w:rPr>
          <w:rFonts w:hint="eastAsia" w:ascii="仿宋_GB2312" w:hAnsi="仿宋" w:eastAsia="仿宋_GB2312"/>
          <w:sz w:val="32"/>
          <w:szCs w:val="32"/>
          <w:lang w:val="en-US" w:eastAsia="zh-CN"/>
        </w:rPr>
        <w:t xml:space="preserve"> 0万</w:t>
      </w:r>
      <w:r>
        <w:rPr>
          <w:rFonts w:hint="eastAsia" w:ascii="仿宋_GB2312" w:hAnsi="仿宋" w:eastAsia="仿宋_GB2312"/>
          <w:sz w:val="32"/>
          <w:szCs w:val="32"/>
          <w:lang w:eastAsia="zh-CN"/>
        </w:rPr>
        <w:t>元，占总收入的</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%，其他收入</w:t>
      </w:r>
      <w:r>
        <w:rPr>
          <w:rFonts w:hint="eastAsia" w:ascii="仿宋_GB2312" w:hAnsi="仿宋" w:eastAsia="仿宋_GB2312"/>
          <w:sz w:val="32"/>
          <w:szCs w:val="32"/>
          <w:lang w:val="en-US" w:eastAsia="zh-CN"/>
        </w:rPr>
        <w:t>72.69 万</w:t>
      </w:r>
      <w:r>
        <w:rPr>
          <w:rFonts w:hint="eastAsia" w:ascii="仿宋_GB2312" w:hAnsi="仿宋" w:eastAsia="仿宋_GB2312"/>
          <w:sz w:val="32"/>
          <w:szCs w:val="32"/>
          <w:lang w:eastAsia="zh-CN"/>
        </w:rPr>
        <w:t>元，占总收入的</w:t>
      </w:r>
      <w:r>
        <w:rPr>
          <w:rFonts w:hint="eastAsia" w:ascii="仿宋_GB2312" w:hAnsi="仿宋" w:eastAsia="仿宋_GB2312"/>
          <w:sz w:val="32"/>
          <w:szCs w:val="32"/>
          <w:lang w:val="en-US" w:eastAsia="zh-CN"/>
        </w:rPr>
        <w:t xml:space="preserve">6.28 </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今年</w:t>
      </w:r>
      <w:r>
        <w:rPr>
          <w:rFonts w:hint="eastAsia" w:ascii="仿宋_GB2312" w:hAnsi="仿宋" w:eastAsia="仿宋_GB2312"/>
          <w:sz w:val="32"/>
          <w:szCs w:val="32"/>
          <w:lang w:eastAsia="zh-CN"/>
        </w:rPr>
        <w:t>总支出</w:t>
      </w:r>
      <w:r>
        <w:rPr>
          <w:rFonts w:hint="eastAsia" w:ascii="仿宋_GB2312" w:hAnsi="仿宋" w:eastAsia="仿宋_GB2312"/>
          <w:sz w:val="32"/>
          <w:szCs w:val="32"/>
          <w:lang w:val="en-US" w:eastAsia="zh-CN"/>
        </w:rPr>
        <w:t xml:space="preserve"> 1223.34万</w:t>
      </w:r>
      <w:r>
        <w:rPr>
          <w:rFonts w:hint="eastAsia" w:ascii="仿宋_GB2312" w:hAnsi="仿宋" w:eastAsia="仿宋_GB2312"/>
          <w:sz w:val="32"/>
          <w:szCs w:val="32"/>
          <w:lang w:eastAsia="zh-CN"/>
        </w:rPr>
        <w:t>元，其中人员经费</w:t>
      </w:r>
      <w:r>
        <w:rPr>
          <w:rFonts w:hint="eastAsia" w:ascii="仿宋_GB2312" w:hAnsi="仿宋" w:eastAsia="仿宋_GB2312"/>
          <w:sz w:val="32"/>
          <w:szCs w:val="32"/>
          <w:lang w:val="en-US" w:eastAsia="zh-CN"/>
        </w:rPr>
        <w:t>858.75 万</w:t>
      </w:r>
      <w:r>
        <w:rPr>
          <w:rFonts w:hint="eastAsia" w:ascii="仿宋_GB2312" w:hAnsi="仿宋" w:eastAsia="仿宋_GB2312"/>
          <w:sz w:val="32"/>
          <w:szCs w:val="32"/>
          <w:lang w:eastAsia="zh-CN"/>
        </w:rPr>
        <w:t>元，占总支出的</w:t>
      </w:r>
      <w:r>
        <w:rPr>
          <w:rFonts w:hint="eastAsia" w:ascii="仿宋_GB2312" w:hAnsi="仿宋" w:eastAsia="仿宋_GB2312"/>
          <w:sz w:val="32"/>
          <w:szCs w:val="32"/>
          <w:lang w:val="en-US" w:eastAsia="zh-CN"/>
        </w:rPr>
        <w:t xml:space="preserve">84.2 </w:t>
      </w:r>
      <w:r>
        <w:rPr>
          <w:rFonts w:hint="eastAsia" w:ascii="仿宋_GB2312" w:hAnsi="仿宋" w:eastAsia="仿宋_GB2312"/>
          <w:sz w:val="32"/>
          <w:szCs w:val="32"/>
          <w:lang w:eastAsia="zh-CN"/>
        </w:rPr>
        <w:t>%，日常公用支出</w:t>
      </w:r>
      <w:r>
        <w:rPr>
          <w:rFonts w:hint="eastAsia" w:ascii="仿宋_GB2312" w:hAnsi="仿宋" w:eastAsia="仿宋_GB2312"/>
          <w:sz w:val="32"/>
          <w:szCs w:val="32"/>
          <w:lang w:val="en-US" w:eastAsia="zh-CN"/>
        </w:rPr>
        <w:t>97.93 万</w:t>
      </w:r>
      <w:r>
        <w:rPr>
          <w:rFonts w:hint="eastAsia" w:ascii="仿宋_GB2312" w:hAnsi="仿宋" w:eastAsia="仿宋_GB2312"/>
          <w:sz w:val="32"/>
          <w:szCs w:val="32"/>
          <w:lang w:eastAsia="zh-CN"/>
        </w:rPr>
        <w:t>元，占总支出的</w:t>
      </w:r>
      <w:r>
        <w:rPr>
          <w:rFonts w:hint="eastAsia" w:ascii="仿宋_GB2312" w:hAnsi="仿宋" w:eastAsia="仿宋_GB2312"/>
          <w:sz w:val="32"/>
          <w:szCs w:val="32"/>
          <w:lang w:val="en-US" w:eastAsia="zh-CN"/>
        </w:rPr>
        <w:t xml:space="preserve">8 </w:t>
      </w:r>
      <w:r>
        <w:rPr>
          <w:rFonts w:hint="eastAsia" w:ascii="仿宋_GB2312" w:hAnsi="仿宋" w:eastAsia="仿宋_GB2312"/>
          <w:sz w:val="32"/>
          <w:szCs w:val="32"/>
          <w:lang w:eastAsia="zh-CN"/>
        </w:rPr>
        <w:t>%，项目支出</w:t>
      </w:r>
      <w:r>
        <w:rPr>
          <w:rFonts w:hint="eastAsia" w:ascii="仿宋_GB2312" w:hAnsi="仿宋" w:eastAsia="仿宋_GB2312"/>
          <w:sz w:val="32"/>
          <w:szCs w:val="32"/>
          <w:lang w:val="en-US" w:eastAsia="zh-CN"/>
        </w:rPr>
        <w:t>95.65 万</w:t>
      </w:r>
      <w:r>
        <w:rPr>
          <w:rFonts w:hint="eastAsia" w:ascii="仿宋_GB2312" w:hAnsi="仿宋" w:eastAsia="仿宋_GB2312"/>
          <w:sz w:val="32"/>
          <w:szCs w:val="32"/>
          <w:lang w:eastAsia="zh-CN"/>
        </w:rPr>
        <w:t>元，占总支出的</w:t>
      </w:r>
      <w:r>
        <w:rPr>
          <w:rFonts w:hint="eastAsia" w:ascii="仿宋_GB2312" w:hAnsi="仿宋" w:eastAsia="仿宋_GB2312"/>
          <w:sz w:val="32"/>
          <w:szCs w:val="32"/>
          <w:lang w:val="en-US" w:eastAsia="zh-CN"/>
        </w:rPr>
        <w:t xml:space="preserve">7.8 </w:t>
      </w:r>
      <w:r>
        <w:rPr>
          <w:rFonts w:hint="eastAsia" w:ascii="仿宋_GB2312" w:hAnsi="仿宋" w:eastAsia="仿宋_GB2312"/>
          <w:sz w:val="32"/>
          <w:szCs w:val="32"/>
          <w:lang w:eastAsia="zh-CN"/>
        </w:rPr>
        <w:t>%。</w:t>
      </w:r>
    </w:p>
    <w:p w14:paraId="392149DB">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5B31D736">
      <w:pPr>
        <w:numPr>
          <w:ilvl w:val="0"/>
          <w:numId w:val="3"/>
        </w:numPr>
        <w:spacing w:line="600" w:lineRule="exact"/>
        <w:ind w:firstLine="660" w:firstLineChars="150"/>
        <w:jc w:val="center"/>
        <w:outlineLvl w:val="0"/>
        <w:rPr>
          <w:rStyle w:val="28"/>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14:paraId="7CDF1536">
      <w:pPr>
        <w:spacing w:line="600" w:lineRule="exact"/>
        <w:jc w:val="left"/>
        <w:rPr>
          <w:rFonts w:ascii="宋体"/>
          <w:b/>
          <w:sz w:val="44"/>
          <w:szCs w:val="44"/>
        </w:rPr>
      </w:pPr>
    </w:p>
    <w:p w14:paraId="0A38928B">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9B0D4B3">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14:paraId="45C4D511">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14:paraId="3944AD65">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14:paraId="655D1A56">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14:paraId="3185D6B7">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64D0187A">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E7025F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3C7B38C1">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14:paraId="5118B4B7">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14:paraId="30ACE470">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14:paraId="0313F519">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14:paraId="1AE9C406">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14:paraId="21063474">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14:paraId="4B8C8BD4">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14:paraId="48AA718B">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14:paraId="5DD160C6">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14:paraId="2DAB5660">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14:paraId="24184778">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14:paraId="2BF797DE">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14:paraId="133EB4FE">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14:paraId="0141EB35">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14:paraId="3ED7B58D">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14:paraId="314CECFC">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14:paraId="7023B878">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14:paraId="2CDA3ED5">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14:paraId="5070BC49">
      <w:pPr>
        <w:ind w:firstLine="640" w:firstLineChars="200"/>
        <w:rPr>
          <w:rFonts w:ascii="仿宋_GB2312" w:eastAsia="仿宋_GB2312"/>
          <w:sz w:val="32"/>
          <w:szCs w:val="32"/>
        </w:rPr>
      </w:pPr>
      <w:r>
        <w:rPr>
          <w:rFonts w:hint="eastAsia" w:ascii="仿宋_GB2312" w:eastAsia="仿宋_GB2312"/>
          <w:sz w:val="32"/>
          <w:szCs w:val="32"/>
        </w:rPr>
        <w:t>……</w:t>
      </w:r>
    </w:p>
    <w:p w14:paraId="3E0811B6">
      <w:pPr>
        <w:ind w:firstLine="640" w:firstLineChars="200"/>
        <w:rPr>
          <w:rFonts w:ascii="仿宋_GB2312" w:eastAsia="仿宋_GB2312"/>
          <w:sz w:val="32"/>
          <w:szCs w:val="32"/>
        </w:rPr>
      </w:pPr>
      <w:r>
        <w:rPr>
          <w:rFonts w:hint="eastAsia" w:ascii="仿宋_GB2312" w:eastAsia="仿宋_GB2312"/>
          <w:sz w:val="32"/>
          <w:szCs w:val="32"/>
        </w:rPr>
        <w:t>……</w:t>
      </w:r>
    </w:p>
    <w:p w14:paraId="7F7D3E84">
      <w:pPr>
        <w:ind w:firstLine="640" w:firstLineChars="200"/>
        <w:rPr>
          <w:rFonts w:ascii="仿宋_GB2312" w:eastAsia="仿宋_GB2312"/>
          <w:sz w:val="32"/>
          <w:szCs w:val="32"/>
        </w:rPr>
      </w:pPr>
      <w:r>
        <w:rPr>
          <w:rFonts w:hint="eastAsia" w:ascii="仿宋_GB2312" w:eastAsia="仿宋_GB2312"/>
          <w:sz w:val="32"/>
          <w:szCs w:val="32"/>
        </w:rPr>
        <w:t>……</w:t>
      </w:r>
    </w:p>
    <w:p w14:paraId="2739BE48">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14:paraId="69B15EFB">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14:paraId="3B191749">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5C19CB80">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14:paraId="1A39E0E8">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33DAF74">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D87B239">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32.</w:t>
      </w:r>
      <w:r>
        <w:rPr>
          <w:rFonts w:hint="eastAsia" w:ascii="仿宋_GB2312" w:eastAsia="仿宋_GB2312"/>
          <w:color w:val="auto"/>
          <w:sz w:val="32"/>
          <w:szCs w:val="32"/>
        </w:rPr>
        <w:t>……。</w:t>
      </w:r>
    </w:p>
    <w:p w14:paraId="0E7BB401">
      <w:pPr>
        <w:pStyle w:val="26"/>
        <w:spacing w:line="560" w:lineRule="exact"/>
        <w:ind w:firstLine="640" w:firstLineChars="200"/>
        <w:rPr>
          <w:rFonts w:ascii="仿宋_GB2312" w:eastAsia="仿宋_GB2312" w:cs="黑体"/>
          <w:color w:val="auto"/>
          <w:sz w:val="32"/>
          <w:szCs w:val="32"/>
        </w:rPr>
      </w:pPr>
    </w:p>
    <w:p w14:paraId="40CFCBF0">
      <w:pPr>
        <w:ind w:firstLine="643" w:firstLineChars="200"/>
        <w:rPr>
          <w:rFonts w:ascii="仿宋" w:hAnsi="仿宋" w:eastAsia="仿宋"/>
          <w:b/>
          <w:sz w:val="32"/>
          <w:szCs w:val="32"/>
        </w:rPr>
      </w:pPr>
      <w:r>
        <w:rPr>
          <w:rFonts w:hint="eastAsia" w:ascii="仿宋" w:hAnsi="仿宋" w:eastAsia="仿宋"/>
          <w:b/>
          <w:sz w:val="32"/>
          <w:szCs w:val="32"/>
        </w:rPr>
        <w:t>（名词解释部分请根据各单位实际列支情况罗列，并根据本单位职责职能增减名词解释内容。）</w:t>
      </w:r>
    </w:p>
    <w:p w14:paraId="119678CB">
      <w:pPr>
        <w:spacing w:line="600" w:lineRule="exact"/>
        <w:jc w:val="center"/>
        <w:outlineLvl w:val="0"/>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14:paraId="520CC273">
      <w:pPr>
        <w:spacing w:line="572" w:lineRule="exact"/>
        <w:jc w:val="left"/>
        <w:outlineLvl w:val="0"/>
        <w:rPr>
          <w:rFonts w:ascii="仿宋_GB2312" w:hAnsi="仿宋_GB2312" w:eastAsia="仿宋_GB2312" w:cs="仿宋_GB2312"/>
          <w:sz w:val="32"/>
          <w:szCs w:val="32"/>
        </w:rPr>
      </w:pPr>
    </w:p>
    <w:p w14:paraId="4073BABD">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14:paraId="265E468A">
      <w:pPr>
        <w:pStyle w:val="14"/>
        <w:spacing w:line="560" w:lineRule="exact"/>
        <w:ind w:left="0" w:leftChars="0" w:firstLine="640"/>
        <w:rPr>
          <w:sz w:val="32"/>
        </w:rPr>
      </w:pPr>
    </w:p>
    <w:p w14:paraId="43C5A60A">
      <w:pPr>
        <w:pStyle w:val="14"/>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14:paraId="631EB01D">
      <w:pPr>
        <w:pStyle w:val="6"/>
        <w:spacing w:before="93"/>
        <w:rPr>
          <w:rFonts w:hAnsi="Calibri" w:cs="仿宋"/>
          <w:sz w:val="32"/>
          <w:szCs w:val="32"/>
        </w:rPr>
      </w:pPr>
    </w:p>
    <w:p w14:paraId="50580D84">
      <w:pPr>
        <w:pStyle w:val="6"/>
        <w:spacing w:before="93"/>
        <w:rPr>
          <w:rFonts w:hAnsi="Calibri" w:cs="仿宋"/>
          <w:sz w:val="32"/>
          <w:szCs w:val="32"/>
        </w:rPr>
      </w:pPr>
    </w:p>
    <w:p w14:paraId="54F2EC19">
      <w:pPr>
        <w:pStyle w:val="6"/>
        <w:spacing w:before="93"/>
        <w:rPr>
          <w:rFonts w:hAnsi="Calibri" w:cs="仿宋"/>
          <w:sz w:val="32"/>
          <w:szCs w:val="32"/>
        </w:rPr>
      </w:pPr>
    </w:p>
    <w:p w14:paraId="40B91148">
      <w:pPr>
        <w:pStyle w:val="6"/>
        <w:spacing w:before="93"/>
        <w:rPr>
          <w:rFonts w:hAnsi="Calibri" w:cs="仿宋"/>
          <w:sz w:val="32"/>
          <w:szCs w:val="32"/>
        </w:rPr>
      </w:pPr>
    </w:p>
    <w:p w14:paraId="6A6FBFD5">
      <w:pPr>
        <w:pStyle w:val="6"/>
        <w:spacing w:before="93"/>
        <w:rPr>
          <w:rFonts w:hAnsi="Calibri" w:cs="仿宋"/>
          <w:sz w:val="32"/>
          <w:szCs w:val="32"/>
        </w:rPr>
      </w:pPr>
    </w:p>
    <w:p w14:paraId="54284DBA">
      <w:pPr>
        <w:pStyle w:val="6"/>
        <w:spacing w:before="93"/>
        <w:rPr>
          <w:rFonts w:hAnsi="Calibri" w:cs="仿宋"/>
          <w:sz w:val="32"/>
          <w:szCs w:val="32"/>
        </w:rPr>
      </w:pPr>
    </w:p>
    <w:p w14:paraId="600F4D69">
      <w:pPr>
        <w:pStyle w:val="6"/>
        <w:spacing w:before="93"/>
        <w:rPr>
          <w:rFonts w:hAnsi="Calibri" w:cs="仿宋"/>
          <w:sz w:val="32"/>
          <w:szCs w:val="32"/>
        </w:rPr>
      </w:pPr>
    </w:p>
    <w:p w14:paraId="3E92582D">
      <w:pPr>
        <w:pStyle w:val="6"/>
        <w:spacing w:before="93"/>
        <w:rPr>
          <w:rFonts w:hAnsi="Calibri" w:cs="仿宋"/>
          <w:sz w:val="32"/>
          <w:szCs w:val="32"/>
        </w:rPr>
      </w:pPr>
    </w:p>
    <w:p w14:paraId="04CEED51">
      <w:pPr>
        <w:pStyle w:val="6"/>
        <w:spacing w:before="93"/>
        <w:rPr>
          <w:rFonts w:hAnsi="Calibri" w:cs="仿宋"/>
          <w:sz w:val="32"/>
          <w:szCs w:val="32"/>
        </w:rPr>
      </w:pPr>
    </w:p>
    <w:p w14:paraId="79EA63E9">
      <w:pPr>
        <w:pStyle w:val="6"/>
        <w:spacing w:before="93"/>
        <w:rPr>
          <w:rFonts w:hAnsi="Calibri" w:cs="仿宋"/>
          <w:sz w:val="32"/>
          <w:szCs w:val="32"/>
        </w:rPr>
      </w:pPr>
    </w:p>
    <w:p w14:paraId="38F9BBFD">
      <w:pPr>
        <w:pStyle w:val="6"/>
        <w:spacing w:before="93"/>
        <w:rPr>
          <w:rFonts w:hAnsi="Calibri" w:cs="仿宋"/>
          <w:sz w:val="32"/>
          <w:szCs w:val="32"/>
        </w:rPr>
      </w:pPr>
    </w:p>
    <w:p w14:paraId="00AE696D">
      <w:pPr>
        <w:pStyle w:val="6"/>
        <w:spacing w:before="93"/>
        <w:rPr>
          <w:rFonts w:hAnsi="Calibri" w:cs="仿宋"/>
          <w:sz w:val="32"/>
          <w:szCs w:val="32"/>
        </w:rPr>
      </w:pPr>
    </w:p>
    <w:p w14:paraId="4CA8D6EB">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14:paraId="52688D0B">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14:paraId="69771CD8">
      <w:pPr>
        <w:pStyle w:val="4"/>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14:paraId="6A6E5CCF">
      <w:pPr>
        <w:pStyle w:val="4"/>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14:paraId="563C78CF">
      <w:pPr>
        <w:pStyle w:val="4"/>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14:paraId="26F74AEB">
      <w:pPr>
        <w:pStyle w:val="4"/>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14:paraId="612539AE">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14:paraId="36388836">
      <w:pPr>
        <w:pStyle w:val="4"/>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14:paraId="0A71D5E2">
      <w:pPr>
        <w:pStyle w:val="4"/>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14:paraId="6B3111C5">
      <w:pPr>
        <w:pStyle w:val="4"/>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14:paraId="576BBB93">
      <w:pPr>
        <w:pStyle w:val="4"/>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14:paraId="66130B3B">
      <w:pPr>
        <w:pStyle w:val="4"/>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14:paraId="5D1FCE65">
      <w:pPr>
        <w:pStyle w:val="4"/>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14:paraId="296D6AA2">
      <w:pPr>
        <w:pStyle w:val="4"/>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95278A0">
        <w:pPr>
          <w:pStyle w:val="10"/>
          <w:jc w:val="center"/>
        </w:pPr>
        <w:r>
          <w:fldChar w:fldCharType="begin"/>
        </w:r>
        <w:r>
          <w:instrText xml:space="preserve">PAGE   \* MERGEFORMAT</w:instrText>
        </w:r>
        <w:r>
          <w:fldChar w:fldCharType="separate"/>
        </w:r>
        <w:r>
          <w:rPr>
            <w:lang w:val="zh-CN"/>
          </w:rPr>
          <w:t>15</w:t>
        </w:r>
        <w:r>
          <w:fldChar w:fldCharType="end"/>
        </w:r>
      </w:p>
    </w:sdtContent>
  </w:sdt>
  <w:p w14:paraId="216C881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73F6C">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MmQyMWU0ZTVlMzUxYzQwMDMzODRhMTFmYzFjM2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724848"/>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4620D44"/>
    <w:rsid w:val="48BF60AB"/>
    <w:rsid w:val="493C27E9"/>
    <w:rsid w:val="496F39ED"/>
    <w:rsid w:val="49FF41D3"/>
    <w:rsid w:val="4BE068DB"/>
    <w:rsid w:val="4BF6002B"/>
    <w:rsid w:val="4BFFC6BE"/>
    <w:rsid w:val="4ECE2238"/>
    <w:rsid w:val="50516697"/>
    <w:rsid w:val="51DB4B86"/>
    <w:rsid w:val="51F64DB0"/>
    <w:rsid w:val="55333C3E"/>
    <w:rsid w:val="5D9C1CC3"/>
    <w:rsid w:val="5F67802D"/>
    <w:rsid w:val="5F7DC4F2"/>
    <w:rsid w:val="5FB36814"/>
    <w:rsid w:val="5FBB8E56"/>
    <w:rsid w:val="5FFB5535"/>
    <w:rsid w:val="63632BD6"/>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rPr>
  </w:style>
  <w:style w:type="paragraph" w:styleId="6">
    <w:name w:val="Body Text"/>
    <w:basedOn w:val="1"/>
    <w:next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收入支出总体情况表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Sheet1!$A$2:$A$3</c:f>
              <c:strCache>
                <c:ptCount val="2"/>
                <c:pt idx="0">
                  <c:v>总收入</c:v>
                </c:pt>
                <c:pt idx="1">
                  <c:v>总支出</c:v>
                </c:pt>
              </c:strCache>
            </c:strRef>
          </c:cat>
          <c:val>
            <c:numRef>
              <c:f>Sheet1!$B$2:$B$3</c:f>
              <c:numCache>
                <c:formatCode>General</c:formatCode>
                <c:ptCount val="2"/>
                <c:pt idx="0">
                  <c:v>1156.76</c:v>
                </c:pt>
                <c:pt idx="1">
                  <c:v>1190.76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Sheet1!$A$2:$A$3</c:f>
              <c:strCache>
                <c:ptCount val="2"/>
                <c:pt idx="0">
                  <c:v>总收入</c:v>
                </c:pt>
                <c:pt idx="1">
                  <c:v>总支出</c:v>
                </c:pt>
              </c:strCache>
            </c:strRef>
          </c:cat>
          <c:val>
            <c:numRef>
              <c:f>Sheet1!$C$2:$C$3</c:f>
              <c:numCache>
                <c:formatCode>General</c:formatCode>
                <c:ptCount val="2"/>
                <c:pt idx="0">
                  <c:v>1168.18</c:v>
                </c:pt>
                <c:pt idx="1">
                  <c:v>1223.94</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总收入</c:v>
                </c:pt>
                <c:pt idx="1">
                  <c:v>总支出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46"/>
        <c:overlap val="-28"/>
        <c:axId val="835645578"/>
        <c:axId val="378881519"/>
      </c:barChart>
      <c:catAx>
        <c:axId val="8356455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8881519"/>
        <c:crosses val="autoZero"/>
        <c:auto val="1"/>
        <c:lblAlgn val="ctr"/>
        <c:lblOffset val="100"/>
        <c:noMultiLvlLbl val="0"/>
      </c:catAx>
      <c:valAx>
        <c:axId val="37888151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56455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71611500362406"/>
          <c:y val="0.00637484062898428"/>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2023年收入决算情况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一般公共预算财政拨款</c:v>
                </c:pt>
                <c:pt idx="1">
                  <c:v>上级补助收入</c:v>
                </c:pt>
                <c:pt idx="2">
                  <c:v>事业收入</c:v>
                </c:pt>
                <c:pt idx="3">
                  <c:v>其他收入</c:v>
                </c:pt>
              </c:strCache>
            </c:strRef>
          </c:cat>
          <c:val>
            <c:numRef>
              <c:f>Sheet1!$B$2:$B$5</c:f>
              <c:numCache>
                <c:formatCode>General</c:formatCode>
                <c:ptCount val="4"/>
                <c:pt idx="0">
                  <c:v>1168.18</c:v>
                </c:pt>
                <c:pt idx="1">
                  <c:v>0</c:v>
                </c:pt>
                <c:pt idx="2">
                  <c:v>0</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1128.29</c:v>
                </c:pt>
                <c:pt idx="1">
                  <c:v>95.65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1084.07</c:v>
                </c:pt>
                <c:pt idx="1">
                  <c:v>1084.07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Sheet1!$A$2:$A$3</c:f>
              <c:strCache>
                <c:ptCount val="2"/>
                <c:pt idx="0">
                  <c:v>收入</c:v>
                </c:pt>
                <c:pt idx="1">
                  <c:v>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1168.18</c:v>
                </c:pt>
                <c:pt idx="1">
                  <c:v>1168.18</c:v>
                </c:pt>
              </c:numCache>
            </c:numRef>
          </c:val>
        </c:ser>
        <c:dLbls>
          <c:showLegendKey val="0"/>
          <c:showVal val="0"/>
          <c:showCatName val="0"/>
          <c:showSerName val="0"/>
          <c:showPercent val="0"/>
          <c:showBubbleSize val="0"/>
        </c:dLbls>
        <c:gapWidth val="246"/>
        <c:overlap val="-28"/>
        <c:axId val="471962599"/>
        <c:axId val="515609107"/>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Sheet1!$A$2:$A$3</c15:sqref>
                        </c15:formulaRef>
                      </c:ext>
                    </c:extLst>
                    <c:strCache>
                      <c:ptCount val="2"/>
                      <c:pt idx="0">
                        <c:v>收入</c:v>
                      </c:pt>
                      <c:pt idx="1">
                        <c:v>支出</c:v>
                      </c:pt>
                    </c:strCache>
                  </c:strRef>
                </c:cat>
                <c:val>
                  <c:numRef>
                    <c:extLst>
                      <c:ext uri="{02D57815-91ED-43cb-92C2-25804820EDAC}">
                        <c15:fullRef>
                          <c15:sqref>Sheet1!$D$2:$D$5</c15:sqref>
                        </c15:fullRef>
                        <c15:formulaRef>
                          <c15:sqref>Sheet1!$D$2:$D$3</c15:sqref>
                        </c15:formulaRef>
                      </c:ext>
                    </c:extLst>
                    <c:numCache>
                      <c:formatCode>General</c:formatCode>
                      <c:ptCount val="2"/>
                    </c:numCache>
                  </c:numRef>
                </c:val>
              </c15:ser>
            </c15:filteredBarSeries>
          </c:ext>
        </c:extLst>
      </c:barChart>
      <c:catAx>
        <c:axId val="471962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5609107"/>
        <c:crosses val="autoZero"/>
        <c:auto val="1"/>
        <c:lblAlgn val="ctr"/>
        <c:lblOffset val="100"/>
        <c:noMultiLvlLbl val="0"/>
      </c:catAx>
      <c:valAx>
        <c:axId val="5156091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962599"/>
        <c:crosses val="autoZero"/>
        <c:crossBetween val="between"/>
      </c:valAx>
      <c:spPr>
        <a:noFill/>
        <a:ln>
          <a:noFill/>
        </a:ln>
        <a:effectLst/>
      </c:spPr>
    </c:plotArea>
    <c:legend>
      <c:legendPos val="b"/>
      <c:layout>
        <c:manualLayout>
          <c:xMode val="edge"/>
          <c:yMode val="edge"/>
          <c:x val="0.362527180478376"/>
          <c:y val="0.92243943901402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一般公共预算财政拨款情况</a:t>
            </a:r>
          </a:p>
        </c:rich>
      </c:tx>
      <c:layout/>
      <c:overlay val="0"/>
      <c:spPr>
        <a:noFill/>
        <a:ln>
          <a:noFill/>
        </a:ln>
        <a:effectLst/>
      </c:spPr>
    </c:title>
    <c:autoTitleDeleted val="0"/>
    <c:plotArea>
      <c:layout>
        <c:manualLayout>
          <c:layoutTarget val="inner"/>
          <c:xMode val="edge"/>
          <c:yMode val="edge"/>
          <c:x val="0.0760570186035274"/>
          <c:y val="0.165745856353591"/>
          <c:w val="0.89736651365064"/>
          <c:h val="0.63905652358691"/>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一般公共预算财政拨款数</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1084.07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extLst>
                <c:ext xmlns:c15="http://schemas.microsoft.com/office/drawing/2012/chart" uri="{02D57815-91ED-43cb-92C2-25804820EDAC}">
                  <c15:fullRef>
                    <c15:sqref>Sheet1!$A$2:$A$5</c15:sqref>
                  </c15:fullRef>
                </c:ext>
              </c:extLst>
              <c:f>Sheet1!$A$2</c:f>
              <c:strCache>
                <c:ptCount val="1"/>
                <c:pt idx="0">
                  <c:v>一般公共预算财政拨款数</c:v>
                </c:pt>
              </c:strCache>
            </c:strRef>
          </c:cat>
          <c:val>
            <c:numRef>
              <c:extLst>
                <c:ext xmlns:c15="http://schemas.microsoft.com/office/drawing/2012/chart" uri="{02D57815-91ED-43cb-92C2-25804820EDAC}">
                  <c15:fullRef>
                    <c15:sqref>Sheet1!$C$2:$C$5</c15:sqref>
                  </c15:fullRef>
                </c:ext>
              </c:extLst>
              <c:f>Sheet1!$C$2</c:f>
              <c:numCache>
                <c:formatCode>General</c:formatCode>
                <c:ptCount val="1"/>
                <c:pt idx="0">
                  <c:v>1168.18</c:v>
                </c:pt>
              </c:numCache>
            </c:numRef>
          </c:val>
        </c:ser>
        <c:dLbls>
          <c:showLegendKey val="0"/>
          <c:showVal val="0"/>
          <c:showCatName val="0"/>
          <c:showSerName val="0"/>
          <c:showPercent val="0"/>
          <c:showBubbleSize val="0"/>
        </c:dLbls>
        <c:gapWidth val="246"/>
        <c:overlap val="-28"/>
        <c:axId val="387113363"/>
        <c:axId val="558037313"/>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Sheet1!$A$2:$A$5</c15:sqref>
                        </c15:fullRef>
                        <c15:formulaRef>
                          <c15:sqref>Sheet1!$A$2</c15:sqref>
                        </c15:formulaRef>
                      </c:ext>
                    </c:extLst>
                    <c:strCache>
                      <c:ptCount val="1"/>
                      <c:pt idx="0">
                        <c:v>一般公共预算财政拨款数</c:v>
                      </c:pt>
                    </c:strCache>
                  </c:strRef>
                </c:cat>
                <c:val>
                  <c:numRef>
                    <c:extLst>
                      <c:ext uri="{02D57815-91ED-43cb-92C2-25804820EDAC}">
                        <c15:fullRef>
                          <c15:sqref>Sheet1!$D$2:$D$5</c15:sqref>
                        </c15:fullRef>
                        <c15:formulaRef>
                          <c15:sqref>Sheet1!$D$2</c15:sqref>
                        </c15:formulaRef>
                      </c:ext>
                    </c:extLst>
                    <c:numCache>
                      <c:formatCode>General</c:formatCode>
                      <c:ptCount val="1"/>
                    </c:numCache>
                  </c:numRef>
                </c:val>
              </c15:ser>
            </c15:filteredBarSeries>
          </c:ext>
        </c:extLst>
      </c:barChart>
      <c:catAx>
        <c:axId val="3871133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8037313"/>
        <c:crosses val="autoZero"/>
        <c:auto val="1"/>
        <c:lblAlgn val="ctr"/>
        <c:lblOffset val="100"/>
        <c:noMultiLvlLbl val="0"/>
      </c:catAx>
      <c:valAx>
        <c:axId val="558037313"/>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11336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一般公共预算财政拨款支出情况</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交通运输支出</c:v>
                </c:pt>
                <c:pt idx="1">
                  <c:v>社会保障和就业支出</c:v>
                </c:pt>
                <c:pt idx="2">
                  <c:v>卫生健康支出</c:v>
                </c:pt>
                <c:pt idx="3">
                  <c:v>住房保障支出</c:v>
                </c:pt>
              </c:strCache>
            </c:strRef>
          </c:cat>
          <c:val>
            <c:numRef>
              <c:f>Sheet1!$B$2:$B$5</c:f>
              <c:numCache>
                <c:formatCode>General</c:formatCode>
                <c:ptCount val="4"/>
                <c:pt idx="0">
                  <c:v>934.55</c:v>
                </c:pt>
                <c:pt idx="1">
                  <c:v>105.66</c:v>
                </c:pt>
                <c:pt idx="2">
                  <c:v>47.89</c:v>
                </c:pt>
                <c:pt idx="3">
                  <c:v>80.08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5490</Words>
  <Characters>5967</Characters>
  <Lines>54</Lines>
  <Paragraphs>15</Paragraphs>
  <TotalTime>9</TotalTime>
  <ScaleCrop>false</ScaleCrop>
  <LinksUpToDate>false</LinksUpToDate>
  <CharactersWithSpaces>5988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2023-08-03T02:35:00Z</cp:lastPrinted>
  <dcterms:modified xsi:type="dcterms:W3CDTF">2024-09-20T03:48:32Z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F07057E5CB074FFEA4B8F9780A3C6435_12</vt:lpwstr>
  </property>
</Properties>
</file>