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bookmarkStart w:id="1" w:name="_Toc15396475"/>
      <w:bookmarkStart w:id="2" w:name="_Toc15377425"/>
      <w:bookmarkStart w:id="3" w:name="_Toc15378441"/>
      <w:bookmarkStart w:id="4" w:name="_Toc15377193"/>
      <w:bookmarkStart w:id="5" w:name="_Toc1539659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bookmarkEnd w:id="0"/>
    <w:bookmarkEnd w:id="1"/>
    <w:bookmarkEnd w:id="2"/>
    <w:bookmarkEnd w:id="3"/>
    <w:bookmarkEnd w:id="4"/>
    <w:bookmarkEnd w:id="5"/>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r>
        <w:rPr>
          <w:rFonts w:hint="eastAsia" w:ascii="方正小标宋简体" w:hAnsi="方正小标宋简体" w:eastAsia="方正小标宋简体" w:cs="方正小标宋简体"/>
          <w:sz w:val="72"/>
          <w:szCs w:val="72"/>
          <w:lang w:eastAsia="zh-CN"/>
        </w:rPr>
        <w:t>共青团乐至县委</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3</w:t>
      </w:r>
      <w:r>
        <w:rPr>
          <w:rFonts w:hint="eastAsia" w:ascii="方正小标宋简体" w:hAnsi="方正小标宋简体" w:eastAsia="方正小标宋简体" w:cs="方正小标宋简体"/>
          <w:sz w:val="72"/>
          <w:szCs w:val="72"/>
        </w:rPr>
        <w:t>年度决算公开说明</w:t>
      </w: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3"/>
      </w:pPr>
      <w:r>
        <w:rPr>
          <w:rFonts w:hint="eastAsia"/>
        </w:rPr>
        <w:t>公开时间：202</w:t>
      </w:r>
      <w:r>
        <w:rPr>
          <w:rFonts w:hint="eastAsia"/>
          <w:lang w:val="en-US" w:eastAsia="zh-CN"/>
        </w:rPr>
        <w:t>4</w:t>
      </w:r>
      <w:r>
        <w:rPr>
          <w:rFonts w:hint="eastAsia"/>
        </w:rPr>
        <w:t>年</w:t>
      </w:r>
      <w:r>
        <w:rPr>
          <w:rFonts w:hint="eastAsia"/>
          <w:lang w:val="en-US" w:eastAsia="zh-CN"/>
        </w:rPr>
        <w:t>8</w:t>
      </w:r>
      <w:r>
        <w:rPr>
          <w:rFonts w:hint="eastAsia"/>
        </w:rPr>
        <w:t>月</w:t>
      </w:r>
      <w:r>
        <w:rPr>
          <w:rFonts w:hint="eastAsia"/>
          <w:lang w:val="en-US" w:eastAsia="zh-CN"/>
        </w:rPr>
        <w:t>29</w:t>
      </w:r>
      <w:r>
        <w:rPr>
          <w:rFonts w:hint="eastAsia"/>
        </w:rPr>
        <w:t>日</w:t>
      </w:r>
    </w:p>
    <w:p/>
    <w:p>
      <w:pPr>
        <w:pStyle w:val="13"/>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4"/>
        <w:adjustRightInd w:val="0"/>
        <w:snapToGrid w:val="0"/>
        <w:spacing w:line="440" w:lineRule="exact"/>
        <w:jc w:val="left"/>
        <w:rPr>
          <w:rFonts w:ascii="仿宋" w:hAnsi="仿宋" w:eastAsia="仿宋"/>
          <w:sz w:val="24"/>
        </w:rPr>
      </w:pPr>
      <w:r>
        <w:rPr>
          <w:rFonts w:hint="eastAsia"/>
          <w:sz w:val="24"/>
        </w:rPr>
        <w:t>一、部门职责</w:t>
      </w:r>
    </w:p>
    <w:p>
      <w:pPr>
        <w:pStyle w:val="14"/>
        <w:adjustRightInd w:val="0"/>
        <w:snapToGrid w:val="0"/>
        <w:spacing w:line="440" w:lineRule="exact"/>
        <w:jc w:val="left"/>
        <w:rPr>
          <w:rFonts w:ascii="仿宋" w:hAnsi="仿宋" w:eastAsia="仿宋" w:cstheme="minorBidi"/>
          <w:sz w:val="24"/>
        </w:rPr>
      </w:pPr>
      <w:r>
        <w:rPr>
          <w:rFonts w:hint="eastAsia"/>
          <w:sz w:val="24"/>
        </w:rPr>
        <w:t>二、机构设置</w:t>
      </w:r>
    </w:p>
    <w:p>
      <w:pPr>
        <w:pStyle w:val="13"/>
        <w:adjustRightInd w:val="0"/>
        <w:snapToGrid w:val="0"/>
        <w:spacing w:before="0" w:line="440" w:lineRule="exact"/>
        <w:jc w:val="left"/>
        <w:rPr>
          <w:sz w:val="24"/>
          <w:szCs w:val="24"/>
        </w:rPr>
      </w:pPr>
      <w:r>
        <w:rPr>
          <w:rFonts w:hint="eastAsia"/>
          <w:sz w:val="24"/>
        </w:rPr>
        <w:t xml:space="preserve">第二部分 </w:t>
      </w:r>
      <w:r>
        <w:rPr>
          <w:rFonts w:hint="eastAsia"/>
          <w:sz w:val="24"/>
          <w:lang w:val="en-US" w:eastAsia="zh-CN"/>
        </w:rPr>
        <w:t>2023</w:t>
      </w:r>
      <w:r>
        <w:rPr>
          <w:rFonts w:hint="eastAsia"/>
          <w:sz w:val="24"/>
        </w:rPr>
        <w:t>年度部门决算情况说明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pPr>
        <w:pStyle w:val="14"/>
        <w:adjustRightInd w:val="0"/>
        <w:snapToGrid w:val="0"/>
        <w:spacing w:line="440" w:lineRule="exact"/>
        <w:jc w:val="left"/>
        <w:rPr>
          <w:rFonts w:ascii="仿宋" w:hAnsi="仿宋" w:eastAsia="仿宋" w:cstheme="minorBidi"/>
          <w:sz w:val="24"/>
        </w:rPr>
      </w:pPr>
      <w:r>
        <w:rPr>
          <w:rFonts w:hint="eastAsia"/>
          <w:sz w:val="24"/>
        </w:rPr>
        <w:t>二、收入决算情况说明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三、支出决算情况说明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4"/>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pPr>
        <w:pStyle w:val="14"/>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p>
    <w:p>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19"/>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p>
    <w:p>
      <w:pPr>
        <w:pStyle w:val="13"/>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3"/>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3"/>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4"/>
        <w:adjustRightInd w:val="0"/>
        <w:snapToGrid w:val="0"/>
        <w:spacing w:line="440" w:lineRule="exact"/>
        <w:jc w:val="left"/>
        <w:rPr>
          <w:sz w:val="24"/>
        </w:rPr>
      </w:pPr>
      <w:r>
        <w:rPr>
          <w:rFonts w:hint="eastAsia"/>
          <w:sz w:val="24"/>
        </w:rPr>
        <w:t>一、收入支出决算总表</w:t>
      </w:r>
    </w:p>
    <w:p>
      <w:pPr>
        <w:pStyle w:val="14"/>
        <w:adjustRightInd w:val="0"/>
        <w:snapToGrid w:val="0"/>
        <w:spacing w:line="440" w:lineRule="exact"/>
        <w:jc w:val="left"/>
        <w:rPr>
          <w:sz w:val="24"/>
        </w:rPr>
      </w:pPr>
      <w:r>
        <w:rPr>
          <w:rFonts w:hint="eastAsia"/>
          <w:sz w:val="24"/>
        </w:rPr>
        <w:t>二、收入决算表</w:t>
      </w:r>
    </w:p>
    <w:p>
      <w:pPr>
        <w:pStyle w:val="14"/>
        <w:adjustRightInd w:val="0"/>
        <w:snapToGrid w:val="0"/>
        <w:spacing w:line="440" w:lineRule="exact"/>
        <w:jc w:val="left"/>
        <w:rPr>
          <w:sz w:val="24"/>
        </w:rPr>
      </w:pPr>
      <w:r>
        <w:rPr>
          <w:rFonts w:hint="eastAsia"/>
          <w:sz w:val="24"/>
        </w:rPr>
        <w:t>三、支出决算表</w:t>
      </w:r>
    </w:p>
    <w:p>
      <w:pPr>
        <w:pStyle w:val="14"/>
        <w:adjustRightInd w:val="0"/>
        <w:snapToGrid w:val="0"/>
        <w:spacing w:line="440" w:lineRule="exact"/>
        <w:jc w:val="left"/>
        <w:rPr>
          <w:sz w:val="24"/>
        </w:rPr>
      </w:pPr>
      <w:r>
        <w:rPr>
          <w:rFonts w:hint="eastAsia"/>
          <w:sz w:val="24"/>
        </w:rPr>
        <w:t>四、财政拨款收入支出决算总表</w:t>
      </w:r>
    </w:p>
    <w:p>
      <w:pPr>
        <w:pStyle w:val="14"/>
        <w:adjustRightInd w:val="0"/>
        <w:snapToGrid w:val="0"/>
        <w:spacing w:line="440" w:lineRule="exact"/>
        <w:jc w:val="left"/>
        <w:rPr>
          <w:sz w:val="24"/>
        </w:rPr>
      </w:pPr>
      <w:r>
        <w:rPr>
          <w:rFonts w:hint="eastAsia"/>
          <w:sz w:val="24"/>
        </w:rPr>
        <w:t>五、财政拨款支出决算明细表</w:t>
      </w:r>
    </w:p>
    <w:p>
      <w:pPr>
        <w:pStyle w:val="14"/>
        <w:adjustRightInd w:val="0"/>
        <w:snapToGrid w:val="0"/>
        <w:spacing w:line="440" w:lineRule="exact"/>
        <w:jc w:val="left"/>
        <w:rPr>
          <w:sz w:val="24"/>
        </w:rPr>
      </w:pPr>
      <w:r>
        <w:rPr>
          <w:rFonts w:hint="eastAsia"/>
          <w:sz w:val="24"/>
        </w:rPr>
        <w:t>六、一般公共预算财政拨款支出决算表</w:t>
      </w:r>
    </w:p>
    <w:p>
      <w:pPr>
        <w:pStyle w:val="14"/>
        <w:adjustRightInd w:val="0"/>
        <w:snapToGrid w:val="0"/>
        <w:spacing w:line="440" w:lineRule="exact"/>
        <w:jc w:val="left"/>
        <w:rPr>
          <w:sz w:val="24"/>
        </w:rPr>
      </w:pPr>
      <w:r>
        <w:rPr>
          <w:rFonts w:hint="eastAsia"/>
          <w:sz w:val="24"/>
        </w:rPr>
        <w:t>七、一般公共预算财政拨款支出决算明细表</w:t>
      </w:r>
    </w:p>
    <w:p>
      <w:pPr>
        <w:pStyle w:val="14"/>
        <w:adjustRightInd w:val="0"/>
        <w:snapToGrid w:val="0"/>
        <w:spacing w:line="440" w:lineRule="exact"/>
        <w:jc w:val="left"/>
        <w:rPr>
          <w:sz w:val="24"/>
        </w:rPr>
      </w:pPr>
      <w:r>
        <w:rPr>
          <w:rFonts w:hint="eastAsia"/>
          <w:sz w:val="24"/>
        </w:rPr>
        <w:t>八、一般公共预算财政拨款基本支出决算明细表</w:t>
      </w:r>
    </w:p>
    <w:p>
      <w:pPr>
        <w:pStyle w:val="14"/>
        <w:adjustRightInd w:val="0"/>
        <w:snapToGrid w:val="0"/>
        <w:spacing w:line="440" w:lineRule="exact"/>
        <w:jc w:val="left"/>
        <w:rPr>
          <w:sz w:val="24"/>
        </w:rPr>
      </w:pPr>
      <w:r>
        <w:rPr>
          <w:rFonts w:hint="eastAsia"/>
          <w:sz w:val="24"/>
        </w:rPr>
        <w:t>九、一般公共预算财政拨款项目支出决算表</w:t>
      </w:r>
    </w:p>
    <w:p>
      <w:pPr>
        <w:pStyle w:val="14"/>
        <w:adjustRightInd w:val="0"/>
        <w:snapToGrid w:val="0"/>
        <w:spacing w:line="440" w:lineRule="exact"/>
        <w:jc w:val="left"/>
        <w:rPr>
          <w:sz w:val="24"/>
        </w:rPr>
      </w:pPr>
      <w:r>
        <w:rPr>
          <w:rFonts w:hint="eastAsia"/>
          <w:sz w:val="24"/>
        </w:rPr>
        <w:t>十、政府性基金预算财政拨款收入支出决算表</w:t>
      </w:r>
    </w:p>
    <w:p>
      <w:pPr>
        <w:pStyle w:val="14"/>
        <w:adjustRightInd w:val="0"/>
        <w:snapToGrid w:val="0"/>
        <w:spacing w:line="440" w:lineRule="exact"/>
        <w:jc w:val="left"/>
        <w:rPr>
          <w:sz w:val="24"/>
        </w:rPr>
      </w:pPr>
      <w:r>
        <w:rPr>
          <w:rFonts w:hint="eastAsia"/>
          <w:sz w:val="24"/>
        </w:rPr>
        <w:t>十一、国有资本经营预算财政拨款收入支出决算表</w:t>
      </w:r>
    </w:p>
    <w:p>
      <w:pPr>
        <w:pStyle w:val="14"/>
        <w:adjustRightInd w:val="0"/>
        <w:snapToGrid w:val="0"/>
        <w:spacing w:line="440" w:lineRule="exact"/>
        <w:jc w:val="left"/>
        <w:rPr>
          <w:sz w:val="24"/>
        </w:rPr>
      </w:pPr>
      <w:r>
        <w:rPr>
          <w:rFonts w:hint="eastAsia"/>
          <w:sz w:val="24"/>
        </w:rPr>
        <w:t>十二、国有资本经营预算财政拨款支出决算表</w:t>
      </w:r>
    </w:p>
    <w:p>
      <w:pPr>
        <w:pStyle w:val="14"/>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6" w:name="_Toc15377196"/>
      <w:bookmarkStart w:id="7" w:name="_Toc15396599"/>
      <w:r>
        <w:rPr>
          <w:rFonts w:ascii="仿宋" w:hAnsi="仿宋" w:eastAsia="仿宋"/>
          <w:b/>
          <w:sz w:val="24"/>
        </w:rPr>
        <w:br w:type="page"/>
      </w:r>
    </w:p>
    <w:p>
      <w:pPr>
        <w:pStyle w:val="2"/>
        <w:jc w:val="center"/>
        <w:rPr>
          <w:rStyle w:val="29"/>
          <w:rFonts w:ascii="黑体" w:hAnsi="黑体" w:eastAsia="黑体"/>
          <w:b/>
          <w:bCs w:val="0"/>
        </w:rPr>
      </w:pPr>
      <w:r>
        <w:rPr>
          <w:rFonts w:hint="eastAsia" w:ascii="黑体" w:hAnsi="黑体" w:eastAsia="黑体"/>
          <w:b w:val="0"/>
        </w:rPr>
        <w:t xml:space="preserve">第一部分 </w:t>
      </w:r>
      <w:r>
        <w:rPr>
          <w:rStyle w:val="29"/>
          <w:rFonts w:hint="eastAsia" w:ascii="黑体" w:hAnsi="黑体" w:eastAsia="黑体"/>
          <w:b w:val="0"/>
          <w:bCs w:val="0"/>
        </w:rPr>
        <w:t>部门概况</w:t>
      </w:r>
      <w:bookmarkEnd w:id="6"/>
      <w:bookmarkEnd w:id="7"/>
    </w:p>
    <w:p>
      <w:pPr>
        <w:widowControl/>
        <w:jc w:val="left"/>
        <w:rPr>
          <w:rFonts w:ascii="黑体" w:eastAsia="黑体"/>
          <w:sz w:val="32"/>
          <w:szCs w:val="32"/>
        </w:rPr>
      </w:pPr>
    </w:p>
    <w:p>
      <w:pPr>
        <w:spacing w:line="590" w:lineRule="exact"/>
        <w:ind w:firstLine="640" w:firstLineChars="200"/>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lang w:eastAsia="zh-CN"/>
        </w:rPr>
        <w:t>一、</w:t>
      </w:r>
      <w:r>
        <w:rPr>
          <w:rFonts w:hint="eastAsia" w:ascii="方正黑体简体" w:hAnsi="方正黑体简体" w:eastAsia="方正黑体简体" w:cs="方正黑体简体"/>
          <w:color w:val="auto"/>
          <w:sz w:val="32"/>
          <w:szCs w:val="32"/>
        </w:rPr>
        <w:t>部门职责</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（一）开展青少年思想政治引导。开展青少年思想动态和思想政治工作调查研究，提出相应对策，参与、推动制定有关政策、制度。统筹策划和开展全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团系统的思想政治教育引导有关活动。建设网上共青团，开展青少年网络舆论引导工作。配合开展全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青年统战工作。</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二）组织动员团员青年服务经济社会发展。落实党建带团建要求，统筹规划、推动团的组织建设和团员、团干部队伍建设，引导推动各行各业团员青年围绕中心、服务大局，立足岗位建功立业。组建青年突击队积极参与重大工程、项目和应急抢险等工作。规划和推动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青少年事务社会工作。规划和推动全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青年志愿服务工作、服务队伍和阵地建设，制定服务评价标准，打造服务品牌，完善网络信息平台。</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三）服务青少年成长发展。贯彻落实四川省中长期青年发展规划。参与、推动涉及青少年成长成才相关政策的制定。聚焦青年在成长方面的普遍性需求，开展有针对性的工作项目。开展留守儿童等特殊困难青少年关爱帮扶工作。</w:t>
      </w:r>
    </w:p>
    <w:p>
      <w:pPr>
        <w:spacing w:line="590" w:lineRule="exact"/>
        <w:ind w:firstLine="600" w:firstLineChars="200"/>
        <w:rPr>
          <w:rFonts w:ascii="Times New Roman" w:hAnsi="Times New Roman" w:eastAsia="方正仿宋简体" w:cs="Times New Roman"/>
          <w:color w:val="auto"/>
          <w:sz w:val="30"/>
          <w:szCs w:val="30"/>
        </w:rPr>
      </w:pPr>
      <w:r>
        <w:rPr>
          <w:rFonts w:ascii="Times New Roman" w:hAnsi="Times New Roman" w:eastAsia="方正仿宋简体" w:cs="Times New Roman"/>
          <w:color w:val="auto"/>
          <w:sz w:val="30"/>
          <w:szCs w:val="30"/>
        </w:rPr>
        <w:t>（四）维护青少年权益。参与涉及青少年的法规、规章和政策制定。开展青少年法治宣传教育。参与规划建设青少年维权工作体系，建立个案维权机制。收集和反映青少年正当诉求。</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（五）领导全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少先队工作，在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青年联合会中发挥主导作用。</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（六）完成</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委、</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政府交办的其他任务。</w:t>
      </w:r>
    </w:p>
    <w:p>
      <w:pPr>
        <w:numPr>
          <w:ilvl w:val="0"/>
          <w:numId w:val="0"/>
        </w:numPr>
      </w:pPr>
    </w:p>
    <w:p>
      <w:pPr>
        <w:spacing w:line="590" w:lineRule="exact"/>
        <w:ind w:firstLine="640" w:firstLineChars="200"/>
        <w:rPr>
          <w:rFonts w:hint="eastAsia" w:ascii="方正黑体简体" w:hAnsi="方正黑体简体" w:eastAsia="方正黑体简体" w:cs="方正黑体简体"/>
          <w:color w:val="auto"/>
          <w:sz w:val="32"/>
          <w:szCs w:val="32"/>
          <w:lang w:eastAsia="zh-CN"/>
        </w:rPr>
      </w:pPr>
      <w:bookmarkStart w:id="8" w:name="_Toc15377200"/>
      <w:bookmarkStart w:id="9" w:name="_Toc15396601"/>
      <w:r>
        <w:rPr>
          <w:rFonts w:hint="eastAsia" w:ascii="方正黑体简体" w:hAnsi="方正黑体简体" w:eastAsia="方正黑体简体" w:cs="方正黑体简体"/>
          <w:color w:val="auto"/>
          <w:sz w:val="32"/>
          <w:szCs w:val="32"/>
          <w:lang w:eastAsia="zh-CN"/>
        </w:rPr>
        <w:t>二、机构设置</w:t>
      </w:r>
      <w:bookmarkEnd w:id="8"/>
      <w:bookmarkEnd w:id="9"/>
    </w:p>
    <w:p>
      <w:pPr>
        <w:ind w:firstLine="800" w:firstLineChars="250"/>
        <w:rPr>
          <w:rFonts w:hint="eastAsia" w:ascii="仿宋" w:hAnsi="仿宋" w:eastAsia="仿宋"/>
          <w:sz w:val="32"/>
          <w:szCs w:val="32"/>
          <w:lang w:eastAsia="zh-CN"/>
        </w:rPr>
      </w:pPr>
      <w:r>
        <w:rPr>
          <w:rFonts w:hint="eastAsia" w:ascii="仿宋" w:hAnsi="仿宋" w:eastAsia="仿宋"/>
          <w:sz w:val="32"/>
          <w:szCs w:val="32"/>
          <w:lang w:eastAsia="zh-CN"/>
        </w:rPr>
        <w:t>共青团乐至县委</w:t>
      </w:r>
      <w:r>
        <w:rPr>
          <w:rFonts w:hint="eastAsia" w:ascii="仿宋" w:hAnsi="仿宋" w:eastAsia="仿宋"/>
          <w:sz w:val="32"/>
          <w:szCs w:val="32"/>
        </w:rPr>
        <w:t>下属二级预算单位</w:t>
      </w:r>
      <w:r>
        <w:rPr>
          <w:rFonts w:hint="eastAsia" w:ascii="仿宋" w:hAnsi="仿宋" w:eastAsia="仿宋"/>
          <w:sz w:val="32"/>
          <w:szCs w:val="32"/>
          <w:lang w:val="en-US" w:eastAsia="zh-CN"/>
        </w:rPr>
        <w:t>1</w:t>
      </w:r>
      <w:r>
        <w:rPr>
          <w:rFonts w:hint="eastAsia" w:ascii="仿宋" w:hAnsi="仿宋" w:eastAsia="仿宋"/>
          <w:sz w:val="32"/>
          <w:szCs w:val="32"/>
        </w:rPr>
        <w:t>个，其中事业单位</w:t>
      </w:r>
      <w:r>
        <w:rPr>
          <w:rFonts w:hint="eastAsia" w:ascii="仿宋" w:hAnsi="仿宋" w:eastAsia="仿宋"/>
          <w:sz w:val="32"/>
          <w:szCs w:val="32"/>
          <w:lang w:val="en-US" w:eastAsia="zh-CN"/>
        </w:rPr>
        <w:t>1</w:t>
      </w:r>
      <w:r>
        <w:rPr>
          <w:rFonts w:hint="eastAsia" w:ascii="仿宋" w:hAnsi="仿宋" w:eastAsia="仿宋"/>
          <w:sz w:val="32"/>
          <w:szCs w:val="32"/>
        </w:rPr>
        <w:t>个。</w:t>
      </w:r>
      <w:r>
        <w:rPr>
          <w:rFonts w:hint="eastAsia" w:ascii="仿宋" w:hAnsi="仿宋" w:eastAsia="仿宋"/>
          <w:sz w:val="32"/>
          <w:szCs w:val="32"/>
          <w:lang w:eastAsia="zh-CN"/>
        </w:rPr>
        <w:t>其财务独立核算。</w:t>
      </w:r>
      <w:bookmarkStart w:id="10" w:name="_Toc15396602"/>
      <w:bookmarkStart w:id="11" w:name="_Toc15377204"/>
    </w:p>
    <w:p>
      <w:pPr>
        <w:pStyle w:val="7"/>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7"/>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7"/>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7"/>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7"/>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7"/>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7"/>
        <w:rPr>
          <w:rFonts w:hint="eastAsia"/>
        </w:rPr>
      </w:pPr>
    </w:p>
    <w:p>
      <w:pPr>
        <w:pStyle w:val="2"/>
        <w:ind w:right="440"/>
        <w:jc w:val="center"/>
      </w:pPr>
      <w:r>
        <w:rPr>
          <w:rFonts w:hint="eastAsia" w:ascii="黑体" w:hAnsi="黑体" w:eastAsia="黑体"/>
          <w:b w:val="0"/>
        </w:rPr>
        <w:t>第二部分 202</w:t>
      </w:r>
      <w:r>
        <w:rPr>
          <w:rFonts w:hint="eastAsia" w:ascii="黑体" w:hAnsi="黑体" w:eastAsia="黑体"/>
          <w:b w:val="0"/>
          <w:lang w:val="en-US" w:eastAsia="zh-CN"/>
        </w:rPr>
        <w:t>3</w:t>
      </w:r>
      <w:r>
        <w:rPr>
          <w:rFonts w:hint="eastAsia" w:ascii="黑体" w:hAnsi="黑体" w:eastAsia="黑体"/>
          <w:b w:val="0"/>
        </w:rPr>
        <w:t>年度</w:t>
      </w:r>
      <w:r>
        <w:rPr>
          <w:rStyle w:val="29"/>
          <w:rFonts w:hint="eastAsia" w:ascii="黑体" w:hAnsi="黑体" w:eastAsia="黑体"/>
          <w:b w:val="0"/>
          <w:bCs/>
        </w:rPr>
        <w:t>部门决算情况说明</w:t>
      </w:r>
      <w:bookmarkEnd w:id="10"/>
      <w:bookmarkEnd w:id="11"/>
    </w:p>
    <w:p>
      <w:pPr>
        <w:pStyle w:val="28"/>
        <w:numPr>
          <w:ilvl w:val="0"/>
          <w:numId w:val="1"/>
        </w:numPr>
        <w:spacing w:line="600" w:lineRule="exact"/>
        <w:ind w:firstLineChars="0"/>
        <w:outlineLvl w:val="1"/>
        <w:rPr>
          <w:rStyle w:val="30"/>
          <w:rFonts w:ascii="黑体" w:hAnsi="黑体" w:eastAsia="黑体"/>
          <w:b w:val="0"/>
        </w:rPr>
      </w:pPr>
      <w:bookmarkStart w:id="12" w:name="_Toc15396603"/>
      <w:bookmarkStart w:id="13" w:name="_Toc15377205"/>
      <w:r>
        <w:rPr>
          <w:rFonts w:hint="eastAsia" w:ascii="黑体" w:hAnsi="黑体" w:eastAsia="黑体"/>
          <w:sz w:val="32"/>
          <w:szCs w:val="32"/>
        </w:rPr>
        <w:t>收</w:t>
      </w:r>
      <w:r>
        <w:rPr>
          <w:rStyle w:val="30"/>
          <w:rFonts w:hint="eastAsia" w:ascii="黑体" w:hAnsi="黑体" w:eastAsia="黑体"/>
          <w:b w:val="0"/>
        </w:rPr>
        <w:t>入支出决算总体情况说明</w:t>
      </w:r>
      <w:bookmarkEnd w:id="12"/>
      <w:bookmarkEnd w:id="13"/>
    </w:p>
    <w:p>
      <w:pPr>
        <w:spacing w:line="600" w:lineRule="exact"/>
        <w:ind w:firstLine="640" w:firstLineChars="200"/>
        <w:rPr>
          <w:rFonts w:ascii="仿宋_GB2312" w:eastAsia="仿宋_GB2312"/>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年度收、支总计</w:t>
      </w:r>
      <w:r>
        <w:rPr>
          <w:rFonts w:hint="eastAsia" w:ascii="仿宋" w:hAnsi="仿宋" w:eastAsia="仿宋"/>
          <w:sz w:val="32"/>
          <w:szCs w:val="32"/>
          <w:lang w:val="en-US" w:eastAsia="zh-CN"/>
        </w:rPr>
        <w:t>221.9</w:t>
      </w:r>
      <w:r>
        <w:rPr>
          <w:rFonts w:hint="eastAsia" w:ascii="仿宋" w:hAnsi="仿宋" w:eastAsia="仿宋"/>
          <w:sz w:val="32"/>
          <w:szCs w:val="32"/>
        </w:rPr>
        <w:t>万元。与</w:t>
      </w:r>
      <w:r>
        <w:rPr>
          <w:rFonts w:hint="eastAsia" w:ascii="仿宋" w:hAnsi="仿宋" w:eastAsia="仿宋"/>
          <w:sz w:val="32"/>
          <w:szCs w:val="32"/>
          <w:lang w:val="en-US" w:eastAsia="zh-CN"/>
        </w:rPr>
        <w:t>2022</w:t>
      </w:r>
      <w:r>
        <w:rPr>
          <w:rFonts w:hint="eastAsia" w:ascii="仿宋" w:hAnsi="仿宋" w:eastAsia="仿宋"/>
          <w:sz w:val="32"/>
          <w:szCs w:val="32"/>
        </w:rPr>
        <w:t>年相比，收、支总计各增加</w:t>
      </w:r>
      <w:r>
        <w:rPr>
          <w:rFonts w:hint="eastAsia" w:ascii="仿宋" w:hAnsi="仿宋" w:eastAsia="仿宋"/>
          <w:sz w:val="32"/>
          <w:szCs w:val="32"/>
          <w:lang w:val="en-US" w:eastAsia="zh-CN"/>
        </w:rPr>
        <w:t>30.64</w:t>
      </w:r>
      <w:r>
        <w:rPr>
          <w:rFonts w:hint="eastAsia" w:ascii="仿宋" w:hAnsi="仿宋" w:eastAsia="仿宋"/>
          <w:sz w:val="32"/>
          <w:szCs w:val="32"/>
        </w:rPr>
        <w:t>万元，增长</w:t>
      </w:r>
      <w:r>
        <w:rPr>
          <w:rFonts w:hint="eastAsia" w:ascii="仿宋" w:hAnsi="仿宋" w:eastAsia="仿宋"/>
          <w:sz w:val="32"/>
          <w:szCs w:val="32"/>
          <w:lang w:val="en-US" w:eastAsia="zh-CN"/>
        </w:rPr>
        <w:t>16.02</w:t>
      </w:r>
      <w:r>
        <w:rPr>
          <w:rFonts w:ascii="仿宋" w:hAnsi="仿宋" w:eastAsia="仿宋"/>
          <w:sz w:val="32"/>
          <w:szCs w:val="32"/>
        </w:rPr>
        <w:t>%</w:t>
      </w:r>
      <w:r>
        <w:rPr>
          <w:rFonts w:hint="eastAsia" w:ascii="仿宋" w:hAnsi="仿宋" w:eastAsia="仿宋"/>
          <w:sz w:val="32"/>
          <w:szCs w:val="32"/>
        </w:rPr>
        <w:t>。主要变动原因是</w:t>
      </w:r>
      <w:r>
        <w:rPr>
          <w:rFonts w:hint="default" w:ascii="Times New Roman" w:hAnsi="Times New Roman" w:eastAsia="方正仿宋简体" w:cs="Times New Roman"/>
          <w:sz w:val="32"/>
          <w:szCs w:val="32"/>
          <w:lang w:eastAsia="zh-CN"/>
        </w:rPr>
        <w:t>人员调整、西部计划志愿者保险和西部计划志愿者基本生活补助发放等因素</w:t>
      </w:r>
      <w:r>
        <w:rPr>
          <w:rFonts w:hint="eastAsia" w:ascii="仿宋" w:hAnsi="仿宋" w:eastAsia="仿宋"/>
          <w:sz w:val="32"/>
          <w:szCs w:val="32"/>
        </w:rPr>
        <w:t>。</w:t>
      </w:r>
    </w:p>
    <w:p>
      <w:pPr>
        <w:pStyle w:val="28"/>
        <w:numPr>
          <w:ilvl w:val="0"/>
          <w:numId w:val="1"/>
        </w:numPr>
        <w:spacing w:line="600" w:lineRule="exact"/>
        <w:ind w:firstLineChars="0"/>
        <w:outlineLvl w:val="1"/>
        <w:rPr>
          <w:rStyle w:val="30"/>
          <w:rFonts w:ascii="黑体" w:hAnsi="黑体" w:eastAsia="黑体"/>
          <w:b w:val="0"/>
        </w:rPr>
      </w:pPr>
      <w:bookmarkStart w:id="14" w:name="_Toc15396604"/>
      <w:bookmarkStart w:id="15" w:name="_Toc15377206"/>
      <w:r>
        <w:rPr>
          <w:rFonts w:hint="eastAsia" w:ascii="黑体" w:hAnsi="黑体" w:eastAsia="黑体"/>
          <w:sz w:val="32"/>
          <w:szCs w:val="32"/>
        </w:rPr>
        <w:t>收</w:t>
      </w:r>
      <w:r>
        <w:rPr>
          <w:rStyle w:val="30"/>
          <w:rFonts w:hint="eastAsia" w:ascii="黑体" w:hAnsi="黑体" w:eastAsia="黑体"/>
          <w:b w:val="0"/>
        </w:rPr>
        <w:t>入决算情况说明</w:t>
      </w:r>
      <w:bookmarkEnd w:id="14"/>
      <w:bookmarkEnd w:id="15"/>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年本年收入合计</w:t>
      </w:r>
      <w:r>
        <w:rPr>
          <w:rFonts w:hint="eastAsia" w:ascii="仿宋" w:hAnsi="仿宋" w:eastAsia="仿宋"/>
          <w:sz w:val="32"/>
          <w:szCs w:val="32"/>
          <w:lang w:val="en-US" w:eastAsia="zh-CN"/>
        </w:rPr>
        <w:t>221.9</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219.9</w:t>
      </w:r>
      <w:r>
        <w:rPr>
          <w:rFonts w:hint="eastAsia" w:ascii="仿宋" w:hAnsi="仿宋" w:eastAsia="仿宋"/>
          <w:sz w:val="32"/>
          <w:szCs w:val="32"/>
        </w:rPr>
        <w:t>万元，占</w:t>
      </w:r>
      <w:r>
        <w:rPr>
          <w:rFonts w:hint="eastAsia" w:ascii="仿宋" w:hAnsi="仿宋" w:eastAsia="仿宋"/>
          <w:sz w:val="32"/>
          <w:szCs w:val="32"/>
          <w:lang w:val="en-US" w:eastAsia="zh-CN"/>
        </w:rPr>
        <w:t>99.10</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2</w:t>
      </w:r>
      <w:r>
        <w:rPr>
          <w:rFonts w:hint="eastAsia" w:ascii="仿宋" w:hAnsi="仿宋" w:eastAsia="仿宋"/>
          <w:sz w:val="32"/>
          <w:szCs w:val="32"/>
        </w:rPr>
        <w:t>万元，占</w:t>
      </w:r>
      <w:r>
        <w:rPr>
          <w:rFonts w:hint="eastAsia" w:ascii="仿宋" w:hAnsi="仿宋" w:eastAsia="仿宋"/>
          <w:sz w:val="32"/>
          <w:szCs w:val="32"/>
          <w:lang w:val="en-US" w:eastAsia="zh-CN"/>
        </w:rPr>
        <w:t>0.9</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pStyle w:val="28"/>
        <w:numPr>
          <w:ilvl w:val="0"/>
          <w:numId w:val="1"/>
        </w:numPr>
        <w:spacing w:line="600" w:lineRule="exact"/>
        <w:ind w:firstLineChars="0"/>
        <w:outlineLvl w:val="1"/>
        <w:rPr>
          <w:rStyle w:val="30"/>
          <w:rFonts w:ascii="黑体" w:hAnsi="黑体" w:eastAsia="黑体"/>
          <w:b w:val="0"/>
        </w:rPr>
      </w:pPr>
      <w:bookmarkStart w:id="16" w:name="_Toc15396605"/>
      <w:bookmarkStart w:id="17" w:name="_Toc15377207"/>
      <w:r>
        <w:rPr>
          <w:rFonts w:hint="eastAsia" w:ascii="黑体" w:hAnsi="黑体" w:eastAsia="黑体"/>
          <w:sz w:val="32"/>
          <w:szCs w:val="32"/>
        </w:rPr>
        <w:t>支</w:t>
      </w:r>
      <w:r>
        <w:rPr>
          <w:rStyle w:val="30"/>
          <w:rFonts w:hint="eastAsia" w:ascii="黑体" w:hAnsi="黑体" w:eastAsia="黑体"/>
          <w:b w:val="0"/>
        </w:rPr>
        <w:t>出决算情况说明</w:t>
      </w:r>
      <w:bookmarkEnd w:id="16"/>
      <w:bookmarkEnd w:id="17"/>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年本年支出合计</w:t>
      </w:r>
      <w:r>
        <w:rPr>
          <w:rFonts w:hint="eastAsia" w:ascii="仿宋" w:hAnsi="仿宋" w:eastAsia="仿宋"/>
          <w:sz w:val="32"/>
          <w:szCs w:val="32"/>
          <w:lang w:val="en-US" w:eastAsia="zh-CN"/>
        </w:rPr>
        <w:t>221.9</w:t>
      </w:r>
      <w:r>
        <w:rPr>
          <w:rFonts w:hint="eastAsia" w:ascii="仿宋" w:hAnsi="仿宋" w:eastAsia="仿宋"/>
          <w:sz w:val="32"/>
          <w:szCs w:val="32"/>
        </w:rPr>
        <w:t>万元，其中：基本支出</w:t>
      </w:r>
      <w:r>
        <w:rPr>
          <w:rFonts w:hint="eastAsia" w:ascii="仿宋" w:hAnsi="仿宋" w:eastAsia="仿宋"/>
          <w:sz w:val="32"/>
          <w:szCs w:val="32"/>
          <w:lang w:val="en-US" w:eastAsia="zh-CN"/>
        </w:rPr>
        <w:t>72.18</w:t>
      </w:r>
      <w:r>
        <w:rPr>
          <w:rFonts w:hint="eastAsia" w:ascii="仿宋" w:hAnsi="仿宋" w:eastAsia="仿宋"/>
          <w:sz w:val="32"/>
          <w:szCs w:val="32"/>
        </w:rPr>
        <w:t>万元，占</w:t>
      </w:r>
      <w:r>
        <w:rPr>
          <w:rFonts w:hint="eastAsia" w:ascii="仿宋" w:hAnsi="仿宋" w:eastAsia="仿宋"/>
          <w:sz w:val="32"/>
          <w:szCs w:val="32"/>
          <w:lang w:val="en-US" w:eastAsia="zh-CN"/>
        </w:rPr>
        <w:t>32.53</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149.72</w:t>
      </w:r>
      <w:r>
        <w:rPr>
          <w:rFonts w:hint="eastAsia" w:ascii="仿宋" w:hAnsi="仿宋" w:eastAsia="仿宋"/>
          <w:sz w:val="32"/>
          <w:szCs w:val="32"/>
        </w:rPr>
        <w:t>万元，占</w:t>
      </w:r>
      <w:r>
        <w:rPr>
          <w:rFonts w:hint="eastAsia" w:ascii="仿宋" w:hAnsi="仿宋" w:eastAsia="仿宋"/>
          <w:sz w:val="32"/>
          <w:szCs w:val="32"/>
          <w:lang w:val="en-US" w:eastAsia="zh-CN"/>
        </w:rPr>
        <w:t>67.47</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outlineLvl w:val="1"/>
        <w:rPr>
          <w:rStyle w:val="30"/>
          <w:rFonts w:ascii="黑体" w:hAnsi="黑体" w:eastAsia="黑体"/>
          <w:b w:val="0"/>
        </w:rPr>
      </w:pPr>
      <w:bookmarkStart w:id="18" w:name="_Toc15396606"/>
      <w:bookmarkStart w:id="19" w:name="_Toc15377208"/>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18"/>
      <w:bookmarkEnd w:id="19"/>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lang w:val="en-US" w:eastAsia="zh-CN"/>
        </w:rPr>
        <w:t>23</w:t>
      </w:r>
      <w:r>
        <w:rPr>
          <w:rFonts w:hint="eastAsia" w:ascii="仿宋" w:hAnsi="仿宋" w:eastAsia="仿宋"/>
          <w:sz w:val="32"/>
          <w:szCs w:val="32"/>
        </w:rPr>
        <w:t>年财政拨款收、支总计</w:t>
      </w:r>
      <w:r>
        <w:rPr>
          <w:rFonts w:hint="eastAsia" w:ascii="仿宋" w:hAnsi="仿宋" w:eastAsia="仿宋"/>
          <w:sz w:val="32"/>
          <w:szCs w:val="32"/>
          <w:lang w:val="en-US" w:eastAsia="zh-CN"/>
        </w:rPr>
        <w:t>221.9</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年相比，财政拨款收、支总计各</w:t>
      </w:r>
      <w:r>
        <w:rPr>
          <w:rFonts w:hint="eastAsia" w:ascii="仿宋" w:hAnsi="仿宋" w:eastAsia="仿宋"/>
          <w:sz w:val="32"/>
          <w:szCs w:val="32"/>
          <w:lang w:eastAsia="zh-CN"/>
        </w:rPr>
        <w:t>增加</w:t>
      </w:r>
      <w:r>
        <w:rPr>
          <w:rFonts w:hint="eastAsia" w:ascii="仿宋" w:hAnsi="仿宋" w:eastAsia="仿宋"/>
          <w:sz w:val="32"/>
          <w:szCs w:val="32"/>
          <w:lang w:val="en-US" w:eastAsia="zh-CN"/>
        </w:rPr>
        <w:t>30.64</w:t>
      </w:r>
      <w:r>
        <w:rPr>
          <w:rFonts w:hint="eastAsia" w:ascii="仿宋" w:hAnsi="仿宋" w:eastAsia="仿宋"/>
          <w:sz w:val="32"/>
          <w:szCs w:val="32"/>
        </w:rPr>
        <w:t>万元，增长</w:t>
      </w:r>
      <w:r>
        <w:rPr>
          <w:rFonts w:hint="eastAsia" w:ascii="仿宋" w:hAnsi="仿宋" w:eastAsia="仿宋"/>
          <w:sz w:val="32"/>
          <w:szCs w:val="32"/>
          <w:lang w:val="en-US" w:eastAsia="zh-CN"/>
        </w:rPr>
        <w:t>16.02</w:t>
      </w:r>
      <w:r>
        <w:rPr>
          <w:rFonts w:ascii="仿宋" w:hAnsi="仿宋" w:eastAsia="仿宋"/>
          <w:sz w:val="32"/>
          <w:szCs w:val="32"/>
        </w:rPr>
        <w:t>%</w:t>
      </w:r>
      <w:r>
        <w:rPr>
          <w:rFonts w:hint="eastAsia" w:ascii="仿宋" w:hAnsi="仿宋" w:eastAsia="仿宋"/>
          <w:sz w:val="32"/>
          <w:szCs w:val="32"/>
        </w:rPr>
        <w:t>。主要变动原因是</w:t>
      </w:r>
      <w:r>
        <w:rPr>
          <w:rFonts w:hint="default" w:ascii="Times New Roman" w:hAnsi="Times New Roman" w:eastAsia="方正仿宋简体" w:cs="Times New Roman"/>
          <w:sz w:val="32"/>
          <w:szCs w:val="32"/>
          <w:lang w:eastAsia="zh-CN"/>
        </w:rPr>
        <w:t>人员调整、西部计划志愿者保险和西部计划志愿者基本生活补助发放等因素</w:t>
      </w:r>
      <w:r>
        <w:rPr>
          <w:rFonts w:hint="eastAsia" w:ascii="Times New Roman" w:hAnsi="Times New Roman" w:eastAsia="方正仿宋简体" w:cs="Times New Roman"/>
          <w:sz w:val="32"/>
          <w:szCs w:val="32"/>
          <w:lang w:eastAsia="zh-CN"/>
        </w:rPr>
        <w:t>。</w:t>
      </w:r>
    </w:p>
    <w:p>
      <w:pPr>
        <w:spacing w:line="600" w:lineRule="exact"/>
        <w:ind w:firstLine="640" w:firstLineChars="200"/>
        <w:outlineLvl w:val="1"/>
        <w:rPr>
          <w:rStyle w:val="30"/>
          <w:rFonts w:ascii="黑体" w:hAnsi="黑体" w:eastAsia="黑体"/>
          <w:b w:val="0"/>
        </w:rPr>
      </w:pPr>
      <w:bookmarkStart w:id="20" w:name="_Toc15396607"/>
      <w:bookmarkStart w:id="21" w:name="_Toc15377209"/>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0"/>
      <w:bookmarkEnd w:id="21"/>
    </w:p>
    <w:p>
      <w:pPr>
        <w:spacing w:line="600" w:lineRule="exact"/>
        <w:ind w:firstLine="643" w:firstLineChars="200"/>
        <w:outlineLvl w:val="2"/>
        <w:rPr>
          <w:rFonts w:ascii="仿宋" w:hAnsi="仿宋" w:eastAsia="仿宋"/>
          <w:b/>
          <w:sz w:val="32"/>
          <w:szCs w:val="32"/>
        </w:rPr>
      </w:pPr>
      <w:bookmarkStart w:id="22" w:name="_Toc15377210"/>
      <w:r>
        <w:rPr>
          <w:rFonts w:hint="eastAsia" w:ascii="仿宋" w:hAnsi="仿宋" w:eastAsia="仿宋"/>
          <w:b/>
          <w:sz w:val="32"/>
          <w:szCs w:val="32"/>
        </w:rPr>
        <w:t>（一）一般公共预算财政拨款支出决算总体情况</w:t>
      </w:r>
      <w:bookmarkEnd w:id="22"/>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219.9</w:t>
      </w:r>
      <w:r>
        <w:rPr>
          <w:rFonts w:hint="eastAsia" w:ascii="仿宋" w:hAnsi="仿宋" w:eastAsia="仿宋"/>
          <w:sz w:val="32"/>
          <w:szCs w:val="32"/>
        </w:rPr>
        <w:t>万元，占本年支出合计的</w:t>
      </w:r>
      <w:r>
        <w:rPr>
          <w:rFonts w:hint="eastAsia" w:ascii="仿宋" w:hAnsi="仿宋" w:eastAsia="仿宋"/>
          <w:sz w:val="32"/>
          <w:szCs w:val="32"/>
          <w:lang w:val="en-US" w:eastAsia="zh-CN"/>
        </w:rPr>
        <w:t>99.1</w:t>
      </w:r>
      <w:r>
        <w:rPr>
          <w:rFonts w:ascii="仿宋" w:hAnsi="仿宋" w:eastAsia="仿宋"/>
          <w:sz w:val="32"/>
          <w:szCs w:val="32"/>
        </w:rPr>
        <w:t>%</w:t>
      </w:r>
      <w:r>
        <w:rPr>
          <w:rFonts w:hint="eastAsia" w:ascii="仿宋" w:hAnsi="仿宋" w:eastAsia="仿宋"/>
          <w:sz w:val="32"/>
          <w:szCs w:val="32"/>
        </w:rPr>
        <w:t>。与</w:t>
      </w:r>
      <w:r>
        <w:rPr>
          <w:rFonts w:hint="eastAsia" w:ascii="仿宋" w:hAnsi="仿宋" w:eastAsia="仿宋"/>
          <w:sz w:val="32"/>
          <w:szCs w:val="32"/>
          <w:lang w:val="en-US" w:eastAsia="zh-CN"/>
        </w:rPr>
        <w:t>2022</w:t>
      </w:r>
      <w:r>
        <w:rPr>
          <w:rFonts w:hint="eastAsia" w:ascii="仿宋" w:hAnsi="仿宋" w:eastAsia="仿宋"/>
          <w:sz w:val="32"/>
          <w:szCs w:val="32"/>
        </w:rPr>
        <w:t>年相比，一般公共预算财政拨款支出增加</w:t>
      </w:r>
      <w:r>
        <w:rPr>
          <w:rFonts w:hint="eastAsia" w:ascii="仿宋" w:hAnsi="仿宋" w:eastAsia="仿宋"/>
          <w:sz w:val="32"/>
          <w:szCs w:val="32"/>
          <w:lang w:val="en-US" w:eastAsia="zh-CN"/>
        </w:rPr>
        <w:t>29.64</w:t>
      </w:r>
      <w:r>
        <w:rPr>
          <w:rFonts w:hint="eastAsia" w:ascii="仿宋" w:hAnsi="仿宋" w:eastAsia="仿宋"/>
          <w:sz w:val="32"/>
          <w:szCs w:val="32"/>
        </w:rPr>
        <w:t>万元，增长</w:t>
      </w:r>
      <w:r>
        <w:rPr>
          <w:rFonts w:hint="eastAsia" w:ascii="仿宋" w:hAnsi="仿宋" w:eastAsia="仿宋"/>
          <w:sz w:val="32"/>
          <w:szCs w:val="32"/>
          <w:lang w:val="en-US" w:eastAsia="zh-CN"/>
        </w:rPr>
        <w:t>15.5</w:t>
      </w:r>
      <w:r>
        <w:rPr>
          <w:rFonts w:ascii="仿宋" w:hAnsi="仿宋" w:eastAsia="仿宋"/>
          <w:sz w:val="32"/>
          <w:szCs w:val="32"/>
        </w:rPr>
        <w:t>%</w:t>
      </w:r>
      <w:r>
        <w:rPr>
          <w:rFonts w:hint="eastAsia" w:ascii="仿宋" w:hAnsi="仿宋" w:eastAsia="仿宋"/>
          <w:sz w:val="32"/>
          <w:szCs w:val="32"/>
        </w:rPr>
        <w:t>。主要变动原因是</w:t>
      </w:r>
      <w:r>
        <w:rPr>
          <w:rFonts w:hint="default" w:ascii="Times New Roman" w:hAnsi="Times New Roman" w:eastAsia="方正仿宋简体" w:cs="Times New Roman"/>
          <w:sz w:val="32"/>
          <w:szCs w:val="32"/>
          <w:lang w:eastAsia="zh-CN"/>
        </w:rPr>
        <w:t>人员调整、西部计划志愿者保险和西部计划志愿者基本生活补助发放等因素</w:t>
      </w:r>
      <w:r>
        <w:rPr>
          <w:rFonts w:hint="eastAsia" w:ascii="Times New Roman" w:hAnsi="Times New Roman" w:eastAsia="方正仿宋简体" w:cs="Times New Roman"/>
          <w:sz w:val="32"/>
          <w:szCs w:val="32"/>
          <w:lang w:eastAsia="zh-CN"/>
        </w:rPr>
        <w:t>。</w:t>
      </w:r>
    </w:p>
    <w:p>
      <w:pPr>
        <w:spacing w:line="600" w:lineRule="exact"/>
        <w:ind w:firstLine="643" w:firstLineChars="200"/>
        <w:outlineLvl w:val="2"/>
        <w:rPr>
          <w:rFonts w:ascii="仿宋" w:hAnsi="仿宋" w:eastAsia="仿宋"/>
          <w:b/>
          <w:sz w:val="32"/>
          <w:szCs w:val="32"/>
        </w:rPr>
      </w:pPr>
      <w:bookmarkStart w:id="23" w:name="_Toc15377211"/>
      <w:r>
        <w:rPr>
          <w:rFonts w:hint="eastAsia" w:ascii="仿宋" w:hAnsi="仿宋" w:eastAsia="仿宋"/>
          <w:b/>
          <w:sz w:val="32"/>
          <w:szCs w:val="32"/>
        </w:rPr>
        <w:t>（二）一般公共预算财政拨款支出决算结构情况</w:t>
      </w:r>
      <w:bookmarkEnd w:id="23"/>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221.9</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206.61</w:t>
      </w:r>
      <w:r>
        <w:rPr>
          <w:rFonts w:hint="eastAsia" w:ascii="仿宋" w:hAnsi="仿宋" w:eastAsia="仿宋"/>
          <w:sz w:val="32"/>
          <w:szCs w:val="32"/>
        </w:rPr>
        <w:t>万元，占</w:t>
      </w:r>
      <w:r>
        <w:rPr>
          <w:rFonts w:hint="eastAsia" w:ascii="仿宋" w:hAnsi="仿宋" w:eastAsia="仿宋"/>
          <w:sz w:val="32"/>
          <w:szCs w:val="32"/>
          <w:lang w:val="en-US" w:eastAsia="zh-CN"/>
        </w:rPr>
        <w:t>93.96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5.92</w:t>
      </w:r>
      <w:r>
        <w:rPr>
          <w:rFonts w:hint="eastAsia" w:ascii="仿宋" w:hAnsi="仿宋" w:eastAsia="仿宋"/>
          <w:sz w:val="32"/>
          <w:szCs w:val="32"/>
        </w:rPr>
        <w:t>元，占</w:t>
      </w:r>
      <w:r>
        <w:rPr>
          <w:rFonts w:hint="eastAsia" w:ascii="仿宋" w:hAnsi="仿宋" w:eastAsia="仿宋"/>
          <w:sz w:val="32"/>
          <w:szCs w:val="32"/>
          <w:lang w:val="en-US" w:eastAsia="zh-CN"/>
        </w:rPr>
        <w:t>2.69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2.38</w:t>
      </w:r>
      <w:r>
        <w:rPr>
          <w:rFonts w:hint="eastAsia" w:ascii="仿宋" w:hAnsi="仿宋" w:eastAsia="仿宋"/>
          <w:sz w:val="32"/>
          <w:szCs w:val="32"/>
        </w:rPr>
        <w:t>万元，占</w:t>
      </w:r>
      <w:r>
        <w:rPr>
          <w:rFonts w:hint="eastAsia" w:ascii="仿宋" w:hAnsi="仿宋" w:eastAsia="仿宋"/>
          <w:sz w:val="32"/>
          <w:szCs w:val="32"/>
          <w:lang w:val="en-US" w:eastAsia="zh-CN"/>
        </w:rPr>
        <w:t>1.08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4.99</w:t>
      </w:r>
      <w:r>
        <w:rPr>
          <w:rFonts w:hint="eastAsia" w:ascii="仿宋" w:hAnsi="仿宋" w:eastAsia="仿宋"/>
          <w:sz w:val="32"/>
          <w:szCs w:val="32"/>
        </w:rPr>
        <w:t>万元，占</w:t>
      </w:r>
      <w:r>
        <w:rPr>
          <w:rFonts w:hint="eastAsia" w:ascii="仿宋" w:hAnsi="仿宋" w:eastAsia="仿宋"/>
          <w:sz w:val="32"/>
          <w:szCs w:val="32"/>
          <w:lang w:val="en-US" w:eastAsia="zh-CN"/>
        </w:rPr>
        <w:t>2.27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lang w:eastAsia="zh-CN"/>
        </w:rPr>
        <w:t>其他支出</w:t>
      </w:r>
      <w:r>
        <w:rPr>
          <w:rFonts w:hint="eastAsia" w:ascii="仿宋" w:hAnsi="仿宋" w:eastAsia="仿宋"/>
          <w:sz w:val="32"/>
          <w:szCs w:val="32"/>
          <w:lang w:val="en-US" w:eastAsia="zh-CN"/>
        </w:rPr>
        <w:t>2万元，</w:t>
      </w:r>
      <w:r>
        <w:rPr>
          <w:rFonts w:hint="eastAsia" w:ascii="仿宋" w:hAnsi="仿宋" w:eastAsia="仿宋"/>
          <w:sz w:val="32"/>
          <w:szCs w:val="32"/>
        </w:rPr>
        <w:t>占</w:t>
      </w:r>
      <w:r>
        <w:rPr>
          <w:rFonts w:hint="eastAsia" w:ascii="仿宋" w:hAnsi="仿宋" w:eastAsia="仿宋"/>
          <w:sz w:val="32"/>
          <w:szCs w:val="32"/>
          <w:lang w:val="en-US" w:eastAsia="zh-CN"/>
        </w:rPr>
        <w:t>1</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2"/>
        <w:rPr>
          <w:rFonts w:ascii="仿宋" w:hAnsi="仿宋" w:eastAsia="仿宋"/>
          <w:b/>
          <w:sz w:val="32"/>
          <w:szCs w:val="32"/>
        </w:rPr>
      </w:pPr>
      <w:bookmarkStart w:id="24" w:name="_Toc15377212"/>
      <w:r>
        <w:rPr>
          <w:rFonts w:hint="eastAsia" w:ascii="仿宋" w:hAnsi="仿宋" w:eastAsia="仿宋"/>
          <w:b/>
          <w:sz w:val="32"/>
          <w:szCs w:val="32"/>
        </w:rPr>
        <w:t>（三）一般公共预算财政拨款支出决算具体情况</w:t>
      </w:r>
      <w:bookmarkEnd w:id="24"/>
    </w:p>
    <w:p>
      <w:pPr>
        <w:spacing w:line="600" w:lineRule="exact"/>
        <w:ind w:firstLine="643" w:firstLineChars="200"/>
        <w:outlineLvl w:val="2"/>
        <w:rPr>
          <w:rFonts w:ascii="仿宋" w:hAnsi="仿宋" w:eastAsia="仿宋"/>
          <w:sz w:val="32"/>
          <w:szCs w:val="32"/>
        </w:rPr>
      </w:pPr>
      <w:bookmarkStart w:id="25" w:name="_Toc15377213"/>
      <w:bookmarkStart w:id="26" w:name="_Toc15378460"/>
      <w:bookmarkStart w:id="27" w:name="_Toc15377444"/>
      <w:r>
        <w:rPr>
          <w:rFonts w:hint="eastAsia" w:ascii="仿宋" w:hAnsi="仿宋" w:eastAsia="仿宋"/>
          <w:b/>
          <w:sz w:val="32"/>
          <w:szCs w:val="32"/>
        </w:rPr>
        <w:t>202</w:t>
      </w:r>
      <w:r>
        <w:rPr>
          <w:rFonts w:hint="eastAsia" w:ascii="仿宋" w:hAnsi="仿宋" w:eastAsia="仿宋"/>
          <w:b/>
          <w:sz w:val="32"/>
          <w:szCs w:val="32"/>
          <w:lang w:val="en-US" w:eastAsia="zh-CN"/>
        </w:rPr>
        <w:t>3</w:t>
      </w:r>
      <w:r>
        <w:rPr>
          <w:rFonts w:hint="eastAsia" w:ascii="仿宋" w:hAnsi="仿宋" w:eastAsia="仿宋"/>
          <w:b/>
          <w:sz w:val="32"/>
          <w:szCs w:val="32"/>
        </w:rPr>
        <w:t>年一般公共预算支出决算数为</w:t>
      </w:r>
      <w:r>
        <w:rPr>
          <w:rFonts w:hint="eastAsia" w:ascii="仿宋" w:hAnsi="仿宋" w:eastAsia="仿宋"/>
          <w:b/>
          <w:sz w:val="32"/>
          <w:szCs w:val="32"/>
          <w:lang w:val="en-US" w:eastAsia="zh-CN"/>
        </w:rPr>
        <w:t>221.9</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25"/>
      <w:bookmarkEnd w:id="26"/>
      <w:bookmarkEnd w:id="27"/>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1.</w:t>
      </w:r>
      <w:r>
        <w:rPr>
          <w:rStyle w:val="18"/>
          <w:rFonts w:hint="eastAsia" w:ascii="仿宋" w:hAnsi="仿宋" w:eastAsia="仿宋"/>
          <w:bCs/>
          <w:sz w:val="32"/>
          <w:szCs w:val="32"/>
        </w:rPr>
        <w:t>一般公共服务（类）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206.61</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2.</w:t>
      </w:r>
      <w:r>
        <w:rPr>
          <w:rStyle w:val="18"/>
          <w:rFonts w:hint="eastAsia" w:ascii="仿宋" w:hAnsi="仿宋" w:eastAsia="仿宋"/>
          <w:bCs/>
          <w:sz w:val="32"/>
          <w:szCs w:val="32"/>
        </w:rPr>
        <w:t>教育（类）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0</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3.</w:t>
      </w:r>
      <w:r>
        <w:rPr>
          <w:rStyle w:val="18"/>
          <w:rFonts w:hint="eastAsia" w:ascii="仿宋" w:hAnsi="仿宋" w:eastAsia="仿宋"/>
          <w:bCs/>
          <w:sz w:val="32"/>
          <w:szCs w:val="32"/>
        </w:rPr>
        <w:t>科学技术（类）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0</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4.</w:t>
      </w:r>
      <w:r>
        <w:rPr>
          <w:rStyle w:val="18"/>
          <w:rFonts w:hint="eastAsia" w:ascii="仿宋" w:hAnsi="仿宋" w:eastAsia="仿宋"/>
          <w:bCs/>
          <w:sz w:val="32"/>
          <w:szCs w:val="32"/>
        </w:rPr>
        <w:t>文化旅游体育与传媒（类）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0</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5.</w:t>
      </w:r>
      <w:r>
        <w:rPr>
          <w:rStyle w:val="18"/>
          <w:rFonts w:hint="eastAsia" w:ascii="仿宋" w:hAnsi="仿宋" w:eastAsia="仿宋"/>
          <w:bCs/>
          <w:sz w:val="32"/>
          <w:szCs w:val="32"/>
        </w:rPr>
        <w:t>社会保障和就业（类）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5.92</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Style w:val="18"/>
          <w:rFonts w:hint="eastAsia" w:ascii="仿宋" w:hAnsi="仿宋" w:eastAsia="仿宋"/>
          <w:b w:val="0"/>
          <w:bCs/>
          <w:sz w:val="32"/>
          <w:szCs w:val="32"/>
        </w:rPr>
      </w:pPr>
      <w:r>
        <w:rPr>
          <w:rStyle w:val="18"/>
          <w:rFonts w:ascii="仿宋" w:hAnsi="仿宋" w:eastAsia="仿宋"/>
          <w:bCs/>
          <w:sz w:val="32"/>
          <w:szCs w:val="32"/>
        </w:rPr>
        <w:t>6.</w:t>
      </w: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2.38</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pStyle w:val="7"/>
        <w:ind w:firstLine="643" w:firstLineChars="200"/>
        <w:rPr>
          <w:rStyle w:val="18"/>
          <w:rFonts w:hint="eastAsia" w:ascii="仿宋" w:hAnsi="仿宋" w:eastAsia="仿宋"/>
          <w:b w:val="0"/>
          <w:bCs/>
          <w:sz w:val="32"/>
          <w:szCs w:val="32"/>
        </w:rPr>
      </w:pPr>
      <w:r>
        <w:rPr>
          <w:rStyle w:val="18"/>
          <w:rFonts w:hint="eastAsia" w:ascii="仿宋" w:hAnsi="仿宋" w:eastAsia="仿宋"/>
          <w:bCs/>
          <w:sz w:val="32"/>
          <w:szCs w:val="32"/>
          <w:lang w:val="en-US" w:eastAsia="zh-CN"/>
        </w:rPr>
        <w:t>7</w:t>
      </w:r>
      <w:r>
        <w:rPr>
          <w:rStyle w:val="18"/>
          <w:rFonts w:ascii="仿宋" w:hAnsi="仿宋" w:eastAsia="仿宋"/>
          <w:bCs/>
          <w:sz w:val="32"/>
          <w:szCs w:val="32"/>
        </w:rPr>
        <w:t>.</w:t>
      </w:r>
      <w:r>
        <w:rPr>
          <w:rFonts w:hint="eastAsia" w:ascii="仿宋" w:hAnsi="仿宋" w:eastAsia="仿宋"/>
          <w:b/>
          <w:bCs/>
          <w:sz w:val="32"/>
          <w:szCs w:val="32"/>
        </w:rPr>
        <w:t>住房保障</w:t>
      </w:r>
      <w:r>
        <w:rPr>
          <w:rFonts w:hint="eastAsia" w:ascii="仿宋" w:hAnsi="仿宋" w:eastAsia="仿宋"/>
          <w:b/>
          <w:bCs/>
          <w:sz w:val="32"/>
          <w:szCs w:val="32"/>
          <w:lang w:eastAsia="zh-CN"/>
        </w:rPr>
        <w:t>（类）</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4.99</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pStyle w:val="7"/>
        <w:ind w:firstLine="643" w:firstLineChars="200"/>
        <w:rPr>
          <w:rFonts w:hint="default" w:eastAsia="仿宋"/>
          <w:lang w:val="en-US" w:eastAsia="zh-CN"/>
        </w:rPr>
      </w:pPr>
      <w:r>
        <w:rPr>
          <w:rFonts w:hint="eastAsia" w:ascii="仿宋" w:hAnsi="仿宋" w:eastAsia="仿宋"/>
          <w:b/>
          <w:bCs/>
          <w:sz w:val="32"/>
          <w:szCs w:val="32"/>
          <w:lang w:val="en-US" w:eastAsia="zh-CN"/>
        </w:rPr>
        <w:t>8.其他</w:t>
      </w:r>
      <w:r>
        <w:rPr>
          <w:rFonts w:hint="eastAsia" w:ascii="仿宋" w:hAnsi="仿宋" w:eastAsia="仿宋"/>
          <w:b/>
          <w:bCs/>
          <w:sz w:val="32"/>
          <w:szCs w:val="32"/>
          <w:lang w:val="en-US" w:eastAsia="zh-CN"/>
        </w:rPr>
        <w:t>支出（类）：</w:t>
      </w:r>
      <w:r>
        <w:rPr>
          <w:rStyle w:val="18"/>
          <w:rFonts w:hint="eastAsia" w:ascii="仿宋" w:hAnsi="仿宋" w:eastAsia="仿宋"/>
          <w:b w:val="0"/>
          <w:bCs/>
          <w:sz w:val="32"/>
          <w:szCs w:val="32"/>
          <w:lang w:val="en-US" w:eastAsia="zh-CN"/>
        </w:rPr>
        <w:t>支出决算为2万元，完成预算100%</w:t>
      </w:r>
    </w:p>
    <w:p>
      <w:pPr>
        <w:tabs>
          <w:tab w:val="right" w:pos="8306"/>
        </w:tabs>
        <w:spacing w:line="600" w:lineRule="exact"/>
        <w:ind w:firstLine="640"/>
        <w:outlineLvl w:val="1"/>
        <w:rPr>
          <w:rStyle w:val="30"/>
        </w:rPr>
      </w:pPr>
      <w:bookmarkStart w:id="28" w:name="_Toc15396608"/>
      <w:bookmarkStart w:id="29"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28"/>
      <w:bookmarkEnd w:id="29"/>
      <w:r>
        <w:rPr>
          <w:rStyle w:val="30"/>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年一般公共预算财政拨款基本支出</w:t>
      </w:r>
      <w:r>
        <w:rPr>
          <w:rFonts w:hint="eastAsia" w:ascii="仿宋" w:hAnsi="仿宋" w:eastAsia="仿宋"/>
          <w:sz w:val="32"/>
          <w:szCs w:val="32"/>
          <w:lang w:val="en-US" w:eastAsia="zh-CN"/>
        </w:rPr>
        <w:t>72.18</w:t>
      </w:r>
      <w:r>
        <w:rPr>
          <w:rFonts w:hint="eastAsia" w:ascii="仿宋" w:hAnsi="仿宋" w:eastAsia="仿宋"/>
          <w:sz w:val="32"/>
          <w:szCs w:val="32"/>
        </w:rPr>
        <w:t>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65.52</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6.66</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30"/>
          <w:rFonts w:ascii="黑体" w:hAnsi="黑体" w:eastAsia="黑体"/>
          <w:b w:val="0"/>
        </w:rPr>
      </w:pPr>
      <w:bookmarkStart w:id="30" w:name="_Toc15377215"/>
      <w:bookmarkStart w:id="31" w:name="_Toc15396609"/>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30"/>
      <w:bookmarkEnd w:id="31"/>
    </w:p>
    <w:p>
      <w:pPr>
        <w:spacing w:line="600" w:lineRule="exact"/>
        <w:ind w:firstLine="640"/>
        <w:outlineLvl w:val="2"/>
        <w:rPr>
          <w:rFonts w:ascii="仿宋" w:hAnsi="仿宋" w:eastAsia="仿宋"/>
          <w:b/>
          <w:sz w:val="32"/>
          <w:szCs w:val="32"/>
        </w:rPr>
      </w:pPr>
      <w:bookmarkStart w:id="32" w:name="_Toc15377216"/>
      <w:r>
        <w:rPr>
          <w:rFonts w:hint="eastAsia" w:ascii="仿宋" w:hAnsi="仿宋" w:eastAsia="仿宋"/>
          <w:b/>
          <w:sz w:val="32"/>
          <w:szCs w:val="32"/>
        </w:rPr>
        <w:t>（一）“三公”经费财政拨款支出决算总体情况说明</w:t>
      </w:r>
      <w:bookmarkEnd w:id="32"/>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lang w:val="en-US" w:eastAsia="zh-CN"/>
        </w:rPr>
        <w:t>23</w:t>
      </w:r>
      <w:r>
        <w:rPr>
          <w:rFonts w:hint="eastAsia" w:ascii="仿宋" w:hAnsi="仿宋" w:eastAsia="仿宋"/>
          <w:sz w:val="32"/>
          <w:szCs w:val="32"/>
        </w:rPr>
        <w:t>年“三公”经费财政拨款支出决算为</w:t>
      </w:r>
      <w:r>
        <w:rPr>
          <w:rFonts w:hint="eastAsia" w:ascii="仿宋" w:hAnsi="仿宋" w:eastAsia="仿宋"/>
          <w:sz w:val="32"/>
          <w:szCs w:val="32"/>
          <w:lang w:val="en-US" w:eastAsia="zh-CN"/>
        </w:rPr>
        <w:t>0.77</w:t>
      </w:r>
      <w:r>
        <w:rPr>
          <w:rFonts w:hint="eastAsia" w:ascii="仿宋" w:hAnsi="仿宋" w:eastAsia="仿宋"/>
          <w:sz w:val="32"/>
          <w:szCs w:val="32"/>
        </w:rPr>
        <w:t>万元，完成预算</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，较上年增加</w:t>
      </w:r>
      <w:r>
        <w:rPr>
          <w:rFonts w:hint="eastAsia" w:ascii="仿宋" w:hAnsi="仿宋" w:eastAsia="仿宋"/>
          <w:sz w:val="32"/>
          <w:szCs w:val="32"/>
          <w:lang w:val="en-US" w:eastAsia="zh-CN"/>
        </w:rPr>
        <w:t>0</w:t>
      </w:r>
      <w:r>
        <w:rPr>
          <w:rFonts w:hint="eastAsia" w:ascii="仿宋" w:hAnsi="仿宋" w:eastAsia="仿宋"/>
          <w:sz w:val="32"/>
          <w:szCs w:val="32"/>
        </w:rPr>
        <w:t>万元，增长</w:t>
      </w:r>
      <w:r>
        <w:rPr>
          <w:rFonts w:hint="eastAsia" w:ascii="仿宋" w:hAnsi="仿宋" w:eastAsia="仿宋"/>
          <w:sz w:val="32"/>
          <w:szCs w:val="32"/>
          <w:lang w:val="en-US" w:eastAsia="zh-CN"/>
        </w:rPr>
        <w:t>0</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33" w:name="_Toc15377217"/>
      <w:r>
        <w:rPr>
          <w:rFonts w:hint="eastAsia" w:ascii="仿宋" w:hAnsi="仿宋" w:eastAsia="仿宋"/>
          <w:b/>
          <w:sz w:val="32"/>
          <w:szCs w:val="32"/>
        </w:rPr>
        <w:t>（二）“三公”经费财政拨款支出决算具体情况说明</w:t>
      </w:r>
      <w:bookmarkEnd w:id="33"/>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0.77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w:t>
      </w:r>
    </w:p>
    <w:p>
      <w:pPr>
        <w:spacing w:line="600" w:lineRule="exact"/>
        <w:ind w:firstLine="643" w:firstLineChars="20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0.77</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0.77</w:t>
      </w:r>
      <w:r>
        <w:rPr>
          <w:rFonts w:hint="eastAsia" w:ascii="仿宋_GB2312" w:eastAsia="仿宋_GB2312"/>
          <w:sz w:val="32"/>
          <w:szCs w:val="32"/>
        </w:rPr>
        <w:t>万元，主要用</w:t>
      </w:r>
      <w:r>
        <w:rPr>
          <w:rFonts w:hint="eastAsia" w:ascii="仿宋_GB2312" w:hAnsi="Times New Roman" w:eastAsia="仿宋_GB2312" w:cs="Times New Roman"/>
          <w:sz w:val="32"/>
          <w:szCs w:val="32"/>
        </w:rPr>
        <w:t>于用餐费等。</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w:t>
      </w:r>
    </w:p>
    <w:p>
      <w:pPr>
        <w:spacing w:line="600" w:lineRule="exact"/>
        <w:ind w:firstLine="640"/>
        <w:outlineLvl w:val="1"/>
        <w:rPr>
          <w:rFonts w:ascii="黑体" w:eastAsia="黑体"/>
          <w:sz w:val="32"/>
          <w:szCs w:val="32"/>
        </w:rPr>
      </w:pPr>
      <w:bookmarkStart w:id="34" w:name="_Toc15377218"/>
      <w:bookmarkStart w:id="35" w:name="_Toc15396610"/>
    </w:p>
    <w:p>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34"/>
      <w:bookmarkEnd w:id="35"/>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年政府性基金预算财政拨款支出</w:t>
      </w:r>
      <w:r>
        <w:rPr>
          <w:rFonts w:hint="eastAsia" w:ascii="仿宋_GB2312" w:eastAsia="仿宋_GB2312"/>
          <w:sz w:val="32"/>
          <w:szCs w:val="32"/>
          <w:lang w:val="en-US" w:eastAsia="zh-CN"/>
        </w:rPr>
        <w:t>2</w:t>
      </w:r>
      <w:r>
        <w:rPr>
          <w:rFonts w:hint="eastAsia" w:ascii="仿宋_GB2312" w:eastAsia="仿宋_GB2312"/>
          <w:sz w:val="32"/>
          <w:szCs w:val="32"/>
        </w:rPr>
        <w:t>万元。</w:t>
      </w:r>
    </w:p>
    <w:p>
      <w:pPr>
        <w:numPr>
          <w:ilvl w:val="0"/>
          <w:numId w:val="2"/>
        </w:numPr>
        <w:spacing w:line="600" w:lineRule="exact"/>
        <w:ind w:firstLine="640"/>
        <w:outlineLvl w:val="1"/>
        <w:rPr>
          <w:rStyle w:val="30"/>
          <w:rFonts w:ascii="黑体" w:hAnsi="黑体" w:eastAsia="黑体"/>
          <w:b w:val="0"/>
        </w:rPr>
      </w:pPr>
      <w:bookmarkStart w:id="36" w:name="_Toc15396611"/>
      <w:bookmarkStart w:id="37" w:name="_Toc15377219"/>
      <w:r>
        <w:rPr>
          <w:rStyle w:val="30"/>
          <w:rFonts w:hint="eastAsia" w:ascii="黑体" w:hAnsi="黑体" w:eastAsia="黑体"/>
          <w:b w:val="0"/>
        </w:rPr>
        <w:t>国有资本经营预算支出决算情况说明</w:t>
      </w:r>
      <w:bookmarkEnd w:id="36"/>
      <w:bookmarkEnd w:id="37"/>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lang w:val="en-US" w:eastAsia="zh-CN"/>
        </w:rPr>
        <w:t>2023</w:t>
      </w:r>
      <w:r>
        <w:rPr>
          <w:rFonts w:hint="eastAsia" w:ascii="仿宋_GB2312" w:eastAsia="仿宋_GB2312"/>
          <w:sz w:val="32"/>
          <w:szCs w:val="32"/>
        </w:rPr>
        <w:t>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30"/>
          <w:rFonts w:ascii="黑体" w:hAnsi="黑体" w:eastAsia="黑体"/>
          <w:b w:val="0"/>
        </w:rPr>
      </w:pPr>
      <w:bookmarkStart w:id="38" w:name="_Toc15396612"/>
      <w:bookmarkStart w:id="39" w:name="_Toc15377221"/>
      <w:r>
        <w:rPr>
          <w:rStyle w:val="30"/>
          <w:rFonts w:hint="eastAsia" w:ascii="黑体" w:hAnsi="黑体" w:eastAsia="黑体"/>
          <w:b w:val="0"/>
        </w:rPr>
        <w:t>其他重要事项的情况说明</w:t>
      </w:r>
      <w:bookmarkEnd w:id="38"/>
      <w:bookmarkEnd w:id="39"/>
    </w:p>
    <w:p>
      <w:pPr>
        <w:spacing w:line="600" w:lineRule="exact"/>
        <w:ind w:firstLine="643" w:firstLineChars="200"/>
        <w:outlineLvl w:val="2"/>
        <w:rPr>
          <w:rFonts w:ascii="仿宋" w:hAnsi="仿宋" w:eastAsia="仿宋"/>
          <w:sz w:val="32"/>
          <w:szCs w:val="32"/>
        </w:rPr>
      </w:pPr>
      <w:bookmarkStart w:id="40" w:name="_Toc15377222"/>
      <w:r>
        <w:rPr>
          <w:rFonts w:hint="eastAsia" w:ascii="仿宋" w:hAnsi="仿宋" w:eastAsia="仿宋"/>
          <w:b/>
          <w:sz w:val="32"/>
          <w:szCs w:val="32"/>
        </w:rPr>
        <w:t>（一）机关运行经费支出情况</w:t>
      </w:r>
      <w:bookmarkEnd w:id="40"/>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eastAsia="zh-CN"/>
        </w:rPr>
        <w:t>共青团乐至县委</w:t>
      </w:r>
      <w:r>
        <w:rPr>
          <w:rFonts w:hint="eastAsia" w:ascii="仿宋_GB2312" w:eastAsia="仿宋_GB2312"/>
          <w:sz w:val="32"/>
          <w:szCs w:val="32"/>
        </w:rPr>
        <w:t>机关运行经费支出</w:t>
      </w:r>
      <w:r>
        <w:rPr>
          <w:rFonts w:hint="eastAsia" w:ascii="仿宋_GB2312" w:eastAsia="仿宋_GB2312"/>
          <w:sz w:val="32"/>
          <w:szCs w:val="32"/>
          <w:lang w:val="en-US" w:eastAsia="zh-CN"/>
        </w:rPr>
        <w:t>6.66</w:t>
      </w:r>
      <w:r>
        <w:rPr>
          <w:rFonts w:hint="eastAsia" w:ascii="仿宋_GB2312" w:eastAsia="仿宋_GB2312"/>
          <w:sz w:val="32"/>
          <w:szCs w:val="32"/>
        </w:rPr>
        <w:t>万元。</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1" w:name="_Toc15377223"/>
      <w:r>
        <w:rPr>
          <w:rFonts w:hint="eastAsia" w:ascii="仿宋" w:hAnsi="仿宋" w:eastAsia="仿宋"/>
          <w:b/>
          <w:sz w:val="32"/>
          <w:szCs w:val="32"/>
        </w:rPr>
        <w:t>（二）政府采购支出情况</w:t>
      </w:r>
      <w:bookmarkEnd w:id="41"/>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eastAsia="zh-CN"/>
        </w:rPr>
        <w:t>共青团乐至县委</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2" w:name="_Toc15377224"/>
      <w:r>
        <w:rPr>
          <w:rFonts w:hint="eastAsia" w:ascii="仿宋" w:hAnsi="仿宋" w:eastAsia="仿宋"/>
          <w:b/>
          <w:sz w:val="32"/>
          <w:szCs w:val="32"/>
        </w:rPr>
        <w:t>（三）国有资产占有使用情况</w:t>
      </w:r>
      <w:bookmarkEnd w:id="42"/>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共青团乐至县委</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年度预算编制阶段，组织对</w:t>
      </w:r>
      <w:r>
        <w:rPr>
          <w:rFonts w:hint="eastAsia" w:ascii="仿宋_GB2312" w:hAnsi="仿宋_GB2312" w:eastAsia="仿宋_GB2312" w:cs="仿宋_GB2312"/>
          <w:sz w:val="32"/>
          <w:szCs w:val="32"/>
          <w:lang w:eastAsia="zh-CN"/>
        </w:rPr>
        <w:t>青少年活动</w:t>
      </w:r>
      <w:r>
        <w:rPr>
          <w:rFonts w:hint="eastAsia" w:ascii="仿宋_GB2312" w:hAnsi="仿宋_GB2312" w:eastAsia="仿宋_GB2312" w:cs="仿宋_GB2312"/>
          <w:sz w:val="32"/>
          <w:szCs w:val="32"/>
        </w:rPr>
        <w:t>项目（项目名称）等</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个项目开展绩效监控。</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组织对202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eastAsia="zh-CN"/>
        </w:rPr>
        <w:t>共青团乐至县委</w:t>
      </w:r>
      <w:r>
        <w:rPr>
          <w:rFonts w:hint="eastAsia" w:ascii="仿宋_GB2312" w:hAnsi="仿宋_GB2312" w:eastAsia="仿宋_GB2312" w:cs="仿宋_GB2312"/>
          <w:sz w:val="32"/>
          <w:szCs w:val="32"/>
        </w:rPr>
        <w:t>部门整体（含部门预算项目）绩效自评报告、</w:t>
      </w:r>
      <w:r>
        <w:rPr>
          <w:rFonts w:hint="eastAsia" w:ascii="仿宋_GB2312" w:hAnsi="仿宋_GB2312" w:eastAsia="仿宋_GB2312" w:cs="仿宋_GB2312"/>
          <w:sz w:val="32"/>
          <w:szCs w:val="32"/>
          <w:lang w:eastAsia="zh-CN"/>
        </w:rPr>
        <w:t>青少年活动</w:t>
      </w:r>
      <w:r>
        <w:rPr>
          <w:rFonts w:hint="eastAsia" w:ascii="仿宋_GB2312" w:hAnsi="仿宋_GB2312" w:eastAsia="仿宋_GB2312" w:cs="仿宋_GB2312"/>
          <w:sz w:val="32"/>
          <w:szCs w:val="32"/>
        </w:rPr>
        <w:t>等专项预算项目绩效自评报告，其中，</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部门整体（含部门预算项目）绩效自评得分为</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分，绩效自评综述：</w:t>
      </w:r>
      <w:r>
        <w:rPr>
          <w:rFonts w:hint="default" w:ascii="Times New Roman" w:hAnsi="Times New Roman" w:eastAsia="方正仿宋简体" w:cs="Times New Roman"/>
          <w:sz w:val="32"/>
          <w:szCs w:val="32"/>
          <w:lang w:val="en-US" w:eastAsia="zh-CN"/>
        </w:rPr>
        <w:t>202</w:t>
      </w:r>
      <w:r>
        <w:rPr>
          <w:rFonts w:hint="eastAsia" w:eastAsia="方正仿宋简体" w:cs="Times New Roman"/>
          <w:sz w:val="32"/>
          <w:szCs w:val="32"/>
          <w:lang w:val="en-US" w:eastAsia="zh-CN"/>
        </w:rPr>
        <w:t>3</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围绕中心、服务大局，深入基层、服务</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，较圆满地完成了本年度活动。</w:t>
      </w:r>
    </w:p>
    <w:p>
      <w:pPr>
        <w:pStyle w:val="7"/>
        <w:spacing w:before="93"/>
      </w:pPr>
    </w:p>
    <w:p>
      <w:pPr>
        <w:numPr>
          <w:ilvl w:val="0"/>
          <w:numId w:val="3"/>
        </w:numPr>
        <w:spacing w:line="600" w:lineRule="exact"/>
        <w:ind w:firstLine="660" w:firstLineChars="150"/>
        <w:jc w:val="center"/>
        <w:outlineLvl w:val="0"/>
        <w:rPr>
          <w:rStyle w:val="29"/>
          <w:rFonts w:ascii="黑体" w:hAnsi="黑体" w:eastAsia="黑体"/>
          <w:b w:val="0"/>
        </w:rPr>
      </w:pPr>
      <w:bookmarkStart w:id="43" w:name="_Toc15396613"/>
      <w:bookmarkStart w:id="44" w:name="_Toc15377225"/>
      <w:r>
        <w:rPr>
          <w:rFonts w:hint="eastAsia" w:ascii="黑体" w:hAnsi="黑体" w:eastAsia="黑体"/>
          <w:sz w:val="44"/>
          <w:szCs w:val="44"/>
        </w:rPr>
        <w:t>名</w:t>
      </w:r>
      <w:r>
        <w:rPr>
          <w:rStyle w:val="29"/>
          <w:rFonts w:hint="eastAsia" w:ascii="黑体" w:hAnsi="黑体" w:eastAsia="黑体"/>
          <w:b w:val="0"/>
        </w:rPr>
        <w:t>词解释</w:t>
      </w:r>
      <w:bookmarkEnd w:id="43"/>
      <w:bookmarkEnd w:id="44"/>
    </w:p>
    <w:p>
      <w:pPr>
        <w:spacing w:line="600" w:lineRule="exact"/>
        <w:jc w:val="left"/>
        <w:rPr>
          <w:rFonts w:ascii="宋体"/>
          <w:b/>
          <w:sz w:val="44"/>
          <w:szCs w:val="44"/>
        </w:rPr>
      </w:pP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7"/>
        <w:spacing w:line="560" w:lineRule="exact"/>
        <w:ind w:firstLine="640" w:firstLineChars="200"/>
        <w:rPr>
          <w:rFonts w:ascii="仿宋_GB2312" w:eastAsia="仿宋_GB2312" w:cs="黑体"/>
          <w:color w:val="auto"/>
          <w:sz w:val="32"/>
          <w:szCs w:val="32"/>
        </w:rPr>
      </w:pPr>
    </w:p>
    <w:p>
      <w:pPr>
        <w:spacing w:line="600" w:lineRule="exact"/>
        <w:jc w:val="center"/>
        <w:outlineLvl w:val="0"/>
        <w:rPr>
          <w:rStyle w:val="29"/>
          <w:rFonts w:ascii="黑体" w:hAnsi="黑体" w:eastAsia="黑体"/>
          <w:b w:val="0"/>
        </w:rPr>
      </w:pPr>
      <w:bookmarkStart w:id="45" w:name="_Toc15377226"/>
      <w:r>
        <w:rPr>
          <w:rFonts w:ascii="宋体"/>
          <w:b/>
          <w:sz w:val="44"/>
          <w:szCs w:val="44"/>
        </w:rPr>
        <w:br w:type="page"/>
      </w:r>
      <w:bookmarkStart w:id="46" w:name="_Toc15396614"/>
      <w:r>
        <w:rPr>
          <w:rFonts w:hint="eastAsia" w:ascii="黑体" w:hAnsi="黑体" w:eastAsia="黑体"/>
          <w:sz w:val="44"/>
          <w:szCs w:val="44"/>
        </w:rPr>
        <w:t>第</w:t>
      </w:r>
      <w:r>
        <w:rPr>
          <w:rStyle w:val="29"/>
          <w:rFonts w:hint="eastAsia" w:ascii="黑体" w:hAnsi="黑体" w:eastAsia="黑体"/>
          <w:b w:val="0"/>
        </w:rPr>
        <w:t>四部分 附件</w:t>
      </w:r>
      <w:bookmarkEnd w:id="46"/>
    </w:p>
    <w:p>
      <w:pPr>
        <w:keepNext w:val="0"/>
        <w:keepLines w:val="0"/>
        <w:pageBreakBefore w:val="0"/>
        <w:widowControl w:val="0"/>
        <w:kinsoku/>
        <w:wordWrap/>
        <w:overflowPunct/>
        <w:topLinePunct w:val="0"/>
        <w:autoSpaceDE/>
        <w:autoSpaceDN/>
        <w:bidi w:val="0"/>
        <w:adjustRightInd/>
        <w:spacing w:line="560" w:lineRule="exact"/>
        <w:ind w:right="-145" w:rightChars="-69"/>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eastAsia="zh-CN"/>
        </w:rPr>
        <w:t>附件</w:t>
      </w:r>
      <w:r>
        <w:rPr>
          <w:rFonts w:hint="default" w:ascii="Times New Roman" w:hAnsi="Times New Roman" w:eastAsia="方正黑体简体" w:cs="Times New Roman"/>
          <w:sz w:val="32"/>
          <w:szCs w:val="32"/>
          <w:lang w:val="en-US" w:eastAsia="zh-CN"/>
        </w:rPr>
        <w:t>1</w:t>
      </w:r>
    </w:p>
    <w:p>
      <w:pPr>
        <w:pStyle w:val="6"/>
        <w:keepNext w:val="0"/>
        <w:keepLines w:val="0"/>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rPr>
        <w:t>共青团乐至县委</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val="en-US" w:eastAsia="zh-CN"/>
        </w:rPr>
        <w:t>202</w:t>
      </w:r>
      <w:r>
        <w:rPr>
          <w:rFonts w:hint="eastAsia" w:ascii="Times New Roman" w:hAnsi="Times New Roman" w:eastAsia="方正小标宋简体" w:cs="Times New Roman"/>
          <w:sz w:val="44"/>
          <w:szCs w:val="44"/>
          <w:lang w:val="en-US" w:eastAsia="zh-CN"/>
        </w:rPr>
        <w:t>3</w:t>
      </w:r>
      <w:r>
        <w:rPr>
          <w:rFonts w:hint="default" w:ascii="Times New Roman" w:hAnsi="Times New Roman" w:eastAsia="方正小标宋简体" w:cs="Times New Roman"/>
          <w:sz w:val="44"/>
          <w:szCs w:val="44"/>
          <w:lang w:eastAsia="zh-CN"/>
        </w:rPr>
        <w:t>年度整体支出绩效自评报告</w:t>
      </w:r>
    </w:p>
    <w:p>
      <w:pPr>
        <w:pStyle w:val="6"/>
        <w:keepNext w:val="0"/>
        <w:keepLines w:val="0"/>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黑体简体" w:cs="Times New Roman"/>
          <w:sz w:val="32"/>
          <w:szCs w:val="32"/>
          <w:lang w:eastAsia="zh-CN"/>
        </w:rPr>
      </w:pPr>
      <w:r>
        <w:rPr>
          <w:rFonts w:hint="default" w:ascii="Times New Roman" w:hAnsi="Times New Roman" w:eastAsia="方正黑体简体" w:cs="Times New Roman"/>
          <w:sz w:val="32"/>
          <w:szCs w:val="32"/>
        </w:rPr>
        <w:t>一、</w:t>
      </w:r>
      <w:r>
        <w:rPr>
          <w:rFonts w:hint="default" w:ascii="Times New Roman" w:hAnsi="Times New Roman" w:eastAsia="方正黑体简体" w:cs="Times New Roman"/>
          <w:sz w:val="32"/>
          <w:szCs w:val="32"/>
          <w:lang w:eastAsia="zh-CN"/>
        </w:rPr>
        <w:t>单位概况</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ascii="Times New Roman" w:hAnsi="Times New Roman" w:eastAsia="方正黑体简体" w:cs="Times New Roman"/>
          <w:b w:val="0"/>
          <w:bCs/>
          <w:sz w:val="32"/>
          <w:szCs w:val="32"/>
        </w:rPr>
      </w:pPr>
      <w:r>
        <w:rPr>
          <w:rFonts w:hint="default" w:ascii="Times New Roman" w:hAnsi="Times New Roman" w:eastAsia="方正黑体简体" w:cs="Times New Roman"/>
          <w:b w:val="0"/>
          <w:bCs/>
          <w:sz w:val="32"/>
          <w:szCs w:val="32"/>
        </w:rPr>
        <w:t>（一）机构组成</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ascii="Times New Roman" w:hAnsi="Times New Roman" w:eastAsia="方正楷体简体" w:cs="Times New Roman"/>
          <w:b/>
        </w:rPr>
      </w:pPr>
      <w:r>
        <w:rPr>
          <w:rFonts w:hint="default" w:ascii="Times New Roman" w:hAnsi="Times New Roman" w:eastAsia="方正仿宋简体" w:cs="Times New Roman"/>
          <w:color w:val="000000"/>
          <w:sz w:val="32"/>
          <w:szCs w:val="32"/>
          <w:lang w:eastAsia="zh-CN"/>
        </w:rPr>
        <w:t>共青团乐至县委</w:t>
      </w:r>
      <w:r>
        <w:rPr>
          <w:rFonts w:hint="default" w:ascii="Times New Roman" w:hAnsi="Times New Roman" w:eastAsia="方正仿宋简体" w:cs="Times New Roman"/>
          <w:color w:val="000000"/>
          <w:sz w:val="32"/>
          <w:szCs w:val="32"/>
        </w:rPr>
        <w:t>下属二级单位</w:t>
      </w:r>
      <w:r>
        <w:rPr>
          <w:rFonts w:hint="default" w:ascii="Times New Roman" w:hAnsi="Times New Roman" w:eastAsia="方正仿宋简体" w:cs="Times New Roman"/>
          <w:color w:val="000000"/>
          <w:sz w:val="32"/>
          <w:szCs w:val="32"/>
          <w:lang w:val="en-US" w:eastAsia="zh-CN"/>
        </w:rPr>
        <w:t>1</w:t>
      </w:r>
      <w:r>
        <w:rPr>
          <w:rFonts w:hint="default" w:ascii="Times New Roman" w:hAnsi="Times New Roman" w:eastAsia="方正仿宋简体" w:cs="Times New Roman"/>
          <w:color w:val="000000"/>
          <w:sz w:val="32"/>
          <w:szCs w:val="32"/>
        </w:rPr>
        <w:t>个，其中其他事业单位</w:t>
      </w:r>
      <w:r>
        <w:rPr>
          <w:rFonts w:hint="default" w:ascii="Times New Roman" w:hAnsi="Times New Roman" w:eastAsia="方正仿宋简体" w:cs="Times New Roman"/>
          <w:color w:val="000000"/>
          <w:sz w:val="32"/>
          <w:szCs w:val="32"/>
          <w:lang w:val="en-US" w:eastAsia="zh-CN"/>
        </w:rPr>
        <w:t>1</w:t>
      </w:r>
      <w:r>
        <w:rPr>
          <w:rFonts w:hint="default" w:ascii="Times New Roman" w:hAnsi="Times New Roman" w:eastAsia="方正仿宋简体" w:cs="Times New Roman"/>
          <w:color w:val="000000"/>
          <w:sz w:val="32"/>
          <w:szCs w:val="32"/>
        </w:rPr>
        <w:t>个</w:t>
      </w:r>
      <w:r>
        <w:rPr>
          <w:rFonts w:hint="default" w:ascii="Times New Roman" w:hAnsi="Times New Roman" w:eastAsia="方正仿宋简体" w:cs="Times New Roman"/>
          <w:color w:val="000000"/>
          <w:sz w:val="32"/>
          <w:szCs w:val="32"/>
          <w:lang w:eastAsia="zh-CN"/>
        </w:rPr>
        <w:t>（乐至县青少年宫，其财务独立核算）</w:t>
      </w:r>
      <w:r>
        <w:rPr>
          <w:rFonts w:hint="default" w:ascii="Times New Roman" w:hAnsi="Times New Roman" w:eastAsia="方正仿宋简体" w:cs="Times New Roman"/>
          <w:color w:val="000000"/>
          <w:sz w:val="32"/>
          <w:szCs w:val="32"/>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ascii="Times New Roman" w:hAnsi="Times New Roman" w:eastAsia="方正黑体简体" w:cs="Times New Roman"/>
          <w:b w:val="0"/>
          <w:bCs/>
          <w:sz w:val="32"/>
          <w:szCs w:val="32"/>
          <w:lang w:eastAsia="zh-CN"/>
        </w:rPr>
      </w:pPr>
      <w:r>
        <w:rPr>
          <w:rFonts w:hint="default" w:ascii="Times New Roman" w:hAnsi="Times New Roman" w:eastAsia="方正黑体简体" w:cs="Times New Roman"/>
          <w:b w:val="0"/>
          <w:bCs/>
          <w:sz w:val="32"/>
          <w:szCs w:val="32"/>
          <w:lang w:eastAsia="zh-CN"/>
        </w:rPr>
        <w:t>（二）机构职能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b/>
          <w:bCs/>
          <w:sz w:val="32"/>
          <w:szCs w:val="32"/>
          <w:lang w:val="en-US" w:eastAsia="zh-CN"/>
        </w:rPr>
        <w:t>预防青少年违法犯罪工作。</w:t>
      </w:r>
      <w:r>
        <w:rPr>
          <w:rFonts w:hint="default" w:ascii="Times New Roman" w:hAnsi="Times New Roman" w:eastAsia="方正仿宋简体" w:cs="Times New Roman"/>
          <w:sz w:val="32"/>
          <w:szCs w:val="32"/>
        </w:rPr>
        <w:t>根据省、市预青专项组工作安排，重点开展预青专项工作，常规性抓好青少年维权工作。结合相关活动，在青少年中开展法律知识学习教育，提高青少年法律意识。扎实抓好预防青少年违法犯罪工作，推进“</w:t>
      </w:r>
      <w:r>
        <w:rPr>
          <w:rFonts w:hint="default" w:ascii="Times New Roman" w:hAnsi="Times New Roman" w:eastAsia="方正仿宋简体" w:cs="Times New Roman"/>
          <w:sz w:val="32"/>
          <w:szCs w:val="32"/>
          <w:lang w:eastAsia="zh-CN"/>
        </w:rPr>
        <w:t>双零社区</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eastAsia="zh-CN"/>
        </w:rPr>
        <w:t>试点</w:t>
      </w:r>
      <w:r>
        <w:rPr>
          <w:rFonts w:hint="default" w:ascii="Times New Roman" w:hAnsi="Times New Roman" w:eastAsia="方正仿宋简体" w:cs="Times New Roman"/>
          <w:sz w:val="32"/>
          <w:szCs w:val="32"/>
        </w:rPr>
        <w:t>创建工作。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b/>
          <w:bCs/>
          <w:sz w:val="32"/>
          <w:szCs w:val="32"/>
          <w:lang w:val="en-US" w:eastAsia="zh-CN"/>
        </w:rPr>
        <w:t>西部计划大学生志愿者工作。</w:t>
      </w:r>
      <w:r>
        <w:rPr>
          <w:rFonts w:hint="default" w:ascii="Times New Roman" w:hAnsi="Times New Roman" w:eastAsia="方正仿宋简体" w:cs="Times New Roman"/>
          <w:sz w:val="32"/>
          <w:szCs w:val="32"/>
        </w:rPr>
        <w:t>继续完善西部计划志愿者相关政策要求，</w:t>
      </w:r>
      <w:r>
        <w:rPr>
          <w:rFonts w:hint="default" w:ascii="Times New Roman" w:hAnsi="Times New Roman" w:eastAsia="方正仿宋简体" w:cs="Times New Roman"/>
          <w:sz w:val="32"/>
          <w:szCs w:val="32"/>
          <w:lang w:eastAsia="zh-CN"/>
        </w:rPr>
        <w:t>按期购买志愿者保险，</w:t>
      </w:r>
      <w:r>
        <w:rPr>
          <w:rFonts w:hint="default" w:ascii="Times New Roman" w:hAnsi="Times New Roman" w:eastAsia="方正仿宋简体" w:cs="Times New Roman"/>
          <w:sz w:val="32"/>
          <w:szCs w:val="32"/>
        </w:rPr>
        <w:t>关心志愿者工作、生活。</w:t>
      </w:r>
      <w:r>
        <w:rPr>
          <w:rFonts w:hint="default" w:ascii="Times New Roman" w:hAnsi="Times New Roman" w:eastAsia="方正仿宋简体"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b/>
          <w:bCs/>
          <w:sz w:val="32"/>
          <w:szCs w:val="32"/>
          <w:lang w:val="en-US" w:eastAsia="zh-CN"/>
        </w:rPr>
        <w:t>青少年活动。</w:t>
      </w:r>
      <w:r>
        <w:rPr>
          <w:rFonts w:hint="default" w:ascii="Times New Roman" w:hAnsi="Times New Roman" w:eastAsia="方正仿宋简体" w:cs="Times New Roman"/>
          <w:b/>
          <w:bCs/>
          <w:sz w:val="32"/>
          <w:szCs w:val="32"/>
          <w:lang w:val="en-US" w:eastAsia="zh-CN"/>
        </w:rPr>
        <w:t>一是加强青少年思想引领工作。</w:t>
      </w:r>
      <w:r>
        <w:rPr>
          <w:rFonts w:hint="default" w:ascii="Times New Roman" w:hAnsi="Times New Roman" w:eastAsia="方正仿宋简体" w:cs="Times New Roman"/>
          <w:sz w:val="32"/>
          <w:szCs w:val="32"/>
        </w:rPr>
        <w:t>通过组织开展专题讲座、系统培训和青年喜闻乐见的学习宣传活动，深入学习中央省市县重要精神，凝聚思想共识</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不断强化青少年思想引导。以加强微信、微博、手机报等网络平台运用为切入点，着力探索党的思想主张和组织行为在青年中的有效传播方式，丰富具有时代特征的青年思想工作路径。</w:t>
      </w:r>
      <w:r>
        <w:rPr>
          <w:rFonts w:hint="default" w:ascii="Times New Roman" w:hAnsi="Times New Roman" w:eastAsia="方正仿宋简体" w:cs="Times New Roman"/>
          <w:b/>
          <w:bCs/>
          <w:sz w:val="32"/>
          <w:szCs w:val="32"/>
          <w:lang w:val="en-US" w:eastAsia="zh-CN"/>
        </w:rPr>
        <w:t>二是持续开展青年志愿服务活动。</w:t>
      </w:r>
      <w:r>
        <w:rPr>
          <w:rFonts w:hint="default" w:ascii="Times New Roman" w:hAnsi="Times New Roman" w:eastAsia="方正仿宋简体" w:cs="Times New Roman"/>
          <w:sz w:val="32"/>
          <w:szCs w:val="32"/>
        </w:rPr>
        <w:t>加强志愿服务队伍建设，协同、培育本土青年社会组织包装一批重点志愿服务项目，带动社会青年投身公益活动；</w:t>
      </w:r>
      <w:r>
        <w:rPr>
          <w:rFonts w:hint="default" w:ascii="Times New Roman" w:hAnsi="Times New Roman" w:eastAsia="方正仿宋简体" w:cs="Times New Roman"/>
          <w:sz w:val="32"/>
          <w:szCs w:val="32"/>
          <w:lang w:eastAsia="zh-CN"/>
        </w:rPr>
        <w:t>实施“共青团伙伴计划”，联动实施一批社会公益项目，助力全国文明城市创建和国家卫生城市创建工作</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三是加强留守学生关爱行动。</w:t>
      </w:r>
      <w:r>
        <w:rPr>
          <w:rFonts w:hint="default" w:ascii="Times New Roman" w:hAnsi="Times New Roman" w:eastAsia="方正仿宋简体" w:cs="Times New Roman"/>
          <w:sz w:val="32"/>
          <w:szCs w:val="32"/>
        </w:rPr>
        <w:t>建实建强“</w:t>
      </w:r>
      <w:r>
        <w:rPr>
          <w:rFonts w:hint="default" w:ascii="Times New Roman" w:hAnsi="Times New Roman" w:eastAsia="方正仿宋简体" w:cs="Times New Roman"/>
          <w:sz w:val="32"/>
          <w:szCs w:val="32"/>
          <w:lang w:eastAsia="zh-CN"/>
        </w:rPr>
        <w:t>青年之家</w:t>
      </w:r>
      <w:r>
        <w:rPr>
          <w:rFonts w:hint="default" w:ascii="Times New Roman" w:hAnsi="Times New Roman" w:eastAsia="方正仿宋简体" w:cs="Times New Roman"/>
          <w:sz w:val="32"/>
          <w:szCs w:val="32"/>
        </w:rPr>
        <w:t>”、青少年宫、青少年综合服务平台等青少年工作阵地</w:t>
      </w:r>
      <w:r>
        <w:rPr>
          <w:rFonts w:hint="default" w:ascii="Times New Roman" w:hAnsi="Times New Roman" w:eastAsia="方正仿宋简体" w:cs="Times New Roman"/>
          <w:sz w:val="32"/>
          <w:szCs w:val="32"/>
          <w:lang w:eastAsia="zh-CN"/>
        </w:rPr>
        <w:t>，常态化开展青年之家活动，建设青年身边的共青团；联动一批青年志愿者组织，深入农村、社区、学校实施关爱留守学生夏令营、快乐周末等关爱项目</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四是开展困难青少年帮扶。</w:t>
      </w:r>
      <w:r>
        <w:rPr>
          <w:rFonts w:hint="default" w:ascii="Times New Roman" w:hAnsi="Times New Roman" w:eastAsia="方正仿宋简体" w:cs="Times New Roman"/>
          <w:sz w:val="32"/>
          <w:szCs w:val="32"/>
        </w:rPr>
        <w:t>找准扶贫攻坚载体，深化“助你上大学”等青字号助学行动，社会化筹集助学金，</w:t>
      </w:r>
      <w:r>
        <w:rPr>
          <w:rFonts w:hint="default" w:ascii="Times New Roman" w:hAnsi="Times New Roman" w:eastAsia="方正仿宋简体" w:cs="Times New Roman"/>
          <w:sz w:val="32"/>
          <w:szCs w:val="32"/>
          <w:lang w:eastAsia="zh-CN"/>
        </w:rPr>
        <w:t>持续帮助困难学生群体</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五是服务青年就业创业。</w:t>
      </w:r>
      <w:r>
        <w:rPr>
          <w:rFonts w:hint="default" w:ascii="Times New Roman" w:hAnsi="Times New Roman" w:eastAsia="方正仿宋简体" w:cs="Times New Roman"/>
          <w:sz w:val="32"/>
          <w:szCs w:val="32"/>
        </w:rPr>
        <w:t>重点抓好“发展青年创业组织、健全青年创业扶持体系、探索建立青年创业园区、选树青年创业典型”四项工作，加强共青团服务青年创业的能力，成为创业青年想得起、找得到、靠得住的力量。</w:t>
      </w:r>
      <w:r>
        <w:rPr>
          <w:rFonts w:hint="default" w:ascii="Times New Roman" w:hAnsi="Times New Roman" w:eastAsia="方正仿宋简体" w:cs="Times New Roman"/>
          <w:b/>
          <w:bCs/>
          <w:sz w:val="32"/>
          <w:szCs w:val="32"/>
          <w:lang w:val="en-US" w:eastAsia="zh-CN"/>
        </w:rPr>
        <w:t>六是加强基层团建工作。</w:t>
      </w:r>
      <w:r>
        <w:rPr>
          <w:rFonts w:hint="default" w:ascii="Times New Roman" w:hAnsi="Times New Roman" w:eastAsia="方正仿宋简体" w:cs="Times New Roman"/>
          <w:sz w:val="32"/>
          <w:szCs w:val="32"/>
        </w:rPr>
        <w:t>开展“团干部培训”，加强“团干部队伍建设”、支持团组织创新开展相关活动，努力扩大团的组织覆盖、工作覆盖、活动覆盖，建设学习型、服务型、创新型、亲和型青年组织。</w:t>
      </w:r>
      <w:r>
        <w:rPr>
          <w:rFonts w:hint="default" w:ascii="Times New Roman" w:hAnsi="Times New Roman" w:eastAsia="方正仿宋简体" w:cs="Times New Roman"/>
          <w:b/>
          <w:bCs/>
          <w:sz w:val="32"/>
          <w:szCs w:val="32"/>
          <w:lang w:val="en-US" w:eastAsia="zh-CN"/>
        </w:rPr>
        <w:t>七是加强少先队工作。</w:t>
      </w:r>
      <w:r>
        <w:rPr>
          <w:rFonts w:hint="default" w:ascii="Times New Roman" w:hAnsi="Times New Roman" w:eastAsia="方正仿宋简体" w:cs="Times New Roman"/>
          <w:sz w:val="32"/>
          <w:szCs w:val="32"/>
        </w:rPr>
        <w:t>用好用足《中共中央加强和改进党的群团工作的意见》、“政府联席群团工作会议制度”、《 关于进一步加强少年儿童和少先队工作的意见》等政策，较好地解决了共青团经费保障、团干部（少先队辅导员）队伍建设等问题。积极支持少先队多形式开展其他相关活动。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b/>
          <w:bCs/>
          <w:sz w:val="32"/>
          <w:szCs w:val="32"/>
          <w:lang w:val="en-US" w:eastAsia="zh-CN"/>
        </w:rPr>
        <w:t>青少年普法禁毒防艾工作。</w:t>
      </w:r>
      <w:r>
        <w:rPr>
          <w:rFonts w:hint="default" w:ascii="Times New Roman" w:hAnsi="Times New Roman" w:eastAsia="方正仿宋简体" w:cs="Times New Roman"/>
          <w:sz w:val="32"/>
          <w:szCs w:val="32"/>
          <w:lang w:val="en-US" w:eastAsia="zh-CN"/>
        </w:rPr>
        <w:t>充分发挥组织教育并服务于青少年职能，动员和组织我县各级团组织和广大团员青年积极关注社会问题、参与社会事业、服务青少年，全面开展以“青春护航”为主题的青少年禁毒宣传系列活动，持续开展形式丰富的普法、防艾等宣传教育活动，有效净化青少年学生成长的社会环境，保护和促进青少年健康成长。</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color w:val="000000"/>
          <w:kern w:val="0"/>
          <w:sz w:val="32"/>
          <w:szCs w:val="32"/>
          <w:lang w:eastAsia="zh-CN"/>
        </w:rPr>
      </w:pPr>
      <w:r>
        <w:rPr>
          <w:rFonts w:hint="default" w:ascii="Times New Roman" w:hAnsi="Times New Roman" w:eastAsia="方正楷体简体" w:cs="Times New Roman"/>
          <w:b/>
          <w:bCs/>
          <w:sz w:val="32"/>
          <w:szCs w:val="32"/>
          <w:lang w:val="en-US" w:eastAsia="zh-CN"/>
        </w:rPr>
        <w:t>乡村振兴工作。</w:t>
      </w:r>
      <w:r>
        <w:rPr>
          <w:rFonts w:hint="default" w:ascii="Times New Roman" w:hAnsi="Times New Roman" w:eastAsia="方正仿宋简体" w:cs="Times New Roman"/>
          <w:sz w:val="32"/>
          <w:szCs w:val="32"/>
          <w:lang w:val="en-US" w:eastAsia="zh-CN"/>
        </w:rPr>
        <w:t>按照省、市、县乡村振兴工作安排，</w:t>
      </w:r>
      <w:r>
        <w:rPr>
          <w:rFonts w:hint="default" w:ascii="Times New Roman" w:hAnsi="Times New Roman" w:eastAsia="方正仿宋简体" w:cs="Times New Roman"/>
          <w:sz w:val="32"/>
          <w:szCs w:val="32"/>
          <w:lang w:eastAsia="zh-CN"/>
        </w:rPr>
        <w:t>充分发挥共青团组织化动员与社会化动员优势，找准助力乡村任务的结合点和着力点，积极融入、主动作为，精准实施</w:t>
      </w:r>
      <w:r>
        <w:rPr>
          <w:rFonts w:hint="default" w:ascii="Times New Roman" w:hAnsi="Times New Roman" w:eastAsia="方正仿宋简体" w:cs="Times New Roman"/>
          <w:sz w:val="32"/>
          <w:szCs w:val="32"/>
          <w:lang w:val="en-US" w:eastAsia="zh-CN"/>
        </w:rPr>
        <w:t>“产业振兴”、“公益振兴”、</w:t>
      </w:r>
      <w:r>
        <w:rPr>
          <w:rFonts w:hint="default" w:ascii="Times New Roman" w:hAnsi="Times New Roman" w:eastAsia="方正仿宋简体" w:cs="Times New Roman"/>
          <w:sz w:val="32"/>
          <w:szCs w:val="32"/>
          <w:lang w:eastAsia="zh-CN"/>
        </w:rPr>
        <w:t>“思想振兴”、“</w:t>
      </w:r>
      <w:r>
        <w:rPr>
          <w:rFonts w:hint="default" w:ascii="Times New Roman" w:hAnsi="Times New Roman" w:eastAsia="方正仿宋简体" w:cs="Times New Roman"/>
          <w:sz w:val="32"/>
          <w:szCs w:val="32"/>
          <w:lang w:val="en-US" w:eastAsia="zh-CN"/>
        </w:rPr>
        <w:t>人才振兴</w:t>
      </w:r>
      <w:r>
        <w:rPr>
          <w:rFonts w:hint="default" w:ascii="Times New Roman" w:hAnsi="Times New Roman" w:eastAsia="方正仿宋简体" w:cs="Times New Roman"/>
          <w:sz w:val="32"/>
          <w:szCs w:val="32"/>
          <w:lang w:eastAsia="zh-CN"/>
        </w:rPr>
        <w:t>”四大工程，团结带领全县广大团员青年投身乡村振兴主战场。同时，</w:t>
      </w:r>
      <w:r>
        <w:rPr>
          <w:rFonts w:hint="default" w:ascii="Times New Roman" w:hAnsi="Times New Roman" w:eastAsia="方正仿宋简体" w:cs="Times New Roman"/>
          <w:color w:val="000000"/>
          <w:kern w:val="0"/>
          <w:sz w:val="32"/>
          <w:szCs w:val="32"/>
        </w:rPr>
        <w:t>深化青年志愿服务行动，发挥团干部、社工、青年志愿者的作用，</w:t>
      </w:r>
      <w:r>
        <w:rPr>
          <w:rFonts w:hint="default" w:ascii="Times New Roman" w:hAnsi="Times New Roman" w:eastAsia="方正仿宋简体" w:cs="Times New Roman"/>
          <w:color w:val="000000"/>
          <w:kern w:val="0"/>
          <w:sz w:val="32"/>
          <w:szCs w:val="32"/>
          <w:lang w:eastAsia="zh-CN"/>
        </w:rPr>
        <w:t>重点</w:t>
      </w:r>
      <w:r>
        <w:rPr>
          <w:rFonts w:hint="default" w:ascii="Times New Roman" w:hAnsi="Times New Roman" w:eastAsia="方正仿宋简体" w:cs="Times New Roman"/>
          <w:color w:val="000000"/>
          <w:kern w:val="0"/>
          <w:sz w:val="32"/>
          <w:szCs w:val="32"/>
        </w:rPr>
        <w:t>围绕农村留守学生等重点群体，</w:t>
      </w:r>
      <w:r>
        <w:rPr>
          <w:rFonts w:hint="default" w:ascii="Times New Roman" w:hAnsi="Times New Roman" w:eastAsia="方正仿宋简体" w:cs="Times New Roman"/>
          <w:color w:val="000000"/>
          <w:kern w:val="0"/>
          <w:sz w:val="32"/>
          <w:szCs w:val="32"/>
          <w:lang w:eastAsia="zh-CN"/>
        </w:rPr>
        <w:t>计划开展农村青少年素质提升计划、关爱留守学生夏令营、童伴计划等活动。</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ascii="Times New Roman" w:hAnsi="Times New Roman" w:eastAsia="方正黑体简体" w:cs="Times New Roman"/>
          <w:b w:val="0"/>
          <w:bCs/>
          <w:sz w:val="32"/>
          <w:szCs w:val="32"/>
        </w:rPr>
      </w:pPr>
      <w:r>
        <w:rPr>
          <w:rFonts w:hint="default" w:ascii="Times New Roman" w:hAnsi="Times New Roman" w:eastAsia="方正黑体简体" w:cs="Times New Roman"/>
          <w:b w:val="0"/>
          <w:bCs/>
          <w:sz w:val="32"/>
          <w:szCs w:val="32"/>
        </w:rPr>
        <w:t>（</w:t>
      </w:r>
      <w:r>
        <w:rPr>
          <w:rFonts w:hint="default" w:ascii="Times New Roman" w:hAnsi="Times New Roman" w:eastAsia="方正黑体简体" w:cs="Times New Roman"/>
          <w:b w:val="0"/>
          <w:bCs/>
          <w:sz w:val="32"/>
          <w:szCs w:val="32"/>
          <w:lang w:eastAsia="zh-CN"/>
        </w:rPr>
        <w:t>三</w:t>
      </w:r>
      <w:r>
        <w:rPr>
          <w:rFonts w:hint="default" w:ascii="Times New Roman" w:hAnsi="Times New Roman" w:eastAsia="方正黑体简体" w:cs="Times New Roman"/>
          <w:b w:val="0"/>
          <w:bCs/>
          <w:sz w:val="32"/>
          <w:szCs w:val="32"/>
        </w:rPr>
        <w:t>）人员概况</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ascii="Times New Roman" w:hAnsi="Times New Roman" w:cs="Times New Roman"/>
        </w:rPr>
      </w:pPr>
      <w:r>
        <w:rPr>
          <w:rFonts w:hint="default" w:ascii="Times New Roman" w:hAnsi="Times New Roman" w:eastAsia="方正仿宋简体" w:cs="Times New Roman"/>
          <w:color w:val="000000"/>
          <w:kern w:val="0"/>
          <w:sz w:val="32"/>
          <w:szCs w:val="32"/>
          <w:lang w:val="en-US" w:eastAsia="zh-CN" w:bidi="ar-SA"/>
        </w:rPr>
        <w:t>共青团乐至县委编制数4人。在岗情况，行政编在岗人数2人，参照公务员管理人数2人，劳务派遣人员2人。乐至县青少年宫编制数三人，在岗情况，事业编制在岗人数3人。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黑体简体" w:cs="Times New Roman"/>
          <w:sz w:val="32"/>
          <w:szCs w:val="32"/>
        </w:rPr>
      </w:pPr>
      <w:bookmarkStart w:id="47" w:name="YS060102"/>
      <w:r>
        <w:rPr>
          <w:rFonts w:hint="default" w:ascii="Times New Roman" w:hAnsi="Times New Roman" w:eastAsia="方正黑体简体" w:cs="Times New Roman"/>
          <w:sz w:val="32"/>
          <w:szCs w:val="32"/>
        </w:rPr>
        <w:t>二、部门财政资金收支情况</w:t>
      </w:r>
    </w:p>
    <w:bookmarkEnd w:id="47"/>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rPr>
        <w:t>（一）</w:t>
      </w:r>
      <w:r>
        <w:rPr>
          <w:rFonts w:hint="default" w:ascii="Times New Roman" w:hAnsi="Times New Roman" w:eastAsia="方正楷体简体" w:cs="Times New Roman"/>
          <w:b/>
          <w:bCs w:val="0"/>
          <w:sz w:val="32"/>
          <w:szCs w:val="32"/>
          <w:lang w:eastAsia="zh-CN"/>
        </w:rPr>
        <w:t>部门财政资金收入情况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共青团乐至县委</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lang w:eastAsia="zh-CN"/>
        </w:rPr>
        <w:t>年部门预算收入安排总数</w:t>
      </w:r>
      <w:r>
        <w:rPr>
          <w:rFonts w:hint="eastAsia" w:ascii="Times New Roman" w:hAnsi="Times New Roman" w:eastAsia="方正仿宋简体" w:cs="Times New Roman"/>
          <w:sz w:val="32"/>
          <w:szCs w:val="32"/>
          <w:lang w:val="en-US" w:eastAsia="zh-CN"/>
        </w:rPr>
        <w:t>71.31</w:t>
      </w:r>
      <w:r>
        <w:rPr>
          <w:rFonts w:hint="default" w:ascii="Times New Roman" w:hAnsi="Times New Roman" w:eastAsia="方正仿宋简体" w:cs="Times New Roman"/>
          <w:sz w:val="32"/>
          <w:szCs w:val="32"/>
          <w:lang w:eastAsia="zh-CN"/>
        </w:rPr>
        <w:t>万元，较</w:t>
      </w:r>
      <w:bookmarkStart w:id="62" w:name="_GoBack"/>
      <w:bookmarkEnd w:id="62"/>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lang w:eastAsia="zh-CN"/>
        </w:rPr>
        <w:t>年部门预算收入总数</w:t>
      </w:r>
      <w:r>
        <w:rPr>
          <w:rFonts w:hint="default" w:ascii="Times New Roman" w:hAnsi="Times New Roman" w:eastAsia="方正仿宋简体" w:cs="Times New Roman"/>
          <w:sz w:val="32"/>
          <w:szCs w:val="32"/>
          <w:lang w:val="en-US" w:eastAsia="zh-CN"/>
        </w:rPr>
        <w:t>55.82</w:t>
      </w:r>
      <w:r>
        <w:rPr>
          <w:rFonts w:hint="default" w:ascii="Times New Roman" w:hAnsi="Times New Roman" w:eastAsia="方正仿宋简体" w:cs="Times New Roman"/>
          <w:sz w:val="32"/>
          <w:szCs w:val="32"/>
          <w:lang w:eastAsia="zh-CN"/>
        </w:rPr>
        <w:t>万元，增加</w:t>
      </w:r>
      <w:r>
        <w:rPr>
          <w:rFonts w:hint="eastAsia" w:ascii="Times New Roman" w:hAnsi="Times New Roman" w:eastAsia="方正仿宋简体" w:cs="Times New Roman"/>
          <w:sz w:val="32"/>
          <w:szCs w:val="32"/>
          <w:lang w:val="en-US" w:eastAsia="zh-CN"/>
        </w:rPr>
        <w:t>15.49</w:t>
      </w:r>
      <w:r>
        <w:rPr>
          <w:rFonts w:hint="default" w:ascii="Times New Roman" w:hAnsi="Times New Roman" w:eastAsia="方正仿宋简体" w:cs="Times New Roman"/>
          <w:sz w:val="32"/>
          <w:szCs w:val="32"/>
          <w:lang w:eastAsia="zh-CN"/>
        </w:rPr>
        <w:t>万元，增加</w:t>
      </w:r>
      <w:r>
        <w:rPr>
          <w:rFonts w:hint="eastAsia" w:ascii="Times New Roman" w:hAnsi="Times New Roman" w:eastAsia="方正仿宋简体" w:cs="Times New Roman"/>
          <w:sz w:val="32"/>
          <w:szCs w:val="32"/>
          <w:lang w:val="en-US" w:eastAsia="zh-CN"/>
        </w:rPr>
        <w:t>27.75</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lang w:eastAsia="zh-CN"/>
        </w:rPr>
        <w:t>年部门预算支出安排总数</w:t>
      </w:r>
      <w:r>
        <w:rPr>
          <w:rFonts w:hint="eastAsia" w:ascii="Times New Roman" w:hAnsi="Times New Roman" w:eastAsia="方正仿宋简体" w:cs="Times New Roman"/>
          <w:sz w:val="32"/>
          <w:szCs w:val="32"/>
          <w:lang w:val="en-US" w:eastAsia="zh-CN"/>
        </w:rPr>
        <w:t>221.9</w:t>
      </w:r>
      <w:r>
        <w:rPr>
          <w:rFonts w:hint="default" w:ascii="Times New Roman" w:hAnsi="Times New Roman" w:eastAsia="方正仿宋简体" w:cs="Times New Roman"/>
          <w:sz w:val="32"/>
          <w:szCs w:val="32"/>
          <w:lang w:eastAsia="zh-CN"/>
        </w:rPr>
        <w:t>万元，较</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lang w:eastAsia="zh-CN"/>
        </w:rPr>
        <w:t>年部门预算支出总数</w:t>
      </w:r>
      <w:r>
        <w:rPr>
          <w:rFonts w:hint="default" w:ascii="Times New Roman" w:hAnsi="Times New Roman" w:eastAsia="方正仿宋简体" w:cs="Times New Roman"/>
          <w:sz w:val="32"/>
          <w:szCs w:val="32"/>
          <w:lang w:val="en-US" w:eastAsia="zh-CN"/>
        </w:rPr>
        <w:t>191.26</w:t>
      </w:r>
      <w:r>
        <w:rPr>
          <w:rFonts w:hint="default" w:ascii="Times New Roman" w:hAnsi="Times New Roman" w:eastAsia="方正仿宋简体" w:cs="Times New Roman"/>
          <w:sz w:val="32"/>
          <w:szCs w:val="32"/>
          <w:lang w:eastAsia="zh-CN"/>
        </w:rPr>
        <w:t>万元，增加</w:t>
      </w:r>
      <w:r>
        <w:rPr>
          <w:rFonts w:hint="eastAsia" w:ascii="Times New Roman" w:hAnsi="Times New Roman" w:eastAsia="方正仿宋简体" w:cs="Times New Roman"/>
          <w:sz w:val="32"/>
          <w:szCs w:val="32"/>
          <w:lang w:val="en-US" w:eastAsia="zh-CN"/>
        </w:rPr>
        <w:t>30.64</w:t>
      </w:r>
      <w:r>
        <w:rPr>
          <w:rFonts w:hint="default" w:ascii="Times New Roman" w:hAnsi="Times New Roman" w:eastAsia="方正仿宋简体" w:cs="Times New Roman"/>
          <w:sz w:val="32"/>
          <w:szCs w:val="32"/>
          <w:lang w:val="en-US" w:eastAsia="zh-CN"/>
        </w:rPr>
        <w:t>万元，增加了</w:t>
      </w:r>
      <w:r>
        <w:rPr>
          <w:rFonts w:hint="eastAsia" w:ascii="Times New Roman" w:hAnsi="Times New Roman" w:eastAsia="方正仿宋简体" w:cs="Times New Roman"/>
          <w:sz w:val="32"/>
          <w:szCs w:val="32"/>
          <w:lang w:val="en-US" w:eastAsia="zh-CN"/>
        </w:rPr>
        <w:t>16.02</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lang w:eastAsia="zh-CN"/>
        </w:rPr>
        <w:t>年部门预算支出总数与</w:t>
      </w:r>
      <w:r>
        <w:rPr>
          <w:rFonts w:hint="eastAsia"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年同口径</w:t>
      </w:r>
      <w:r>
        <w:rPr>
          <w:rFonts w:hint="eastAsia" w:ascii="Times New Roman" w:hAnsi="Times New Roman" w:eastAsia="方正仿宋简体" w:cs="Times New Roman"/>
          <w:sz w:val="32"/>
          <w:szCs w:val="32"/>
          <w:lang w:eastAsia="zh-CN"/>
        </w:rPr>
        <w:t>一致</w:t>
      </w:r>
      <w:r>
        <w:rPr>
          <w:rFonts w:hint="default"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eastAsia="zh-CN"/>
        </w:rPr>
        <w:t>变动原因</w:t>
      </w:r>
      <w:r>
        <w:rPr>
          <w:rFonts w:hint="default" w:ascii="Times New Roman" w:hAnsi="Times New Roman" w:eastAsia="方正仿宋简体" w:cs="Times New Roman"/>
          <w:sz w:val="32"/>
          <w:szCs w:val="32"/>
          <w:lang w:eastAsia="zh-CN"/>
        </w:rPr>
        <w:t>是人员调整、西部计划志愿者保险和西部计划志愿者基本生活补助发放等因素</w:t>
      </w:r>
      <w:r>
        <w:rPr>
          <w:rFonts w:hint="default" w:ascii="Times New Roman" w:hAnsi="Times New Roman" w:eastAsia="方正仿宋简体"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方正楷体简体" w:cs="Times New Roman"/>
          <w:b/>
          <w:bCs w:val="0"/>
          <w:sz w:val="32"/>
          <w:szCs w:val="32"/>
        </w:rPr>
      </w:pPr>
      <w:r>
        <w:rPr>
          <w:rFonts w:hint="default" w:ascii="Times New Roman" w:hAnsi="Times New Roman" w:eastAsia="方正楷体简体" w:cs="Times New Roman"/>
          <w:b/>
          <w:bCs w:val="0"/>
          <w:sz w:val="32"/>
          <w:szCs w:val="32"/>
        </w:rPr>
        <w:t>（二）</w:t>
      </w:r>
      <w:r>
        <w:rPr>
          <w:rFonts w:hint="default" w:ascii="Times New Roman" w:hAnsi="Times New Roman" w:eastAsia="方正楷体简体" w:cs="Times New Roman"/>
          <w:b/>
          <w:bCs w:val="0"/>
          <w:sz w:val="32"/>
          <w:szCs w:val="32"/>
          <w:lang w:eastAsia="zh-CN"/>
        </w:rPr>
        <w:t>部门财政资金支出</w:t>
      </w:r>
      <w:r>
        <w:rPr>
          <w:rFonts w:hint="default" w:ascii="Times New Roman" w:hAnsi="Times New Roman" w:eastAsia="方正楷体简体" w:cs="Times New Roman"/>
          <w:b/>
          <w:bCs w:val="0"/>
          <w:sz w:val="32"/>
          <w:szCs w:val="32"/>
        </w:rPr>
        <w:t>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方正仿宋简体" w:cs="Times New Roman"/>
          <w:sz w:val="32"/>
          <w:szCs w:val="32"/>
          <w:lang w:eastAsia="zh-CN"/>
        </w:rPr>
        <w:t>共青团乐至县委</w:t>
      </w:r>
      <w:r>
        <w:rPr>
          <w:rFonts w:hint="eastAsia" w:ascii="Times New Roman" w:hAnsi="Times New Roman" w:eastAsia="方正仿宋简体" w:cs="Times New Roman"/>
          <w:sz w:val="32"/>
          <w:szCs w:val="32"/>
          <w:lang w:val="en-US" w:eastAsia="zh-CN"/>
        </w:rPr>
        <w:t>2023</w:t>
      </w:r>
      <w:r>
        <w:rPr>
          <w:rFonts w:hint="default" w:ascii="Times New Roman" w:hAnsi="Times New Roman" w:eastAsia="方正仿宋简体" w:cs="Times New Roman"/>
          <w:sz w:val="32"/>
          <w:szCs w:val="32"/>
          <w:lang w:eastAsia="zh-CN"/>
        </w:rPr>
        <w:t>年部门预算收入安排总数</w:t>
      </w:r>
      <w:r>
        <w:rPr>
          <w:rFonts w:hint="eastAsia" w:ascii="Times New Roman" w:hAnsi="Times New Roman" w:eastAsia="方正仿宋简体" w:cs="Times New Roman"/>
          <w:sz w:val="32"/>
          <w:szCs w:val="32"/>
          <w:lang w:val="en-US" w:eastAsia="zh-CN"/>
        </w:rPr>
        <w:t>71.31</w:t>
      </w:r>
      <w:r>
        <w:rPr>
          <w:rFonts w:hint="default" w:ascii="Times New Roman" w:hAnsi="Times New Roman" w:eastAsia="方正仿宋简体" w:cs="Times New Roman"/>
          <w:sz w:val="32"/>
          <w:szCs w:val="32"/>
          <w:lang w:eastAsia="zh-CN"/>
        </w:rPr>
        <w:t>万元，较</w:t>
      </w:r>
      <w:r>
        <w:rPr>
          <w:rFonts w:hint="eastAsia"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年部门预算收入总数</w:t>
      </w:r>
      <w:r>
        <w:rPr>
          <w:rFonts w:hint="eastAsia" w:ascii="Times New Roman" w:hAnsi="Times New Roman" w:eastAsia="方正仿宋简体" w:cs="Times New Roman"/>
          <w:sz w:val="32"/>
          <w:szCs w:val="32"/>
          <w:lang w:val="en-US" w:eastAsia="zh-CN"/>
        </w:rPr>
        <w:t>55.82</w:t>
      </w:r>
      <w:r>
        <w:rPr>
          <w:rFonts w:hint="default" w:ascii="Times New Roman" w:hAnsi="Times New Roman" w:eastAsia="方正仿宋简体" w:cs="Times New Roman"/>
          <w:sz w:val="32"/>
          <w:szCs w:val="32"/>
          <w:lang w:eastAsia="zh-CN"/>
        </w:rPr>
        <w:t>万元，增加</w:t>
      </w:r>
      <w:r>
        <w:rPr>
          <w:rFonts w:hint="eastAsia" w:ascii="Times New Roman" w:hAnsi="Times New Roman" w:eastAsia="方正仿宋简体" w:cs="Times New Roman"/>
          <w:sz w:val="32"/>
          <w:szCs w:val="32"/>
          <w:lang w:val="en-US" w:eastAsia="zh-CN"/>
        </w:rPr>
        <w:t>15.49</w:t>
      </w:r>
      <w:r>
        <w:rPr>
          <w:rFonts w:hint="default" w:ascii="Times New Roman" w:hAnsi="Times New Roman" w:eastAsia="方正仿宋简体" w:cs="Times New Roman"/>
          <w:sz w:val="32"/>
          <w:szCs w:val="32"/>
          <w:lang w:eastAsia="zh-CN"/>
        </w:rPr>
        <w:t>万元，增加</w:t>
      </w:r>
      <w:r>
        <w:rPr>
          <w:rFonts w:hint="eastAsia" w:ascii="Times New Roman" w:hAnsi="Times New Roman" w:eastAsia="方正仿宋简体" w:cs="Times New Roman"/>
          <w:sz w:val="32"/>
          <w:szCs w:val="32"/>
          <w:lang w:val="en-US" w:eastAsia="zh-CN"/>
        </w:rPr>
        <w:t>27.75</w:t>
      </w:r>
      <w:r>
        <w:rPr>
          <w:rFonts w:hint="default"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2023</w:t>
      </w:r>
      <w:r>
        <w:rPr>
          <w:rFonts w:hint="default" w:ascii="Times New Roman" w:hAnsi="Times New Roman" w:eastAsia="方正仿宋简体" w:cs="Times New Roman"/>
          <w:sz w:val="32"/>
          <w:szCs w:val="32"/>
          <w:lang w:eastAsia="zh-CN"/>
        </w:rPr>
        <w:t>年部门预算支出安排总数</w:t>
      </w:r>
      <w:r>
        <w:rPr>
          <w:rFonts w:hint="eastAsia" w:ascii="Times New Roman" w:hAnsi="Times New Roman" w:eastAsia="方正仿宋简体" w:cs="Times New Roman"/>
          <w:sz w:val="32"/>
          <w:szCs w:val="32"/>
          <w:lang w:val="en-US" w:eastAsia="zh-CN"/>
        </w:rPr>
        <w:t>221.9</w:t>
      </w:r>
      <w:r>
        <w:rPr>
          <w:rFonts w:hint="default" w:ascii="Times New Roman" w:hAnsi="Times New Roman" w:eastAsia="方正仿宋简体" w:cs="Times New Roman"/>
          <w:sz w:val="32"/>
          <w:szCs w:val="32"/>
          <w:lang w:eastAsia="zh-CN"/>
        </w:rPr>
        <w:t>万元，较</w:t>
      </w:r>
      <w:r>
        <w:rPr>
          <w:rFonts w:hint="eastAsia"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年部门预算支出总数</w:t>
      </w:r>
      <w:r>
        <w:rPr>
          <w:rFonts w:hint="eastAsia" w:ascii="Times New Roman" w:hAnsi="Times New Roman" w:eastAsia="方正仿宋简体" w:cs="Times New Roman"/>
          <w:sz w:val="32"/>
          <w:szCs w:val="32"/>
          <w:lang w:val="en-US" w:eastAsia="zh-CN"/>
        </w:rPr>
        <w:t>191.26</w:t>
      </w:r>
      <w:r>
        <w:rPr>
          <w:rFonts w:hint="default" w:ascii="Times New Roman" w:hAnsi="Times New Roman" w:eastAsia="方正仿宋简体" w:cs="Times New Roman"/>
          <w:sz w:val="32"/>
          <w:szCs w:val="32"/>
          <w:lang w:eastAsia="zh-CN"/>
        </w:rPr>
        <w:t>万元，增加</w:t>
      </w:r>
      <w:r>
        <w:rPr>
          <w:rFonts w:hint="eastAsia" w:ascii="Times New Roman" w:hAnsi="Times New Roman" w:eastAsia="方正仿宋简体" w:cs="Times New Roman"/>
          <w:sz w:val="32"/>
          <w:szCs w:val="32"/>
          <w:lang w:val="en-US" w:eastAsia="zh-CN"/>
        </w:rPr>
        <w:t>30.64</w:t>
      </w:r>
      <w:r>
        <w:rPr>
          <w:rFonts w:hint="default" w:ascii="Times New Roman" w:hAnsi="Times New Roman" w:eastAsia="方正仿宋简体" w:cs="Times New Roman"/>
          <w:sz w:val="32"/>
          <w:szCs w:val="32"/>
          <w:lang w:val="en-US" w:eastAsia="zh-CN"/>
        </w:rPr>
        <w:t>万元，增加了</w:t>
      </w:r>
      <w:r>
        <w:rPr>
          <w:rFonts w:hint="eastAsia" w:ascii="Times New Roman" w:hAnsi="Times New Roman" w:eastAsia="方正仿宋简体" w:cs="Times New Roman"/>
          <w:sz w:val="32"/>
          <w:szCs w:val="32"/>
          <w:lang w:val="en-US" w:eastAsia="zh-CN"/>
        </w:rPr>
        <w:t>16.02</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lang w:eastAsia="zh-CN"/>
        </w:rPr>
        <w:t>年部门预算支出总数与</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lang w:eastAsia="zh-CN"/>
        </w:rPr>
        <w:t>年同口径。</w:t>
      </w:r>
      <w:r>
        <w:rPr>
          <w:rFonts w:hint="eastAsia" w:ascii="Times New Roman" w:hAnsi="Times New Roman" w:eastAsia="方正仿宋简体" w:cs="Times New Roman"/>
          <w:sz w:val="32"/>
          <w:szCs w:val="32"/>
          <w:lang w:eastAsia="zh-CN"/>
        </w:rPr>
        <w:t>变动</w:t>
      </w:r>
      <w:r>
        <w:rPr>
          <w:rFonts w:hint="default" w:ascii="Times New Roman" w:hAnsi="Times New Roman" w:eastAsia="方正仿宋简体" w:cs="Times New Roman"/>
          <w:sz w:val="32"/>
          <w:szCs w:val="32"/>
          <w:lang w:eastAsia="zh-CN"/>
        </w:rPr>
        <w:t>原因是人员调整、西部计划志愿者保险和西部计划志愿者基本生活补助发放等因素</w:t>
      </w:r>
      <w:r>
        <w:rPr>
          <w:rFonts w:hint="default" w:ascii="Times New Roman" w:hAnsi="Times New Roman" w:eastAsia="方正仿宋简体"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三、评价工作开展情况</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lang w:eastAsia="zh-CN"/>
        </w:rPr>
        <w:t>（一）自评工作组织领导</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为做好绩效评价工作，规范和加强专项资金管理，切实提高专项资金的使用绩效和管理水平，</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成立了以</w:t>
      </w:r>
      <w:r>
        <w:rPr>
          <w:rFonts w:hint="default" w:ascii="Times New Roman" w:hAnsi="Times New Roman" w:eastAsia="方正仿宋简体" w:cs="Times New Roman"/>
          <w:sz w:val="32"/>
          <w:szCs w:val="32"/>
          <w:lang w:eastAsia="zh-CN"/>
        </w:rPr>
        <w:t>团县委书记明明</w:t>
      </w:r>
      <w:r>
        <w:rPr>
          <w:rFonts w:hint="default" w:ascii="Times New Roman" w:hAnsi="Times New Roman" w:eastAsia="方正仿宋简体" w:cs="Times New Roman"/>
          <w:sz w:val="32"/>
          <w:szCs w:val="32"/>
        </w:rPr>
        <w:t>为组长的项目小组，组织学习各级财政部门下发的关于财政支出绩效评价管理工作的相关文件，并结合</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实际，以及县财政局提出的绩效评价指标设计要求，研究制定了评价指标体系、绩效评价个性指标及评价标准</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lang w:eastAsia="zh-CN"/>
        </w:rPr>
        <w:t>（二）自评方式、方法、重点等</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本次绩效评价主要采用结果比较法，即数据对比，将产出值与目标值对比，采取数据收集汇总、指标分析等方法，对比分析形成评价报告，并根据设定的评价指标和计分标准结合我</w:t>
      </w:r>
      <w:r>
        <w:rPr>
          <w:rFonts w:hint="default" w:ascii="Times New Roman" w:hAnsi="Times New Roman" w:eastAsia="方正仿宋简体" w:cs="Times New Roman"/>
          <w:sz w:val="32"/>
          <w:szCs w:val="32"/>
          <w:lang w:eastAsia="zh-CN"/>
        </w:rPr>
        <w:t>委</w:t>
      </w:r>
      <w:r>
        <w:rPr>
          <w:rFonts w:hint="default" w:ascii="Times New Roman" w:hAnsi="Times New Roman" w:eastAsia="方正仿宋简体" w:cs="Times New Roman"/>
          <w:sz w:val="32"/>
          <w:szCs w:val="32"/>
        </w:rPr>
        <w:t>实际情况，采取百分制评分。同时采用了定量与定性相结合、项目承担单位自评与主管部门评价相结合的方法。</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四、评价结论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cs="Times New Roman"/>
        </w:r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围绕中心、服务大局，深入基层、服务</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，较圆满地完成了本年度活动。根据评价指标体系打分，</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整体支出绩效评价得分</w:t>
      </w:r>
      <w:r>
        <w:rPr>
          <w:rFonts w:hint="eastAsia" w:ascii="Times New Roman" w:hAnsi="Times New Roman" w:eastAsia="方正仿宋简体" w:cs="Times New Roman"/>
          <w:sz w:val="32"/>
          <w:szCs w:val="32"/>
          <w:lang w:val="en-US" w:eastAsia="zh-CN"/>
        </w:rPr>
        <w:t>99</w:t>
      </w:r>
      <w:r>
        <w:rPr>
          <w:rFonts w:hint="default" w:ascii="Times New Roman" w:hAnsi="Times New Roman" w:eastAsia="方正仿宋简体" w:cs="Times New Roman"/>
          <w:sz w:val="32"/>
          <w:szCs w:val="32"/>
        </w:rPr>
        <w:t>分，评价结果等次为“优”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五、绩效分析</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lang w:eastAsia="zh-CN"/>
        </w:rPr>
        <w:t>（一）指标分析</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投入指标20分：</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rPr>
        <w:t>年部门预算投入</w:t>
      </w:r>
      <w:r>
        <w:rPr>
          <w:rFonts w:hint="eastAsia" w:ascii="Times New Roman" w:hAnsi="Times New Roman" w:eastAsia="方正仿宋简体" w:cs="Times New Roman"/>
          <w:sz w:val="32"/>
          <w:szCs w:val="32"/>
          <w:lang w:val="en-US" w:eastAsia="zh-CN"/>
        </w:rPr>
        <w:t>221.9</w:t>
      </w:r>
      <w:r>
        <w:rPr>
          <w:rFonts w:hint="default" w:ascii="Times New Roman" w:hAnsi="Times New Roman" w:eastAsia="方正仿宋简体" w:cs="Times New Roman"/>
          <w:sz w:val="32"/>
          <w:szCs w:val="32"/>
        </w:rPr>
        <w:t>万元，实际执行</w:t>
      </w:r>
      <w:r>
        <w:rPr>
          <w:rFonts w:hint="eastAsia" w:ascii="Times New Roman" w:hAnsi="Times New Roman" w:eastAsia="方正仿宋简体" w:cs="Times New Roman"/>
          <w:sz w:val="32"/>
          <w:szCs w:val="32"/>
          <w:lang w:val="en-US" w:eastAsia="zh-CN"/>
        </w:rPr>
        <w:t>221.9</w:t>
      </w:r>
      <w:r>
        <w:rPr>
          <w:rFonts w:hint="default" w:ascii="Times New Roman" w:hAnsi="Times New Roman" w:eastAsia="方正仿宋简体" w:cs="Times New Roman"/>
          <w:sz w:val="32"/>
          <w:szCs w:val="32"/>
        </w:rPr>
        <w:t>万元，得分</w:t>
      </w:r>
      <w:r>
        <w:rPr>
          <w:rFonts w:hint="default" w:ascii="Times New Roman" w:hAnsi="Times New Roman" w:eastAsia="方正仿宋简体" w:cs="Times New Roman"/>
          <w:sz w:val="32"/>
          <w:szCs w:val="32"/>
          <w:lang w:val="en-US" w:eastAsia="zh-CN"/>
        </w:rPr>
        <w:t>20</w:t>
      </w:r>
      <w:r>
        <w:rPr>
          <w:rFonts w:hint="default" w:ascii="Times New Roman" w:hAnsi="Times New Roman" w:eastAsia="方正仿宋简体" w:cs="Times New Roman"/>
          <w:sz w:val="32"/>
          <w:szCs w:val="32"/>
        </w:rPr>
        <w:t>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过程指标30分：在项目实施过程中，一是严格按照实施方案的要求开展项目各项工作，保证项目的顺利实施；二是加强项目实施过程中的检查监督；三是对已完成的项目及时组织检查、验收，对检查发现的问题及时进行整改，因预算调整率</w:t>
      </w:r>
      <w:r>
        <w:rPr>
          <w:rFonts w:hint="default" w:ascii="Times New Roman" w:hAnsi="Times New Roman" w:eastAsia="方正仿宋简体" w:cs="Times New Roman"/>
          <w:sz w:val="32"/>
          <w:szCs w:val="32"/>
          <w:lang w:eastAsia="zh-CN"/>
        </w:rPr>
        <w:t>较高</w:t>
      </w:r>
      <w:r>
        <w:rPr>
          <w:rFonts w:hint="default" w:ascii="Times New Roman" w:hAnsi="Times New Roman" w:eastAsia="方正仿宋简体" w:cs="Times New Roman"/>
          <w:sz w:val="32"/>
          <w:szCs w:val="32"/>
        </w:rPr>
        <w:t>，扣减</w:t>
      </w:r>
      <w:r>
        <w:rPr>
          <w:rFonts w:hint="eastAsia"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rPr>
        <w:t>分。此项得</w:t>
      </w:r>
      <w:r>
        <w:rPr>
          <w:rFonts w:hint="eastAsia" w:ascii="Times New Roman" w:hAnsi="Times New Roman" w:eastAsia="方正仿宋简体" w:cs="Times New Roman"/>
          <w:sz w:val="32"/>
          <w:szCs w:val="32"/>
          <w:lang w:val="en-US" w:eastAsia="zh-CN"/>
        </w:rPr>
        <w:t>29</w:t>
      </w:r>
      <w:r>
        <w:rPr>
          <w:rFonts w:hint="default" w:ascii="Times New Roman" w:hAnsi="Times New Roman" w:eastAsia="方正仿宋简体" w:cs="Times New Roman"/>
          <w:sz w:val="32"/>
          <w:szCs w:val="32"/>
        </w:rPr>
        <w:t xml:space="preserve">分。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产出指标30分：项目的实施进一步发挥了</w:t>
      </w:r>
      <w:r>
        <w:rPr>
          <w:rFonts w:hint="default" w:ascii="Times New Roman" w:hAnsi="Times New Roman" w:eastAsia="方正仿宋简体" w:cs="Times New Roman"/>
          <w:sz w:val="32"/>
          <w:szCs w:val="32"/>
          <w:lang w:eastAsia="zh-CN"/>
        </w:rPr>
        <w:t>共青团</w:t>
      </w:r>
      <w:r>
        <w:rPr>
          <w:rFonts w:hint="default" w:ascii="Times New Roman" w:hAnsi="Times New Roman" w:eastAsia="方正仿宋简体" w:cs="Times New Roman"/>
          <w:sz w:val="32"/>
          <w:szCs w:val="32"/>
        </w:rPr>
        <w:t>组织整体优势、推进了</w:t>
      </w:r>
      <w:r>
        <w:rPr>
          <w:rFonts w:hint="default" w:ascii="Times New Roman" w:hAnsi="Times New Roman" w:eastAsia="方正仿宋简体" w:cs="Times New Roman"/>
          <w:sz w:val="32"/>
          <w:szCs w:val="32"/>
          <w:lang w:eastAsia="zh-CN"/>
        </w:rPr>
        <w:t>青年团员</w:t>
      </w:r>
      <w:r>
        <w:rPr>
          <w:rFonts w:hint="default" w:ascii="Times New Roman" w:hAnsi="Times New Roman" w:eastAsia="方正仿宋简体" w:cs="Times New Roman"/>
          <w:sz w:val="32"/>
          <w:szCs w:val="32"/>
        </w:rPr>
        <w:t>事业创新发展，项目产出质量指标基本达标，此项得分30分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效果指标20分：</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着力开展惠及</w:t>
      </w:r>
      <w:r>
        <w:rPr>
          <w:rFonts w:hint="default" w:ascii="Times New Roman" w:hAnsi="Times New Roman" w:eastAsia="方正仿宋简体" w:cs="Times New Roman"/>
          <w:sz w:val="32"/>
          <w:szCs w:val="32"/>
          <w:lang w:eastAsia="zh-CN"/>
        </w:rPr>
        <w:t>青年团员</w:t>
      </w:r>
      <w:r>
        <w:rPr>
          <w:rFonts w:hint="default" w:ascii="Times New Roman" w:hAnsi="Times New Roman" w:eastAsia="方正仿宋简体" w:cs="Times New Roman"/>
          <w:sz w:val="32"/>
          <w:szCs w:val="32"/>
        </w:rPr>
        <w:t>的实事项目，促进</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创业就业致富，保障</w:t>
      </w:r>
      <w:r>
        <w:rPr>
          <w:rFonts w:hint="default" w:ascii="Times New Roman" w:hAnsi="Times New Roman" w:eastAsia="方正仿宋简体" w:cs="Times New Roman"/>
          <w:sz w:val="32"/>
          <w:szCs w:val="32"/>
          <w:lang w:eastAsia="zh-CN"/>
        </w:rPr>
        <w:t>青年团员</w:t>
      </w:r>
      <w:r>
        <w:rPr>
          <w:rFonts w:hint="default" w:ascii="Times New Roman" w:hAnsi="Times New Roman" w:eastAsia="方正仿宋简体" w:cs="Times New Roman"/>
          <w:sz w:val="32"/>
          <w:szCs w:val="32"/>
        </w:rPr>
        <w:t>合法权益，综合社会效益较为显著；优化</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发展环境，推动</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共享经济社会发展成果，助推</w:t>
      </w:r>
      <w:r>
        <w:rPr>
          <w:rFonts w:hint="default" w:ascii="Times New Roman" w:hAnsi="Times New Roman" w:eastAsia="方正仿宋简体" w:cs="Times New Roman"/>
          <w:sz w:val="32"/>
          <w:szCs w:val="32"/>
          <w:lang w:eastAsia="zh-CN"/>
        </w:rPr>
        <w:t>县青年</w:t>
      </w:r>
      <w:r>
        <w:rPr>
          <w:rFonts w:hint="default" w:ascii="Times New Roman" w:hAnsi="Times New Roman" w:eastAsia="方正仿宋简体" w:cs="Times New Roman"/>
          <w:sz w:val="32"/>
          <w:szCs w:val="32"/>
        </w:rPr>
        <w:t>事业发展再上新台阶，具有较强的可持续效益，此项得20分。</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lang w:eastAsia="zh-CN"/>
        </w:rPr>
        <w:t>（二）综合绩效分析</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Times New Roman" w:hAnsi="Times New Roman" w:eastAsia="方正仿宋简体" w:cs="Times New Roman"/>
          <w:sz w:val="32"/>
          <w:szCs w:val="32"/>
          <w:lang w:eastAsia="zh-CN"/>
        </w:rPr>
      </w:pPr>
      <w:r>
        <w:rPr>
          <w:rFonts w:hint="default" w:ascii="Times New Roman" w:hAnsi="Times New Roman" w:eastAsia="方正仿宋简体" w:cs="Times New Roman"/>
          <w:b/>
          <w:bCs/>
          <w:sz w:val="32"/>
          <w:szCs w:val="32"/>
        </w:rPr>
        <w:t>1．部门职能履行情况。</w:t>
      </w:r>
      <w:r>
        <w:rPr>
          <w:rFonts w:hint="default" w:ascii="Times New Roman" w:hAnsi="Times New Roman" w:eastAsia="方正仿宋简体" w:cs="Times New Roman"/>
          <w:sz w:val="32"/>
          <w:szCs w:val="32"/>
        </w:rPr>
        <w:t>今年以来，</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在县委和市妇联的正确领导下，以中央、省委、市委、县委党的群团工作会议精神为指导，紧紧围绕全县工作大局，以党政工作中心为切入点，以创业、创新、创优为抓手，以建好组织、强化基层为重点，以各项主题活动为载体，扎实有效地开展了</w:t>
      </w:r>
      <w:r>
        <w:rPr>
          <w:rFonts w:hint="eastAsia" w:ascii="Times New Roman" w:hAnsi="Times New Roman" w:eastAsia="方正仿宋简体" w:cs="Times New Roman"/>
          <w:sz w:val="32"/>
          <w:szCs w:val="32"/>
          <w:lang w:eastAsia="zh-CN"/>
        </w:rPr>
        <w:t>团委</w:t>
      </w:r>
      <w:r>
        <w:rPr>
          <w:rFonts w:hint="default" w:ascii="Times New Roman" w:hAnsi="Times New Roman" w:eastAsia="方正仿宋简体" w:cs="Times New Roman"/>
          <w:sz w:val="32"/>
          <w:szCs w:val="32"/>
        </w:rPr>
        <w:t>的各项工作</w:t>
      </w:r>
      <w:r>
        <w:rPr>
          <w:rFonts w:hint="eastAsia" w:ascii="Times New Roman" w:hAnsi="Times New Roman" w:eastAsia="方正仿宋简体" w:cs="Times New Roman"/>
          <w:sz w:val="32"/>
          <w:szCs w:val="32"/>
          <w:lang w:eastAsia="zh-CN"/>
        </w:rPr>
        <w:t>。</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b/>
          <w:bCs/>
          <w:sz w:val="32"/>
          <w:szCs w:val="32"/>
        </w:rPr>
        <w:t>2．部门履职有效性。</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严格按照县财政相关的规定和单位内部控制制度，资金使用符合规定标准。县妇联领导高度重视预算公开及决算公开等工作，并积极向主管部门上报预算、决算公开数据</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b/>
          <w:bCs/>
          <w:sz w:val="32"/>
          <w:szCs w:val="32"/>
        </w:rPr>
        <w:t>3．部门职能实现程度。</w:t>
      </w: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rPr>
        <w:t>年我单位在全体干部职工的共同努力下圆满出色完成了各项工作目标和任务。</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六、问题分析</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lang w:eastAsia="zh-CN"/>
        </w:rPr>
        <w:t>一是</w:t>
      </w:r>
      <w:r>
        <w:rPr>
          <w:rFonts w:hint="default" w:ascii="Times New Roman" w:hAnsi="Times New Roman" w:eastAsia="方正仿宋简体" w:cs="Times New Roman"/>
          <w:sz w:val="32"/>
          <w:szCs w:val="32"/>
        </w:rPr>
        <w:t>把项目支出绩效简单等同于工作目标、工作考核和业务管理。二是绩效目标和指标往往根据项目实际完成情况制定，对项目执行过程有效约束不够，存在一定的偏差。</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lang w:eastAsia="zh-CN"/>
        </w:rPr>
        <w:t>七</w:t>
      </w:r>
      <w:r>
        <w:rPr>
          <w:rFonts w:hint="default" w:ascii="Times New Roman" w:hAnsi="Times New Roman" w:eastAsia="方正黑体简体" w:cs="Times New Roman"/>
          <w:sz w:val="32"/>
          <w:szCs w:val="32"/>
        </w:rPr>
        <w:t>、工作建议</w:t>
      </w:r>
    </w:p>
    <w:p>
      <w:pPr>
        <w:pStyle w:val="6"/>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一是加强绩效运行监控管理制度和流程建设，进一步深化、完善绩效管理体系，建立全过程的预算绩效管理机制，促进绩效管理工作向广度和深度延伸。二是规范绩效运行监控资料的收集整理，确保相关信息完整、可靠，客观公正地反映项目资金实际使用和产生的绩效状况，为今后该项目实施方向及管理方式的改进提供指导。</w:t>
      </w:r>
    </w:p>
    <w:p>
      <w:pPr>
        <w:rPr>
          <w:rFonts w:hAnsi="宋体" w:cs="宋体"/>
          <w:sz w:val="32"/>
          <w:szCs w:val="32"/>
          <w:shd w:val="clear" w:color="auto" w:fill="FFFFFF"/>
          <w:lang w:val="zh-CN"/>
        </w:rPr>
      </w:pPr>
    </w:p>
    <w:p>
      <w:pPr>
        <w:spacing w:line="620" w:lineRule="exact"/>
        <w:rPr>
          <w:rFonts w:hint="eastAsia" w:ascii="Times New Roman" w:hAnsi="Times New Roman" w:eastAsia="方正黑体简体" w:cs="Times New Roman"/>
          <w:sz w:val="32"/>
          <w:szCs w:val="32"/>
          <w:lang w:val="en-US" w:eastAsia="zh-CN"/>
        </w:rPr>
      </w:pPr>
      <w:r>
        <w:rPr>
          <w:rFonts w:hint="eastAsia" w:ascii="Times New Roman" w:hAnsi="Times New Roman" w:eastAsia="方正黑体简体" w:cs="Times New Roman"/>
          <w:sz w:val="32"/>
          <w:szCs w:val="32"/>
          <w:lang w:eastAsia="zh-CN"/>
        </w:rPr>
        <w:t>附件</w:t>
      </w:r>
      <w:r>
        <w:rPr>
          <w:rFonts w:hint="eastAsia" w:ascii="Times New Roman" w:hAnsi="Times New Roman" w:eastAsia="方正黑体简体" w:cs="Times New Roman"/>
          <w:sz w:val="32"/>
          <w:szCs w:val="32"/>
          <w:lang w:val="en-US" w:eastAsia="zh-CN"/>
        </w:rPr>
        <w:t>2</w:t>
      </w:r>
    </w:p>
    <w:p>
      <w:pPr>
        <w:pStyle w:val="7"/>
        <w:rPr>
          <w:rFonts w:hint="eastAsia"/>
          <w:lang w:val="en-US" w:eastAsia="zh-CN"/>
        </w:rPr>
      </w:pPr>
    </w:p>
    <w:p>
      <w:pPr>
        <w:spacing w:line="620" w:lineRule="exact"/>
        <w:jc w:val="center"/>
        <w:rPr>
          <w:rFonts w:hint="default" w:ascii="Times New Roman" w:hAnsi="Times New Roman" w:eastAsia="方正小标宋简体" w:cs="Times New Roman"/>
          <w:spacing w:val="-12"/>
          <w:w w:val="90"/>
          <w:kern w:val="0"/>
          <w:sz w:val="44"/>
          <w:szCs w:val="44"/>
        </w:rPr>
      </w:pPr>
      <w:r>
        <w:rPr>
          <w:rFonts w:hint="default" w:ascii="Times New Roman" w:hAnsi="Times New Roman" w:eastAsia="方正小标宋简体" w:cs="Times New Roman"/>
          <w:spacing w:val="-12"/>
          <w:w w:val="90"/>
          <w:kern w:val="0"/>
          <w:sz w:val="44"/>
          <w:szCs w:val="44"/>
        </w:rPr>
        <w:t>202</w:t>
      </w:r>
      <w:r>
        <w:rPr>
          <w:rFonts w:hint="eastAsia" w:ascii="Times New Roman" w:hAnsi="Times New Roman" w:eastAsia="方正小标宋简体" w:cs="Times New Roman"/>
          <w:spacing w:val="-12"/>
          <w:w w:val="90"/>
          <w:kern w:val="0"/>
          <w:sz w:val="44"/>
          <w:szCs w:val="44"/>
          <w:lang w:val="en-US" w:eastAsia="zh-CN"/>
        </w:rPr>
        <w:t>3</w:t>
      </w:r>
      <w:r>
        <w:rPr>
          <w:rFonts w:hint="default" w:ascii="Times New Roman" w:hAnsi="Times New Roman" w:eastAsia="方正小标宋简体" w:cs="Times New Roman"/>
          <w:spacing w:val="-12"/>
          <w:w w:val="90"/>
          <w:kern w:val="0"/>
          <w:sz w:val="44"/>
          <w:szCs w:val="44"/>
        </w:rPr>
        <w:t>年度共青团乐至县委项目支出绩效自评报告</w:t>
      </w:r>
    </w:p>
    <w:p>
      <w:pPr>
        <w:spacing w:line="620" w:lineRule="exact"/>
        <w:jc w:val="center"/>
        <w:rPr>
          <w:rFonts w:hint="default" w:ascii="Times New Roman" w:hAnsi="Times New Roman" w:eastAsia="方正楷体简体" w:cs="Times New Roman"/>
          <w:b/>
          <w:sz w:val="32"/>
          <w:szCs w:val="32"/>
        </w:rPr>
      </w:pPr>
      <w:r>
        <w:rPr>
          <w:rFonts w:hint="eastAsia" w:ascii="Times New Roman" w:hAnsi="Times New Roman" w:eastAsia="方正楷体简体" w:cs="Times New Roman"/>
          <w:b/>
          <w:sz w:val="32"/>
          <w:szCs w:val="32"/>
          <w:lang w:eastAsia="zh-CN"/>
        </w:rPr>
        <w:t>（</w:t>
      </w:r>
      <w:r>
        <w:rPr>
          <w:rFonts w:hint="default" w:ascii="Times New Roman" w:hAnsi="Times New Roman" w:eastAsia="方正楷体简体" w:cs="Times New Roman"/>
          <w:b/>
          <w:sz w:val="32"/>
          <w:szCs w:val="32"/>
          <w:lang w:eastAsia="zh-CN"/>
        </w:rPr>
        <w:t>青少年活动</w:t>
      </w:r>
      <w:r>
        <w:rPr>
          <w:rFonts w:hint="default" w:ascii="Times New Roman" w:hAnsi="Times New Roman" w:eastAsia="方正楷体简体" w:cs="Times New Roman"/>
          <w:b/>
          <w:sz w:val="32"/>
          <w:szCs w:val="32"/>
        </w:rPr>
        <w:t>项目</w:t>
      </w:r>
      <w:r>
        <w:rPr>
          <w:rFonts w:hint="eastAsia" w:ascii="Times New Roman" w:hAnsi="Times New Roman" w:eastAsia="方正楷体简体" w:cs="Times New Roman"/>
          <w:b/>
          <w:sz w:val="32"/>
          <w:szCs w:val="32"/>
          <w:lang w:eastAsia="zh-CN"/>
        </w:rPr>
        <w:t>）</w:t>
      </w:r>
    </w:p>
    <w:p>
      <w:pPr>
        <w:pStyle w:val="7"/>
        <w:spacing w:line="620" w:lineRule="exact"/>
        <w:rPr>
          <w:rFonts w:hint="default" w:ascii="Times New Roman" w:hAnsi="Times New Roman" w:eastAsia="方正仿宋简体" w:cs="Times New Roman"/>
          <w:sz w:val="32"/>
          <w:szCs w:val="32"/>
        </w:rPr>
      </w:pPr>
    </w:p>
    <w:p>
      <w:pPr>
        <w:spacing w:line="62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一、项目基本情况</w:t>
      </w:r>
    </w:p>
    <w:p>
      <w:pPr>
        <w:pStyle w:val="7"/>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（一）概况</w:t>
      </w:r>
    </w:p>
    <w:p>
      <w:pPr>
        <w:pStyle w:val="7"/>
        <w:spacing w:line="620" w:lineRule="exact"/>
        <w:ind w:firstLine="630" w:firstLineChars="196"/>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1．立项背景及目的</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我</w:t>
      </w:r>
      <w:r>
        <w:rPr>
          <w:rFonts w:hint="default" w:ascii="Times New Roman" w:hAnsi="Times New Roman" w:eastAsia="方正仿宋简体" w:cs="Times New Roman"/>
          <w:sz w:val="32"/>
          <w:szCs w:val="32"/>
          <w:lang w:eastAsia="zh-CN"/>
        </w:rPr>
        <w:t>委</w:t>
      </w:r>
      <w:r>
        <w:rPr>
          <w:rFonts w:hint="default" w:ascii="Times New Roman" w:hAnsi="Times New Roman" w:eastAsia="方正仿宋简体" w:cs="Times New Roman"/>
          <w:sz w:val="32"/>
          <w:szCs w:val="32"/>
        </w:rPr>
        <w:t>工作</w:t>
      </w:r>
      <w:r>
        <w:rPr>
          <w:rFonts w:hint="default" w:ascii="Times New Roman" w:hAnsi="Times New Roman" w:eastAsia="方正仿宋简体" w:cs="Times New Roman"/>
          <w:sz w:val="32"/>
          <w:szCs w:val="32"/>
          <w:lang w:eastAsia="zh-CN"/>
        </w:rPr>
        <w:t>职能青少年方面</w:t>
      </w:r>
      <w:r>
        <w:rPr>
          <w:rFonts w:hint="default" w:ascii="Times New Roman" w:hAnsi="Times New Roman" w:eastAsia="方正仿宋简体" w:cs="Times New Roman"/>
          <w:sz w:val="32"/>
          <w:szCs w:val="32"/>
          <w:lang w:val="en-US" w:eastAsia="zh-CN"/>
        </w:rPr>
        <w:t>一是加强青少年思想引领工作，二是持续开展青年志愿服务活动，三是加强留守学生关爱行动，四是开展困难青少年帮扶，五是服务青年就业创业。六是加强基层团建工作，七是加强少先队工作。故立项青少年活动专项。</w:t>
      </w:r>
    </w:p>
    <w:p>
      <w:pPr>
        <w:pStyle w:val="7"/>
        <w:numPr>
          <w:ilvl w:val="0"/>
          <w:numId w:val="4"/>
        </w:numPr>
        <w:spacing w:line="620" w:lineRule="exact"/>
        <w:ind w:left="10" w:leftChars="0" w:firstLine="630" w:firstLineChars="0"/>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预算资金来源及使用情况</w:t>
      </w:r>
    </w:p>
    <w:p>
      <w:pPr>
        <w:spacing w:line="540" w:lineRule="exact"/>
        <w:ind w:firstLine="640" w:firstLineChars="200"/>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rPr>
        <w:t>该项目资金来源为县级财政资金，</w:t>
      </w:r>
      <w:r>
        <w:rPr>
          <w:rFonts w:hint="eastAsia" w:ascii="Times New Roman" w:hAnsi="Times New Roman" w:eastAsia="方正仿宋简体" w:cs="Times New Roman"/>
          <w:sz w:val="32"/>
          <w:szCs w:val="32"/>
          <w:lang w:val="en-US" w:eastAsia="zh-CN"/>
        </w:rPr>
        <w:t>2023</w:t>
      </w:r>
      <w:r>
        <w:rPr>
          <w:rFonts w:hint="default" w:ascii="Times New Roman" w:hAnsi="Times New Roman" w:eastAsia="方正仿宋简体" w:cs="Times New Roman"/>
          <w:sz w:val="32"/>
          <w:szCs w:val="32"/>
        </w:rPr>
        <w:t>年度预算资金为</w:t>
      </w:r>
      <w:r>
        <w:rPr>
          <w:rFonts w:hint="default" w:ascii="Times New Roman" w:hAnsi="Times New Roman" w:eastAsia="方正仿宋简体" w:cs="Times New Roman"/>
          <w:sz w:val="32"/>
          <w:szCs w:val="32"/>
          <w:lang w:val="en-US" w:eastAsia="zh-CN"/>
        </w:rPr>
        <w:t>11.44</w:t>
      </w:r>
      <w:r>
        <w:rPr>
          <w:rFonts w:hint="default" w:ascii="Times New Roman" w:hAnsi="Times New Roman" w:eastAsia="方正仿宋简体" w:cs="Times New Roman"/>
          <w:sz w:val="32"/>
          <w:szCs w:val="32"/>
        </w:rPr>
        <w:t>万元</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rPr>
        <w:t>使用</w:t>
      </w:r>
      <w:r>
        <w:rPr>
          <w:rFonts w:hint="eastAsia" w:ascii="Times New Roman" w:hAnsi="Times New Roman" w:eastAsia="方正仿宋简体" w:cs="Times New Roman"/>
          <w:sz w:val="32"/>
          <w:szCs w:val="32"/>
          <w:lang w:val="en-US" w:eastAsia="zh-CN"/>
        </w:rPr>
        <w:t>7.54</w:t>
      </w:r>
      <w:r>
        <w:rPr>
          <w:rFonts w:hint="default" w:ascii="Times New Roman" w:hAnsi="Times New Roman" w:eastAsia="方正仿宋简体" w:cs="Times New Roman"/>
          <w:sz w:val="32"/>
          <w:szCs w:val="32"/>
        </w:rPr>
        <w:t>万元。</w:t>
      </w:r>
    </w:p>
    <w:p>
      <w:pPr>
        <w:pStyle w:val="7"/>
        <w:numPr>
          <w:ilvl w:val="0"/>
          <w:numId w:val="4"/>
        </w:numPr>
        <w:spacing w:line="620" w:lineRule="exact"/>
        <w:ind w:left="10" w:leftChars="0" w:firstLine="630" w:firstLineChars="0"/>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实施情况</w:t>
      </w:r>
    </w:p>
    <w:p>
      <w:pPr>
        <w:spacing w:line="540" w:lineRule="exact"/>
        <w:ind w:firstLine="643" w:firstLineChars="200"/>
        <w:rPr>
          <w:rFonts w:hint="default" w:ascii="Times New Roman" w:hAnsi="Times New Roman" w:eastAsia="方正仿宋简体" w:cs="Times New Roman"/>
        </w:rPr>
      </w:pPr>
      <w:r>
        <w:rPr>
          <w:rFonts w:hint="default" w:ascii="Times New Roman" w:hAnsi="Times New Roman" w:eastAsia="方正仿宋简体" w:cs="Times New Roman"/>
          <w:b/>
          <w:bCs/>
          <w:sz w:val="32"/>
          <w:szCs w:val="32"/>
          <w:lang w:val="en-US" w:eastAsia="zh-CN"/>
        </w:rPr>
        <w:t>一是加强青少年思想引领工作。</w:t>
      </w:r>
      <w:r>
        <w:rPr>
          <w:rFonts w:hint="default" w:ascii="Times New Roman" w:hAnsi="Times New Roman" w:eastAsia="方正仿宋简体" w:cs="Times New Roman"/>
          <w:sz w:val="32"/>
          <w:szCs w:val="32"/>
        </w:rPr>
        <w:t>通过组织开展专题讲座、系统培训和青年喜闻乐见的学习宣传活动，深入学习中央省市县重要精神，凝聚思想共识</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不断强化青少年思想引导。以加强微信、微博、手机报等网络平台运用为切入点，着力探索党的思想主张和组织行为在青年中的有效传播方式，丰富具有时代特征的青年思想工作路径。</w:t>
      </w:r>
      <w:r>
        <w:rPr>
          <w:rFonts w:hint="default" w:ascii="Times New Roman" w:hAnsi="Times New Roman" w:eastAsia="方正仿宋简体" w:cs="Times New Roman"/>
          <w:b/>
          <w:bCs/>
          <w:sz w:val="32"/>
          <w:szCs w:val="32"/>
          <w:lang w:val="en-US" w:eastAsia="zh-CN"/>
        </w:rPr>
        <w:t>二是持续开展青年志愿服务活动。</w:t>
      </w:r>
      <w:r>
        <w:rPr>
          <w:rFonts w:hint="default" w:ascii="Times New Roman" w:hAnsi="Times New Roman" w:eastAsia="方正仿宋简体" w:cs="Times New Roman"/>
          <w:sz w:val="32"/>
          <w:szCs w:val="32"/>
        </w:rPr>
        <w:t>加强志愿服务队伍建设，协同、培育本土青年社会组织包装一批重点志愿服务项目，带动社会青年投身公益活动；</w:t>
      </w:r>
      <w:r>
        <w:rPr>
          <w:rFonts w:hint="default" w:ascii="Times New Roman" w:hAnsi="Times New Roman" w:eastAsia="方正仿宋简体" w:cs="Times New Roman"/>
          <w:sz w:val="32"/>
          <w:szCs w:val="32"/>
          <w:lang w:eastAsia="zh-CN"/>
        </w:rPr>
        <w:t>实施“共青团伙伴计划”，联动实施一批社会公益项目，助力全国文明城市创建和国家卫生城市创建工作</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三是加强留守学生关爱行动。</w:t>
      </w:r>
      <w:r>
        <w:rPr>
          <w:rFonts w:hint="default" w:ascii="Times New Roman" w:hAnsi="Times New Roman" w:eastAsia="方正仿宋简体" w:cs="Times New Roman"/>
          <w:sz w:val="32"/>
          <w:szCs w:val="32"/>
        </w:rPr>
        <w:t>建实建强“</w:t>
      </w:r>
      <w:r>
        <w:rPr>
          <w:rFonts w:hint="default" w:ascii="Times New Roman" w:hAnsi="Times New Roman" w:eastAsia="方正仿宋简体" w:cs="Times New Roman"/>
          <w:sz w:val="32"/>
          <w:szCs w:val="32"/>
          <w:lang w:eastAsia="zh-CN"/>
        </w:rPr>
        <w:t>青年之家</w:t>
      </w:r>
      <w:r>
        <w:rPr>
          <w:rFonts w:hint="default" w:ascii="Times New Roman" w:hAnsi="Times New Roman" w:eastAsia="方正仿宋简体" w:cs="Times New Roman"/>
          <w:sz w:val="32"/>
          <w:szCs w:val="32"/>
        </w:rPr>
        <w:t>”、青少年宫、青少年综合服务平台等青少年工作阵地</w:t>
      </w:r>
      <w:r>
        <w:rPr>
          <w:rFonts w:hint="default" w:ascii="Times New Roman" w:hAnsi="Times New Roman" w:eastAsia="方正仿宋简体" w:cs="Times New Roman"/>
          <w:sz w:val="32"/>
          <w:szCs w:val="32"/>
          <w:lang w:eastAsia="zh-CN"/>
        </w:rPr>
        <w:t>，常态化开展青年之家活动，建设青年身边的共青团；联动一批青年志愿者组织，深入农村、社区、学校实施关爱留守学生夏令营、快乐周末等关爱项目</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四是开展困难青少年帮扶。</w:t>
      </w:r>
      <w:r>
        <w:rPr>
          <w:rFonts w:hint="default" w:ascii="Times New Roman" w:hAnsi="Times New Roman" w:eastAsia="方正仿宋简体" w:cs="Times New Roman"/>
          <w:sz w:val="32"/>
          <w:szCs w:val="32"/>
        </w:rPr>
        <w:t>找准扶贫攻坚载体，深化“助你上大学”等青字号助学行动，社会化筹集助学金，</w:t>
      </w:r>
      <w:r>
        <w:rPr>
          <w:rFonts w:hint="default" w:ascii="Times New Roman" w:hAnsi="Times New Roman" w:eastAsia="方正仿宋简体" w:cs="Times New Roman"/>
          <w:sz w:val="32"/>
          <w:szCs w:val="32"/>
          <w:lang w:eastAsia="zh-CN"/>
        </w:rPr>
        <w:t>持续帮助困难学生群体</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五是服务青年就业创业。</w:t>
      </w:r>
      <w:r>
        <w:rPr>
          <w:rFonts w:hint="default" w:ascii="Times New Roman" w:hAnsi="Times New Roman" w:eastAsia="方正仿宋简体" w:cs="Times New Roman"/>
          <w:sz w:val="32"/>
          <w:szCs w:val="32"/>
        </w:rPr>
        <w:t>重点抓好“发展青年创业组织、健全青年创业扶持体系、探索建立青年创业园区、选树青年创业典型”四项工作，加强共青团服务青年创业的能力，成为创业青年想得起、找得到、靠得住的力量。</w:t>
      </w:r>
      <w:r>
        <w:rPr>
          <w:rFonts w:hint="default" w:ascii="Times New Roman" w:hAnsi="Times New Roman" w:eastAsia="方正仿宋简体" w:cs="Times New Roman"/>
          <w:b/>
          <w:bCs/>
          <w:sz w:val="32"/>
          <w:szCs w:val="32"/>
          <w:lang w:val="en-US" w:eastAsia="zh-CN"/>
        </w:rPr>
        <w:t>六是加强基层团建工作。</w:t>
      </w:r>
      <w:r>
        <w:rPr>
          <w:rFonts w:hint="default" w:ascii="Times New Roman" w:hAnsi="Times New Roman" w:eastAsia="方正仿宋简体" w:cs="Times New Roman"/>
          <w:sz w:val="32"/>
          <w:szCs w:val="32"/>
        </w:rPr>
        <w:t>开展“团干部培训”，加强“团干部队伍建设”、支持团组织创新开展相关活动，努力扩大团的组织覆盖、工作覆盖、活动覆盖，建设学习型、服务型、创新型、亲和型青年组织。</w:t>
      </w:r>
      <w:r>
        <w:rPr>
          <w:rFonts w:hint="default" w:ascii="Times New Roman" w:hAnsi="Times New Roman" w:eastAsia="方正仿宋简体" w:cs="Times New Roman"/>
          <w:b/>
          <w:bCs/>
          <w:sz w:val="32"/>
          <w:szCs w:val="32"/>
          <w:lang w:val="en-US" w:eastAsia="zh-CN"/>
        </w:rPr>
        <w:t>七是加强少先队工作。</w:t>
      </w:r>
      <w:r>
        <w:rPr>
          <w:rFonts w:hint="default" w:ascii="Times New Roman" w:hAnsi="Times New Roman" w:eastAsia="方正仿宋简体" w:cs="Times New Roman"/>
          <w:sz w:val="32"/>
          <w:szCs w:val="32"/>
        </w:rPr>
        <w:t>用好用足《中共中央加强和改进党的群团工作的意见》、“政府联席群团工作会议制度”、《 关于进一步加强少年儿童和少先队工作的意见》等政策，较好地解决了共青团经费保障、团干部（少先队辅导员）队伍建设等问题。积极支持少先队多形式开展其他相关活动。</w:t>
      </w:r>
    </w:p>
    <w:p>
      <w:pPr>
        <w:pStyle w:val="7"/>
        <w:numPr>
          <w:ilvl w:val="0"/>
          <w:numId w:val="4"/>
        </w:numPr>
        <w:spacing w:line="620" w:lineRule="exact"/>
        <w:ind w:left="10" w:leftChars="0" w:firstLine="630" w:firstLineChars="0"/>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组织及管理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（1）项目组织情况</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我</w:t>
      </w:r>
      <w:r>
        <w:rPr>
          <w:rFonts w:hint="default" w:ascii="Times New Roman" w:hAnsi="Times New Roman" w:eastAsia="方正仿宋简体" w:cs="Times New Roman"/>
          <w:sz w:val="32"/>
          <w:szCs w:val="32"/>
          <w:lang w:eastAsia="zh-CN"/>
        </w:rPr>
        <w:t>委</w:t>
      </w:r>
      <w:r>
        <w:rPr>
          <w:rFonts w:hint="default" w:ascii="Times New Roman" w:hAnsi="Times New Roman" w:eastAsia="方正仿宋简体" w:cs="Times New Roman"/>
          <w:sz w:val="32"/>
          <w:szCs w:val="32"/>
        </w:rPr>
        <w:t>切实履</w:t>
      </w:r>
      <w:r>
        <w:rPr>
          <w:rFonts w:hint="default" w:ascii="Times New Roman" w:hAnsi="Times New Roman" w:eastAsia="方正仿宋简体" w:cs="Times New Roman"/>
          <w:sz w:val="32"/>
          <w:szCs w:val="32"/>
          <w:lang w:eastAsia="zh-CN"/>
        </w:rPr>
        <w:t>行使青少年活动</w:t>
      </w:r>
      <w:r>
        <w:rPr>
          <w:rFonts w:hint="default" w:ascii="Times New Roman" w:hAnsi="Times New Roman" w:eastAsia="方正仿宋简体" w:cs="Times New Roman"/>
          <w:sz w:val="32"/>
          <w:szCs w:val="32"/>
        </w:rPr>
        <w:t>服务的责任，加大组织协调各级</w:t>
      </w:r>
      <w:r>
        <w:rPr>
          <w:rFonts w:hint="default" w:ascii="Times New Roman" w:hAnsi="Times New Roman" w:eastAsia="方正仿宋简体" w:cs="Times New Roman"/>
          <w:sz w:val="32"/>
          <w:szCs w:val="32"/>
          <w:lang w:eastAsia="zh-CN"/>
        </w:rPr>
        <w:t>团</w:t>
      </w:r>
      <w:r>
        <w:rPr>
          <w:rFonts w:hint="default" w:ascii="Times New Roman" w:hAnsi="Times New Roman" w:eastAsia="方正仿宋简体" w:cs="Times New Roman"/>
          <w:sz w:val="32"/>
          <w:szCs w:val="32"/>
        </w:rPr>
        <w:t>组织，各部门共同参与的工作模式，认真开展相关工作，共同推进工作落实。</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（2）项目管理情况</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一是情况通报制度。各部门加强工作调度，不定期召开工作调度会。二是验收检查制度。各项目负责人要实行自查，审计人员要定期审计项目。三是奖罚制度。对工作组织得力、进度快、工作完成好的个人，给予表扬。</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（3）项目组织实施的实际情况与目标的差异情况说明。</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eastAsia="zh-CN"/>
        </w:rPr>
        <w:t>青少年活动</w:t>
      </w:r>
      <w:r>
        <w:rPr>
          <w:rFonts w:hint="default" w:ascii="Times New Roman" w:hAnsi="Times New Roman" w:eastAsia="方正仿宋简体" w:cs="Times New Roman"/>
          <w:sz w:val="32"/>
          <w:szCs w:val="32"/>
        </w:rPr>
        <w:t xml:space="preserve">工作经费项目实施未达到预期进度主要原因：一是因为财政未安排项目资金；二是因为疫情原因，上半年取消了部分项目。 </w:t>
      </w:r>
    </w:p>
    <w:p>
      <w:pPr>
        <w:pStyle w:val="7"/>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（二）绩效目标</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val="en-US" w:eastAsia="zh-CN"/>
        </w:rPr>
        <w:t>一是加强青少年思想引领工作，二是持续开展青年志愿服务活动，三是加强留守学生关爱行动，四是开展困难青少年帮扶，五是服务青年就业创业。六是加强基层团建工作，七是加强少先队工作。</w:t>
      </w:r>
    </w:p>
    <w:p>
      <w:pPr>
        <w:pStyle w:val="7"/>
        <w:spacing w:line="620" w:lineRule="exact"/>
        <w:ind w:firstLine="627" w:firstLineChars="196"/>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二、绩效自评工作情况</w:t>
      </w:r>
    </w:p>
    <w:p>
      <w:pPr>
        <w:pStyle w:val="7"/>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（一）自评工作组织领导</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我</w:t>
      </w:r>
      <w:r>
        <w:rPr>
          <w:rFonts w:hint="default" w:ascii="Times New Roman" w:hAnsi="Times New Roman" w:eastAsia="方正仿宋简体" w:cs="Times New Roman"/>
          <w:sz w:val="32"/>
          <w:szCs w:val="32"/>
          <w:lang w:eastAsia="zh-CN"/>
        </w:rPr>
        <w:t>委</w:t>
      </w:r>
      <w:r>
        <w:rPr>
          <w:rFonts w:hint="default" w:ascii="Times New Roman" w:hAnsi="Times New Roman" w:eastAsia="方正仿宋简体" w:cs="Times New Roman"/>
          <w:sz w:val="32"/>
          <w:szCs w:val="32"/>
        </w:rPr>
        <w:t>自评工作小组以</w:t>
      </w:r>
      <w:r>
        <w:rPr>
          <w:rFonts w:hint="default" w:ascii="Times New Roman" w:hAnsi="Times New Roman" w:eastAsia="方正仿宋简体" w:cs="Times New Roman"/>
          <w:sz w:val="32"/>
          <w:szCs w:val="32"/>
          <w:lang w:eastAsia="zh-CN"/>
        </w:rPr>
        <w:t>书记</w:t>
      </w:r>
      <w:r>
        <w:rPr>
          <w:rFonts w:hint="default" w:ascii="Times New Roman" w:hAnsi="Times New Roman" w:eastAsia="方正仿宋简体" w:cs="Times New Roman"/>
          <w:sz w:val="32"/>
          <w:szCs w:val="32"/>
        </w:rPr>
        <w:t>为组长，办公室主任为具体经办人员。</w:t>
      </w:r>
    </w:p>
    <w:p>
      <w:pPr>
        <w:pStyle w:val="7"/>
        <w:numPr>
          <w:ilvl w:val="0"/>
          <w:numId w:val="5"/>
        </w:numPr>
        <w:spacing w:line="620" w:lineRule="exact"/>
        <w:ind w:left="0" w:leftChars="0"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自评方式、方法、重点等</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通过对</w:t>
      </w:r>
      <w:r>
        <w:rPr>
          <w:rFonts w:hint="eastAsia" w:ascii="Times New Roman" w:hAnsi="Times New Roman" w:eastAsia="方正仿宋简体" w:cs="Times New Roman"/>
          <w:sz w:val="32"/>
          <w:szCs w:val="32"/>
          <w:lang w:val="en-US" w:eastAsia="zh-CN"/>
        </w:rPr>
        <w:t>2023</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青少年活动</w:t>
      </w:r>
      <w:r>
        <w:rPr>
          <w:rFonts w:hint="default" w:ascii="Times New Roman" w:hAnsi="Times New Roman" w:eastAsia="方正仿宋简体" w:cs="Times New Roman"/>
          <w:sz w:val="32"/>
          <w:szCs w:val="32"/>
        </w:rPr>
        <w:t>各项工作资料进行收集和核实，比较原先设定和实际完成的工作任务和目标，比较原先经费预算安排和实际的各项经费开展，明确预算批复的项目目标完成情况。</w:t>
      </w:r>
    </w:p>
    <w:p>
      <w:pPr>
        <w:pStyle w:val="7"/>
        <w:spacing w:line="620" w:lineRule="exact"/>
        <w:ind w:firstLine="627" w:firstLineChars="196"/>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三、评价结论</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经过本项目评价指标评分本项目综合得分100</w:t>
      </w:r>
      <w:r>
        <w:rPr>
          <w:rFonts w:hint="default" w:ascii="Times New Roman" w:hAnsi="Times New Roman" w:eastAsia="方正仿宋简体" w:cs="Times New Roman"/>
          <w:sz w:val="32"/>
          <w:szCs w:val="32"/>
          <w:lang w:eastAsia="zh-CN"/>
        </w:rPr>
        <w:t>分</w:t>
      </w:r>
      <w:r>
        <w:rPr>
          <w:rFonts w:hint="default" w:ascii="Times New Roman" w:hAnsi="Times New Roman" w:eastAsia="方正仿宋简体" w:cs="Times New Roman"/>
          <w:sz w:val="32"/>
          <w:szCs w:val="32"/>
        </w:rPr>
        <w:t>， 评价等次为优秀。</w:t>
      </w:r>
    </w:p>
    <w:p>
      <w:pPr>
        <w:pStyle w:val="7"/>
        <w:spacing w:line="620" w:lineRule="exact"/>
        <w:ind w:firstLine="627" w:firstLineChars="196"/>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四、绩效分析</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项目立项满分15分，自评15分。其中项目立项规范性的满分5分，绩效目标设定合理得4分，绩效指标明确性得6分。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资金落实满分10分，自评10分。其中资金按计划及时到位，得满分5分，应到位资金实际到位得满分5分。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业务管理满分13分，自评13分。其中管理制度健全得满分4分；制度执行有效得满分6分；项目质量可控性得满分3分。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财务管理满分12分，自评 12分。其中管理制度健全得满分3分；资金使用合规得满分7分；财务监控有效得满分2分。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项目产出满分20分，自评20分。其中实际完成率、完成及时率、质量达标率、成本节约率全部达标得满分20分。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项目效益满分30分，自评30分。</w:t>
      </w:r>
    </w:p>
    <w:p>
      <w:pPr>
        <w:pStyle w:val="7"/>
        <w:spacing w:line="620" w:lineRule="exact"/>
        <w:ind w:firstLine="627" w:firstLineChars="196"/>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五、主要经验及做法、存在的问题和建议</w:t>
      </w:r>
    </w:p>
    <w:p>
      <w:pPr>
        <w:pStyle w:val="7"/>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（一）主要经验及做法</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健全的领导机制和完善的工作制度，是项目实施进一步发挥</w:t>
      </w:r>
      <w:r>
        <w:rPr>
          <w:rFonts w:hint="default" w:ascii="Times New Roman" w:hAnsi="Times New Roman" w:eastAsia="方正仿宋简体" w:cs="Times New Roman"/>
          <w:sz w:val="32"/>
          <w:szCs w:val="32"/>
          <w:lang w:eastAsia="zh-CN"/>
        </w:rPr>
        <w:t>团组织</w:t>
      </w:r>
      <w:r>
        <w:rPr>
          <w:rFonts w:hint="default" w:ascii="Times New Roman" w:hAnsi="Times New Roman" w:eastAsia="方正仿宋简体" w:cs="Times New Roman"/>
          <w:sz w:val="32"/>
          <w:szCs w:val="32"/>
        </w:rPr>
        <w:t>的整体优势，推动</w:t>
      </w:r>
      <w:r>
        <w:rPr>
          <w:rFonts w:hint="default" w:ascii="Times New Roman" w:hAnsi="Times New Roman" w:eastAsia="方正仿宋简体" w:cs="Times New Roman"/>
          <w:sz w:val="32"/>
          <w:szCs w:val="32"/>
          <w:lang w:eastAsia="zh-CN"/>
        </w:rPr>
        <w:t>青少年活动</w:t>
      </w:r>
      <w:r>
        <w:rPr>
          <w:rFonts w:hint="default" w:ascii="Times New Roman" w:hAnsi="Times New Roman" w:eastAsia="方正仿宋简体" w:cs="Times New Roman"/>
          <w:sz w:val="32"/>
          <w:szCs w:val="32"/>
        </w:rPr>
        <w:t>事业的创新发展的基础和保障。</w:t>
      </w:r>
    </w:p>
    <w:p>
      <w:pPr>
        <w:pStyle w:val="7"/>
        <w:numPr>
          <w:ilvl w:val="0"/>
          <w:numId w:val="6"/>
        </w:numPr>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存在的问题</w:t>
      </w:r>
    </w:p>
    <w:p>
      <w:pPr>
        <w:spacing w:line="540" w:lineRule="exact"/>
        <w:ind w:firstLine="640" w:firstLineChars="200"/>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rPr>
        <w:t>受单位业务人员专业能力所限，需进一步加强绩效评价工作，充分发挥绩效评价以评促管效能，提高绩效意识和财政资金使用效益。</w:t>
      </w:r>
    </w:p>
    <w:p>
      <w:pPr>
        <w:pStyle w:val="7"/>
        <w:spacing w:line="620" w:lineRule="exact"/>
        <w:ind w:firstLine="630" w:firstLineChars="196"/>
        <w:rPr>
          <w:rFonts w:hint="default" w:ascii="Times New Roman" w:hAnsi="Times New Roman" w:eastAsia="方正仿宋简体" w:cs="Times New Roman"/>
          <w:b/>
          <w:sz w:val="32"/>
          <w:szCs w:val="32"/>
        </w:rPr>
      </w:pPr>
      <w:r>
        <w:rPr>
          <w:rFonts w:hint="default" w:ascii="Times New Roman" w:hAnsi="Times New Roman" w:eastAsia="方正楷体简体" w:cs="Times New Roman"/>
          <w:b/>
          <w:sz w:val="32"/>
          <w:szCs w:val="32"/>
        </w:rPr>
        <w:t>（三）建议和改进措施</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完善项目管理制度，加强项目和财务管理人员业务素质，组织岗位培训，在业务上不断提高。充分发挥绩效评价的作用，使各项工作都落到实处。</w:t>
      </w:r>
    </w:p>
    <w:p>
      <w:pPr>
        <w:pStyle w:val="6"/>
        <w:rPr>
          <w:rFonts w:hint="default"/>
        </w:rPr>
      </w:pPr>
    </w:p>
    <w:p>
      <w:pPr>
        <w:pStyle w:val="7"/>
        <w:spacing w:before="93"/>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rFonts w:hAnsi="宋体" w:cs="宋体"/>
          <w:sz w:val="32"/>
          <w:szCs w:val="32"/>
          <w:shd w:val="clear" w:color="auto" w:fill="FFFFFF"/>
          <w:lang w:val="zh-CN"/>
        </w:rPr>
      </w:pPr>
    </w:p>
    <w:p>
      <w:pPr>
        <w:rPr>
          <w:lang w:val="zh-CN"/>
        </w:rPr>
      </w:pPr>
    </w:p>
    <w:p>
      <w:pPr>
        <w:pStyle w:val="7"/>
        <w:spacing w:before="93"/>
        <w:rPr>
          <w:rFonts w:hint="eastAsia"/>
        </w:rPr>
      </w:pPr>
    </w:p>
    <w:p>
      <w:pPr>
        <w:spacing w:line="600" w:lineRule="exact"/>
        <w:jc w:val="center"/>
        <w:outlineLvl w:val="0"/>
        <w:rPr>
          <w:rFonts w:ascii="仿宋" w:hAnsi="仿宋" w:eastAsia="仿宋"/>
        </w:rPr>
      </w:pPr>
      <w:bookmarkStart w:id="48" w:name="_Toc15396618"/>
      <w:r>
        <w:rPr>
          <w:rFonts w:hint="eastAsia" w:ascii="黑体" w:hAnsi="黑体" w:eastAsia="黑体"/>
          <w:sz w:val="44"/>
          <w:szCs w:val="44"/>
        </w:rPr>
        <w:t>第</w:t>
      </w:r>
      <w:r>
        <w:rPr>
          <w:rStyle w:val="29"/>
          <w:rFonts w:hint="eastAsia" w:ascii="黑体" w:hAnsi="黑体" w:eastAsia="黑体"/>
          <w:b w:val="0"/>
        </w:rPr>
        <w:t>五部分 附表</w:t>
      </w:r>
      <w:bookmarkEnd w:id="45"/>
      <w:bookmarkEnd w:id="48"/>
      <w:bookmarkStart w:id="49" w:name="_Toc15396619"/>
    </w:p>
    <w:p>
      <w:pPr>
        <w:pStyle w:val="3"/>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49"/>
    </w:p>
    <w:p>
      <w:pPr>
        <w:pStyle w:val="3"/>
        <w:rPr>
          <w:rFonts w:ascii="仿宋" w:hAnsi="仿宋" w:eastAsia="仿宋"/>
        </w:rPr>
      </w:pPr>
      <w:bookmarkStart w:id="50" w:name="_Toc15396620"/>
      <w:r>
        <w:rPr>
          <w:rFonts w:hint="eastAsia" w:ascii="仿宋" w:hAnsi="仿宋" w:eastAsia="仿宋"/>
          <w:b w:val="0"/>
        </w:rPr>
        <w:t>二、收</w:t>
      </w:r>
      <w:r>
        <w:rPr>
          <w:rStyle w:val="30"/>
          <w:rFonts w:hint="eastAsia" w:ascii="仿宋" w:hAnsi="仿宋" w:eastAsia="仿宋"/>
          <w:b w:val="0"/>
          <w:bCs w:val="0"/>
        </w:rPr>
        <w:t>入决算表</w:t>
      </w:r>
      <w:bookmarkEnd w:id="50"/>
    </w:p>
    <w:p>
      <w:pPr>
        <w:pStyle w:val="3"/>
        <w:rPr>
          <w:rFonts w:ascii="仿宋" w:hAnsi="仿宋" w:eastAsia="仿宋"/>
        </w:rPr>
      </w:pPr>
      <w:bookmarkStart w:id="51"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51"/>
    </w:p>
    <w:p>
      <w:pPr>
        <w:pStyle w:val="3"/>
        <w:rPr>
          <w:rFonts w:ascii="仿宋" w:hAnsi="仿宋" w:eastAsia="仿宋"/>
          <w:b w:val="0"/>
        </w:rPr>
      </w:pPr>
      <w:bookmarkStart w:id="52"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52"/>
    </w:p>
    <w:p>
      <w:pPr>
        <w:pStyle w:val="3"/>
        <w:rPr>
          <w:rStyle w:val="30"/>
          <w:rFonts w:ascii="仿宋" w:hAnsi="仿宋" w:eastAsia="仿宋"/>
          <w:b w:val="0"/>
          <w:bCs w:val="0"/>
        </w:rPr>
      </w:pPr>
      <w:bookmarkStart w:id="53"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53"/>
      <w:bookmarkStart w:id="54" w:name="_Toc15396624"/>
    </w:p>
    <w:p>
      <w:pPr>
        <w:pStyle w:val="3"/>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54"/>
    </w:p>
    <w:p>
      <w:pPr>
        <w:pStyle w:val="3"/>
        <w:rPr>
          <w:rFonts w:ascii="仿宋" w:hAnsi="仿宋" w:eastAsia="仿宋"/>
        </w:rPr>
      </w:pPr>
      <w:bookmarkStart w:id="55"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55"/>
    </w:p>
    <w:p>
      <w:pPr>
        <w:pStyle w:val="3"/>
        <w:rPr>
          <w:rFonts w:ascii="仿宋" w:hAnsi="仿宋" w:eastAsia="仿宋"/>
        </w:rPr>
      </w:pPr>
      <w:bookmarkStart w:id="56"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56"/>
    </w:p>
    <w:p>
      <w:pPr>
        <w:pStyle w:val="3"/>
        <w:rPr>
          <w:rFonts w:ascii="仿宋" w:hAnsi="仿宋" w:eastAsia="仿宋"/>
        </w:rPr>
      </w:pPr>
      <w:bookmarkStart w:id="57"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57"/>
    </w:p>
    <w:p>
      <w:pPr>
        <w:pStyle w:val="3"/>
        <w:rPr>
          <w:rFonts w:ascii="仿宋" w:hAnsi="仿宋" w:eastAsia="仿宋"/>
        </w:rPr>
      </w:pPr>
      <w:bookmarkStart w:id="58" w:name="_Toc15396628"/>
      <w:r>
        <w:rPr>
          <w:rStyle w:val="30"/>
          <w:rFonts w:hint="eastAsia" w:ascii="仿宋" w:hAnsi="仿宋" w:eastAsia="仿宋"/>
          <w:b w:val="0"/>
          <w:bCs w:val="0"/>
        </w:rPr>
        <w:t>十、</w:t>
      </w:r>
      <w:bookmarkEnd w:id="58"/>
      <w:r>
        <w:rPr>
          <w:rFonts w:hint="eastAsia" w:ascii="仿宋" w:hAnsi="仿宋" w:eastAsia="仿宋"/>
          <w:b w:val="0"/>
        </w:rPr>
        <w:t>政</w:t>
      </w:r>
      <w:r>
        <w:rPr>
          <w:rStyle w:val="30"/>
          <w:rFonts w:hint="eastAsia" w:ascii="仿宋" w:hAnsi="仿宋" w:eastAsia="仿宋"/>
          <w:b w:val="0"/>
          <w:bCs w:val="0"/>
        </w:rPr>
        <w:t>府性基金预算财政拨款收入支出决算表</w:t>
      </w:r>
    </w:p>
    <w:p>
      <w:pPr>
        <w:pStyle w:val="3"/>
        <w:rPr>
          <w:rFonts w:ascii="仿宋" w:hAnsi="仿宋" w:eastAsia="仿宋"/>
        </w:rPr>
      </w:pPr>
      <w:bookmarkStart w:id="59" w:name="_Toc15396629"/>
      <w:r>
        <w:rPr>
          <w:rStyle w:val="30"/>
          <w:rFonts w:hint="eastAsia" w:ascii="仿宋" w:hAnsi="仿宋" w:eastAsia="仿宋"/>
          <w:b w:val="0"/>
          <w:bCs w:val="0"/>
        </w:rPr>
        <w:t>十一、</w:t>
      </w:r>
      <w:bookmarkEnd w:id="59"/>
      <w:r>
        <w:rPr>
          <w:rFonts w:hint="eastAsia" w:ascii="仿宋" w:hAnsi="仿宋" w:eastAsia="仿宋"/>
          <w:b w:val="0"/>
        </w:rPr>
        <w:t>国</w:t>
      </w:r>
      <w:r>
        <w:rPr>
          <w:rStyle w:val="30"/>
          <w:rFonts w:hint="eastAsia" w:ascii="仿宋" w:hAnsi="仿宋" w:eastAsia="仿宋"/>
          <w:b w:val="0"/>
          <w:bCs w:val="0"/>
        </w:rPr>
        <w:t>有资本经营预算财政拨款收入支出决算表</w:t>
      </w:r>
    </w:p>
    <w:p>
      <w:pPr>
        <w:pStyle w:val="3"/>
        <w:rPr>
          <w:rFonts w:ascii="仿宋" w:hAnsi="仿宋" w:eastAsia="仿宋"/>
        </w:rPr>
      </w:pPr>
      <w:bookmarkStart w:id="60" w:name="_Toc15396630"/>
      <w:r>
        <w:rPr>
          <w:rStyle w:val="30"/>
          <w:rFonts w:hint="eastAsia" w:ascii="仿宋" w:hAnsi="仿宋" w:eastAsia="仿宋"/>
          <w:b w:val="0"/>
          <w:bCs w:val="0"/>
        </w:rPr>
        <w:t>十二、</w:t>
      </w:r>
      <w:bookmarkEnd w:id="60"/>
      <w:r>
        <w:rPr>
          <w:rStyle w:val="30"/>
          <w:rFonts w:hint="eastAsia" w:ascii="仿宋" w:hAnsi="仿宋" w:eastAsia="仿宋"/>
          <w:b w:val="0"/>
          <w:bCs w:val="0"/>
        </w:rPr>
        <w:t>国有资本经营预算财政拨款支出决算表</w:t>
      </w:r>
    </w:p>
    <w:p>
      <w:pPr>
        <w:pStyle w:val="3"/>
        <w:rPr>
          <w:rFonts w:eastAsia="仿宋"/>
        </w:rPr>
      </w:pPr>
      <w:bookmarkStart w:id="61" w:name="_Toc15396631"/>
      <w:r>
        <w:rPr>
          <w:rStyle w:val="30"/>
          <w:rFonts w:hint="eastAsia" w:ascii="仿宋" w:hAnsi="仿宋" w:eastAsia="仿宋"/>
          <w:b w:val="0"/>
          <w:bCs w:val="0"/>
        </w:rPr>
        <w:t>十三、</w:t>
      </w:r>
      <w:bookmarkEnd w:id="61"/>
      <w:r>
        <w:rPr>
          <w:rStyle w:val="30"/>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200D22"/>
    <w:multiLevelType w:val="singleLevel"/>
    <w:tmpl w:val="C1200D22"/>
    <w:lvl w:ilvl="0" w:tentative="0">
      <w:start w:val="2"/>
      <w:numFmt w:val="chineseCounting"/>
      <w:suff w:val="nothing"/>
      <w:lvlText w:val="（%1）"/>
      <w:lvlJc w:val="left"/>
      <w:rPr>
        <w:rFonts w:hint="eastAsia"/>
      </w:rPr>
    </w:lvl>
  </w:abstractNum>
  <w:abstractNum w:abstractNumId="1">
    <w:nsid w:val="C269815B"/>
    <w:multiLevelType w:val="singleLevel"/>
    <w:tmpl w:val="C269815B"/>
    <w:lvl w:ilvl="0" w:tentative="0">
      <w:start w:val="2"/>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5B8FC5D5"/>
    <w:multiLevelType w:val="singleLevel"/>
    <w:tmpl w:val="5B8FC5D5"/>
    <w:lvl w:ilvl="0" w:tentative="0">
      <w:start w:val="2"/>
      <w:numFmt w:val="decimal"/>
      <w:suff w:val="nothing"/>
      <w:lvlText w:val="%1．"/>
      <w:lvlJc w:val="left"/>
      <w:pPr>
        <w:ind w:left="10"/>
      </w:p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jZTFhOTI1NjQ5OTdiN2Y1ZjAyYTVkYjdkYjhiMD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66E0107"/>
    <w:rsid w:val="078C55F0"/>
    <w:rsid w:val="07996F6E"/>
    <w:rsid w:val="080B2EA7"/>
    <w:rsid w:val="09EF5765"/>
    <w:rsid w:val="0A2032A3"/>
    <w:rsid w:val="0C7B02EA"/>
    <w:rsid w:val="0CF12E49"/>
    <w:rsid w:val="0F98263C"/>
    <w:rsid w:val="101860EC"/>
    <w:rsid w:val="10B75AD1"/>
    <w:rsid w:val="10C055FF"/>
    <w:rsid w:val="118107EC"/>
    <w:rsid w:val="11E6296C"/>
    <w:rsid w:val="12DD4547"/>
    <w:rsid w:val="13052DC4"/>
    <w:rsid w:val="13077707"/>
    <w:rsid w:val="13D50BC4"/>
    <w:rsid w:val="15A436D6"/>
    <w:rsid w:val="16BB723D"/>
    <w:rsid w:val="1BE8440E"/>
    <w:rsid w:val="1D155CEE"/>
    <w:rsid w:val="1FF35744"/>
    <w:rsid w:val="20783067"/>
    <w:rsid w:val="23860B96"/>
    <w:rsid w:val="240371BF"/>
    <w:rsid w:val="28EB29C4"/>
    <w:rsid w:val="29FD04D3"/>
    <w:rsid w:val="2B9C2E0E"/>
    <w:rsid w:val="2C5E7BB9"/>
    <w:rsid w:val="2C8A61B5"/>
    <w:rsid w:val="2DF04E50"/>
    <w:rsid w:val="2F040D46"/>
    <w:rsid w:val="2FAA48BF"/>
    <w:rsid w:val="30C41C11"/>
    <w:rsid w:val="319F7F4E"/>
    <w:rsid w:val="3304709D"/>
    <w:rsid w:val="3388312F"/>
    <w:rsid w:val="34175A46"/>
    <w:rsid w:val="36AA5135"/>
    <w:rsid w:val="376D39B2"/>
    <w:rsid w:val="37E16F03"/>
    <w:rsid w:val="38D469F0"/>
    <w:rsid w:val="39221EEB"/>
    <w:rsid w:val="3A587B80"/>
    <w:rsid w:val="3D264F8E"/>
    <w:rsid w:val="3D98207C"/>
    <w:rsid w:val="3E05314D"/>
    <w:rsid w:val="3E78745D"/>
    <w:rsid w:val="44E268DA"/>
    <w:rsid w:val="485376AC"/>
    <w:rsid w:val="4A383B00"/>
    <w:rsid w:val="4A627F82"/>
    <w:rsid w:val="4B0E749A"/>
    <w:rsid w:val="4B4F25DA"/>
    <w:rsid w:val="4BE068DB"/>
    <w:rsid w:val="4CBD1D79"/>
    <w:rsid w:val="4D577224"/>
    <w:rsid w:val="4EAB630A"/>
    <w:rsid w:val="4ECE2238"/>
    <w:rsid w:val="4F871FB3"/>
    <w:rsid w:val="51F92E88"/>
    <w:rsid w:val="521B6ECB"/>
    <w:rsid w:val="537E6D0A"/>
    <w:rsid w:val="58250A0E"/>
    <w:rsid w:val="59533DA8"/>
    <w:rsid w:val="5A0C4E48"/>
    <w:rsid w:val="5AF92295"/>
    <w:rsid w:val="5BF175E7"/>
    <w:rsid w:val="5CD71FC4"/>
    <w:rsid w:val="66DF32CF"/>
    <w:rsid w:val="673401C3"/>
    <w:rsid w:val="6C113077"/>
    <w:rsid w:val="6C4A05C8"/>
    <w:rsid w:val="6E23118A"/>
    <w:rsid w:val="6E7E3605"/>
    <w:rsid w:val="6FF5CC65"/>
    <w:rsid w:val="706305CE"/>
    <w:rsid w:val="70C17DB7"/>
    <w:rsid w:val="715C0E4B"/>
    <w:rsid w:val="720438FD"/>
    <w:rsid w:val="72734D90"/>
    <w:rsid w:val="72B43A2C"/>
    <w:rsid w:val="73AD73D5"/>
    <w:rsid w:val="73B6EB34"/>
    <w:rsid w:val="744731E5"/>
    <w:rsid w:val="76E3355F"/>
    <w:rsid w:val="7758332B"/>
    <w:rsid w:val="778769C8"/>
    <w:rsid w:val="79BA6C6F"/>
    <w:rsid w:val="79EE5BA4"/>
    <w:rsid w:val="7A894339"/>
    <w:rsid w:val="7BF44346"/>
    <w:rsid w:val="7C2B2B29"/>
    <w:rsid w:val="7ECB5E14"/>
    <w:rsid w:val="7EE76753"/>
    <w:rsid w:val="7EEF11D3"/>
    <w:rsid w:val="7F8D6B2E"/>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pPr>
      <w:jc w:val="left"/>
    </w:pPr>
  </w:style>
  <w:style w:type="paragraph" w:styleId="6">
    <w:name w:val="Salutation"/>
    <w:basedOn w:val="1"/>
    <w:next w:val="1"/>
    <w:autoRedefine/>
    <w:qFormat/>
    <w:uiPriority w:val="0"/>
    <w:rPr>
      <w:rFonts w:ascii="Times New Roman" w:hAnsi="Times New Roman"/>
    </w:rPr>
  </w:style>
  <w:style w:type="paragraph" w:styleId="7">
    <w:name w:val="Body Text"/>
    <w:basedOn w:val="1"/>
    <w:next w:val="1"/>
    <w:link w:val="26"/>
    <w:autoRedefine/>
    <w:qFormat/>
    <w:uiPriority w:val="99"/>
    <w:pPr>
      <w:spacing w:beforeLines="30"/>
    </w:pPr>
    <w:rPr>
      <w:rFonts w:ascii="仿宋_GB2312" w:eastAsia="仿宋_GB2312"/>
      <w:kern w:val="0"/>
      <w:sz w:val="30"/>
    </w:rPr>
  </w:style>
  <w:style w:type="paragraph" w:styleId="8">
    <w:name w:val="Body Text Indent"/>
    <w:basedOn w:val="1"/>
    <w:autoRedefine/>
    <w:qFormat/>
    <w:uiPriority w:val="0"/>
    <w:pPr>
      <w:spacing w:after="120"/>
      <w:ind w:left="200" w:leftChars="200"/>
    </w:pPr>
    <w:rPr>
      <w:rFonts w:ascii="仿宋_GB2312"/>
      <w:szCs w:val="32"/>
    </w:rPr>
  </w:style>
  <w:style w:type="paragraph" w:styleId="9">
    <w:name w:val="toc 3"/>
    <w:basedOn w:val="1"/>
    <w:next w:val="1"/>
    <w:autoRedefine/>
    <w:unhideWhenUsed/>
    <w:qFormat/>
    <w:uiPriority w:val="39"/>
    <w:pPr>
      <w:tabs>
        <w:tab w:val="right" w:leader="dot" w:pos="8296"/>
      </w:tabs>
      <w:ind w:left="840" w:leftChars="400"/>
    </w:pPr>
  </w:style>
  <w:style w:type="paragraph" w:styleId="10">
    <w:name w:val="Balloon Text"/>
    <w:basedOn w:val="1"/>
    <w:link w:val="32"/>
    <w:autoRedefine/>
    <w:semiHidden/>
    <w:unhideWhenUsed/>
    <w:qFormat/>
    <w:uiPriority w:val="99"/>
    <w:rPr>
      <w:sz w:val="18"/>
      <w:szCs w:val="18"/>
    </w:rPr>
  </w:style>
  <w:style w:type="paragraph" w:styleId="11">
    <w:name w:val="footer"/>
    <w:basedOn w:val="1"/>
    <w:link w:val="24"/>
    <w:autoRedefine/>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autoRedefine/>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autoRedefine/>
    <w:unhideWhenUsed/>
    <w:qFormat/>
    <w:uiPriority w:val="39"/>
    <w:pPr>
      <w:tabs>
        <w:tab w:val="right" w:leader="dot" w:pos="8296"/>
      </w:tabs>
      <w:ind w:left="420" w:leftChars="200"/>
    </w:pPr>
  </w:style>
  <w:style w:type="paragraph" w:styleId="15">
    <w:name w:val="Body Text First Indent 2"/>
    <w:basedOn w:val="8"/>
    <w:autoRedefine/>
    <w:unhideWhenUsed/>
    <w:qFormat/>
    <w:uiPriority w:val="99"/>
    <w:pPr>
      <w:ind w:firstLine="420" w:firstLineChars="200"/>
    </w:pPr>
  </w:style>
  <w:style w:type="character" w:styleId="18">
    <w:name w:val="Strong"/>
    <w:basedOn w:val="17"/>
    <w:autoRedefine/>
    <w:qFormat/>
    <w:uiPriority w:val="99"/>
    <w:rPr>
      <w:b/>
    </w:rPr>
  </w:style>
  <w:style w:type="character" w:styleId="19">
    <w:name w:val="Hyperlink"/>
    <w:basedOn w:val="17"/>
    <w:autoRedefine/>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autoRedefine/>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autoRedefine/>
    <w:semiHidden/>
    <w:qFormat/>
    <w:uiPriority w:val="99"/>
    <w:rPr>
      <w:rFonts w:ascii="Times New Roman" w:hAnsi="Times New Roman"/>
      <w:sz w:val="18"/>
      <w:szCs w:val="18"/>
    </w:rPr>
  </w:style>
  <w:style w:type="character" w:customStyle="1" w:styleId="22">
    <w:name w:val="页眉 字符"/>
    <w:link w:val="12"/>
    <w:autoRedefine/>
    <w:semiHidden/>
    <w:qFormat/>
    <w:locked/>
    <w:uiPriority w:val="99"/>
    <w:rPr>
      <w:sz w:val="18"/>
    </w:rPr>
  </w:style>
  <w:style w:type="character" w:customStyle="1" w:styleId="23">
    <w:name w:val="Footer Char"/>
    <w:basedOn w:val="17"/>
    <w:autoRedefine/>
    <w:semiHidden/>
    <w:qFormat/>
    <w:uiPriority w:val="99"/>
    <w:rPr>
      <w:rFonts w:ascii="Times New Roman" w:hAnsi="Times New Roman"/>
      <w:sz w:val="18"/>
      <w:szCs w:val="18"/>
    </w:rPr>
  </w:style>
  <w:style w:type="character" w:customStyle="1" w:styleId="24">
    <w:name w:val="页脚 字符"/>
    <w:link w:val="11"/>
    <w:autoRedefine/>
    <w:qFormat/>
    <w:locked/>
    <w:uiPriority w:val="99"/>
    <w:rPr>
      <w:sz w:val="18"/>
    </w:rPr>
  </w:style>
  <w:style w:type="character" w:customStyle="1" w:styleId="25">
    <w:name w:val="Body Text Char"/>
    <w:basedOn w:val="17"/>
    <w:autoRedefine/>
    <w:semiHidden/>
    <w:qFormat/>
    <w:uiPriority w:val="99"/>
    <w:rPr>
      <w:rFonts w:ascii="Times New Roman" w:hAnsi="Times New Roman"/>
      <w:szCs w:val="24"/>
    </w:rPr>
  </w:style>
  <w:style w:type="character" w:customStyle="1" w:styleId="26">
    <w:name w:val="正文文本 字符"/>
    <w:link w:val="7"/>
    <w:autoRedefine/>
    <w:qFormat/>
    <w:locked/>
    <w:uiPriority w:val="99"/>
    <w:rPr>
      <w:rFonts w:ascii="仿宋_GB2312" w:hAnsi="Times New Roman" w:eastAsia="仿宋_GB2312"/>
      <w:sz w:val="24"/>
    </w:rPr>
  </w:style>
  <w:style w:type="paragraph" w:customStyle="1" w:styleId="27">
    <w:name w:val="Default"/>
    <w:autoRedefine/>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autoRedefine/>
    <w:qFormat/>
    <w:uiPriority w:val="34"/>
    <w:pPr>
      <w:ind w:firstLine="420" w:firstLineChars="200"/>
    </w:pPr>
  </w:style>
  <w:style w:type="character" w:customStyle="1" w:styleId="29">
    <w:name w:val="标题 1 字符"/>
    <w:basedOn w:val="17"/>
    <w:link w:val="2"/>
    <w:autoRedefine/>
    <w:qFormat/>
    <w:uiPriority w:val="9"/>
    <w:rPr>
      <w:rFonts w:ascii="Times New Roman" w:hAnsi="Times New Roman"/>
      <w:b/>
      <w:bCs/>
      <w:kern w:val="44"/>
      <w:sz w:val="44"/>
      <w:szCs w:val="44"/>
    </w:rPr>
  </w:style>
  <w:style w:type="character" w:customStyle="1" w:styleId="30">
    <w:name w:val="标题 2 字符"/>
    <w:basedOn w:val="17"/>
    <w:link w:val="3"/>
    <w:autoRedefine/>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10"/>
    <w:autoRedefine/>
    <w:semiHidden/>
    <w:qFormat/>
    <w:uiPriority w:val="99"/>
    <w:rPr>
      <w:rFonts w:ascii="Times New Roman" w:hAnsi="Times New Roman"/>
      <w:kern w:val="2"/>
      <w:sz w:val="18"/>
      <w:szCs w:val="18"/>
    </w:rPr>
  </w:style>
  <w:style w:type="character" w:customStyle="1" w:styleId="33">
    <w:name w:val="标题 3 字符"/>
    <w:basedOn w:val="17"/>
    <w:link w:val="4"/>
    <w:autoRedefine/>
    <w:qFormat/>
    <w:uiPriority w:val="9"/>
    <w:rPr>
      <w:rFonts w:ascii="Times New Roman" w:hAnsi="Times New Roman"/>
      <w:b/>
      <w:bCs/>
      <w:kern w:val="2"/>
      <w:sz w:val="32"/>
      <w:szCs w:val="32"/>
    </w:rPr>
  </w:style>
  <w:style w:type="paragraph" w:customStyle="1" w:styleId="3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autoRedefine/>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1</TotalTime>
  <ScaleCrop>false</ScaleCrop>
  <LinksUpToDate>false</LinksUpToDate>
  <CharactersWithSpaces>7955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蒋超</cp:lastModifiedBy>
  <cp:lastPrinted>2023-07-31T02:35:00Z</cp:lastPrinted>
  <dcterms:modified xsi:type="dcterms:W3CDTF">2024-09-25T02:05:04Z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A683B0ED30724B51AD6C64FBF4887DA3</vt:lpwstr>
  </property>
</Properties>
</file>