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微软雅黑"/>
          <w:sz w:val="44"/>
          <w:szCs w:val="44"/>
          <w:lang w:eastAsia="zh-CN"/>
        </w:rPr>
      </w:pPr>
      <w:r>
        <w:rPr>
          <w:rFonts w:hint="eastAsia" w:eastAsia="微软雅黑"/>
          <w:sz w:val="44"/>
          <w:szCs w:val="44"/>
        </w:rPr>
        <w:t>乐至县</w:t>
      </w:r>
      <w:bookmarkStart w:id="0" w:name="_GoBack"/>
      <w:r>
        <w:rPr>
          <w:rFonts w:hint="eastAsia" w:eastAsia="微软雅黑"/>
          <w:sz w:val="44"/>
          <w:szCs w:val="44"/>
          <w:lang w:eastAsia="zh-CN"/>
        </w:rPr>
        <w:t>高寺镇人民政府</w:t>
      </w:r>
      <w:bookmarkEnd w:id="0"/>
    </w:p>
    <w:p>
      <w:pPr>
        <w:spacing w:line="580" w:lineRule="exact"/>
        <w:jc w:val="center"/>
        <w:rPr>
          <w:rFonts w:hint="eastAsia" w:eastAsia="微软雅黑"/>
          <w:sz w:val="44"/>
          <w:szCs w:val="44"/>
        </w:rPr>
      </w:pPr>
      <w:r>
        <w:rPr>
          <w:rFonts w:hint="eastAsia" w:eastAsia="微软雅黑"/>
          <w:sz w:val="44"/>
          <w:szCs w:val="44"/>
        </w:rPr>
        <w:t>2024年单位预算编制说明</w:t>
      </w:r>
    </w:p>
    <w:p>
      <w:pPr>
        <w:spacing w:line="640" w:lineRule="exact"/>
        <w:jc w:val="center"/>
        <w:rPr>
          <w:rFonts w:ascii="微软雅黑" w:eastAsia="微软雅黑"/>
          <w:sz w:val="44"/>
          <w:szCs w:val="44"/>
        </w:rPr>
      </w:pPr>
    </w:p>
    <w:p>
      <w:pPr>
        <w:spacing w:line="580" w:lineRule="exact"/>
        <w:ind w:firstLine="640" w:firstLineChars="200"/>
        <w:rPr>
          <w:rFonts w:eastAsia="微软雅黑"/>
          <w:szCs w:val="32"/>
        </w:rPr>
      </w:pPr>
      <w:r>
        <w:rPr>
          <w:rFonts w:hint="eastAsia" w:eastAsia="微软雅黑"/>
          <w:szCs w:val="32"/>
        </w:rPr>
        <w:t>一、单位概况</w:t>
      </w:r>
    </w:p>
    <w:p>
      <w:pPr>
        <w:spacing w:line="580" w:lineRule="exact"/>
        <w:ind w:firstLine="643" w:firstLineChars="200"/>
        <w:rPr>
          <w:rFonts w:eastAsia="仿宋"/>
          <w:b/>
          <w:szCs w:val="32"/>
        </w:rPr>
      </w:pPr>
      <w:r>
        <w:rPr>
          <w:rFonts w:hint="eastAsia" w:eastAsia="仿宋"/>
          <w:b/>
          <w:szCs w:val="32"/>
        </w:rPr>
        <w:t>（一）机构设置及人员情况</w:t>
      </w:r>
    </w:p>
    <w:p>
      <w:pPr>
        <w:spacing w:line="580" w:lineRule="exact"/>
        <w:ind w:firstLine="640" w:firstLineChars="200"/>
        <w:rPr>
          <w:rFonts w:eastAsia="微软雅黑"/>
          <w:szCs w:val="32"/>
        </w:rPr>
      </w:pPr>
      <w:r>
        <w:rPr>
          <w:rFonts w:hint="eastAsia" w:ascii="仿宋" w:hAnsi="仿宋" w:eastAsia="仿宋" w:cs="仿宋"/>
          <w:szCs w:val="32"/>
          <w:lang w:eastAsia="zh-CN"/>
        </w:rPr>
        <w:t>高寺镇人民政府</w:t>
      </w:r>
      <w:r>
        <w:rPr>
          <w:rFonts w:hint="eastAsia" w:ascii="仿宋" w:hAnsi="仿宋" w:eastAsia="仿宋" w:cs="仿宋"/>
          <w:szCs w:val="32"/>
        </w:rPr>
        <w:t>是财政全额拨款的行政单位。单位总编制人数</w:t>
      </w:r>
      <w:r>
        <w:rPr>
          <w:rFonts w:hint="eastAsia" w:ascii="仿宋" w:hAnsi="仿宋" w:eastAsia="仿宋" w:cs="仿宋"/>
          <w:szCs w:val="32"/>
          <w:lang w:val="en-US" w:eastAsia="zh-CN"/>
        </w:rPr>
        <w:t>77</w:t>
      </w:r>
      <w:r>
        <w:rPr>
          <w:rFonts w:hint="eastAsia" w:ascii="仿宋" w:hAnsi="仿宋" w:eastAsia="仿宋" w:cs="仿宋"/>
          <w:szCs w:val="32"/>
        </w:rPr>
        <w:t>人，其中：行政编制</w:t>
      </w:r>
      <w:r>
        <w:rPr>
          <w:rFonts w:hint="eastAsia" w:ascii="仿宋" w:hAnsi="仿宋" w:eastAsia="仿宋" w:cs="仿宋"/>
          <w:szCs w:val="32"/>
          <w:lang w:val="en-US" w:eastAsia="zh-CN"/>
        </w:rPr>
        <w:t>53</w:t>
      </w:r>
      <w:r>
        <w:rPr>
          <w:rFonts w:hint="eastAsia" w:ascii="仿宋" w:hAnsi="仿宋" w:eastAsia="仿宋" w:cs="仿宋"/>
          <w:szCs w:val="32"/>
        </w:rPr>
        <w:t>人、行政工勤编制</w:t>
      </w:r>
      <w:r>
        <w:rPr>
          <w:rFonts w:hint="eastAsia" w:ascii="仿宋" w:hAnsi="仿宋" w:eastAsia="仿宋" w:cs="仿宋"/>
          <w:szCs w:val="32"/>
          <w:lang w:val="en-US" w:eastAsia="zh-CN"/>
        </w:rPr>
        <w:t>0</w:t>
      </w:r>
      <w:r>
        <w:rPr>
          <w:rFonts w:hint="eastAsia" w:ascii="仿宋" w:hAnsi="仿宋" w:eastAsia="仿宋" w:cs="仿宋"/>
          <w:szCs w:val="32"/>
        </w:rPr>
        <w:t>人，事业管理岗编制</w:t>
      </w:r>
      <w:r>
        <w:rPr>
          <w:rFonts w:hint="eastAsia" w:ascii="仿宋" w:hAnsi="仿宋" w:eastAsia="仿宋" w:cs="仿宋"/>
          <w:szCs w:val="32"/>
          <w:lang w:val="en-US" w:eastAsia="zh-CN"/>
        </w:rPr>
        <w:t>34</w:t>
      </w:r>
      <w:r>
        <w:rPr>
          <w:rFonts w:hint="eastAsia" w:ascii="仿宋" w:hAnsi="仿宋" w:eastAsia="仿宋" w:cs="仿宋"/>
          <w:szCs w:val="32"/>
        </w:rPr>
        <w:t>人；实有在职行政人员</w:t>
      </w:r>
      <w:r>
        <w:rPr>
          <w:rFonts w:hint="eastAsia" w:ascii="仿宋" w:hAnsi="仿宋" w:eastAsia="仿宋" w:cs="仿宋"/>
          <w:szCs w:val="32"/>
          <w:lang w:val="en-US" w:eastAsia="zh-CN"/>
        </w:rPr>
        <w:t>44</w:t>
      </w:r>
      <w:r>
        <w:rPr>
          <w:rFonts w:hint="eastAsia" w:ascii="仿宋" w:hAnsi="仿宋" w:eastAsia="仿宋" w:cs="仿宋"/>
          <w:szCs w:val="32"/>
        </w:rPr>
        <w:t>人、行政工勤编制</w:t>
      </w:r>
      <w:r>
        <w:rPr>
          <w:rFonts w:hint="eastAsia" w:ascii="仿宋" w:hAnsi="仿宋" w:eastAsia="仿宋" w:cs="仿宋"/>
          <w:szCs w:val="32"/>
          <w:lang w:val="en-US" w:eastAsia="zh-CN"/>
        </w:rPr>
        <w:t>0</w:t>
      </w:r>
      <w:r>
        <w:rPr>
          <w:rFonts w:hint="eastAsia" w:ascii="仿宋" w:hAnsi="仿宋" w:eastAsia="仿宋" w:cs="仿宋"/>
          <w:szCs w:val="32"/>
        </w:rPr>
        <w:t>人，事业管理岗人员</w:t>
      </w:r>
      <w:r>
        <w:rPr>
          <w:rFonts w:hint="eastAsia" w:ascii="仿宋" w:hAnsi="仿宋" w:eastAsia="仿宋" w:cs="仿宋"/>
          <w:szCs w:val="32"/>
          <w:lang w:val="en-US" w:eastAsia="zh-CN"/>
        </w:rPr>
        <w:t>33</w:t>
      </w:r>
      <w:r>
        <w:rPr>
          <w:rFonts w:hint="eastAsia" w:ascii="仿宋" w:hAnsi="仿宋" w:eastAsia="仿宋" w:cs="仿宋"/>
          <w:szCs w:val="32"/>
        </w:rPr>
        <w:t>人；离退休人员</w:t>
      </w:r>
      <w:r>
        <w:rPr>
          <w:rFonts w:hint="eastAsia" w:ascii="仿宋" w:hAnsi="仿宋" w:eastAsia="仿宋" w:cs="仿宋"/>
          <w:szCs w:val="32"/>
          <w:lang w:val="en-US" w:eastAsia="zh-CN"/>
        </w:rPr>
        <w:t>64</w:t>
      </w:r>
      <w:r>
        <w:rPr>
          <w:rFonts w:hint="eastAsia" w:ascii="仿宋" w:hAnsi="仿宋" w:eastAsia="仿宋" w:cs="仿宋"/>
          <w:szCs w:val="32"/>
        </w:rPr>
        <w:t>人</w:t>
      </w:r>
      <w:r>
        <w:rPr>
          <w:rFonts w:hint="eastAsia" w:eastAsia="微软雅黑"/>
          <w:szCs w:val="32"/>
        </w:rPr>
        <w:t>。</w:t>
      </w:r>
    </w:p>
    <w:p>
      <w:pPr>
        <w:spacing w:line="580" w:lineRule="exact"/>
        <w:ind w:firstLine="643" w:firstLineChars="200"/>
        <w:rPr>
          <w:rFonts w:eastAsia="仿宋"/>
          <w:b/>
          <w:szCs w:val="32"/>
        </w:rPr>
      </w:pPr>
      <w:r>
        <w:rPr>
          <w:rFonts w:eastAsia="仿宋"/>
          <w:b/>
          <w:szCs w:val="32"/>
        </w:rPr>
        <w:t>（</w:t>
      </w:r>
      <w:r>
        <w:rPr>
          <w:rFonts w:hint="eastAsia" w:eastAsia="仿宋"/>
          <w:b/>
          <w:szCs w:val="32"/>
        </w:rPr>
        <w:t>二</w:t>
      </w:r>
      <w:r>
        <w:rPr>
          <w:rFonts w:eastAsia="仿宋"/>
          <w:b/>
          <w:szCs w:val="32"/>
        </w:rPr>
        <w:t>）职能简介</w:t>
      </w:r>
    </w:p>
    <w:p>
      <w:pPr>
        <w:spacing w:line="58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lang w:val="en-US" w:eastAsia="zh-CN"/>
        </w:rPr>
        <w:t>财政所，负责乡镇财务管理，代管村社财务等工作；便民服务中心，牵头乡镇便民服务工作，承担退役军人、文化宣传、就业和社会保障、医疗保险等相关服务工作；农业综合服务中心，负责脱贫攻坚、农技推广、农业机械、农产品质量、水利等农业农村经济发展相关服务工作；村镇建设综合服务中心，负责村镇建设环卫、城乡环境综合治理、农房改造等相关服务工作；农民工服务中心，负责农民工输出、培训、维权、回引及返乡创业服务等工作。党政综合办公室，负责机关综合协调、目标绩效、文电会务、保密机要、后勤服务保障等工作；党建办公室，统筹基层党组织建设，负责纪检监察、组织人事、宣传、统战、机构编制、机关党建、群团事务等工作；综合行政执法办公室，负责统一指挥和统筹协调基层站所、县级部门派出执法力量和资源，开展综合行政执法工作；社会事务管理办公室，负责民政教育体育、文化旅游、卫生健康、社会保障等管理工作；经济发展和乡村振兴办公室，负责经济发展、科学技术、生态环境、村镇建设、交通运输、农业农村、商务经济合作、统计、扶贫开发、产业发展和项目推进管理等工作；基层治理办公室，负责建立完善党建引领的城乡基层治理体制机制、加强城乡基层治理能力建设、社会治安综合治理、矛盾治安综合治理、矛盾纠纷化解、信访维稳、安全生产、应急抢险救灾等工作。</w:t>
      </w:r>
    </w:p>
    <w:p>
      <w:pPr>
        <w:spacing w:line="580" w:lineRule="exact"/>
        <w:ind w:firstLine="640" w:firstLineChars="200"/>
        <w:rPr>
          <w:rFonts w:eastAsia="微软雅黑"/>
          <w:szCs w:val="32"/>
        </w:rPr>
      </w:pPr>
      <w:r>
        <w:rPr>
          <w:rFonts w:hint="eastAsia" w:eastAsia="微软雅黑"/>
          <w:szCs w:val="32"/>
        </w:rPr>
        <w:t>二、2024年重点工作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（一）持续推进主题教育，增强干事创业动力</w:t>
      </w:r>
    </w:p>
    <w:p>
      <w:pPr>
        <w:pStyle w:val="4"/>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eastAsia" w:ascii="Times New Roman" w:hAnsi="Times New Roman" w:eastAsia="仿宋" w:cs="Times New Roman"/>
          <w:color w:val="000000"/>
          <w:kern w:val="0"/>
          <w:sz w:val="32"/>
          <w:szCs w:val="32"/>
          <w:lang w:val="en-US" w:eastAsia="zh-CN"/>
        </w:rPr>
      </w:pPr>
      <w:r>
        <w:rPr>
          <w:rFonts w:hint="eastAsia" w:ascii="仿宋" w:hAnsi="仿宋" w:eastAsia="仿宋" w:cs="仿宋"/>
          <w:b/>
          <w:bCs/>
          <w:color w:val="000000"/>
          <w:kern w:val="0"/>
          <w:sz w:val="32"/>
          <w:szCs w:val="32"/>
          <w:lang w:val="en-US" w:eastAsia="zh-CN"/>
        </w:rPr>
        <w:t>一是</w:t>
      </w:r>
      <w:r>
        <w:rPr>
          <w:rFonts w:hint="eastAsia" w:ascii="Times New Roman" w:hAnsi="Times New Roman" w:eastAsia="仿宋" w:cs="Times New Roman"/>
          <w:color w:val="000000"/>
          <w:kern w:val="0"/>
          <w:sz w:val="32"/>
          <w:szCs w:val="32"/>
          <w:lang w:val="en-US" w:eastAsia="zh-CN"/>
        </w:rPr>
        <w:t>持续巩固主题教育学习成果。深入学习习近平新时代中国特色社会主义思想、党的二十大及习近平总书记关于基层治理的重要论述，深刻认识“两个确立”的历史性意义，不折不扣贯彻落实好党中央决策部署和市委、市政府和县委、县政府的工作要求。坚持把学懂弄通做学习贯彻习近平新时代中国特色社会主义思想主题教育作为首要政治任务，在以学铸魂、以学增智、以学正风、以学促干上推动主题教育持续走深走实。</w:t>
      </w:r>
      <w:r>
        <w:rPr>
          <w:rFonts w:hint="eastAsia" w:ascii="仿宋" w:hAnsi="仿宋" w:eastAsia="仿宋" w:cs="仿宋"/>
          <w:b/>
          <w:bCs/>
          <w:color w:val="000000"/>
          <w:kern w:val="0"/>
          <w:sz w:val="32"/>
          <w:szCs w:val="32"/>
          <w:lang w:val="en-US" w:eastAsia="zh-CN"/>
        </w:rPr>
        <w:t>二是</w:t>
      </w:r>
      <w:r>
        <w:rPr>
          <w:rFonts w:hint="eastAsia" w:ascii="Times New Roman" w:hAnsi="Times New Roman" w:eastAsia="仿宋" w:cs="Times New Roman"/>
          <w:color w:val="000000"/>
          <w:kern w:val="0"/>
          <w:sz w:val="32"/>
          <w:szCs w:val="32"/>
          <w:lang w:val="en-US" w:eastAsia="zh-CN"/>
        </w:rPr>
        <w:t>强化党风廉政监督。落实中央八项规定精神及其实施细则。持续开展乡村振兴领域腐败问题专项整治，按照专项整治方案，组织学习典型案例，促进专项整治工作有效落实。不断强化政治监督，开展常态化日常监督，持续提高镇、村社区干部遵规守纪意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（二）切实加强基层治理，提升居民生活质量</w:t>
      </w:r>
    </w:p>
    <w:p>
      <w:pPr>
        <w:pStyle w:val="4"/>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eastAsia" w:ascii="Times New Roman" w:hAnsi="Times New Roman" w:eastAsia="仿宋" w:cs="Times New Roman"/>
          <w:color w:val="000000"/>
          <w:kern w:val="0"/>
          <w:sz w:val="32"/>
          <w:szCs w:val="32"/>
        </w:rPr>
      </w:pPr>
      <w:r>
        <w:rPr>
          <w:rFonts w:hint="eastAsia" w:ascii="仿宋" w:hAnsi="仿宋" w:eastAsia="仿宋" w:cs="仿宋"/>
          <w:b/>
          <w:bCs/>
          <w:color w:val="000000"/>
          <w:kern w:val="0"/>
          <w:sz w:val="32"/>
          <w:szCs w:val="32"/>
          <w:lang w:val="en-US" w:eastAsia="zh-CN"/>
        </w:rPr>
        <w:t>一是完善责任体系。</w:t>
      </w:r>
      <w:r>
        <w:rPr>
          <w:rFonts w:hint="eastAsia" w:ascii="Times New Roman" w:hAnsi="Times New Roman" w:eastAsia="仿宋" w:cs="Times New Roman"/>
          <w:color w:val="000000"/>
          <w:kern w:val="0"/>
          <w:sz w:val="32"/>
          <w:szCs w:val="32"/>
        </w:rPr>
        <w:t>坚持党政同责、一岗双责、齐抓共管的原则，健全管行业</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管业务、管生产经营必须管安全</w:t>
      </w:r>
      <w:r>
        <w:rPr>
          <w:rFonts w:hint="eastAsia" w:ascii="Times New Roman" w:hAnsi="Times New Roman" w:eastAsia="仿宋" w:cs="Times New Roman"/>
          <w:color w:val="000000"/>
          <w:kern w:val="0"/>
          <w:sz w:val="32"/>
          <w:szCs w:val="32"/>
          <w:lang w:eastAsia="zh-CN"/>
        </w:rPr>
        <w:t>和环保</w:t>
      </w:r>
      <w:r>
        <w:rPr>
          <w:rFonts w:hint="eastAsia" w:ascii="Times New Roman" w:hAnsi="Times New Roman" w:eastAsia="仿宋" w:cs="Times New Roman"/>
          <w:color w:val="000000"/>
          <w:kern w:val="0"/>
          <w:sz w:val="32"/>
          <w:szCs w:val="32"/>
        </w:rPr>
        <w:t>的生产责任制，严格执行企业安全主体责任</w:t>
      </w:r>
      <w:r>
        <w:rPr>
          <w:rFonts w:hint="eastAsia" w:ascii="Times New Roman" w:hAnsi="Times New Roman" w:eastAsia="仿宋" w:cs="Times New Roman"/>
          <w:color w:val="000000"/>
          <w:kern w:val="0"/>
          <w:sz w:val="32"/>
          <w:szCs w:val="32"/>
          <w:lang w:eastAsia="zh-CN"/>
        </w:rPr>
        <w:t>和环保主体责任</w:t>
      </w:r>
      <w:r>
        <w:rPr>
          <w:rFonts w:hint="eastAsia" w:ascii="Times New Roman" w:hAnsi="Times New Roman" w:eastAsia="仿宋" w:cs="Times New Roman"/>
          <w:color w:val="000000"/>
          <w:kern w:val="0"/>
          <w:sz w:val="32"/>
          <w:szCs w:val="32"/>
        </w:rPr>
        <w:t>告知制度，切实落实安全生产</w:t>
      </w:r>
      <w:r>
        <w:rPr>
          <w:rFonts w:hint="eastAsia" w:ascii="Times New Roman" w:hAnsi="Times New Roman" w:eastAsia="仿宋" w:cs="Times New Roman"/>
          <w:color w:val="000000"/>
          <w:kern w:val="0"/>
          <w:sz w:val="32"/>
          <w:szCs w:val="32"/>
          <w:lang w:eastAsia="zh-CN"/>
        </w:rPr>
        <w:t>及环保</w:t>
      </w:r>
      <w:r>
        <w:rPr>
          <w:rFonts w:hint="eastAsia" w:ascii="Times New Roman" w:hAnsi="Times New Roman" w:eastAsia="仿宋" w:cs="Times New Roman"/>
          <w:color w:val="000000"/>
          <w:kern w:val="0"/>
          <w:sz w:val="32"/>
          <w:szCs w:val="32"/>
        </w:rPr>
        <w:t>监管措施，</w:t>
      </w:r>
      <w:r>
        <w:rPr>
          <w:rFonts w:hint="eastAsia" w:ascii="Times New Roman" w:hAnsi="Times New Roman" w:eastAsia="仿宋" w:cs="Times New Roman"/>
          <w:color w:val="000000"/>
          <w:kern w:val="0"/>
          <w:sz w:val="32"/>
          <w:szCs w:val="32"/>
          <w:lang w:eastAsia="zh-CN"/>
        </w:rPr>
        <w:t>督促企业建立</w:t>
      </w:r>
      <w:r>
        <w:rPr>
          <w:rFonts w:hint="eastAsia" w:ascii="Times New Roman" w:hAnsi="Times New Roman" w:eastAsia="仿宋" w:cs="Times New Roman"/>
          <w:color w:val="000000"/>
          <w:kern w:val="0"/>
          <w:sz w:val="32"/>
          <w:szCs w:val="32"/>
        </w:rPr>
        <w:t>安全</w:t>
      </w:r>
      <w:r>
        <w:rPr>
          <w:rFonts w:hint="eastAsia" w:ascii="Times New Roman" w:hAnsi="Times New Roman" w:eastAsia="仿宋" w:cs="Times New Roman"/>
          <w:color w:val="000000"/>
          <w:kern w:val="0"/>
          <w:sz w:val="32"/>
          <w:szCs w:val="32"/>
          <w:lang w:eastAsia="zh-CN"/>
        </w:rPr>
        <w:t>、环保</w:t>
      </w:r>
      <w:r>
        <w:rPr>
          <w:rFonts w:hint="eastAsia" w:ascii="Times New Roman" w:hAnsi="Times New Roman" w:eastAsia="仿宋" w:cs="Times New Roman"/>
          <w:color w:val="000000"/>
          <w:kern w:val="0"/>
          <w:sz w:val="32"/>
          <w:szCs w:val="32"/>
        </w:rPr>
        <w:t>责任体系。</w:t>
      </w:r>
      <w:r>
        <w:rPr>
          <w:rFonts w:hint="eastAsia" w:ascii="仿宋" w:hAnsi="仿宋" w:eastAsia="仿宋" w:cs="仿宋"/>
          <w:b/>
          <w:bCs/>
          <w:color w:val="000000"/>
          <w:kern w:val="0"/>
          <w:sz w:val="32"/>
          <w:szCs w:val="32"/>
          <w:lang w:val="en-US" w:eastAsia="zh-CN"/>
        </w:rPr>
        <w:t>二是优化治理体系。</w:t>
      </w:r>
      <w:r>
        <w:rPr>
          <w:rFonts w:hint="eastAsia" w:ascii="Times New Roman" w:hAnsi="Times New Roman" w:eastAsia="仿宋" w:cs="Times New Roman"/>
          <w:color w:val="000000"/>
          <w:kern w:val="0"/>
          <w:sz w:val="32"/>
          <w:szCs w:val="32"/>
        </w:rPr>
        <w:t>用好党建联席会议、在职党员积分制管理</w:t>
      </w:r>
      <w:r>
        <w:rPr>
          <w:rFonts w:hint="eastAsia" w:ascii="Times New Roman" w:hAnsi="Times New Roman" w:eastAsia="仿宋" w:cs="Times New Roman"/>
          <w:color w:val="000000"/>
          <w:kern w:val="0"/>
          <w:sz w:val="32"/>
          <w:szCs w:val="32"/>
          <w:lang w:eastAsia="zh-CN"/>
        </w:rPr>
        <w:t>机制</w:t>
      </w:r>
      <w:r>
        <w:rPr>
          <w:rFonts w:hint="eastAsia" w:ascii="Times New Roman" w:hAnsi="Times New Roman" w:eastAsia="仿宋" w:cs="Times New Roman"/>
          <w:color w:val="000000"/>
          <w:kern w:val="0"/>
          <w:sz w:val="32"/>
          <w:szCs w:val="32"/>
          <w:lang w:val="en-US" w:eastAsia="zh-CN"/>
        </w:rPr>
        <w:t>等</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多种方式调动辖区共驻共建单位</w:t>
      </w:r>
      <w:r>
        <w:rPr>
          <w:rFonts w:hint="eastAsia" w:ascii="Times New Roman" w:hAnsi="Times New Roman" w:eastAsia="仿宋" w:cs="Times New Roman"/>
          <w:color w:val="000000"/>
          <w:kern w:val="0"/>
          <w:sz w:val="32"/>
          <w:szCs w:val="32"/>
          <w:lang w:val="en-US" w:eastAsia="zh-CN"/>
        </w:rPr>
        <w:t>参</w:t>
      </w:r>
      <w:r>
        <w:rPr>
          <w:rFonts w:hint="eastAsia" w:ascii="Times New Roman" w:hAnsi="Times New Roman" w:eastAsia="仿宋" w:cs="Times New Roman"/>
          <w:color w:val="000000"/>
          <w:kern w:val="0"/>
          <w:sz w:val="32"/>
          <w:szCs w:val="32"/>
        </w:rPr>
        <w:t>与基层治理的积极性</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共同协商解决辖区范围内党建、基层治理方面存在的问题</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做到大事共议、实事共办、要事共决</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形成共驻共建共治共享的工作格局。优化公共配套</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打通强治理、优服务、惠民生的“最后一百米”。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（三）多措并举搞发展，经济建设再上一阶</w:t>
      </w:r>
    </w:p>
    <w:p>
      <w:pPr>
        <w:pStyle w:val="4"/>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eastAsia" w:ascii="Times New Roman" w:hAnsi="Times New Roman" w:eastAsia="仿宋" w:cs="Times New Roman"/>
          <w:color w:val="000000"/>
          <w:kern w:val="0"/>
          <w:sz w:val="32"/>
          <w:szCs w:val="32"/>
          <w:lang w:val="en-US" w:eastAsia="zh-CN"/>
        </w:rPr>
      </w:pPr>
      <w:r>
        <w:rPr>
          <w:rFonts w:hint="eastAsia" w:ascii="仿宋" w:hAnsi="仿宋" w:eastAsia="仿宋" w:cs="仿宋"/>
          <w:b/>
          <w:bCs/>
          <w:color w:val="000000"/>
          <w:kern w:val="0"/>
          <w:sz w:val="32"/>
          <w:szCs w:val="32"/>
          <w:lang w:val="en-US" w:eastAsia="zh-CN"/>
        </w:rPr>
        <w:t>一是在品牌经济上下功夫。</w:t>
      </w:r>
      <w:r>
        <w:rPr>
          <w:rFonts w:hint="eastAsia" w:ascii="Times New Roman" w:hAnsi="Times New Roman" w:eastAsia="仿宋" w:cs="Times New Roman"/>
          <w:color w:val="000000"/>
          <w:kern w:val="0"/>
          <w:sz w:val="32"/>
          <w:szCs w:val="32"/>
          <w:lang w:val="en-US" w:eastAsia="zh-CN"/>
        </w:rPr>
        <w:t>利用好高寺镇小龙虾啤酒音乐节、葡萄采摘节和秋千王国带来的人流量，大力宣传”高寺葡萄”、“高寺肥肠鱼”、“粮穗香”大米等品牌，做出品牌效应，提升产品附加值，带动一、二、三产业协同发展。</w:t>
      </w:r>
      <w:r>
        <w:rPr>
          <w:rFonts w:hint="eastAsia" w:ascii="仿宋" w:hAnsi="仿宋" w:eastAsia="仿宋" w:cs="仿宋"/>
          <w:b/>
          <w:bCs/>
          <w:color w:val="000000"/>
          <w:kern w:val="0"/>
          <w:sz w:val="32"/>
          <w:szCs w:val="32"/>
          <w:lang w:val="en-US" w:eastAsia="zh-CN"/>
        </w:rPr>
        <w:t>二是在科技赋能上下功夫。</w:t>
      </w:r>
      <w:r>
        <w:rPr>
          <w:rFonts w:hint="eastAsia" w:ascii="Times New Roman" w:hAnsi="Times New Roman" w:eastAsia="仿宋" w:cs="Times New Roman"/>
          <w:color w:val="000000"/>
          <w:kern w:val="0"/>
          <w:sz w:val="32"/>
          <w:szCs w:val="32"/>
          <w:lang w:val="en-US" w:eastAsia="zh-CN"/>
        </w:rPr>
        <w:t>依托四川生猪现代种业基因交流中心、畜禽种业创新孵化中心、动物生物安全防控技术研发中心、带来的技术支持，争做新品种试验点，做第一个吃螃蟹的人，把养殖业做成亮点产业。</w:t>
      </w:r>
      <w:r>
        <w:rPr>
          <w:rFonts w:hint="eastAsia" w:ascii="仿宋" w:hAnsi="仿宋" w:eastAsia="仿宋" w:cs="仿宋"/>
          <w:b/>
          <w:bCs/>
          <w:color w:val="000000"/>
          <w:kern w:val="0"/>
          <w:sz w:val="32"/>
          <w:szCs w:val="32"/>
          <w:lang w:val="en-US" w:eastAsia="zh-CN"/>
        </w:rPr>
        <w:t>三是政府服务上下功夫。</w:t>
      </w:r>
      <w:r>
        <w:rPr>
          <w:rFonts w:hint="eastAsia" w:ascii="Times New Roman" w:hAnsi="Times New Roman" w:eastAsia="仿宋" w:cs="Times New Roman"/>
          <w:color w:val="000000"/>
          <w:kern w:val="0"/>
          <w:sz w:val="32"/>
          <w:szCs w:val="32"/>
          <w:lang w:val="en-US" w:eastAsia="zh-CN"/>
        </w:rPr>
        <w:t>高寺镇政府在硬件上将持续完善各类基础设施、产业配套设施，为产业发展打下良好基础。在软件上，高寺镇政府将继续大力引进新项目，带来新机遇。同时，优化各种审批手续，完善监管体系，保障业主的合法权益，吸引投资，推动高寺经济高质量发展。</w:t>
      </w:r>
    </w:p>
    <w:p>
      <w:pPr>
        <w:spacing w:line="580" w:lineRule="exact"/>
        <w:ind w:firstLine="640" w:firstLineChars="200"/>
        <w:rPr>
          <w:rFonts w:eastAsia="微软雅黑"/>
          <w:szCs w:val="32"/>
        </w:rPr>
      </w:pPr>
      <w:r>
        <w:rPr>
          <w:rFonts w:hint="eastAsia" w:eastAsia="微软雅黑"/>
          <w:szCs w:val="32"/>
        </w:rPr>
        <w:t>三、收支预算情况说明</w:t>
      </w:r>
    </w:p>
    <w:p>
      <w:pPr>
        <w:spacing w:line="580" w:lineRule="exact"/>
        <w:ind w:firstLine="643" w:firstLineChars="200"/>
        <w:rPr>
          <w:rFonts w:eastAsia="仿宋"/>
          <w:b/>
          <w:szCs w:val="32"/>
        </w:rPr>
      </w:pPr>
      <w:r>
        <w:rPr>
          <w:rFonts w:hint="eastAsia" w:eastAsia="仿宋"/>
          <w:b/>
          <w:szCs w:val="32"/>
        </w:rPr>
        <w:t>（一）收入预算情况</w:t>
      </w:r>
    </w:p>
    <w:p>
      <w:pPr>
        <w:spacing w:line="580" w:lineRule="exact"/>
        <w:ind w:firstLine="640" w:firstLineChars="200"/>
        <w:rPr>
          <w:rFonts w:hint="eastAsia"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高寺镇人民政府2024年收入预算2171.24万元，较2023年单位预算收入总数2110.62万元，增加60.62万元，上涨2.7%。其中：一般公共预算拨款收入2171.24万元，占100%。</w:t>
      </w:r>
    </w:p>
    <w:p>
      <w:pPr>
        <w:spacing w:line="580" w:lineRule="exact"/>
        <w:ind w:firstLine="643" w:firstLineChars="200"/>
        <w:rPr>
          <w:rFonts w:eastAsia="仿宋"/>
          <w:b/>
          <w:szCs w:val="32"/>
        </w:rPr>
      </w:pPr>
      <w:r>
        <w:rPr>
          <w:rFonts w:hint="eastAsia" w:eastAsia="仿宋"/>
          <w:b/>
          <w:szCs w:val="32"/>
        </w:rPr>
        <w:t>（二）支出预算情况</w:t>
      </w:r>
    </w:p>
    <w:p>
      <w:pPr>
        <w:spacing w:line="360" w:lineRule="auto"/>
        <w:ind w:firstLine="640" w:firstLineChars="200"/>
        <w:rPr>
          <w:rFonts w:ascii="仿宋" w:hAnsi="仿宋" w:eastAsia="仿宋"/>
          <w:sz w:val="30"/>
          <w:szCs w:val="30"/>
        </w:rPr>
      </w:pPr>
      <w:r>
        <w:rPr>
          <w:rFonts w:hint="eastAsia" w:ascii="Times New Roman" w:hAnsi="Times New Roman" w:eastAsia="仿宋" w:cs="Times New Roman"/>
          <w:color w:val="000000"/>
          <w:kern w:val="0"/>
          <w:sz w:val="32"/>
          <w:szCs w:val="32"/>
          <w:lang w:val="en-US" w:eastAsia="zh-CN" w:bidi="ar-SA"/>
        </w:rPr>
        <w:t>高寺镇人民政府2024年支出预算2171.24万元，较2023年单位预算支出总数2110.62万元，增长2.7%。其中：基本支出2171.24万元，占100%。</w:t>
      </w:r>
    </w:p>
    <w:p>
      <w:pPr>
        <w:spacing w:line="580" w:lineRule="exact"/>
        <w:ind w:firstLine="643" w:firstLineChars="200"/>
        <w:rPr>
          <w:rFonts w:eastAsia="仿宋"/>
          <w:b/>
          <w:szCs w:val="32"/>
        </w:rPr>
      </w:pPr>
      <w:r>
        <w:rPr>
          <w:rFonts w:hint="eastAsia" w:eastAsia="仿宋"/>
          <w:b/>
          <w:szCs w:val="32"/>
        </w:rPr>
        <w:t>（三）专项资金说明</w:t>
      </w:r>
    </w:p>
    <w:p>
      <w:pPr>
        <w:spacing w:line="580" w:lineRule="exact"/>
        <w:ind w:firstLine="640" w:firstLineChars="200"/>
        <w:rPr>
          <w:rFonts w:hint="eastAsia"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2024年单位预算专项支出0万元（含上级转移支付资金0万元）。</w:t>
      </w:r>
    </w:p>
    <w:p>
      <w:pPr>
        <w:spacing w:line="580" w:lineRule="exact"/>
        <w:ind w:firstLine="643" w:firstLineChars="200"/>
        <w:rPr>
          <w:rFonts w:eastAsia="仿宋"/>
          <w:b/>
          <w:szCs w:val="32"/>
        </w:rPr>
      </w:pPr>
      <w:r>
        <w:rPr>
          <w:rFonts w:hint="eastAsia" w:eastAsia="仿宋"/>
          <w:b/>
          <w:szCs w:val="32"/>
        </w:rPr>
        <w:t>（四）“三公”经费财政拨款预算安排情况说明</w:t>
      </w:r>
    </w:p>
    <w:p>
      <w:pPr>
        <w:spacing w:line="580" w:lineRule="exact"/>
        <w:ind w:firstLine="640" w:firstLineChars="200"/>
        <w:rPr>
          <w:rFonts w:hint="eastAsia"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高寺镇人民政府2024年“三公”经费财政拨款预算数5.5万元，其中：因公出国（境）经费0万元，公务接待费5.5万元，公务用车购置及运行维护费0万元。</w:t>
      </w:r>
    </w:p>
    <w:p>
      <w:pPr>
        <w:spacing w:line="580" w:lineRule="exact"/>
        <w:ind w:firstLine="643" w:firstLineChars="200"/>
        <w:rPr>
          <w:rFonts w:eastAsia="仿宋"/>
          <w:b/>
          <w:szCs w:val="32"/>
        </w:rPr>
      </w:pPr>
      <w:r>
        <w:rPr>
          <w:rFonts w:hint="eastAsia" w:eastAsia="仿宋"/>
          <w:b/>
          <w:szCs w:val="32"/>
        </w:rPr>
        <w:t>1.</w:t>
      </w:r>
      <w:r>
        <w:rPr>
          <w:rFonts w:eastAsia="仿宋"/>
          <w:b/>
          <w:szCs w:val="32"/>
        </w:rPr>
        <w:t>因公出国（境）经费较20</w:t>
      </w:r>
      <w:r>
        <w:rPr>
          <w:rFonts w:hint="eastAsia" w:eastAsia="仿宋"/>
          <w:b/>
          <w:szCs w:val="32"/>
        </w:rPr>
        <w:t>23</w:t>
      </w:r>
      <w:r>
        <w:rPr>
          <w:rFonts w:eastAsia="仿宋"/>
          <w:b/>
          <w:szCs w:val="32"/>
        </w:rPr>
        <w:t>年预算持平</w:t>
      </w:r>
    </w:p>
    <w:p>
      <w:pPr>
        <w:spacing w:line="580" w:lineRule="exact"/>
        <w:ind w:firstLine="643" w:firstLineChars="200"/>
        <w:rPr>
          <w:rFonts w:eastAsia="仿宋"/>
          <w:b/>
          <w:szCs w:val="32"/>
        </w:rPr>
      </w:pPr>
      <w:r>
        <w:rPr>
          <w:rFonts w:hint="eastAsia" w:eastAsia="仿宋"/>
          <w:b/>
          <w:szCs w:val="32"/>
        </w:rPr>
        <w:t>2.</w:t>
      </w:r>
      <w:r>
        <w:rPr>
          <w:rFonts w:eastAsia="仿宋"/>
          <w:b/>
          <w:szCs w:val="32"/>
        </w:rPr>
        <w:t>公务接待费较20</w:t>
      </w:r>
      <w:r>
        <w:rPr>
          <w:rFonts w:hint="eastAsia" w:eastAsia="仿宋"/>
          <w:b/>
          <w:szCs w:val="32"/>
        </w:rPr>
        <w:t>23</w:t>
      </w:r>
      <w:r>
        <w:rPr>
          <w:rFonts w:eastAsia="仿宋"/>
          <w:b/>
          <w:szCs w:val="32"/>
        </w:rPr>
        <w:t>年预算下降</w:t>
      </w:r>
      <w:r>
        <w:rPr>
          <w:rFonts w:hint="eastAsia" w:eastAsia="仿宋"/>
          <w:b/>
          <w:szCs w:val="32"/>
          <w:lang w:val="en-US" w:eastAsia="zh-CN"/>
        </w:rPr>
        <w:t>19.11</w:t>
      </w:r>
      <w:r>
        <w:rPr>
          <w:rFonts w:eastAsia="仿宋"/>
          <w:b/>
          <w:szCs w:val="32"/>
        </w:rPr>
        <w:t>%。</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eastAsia="微软雅黑"/>
          <w:szCs w:val="32"/>
        </w:rPr>
      </w:pPr>
      <w:r>
        <w:rPr>
          <w:rFonts w:hint="eastAsia" w:ascii="Times New Roman" w:hAnsi="Times New Roman" w:eastAsia="仿宋" w:cs="Times New Roman"/>
          <w:color w:val="000000"/>
          <w:kern w:val="0"/>
          <w:sz w:val="32"/>
          <w:szCs w:val="32"/>
          <w:lang w:val="en-US" w:eastAsia="zh-CN" w:bidi="ar-SA"/>
        </w:rPr>
        <w:t>2024年公务接待费计划用于上级、同级部门工作交流等日常接待等。</w:t>
      </w:r>
      <w:r>
        <w:rPr>
          <w:rFonts w:hint="eastAsia" w:ascii="微软雅黑" w:hAnsi="微软雅黑" w:eastAsia="微软雅黑" w:cs="微软雅黑"/>
          <w:sz w:val="32"/>
          <w:szCs w:val="32"/>
        </w:rPr>
        <w:t xml:space="preserve"> </w:t>
      </w:r>
      <w:r>
        <w:rPr>
          <w:rFonts w:hint="eastAsia" w:eastAsia="微软雅黑"/>
          <w:szCs w:val="32"/>
        </w:rPr>
        <w:t xml:space="preserve"> </w:t>
      </w:r>
    </w:p>
    <w:p>
      <w:pPr>
        <w:spacing w:line="580" w:lineRule="exact"/>
        <w:ind w:firstLine="643" w:firstLineChars="200"/>
        <w:rPr>
          <w:rFonts w:eastAsia="仿宋"/>
          <w:b/>
          <w:szCs w:val="32"/>
        </w:rPr>
      </w:pPr>
      <w:r>
        <w:rPr>
          <w:rFonts w:hint="eastAsia" w:eastAsia="仿宋"/>
          <w:b/>
          <w:szCs w:val="32"/>
        </w:rPr>
        <w:t>3.公务用车购置及运行维护费较2023年预算</w:t>
      </w:r>
      <w:r>
        <w:rPr>
          <w:rFonts w:hint="eastAsia" w:eastAsia="仿宋"/>
          <w:b/>
          <w:szCs w:val="32"/>
          <w:lang w:eastAsia="zh-CN"/>
        </w:rPr>
        <w:t>持平</w:t>
      </w:r>
      <w:r>
        <w:rPr>
          <w:rFonts w:hint="eastAsia" w:eastAsia="仿宋"/>
          <w:b/>
          <w:szCs w:val="32"/>
        </w:rPr>
        <w:t>。</w:t>
      </w:r>
    </w:p>
    <w:p>
      <w:pPr>
        <w:spacing w:line="360" w:lineRule="auto"/>
        <w:ind w:firstLine="640" w:firstLineChars="200"/>
        <w:rPr>
          <w:rFonts w:eastAsia="微软雅黑"/>
          <w:szCs w:val="32"/>
        </w:rPr>
      </w:pPr>
      <w:r>
        <w:rPr>
          <w:rFonts w:hint="eastAsia" w:eastAsia="微软雅黑"/>
          <w:szCs w:val="32"/>
        </w:rPr>
        <w:t>单位现有公务用车</w:t>
      </w:r>
      <w:r>
        <w:rPr>
          <w:rFonts w:hint="eastAsia" w:eastAsia="微软雅黑"/>
          <w:szCs w:val="32"/>
          <w:lang w:val="en-US" w:eastAsia="zh-CN"/>
        </w:rPr>
        <w:t>0</w:t>
      </w:r>
      <w:r>
        <w:rPr>
          <w:rFonts w:hint="eastAsia" w:eastAsia="微软雅黑"/>
          <w:szCs w:val="32"/>
        </w:rPr>
        <w:t>辆。</w:t>
      </w:r>
    </w:p>
    <w:p>
      <w:pPr>
        <w:spacing w:line="360" w:lineRule="auto"/>
        <w:ind w:firstLine="640" w:firstLineChars="200"/>
        <w:rPr>
          <w:rFonts w:hint="eastAsia" w:eastAsia="微软雅黑"/>
          <w:szCs w:val="32"/>
          <w:lang w:eastAsia="zh-CN"/>
        </w:rPr>
      </w:pPr>
      <w:r>
        <w:rPr>
          <w:rFonts w:hint="eastAsia" w:eastAsia="微软雅黑"/>
          <w:szCs w:val="32"/>
        </w:rPr>
        <w:t>公务用车购置费</w:t>
      </w:r>
      <w:r>
        <w:rPr>
          <w:rFonts w:hint="eastAsia" w:eastAsia="微软雅黑"/>
          <w:szCs w:val="32"/>
          <w:lang w:val="en-US" w:eastAsia="zh-CN"/>
        </w:rPr>
        <w:t>0</w:t>
      </w:r>
      <w:r>
        <w:rPr>
          <w:rFonts w:hint="eastAsia" w:eastAsia="微软雅黑"/>
          <w:szCs w:val="32"/>
        </w:rPr>
        <w:t>万元</w:t>
      </w:r>
      <w:r>
        <w:rPr>
          <w:rFonts w:hint="eastAsia" w:eastAsia="微软雅黑"/>
          <w:szCs w:val="32"/>
          <w:lang w:eastAsia="zh-CN"/>
        </w:rPr>
        <w:t>。</w:t>
      </w:r>
    </w:p>
    <w:p>
      <w:pPr>
        <w:spacing w:line="360" w:lineRule="auto"/>
        <w:ind w:firstLine="640" w:firstLineChars="200"/>
        <w:rPr>
          <w:rFonts w:hint="eastAsia" w:eastAsia="微软雅黑"/>
          <w:szCs w:val="32"/>
          <w:lang w:eastAsia="zh-CN"/>
        </w:rPr>
      </w:pPr>
      <w:r>
        <w:rPr>
          <w:rFonts w:hint="eastAsia" w:eastAsia="微软雅黑"/>
          <w:szCs w:val="32"/>
        </w:rPr>
        <w:t>公务用车运行维护费</w:t>
      </w:r>
      <w:r>
        <w:rPr>
          <w:rFonts w:hint="eastAsia" w:eastAsia="微软雅黑"/>
          <w:szCs w:val="32"/>
          <w:lang w:val="en-US" w:eastAsia="zh-CN"/>
        </w:rPr>
        <w:t>0</w:t>
      </w:r>
      <w:r>
        <w:rPr>
          <w:rFonts w:hint="eastAsia" w:eastAsia="微软雅黑"/>
          <w:szCs w:val="32"/>
        </w:rPr>
        <w:t>万元</w:t>
      </w:r>
      <w:r>
        <w:rPr>
          <w:rFonts w:hint="eastAsia" w:eastAsia="微软雅黑"/>
          <w:szCs w:val="32"/>
          <w:lang w:eastAsia="zh-CN"/>
        </w:rPr>
        <w:t>。</w:t>
      </w:r>
    </w:p>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449F2B7-E91E-4D83-BDC1-02B9079780C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embedRegular r:id="rId2" w:fontKey="{09C58E4A-365C-49AC-9C12-CD004C1B7B98}"/>
  </w:font>
  <w:font w:name="仿宋">
    <w:panose1 w:val="02010609060101010101"/>
    <w:charset w:val="86"/>
    <w:family w:val="modern"/>
    <w:pitch w:val="default"/>
    <w:sig w:usb0="800002BF" w:usb1="38CF7CFA" w:usb2="00000016" w:usb3="00000000" w:csb0="00040001" w:csb1="00000000"/>
    <w:embedRegular r:id="rId3" w:fontKey="{E40B8E60-9B42-4AA8-9BA3-7923481FBFA0}"/>
  </w:font>
  <w:font w:name="楷体">
    <w:panose1 w:val="02010609060101010101"/>
    <w:charset w:val="86"/>
    <w:family w:val="auto"/>
    <w:pitch w:val="default"/>
    <w:sig w:usb0="800002BF" w:usb1="38CF7CFA" w:usb2="00000016" w:usb3="00000000" w:csb0="00040001" w:csb1="00000000"/>
    <w:embedRegular r:id="rId4" w:fontKey="{AD82E667-4B58-4D8B-BB28-29F7FB33308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DFlZjFkOGJhOTc3NGE2NWYwZDNhZDAwMTQ0M2IifQ=="/>
  </w:docVars>
  <w:rsids>
    <w:rsidRoot w:val="5D9925AC"/>
    <w:rsid w:val="0041427A"/>
    <w:rsid w:val="009E7103"/>
    <w:rsid w:val="00BB67B9"/>
    <w:rsid w:val="00C3204B"/>
    <w:rsid w:val="12C56763"/>
    <w:rsid w:val="399E0993"/>
    <w:rsid w:val="5D9925AC"/>
    <w:rsid w:val="6E0D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120</TotalTime>
  <ScaleCrop>false</ScaleCrop>
  <LinksUpToDate>false</LinksUpToDate>
  <CharactersWithSpaces>1162</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Administrator</cp:lastModifiedBy>
  <cp:lastPrinted>2022-12-07T02:45:00Z</cp:lastPrinted>
  <dcterms:modified xsi:type="dcterms:W3CDTF">2024-06-06T08:01:12Z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8D2AF2F51FF0466FBDA52D7046864B8A</vt:lpwstr>
  </property>
</Properties>
</file>