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193"/>
      <w:bookmarkStart w:id="2" w:name="_Toc15378441"/>
      <w:bookmarkStart w:id="3" w:name="_Toc15396597"/>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乐至县金顺镇卫生院</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2023年度决算公开说明</w:t>
      </w: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pStyle w:val="6"/>
        <w:spacing w:before="93"/>
        <w:rPr>
          <w:rFonts w:eastAsia="仿宋"/>
          <w:bCs/>
          <w:i/>
          <w:color w:val="000000"/>
          <w:sz w:val="32"/>
          <w:szCs w:val="32"/>
          <w:highlight w:val="yellow"/>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ascii="黑体" w:hAnsi="黑体" w:eastAsia="黑体"/>
          <w:sz w:val="48"/>
          <w:szCs w:val="48"/>
        </w:rPr>
      </w:pPr>
      <w:bookmarkStart w:id="37" w:name="_GoBack"/>
      <w:bookmarkEnd w:id="37"/>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8</w:t>
      </w:r>
      <w:r>
        <w:rPr>
          <w:rFonts w:hint="eastAsia"/>
        </w:rPr>
        <w:t>月</w:t>
      </w:r>
      <w:r>
        <w:rPr>
          <w:rFonts w:hint="eastAsia"/>
          <w:lang w:val="en-US" w:eastAsia="zh-CN"/>
        </w:rPr>
        <w:t>29</w:t>
      </w:r>
      <w:r>
        <w:t xml:space="preserve"> </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sz w:val="24"/>
        </w:rPr>
      </w:pPr>
      <w:r>
        <w:rPr>
          <w:rFonts w:hint="eastAsia"/>
          <w:sz w:val="24"/>
        </w:rPr>
        <w:t>一、部门职责</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2022年度部门决算情况说明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6" w:name="_Toc15377196"/>
      <w:bookmarkStart w:id="7" w:name="_Toc15396599"/>
      <w:r>
        <w:rPr>
          <w:rFonts w:ascii="仿宋" w:hAnsi="仿宋" w:eastAsia="仿宋"/>
          <w:b/>
          <w:sz w:val="24"/>
        </w:rPr>
        <w:br w:type="page"/>
      </w:r>
    </w:p>
    <w:p>
      <w:pPr>
        <w:pStyle w:val="2"/>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6"/>
      <w:bookmarkEnd w:id="7"/>
    </w:p>
    <w:p>
      <w:pPr>
        <w:widowControl/>
        <w:jc w:val="left"/>
        <w:rPr>
          <w:rFonts w:ascii="黑体" w:eastAsia="黑体"/>
          <w:sz w:val="32"/>
          <w:szCs w:val="32"/>
        </w:rPr>
      </w:pPr>
    </w:p>
    <w:p>
      <w:pPr>
        <w:pStyle w:val="3"/>
        <w:rPr>
          <w:rFonts w:ascii="黑体" w:hAnsi="黑体" w:eastAsia="黑体"/>
          <w:b w:val="0"/>
        </w:rPr>
      </w:pPr>
      <w:bookmarkStart w:id="8" w:name="_Toc15396600"/>
      <w:bookmarkStart w:id="9" w:name="_Toc15377197"/>
      <w:r>
        <w:rPr>
          <w:rFonts w:hint="eastAsia" w:ascii="黑体" w:hAnsi="黑体" w:eastAsia="黑体"/>
          <w:b w:val="0"/>
        </w:rPr>
        <w:t>一、</w:t>
      </w:r>
      <w:bookmarkEnd w:id="8"/>
      <w:bookmarkEnd w:id="9"/>
      <w:r>
        <w:rPr>
          <w:rFonts w:hint="eastAsia" w:ascii="黑体" w:hAnsi="黑体" w:eastAsia="黑体"/>
          <w:b w:val="0"/>
        </w:rPr>
        <w:t>部门职责</w:t>
      </w:r>
    </w:p>
    <w:p>
      <w:pPr>
        <w:ind w:firstLine="640" w:firstLineChars="200"/>
        <w:rPr>
          <w:rFonts w:ascii="仿宋" w:hAnsi="仿宋" w:eastAsia="仿宋"/>
          <w:sz w:val="32"/>
          <w:szCs w:val="32"/>
        </w:rPr>
      </w:pPr>
      <w:r>
        <w:rPr>
          <w:rFonts w:hint="eastAsia" w:ascii="仿宋" w:hAnsi="仿宋" w:eastAsia="仿宋"/>
          <w:sz w:val="32"/>
          <w:szCs w:val="32"/>
        </w:rPr>
        <w:t>为辖区内的居民提供基本医疗服务及基本公共卫生服务。</w:t>
      </w:r>
    </w:p>
    <w:p>
      <w:pPr>
        <w:pStyle w:val="3"/>
        <w:rPr>
          <w:rStyle w:val="29"/>
          <w:b w:val="0"/>
          <w:bCs w:val="0"/>
        </w:rPr>
      </w:pPr>
      <w:bookmarkStart w:id="10" w:name="_Toc15377200"/>
      <w:bookmarkStart w:id="11"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0"/>
      <w:bookmarkEnd w:id="11"/>
    </w:p>
    <w:p>
      <w:pPr>
        <w:ind w:firstLine="800" w:firstLineChars="250"/>
      </w:pPr>
      <w:r>
        <w:rPr>
          <w:rFonts w:hint="eastAsia" w:ascii="仿宋" w:hAnsi="仿宋" w:eastAsia="仿宋"/>
          <w:sz w:val="32"/>
          <w:szCs w:val="32"/>
        </w:rPr>
        <w:t>乐至县金顺镇卫生院属乐至县卫生健康局的下属二级预算单位，</w:t>
      </w:r>
      <w:r>
        <w:rPr>
          <w:rFonts w:hint="eastAsia" w:ascii="仿宋" w:hAnsi="仿宋" w:eastAsia="仿宋" w:cs="Times New Roman"/>
          <w:sz w:val="32"/>
          <w:szCs w:val="32"/>
        </w:rPr>
        <w:t>下设独立编制机构</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个，其中行政机构</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个，参照公务员法管理的事业机构</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个，其他事业机构</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w:t>
      </w:r>
    </w:p>
    <w:p>
      <w:pPr>
        <w:pStyle w:val="2"/>
        <w:ind w:right="440"/>
        <w:jc w:val="center"/>
        <w:rPr>
          <w:rStyle w:val="28"/>
          <w:rFonts w:ascii="黑体" w:hAnsi="黑体" w:eastAsia="黑体"/>
          <w:b w:val="0"/>
          <w:bCs/>
        </w:rPr>
      </w:pPr>
      <w:bookmarkStart w:id="12" w:name="_Toc15377204"/>
      <w:bookmarkStart w:id="13" w:name="_Toc15396602"/>
      <w:r>
        <w:rPr>
          <w:rFonts w:hint="eastAsia" w:ascii="黑体" w:hAnsi="黑体" w:eastAsia="黑体"/>
          <w:b w:val="0"/>
        </w:rPr>
        <w:t>第二部分 2022年度</w:t>
      </w:r>
      <w:r>
        <w:rPr>
          <w:rStyle w:val="28"/>
          <w:rFonts w:hint="eastAsia" w:ascii="黑体" w:hAnsi="黑体" w:eastAsia="黑体"/>
          <w:b w:val="0"/>
          <w:bCs/>
        </w:rPr>
        <w:t>部门决算情况说明</w:t>
      </w:r>
      <w:bookmarkEnd w:id="12"/>
      <w:bookmarkEnd w:id="13"/>
    </w:p>
    <w:p/>
    <w:p>
      <w:pPr>
        <w:pStyle w:val="27"/>
        <w:numPr>
          <w:ilvl w:val="0"/>
          <w:numId w:val="0"/>
        </w:numPr>
        <w:spacing w:line="600" w:lineRule="exact"/>
        <w:ind w:left="640" w:leftChars="0"/>
        <w:outlineLvl w:val="1"/>
        <w:rPr>
          <w:rStyle w:val="35"/>
          <w:rFonts w:ascii="黑体" w:hAnsi="黑体" w:eastAsia="黑体"/>
          <w:b w:val="0"/>
          <w:color w:val="auto"/>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35"/>
          <w:rFonts w:hint="eastAsia" w:ascii="黑体" w:hAnsi="黑体" w:eastAsia="黑体"/>
          <w:b w:val="0"/>
          <w:color w:val="auto"/>
          <w:highlight w:val="none"/>
        </w:rPr>
        <w:t>入支出决算总体情况说明</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901.65</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w:t>
      </w:r>
      <w:r>
        <w:rPr>
          <w:rFonts w:hint="eastAsia" w:ascii="仿宋" w:hAnsi="仿宋" w:eastAsia="仿宋"/>
          <w:color w:val="auto"/>
          <w:sz w:val="32"/>
          <w:szCs w:val="32"/>
          <w:highlight w:val="none"/>
          <w:lang w:eastAsia="zh-CN"/>
        </w:rPr>
        <w:t>收入总计</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12.72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1.43%，</w:t>
      </w:r>
      <w:r>
        <w:rPr>
          <w:rFonts w:hint="eastAsia" w:ascii="仿宋" w:hAnsi="仿宋" w:eastAsia="仿宋"/>
          <w:color w:val="auto"/>
          <w:sz w:val="32"/>
          <w:szCs w:val="32"/>
          <w:highlight w:val="none"/>
          <w:lang w:eastAsia="zh-CN"/>
        </w:rPr>
        <w:t>支出总计增加了</w:t>
      </w:r>
      <w:r>
        <w:rPr>
          <w:rFonts w:hint="eastAsia" w:ascii="仿宋" w:hAnsi="仿宋" w:eastAsia="仿宋"/>
          <w:color w:val="auto"/>
          <w:sz w:val="32"/>
          <w:szCs w:val="32"/>
          <w:highlight w:val="none"/>
          <w:lang w:val="en-US" w:eastAsia="zh-CN"/>
        </w:rPr>
        <w:t>6.94万元.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0.77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财政拨款资金增加</w:t>
      </w:r>
      <w:r>
        <w:rPr>
          <w:rFonts w:hint="eastAsia" w:ascii="仿宋" w:hAnsi="仿宋" w:eastAsia="仿宋"/>
          <w:color w:val="auto"/>
          <w:sz w:val="32"/>
          <w:szCs w:val="32"/>
          <w:highlight w:val="none"/>
          <w:lang w:eastAsia="zh-CN"/>
        </w:rPr>
        <w:t>。</w:t>
      </w:r>
    </w:p>
    <w:p>
      <w:pPr>
        <w:pStyle w:val="6"/>
        <w:spacing w:before="93"/>
      </w:pPr>
      <w:r>
        <w:drawing>
          <wp:inline distT="0" distB="0" distL="114300" distR="114300">
            <wp:extent cx="4829175" cy="2818765"/>
            <wp:effectExtent l="4445" t="4445" r="12700" b="11430"/>
            <wp:docPr id="1752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0"/>
        </w:numPr>
        <w:spacing w:line="600" w:lineRule="exact"/>
        <w:ind w:left="640" w:leftChars="0"/>
        <w:outlineLvl w:val="1"/>
        <w:rPr>
          <w:rStyle w:val="35"/>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5"/>
          <w:rFonts w:hint="eastAsia" w:ascii="黑体" w:hAnsi="黑体" w:eastAsia="黑体"/>
          <w:b w:val="0"/>
          <w:color w:val="auto"/>
          <w:highlight w:val="none"/>
        </w:rPr>
        <w:t>入决算情况说明</w:t>
      </w:r>
    </w:p>
    <w:p>
      <w:pPr>
        <w:pStyle w:val="6"/>
        <w:spacing w:before="93"/>
        <w:ind w:firstLine="640" w:firstLineChars="200"/>
        <w:rPr>
          <w:rFonts w:hint="eastAsia" w:eastAsia="仿宋"/>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901.65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293.4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32.50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586.73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65.05</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22.24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2.45</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6"/>
        <w:spacing w:before="93"/>
      </w:pPr>
      <w:r>
        <w:drawing>
          <wp:inline distT="0" distB="0" distL="114300" distR="114300">
            <wp:extent cx="4829175" cy="3000375"/>
            <wp:effectExtent l="4445" t="4445" r="12700" b="12700"/>
            <wp:docPr id="17518" name="图表 12"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0"/>
        </w:numPr>
        <w:spacing w:line="600" w:lineRule="exact"/>
        <w:ind w:left="640" w:leftChars="0"/>
        <w:outlineLvl w:val="1"/>
        <w:rPr>
          <w:rStyle w:val="35"/>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5"/>
          <w:rFonts w:hint="eastAsia" w:ascii="黑体" w:hAnsi="黑体" w:eastAsia="黑体"/>
          <w:b w:val="0"/>
          <w:color w:val="auto"/>
          <w:highlight w:val="none"/>
        </w:rPr>
        <w:t>出决算情况说明</w:t>
      </w:r>
    </w:p>
    <w:p>
      <w:pPr>
        <w:spacing w:line="600" w:lineRule="exact"/>
        <w:ind w:firstLine="640" w:firstLineChars="200"/>
        <w:outlineLvl w:val="1"/>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901.65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649.77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72.06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251.88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27.94</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6"/>
        <w:spacing w:before="93"/>
      </w:pPr>
      <w:r>
        <w:drawing>
          <wp:inline distT="0" distB="0" distL="114300" distR="114300">
            <wp:extent cx="4829175" cy="3000375"/>
            <wp:effectExtent l="4445" t="4445" r="12700" b="12700"/>
            <wp:docPr id="17519" name="图表 19"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spacing w:before="93"/>
      </w:pPr>
    </w:p>
    <w:p>
      <w:pPr>
        <w:spacing w:line="600" w:lineRule="exact"/>
        <w:ind w:firstLine="640" w:firstLineChars="200"/>
        <w:outlineLvl w:val="1"/>
        <w:rPr>
          <w:rFonts w:hint="eastAsia" w:ascii="仿宋" w:hAnsi="仿宋" w:eastAsia="仿宋"/>
          <w:color w:val="auto"/>
          <w:sz w:val="32"/>
          <w:szCs w:val="32"/>
          <w:highlight w:val="none"/>
          <w:lang w:eastAsia="zh-CN"/>
        </w:rPr>
      </w:pPr>
      <w:bookmarkStart w:id="14" w:name="_Toc15396606"/>
      <w:bookmarkStart w:id="15" w:name="_Toc15377208"/>
      <w:r>
        <w:rPr>
          <w:rFonts w:hint="eastAsia" w:ascii="黑体" w:hAnsi="黑体" w:eastAsia="黑体"/>
          <w:color w:val="auto"/>
          <w:sz w:val="32"/>
          <w:szCs w:val="32"/>
          <w:highlight w:val="none"/>
        </w:rPr>
        <w:t>四、财</w:t>
      </w:r>
      <w:r>
        <w:rPr>
          <w:rStyle w:val="35"/>
          <w:rFonts w:hint="eastAsia" w:ascii="黑体" w:hAnsi="黑体" w:eastAsia="黑体"/>
          <w:b w:val="0"/>
          <w:color w:val="auto"/>
          <w:highlight w:val="none"/>
        </w:rPr>
        <w:t>政拨款收入支出决算总体情况说明</w:t>
      </w:r>
    </w:p>
    <w:p>
      <w:pPr>
        <w:rPr>
          <w:rFonts w:hint="eastAsia" w:ascii="黑体" w:hAnsi="黑体"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293.04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113.25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62.99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，支出总计增加了</w:t>
      </w:r>
      <w:r>
        <w:rPr>
          <w:rFonts w:hint="eastAsia" w:ascii="仿宋" w:hAnsi="仿宋" w:eastAsia="仿宋"/>
          <w:color w:val="auto"/>
          <w:sz w:val="32"/>
          <w:szCs w:val="32"/>
          <w:highlight w:val="none"/>
          <w:lang w:val="en-US" w:eastAsia="zh-CN"/>
        </w:rPr>
        <w:t>107.46，</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57.90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财政拨款资金增加。</w:t>
      </w:r>
    </w:p>
    <w:bookmarkEnd w:id="14"/>
    <w:bookmarkEnd w:id="15"/>
    <w:p>
      <w:pPr>
        <w:pStyle w:val="6"/>
        <w:spacing w:before="93"/>
        <w:rPr>
          <w:rFonts w:hint="eastAsia" w:ascii="仿宋" w:hAnsi="仿宋" w:eastAsia="仿宋"/>
          <w:b/>
          <w:color w:val="FF0000"/>
          <w:sz w:val="32"/>
          <w:szCs w:val="32"/>
        </w:rPr>
      </w:pPr>
      <w:r>
        <w:drawing>
          <wp:inline distT="0" distB="0" distL="114300" distR="114300">
            <wp:extent cx="4800600" cy="2924175"/>
            <wp:effectExtent l="4445" t="4445" r="10795" b="12700"/>
            <wp:docPr id="1752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1"/>
        </w:numPr>
        <w:spacing w:line="600" w:lineRule="exact"/>
        <w:ind w:firstLine="643" w:firstLineChars="200"/>
        <w:outlineLvl w:val="1"/>
        <w:rPr>
          <w:rStyle w:val="29"/>
          <w:rFonts w:hint="eastAsia" w:ascii="黑体" w:hAnsi="黑体" w:eastAsia="黑体"/>
          <w:b w:val="0"/>
          <w:color w:val="000000" w:themeColor="text1"/>
          <w14:textFill>
            <w14:solidFill>
              <w14:schemeClr w14:val="tx1"/>
            </w14:solidFill>
          </w14:textFill>
        </w:rPr>
      </w:pPr>
      <w:bookmarkStart w:id="16" w:name="_Toc15396607"/>
      <w:bookmarkStart w:id="17" w:name="_Toc15377209"/>
      <w:r>
        <w:rPr>
          <w:rFonts w:hint="eastAsia" w:ascii="黑体" w:hAnsi="黑体" w:eastAsia="黑体"/>
          <w:b/>
          <w:color w:val="000000" w:themeColor="text1"/>
          <w:sz w:val="32"/>
          <w:szCs w:val="32"/>
          <w14:textFill>
            <w14:solidFill>
              <w14:schemeClr w14:val="tx1"/>
            </w14:solidFill>
          </w14:textFill>
        </w:rPr>
        <w:t>一</w:t>
      </w:r>
      <w:r>
        <w:rPr>
          <w:rStyle w:val="29"/>
          <w:rFonts w:hint="eastAsia" w:ascii="黑体" w:hAnsi="黑体" w:eastAsia="黑体"/>
          <w:b w:val="0"/>
          <w:color w:val="000000" w:themeColor="text1"/>
          <w14:textFill>
            <w14:solidFill>
              <w14:schemeClr w14:val="tx1"/>
            </w14:solidFill>
          </w14:textFill>
        </w:rPr>
        <w:t>般公共预算财政拨款支出决算情况说明</w:t>
      </w:r>
      <w:bookmarkEnd w:id="16"/>
      <w:bookmarkEnd w:id="17"/>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pPr>
        <w:spacing w:line="6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293.04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32.50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107.46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财政拨款资金增加</w:t>
      </w:r>
    </w:p>
    <w:p>
      <w:pPr>
        <w:numPr>
          <w:ilvl w:val="0"/>
          <w:numId w:val="0"/>
        </w:numPr>
        <w:spacing w:line="600" w:lineRule="exact"/>
        <w:outlineLvl w:val="1"/>
        <w:rPr>
          <w:rStyle w:val="29"/>
          <w:rFonts w:hint="eastAsia" w:ascii="黑体" w:hAnsi="黑体" w:eastAsia="黑体"/>
          <w:b w:val="0"/>
          <w:color w:val="000000" w:themeColor="text1"/>
          <w14:textFill>
            <w14:solidFill>
              <w14:schemeClr w14:val="tx1"/>
            </w14:solidFill>
          </w14:textFill>
        </w:rPr>
      </w:pPr>
    </w:p>
    <w:p>
      <w:pPr>
        <w:pStyle w:val="6"/>
        <w:spacing w:before="93"/>
      </w:pPr>
      <w:r>
        <w:drawing>
          <wp:inline distT="0" distB="0" distL="114300" distR="114300">
            <wp:extent cx="4862830" cy="3195320"/>
            <wp:effectExtent l="5080" t="5080" r="8890" b="15240"/>
            <wp:docPr id="17520"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（二）一般公共预算财政拨款支出决算结构情况</w:t>
      </w:r>
    </w:p>
    <w:p>
      <w:pPr>
        <w:spacing w:line="600" w:lineRule="exact"/>
        <w:ind w:firstLine="640"/>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2023</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eastAsia="zh-CN"/>
          <w14:textFill>
            <w14:solidFill>
              <w14:schemeClr w14:val="tx1"/>
            </w14:solidFill>
          </w14:textFill>
        </w:rPr>
        <w:t>度</w:t>
      </w:r>
      <w:r>
        <w:rPr>
          <w:rFonts w:hint="eastAsia" w:ascii="仿宋" w:hAnsi="仿宋" w:eastAsia="仿宋"/>
          <w:color w:val="000000" w:themeColor="text1"/>
          <w:sz w:val="32"/>
          <w:szCs w:val="32"/>
          <w:highlight w:val="none"/>
          <w14:textFill>
            <w14:solidFill>
              <w14:schemeClr w14:val="tx1"/>
            </w14:solidFill>
          </w14:textFill>
        </w:rPr>
        <w:t>一般公共预算财政拨款支出</w:t>
      </w:r>
      <w:r>
        <w:rPr>
          <w:rFonts w:hint="eastAsia" w:ascii="仿宋" w:hAnsi="仿宋" w:eastAsia="仿宋"/>
          <w:color w:val="000000" w:themeColor="text1"/>
          <w:sz w:val="32"/>
          <w:szCs w:val="32"/>
          <w:highlight w:val="none"/>
          <w:lang w:val="en-US" w:eastAsia="zh-CN"/>
          <w14:textFill>
            <w14:solidFill>
              <w14:schemeClr w14:val="tx1"/>
            </w14:solidFill>
          </w14:textFill>
        </w:rPr>
        <w:t>293.04</w:t>
      </w:r>
      <w:r>
        <w:rPr>
          <w:rFonts w:hint="eastAsia" w:ascii="仿宋" w:hAnsi="仿宋" w:eastAsia="仿宋"/>
          <w:color w:val="000000" w:themeColor="text1"/>
          <w:sz w:val="32"/>
          <w:szCs w:val="32"/>
          <w:highlight w:val="none"/>
          <w14:textFill>
            <w14:solidFill>
              <w14:schemeClr w14:val="tx1"/>
            </w14:solidFill>
          </w14:textFill>
        </w:rPr>
        <w:t>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一般公共服务</w:t>
      </w:r>
      <w:r>
        <w:rPr>
          <w:rFonts w:hint="eastAsia" w:ascii="仿宋" w:hAnsi="仿宋" w:eastAsia="仿宋"/>
          <w:b/>
          <w:bCs/>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教育支出</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科学技术</w:t>
      </w:r>
      <w:r>
        <w:rPr>
          <w:rFonts w:hint="eastAsia" w:ascii="仿宋" w:hAnsi="仿宋" w:eastAsia="仿宋"/>
          <w:b/>
          <w:bCs/>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文化旅游体育与传媒支出</w:t>
      </w:r>
      <w:r>
        <w:rPr>
          <w:rFonts w:hint="eastAsia" w:ascii="仿宋" w:hAnsi="仿宋" w:eastAsia="仿宋"/>
          <w:b/>
          <w:bCs/>
          <w:color w:val="000000" w:themeColor="text1"/>
          <w:sz w:val="32"/>
          <w:szCs w:val="32"/>
          <w:highlight w:val="none"/>
          <w:lang w:val="en-US" w:eastAsia="zh-CN"/>
          <w14:textFill>
            <w14:solidFill>
              <w14:schemeClr w14:val="tx1"/>
            </w14:solidFill>
          </w14:textFill>
        </w:rPr>
        <w:t>0</w:t>
      </w:r>
      <w:r>
        <w:rPr>
          <w:rFonts w:hint="eastAsia" w:ascii="仿宋" w:hAnsi="仿宋" w:eastAsia="仿宋"/>
          <w:b/>
          <w:bCs/>
          <w:color w:val="000000" w:themeColor="text1"/>
          <w:sz w:val="32"/>
          <w:szCs w:val="32"/>
          <w:highlight w:val="none"/>
          <w14:textFill>
            <w14:solidFill>
              <w14:schemeClr w14:val="tx1"/>
            </w14:solidFill>
          </w14:textFill>
        </w:rPr>
        <w:t>万元，占</w:t>
      </w:r>
      <w:r>
        <w:rPr>
          <w:rFonts w:hint="eastAsia" w:ascii="仿宋" w:hAnsi="仿宋" w:eastAsia="仿宋"/>
          <w:b/>
          <w:bCs/>
          <w:color w:val="000000" w:themeColor="text1"/>
          <w:sz w:val="32"/>
          <w:szCs w:val="32"/>
          <w:highlight w:val="none"/>
          <w:lang w:val="en-US" w:eastAsia="zh-CN"/>
          <w14:textFill>
            <w14:solidFill>
              <w14:schemeClr w14:val="tx1"/>
            </w14:solidFill>
          </w14:textFill>
        </w:rPr>
        <w:t>0.0</w:t>
      </w:r>
      <w:r>
        <w:rPr>
          <w:rFonts w:ascii="仿宋" w:hAnsi="仿宋" w:eastAsia="仿宋"/>
          <w:b/>
          <w:bCs/>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社会保障和就业</w:t>
      </w:r>
      <w:r>
        <w:rPr>
          <w:rFonts w:hint="eastAsia" w:ascii="仿宋" w:hAnsi="仿宋" w:eastAsia="仿宋"/>
          <w:b/>
          <w:bCs/>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22.73</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7.76</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lang w:val="en-US" w:eastAsia="zh-CN"/>
          <w14:textFill>
            <w14:solidFill>
              <w14:schemeClr w14:val="tx1"/>
            </w14:solidFill>
          </w14:textFill>
        </w:rPr>
        <w:t>270.31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92.24</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pStyle w:val="6"/>
        <w:spacing w:before="93"/>
        <w:rPr>
          <w:rFonts w:hint="eastAsia"/>
        </w:rPr>
      </w:pPr>
      <w:r>
        <w:drawing>
          <wp:inline distT="0" distB="0" distL="114300" distR="114300">
            <wp:extent cx="4829175" cy="2802255"/>
            <wp:effectExtent l="4445" t="4445" r="12700" b="12700"/>
            <wp:docPr id="17521" name="图表 22"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18" w:name="_Toc15377212"/>
      <w:r>
        <w:rPr>
          <w:rFonts w:hint="eastAsia" w:ascii="仿宋" w:hAnsi="仿宋" w:eastAsia="仿宋"/>
          <w:b/>
          <w:color w:val="auto"/>
          <w:sz w:val="32"/>
          <w:szCs w:val="32"/>
          <w:highlight w:val="none"/>
        </w:rPr>
        <w:t>（三）一般公共预算财政拨款支出决算具体情况</w:t>
      </w:r>
    </w:p>
    <w:p>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293.04万元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7"/>
          <w:rFonts w:ascii="仿宋" w:hAnsi="仿宋" w:eastAsia="仿宋"/>
          <w:bCs/>
          <w:color w:val="000000" w:themeColor="text1"/>
          <w:sz w:val="32"/>
          <w:szCs w:val="32"/>
          <w14:textFill>
            <w14:solidFill>
              <w14:schemeClr w14:val="tx1"/>
            </w14:solidFill>
          </w14:textFill>
        </w:rPr>
        <w:t>1.</w:t>
      </w:r>
      <w:r>
        <w:rPr>
          <w:rStyle w:val="17"/>
          <w:rFonts w:hint="eastAsia" w:ascii="仿宋" w:hAnsi="仿宋" w:eastAsia="仿宋"/>
          <w:bCs/>
          <w:color w:val="000000" w:themeColor="text1"/>
          <w:sz w:val="32"/>
          <w:szCs w:val="32"/>
          <w14:textFill>
            <w14:solidFill>
              <w14:schemeClr w14:val="tx1"/>
            </w14:solidFill>
          </w14:textFill>
        </w:rPr>
        <w:t>一般公共服务（类）</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（款）</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支出决算为0万元，完成预算100.0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，决算数等于预算数的主要原因是严格按照年初预算数执行。</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7"/>
          <w:rFonts w:ascii="仿宋" w:hAnsi="仿宋" w:eastAsia="仿宋"/>
          <w:bCs/>
          <w:color w:val="000000" w:themeColor="text1"/>
          <w:sz w:val="32"/>
          <w:szCs w:val="32"/>
          <w14:textFill>
            <w14:solidFill>
              <w14:schemeClr w14:val="tx1"/>
            </w14:solidFill>
          </w14:textFill>
        </w:rPr>
        <w:t>2.</w:t>
      </w:r>
      <w:r>
        <w:rPr>
          <w:rStyle w:val="17"/>
          <w:rFonts w:hint="eastAsia" w:ascii="仿宋" w:hAnsi="仿宋" w:eastAsia="仿宋"/>
          <w:bCs/>
          <w:color w:val="000000" w:themeColor="text1"/>
          <w:sz w:val="32"/>
          <w:szCs w:val="32"/>
          <w14:textFill>
            <w14:solidFill>
              <w14:schemeClr w14:val="tx1"/>
            </w14:solidFill>
          </w14:textFill>
        </w:rPr>
        <w:t>教育（类）</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（款）</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支出决算为0万元，完成预算100.0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，决算数等于预算数的主要原因是严格按照年初预算数执行。</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7"/>
          <w:rFonts w:ascii="仿宋" w:hAnsi="仿宋" w:eastAsia="仿宋"/>
          <w:bCs/>
          <w:color w:val="000000" w:themeColor="text1"/>
          <w:sz w:val="32"/>
          <w:szCs w:val="32"/>
          <w14:textFill>
            <w14:solidFill>
              <w14:schemeClr w14:val="tx1"/>
            </w14:solidFill>
          </w14:textFill>
        </w:rPr>
        <w:t>3.</w:t>
      </w:r>
      <w:r>
        <w:rPr>
          <w:rStyle w:val="17"/>
          <w:rFonts w:hint="eastAsia" w:ascii="仿宋" w:hAnsi="仿宋" w:eastAsia="仿宋"/>
          <w:bCs/>
          <w:color w:val="000000" w:themeColor="text1"/>
          <w:sz w:val="32"/>
          <w:szCs w:val="32"/>
          <w14:textFill>
            <w14:solidFill>
              <w14:schemeClr w14:val="tx1"/>
            </w14:solidFill>
          </w14:textFill>
        </w:rPr>
        <w:t>科学技术（类）</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（款）</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支出决算为0万元，完成预算100.0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，决算数等于预算数的主要原因是严格按照年初预算数执行。</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7"/>
          <w:rFonts w:ascii="仿宋" w:hAnsi="仿宋" w:eastAsia="仿宋"/>
          <w:bCs/>
          <w:color w:val="000000" w:themeColor="text1"/>
          <w:sz w:val="32"/>
          <w:szCs w:val="32"/>
          <w14:textFill>
            <w14:solidFill>
              <w14:schemeClr w14:val="tx1"/>
            </w14:solidFill>
          </w14:textFill>
        </w:rPr>
        <w:t>4.</w:t>
      </w:r>
      <w:r>
        <w:rPr>
          <w:rStyle w:val="17"/>
          <w:rFonts w:hint="eastAsia" w:ascii="仿宋" w:hAnsi="仿宋" w:eastAsia="仿宋"/>
          <w:bCs/>
          <w:color w:val="000000" w:themeColor="text1"/>
          <w:sz w:val="32"/>
          <w:szCs w:val="32"/>
          <w14:textFill>
            <w14:solidFill>
              <w14:schemeClr w14:val="tx1"/>
            </w14:solidFill>
          </w14:textFill>
        </w:rPr>
        <w:t>文化旅游体育与传媒（类）</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（款）</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（项）</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支出决算为0万元，完成预算100.0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，决算数等于预算数的主要原因是严格按照年初预算数执行。</w:t>
      </w:r>
    </w:p>
    <w:p>
      <w:pPr>
        <w:spacing w:line="600" w:lineRule="exact"/>
        <w:ind w:firstLine="643" w:firstLineChars="200"/>
        <w:rPr>
          <w:rStyle w:val="17"/>
          <w:rFonts w:hint="eastAsia" w:ascii="仿宋" w:hAnsi="仿宋" w:eastAsia="仿宋"/>
          <w:b w:val="0"/>
          <w:bCs/>
          <w:color w:val="auto"/>
          <w:sz w:val="32"/>
          <w:szCs w:val="32"/>
          <w:highlight w:val="none"/>
          <w:lang w:eastAsia="zh-CN"/>
        </w:rPr>
      </w:pPr>
      <w:r>
        <w:rPr>
          <w:rStyle w:val="17"/>
          <w:rFonts w:ascii="仿宋" w:hAnsi="仿宋" w:eastAsia="仿宋"/>
          <w:bCs/>
          <w:color w:val="000000" w:themeColor="text1"/>
          <w:sz w:val="32"/>
          <w:szCs w:val="32"/>
          <w14:textFill>
            <w14:solidFill>
              <w14:schemeClr w14:val="tx1"/>
            </w14:solidFill>
          </w14:textFill>
        </w:rPr>
        <w:t>5.</w:t>
      </w:r>
      <w:r>
        <w:rPr>
          <w:rStyle w:val="17"/>
          <w:rFonts w:hint="eastAsia" w:ascii="仿宋" w:hAnsi="仿宋" w:eastAsia="仿宋"/>
          <w:bCs/>
          <w:color w:val="auto"/>
          <w:sz w:val="32"/>
          <w:szCs w:val="32"/>
          <w:highlight w:val="none"/>
        </w:rPr>
        <w:t>社会保障和就业（类）</w:t>
      </w:r>
      <w:r>
        <w:rPr>
          <w:rStyle w:val="17"/>
          <w:rFonts w:hint="eastAsia" w:ascii="仿宋" w:hAnsi="仿宋" w:eastAsia="仿宋"/>
          <w:bCs/>
          <w:color w:val="auto"/>
          <w:sz w:val="32"/>
          <w:szCs w:val="32"/>
          <w:highlight w:val="none"/>
          <w:lang w:val="en-US" w:eastAsia="zh-CN"/>
        </w:rPr>
        <w:t>208</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22.73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210</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270.31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outlineLvl w:val="2"/>
        <w:rPr>
          <w:rFonts w:hint="eastAsia" w:ascii="仿宋" w:hAnsi="仿宋" w:eastAsia="仿宋"/>
          <w:b/>
          <w:sz w:val="32"/>
          <w:szCs w:val="32"/>
        </w:rPr>
      </w:pPr>
    </w:p>
    <w:bookmarkEnd w:id="18"/>
    <w:p>
      <w:pPr>
        <w:tabs>
          <w:tab w:val="right" w:pos="8306"/>
        </w:tabs>
        <w:spacing w:line="600" w:lineRule="exact"/>
        <w:ind w:firstLine="640"/>
        <w:outlineLvl w:val="1"/>
        <w:rPr>
          <w:rStyle w:val="29"/>
        </w:rPr>
      </w:pPr>
      <w:bookmarkStart w:id="19" w:name="_Toc15396608"/>
      <w:bookmarkStart w:id="2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19"/>
      <w:bookmarkEnd w:id="20"/>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41.16</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41.16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　　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rPr>
      </w:pPr>
      <w:bookmarkStart w:id="21" w:name="_Toc15377215"/>
      <w:bookmarkStart w:id="22"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21"/>
      <w:bookmarkEnd w:id="22"/>
    </w:p>
    <w:p>
      <w:pPr>
        <w:spacing w:line="600" w:lineRule="exact"/>
        <w:ind w:firstLine="640"/>
        <w:outlineLvl w:val="2"/>
        <w:rPr>
          <w:rFonts w:ascii="仿宋" w:hAnsi="仿宋" w:eastAsia="仿宋"/>
          <w:b/>
          <w:sz w:val="32"/>
          <w:szCs w:val="32"/>
        </w:rPr>
      </w:pPr>
      <w:bookmarkStart w:id="23" w:name="_Toc15377216"/>
      <w:r>
        <w:rPr>
          <w:rFonts w:hint="eastAsia" w:ascii="仿宋" w:hAnsi="仿宋" w:eastAsia="仿宋"/>
          <w:b/>
          <w:sz w:val="32"/>
          <w:szCs w:val="32"/>
        </w:rPr>
        <w:t>（一）“三公”经费财政拨款支出决算总体情况说明</w:t>
      </w:r>
      <w:bookmarkEnd w:id="2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年“三公”经费财政拨款支出决算为0万元，完成预算100.0</w:t>
      </w:r>
      <w:r>
        <w:rPr>
          <w:rFonts w:ascii="仿宋" w:hAnsi="仿宋" w:eastAsia="仿宋"/>
          <w:sz w:val="32"/>
          <w:szCs w:val="32"/>
        </w:rPr>
        <w:t>%</w:t>
      </w:r>
      <w:r>
        <w:rPr>
          <w:rFonts w:hint="eastAsia" w:ascii="仿宋" w:hAnsi="仿宋" w:eastAsia="仿宋"/>
          <w:sz w:val="32"/>
          <w:szCs w:val="32"/>
        </w:rPr>
        <w:t>，较上年增加/减少0万元，增长/下降0.0%。</w:t>
      </w:r>
      <w:r>
        <w:rPr>
          <w:rStyle w:val="17"/>
          <w:rFonts w:hint="eastAsia" w:ascii="仿宋" w:hAnsi="仿宋" w:eastAsia="仿宋"/>
          <w:b w:val="0"/>
          <w:bCs/>
          <w:sz w:val="32"/>
          <w:szCs w:val="32"/>
        </w:rPr>
        <w:t>决算数等于预算数的主要原因是严格按照年初预算数执行。</w:t>
      </w:r>
    </w:p>
    <w:p>
      <w:pPr>
        <w:spacing w:line="600" w:lineRule="exact"/>
        <w:ind w:firstLine="640"/>
        <w:outlineLvl w:val="2"/>
        <w:rPr>
          <w:rFonts w:ascii="仿宋" w:hAnsi="仿宋" w:eastAsia="仿宋"/>
          <w:b/>
          <w:sz w:val="32"/>
          <w:szCs w:val="32"/>
        </w:rPr>
      </w:pPr>
      <w:bookmarkStart w:id="24" w:name="_Toc15377217"/>
      <w:r>
        <w:rPr>
          <w:rFonts w:hint="eastAsia" w:ascii="仿宋" w:hAnsi="仿宋" w:eastAsia="仿宋"/>
          <w:b/>
          <w:sz w:val="32"/>
          <w:szCs w:val="32"/>
        </w:rPr>
        <w:t>（二）“三公”经费财政拨款支出决算具体情况说明</w:t>
      </w:r>
      <w:bookmarkEnd w:id="2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年“三公”经费财政拨款支出决算中，因公出国（境）费支出决算0万元，占100.0</w:t>
      </w:r>
      <w:r>
        <w:rPr>
          <w:rFonts w:ascii="仿宋" w:hAnsi="仿宋" w:eastAsia="仿宋"/>
          <w:sz w:val="32"/>
          <w:szCs w:val="32"/>
        </w:rPr>
        <w:t>%</w:t>
      </w:r>
      <w:r>
        <w:rPr>
          <w:rFonts w:hint="eastAsia" w:ascii="仿宋" w:hAnsi="仿宋" w:eastAsia="仿宋"/>
          <w:sz w:val="32"/>
          <w:szCs w:val="32"/>
        </w:rPr>
        <w:t>；公务用车购置及运行维护费支出决算0万元，占100.0</w:t>
      </w:r>
      <w:r>
        <w:rPr>
          <w:rFonts w:ascii="仿宋" w:hAnsi="仿宋" w:eastAsia="仿宋"/>
          <w:sz w:val="32"/>
          <w:szCs w:val="32"/>
        </w:rPr>
        <w:t>%</w:t>
      </w:r>
      <w:r>
        <w:rPr>
          <w:rFonts w:hint="eastAsia" w:ascii="仿宋" w:hAnsi="仿宋" w:eastAsia="仿宋"/>
          <w:sz w:val="32"/>
          <w:szCs w:val="32"/>
        </w:rPr>
        <w:t>；公务接待费支出决算0万元，占100.0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完成预算100.0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eastAsia="仿宋"/>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完成预算100.0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完成预算100.0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下降0.0</w:t>
      </w:r>
      <w:r>
        <w:rPr>
          <w:rFonts w:ascii="仿宋_GB2312" w:eastAsia="仿宋_GB2312"/>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万元。国内公务接待0批次，0人次，共计支出0万元。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万元。外事接待0批次，0人次共计支出0万元。</w:t>
      </w:r>
    </w:p>
    <w:p>
      <w:pPr>
        <w:spacing w:line="600" w:lineRule="exact"/>
        <w:ind w:firstLine="640"/>
        <w:outlineLvl w:val="1"/>
        <w:rPr>
          <w:rStyle w:val="29"/>
          <w:rFonts w:ascii="黑体" w:hAnsi="黑体" w:eastAsia="黑体"/>
        </w:rPr>
      </w:pPr>
      <w:bookmarkStart w:id="25" w:name="_Toc15396610"/>
      <w:bookmarkStart w:id="26" w:name="_Toc15377218"/>
      <w:r>
        <w:rPr>
          <w:rFonts w:hint="eastAsia" w:ascii="黑体" w:eastAsia="黑体"/>
          <w:sz w:val="32"/>
          <w:szCs w:val="32"/>
        </w:rPr>
        <w:t>八、</w:t>
      </w:r>
      <w:r>
        <w:rPr>
          <w:rStyle w:val="29"/>
          <w:rFonts w:hint="eastAsia" w:ascii="黑体" w:hAnsi="黑体" w:eastAsia="黑体"/>
          <w:b w:val="0"/>
        </w:rPr>
        <w:t>政府性基金预算支出决算情况说明</w:t>
      </w:r>
      <w:bookmarkEnd w:id="25"/>
      <w:bookmarkEnd w:id="2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pPr>
        <w:numPr>
          <w:ilvl w:val="0"/>
          <w:numId w:val="2"/>
        </w:numPr>
        <w:spacing w:line="600" w:lineRule="exact"/>
        <w:ind w:firstLine="640"/>
        <w:outlineLvl w:val="1"/>
        <w:rPr>
          <w:rStyle w:val="29"/>
          <w:rFonts w:ascii="黑体" w:hAnsi="黑体" w:eastAsia="黑体"/>
          <w:b w:val="0"/>
        </w:rPr>
      </w:pPr>
      <w:bookmarkStart w:id="27" w:name="_Toc15396611"/>
      <w:bookmarkStart w:id="28" w:name="_Toc15377219"/>
      <w:r>
        <w:rPr>
          <w:rStyle w:val="29"/>
          <w:rFonts w:hint="eastAsia" w:ascii="黑体" w:hAnsi="黑体" w:eastAsia="黑体"/>
          <w:b w:val="0"/>
        </w:rPr>
        <w:t>国有资本经营预算支出决算情况说明</w:t>
      </w:r>
      <w:bookmarkEnd w:id="27"/>
      <w:bookmarkEnd w:id="2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pPr>
        <w:numPr>
          <w:ilvl w:val="0"/>
          <w:numId w:val="2"/>
        </w:numPr>
        <w:spacing w:line="600" w:lineRule="exact"/>
        <w:ind w:firstLine="640"/>
        <w:outlineLvl w:val="1"/>
        <w:rPr>
          <w:rStyle w:val="29"/>
          <w:rFonts w:ascii="黑体" w:hAnsi="黑体" w:eastAsia="黑体"/>
          <w:b w:val="0"/>
        </w:rPr>
      </w:pPr>
      <w:bookmarkStart w:id="29" w:name="_Toc15396612"/>
      <w:bookmarkStart w:id="30" w:name="_Toc15377221"/>
      <w:r>
        <w:rPr>
          <w:rStyle w:val="29"/>
          <w:rFonts w:hint="eastAsia" w:ascii="黑体" w:hAnsi="黑体" w:eastAsia="黑体"/>
          <w:b w:val="0"/>
        </w:rPr>
        <w:t>其他重要事项的情况说明</w:t>
      </w:r>
      <w:bookmarkEnd w:id="29"/>
      <w:bookmarkEnd w:id="30"/>
    </w:p>
    <w:p>
      <w:pPr>
        <w:spacing w:line="600" w:lineRule="exact"/>
        <w:ind w:firstLine="643" w:firstLineChars="200"/>
        <w:outlineLvl w:val="2"/>
        <w:rPr>
          <w:rFonts w:ascii="仿宋" w:hAnsi="仿宋" w:eastAsia="仿宋"/>
          <w:sz w:val="32"/>
          <w:szCs w:val="32"/>
        </w:rPr>
      </w:pPr>
      <w:bookmarkStart w:id="31" w:name="_Toc15377222"/>
      <w:r>
        <w:rPr>
          <w:rFonts w:hint="eastAsia" w:ascii="仿宋" w:hAnsi="仿宋" w:eastAsia="仿宋"/>
          <w:b/>
          <w:sz w:val="32"/>
          <w:szCs w:val="32"/>
        </w:rPr>
        <w:t>（一）机关运行经费支出情况</w:t>
      </w:r>
      <w:bookmarkEnd w:id="31"/>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乐至县金顺镇卫生院</w:t>
      </w:r>
      <w:r>
        <w:rPr>
          <w:rFonts w:hint="eastAsia" w:ascii="仿宋_GB2312" w:eastAsia="仿宋_GB2312"/>
          <w:sz w:val="32"/>
          <w:szCs w:val="32"/>
        </w:rPr>
        <w:t>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32" w:name="_Toc15377223"/>
      <w:r>
        <w:rPr>
          <w:rFonts w:hint="eastAsia" w:ascii="仿宋" w:hAnsi="仿宋" w:eastAsia="仿宋"/>
          <w:b/>
          <w:sz w:val="32"/>
          <w:szCs w:val="32"/>
        </w:rPr>
        <w:t>（二）政府采购支出情况</w:t>
      </w:r>
      <w:bookmarkEnd w:id="32"/>
    </w:p>
    <w:p>
      <w:pPr>
        <w:spacing w:line="600" w:lineRule="exact"/>
        <w:ind w:firstLine="640" w:firstLineChars="20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年，乐至县金顺镇卫生院政府采购支出总额</w:t>
      </w:r>
      <w:r>
        <w:rPr>
          <w:rFonts w:hint="eastAsia" w:ascii="仿宋_GB2312" w:eastAsia="仿宋_GB2312"/>
          <w:sz w:val="32"/>
          <w:szCs w:val="32"/>
          <w:lang w:val="en-US" w:eastAsia="zh-CN"/>
        </w:rPr>
        <w:t>2.9</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2.9</w:t>
      </w:r>
      <w:r>
        <w:rPr>
          <w:rFonts w:hint="eastAsia" w:ascii="仿宋_GB2312" w:eastAsia="仿宋_GB2312"/>
          <w:sz w:val="32"/>
          <w:szCs w:val="32"/>
        </w:rPr>
        <w:t>万元、政府采购工程支出0万元、政府采购服务支出0万元。授予中小企业合同金额0万元，占政府采购支出总额的0.0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hint="eastAsia" w:ascii="仿宋_GB2312" w:eastAsia="仿宋_GB2312"/>
          <w:sz w:val="32"/>
          <w:szCs w:val="32"/>
        </w:rPr>
      </w:pPr>
      <w:r>
        <w:rPr>
          <w:rFonts w:hint="eastAsia" w:ascii="仿宋" w:hAnsi="仿宋" w:eastAsia="仿宋"/>
          <w:b/>
          <w:color w:val="auto"/>
          <w:sz w:val="32"/>
          <w:szCs w:val="32"/>
          <w:highlight w:val="none"/>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sz w:val="32"/>
          <w:szCs w:val="32"/>
        </w:rPr>
        <w:t>乐至县金顺镇卫生院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rPr>
        <w:t>主要是用于接送病人急救抢救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预算编制阶段，组织对基本公共卫生服务项目等</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个项目开展绩效自评，绩效自评表详见第四部分附件。</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项目绩效目标完成情况。今年项目总收入</w:t>
      </w:r>
      <w:r>
        <w:rPr>
          <w:rFonts w:hint="eastAsia" w:ascii="仿宋_GB2312" w:hAnsi="仿宋" w:eastAsia="仿宋_GB2312"/>
          <w:sz w:val="32"/>
          <w:szCs w:val="32"/>
          <w:lang w:val="en-US" w:eastAsia="zh-CN"/>
        </w:rPr>
        <w:t>251.88</w:t>
      </w:r>
      <w:r>
        <w:rPr>
          <w:rFonts w:hint="eastAsia" w:ascii="仿宋_GB2312" w:hAnsi="仿宋" w:eastAsia="仿宋_GB2312"/>
          <w:sz w:val="32"/>
          <w:szCs w:val="32"/>
        </w:rPr>
        <w:t>万元，其中，对村卫生室基药补助</w:t>
      </w:r>
      <w:r>
        <w:rPr>
          <w:rFonts w:hint="eastAsia" w:ascii="仿宋_GB2312" w:hAnsi="仿宋" w:eastAsia="仿宋_GB2312"/>
          <w:sz w:val="32"/>
          <w:szCs w:val="32"/>
          <w:lang w:val="en-US" w:eastAsia="zh-CN"/>
        </w:rPr>
        <w:t>68.84</w:t>
      </w:r>
      <w:r>
        <w:rPr>
          <w:rFonts w:hint="eastAsia" w:ascii="仿宋_GB2312" w:hAnsi="仿宋" w:eastAsia="仿宋_GB2312"/>
          <w:sz w:val="32"/>
          <w:szCs w:val="32"/>
        </w:rPr>
        <w:t>万元，基本公共卫生服务项目</w:t>
      </w:r>
      <w:r>
        <w:rPr>
          <w:rFonts w:hint="eastAsia" w:ascii="仿宋_GB2312" w:hAnsi="仿宋" w:eastAsia="仿宋_GB2312"/>
          <w:sz w:val="32"/>
          <w:szCs w:val="32"/>
          <w:lang w:val="en-US" w:eastAsia="zh-CN"/>
        </w:rPr>
        <w:t>174.84</w:t>
      </w:r>
      <w:r>
        <w:rPr>
          <w:rFonts w:hint="eastAsia" w:ascii="仿宋_GB2312" w:hAnsi="仿宋" w:eastAsia="仿宋_GB2312"/>
          <w:sz w:val="32"/>
          <w:szCs w:val="32"/>
        </w:rPr>
        <w:t>万元，重大公共卫生服务</w:t>
      </w:r>
      <w:r>
        <w:rPr>
          <w:rFonts w:hint="eastAsia" w:ascii="仿宋_GB2312" w:hAnsi="仿宋" w:eastAsia="仿宋_GB2312"/>
          <w:sz w:val="32"/>
          <w:szCs w:val="32"/>
          <w:lang w:val="en-US" w:eastAsia="zh-CN"/>
        </w:rPr>
        <w:t>8.2</w:t>
      </w:r>
      <w:r>
        <w:rPr>
          <w:rFonts w:hint="eastAsia" w:ascii="仿宋_GB2312" w:hAnsi="仿宋" w:eastAsia="仿宋_GB2312"/>
          <w:sz w:val="32"/>
          <w:szCs w:val="32"/>
        </w:rPr>
        <w:t>万元。</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整体支出绩效目标实现情况。今年预算总收入</w:t>
      </w:r>
      <w:r>
        <w:rPr>
          <w:rFonts w:hint="eastAsia" w:ascii="仿宋_GB2312" w:hAnsi="仿宋" w:eastAsia="仿宋_GB2312"/>
          <w:color w:val="000000" w:themeColor="text1"/>
          <w:sz w:val="32"/>
          <w:szCs w:val="32"/>
          <w:lang w:val="en-US" w:eastAsia="zh-CN"/>
          <w14:textFill>
            <w14:solidFill>
              <w14:schemeClr w14:val="tx1"/>
            </w14:solidFill>
          </w14:textFill>
        </w:rPr>
        <w:t>901.65</w:t>
      </w:r>
      <w:r>
        <w:rPr>
          <w:rFonts w:hint="eastAsia" w:ascii="仿宋_GB2312" w:hAnsi="仿宋" w:eastAsia="仿宋_GB2312"/>
          <w:sz w:val="32"/>
          <w:szCs w:val="32"/>
        </w:rPr>
        <w:t>万元，今年单位预算总支</w:t>
      </w:r>
      <w:r>
        <w:rPr>
          <w:rFonts w:hint="eastAsia" w:ascii="仿宋_GB2312" w:hAnsi="仿宋" w:eastAsia="仿宋_GB2312"/>
          <w:color w:val="000000" w:themeColor="text1"/>
          <w:sz w:val="32"/>
          <w:szCs w:val="32"/>
          <w14:textFill>
            <w14:solidFill>
              <w14:schemeClr w14:val="tx1"/>
            </w14:solidFill>
          </w14:textFill>
        </w:rPr>
        <w:t>出</w:t>
      </w:r>
      <w:r>
        <w:rPr>
          <w:rFonts w:hint="eastAsia" w:ascii="仿宋_GB2312" w:hAnsi="仿宋" w:eastAsia="仿宋_GB2312"/>
          <w:color w:val="000000" w:themeColor="text1"/>
          <w:sz w:val="32"/>
          <w:szCs w:val="32"/>
          <w:lang w:val="en-US" w:eastAsia="zh-CN"/>
          <w14:textFill>
            <w14:solidFill>
              <w14:schemeClr w14:val="tx1"/>
            </w14:solidFill>
          </w14:textFill>
        </w:rPr>
        <w:t>901.65</w:t>
      </w:r>
      <w:r>
        <w:rPr>
          <w:rFonts w:hint="eastAsia" w:ascii="仿宋_GB2312" w:hAnsi="仿宋" w:eastAsia="仿宋_GB2312"/>
          <w:sz w:val="32"/>
          <w:szCs w:val="32"/>
        </w:rPr>
        <w:t>万元。今年决算总收入</w:t>
      </w:r>
      <w:r>
        <w:rPr>
          <w:rFonts w:hint="eastAsia" w:ascii="仿宋_GB2312" w:hAnsi="仿宋" w:eastAsia="仿宋_GB2312"/>
          <w:sz w:val="32"/>
          <w:szCs w:val="32"/>
          <w:lang w:val="en-US" w:eastAsia="zh-CN"/>
        </w:rPr>
        <w:t>901.65</w:t>
      </w:r>
      <w:r>
        <w:rPr>
          <w:rFonts w:hint="eastAsia" w:ascii="仿宋_GB2312" w:hAnsi="仿宋" w:eastAsia="仿宋_GB2312"/>
          <w:sz w:val="32"/>
          <w:szCs w:val="32"/>
        </w:rPr>
        <w:t>万元，其中一般公共预算财政拨款收入</w:t>
      </w:r>
      <w:r>
        <w:rPr>
          <w:rFonts w:hint="eastAsia" w:ascii="仿宋_GB2312" w:hAnsi="仿宋" w:eastAsia="仿宋_GB2312"/>
          <w:sz w:val="32"/>
          <w:szCs w:val="32"/>
          <w:lang w:val="en-US" w:eastAsia="zh-CN"/>
        </w:rPr>
        <w:t>293.04</w:t>
      </w:r>
      <w:r>
        <w:rPr>
          <w:rFonts w:hint="eastAsia" w:ascii="仿宋_GB2312" w:hAnsi="仿宋" w:eastAsia="仿宋_GB2312"/>
          <w:sz w:val="32"/>
          <w:szCs w:val="32"/>
        </w:rPr>
        <w:t>万元，占总收入的</w:t>
      </w:r>
      <w:r>
        <w:rPr>
          <w:rFonts w:hint="eastAsia" w:ascii="仿宋_GB2312" w:hAnsi="仿宋" w:eastAsia="仿宋_GB2312"/>
          <w:sz w:val="32"/>
          <w:szCs w:val="32"/>
          <w:lang w:val="en-US" w:eastAsia="zh-CN"/>
        </w:rPr>
        <w:t>32.5</w:t>
      </w:r>
      <w:r>
        <w:rPr>
          <w:rFonts w:hint="eastAsia" w:ascii="仿宋_GB2312" w:hAnsi="仿宋" w:eastAsia="仿宋_GB2312"/>
          <w:sz w:val="32"/>
          <w:szCs w:val="32"/>
        </w:rPr>
        <w:t>%，政府性基金预算财政拨款收入0元，占总收入的0.0%，事业收入</w:t>
      </w:r>
      <w:r>
        <w:rPr>
          <w:rFonts w:hint="eastAsia" w:ascii="仿宋_GB2312" w:hAnsi="仿宋" w:eastAsia="仿宋_GB2312"/>
          <w:sz w:val="32"/>
          <w:szCs w:val="32"/>
          <w:lang w:val="en-US" w:eastAsia="zh-CN"/>
        </w:rPr>
        <w:t>586.37</w:t>
      </w:r>
      <w:r>
        <w:rPr>
          <w:rFonts w:hint="eastAsia" w:ascii="仿宋_GB2312" w:hAnsi="仿宋" w:eastAsia="仿宋_GB2312"/>
          <w:sz w:val="32"/>
          <w:szCs w:val="32"/>
        </w:rPr>
        <w:t>万元，占总收入的</w:t>
      </w:r>
      <w:r>
        <w:rPr>
          <w:rFonts w:hint="eastAsia" w:ascii="仿宋_GB2312" w:hAnsi="仿宋" w:eastAsia="仿宋_GB2312"/>
          <w:sz w:val="32"/>
          <w:szCs w:val="32"/>
          <w:lang w:val="en-US" w:eastAsia="zh-CN"/>
        </w:rPr>
        <w:t>65.0</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22.24</w:t>
      </w:r>
      <w:r>
        <w:rPr>
          <w:rFonts w:hint="eastAsia" w:ascii="仿宋_GB2312" w:hAnsi="仿宋" w:eastAsia="仿宋_GB2312"/>
          <w:sz w:val="32"/>
          <w:szCs w:val="32"/>
        </w:rPr>
        <w:t>万元，占总收入的</w:t>
      </w:r>
      <w:r>
        <w:rPr>
          <w:rFonts w:hint="eastAsia" w:ascii="仿宋_GB2312" w:hAnsi="仿宋" w:eastAsia="仿宋_GB2312"/>
          <w:sz w:val="32"/>
          <w:szCs w:val="32"/>
          <w:lang w:val="en-US" w:eastAsia="zh-CN"/>
        </w:rPr>
        <w:t>2.52</w:t>
      </w:r>
      <w:r>
        <w:rPr>
          <w:rFonts w:hint="eastAsia" w:ascii="仿宋_GB2312" w:hAnsi="仿宋" w:eastAsia="仿宋_GB2312"/>
          <w:sz w:val="32"/>
          <w:szCs w:val="32"/>
        </w:rPr>
        <w:t>%。总支出</w:t>
      </w:r>
      <w:r>
        <w:rPr>
          <w:rFonts w:hint="eastAsia" w:ascii="仿宋_GB2312" w:hAnsi="仿宋" w:eastAsia="仿宋_GB2312"/>
          <w:sz w:val="32"/>
          <w:szCs w:val="32"/>
          <w:lang w:val="en-US" w:eastAsia="zh-CN"/>
        </w:rPr>
        <w:t>901.65</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22.73</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2.52</w:t>
      </w:r>
      <w:r>
        <w:rPr>
          <w:rFonts w:hint="eastAsia" w:ascii="仿宋_GB2312" w:hAnsi="仿宋" w:eastAsia="仿宋_GB2312"/>
          <w:sz w:val="32"/>
          <w:szCs w:val="32"/>
        </w:rPr>
        <w:t>%，日常公用支出</w:t>
      </w:r>
      <w:r>
        <w:rPr>
          <w:rFonts w:hint="eastAsia" w:ascii="仿宋_GB2312" w:hAnsi="仿宋" w:eastAsia="仿宋_GB2312"/>
          <w:sz w:val="32"/>
          <w:szCs w:val="32"/>
          <w:lang w:val="en-US" w:eastAsia="zh-CN"/>
        </w:rPr>
        <w:t>627.04</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69.54</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251.88</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27.94</w:t>
      </w:r>
      <w:r>
        <w:rPr>
          <w:rFonts w:hint="eastAsia" w:ascii="仿宋_GB2312" w:hAnsi="仿宋" w:eastAsia="仿宋_GB2312"/>
          <w:sz w:val="32"/>
          <w:szCs w:val="32"/>
        </w:rPr>
        <w:t>%。</w:t>
      </w:r>
    </w:p>
    <w:p>
      <w:pPr>
        <w:widowControl/>
        <w:ind w:firstLine="640" w:firstLineChars="200"/>
        <w:jc w:val="left"/>
        <w:rPr>
          <w:rFonts w:ascii="仿宋_GB2312" w:hAnsi="仿宋_GB2312" w:eastAsia="仿宋_GB2312" w:cs="仿宋_GB2312"/>
          <w:sz w:val="32"/>
          <w:szCs w:val="32"/>
        </w:rPr>
      </w:pPr>
    </w:p>
    <w:p>
      <w:pPr>
        <w:widowControl/>
        <w:ind w:firstLine="643" w:firstLineChars="200"/>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33" w:name="_Toc15377225"/>
      <w:bookmarkStart w:id="34" w:name="_Toc15396613"/>
      <w:r>
        <w:rPr>
          <w:rFonts w:hint="eastAsia" w:ascii="黑体" w:hAnsi="黑体" w:eastAsia="黑体"/>
          <w:sz w:val="44"/>
          <w:szCs w:val="44"/>
        </w:rPr>
        <w:t>名</w:t>
      </w:r>
      <w:r>
        <w:rPr>
          <w:rStyle w:val="28"/>
          <w:rFonts w:hint="eastAsia" w:ascii="黑体" w:hAnsi="黑体" w:eastAsia="黑体"/>
          <w:b w:val="0"/>
        </w:rPr>
        <w:t>词解释</w:t>
      </w:r>
      <w:bookmarkEnd w:id="33"/>
      <w:bookmarkEnd w:id="34"/>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社会保障和就业（类）…（款）…（项）：指社会保障和就业（类）208（款）05（项）05机关事业单位基本养老保险缴费支出，社会保障和就业（类）208（款）05（项）06机关事业单位职业年金缴费支出。</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卫生健康（类）…（款）…（项）：指卫生健康（类）210（款）03（项）02乡镇卫生院，卫生健康（类）210（款）03（项）99其他基层医疗卫生机构支出，卫生健康（类）210（款）04（项）08基本公共卫生服务，卫生健康（类）210（款）04（项）09重大公共卫生服务。</w:t>
      </w:r>
    </w:p>
    <w:p>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rPr>
      </w:pPr>
      <w:bookmarkStart w:id="35" w:name="_Toc15377226"/>
      <w:r>
        <w:rPr>
          <w:rFonts w:ascii="宋体"/>
          <w:b/>
          <w:sz w:val="44"/>
          <w:szCs w:val="44"/>
        </w:rPr>
        <w:br w:type="page"/>
      </w:r>
      <w:bookmarkStart w:id="36" w:name="_Toc15396614"/>
      <w:r>
        <w:rPr>
          <w:rFonts w:hint="eastAsia" w:ascii="黑体" w:hAnsi="黑体" w:eastAsia="黑体"/>
          <w:sz w:val="44"/>
          <w:szCs w:val="44"/>
        </w:rPr>
        <w:t>第</w:t>
      </w:r>
      <w:r>
        <w:rPr>
          <w:rStyle w:val="28"/>
          <w:rFonts w:hint="eastAsia" w:ascii="黑体" w:hAnsi="黑体" w:eastAsia="黑体"/>
          <w:b w:val="0"/>
        </w:rPr>
        <w:t>四部分 附件</w:t>
      </w:r>
      <w:bookmarkEnd w:id="36"/>
    </w:p>
    <w:p>
      <w:pPr>
        <w:spacing w:line="600" w:lineRule="exact"/>
        <w:jc w:val="center"/>
        <w:outlineLvl w:val="0"/>
        <w:rPr>
          <w:rStyle w:val="28"/>
          <w:rFonts w:hint="eastAsia" w:ascii="黑体" w:hAnsi="黑体" w:eastAsia="黑体"/>
          <w:b w:val="0"/>
        </w:rPr>
      </w:pPr>
    </w:p>
    <w:p>
      <w:pPr>
        <w:spacing w:line="572" w:lineRule="exact"/>
        <w:jc w:val="left"/>
        <w:outlineLvl w:val="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附件：乐至县金顺镇卫生院2023年整体支出绩效自评报告</w:t>
      </w:r>
      <w:bookmarkEnd w:id="35"/>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6"/>
          <w:rFonts w:hint="eastAsia" w:ascii="黑体" w:hAnsi="黑体" w:eastAsia="黑体"/>
          <w:b w:val="0"/>
          <w:color w:val="auto"/>
          <w:highlight w:val="none"/>
        </w:rPr>
        <w:t>五部分 附表</w:t>
      </w:r>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35"/>
          <w:rFonts w:hint="eastAsia" w:ascii="仿宋" w:hAnsi="仿宋" w:eastAsia="仿宋"/>
          <w:b w:val="0"/>
          <w:bCs w:val="0"/>
          <w:color w:val="auto"/>
          <w:highlight w:val="none"/>
        </w:rPr>
        <w:t>入支出决算总表</w:t>
      </w:r>
    </w:p>
    <w:p>
      <w:pPr>
        <w:pStyle w:val="3"/>
        <w:rPr>
          <w:rFonts w:ascii="仿宋" w:hAnsi="仿宋" w:eastAsia="仿宋"/>
          <w:color w:val="auto"/>
          <w:highlight w:val="none"/>
        </w:rPr>
      </w:pPr>
      <w:r>
        <w:rPr>
          <w:rFonts w:hint="eastAsia" w:ascii="仿宋" w:hAnsi="仿宋" w:eastAsia="仿宋"/>
          <w:b w:val="0"/>
          <w:color w:val="auto"/>
          <w:highlight w:val="none"/>
        </w:rPr>
        <w:t>二、收</w:t>
      </w:r>
      <w:r>
        <w:rPr>
          <w:rStyle w:val="35"/>
          <w:rFonts w:hint="eastAsia" w:ascii="仿宋" w:hAnsi="仿宋" w:eastAsia="仿宋"/>
          <w:b w:val="0"/>
          <w:bCs w:val="0"/>
          <w:color w:val="auto"/>
          <w:highlight w:val="none"/>
        </w:rPr>
        <w:t>入决算表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5"/>
          <w:rFonts w:hint="eastAsia" w:ascii="仿宋" w:hAnsi="仿宋" w:eastAsia="仿宋"/>
          <w:b w:val="0"/>
          <w:bCs w:val="0"/>
          <w:color w:val="auto"/>
          <w:highlight w:val="none"/>
        </w:rPr>
        <w:t>出决算表</w:t>
      </w:r>
    </w:p>
    <w:p>
      <w:pPr>
        <w:pStyle w:val="3"/>
        <w:rPr>
          <w:rFonts w:ascii="仿宋" w:hAnsi="仿宋" w:eastAsia="仿宋"/>
          <w:b w:val="0"/>
          <w:color w:val="auto"/>
          <w:highlight w:val="none"/>
        </w:rPr>
      </w:pPr>
      <w:r>
        <w:rPr>
          <w:rStyle w:val="3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5"/>
          <w:rFonts w:hint="eastAsia" w:ascii="仿宋" w:hAnsi="仿宋" w:eastAsia="仿宋"/>
          <w:b w:val="0"/>
          <w:bCs w:val="0"/>
          <w:color w:val="auto"/>
          <w:highlight w:val="none"/>
        </w:rPr>
        <w:t>政拨款收入支出决算总表</w:t>
      </w:r>
    </w:p>
    <w:p>
      <w:pPr>
        <w:pStyle w:val="3"/>
        <w:rPr>
          <w:rStyle w:val="35"/>
          <w:rFonts w:ascii="仿宋" w:hAnsi="仿宋" w:eastAsia="仿宋"/>
          <w:b w:val="0"/>
          <w:bCs w:val="0"/>
          <w:color w:val="auto"/>
          <w:highlight w:val="none"/>
        </w:rPr>
      </w:pPr>
      <w:r>
        <w:rPr>
          <w:rStyle w:val="3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5"/>
          <w:rFonts w:hint="eastAsia" w:ascii="仿宋" w:hAnsi="仿宋" w:eastAsia="仿宋"/>
          <w:b w:val="0"/>
          <w:bCs w:val="0"/>
          <w:color w:val="auto"/>
          <w:highlight w:val="none"/>
        </w:rPr>
        <w:t>政拨款支出决算明细表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5"/>
          <w:rFonts w:hint="eastAsia" w:ascii="仿宋" w:hAnsi="仿宋" w:eastAsia="仿宋"/>
          <w:b w:val="0"/>
          <w:bCs w:val="0"/>
          <w:color w:val="auto"/>
          <w:highlight w:val="none"/>
        </w:rPr>
        <w:t>般公共预算财政拨款支出决算表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5"/>
          <w:rFonts w:hint="eastAsia" w:ascii="仿宋" w:hAnsi="仿宋" w:eastAsia="仿宋"/>
          <w:b w:val="0"/>
          <w:bCs w:val="0"/>
          <w:color w:val="auto"/>
          <w:highlight w:val="none"/>
        </w:rPr>
        <w:t>般公共预算财政拨款支出决算明细表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5"/>
          <w:rFonts w:hint="eastAsia" w:ascii="仿宋" w:hAnsi="仿宋" w:eastAsia="仿宋"/>
          <w:b w:val="0"/>
          <w:bCs w:val="0"/>
          <w:color w:val="auto"/>
          <w:highlight w:val="none"/>
        </w:rPr>
        <w:t>般公共预算财政拨款基本支出决算表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5"/>
          <w:rFonts w:hint="eastAsia" w:ascii="仿宋" w:hAnsi="仿宋" w:eastAsia="仿宋"/>
          <w:b w:val="0"/>
          <w:bCs w:val="0"/>
          <w:color w:val="auto"/>
          <w:highlight w:val="none"/>
        </w:rPr>
        <w:t>般公共预算财政拨款项目支出决算表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35"/>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35"/>
          <w:rFonts w:hint="eastAsia" w:ascii="仿宋" w:hAnsi="仿宋" w:eastAsia="仿宋"/>
          <w:b w:val="0"/>
          <w:bCs w:val="0"/>
          <w:color w:val="auto"/>
          <w:highlight w:val="none"/>
        </w:rPr>
        <w:t>有资本经营预算</w:t>
      </w:r>
      <w:r>
        <w:rPr>
          <w:rStyle w:val="35"/>
          <w:rFonts w:hint="eastAsia" w:ascii="仿宋" w:hAnsi="仿宋" w:eastAsia="仿宋"/>
          <w:b w:val="0"/>
          <w:bCs w:val="0"/>
          <w:color w:val="auto"/>
          <w:highlight w:val="none"/>
          <w:lang w:eastAsia="zh-CN"/>
        </w:rPr>
        <w:t>财政拨款收入</w:t>
      </w:r>
      <w:r>
        <w:rPr>
          <w:rStyle w:val="35"/>
          <w:rFonts w:hint="eastAsia" w:ascii="仿宋" w:hAnsi="仿宋" w:eastAsia="仿宋"/>
          <w:b w:val="0"/>
          <w:bCs w:val="0"/>
          <w:color w:val="auto"/>
          <w:highlight w:val="none"/>
        </w:rPr>
        <w:t>支出决算表</w:t>
      </w:r>
    </w:p>
    <w:p>
      <w:pPr>
        <w:pStyle w:val="3"/>
        <w:rPr>
          <w:rFonts w:ascii="仿宋" w:hAnsi="仿宋" w:eastAsia="仿宋"/>
          <w:color w:val="auto"/>
          <w:highlight w:val="none"/>
        </w:rPr>
      </w:pPr>
      <w:r>
        <w:rPr>
          <w:rStyle w:val="35"/>
          <w:rFonts w:hint="eastAsia" w:ascii="仿宋" w:hAnsi="仿宋" w:eastAsia="仿宋"/>
          <w:b w:val="0"/>
          <w:bCs w:val="0"/>
          <w:color w:val="auto"/>
          <w:highlight w:val="none"/>
        </w:rPr>
        <w:t>十二、</w:t>
      </w:r>
      <w:r>
        <w:rPr>
          <w:rStyle w:val="35"/>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r>
        <w:rPr>
          <w:rStyle w:val="35"/>
          <w:rFonts w:hint="eastAsia" w:ascii="仿宋" w:hAnsi="仿宋" w:eastAsia="仿宋"/>
          <w:b w:val="0"/>
          <w:bCs w:val="0"/>
          <w:color w:val="auto"/>
          <w:highlight w:val="none"/>
        </w:rPr>
        <w:t>十三、</w:t>
      </w:r>
      <w:r>
        <w:rPr>
          <w:rStyle w:val="35"/>
          <w:rFonts w:hint="eastAsia" w:ascii="仿宋" w:hAnsi="仿宋" w:eastAsia="仿宋"/>
          <w:b w:val="0"/>
          <w:bCs w:val="0"/>
          <w:color w:val="auto"/>
          <w:highlight w:val="none"/>
          <w:lang w:eastAsia="zh-CN"/>
        </w:rPr>
        <w:t>财政拨款“三公”经费支出决算表</w:t>
      </w:r>
    </w:p>
    <w:p/>
    <w:p>
      <w:pPr>
        <w:spacing w:line="572" w:lineRule="exact"/>
        <w:jc w:val="left"/>
        <w:outlineLvl w:val="0"/>
        <w:rPr>
          <w:rFonts w:hint="eastAsia" w:ascii="仿宋_GB2312" w:hAnsi="Calibri" w:eastAsia="仿宋_GB2312" w:cs="仿宋"/>
          <w:color w:val="auto"/>
          <w:kern w:val="0"/>
          <w:sz w:val="32"/>
          <w:szCs w:val="32"/>
          <w:lang w:val="en-US" w:eastAsia="zh-CN" w:bidi="ar-SA"/>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3A8350FE"/>
    <w:multiLevelType w:val="singleLevel"/>
    <w:tmpl w:val="3A8350FE"/>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mNhN2IyZmJhYzk5N2YzZmEyZjAxMTU4Yjg5NzcifQ=="/>
  </w:docVars>
  <w:rsids>
    <w:rsidRoot w:val="00F1361C"/>
    <w:rsid w:val="000222C6"/>
    <w:rsid w:val="0002549F"/>
    <w:rsid w:val="000468DB"/>
    <w:rsid w:val="00055419"/>
    <w:rsid w:val="0006487A"/>
    <w:rsid w:val="00065F8F"/>
    <w:rsid w:val="00070A43"/>
    <w:rsid w:val="000768F2"/>
    <w:rsid w:val="00085C27"/>
    <w:rsid w:val="0009184B"/>
    <w:rsid w:val="00092113"/>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073E"/>
    <w:rsid w:val="00157BAB"/>
    <w:rsid w:val="001654D1"/>
    <w:rsid w:val="00174518"/>
    <w:rsid w:val="0018106D"/>
    <w:rsid w:val="0018278B"/>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368D"/>
    <w:rsid w:val="00260C38"/>
    <w:rsid w:val="002616C0"/>
    <w:rsid w:val="00265372"/>
    <w:rsid w:val="002662AA"/>
    <w:rsid w:val="00273F74"/>
    <w:rsid w:val="00280496"/>
    <w:rsid w:val="00294DC9"/>
    <w:rsid w:val="00295495"/>
    <w:rsid w:val="002A31DE"/>
    <w:rsid w:val="002B2613"/>
    <w:rsid w:val="002D6D05"/>
    <w:rsid w:val="002F1818"/>
    <w:rsid w:val="002F567B"/>
    <w:rsid w:val="003216A9"/>
    <w:rsid w:val="00335A74"/>
    <w:rsid w:val="0036561B"/>
    <w:rsid w:val="0037013F"/>
    <w:rsid w:val="00380C92"/>
    <w:rsid w:val="00395727"/>
    <w:rsid w:val="003A484F"/>
    <w:rsid w:val="003A4883"/>
    <w:rsid w:val="003B03A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142E"/>
    <w:rsid w:val="0046042A"/>
    <w:rsid w:val="00471401"/>
    <w:rsid w:val="00473F31"/>
    <w:rsid w:val="0048263A"/>
    <w:rsid w:val="00487E5D"/>
    <w:rsid w:val="004A711F"/>
    <w:rsid w:val="004B199D"/>
    <w:rsid w:val="004B27FB"/>
    <w:rsid w:val="004B4690"/>
    <w:rsid w:val="004C2F09"/>
    <w:rsid w:val="004E0A2D"/>
    <w:rsid w:val="004E0AEF"/>
    <w:rsid w:val="004E206B"/>
    <w:rsid w:val="004E6DF7"/>
    <w:rsid w:val="004F0FBD"/>
    <w:rsid w:val="00505A47"/>
    <w:rsid w:val="00512FDA"/>
    <w:rsid w:val="00520DA0"/>
    <w:rsid w:val="005516C4"/>
    <w:rsid w:val="005664BB"/>
    <w:rsid w:val="00566FFA"/>
    <w:rsid w:val="0057481D"/>
    <w:rsid w:val="0058486E"/>
    <w:rsid w:val="0058518B"/>
    <w:rsid w:val="00585B33"/>
    <w:rsid w:val="0059014D"/>
    <w:rsid w:val="005B5C64"/>
    <w:rsid w:val="005C5337"/>
    <w:rsid w:val="005C6BD0"/>
    <w:rsid w:val="005D1C8B"/>
    <w:rsid w:val="005D468D"/>
    <w:rsid w:val="005D5CED"/>
    <w:rsid w:val="005F1A4C"/>
    <w:rsid w:val="0060202D"/>
    <w:rsid w:val="00605688"/>
    <w:rsid w:val="006070AF"/>
    <w:rsid w:val="00607E6C"/>
    <w:rsid w:val="006101B1"/>
    <w:rsid w:val="0061341A"/>
    <w:rsid w:val="00614E44"/>
    <w:rsid w:val="0062270A"/>
    <w:rsid w:val="00622830"/>
    <w:rsid w:val="00623DA0"/>
    <w:rsid w:val="00630AEF"/>
    <w:rsid w:val="006325F8"/>
    <w:rsid w:val="00633463"/>
    <w:rsid w:val="00634C9A"/>
    <w:rsid w:val="006440E4"/>
    <w:rsid w:val="0066343B"/>
    <w:rsid w:val="00663790"/>
    <w:rsid w:val="00664777"/>
    <w:rsid w:val="006748A4"/>
    <w:rsid w:val="00681A31"/>
    <w:rsid w:val="00683E73"/>
    <w:rsid w:val="00690F30"/>
    <w:rsid w:val="006A3141"/>
    <w:rsid w:val="006A5E34"/>
    <w:rsid w:val="006B2422"/>
    <w:rsid w:val="006B2B9A"/>
    <w:rsid w:val="006C1937"/>
    <w:rsid w:val="006F020C"/>
    <w:rsid w:val="007127B7"/>
    <w:rsid w:val="0071798E"/>
    <w:rsid w:val="00725617"/>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1DA2"/>
    <w:rsid w:val="009D3447"/>
    <w:rsid w:val="009D4711"/>
    <w:rsid w:val="009E051E"/>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97714"/>
    <w:rsid w:val="00AA609D"/>
    <w:rsid w:val="00AB64C9"/>
    <w:rsid w:val="00AC3C6A"/>
    <w:rsid w:val="00AD5620"/>
    <w:rsid w:val="00AD656B"/>
    <w:rsid w:val="00AD6934"/>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37E05"/>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869"/>
    <w:rsid w:val="00CE7B61"/>
    <w:rsid w:val="00D00095"/>
    <w:rsid w:val="00D114F0"/>
    <w:rsid w:val="00D20620"/>
    <w:rsid w:val="00D24452"/>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53C"/>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4014"/>
    <w:rsid w:val="00F754A1"/>
    <w:rsid w:val="00F81FD9"/>
    <w:rsid w:val="00F841AA"/>
    <w:rsid w:val="00F84A94"/>
    <w:rsid w:val="00F87E96"/>
    <w:rsid w:val="00FA23E8"/>
    <w:rsid w:val="00FD3CC1"/>
    <w:rsid w:val="00FF1E02"/>
    <w:rsid w:val="00FF30B4"/>
    <w:rsid w:val="015975B8"/>
    <w:rsid w:val="01F13668"/>
    <w:rsid w:val="02143E91"/>
    <w:rsid w:val="04686C05"/>
    <w:rsid w:val="04AE6771"/>
    <w:rsid w:val="066E0107"/>
    <w:rsid w:val="07996F6E"/>
    <w:rsid w:val="09624E21"/>
    <w:rsid w:val="09EF5765"/>
    <w:rsid w:val="0A2032A3"/>
    <w:rsid w:val="0B5E35C5"/>
    <w:rsid w:val="0F98263C"/>
    <w:rsid w:val="101860EC"/>
    <w:rsid w:val="10AD496A"/>
    <w:rsid w:val="10C055FF"/>
    <w:rsid w:val="118107EC"/>
    <w:rsid w:val="13D50BC4"/>
    <w:rsid w:val="16BB723D"/>
    <w:rsid w:val="1BE8440E"/>
    <w:rsid w:val="1BFB6EBD"/>
    <w:rsid w:val="1D155CEE"/>
    <w:rsid w:val="1F9B085C"/>
    <w:rsid w:val="1FF35744"/>
    <w:rsid w:val="23860B96"/>
    <w:rsid w:val="240371BF"/>
    <w:rsid w:val="243B1699"/>
    <w:rsid w:val="263806CD"/>
    <w:rsid w:val="292D1347"/>
    <w:rsid w:val="29FD04D3"/>
    <w:rsid w:val="2C8A61B5"/>
    <w:rsid w:val="2DF04E50"/>
    <w:rsid w:val="2F040D46"/>
    <w:rsid w:val="319F7F4E"/>
    <w:rsid w:val="32DD4FAB"/>
    <w:rsid w:val="3304709D"/>
    <w:rsid w:val="36AA5135"/>
    <w:rsid w:val="376D39B2"/>
    <w:rsid w:val="37E16F03"/>
    <w:rsid w:val="38D469F0"/>
    <w:rsid w:val="38D579B4"/>
    <w:rsid w:val="3D98207C"/>
    <w:rsid w:val="3E78745D"/>
    <w:rsid w:val="41D90B93"/>
    <w:rsid w:val="43771C20"/>
    <w:rsid w:val="44E268DA"/>
    <w:rsid w:val="45DB0128"/>
    <w:rsid w:val="4A627F82"/>
    <w:rsid w:val="4B0E749A"/>
    <w:rsid w:val="4B4F25DA"/>
    <w:rsid w:val="4BE068DB"/>
    <w:rsid w:val="4CD06ED6"/>
    <w:rsid w:val="4CD25EF2"/>
    <w:rsid w:val="4D0455D2"/>
    <w:rsid w:val="4D577224"/>
    <w:rsid w:val="4EAB630A"/>
    <w:rsid w:val="4ECE2238"/>
    <w:rsid w:val="503F37BF"/>
    <w:rsid w:val="53545996"/>
    <w:rsid w:val="537E6D0A"/>
    <w:rsid w:val="5AF92295"/>
    <w:rsid w:val="5CD71FC4"/>
    <w:rsid w:val="5D4779E8"/>
    <w:rsid w:val="61A05C67"/>
    <w:rsid w:val="620F2B73"/>
    <w:rsid w:val="63B079EF"/>
    <w:rsid w:val="6C4A05C8"/>
    <w:rsid w:val="6E706637"/>
    <w:rsid w:val="6E7E3605"/>
    <w:rsid w:val="6FF5CC65"/>
    <w:rsid w:val="706305CE"/>
    <w:rsid w:val="70673B2B"/>
    <w:rsid w:val="715C0E4B"/>
    <w:rsid w:val="71F45FB8"/>
    <w:rsid w:val="72734D90"/>
    <w:rsid w:val="739C76CB"/>
    <w:rsid w:val="73AD73D5"/>
    <w:rsid w:val="73B6EB34"/>
    <w:rsid w:val="744731E5"/>
    <w:rsid w:val="764279EA"/>
    <w:rsid w:val="76A56E9B"/>
    <w:rsid w:val="76E3355F"/>
    <w:rsid w:val="773758DC"/>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autoRedefine/>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link w:val="25"/>
    <w:autoRedefine/>
    <w:qFormat/>
    <w:uiPriority w:val="99"/>
    <w:pPr>
      <w:spacing w:beforeLines="30"/>
    </w:pPr>
    <w:rPr>
      <w:rFonts w:ascii="仿宋_GB2312" w:eastAsia="仿宋_GB2312"/>
      <w:kern w:val="0"/>
      <w:sz w:val="30"/>
    </w:rPr>
  </w:style>
  <w:style w:type="paragraph" w:styleId="7">
    <w:name w:val="Body Text Indent"/>
    <w:basedOn w:val="1"/>
    <w:autoRedefine/>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1"/>
    <w:autoRedefine/>
    <w:semiHidden/>
    <w:unhideWhenUsed/>
    <w:qFormat/>
    <w:uiPriority w:val="99"/>
    <w:rPr>
      <w:sz w:val="18"/>
      <w:szCs w:val="18"/>
    </w:rPr>
  </w:style>
  <w:style w:type="paragraph" w:styleId="10">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autoRedefine/>
    <w:unhideWhenUsed/>
    <w:qFormat/>
    <w:uiPriority w:val="39"/>
    <w:pPr>
      <w:tabs>
        <w:tab w:val="right" w:leader="dot" w:pos="8296"/>
      </w:tabs>
      <w:ind w:left="420" w:leftChars="200"/>
    </w:pPr>
  </w:style>
  <w:style w:type="paragraph" w:styleId="14">
    <w:name w:val="Body Text First Indent 2"/>
    <w:basedOn w:val="7"/>
    <w:autoRedefine/>
    <w:unhideWhenUsed/>
    <w:qFormat/>
    <w:uiPriority w:val="99"/>
    <w:pPr>
      <w:ind w:firstLine="420" w:firstLineChars="200"/>
    </w:pPr>
  </w:style>
  <w:style w:type="character" w:styleId="17">
    <w:name w:val="Strong"/>
    <w:basedOn w:val="16"/>
    <w:autoRedefine/>
    <w:qFormat/>
    <w:uiPriority w:val="99"/>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autoRedefine/>
    <w:semiHidden/>
    <w:qFormat/>
    <w:uiPriority w:val="99"/>
    <w:rPr>
      <w:rFonts w:ascii="Times New Roman" w:hAnsi="Times New Roman"/>
      <w:sz w:val="18"/>
      <w:szCs w:val="18"/>
    </w:rPr>
  </w:style>
  <w:style w:type="character" w:customStyle="1" w:styleId="21">
    <w:name w:val="页眉 字符"/>
    <w:link w:val="11"/>
    <w:autoRedefine/>
    <w:semiHidden/>
    <w:qFormat/>
    <w:locked/>
    <w:uiPriority w:val="99"/>
    <w:rPr>
      <w:sz w:val="18"/>
    </w:rPr>
  </w:style>
  <w:style w:type="character" w:customStyle="1" w:styleId="22">
    <w:name w:val="Footer Char"/>
    <w:basedOn w:val="16"/>
    <w:autoRedefine/>
    <w:semiHidden/>
    <w:qFormat/>
    <w:uiPriority w:val="99"/>
    <w:rPr>
      <w:rFonts w:ascii="Times New Roman" w:hAnsi="Times New Roman"/>
      <w:sz w:val="18"/>
      <w:szCs w:val="18"/>
    </w:rPr>
  </w:style>
  <w:style w:type="character" w:customStyle="1" w:styleId="23">
    <w:name w:val="页脚 字符"/>
    <w:link w:val="10"/>
    <w:autoRedefine/>
    <w:qFormat/>
    <w:locked/>
    <w:uiPriority w:val="99"/>
    <w:rPr>
      <w:sz w:val="18"/>
    </w:rPr>
  </w:style>
  <w:style w:type="character" w:customStyle="1" w:styleId="24">
    <w:name w:val="Body Text Char"/>
    <w:basedOn w:val="16"/>
    <w:autoRedefine/>
    <w:semiHidden/>
    <w:qFormat/>
    <w:uiPriority w:val="99"/>
    <w:rPr>
      <w:rFonts w:ascii="Times New Roman" w:hAnsi="Times New Roman"/>
      <w:szCs w:val="24"/>
    </w:rPr>
  </w:style>
  <w:style w:type="character" w:customStyle="1" w:styleId="25">
    <w:name w:val="正文文本 字符"/>
    <w:link w:val="6"/>
    <w:autoRedefine/>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标题 1 字符"/>
    <w:basedOn w:val="16"/>
    <w:link w:val="2"/>
    <w:autoRedefine/>
    <w:qFormat/>
    <w:uiPriority w:val="9"/>
    <w:rPr>
      <w:rFonts w:ascii="Times New Roman" w:hAnsi="Times New Roman"/>
      <w:b/>
      <w:bCs/>
      <w:kern w:val="44"/>
      <w:sz w:val="44"/>
      <w:szCs w:val="44"/>
    </w:rPr>
  </w:style>
  <w:style w:type="character" w:customStyle="1" w:styleId="29">
    <w:name w:val="标题 2 字符"/>
    <w:basedOn w:val="16"/>
    <w:link w:val="3"/>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autoRedefine/>
    <w:semiHidden/>
    <w:qFormat/>
    <w:uiPriority w:val="99"/>
    <w:rPr>
      <w:rFonts w:ascii="Times New Roman" w:hAnsi="Times New Roman"/>
      <w:kern w:val="2"/>
      <w:sz w:val="18"/>
      <w:szCs w:val="18"/>
    </w:rPr>
  </w:style>
  <w:style w:type="character" w:customStyle="1" w:styleId="32">
    <w:name w:val="标题 3 字符"/>
    <w:basedOn w:val="16"/>
    <w:link w:val="4"/>
    <w:autoRedefine/>
    <w:qFormat/>
    <w:uiPriority w:val="9"/>
    <w:rPr>
      <w:rFonts w:ascii="Times New Roman" w:hAnsi="Times New Roman"/>
      <w:b/>
      <w:bCs/>
      <w:kern w:val="2"/>
      <w:sz w:val="32"/>
      <w:szCs w:val="32"/>
    </w:rPr>
  </w:style>
  <w:style w:type="paragraph" w:customStyle="1" w:styleId="33">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autoRedefine/>
    <w:qFormat/>
    <w:uiPriority w:val="0"/>
    <w:pPr>
      <w:spacing w:line="360" w:lineRule="auto"/>
    </w:pPr>
    <w:rPr>
      <w:rFonts w:ascii="??" w:hAnsi="??"/>
      <w:color w:val="000000"/>
      <w:kern w:val="0"/>
      <w:sz w:val="28"/>
      <w:szCs w:val="21"/>
      <w:lang w:val="zh-CN"/>
    </w:rPr>
  </w:style>
  <w:style w:type="character" w:customStyle="1" w:styleId="35">
    <w:name w:val="标题 2 Char"/>
    <w:basedOn w:val="16"/>
    <w:link w:val="3"/>
    <w:autoRedefine/>
    <w:qFormat/>
    <w:uiPriority w:val="9"/>
    <w:rPr>
      <w:rFonts w:ascii="Cambria" w:hAnsi="Cambria" w:eastAsia="宋体" w:cs="Times New Roman"/>
      <w:b/>
      <w:bCs/>
      <w:sz w:val="32"/>
      <w:szCs w:val="32"/>
    </w:rPr>
  </w:style>
  <w:style w:type="character" w:customStyle="1" w:styleId="36">
    <w:name w:val="标题 1 Char"/>
    <w:basedOn w:val="16"/>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7329;&#39034;&#25991;&#20214;\2022&#24180;&#24230;&#20915;&#31639;&#20844;&#24320;&#25968;&#25454;\&#30456;&#20851;&#22270;.xl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Desktop\&#37329;&#39034;&#25991;&#20214;\2022&#24180;&#24230;&#20915;&#31639;&#20844;&#24320;&#25968;&#25454;\&#30456;&#20851;&#22270;.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Administrator\Desktop\&#37329;&#39034;&#25991;&#20214;\2022&#24180;&#24230;&#20915;&#31639;&#20844;&#24320;&#25968;&#25454;\&#30456;&#20851;&#22270;.xls"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Administrator\Desktop\&#37329;&#39034;&#25991;&#20214;\2022&#24180;&#24230;&#20915;&#31639;&#20844;&#24320;&#25968;&#25454;\&#30456;&#20851;&#22270;.xls"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C:\Users\Administrator\Desktop\&#37329;&#39034;&#25991;&#20214;\2022&#24180;&#24230;&#20915;&#31639;&#20844;&#24320;&#25968;&#25454;\&#30456;&#20851;&#22270;.xls"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C:\Users\Administrator\Desktop\&#37329;&#39034;&#25991;&#20214;\2022&#24180;&#24230;&#20915;&#31639;&#20844;&#24320;&#25968;&#25454;\&#30456;&#2085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收入支出决算总体情况</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[相关图.xls]蟠龙!$A$3</c:f>
              <c:strCache>
                <c:ptCount val="1"/>
                <c:pt idx="0">
                  <c:v>2022年</c:v>
                </c:pt>
              </c:strCache>
            </c:strRef>
          </c:tx>
          <c:spPr>
            <a:solidFill>
              <a:srgbClr val="5B9BD5">
                <a:alpha val="100000"/>
              </a:srgbClr>
            </a:solidFill>
            <a:ln w="3175">
              <a:noFill/>
            </a:ln>
          </c:spPr>
          <c:invertIfNegative val="0"/>
          <c:dLbls>
            <c:delete val="1"/>
          </c:dLbls>
          <c:cat>
            <c:strRef>
              <c:f>[相关图.xls]蟠龙!$B$2:$C$2</c:f>
              <c:strCache>
                <c:ptCount val="2"/>
                <c:pt idx="0">
                  <c:v>总收入</c:v>
                </c:pt>
                <c:pt idx="1">
                  <c:v>总支出</c:v>
                </c:pt>
              </c:strCache>
            </c:strRef>
          </c:cat>
          <c:val>
            <c:numRef>
              <c:f>[相关图.xls]蟠龙!$B$3:$C$3</c:f>
              <c:numCache>
                <c:formatCode>General</c:formatCode>
                <c:ptCount val="2"/>
                <c:pt idx="0">
                  <c:v>888.92</c:v>
                </c:pt>
                <c:pt idx="1">
                  <c:v>894.71</c:v>
                </c:pt>
              </c:numCache>
            </c:numRef>
          </c:val>
        </c:ser>
        <c:ser>
          <c:idx val="1"/>
          <c:order val="1"/>
          <c:tx>
            <c:strRef>
              <c:f>[相关图.xls]蟠龙!$A$4</c:f>
              <c:strCache>
                <c:ptCount val="1"/>
                <c:pt idx="0">
                  <c:v>2023年</c:v>
                </c:pt>
              </c:strCache>
            </c:strRef>
          </c:tx>
          <c:spPr>
            <a:solidFill>
              <a:srgbClr val="ED7D31">
                <a:alpha val="100000"/>
              </a:srgbClr>
            </a:solidFill>
            <a:ln w="3175">
              <a:noFill/>
            </a:ln>
          </c:spPr>
          <c:invertIfNegative val="0"/>
          <c:dLbls>
            <c:delete val="1"/>
          </c:dLbls>
          <c:cat>
            <c:strRef>
              <c:f>[相关图.xls]蟠龙!$B$2:$C$2</c:f>
              <c:strCache>
                <c:ptCount val="2"/>
                <c:pt idx="0">
                  <c:v>总收入</c:v>
                </c:pt>
                <c:pt idx="1">
                  <c:v>总支出</c:v>
                </c:pt>
              </c:strCache>
            </c:strRef>
          </c:cat>
          <c:val>
            <c:numRef>
              <c:f>[相关图.xls]蟠龙!$B$4:$C$4</c:f>
              <c:numCache>
                <c:formatCode>General</c:formatCode>
                <c:ptCount val="2"/>
                <c:pt idx="0">
                  <c:v>901.65</c:v>
                </c:pt>
                <c:pt idx="1">
                  <c:v>901.65</c:v>
                </c:pt>
              </c:numCache>
            </c:numRef>
          </c:val>
        </c:ser>
        <c:dLbls>
          <c:showLegendKey val="0"/>
          <c:showVal val="0"/>
          <c:showCatName val="0"/>
          <c:showSerName val="0"/>
          <c:showPercent val="0"/>
          <c:showBubbleSize val="0"/>
        </c:dLbls>
        <c:gapWidth val="246"/>
        <c:overlap val="-28"/>
        <c:axId val="865512871"/>
        <c:axId val="61270095"/>
      </c:barChart>
      <c:catAx>
        <c:axId val="86551287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61270095"/>
        <c:crosses val="autoZero"/>
        <c:auto val="1"/>
        <c:lblAlgn val="ctr"/>
        <c:lblOffset val="100"/>
        <c:noMultiLvlLbl val="0"/>
      </c:catAx>
      <c:valAx>
        <c:axId val="61270095"/>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65512871"/>
        <c:crosses val="autoZero"/>
        <c:crossBetween val="between"/>
      </c:valAx>
      <c:spPr>
        <a:noFill/>
        <a:ln>
          <a:noFill/>
        </a:ln>
        <a:effectLst/>
      </c:spPr>
    </c:plotArea>
    <c:legend>
      <c:legendPos val="r"/>
      <c:layout>
        <c:manualLayout>
          <c:xMode val="edge"/>
          <c:yMode val="edge"/>
          <c:x val="0.39475"/>
          <c:y val="0.9115"/>
          <c:w val="0.202099737532808"/>
          <c:h val="0.0641975308641975"/>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收入决算情况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00B2CC">
                <a:alpha val="100000"/>
              </a:srgbClr>
            </a:solidFill>
            <a:ln w="3175">
              <a:noFill/>
            </a:ln>
          </c:spPr>
          <c:explosion val="3"/>
          <c:dPt>
            <c:idx val="0"/>
            <c:bubble3D val="0"/>
            <c:explosion val="3"/>
            <c:spPr>
              <a:solidFill>
                <a:srgbClr val="00B2CC">
                  <a:alpha val="100000"/>
                </a:srgbClr>
              </a:solidFill>
              <a:ln w="3175">
                <a:noFill/>
              </a:ln>
            </c:spPr>
          </c:dPt>
          <c:dPt>
            <c:idx val="1"/>
            <c:bubble3D val="0"/>
            <c:explosion val="3"/>
            <c:spPr>
              <a:solidFill>
                <a:srgbClr val="FCB040">
                  <a:alpha val="100000"/>
                </a:srgbClr>
              </a:solidFill>
              <a:ln w="3175">
                <a:noFill/>
              </a:ln>
            </c:spPr>
          </c:dPt>
          <c:dPt>
            <c:idx val="2"/>
            <c:bubble3D val="0"/>
            <c:explosion val="3"/>
            <c:spPr>
              <a:solidFill>
                <a:srgbClr val="BFD546">
                  <a:alpha val="100000"/>
                </a:srgbClr>
              </a:solidFill>
              <a:ln w="3175">
                <a:noFill/>
              </a:ln>
            </c:spPr>
          </c:dPt>
          <c:dLbls>
            <c:dLbl>
              <c:idx val="0"/>
              <c:layout/>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2"/>
              <c:layout/>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[相关图.xls]蟠龙!$A$20:$A$22</c:f>
              <c:strCache>
                <c:ptCount val="3"/>
                <c:pt idx="0">
                  <c:v>一般公共预算财政拨款收入</c:v>
                </c:pt>
                <c:pt idx="1">
                  <c:v>事业收入</c:v>
                </c:pt>
                <c:pt idx="2">
                  <c:v>其他收入</c:v>
                </c:pt>
              </c:strCache>
            </c:strRef>
          </c:cat>
          <c:val>
            <c:numRef>
              <c:f>[相关图.xls]蟠龙!$B$20:$B$22</c:f>
              <c:numCache>
                <c:formatCode>General</c:formatCode>
                <c:ptCount val="3"/>
                <c:pt idx="0">
                  <c:v>293.04</c:v>
                </c:pt>
                <c:pt idx="1">
                  <c:v>586.37</c:v>
                </c:pt>
                <c:pt idx="2">
                  <c:v>22.24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9125"/>
          <c:y val="0.4585"/>
          <c:w val="0.293963254593176"/>
          <c:h val="0.189158016147636"/>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支出决算情况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00B2CC">
                <a:alpha val="100000"/>
              </a:srgbClr>
            </a:solidFill>
            <a:ln w="3175">
              <a:noFill/>
            </a:ln>
          </c:spPr>
          <c:explosion val="3"/>
          <c:dPt>
            <c:idx val="0"/>
            <c:bubble3D val="0"/>
            <c:explosion val="3"/>
            <c:spPr>
              <a:solidFill>
                <a:srgbClr val="00B2CC">
                  <a:alpha val="100000"/>
                </a:srgbClr>
              </a:solidFill>
              <a:ln w="3175">
                <a:noFill/>
              </a:ln>
            </c:spPr>
          </c:dPt>
          <c:dPt>
            <c:idx val="1"/>
            <c:bubble3D val="0"/>
            <c:explosion val="3"/>
            <c:spPr>
              <a:solidFill>
                <a:srgbClr val="FCB040">
                  <a:alpha val="100000"/>
                </a:srgbClr>
              </a:solidFill>
              <a:ln w="3175">
                <a:noFill/>
              </a:ln>
            </c:spPr>
          </c:dPt>
          <c:dLbls>
            <c:dLbl>
              <c:idx val="0"/>
              <c:layout/>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[相关图.xls]蟠龙!$A$37:$A$38</c:f>
              <c:strCache>
                <c:ptCount val="2"/>
                <c:pt idx="0">
                  <c:v>基本支出</c:v>
                </c:pt>
                <c:pt idx="1">
                  <c:v>项目支出</c:v>
                </c:pt>
              </c:strCache>
            </c:strRef>
          </c:cat>
          <c:val>
            <c:numRef>
              <c:f>[相关图.xls]蟠龙!$B$37:$B$38</c:f>
              <c:numCache>
                <c:formatCode>General</c:formatCode>
                <c:ptCount val="2"/>
                <c:pt idx="0">
                  <c:v>649.77</c:v>
                </c:pt>
                <c:pt idx="1">
                  <c:v>251.88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6775"/>
          <c:y val="0.49475"/>
          <c:w val="0.120734908136483"/>
          <c:h val="0.124567474048443"/>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财政拨款收入支出情况</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9785235178936"/>
          <c:y val="0.0450404949381327"/>
        </c:manualLayout>
      </c:layout>
      <c:overlay val="0"/>
    </c:title>
    <c:autoTitleDeleted val="0"/>
    <c:plotArea>
      <c:layout>
        <c:manualLayout>
          <c:layoutTarget val="inner"/>
          <c:xMode val="edge"/>
          <c:yMode val="edge"/>
          <c:x val="0.0867195767195767"/>
          <c:y val="0.128990228013029"/>
          <c:w val="0.782724867724868"/>
          <c:h val="0.729945711183496"/>
        </c:manualLayout>
      </c:layout>
      <c:barChart>
        <c:barDir val="col"/>
        <c:grouping val="clustered"/>
        <c:varyColors val="0"/>
        <c:ser>
          <c:idx val="0"/>
          <c:order val="0"/>
          <c:tx>
            <c:strRef>
              <c:f>[相关图.xls]蟠龙!$A$55</c:f>
              <c:strCache>
                <c:ptCount val="1"/>
                <c:pt idx="0">
                  <c:v>2022年</c:v>
                </c:pt>
              </c:strCache>
            </c:strRef>
          </c:tx>
          <c:spPr>
            <a:solidFill>
              <a:srgbClr val="5B9BD5">
                <a:alpha val="100000"/>
              </a:srgbClr>
            </a:solidFill>
            <a:ln w="3175">
              <a:noFill/>
            </a:ln>
          </c:spPr>
          <c:invertIfNegative val="0"/>
          <c:dLbls>
            <c:delete val="1"/>
          </c:dLbls>
          <c:cat>
            <c:strRef>
              <c:f>[相关图.xls]蟠龙!$B$54:$C$54</c:f>
              <c:strCache>
                <c:ptCount val="2"/>
                <c:pt idx="0">
                  <c:v>一般公共预算财政拨款收入</c:v>
                </c:pt>
                <c:pt idx="1">
                  <c:v>一般公共预算财政拨款支出</c:v>
                </c:pt>
              </c:strCache>
            </c:strRef>
          </c:cat>
          <c:val>
            <c:numRef>
              <c:f>[相关图.xls]蟠龙!$B$55:$C$55</c:f>
              <c:numCache>
                <c:formatCode>General</c:formatCode>
                <c:ptCount val="2"/>
                <c:pt idx="0">
                  <c:v>179.79</c:v>
                </c:pt>
                <c:pt idx="1">
                  <c:v>185.58</c:v>
                </c:pt>
              </c:numCache>
            </c:numRef>
          </c:val>
        </c:ser>
        <c:ser>
          <c:idx val="1"/>
          <c:order val="1"/>
          <c:tx>
            <c:strRef>
              <c:f>[相关图.xls]蟠龙!$A$56</c:f>
              <c:strCache>
                <c:ptCount val="1"/>
                <c:pt idx="0">
                  <c:v>2023年</c:v>
                </c:pt>
              </c:strCache>
            </c:strRef>
          </c:tx>
          <c:spPr>
            <a:solidFill>
              <a:srgbClr val="ED7D31">
                <a:alpha val="100000"/>
              </a:srgbClr>
            </a:solidFill>
            <a:ln w="3175">
              <a:noFill/>
            </a:ln>
          </c:spPr>
          <c:invertIfNegative val="0"/>
          <c:dLbls>
            <c:delete val="1"/>
          </c:dLbls>
          <c:cat>
            <c:strRef>
              <c:f>[相关图.xls]蟠龙!$B$54:$C$54</c:f>
              <c:strCache>
                <c:ptCount val="2"/>
                <c:pt idx="0">
                  <c:v>一般公共预算财政拨款收入</c:v>
                </c:pt>
                <c:pt idx="1">
                  <c:v>一般公共预算财政拨款支出</c:v>
                </c:pt>
              </c:strCache>
            </c:strRef>
          </c:cat>
          <c:val>
            <c:numRef>
              <c:f>[相关图.xls]蟠龙!$B$56:$C$56</c:f>
              <c:numCache>
                <c:formatCode>General</c:formatCode>
                <c:ptCount val="2"/>
                <c:pt idx="0">
                  <c:v>293.04</c:v>
                </c:pt>
                <c:pt idx="1">
                  <c:v>293.04</c:v>
                </c:pt>
              </c:numCache>
            </c:numRef>
          </c:val>
        </c:ser>
        <c:dLbls>
          <c:showLegendKey val="0"/>
          <c:showVal val="0"/>
          <c:showCatName val="0"/>
          <c:showSerName val="0"/>
          <c:showPercent val="0"/>
          <c:showBubbleSize val="0"/>
        </c:dLbls>
        <c:gapWidth val="246"/>
        <c:overlap val="-28"/>
        <c:axId val="653132609"/>
        <c:axId val="986702588"/>
      </c:barChart>
      <c:catAx>
        <c:axId val="653132609"/>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986702588"/>
        <c:crosses val="autoZero"/>
        <c:auto val="1"/>
        <c:lblAlgn val="ctr"/>
        <c:lblOffset val="100"/>
        <c:noMultiLvlLbl val="0"/>
      </c:catAx>
      <c:valAx>
        <c:axId val="986702588"/>
        <c:scaling>
          <c:orientation val="minMax"/>
        </c:scaling>
        <c:delete val="0"/>
        <c:axPos val="l"/>
        <c:majorGridlines>
          <c:spPr>
            <a:ln w="9525" cap="flat" cmpd="sng" algn="ctr">
              <a:solidFill>
                <a:sysClr val="window" lastClr="FFFFFF">
                  <a:lumMod val="90200"/>
                </a:sys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653132609"/>
        <c:crosses val="autoZero"/>
        <c:crossBetween val="between"/>
      </c:valAx>
      <c:spPr>
        <a:noFill/>
        <a:ln>
          <a:noFill/>
        </a:ln>
        <a:effectLst/>
      </c:spPr>
    </c:plotArea>
    <c:legend>
      <c:legendPos val="r"/>
      <c:layout>
        <c:manualLayout>
          <c:xMode val="edge"/>
          <c:yMode val="edge"/>
          <c:x val="0.3935"/>
          <c:y val="0.91525"/>
          <c:w val="0.203300330033003"/>
          <c:h val="0.0616844602609727"/>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一般公共预算财政拨款支出决算总体情况</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109073386963979"/>
          <c:y val="0.139658355834826"/>
          <c:w val="0.784010519395135"/>
          <c:h val="0.736804232804233"/>
        </c:manualLayout>
      </c:layout>
      <c:barChart>
        <c:barDir val="col"/>
        <c:grouping val="clustered"/>
        <c:varyColors val="0"/>
        <c:ser>
          <c:idx val="0"/>
          <c:order val="0"/>
          <c:tx>
            <c:strRef>
              <c:f>[相关图.xls]蟠龙!$A$73</c:f>
              <c:strCache>
                <c:ptCount val="1"/>
                <c:pt idx="0">
                  <c:v>2022年</c:v>
                </c:pt>
              </c:strCache>
            </c:strRef>
          </c:tx>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[相关图.xls]蟠龙!$B$72</c:f>
              <c:strCache>
                <c:ptCount val="1"/>
                <c:pt idx="0">
                  <c:v>一般公共预算财政拨款支出</c:v>
                </c:pt>
              </c:strCache>
            </c:strRef>
          </c:cat>
          <c:val>
            <c:numRef>
              <c:f>[相关图.xls]蟠龙!$B$73</c:f>
              <c:numCache>
                <c:formatCode>General</c:formatCode>
                <c:ptCount val="1"/>
                <c:pt idx="0">
                  <c:v>185.58</c:v>
                </c:pt>
              </c:numCache>
            </c:numRef>
          </c:val>
        </c:ser>
        <c:ser>
          <c:idx val="1"/>
          <c:order val="1"/>
          <c:tx>
            <c:strRef>
              <c:f>[相关图.xls]蟠龙!$A$74</c:f>
              <c:strCache>
                <c:ptCount val="1"/>
                <c:pt idx="0">
                  <c:v>2023年</c:v>
                </c:pt>
              </c:strCache>
            </c:strRef>
          </c:tx>
          <c:spPr>
            <a:solidFill>
              <a:srgbClr val="ED7D31">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[相关图.xls]蟠龙!$B$72</c:f>
              <c:strCache>
                <c:ptCount val="1"/>
                <c:pt idx="0">
                  <c:v>一般公共预算财政拨款支出</c:v>
                </c:pt>
              </c:strCache>
            </c:strRef>
          </c:cat>
          <c:val>
            <c:numRef>
              <c:f>[相关图.xls]蟠龙!$B$74</c:f>
              <c:numCache>
                <c:formatCode>General</c:formatCode>
                <c:ptCount val="1"/>
                <c:pt idx="0">
                  <c:v>293.04</c:v>
                </c:pt>
              </c:numCache>
            </c:numRef>
          </c:val>
        </c:ser>
        <c:dLbls>
          <c:showLegendKey val="0"/>
          <c:showVal val="0"/>
          <c:showCatName val="0"/>
          <c:showSerName val="0"/>
          <c:showPercent val="0"/>
          <c:showBubbleSize val="0"/>
        </c:dLbls>
        <c:gapWidth val="246"/>
        <c:overlap val="-28"/>
        <c:axId val="33599501"/>
        <c:axId val="480579356"/>
      </c:barChart>
      <c:catAx>
        <c:axId val="33599501"/>
        <c:scaling>
          <c:orientation val="minMax"/>
        </c:scaling>
        <c:delete val="0"/>
        <c:axPos val="b"/>
        <c:majorTickMark val="out"/>
        <c:minorTickMark val="none"/>
        <c:tickLblPos val="nextTo"/>
        <c:spPr>
          <a:noFill/>
          <a:ln w="9525" cap="flat" cmpd="sng" algn="ctr">
            <a:solidFill>
              <a:sysClr val="windowText" lastClr="000000">
                <a:lumMod val="15000"/>
                <a:lumOff val="85000"/>
              </a:sys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480579356"/>
        <c:crosses val="autoZero"/>
        <c:auto val="1"/>
        <c:lblAlgn val="ctr"/>
        <c:lblOffset val="100"/>
        <c:noMultiLvlLbl val="0"/>
      </c:catAx>
      <c:valAx>
        <c:axId val="480579356"/>
        <c:scaling>
          <c:orientation val="minMax"/>
        </c:scaling>
        <c:delete val="0"/>
        <c:axPos val="l"/>
        <c:numFmt formatCode="General" sourceLinked="1"/>
        <c:majorTickMark val="out"/>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33599501"/>
        <c:crosses val="autoZero"/>
        <c:crossBetween val="between"/>
      </c:valAx>
      <c:spPr>
        <a:noFill/>
        <a:ln>
          <a:noFill/>
        </a:ln>
        <a:effectLst/>
      </c:spPr>
    </c:plotArea>
    <c:legend>
      <c:legendPos val="r"/>
      <c:layout>
        <c:manualLayout>
          <c:xMode val="edge"/>
          <c:yMode val="edge"/>
          <c:x val="0.39475"/>
          <c:y val="0.91825"/>
          <c:w val="0.202099737532808"/>
          <c:h val="0.0599769319492503"/>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一般公共预算财政拨款支出决算结构情况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00B2CC">
                <a:alpha val="100000"/>
              </a:srgbClr>
            </a:solidFill>
            <a:ln w="3175">
              <a:noFill/>
            </a:ln>
          </c:spPr>
          <c:explosion val="3"/>
          <c:dPt>
            <c:idx val="0"/>
            <c:bubble3D val="0"/>
            <c:explosion val="3"/>
            <c:spPr>
              <a:solidFill>
                <a:srgbClr val="00B2CC">
                  <a:alpha val="100000"/>
                </a:srgbClr>
              </a:solidFill>
              <a:ln w="3175">
                <a:noFill/>
              </a:ln>
            </c:spPr>
          </c:dPt>
          <c:dPt>
            <c:idx val="1"/>
            <c:bubble3D val="0"/>
            <c:explosion val="3"/>
            <c:spPr>
              <a:solidFill>
                <a:srgbClr val="FCB040">
                  <a:alpha val="100000"/>
                </a:srgbClr>
              </a:solidFill>
              <a:ln w="3175">
                <a:noFill/>
              </a:ln>
            </c:spPr>
          </c:dPt>
          <c:dLbls>
            <c:dLbl>
              <c:idx val="0"/>
              <c:layout/>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[相关图.xls]蟠龙!$A$91:$A$92</c:f>
              <c:strCache>
                <c:ptCount val="2"/>
                <c:pt idx="0">
                  <c:v>社会保障和就业支出</c:v>
                </c:pt>
                <c:pt idx="1">
                  <c:v>卫生健康支出</c:v>
                </c:pt>
              </c:strCache>
            </c:strRef>
          </c:cat>
          <c:val>
            <c:numRef>
              <c:f>[相关图.xls]蟠龙!$B$91:$B$92</c:f>
              <c:numCache>
                <c:formatCode>General</c:formatCode>
                <c:ptCount val="2"/>
                <c:pt idx="0">
                  <c:v>22.73</c:v>
                </c:pt>
                <c:pt idx="1">
                  <c:v>270.31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05"/>
          <c:y val="0.48425"/>
          <c:w val="0.275590551181102"/>
          <c:h val="0.153086419753086"/>
        </c:manualLayout>
      </c:layout>
      <c:overlay val="0"/>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EB05-CC4E-4BD8-A503-9038B3CE435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15</Pages>
  <Words>852</Words>
  <Characters>4861</Characters>
  <Lines>40</Lines>
  <Paragraphs>11</Paragraphs>
  <TotalTime>2</TotalTime>
  <ScaleCrop>false</ScaleCrop>
  <LinksUpToDate>false</LinksUpToDate>
  <CharactersWithSpaces>5702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Administrator</dc:creator>
  <cp:lastModifiedBy>Administrator</cp:lastModifiedBy>
  <cp:lastPrinted>2023-10-31T01:53:00Z</cp:lastPrinted>
  <dcterms:modified xsi:type="dcterms:W3CDTF">2024-09-30T01:24:35Z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F5648C16695A4749AB7D6EAE8979F56E_13</vt:lpwstr>
  </property>
</Properties>
</file>