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3E6D6">
      <w:pPr>
        <w:spacing w:line="600" w:lineRule="exact"/>
        <w:jc w:val="both"/>
        <w:outlineLvl w:val="0"/>
        <w:rPr>
          <w:rFonts w:hint="default" w:ascii="方正小标宋简体" w:hAnsi="宋体" w:eastAsia="方正小标宋简体"/>
          <w:sz w:val="72"/>
          <w:szCs w:val="72"/>
          <w:lang w:val="en-US" w:eastAsia="zh-CN"/>
        </w:rPr>
      </w:pPr>
      <w:bookmarkStart w:id="0" w:name="_Toc15377425"/>
      <w:bookmarkStart w:id="1" w:name="_Toc15378441"/>
      <w:bookmarkStart w:id="2" w:name="_Toc15396475"/>
      <w:bookmarkStart w:id="3" w:name="_Toc15377193"/>
      <w:bookmarkStart w:id="4" w:name="_Toc15396597"/>
      <w:bookmarkStart w:id="5" w:name="_Toc15306267"/>
    </w:p>
    <w:bookmarkEnd w:id="0"/>
    <w:bookmarkEnd w:id="1"/>
    <w:bookmarkEnd w:id="2"/>
    <w:bookmarkEnd w:id="3"/>
    <w:bookmarkEnd w:id="4"/>
    <w:bookmarkEnd w:id="5"/>
    <w:p w14:paraId="788E82CF">
      <w:pPr>
        <w:pStyle w:val="6"/>
        <w:jc w:val="center"/>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2023年度四川省乐至县通旅镇</w:t>
      </w:r>
    </w:p>
    <w:p w14:paraId="44AE8EB5">
      <w:pPr>
        <w:pStyle w:val="6"/>
        <w:jc w:val="center"/>
        <w:rPr>
          <w:rFonts w:hint="default"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决算公开说明</w:t>
      </w:r>
    </w:p>
    <w:p w14:paraId="5D9A908C">
      <w:pPr>
        <w:widowControl/>
        <w:jc w:val="center"/>
        <w:rPr>
          <w:rFonts w:ascii="黑体" w:hAnsi="黑体" w:eastAsia="黑体"/>
          <w:sz w:val="48"/>
          <w:szCs w:val="48"/>
        </w:rPr>
      </w:pPr>
      <w:r>
        <w:rPr>
          <w:rFonts w:hint="eastAsia" w:ascii="黑体" w:hAnsi="黑体" w:eastAsia="黑体"/>
          <w:sz w:val="48"/>
          <w:szCs w:val="48"/>
        </w:rPr>
        <w:t>目录</w:t>
      </w:r>
    </w:p>
    <w:p w14:paraId="37452182">
      <w:pPr>
        <w:widowControl/>
        <w:jc w:val="center"/>
        <w:rPr>
          <w:rFonts w:ascii="黑体" w:hAnsi="黑体" w:eastAsia="黑体" w:cstheme="minorBidi"/>
          <w:sz w:val="28"/>
          <w:szCs w:val="28"/>
        </w:rPr>
      </w:pPr>
    </w:p>
    <w:p w14:paraId="324088CC">
      <w:pPr>
        <w:pStyle w:val="12"/>
      </w:pPr>
      <w:r>
        <w:rPr>
          <w:rFonts w:hint="eastAsia"/>
        </w:rPr>
        <w:t>公开时间：</w:t>
      </w:r>
      <w:r>
        <w:rPr>
          <w:rFonts w:hint="eastAsia"/>
          <w:color w:val="auto"/>
          <w:highlight w:val="none"/>
        </w:rPr>
        <w:t>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bookmarkStart w:id="65" w:name="_GoBack"/>
      <w:bookmarkEnd w:id="65"/>
    </w:p>
    <w:p w14:paraId="3A286D23"/>
    <w:p w14:paraId="621C754A">
      <w:pPr>
        <w:pStyle w:val="12"/>
        <w:adjustRightInd w:val="0"/>
        <w:snapToGrid w:val="0"/>
        <w:spacing w:before="0" w:line="440" w:lineRule="exact"/>
        <w:jc w:val="left"/>
        <w:rPr>
          <w:rFonts w:cs="Times New Roman"/>
          <w:color w:val="auto"/>
          <w:sz w:val="24"/>
          <w:szCs w:val="24"/>
          <w:highlight w:val="none"/>
        </w:rPr>
      </w:pPr>
      <w:bookmarkStart w:id="6" w:name="_Toc15396599"/>
      <w:bookmarkStart w:id="7" w:name="_Toc15377196"/>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0038D309">
      <w:pPr>
        <w:pStyle w:val="13"/>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6620A985">
      <w:pPr>
        <w:pStyle w:val="13"/>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7CF358BF">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2975D3CF">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37D18D7E">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581B5CBE">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52A4BFD7">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214FB0C1">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62A9C1CA">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23A793A2">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6D5D0D74">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5B378400">
      <w:pPr>
        <w:pStyle w:val="13"/>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1DF014D8">
      <w:pPr>
        <w:pStyle w:val="13"/>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41461E31">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4D4B52D5">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4E577B7E">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24B8322F">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5E9ABF6C">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5285BDD4">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1D413D51">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52FCC617">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2D99B503">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7567C774">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2E7AD875">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5387FFB9">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2E5C3BBB">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414C6DE2">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7F2BD6ED">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59314E3A">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60270684">
      <w:pPr>
        <w:pStyle w:val="2"/>
        <w:jc w:val="center"/>
        <w:rPr>
          <w:rFonts w:hint="eastAsia" w:ascii="黑体" w:hAnsi="黑体" w:eastAsia="黑体"/>
          <w:b w:val="0"/>
        </w:rPr>
      </w:pPr>
    </w:p>
    <w:p w14:paraId="460C2C23">
      <w:pPr>
        <w:pStyle w:val="2"/>
        <w:jc w:val="center"/>
        <w:rPr>
          <w:rFonts w:hint="eastAsia" w:ascii="黑体" w:hAnsi="黑体" w:eastAsia="黑体"/>
          <w:b w:val="0"/>
        </w:rPr>
      </w:pPr>
    </w:p>
    <w:p w14:paraId="373FDC5E">
      <w:pPr>
        <w:pStyle w:val="2"/>
        <w:jc w:val="both"/>
        <w:rPr>
          <w:rFonts w:hint="eastAsia" w:ascii="黑体" w:hAnsi="黑体" w:eastAsia="黑体"/>
          <w:b w:val="0"/>
        </w:rPr>
      </w:pPr>
    </w:p>
    <w:p w14:paraId="06D48DB4">
      <w:pPr>
        <w:rPr>
          <w:rFonts w:hint="eastAsia" w:ascii="黑体" w:hAnsi="黑体" w:eastAsia="黑体"/>
          <w:b w:val="0"/>
        </w:rPr>
      </w:pPr>
    </w:p>
    <w:p w14:paraId="35E9F3F4">
      <w:pPr>
        <w:rPr>
          <w:rFonts w:hint="eastAsia" w:ascii="黑体" w:hAnsi="黑体" w:eastAsia="黑体"/>
          <w:b w:val="0"/>
        </w:rPr>
      </w:pPr>
    </w:p>
    <w:p w14:paraId="6FFE4C39">
      <w:pPr>
        <w:rPr>
          <w:rFonts w:hint="eastAsia" w:ascii="黑体" w:hAnsi="黑体" w:eastAsia="黑体"/>
          <w:b w:val="0"/>
        </w:rPr>
      </w:pPr>
    </w:p>
    <w:p w14:paraId="57112442">
      <w:pPr>
        <w:rPr>
          <w:rFonts w:hint="eastAsia" w:ascii="黑体" w:hAnsi="黑体" w:eastAsia="黑体"/>
          <w:b w:val="0"/>
        </w:rPr>
      </w:pPr>
    </w:p>
    <w:p w14:paraId="0DA0FC81">
      <w:pPr>
        <w:rPr>
          <w:rFonts w:hint="eastAsia" w:ascii="黑体" w:hAnsi="黑体" w:eastAsia="黑体"/>
          <w:b w:val="0"/>
        </w:rPr>
      </w:pPr>
    </w:p>
    <w:p w14:paraId="2643C6B2">
      <w:pPr>
        <w:rPr>
          <w:rFonts w:hint="eastAsia" w:ascii="黑体" w:hAnsi="黑体" w:eastAsia="黑体"/>
          <w:b w:val="0"/>
        </w:rPr>
      </w:pPr>
    </w:p>
    <w:p w14:paraId="37CD1647">
      <w:pPr>
        <w:pStyle w:val="2"/>
        <w:jc w:val="center"/>
        <w:rPr>
          <w:rFonts w:hint="eastAsia" w:ascii="黑体" w:hAnsi="黑体" w:eastAsia="黑体"/>
          <w:b w:val="0"/>
        </w:rPr>
      </w:pPr>
    </w:p>
    <w:p w14:paraId="61881B7B">
      <w:pPr>
        <w:pStyle w:val="2"/>
        <w:jc w:val="center"/>
        <w:rPr>
          <w:rStyle w:val="29"/>
          <w:rFonts w:ascii="黑体" w:hAnsi="黑体" w:eastAsia="黑体"/>
          <w:b/>
          <w:bCs w:val="0"/>
        </w:rPr>
      </w:pPr>
      <w:r>
        <w:rPr>
          <w:rFonts w:hint="eastAsia" w:ascii="黑体" w:hAnsi="黑体" w:eastAsia="黑体"/>
          <w:b w:val="0"/>
        </w:rPr>
        <w:t xml:space="preserve">第一部分 </w:t>
      </w:r>
      <w:r>
        <w:rPr>
          <w:rStyle w:val="29"/>
          <w:rFonts w:hint="eastAsia" w:ascii="黑体" w:hAnsi="黑体" w:eastAsia="黑体"/>
          <w:b w:val="0"/>
          <w:bCs w:val="0"/>
          <w:lang w:val="en-US" w:eastAsia="zh-CN"/>
        </w:rPr>
        <w:t>单位</w:t>
      </w:r>
      <w:r>
        <w:rPr>
          <w:rStyle w:val="29"/>
          <w:rFonts w:hint="eastAsia" w:ascii="黑体" w:hAnsi="黑体" w:eastAsia="黑体"/>
          <w:b w:val="0"/>
          <w:bCs w:val="0"/>
        </w:rPr>
        <w:t>概况</w:t>
      </w:r>
      <w:bookmarkEnd w:id="6"/>
      <w:bookmarkEnd w:id="7"/>
    </w:p>
    <w:p w14:paraId="19273744">
      <w:pPr>
        <w:widowControl/>
        <w:jc w:val="left"/>
        <w:rPr>
          <w:rFonts w:ascii="黑体" w:eastAsia="黑体"/>
          <w:sz w:val="32"/>
          <w:szCs w:val="32"/>
        </w:rPr>
      </w:pPr>
    </w:p>
    <w:p w14:paraId="05C89B40">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黑体" w:hAnsi="黑体" w:eastAsia="黑体" w:cstheme="majorBidi"/>
          <w:b w:val="0"/>
          <w:bCs/>
          <w:kern w:val="2"/>
          <w:sz w:val="32"/>
          <w:szCs w:val="32"/>
          <w:lang w:val="en-US" w:eastAsia="zh-CN" w:bidi="ar-SA"/>
        </w:rPr>
      </w:pPr>
      <w:r>
        <w:rPr>
          <w:rFonts w:hint="eastAsia" w:ascii="黑体" w:hAnsi="黑体" w:eastAsia="黑体" w:cstheme="majorBidi"/>
          <w:b w:val="0"/>
          <w:bCs/>
          <w:kern w:val="2"/>
          <w:sz w:val="32"/>
          <w:szCs w:val="32"/>
          <w:lang w:val="en-US" w:eastAsia="zh-CN" w:bidi="ar-SA"/>
        </w:rPr>
        <w:t>一、主要职责</w:t>
      </w:r>
    </w:p>
    <w:p w14:paraId="66F740A9">
      <w:pPr>
        <w:ind w:firstLine="800" w:firstLineChars="250"/>
        <w:rPr>
          <w:rStyle w:val="30"/>
          <w:rFonts w:ascii="仿宋" w:hAnsi="仿宋" w:eastAsia="黑体"/>
          <w:b w:val="0"/>
          <w:bCs w:val="0"/>
        </w:rPr>
      </w:pPr>
      <w:r>
        <w:rPr>
          <w:rFonts w:hint="eastAsia" w:ascii="仿宋" w:hAnsi="仿宋" w:eastAsia="仿宋" w:cs="Times New Roman"/>
          <w:sz w:val="32"/>
          <w:szCs w:val="32"/>
          <w:lang w:val="en-US" w:eastAsia="zh-CN"/>
        </w:rPr>
        <w:t>乐至县通旅镇卫生院负责本乡镇的基本医疗服务；统计、分析本辖区内的卫生信息；上报突发公共卫生事件，并依据上级部门要求组织实施处置；贯彻执行国家卫生法律、法规，以公共卫生服务为主，面向农村居民提供综合性卫生服务。</w:t>
      </w:r>
    </w:p>
    <w:p w14:paraId="7B2DA1F2">
      <w:pPr>
        <w:pStyle w:val="3"/>
        <w:rPr>
          <w:rStyle w:val="30"/>
          <w:b w:val="0"/>
          <w:bCs w:val="0"/>
        </w:rPr>
      </w:pPr>
      <w:bookmarkStart w:id="8" w:name="_Toc15377200"/>
      <w:bookmarkStart w:id="9" w:name="_Toc15396601"/>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8"/>
      <w:bookmarkEnd w:id="9"/>
    </w:p>
    <w:p w14:paraId="0B648FEB">
      <w:pPr>
        <w:ind w:firstLine="800" w:firstLineChars="250"/>
        <w:rPr>
          <w:rFonts w:ascii="仿宋" w:hAnsi="仿宋" w:eastAsia="仿宋"/>
          <w:sz w:val="32"/>
          <w:szCs w:val="32"/>
        </w:rPr>
      </w:pPr>
      <w:r>
        <w:rPr>
          <w:rFonts w:hint="eastAsia" w:ascii="仿宋" w:hAnsi="仿宋" w:eastAsia="仿宋"/>
          <w:sz w:val="32"/>
          <w:szCs w:val="32"/>
          <w:lang w:val="en-US" w:eastAsia="zh-CN"/>
        </w:rPr>
        <w:t>乐至县通旅镇卫生院</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个。纳入</w:t>
      </w:r>
      <w:r>
        <w:rPr>
          <w:rFonts w:hint="eastAsia" w:ascii="仿宋" w:hAnsi="仿宋" w:eastAsia="仿宋"/>
          <w:sz w:val="32"/>
          <w:szCs w:val="32"/>
          <w:lang w:val="en-US" w:eastAsia="zh-CN"/>
        </w:rPr>
        <w:t>乐至县通旅镇卫生院</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年度部门决算编制范围的二级预算单位包括：</w:t>
      </w:r>
    </w:p>
    <w:p w14:paraId="23A629A6">
      <w:pPr>
        <w:pStyle w:val="6"/>
        <w:numPr>
          <w:ilvl w:val="0"/>
          <w:numId w:val="1"/>
        </w:numPr>
        <w:adjustRightInd w:val="0"/>
        <w:snapToGrid w:val="0"/>
        <w:spacing w:before="93" w:line="600" w:lineRule="exact"/>
        <w:outlineLvl w:val="2"/>
        <w:rPr>
          <w:rFonts w:ascii="仿宋" w:hAnsi="仿宋" w:eastAsia="仿宋"/>
          <w:sz w:val="32"/>
          <w:szCs w:val="32"/>
        </w:rPr>
      </w:pPr>
      <w:bookmarkStart w:id="10" w:name="_Toc15377202"/>
      <w:bookmarkStart w:id="11" w:name="_Toc15377433"/>
      <w:bookmarkStart w:id="12" w:name="_Toc15378449"/>
      <w:bookmarkStart w:id="13" w:name="_Toc15306276"/>
      <w:r>
        <w:rPr>
          <w:rFonts w:hint="eastAsia" w:ascii="仿宋" w:hAnsi="仿宋" w:eastAsia="仿宋"/>
          <w:sz w:val="32"/>
          <w:szCs w:val="32"/>
          <w:lang w:val="en-US" w:eastAsia="zh-CN"/>
        </w:rPr>
        <w:t>乐至县通旅镇卫生院</w:t>
      </w:r>
      <w:bookmarkEnd w:id="10"/>
      <w:bookmarkEnd w:id="11"/>
      <w:bookmarkEnd w:id="12"/>
      <w:bookmarkEnd w:id="13"/>
    </w:p>
    <w:p w14:paraId="69149393">
      <w:pPr>
        <w:bidi w:val="0"/>
        <w:rPr>
          <w:rFonts w:hint="eastAsia"/>
        </w:rPr>
      </w:pPr>
      <w:bookmarkStart w:id="14" w:name="_Toc15377204"/>
      <w:bookmarkStart w:id="15" w:name="_Toc15396602"/>
    </w:p>
    <w:bookmarkEnd w:id="14"/>
    <w:bookmarkEnd w:id="15"/>
    <w:p w14:paraId="3DC47C30">
      <w:pPr>
        <w:widowControl/>
        <w:jc w:val="left"/>
        <w:rPr>
          <w:rFonts w:ascii="仿宋" w:hAnsi="仿宋" w:eastAsia="仿宋"/>
          <w:color w:val="auto"/>
          <w:kern w:val="0"/>
          <w:sz w:val="32"/>
          <w:szCs w:val="32"/>
          <w:highlight w:val="none"/>
        </w:rPr>
      </w:pPr>
    </w:p>
    <w:p w14:paraId="0437660E">
      <w:pPr>
        <w:pStyle w:val="2"/>
        <w:ind w:right="440"/>
        <w:jc w:val="center"/>
        <w:rPr>
          <w:rFonts w:hint="eastAsia" w:ascii="黑体" w:hAnsi="黑体" w:eastAsia="黑体"/>
          <w:b w:val="0"/>
          <w:bCs/>
          <w:color w:val="auto"/>
          <w:highlight w:val="none"/>
        </w:rPr>
      </w:pPr>
    </w:p>
    <w:p w14:paraId="4BEC111C">
      <w:pPr>
        <w:pStyle w:val="2"/>
        <w:ind w:right="440"/>
        <w:jc w:val="center"/>
        <w:rPr>
          <w:rStyle w:val="36"/>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36"/>
          <w:rFonts w:hint="eastAsia" w:ascii="黑体" w:hAnsi="黑体" w:eastAsia="黑体"/>
          <w:b w:val="0"/>
          <w:bCs/>
          <w:color w:val="auto"/>
          <w:highlight w:val="none"/>
          <w:lang w:eastAsia="zh-CN"/>
        </w:rPr>
        <w:t>单位</w:t>
      </w:r>
      <w:r>
        <w:rPr>
          <w:rStyle w:val="36"/>
          <w:rFonts w:hint="eastAsia" w:ascii="黑体" w:hAnsi="黑体" w:eastAsia="黑体"/>
          <w:b w:val="0"/>
          <w:bCs/>
          <w:color w:val="auto"/>
          <w:highlight w:val="none"/>
        </w:rPr>
        <w:t>决算情况说明</w:t>
      </w:r>
    </w:p>
    <w:p w14:paraId="33E68428"/>
    <w:p w14:paraId="58E9707F">
      <w:pPr>
        <w:pStyle w:val="28"/>
        <w:numPr>
          <w:ilvl w:val="0"/>
          <w:numId w:val="2"/>
        </w:numPr>
        <w:spacing w:line="600" w:lineRule="exact"/>
        <w:ind w:firstLineChars="0"/>
        <w:outlineLvl w:val="1"/>
        <w:rPr>
          <w:rStyle w:val="30"/>
          <w:rFonts w:ascii="黑体" w:hAnsi="黑体" w:eastAsia="黑体"/>
          <w:b w:val="0"/>
        </w:rPr>
      </w:pPr>
      <w:bookmarkStart w:id="16" w:name="_Toc15396603"/>
      <w:bookmarkStart w:id="17"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16"/>
      <w:bookmarkEnd w:id="17"/>
    </w:p>
    <w:p w14:paraId="3E12AF25">
      <w:pPr>
        <w:spacing w:line="60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年度收、支总计659.39万元。与202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年相比，收、支总计各增加</w:t>
      </w:r>
      <w:r>
        <w:rPr>
          <w:rFonts w:hint="eastAsia" w:ascii="仿宋" w:hAnsi="仿宋" w:eastAsia="仿宋"/>
          <w:sz w:val="32"/>
          <w:szCs w:val="32"/>
          <w:lang w:val="en-US" w:eastAsia="zh-CN"/>
        </w:rPr>
        <w:t>74.02</w:t>
      </w:r>
      <w:r>
        <w:rPr>
          <w:rFonts w:hint="eastAsia" w:ascii="仿宋" w:hAnsi="仿宋" w:eastAsia="仿宋"/>
          <w:sz w:val="32"/>
          <w:szCs w:val="32"/>
        </w:rPr>
        <w:t>万元，增长</w:t>
      </w:r>
      <w:r>
        <w:rPr>
          <w:rFonts w:hint="eastAsia" w:ascii="仿宋" w:hAnsi="仿宋" w:eastAsia="仿宋"/>
          <w:sz w:val="32"/>
          <w:szCs w:val="32"/>
          <w:lang w:val="en-US" w:eastAsia="zh-CN"/>
        </w:rPr>
        <w:t>12.64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收入增加，支出增加</w:t>
      </w:r>
      <w:r>
        <w:rPr>
          <w:rFonts w:hint="eastAsia" w:ascii="仿宋" w:hAnsi="仿宋" w:eastAsia="仿宋"/>
          <w:sz w:val="32"/>
          <w:szCs w:val="32"/>
        </w:rPr>
        <w:t>。</w:t>
      </w:r>
    </w:p>
    <w:p w14:paraId="29A223EC">
      <w:pPr>
        <w:spacing w:line="600" w:lineRule="exact"/>
        <w:ind w:firstLine="420" w:firstLineChars="200"/>
        <w:rPr>
          <w:rFonts w:hint="eastAsia" w:eastAsia="仿宋"/>
          <w:lang w:eastAsia="zh-CN"/>
        </w:rPr>
      </w:pPr>
      <w:r>
        <w:rPr>
          <w:rFonts w:hint="eastAsia" w:eastAsia="仿宋"/>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222885</wp:posOffset>
            </wp:positionV>
            <wp:extent cx="5256530" cy="2988310"/>
            <wp:effectExtent l="5080" t="4445" r="15240" b="1714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C7B4EEA">
      <w:pPr>
        <w:spacing w:line="600" w:lineRule="exact"/>
        <w:ind w:firstLine="420" w:firstLineChars="200"/>
        <w:rPr>
          <w:rFonts w:hint="eastAsia" w:eastAsia="仿宋"/>
          <w:lang w:eastAsia="zh-CN"/>
        </w:rPr>
      </w:pPr>
    </w:p>
    <w:p w14:paraId="5D6FE142">
      <w:pPr>
        <w:spacing w:line="600" w:lineRule="exact"/>
        <w:ind w:firstLine="420" w:firstLineChars="200"/>
        <w:rPr>
          <w:rFonts w:hint="eastAsia" w:eastAsia="仿宋"/>
          <w:lang w:eastAsia="zh-CN"/>
        </w:rPr>
      </w:pPr>
    </w:p>
    <w:p w14:paraId="39EE4E2B">
      <w:pPr>
        <w:spacing w:line="600" w:lineRule="exact"/>
        <w:ind w:firstLine="420" w:firstLineChars="200"/>
        <w:rPr>
          <w:rFonts w:hint="eastAsia" w:eastAsia="仿宋"/>
          <w:lang w:eastAsia="zh-CN"/>
        </w:rPr>
      </w:pPr>
    </w:p>
    <w:p w14:paraId="6AE2199A">
      <w:pPr>
        <w:spacing w:line="600" w:lineRule="exact"/>
        <w:ind w:firstLine="420" w:firstLineChars="200"/>
        <w:rPr>
          <w:rFonts w:hint="eastAsia" w:eastAsia="仿宋"/>
          <w:lang w:eastAsia="zh-CN"/>
        </w:rPr>
      </w:pPr>
    </w:p>
    <w:p w14:paraId="1DDF8E43">
      <w:pPr>
        <w:spacing w:line="600" w:lineRule="exact"/>
        <w:ind w:firstLine="420" w:firstLineChars="200"/>
        <w:rPr>
          <w:rFonts w:hint="eastAsia" w:eastAsia="仿宋"/>
          <w:lang w:eastAsia="zh-CN"/>
        </w:rPr>
      </w:pPr>
    </w:p>
    <w:p w14:paraId="070E0FE0">
      <w:pPr>
        <w:spacing w:line="600" w:lineRule="exact"/>
        <w:ind w:firstLine="420" w:firstLineChars="200"/>
        <w:rPr>
          <w:rFonts w:hint="eastAsia" w:eastAsia="仿宋"/>
          <w:lang w:eastAsia="zh-CN"/>
        </w:rPr>
      </w:pPr>
    </w:p>
    <w:p w14:paraId="57731F99">
      <w:pPr>
        <w:spacing w:line="600" w:lineRule="exact"/>
        <w:ind w:firstLine="640" w:firstLineChars="200"/>
        <w:rPr>
          <w:rFonts w:eastAsia="仿宋"/>
          <w:i/>
          <w:color w:val="000000"/>
          <w:sz w:val="32"/>
          <w:szCs w:val="32"/>
          <w:highlight w:val="yellow"/>
        </w:rPr>
      </w:pPr>
    </w:p>
    <w:p w14:paraId="0729A4F2">
      <w:pPr>
        <w:spacing w:line="600" w:lineRule="exact"/>
        <w:jc w:val="left"/>
        <w:rPr>
          <w:rFonts w:ascii="仿宋_GB2312" w:eastAsia="仿宋_GB2312"/>
          <w:sz w:val="32"/>
          <w:szCs w:val="32"/>
        </w:rPr>
      </w:pPr>
    </w:p>
    <w:p w14:paraId="56C9066C">
      <w:pPr>
        <w:pStyle w:val="28"/>
        <w:numPr>
          <w:ilvl w:val="0"/>
          <w:numId w:val="2"/>
        </w:numPr>
        <w:spacing w:line="600" w:lineRule="exact"/>
        <w:ind w:firstLineChars="0"/>
        <w:outlineLvl w:val="1"/>
        <w:rPr>
          <w:rStyle w:val="30"/>
          <w:rFonts w:ascii="黑体" w:hAnsi="黑体" w:eastAsia="黑体"/>
          <w:b w:val="0"/>
        </w:rPr>
      </w:pPr>
      <w:bookmarkStart w:id="18" w:name="_Toc15377206"/>
      <w:bookmarkStart w:id="19" w:name="_Toc15396604"/>
      <w:r>
        <w:rPr>
          <w:rFonts w:hint="eastAsia" w:ascii="黑体" w:hAnsi="黑体" w:eastAsia="黑体"/>
          <w:sz w:val="32"/>
          <w:szCs w:val="32"/>
        </w:rPr>
        <w:t>收</w:t>
      </w:r>
      <w:r>
        <w:rPr>
          <w:rStyle w:val="30"/>
          <w:rFonts w:hint="eastAsia" w:ascii="黑体" w:hAnsi="黑体" w:eastAsia="黑体"/>
          <w:b w:val="0"/>
        </w:rPr>
        <w:t>入决算情况说明</w:t>
      </w:r>
      <w:bookmarkEnd w:id="18"/>
      <w:bookmarkEnd w:id="19"/>
    </w:p>
    <w:p w14:paraId="0EA61355">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659.39</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227.75</w:t>
      </w:r>
      <w:r>
        <w:rPr>
          <w:rFonts w:hint="eastAsia" w:ascii="仿宋" w:hAnsi="仿宋" w:eastAsia="仿宋"/>
          <w:sz w:val="32"/>
          <w:szCs w:val="32"/>
        </w:rPr>
        <w:t>万元，占</w:t>
      </w:r>
      <w:r>
        <w:rPr>
          <w:rFonts w:hint="eastAsia" w:ascii="仿宋" w:hAnsi="仿宋" w:eastAsia="仿宋"/>
          <w:sz w:val="32"/>
          <w:szCs w:val="32"/>
          <w:lang w:val="en-US" w:eastAsia="zh-CN"/>
        </w:rPr>
        <w:t>34.54</w:t>
      </w:r>
      <w:r>
        <w:rPr>
          <w:rFonts w:ascii="仿宋" w:hAnsi="仿宋" w:eastAsia="仿宋"/>
          <w:sz w:val="32"/>
          <w:szCs w:val="32"/>
        </w:rPr>
        <w:t>%</w:t>
      </w:r>
      <w:r>
        <w:rPr>
          <w:rFonts w:hint="eastAsia" w:ascii="仿宋" w:hAnsi="仿宋" w:eastAsia="仿宋"/>
          <w:sz w:val="32"/>
          <w:szCs w:val="32"/>
        </w:rPr>
        <w:t>；事业收入418.10万元，占</w:t>
      </w:r>
      <w:r>
        <w:rPr>
          <w:rFonts w:hint="eastAsia" w:ascii="仿宋" w:hAnsi="仿宋" w:eastAsia="仿宋"/>
          <w:sz w:val="32"/>
          <w:szCs w:val="32"/>
          <w:lang w:val="en-US" w:eastAsia="zh-CN"/>
        </w:rPr>
        <w:t>63.41</w:t>
      </w:r>
      <w:r>
        <w:rPr>
          <w:rFonts w:ascii="仿宋" w:hAnsi="仿宋" w:eastAsia="仿宋"/>
          <w:sz w:val="32"/>
          <w:szCs w:val="32"/>
        </w:rPr>
        <w:t>%</w:t>
      </w:r>
      <w:r>
        <w:rPr>
          <w:rFonts w:hint="eastAsia" w:ascii="仿宋" w:hAnsi="仿宋" w:eastAsia="仿宋"/>
          <w:sz w:val="32"/>
          <w:szCs w:val="32"/>
        </w:rPr>
        <w:t>；其他收入13.53万元，占</w:t>
      </w:r>
      <w:r>
        <w:rPr>
          <w:rFonts w:hint="eastAsia" w:ascii="仿宋" w:hAnsi="仿宋" w:eastAsia="仿宋"/>
          <w:sz w:val="32"/>
          <w:szCs w:val="32"/>
          <w:lang w:val="en-US" w:eastAsia="zh-CN"/>
        </w:rPr>
        <w:t>2.05</w:t>
      </w:r>
      <w:r>
        <w:rPr>
          <w:rFonts w:ascii="仿宋" w:hAnsi="仿宋" w:eastAsia="仿宋"/>
          <w:sz w:val="32"/>
          <w:szCs w:val="32"/>
        </w:rPr>
        <w:t>%</w:t>
      </w:r>
      <w:r>
        <w:rPr>
          <w:rFonts w:hint="eastAsia" w:ascii="仿宋" w:hAnsi="仿宋" w:eastAsia="仿宋"/>
          <w:sz w:val="32"/>
          <w:szCs w:val="32"/>
        </w:rPr>
        <w:t>。</w:t>
      </w:r>
    </w:p>
    <w:p w14:paraId="0CA21378">
      <w:pPr>
        <w:pStyle w:val="6"/>
      </w:pPr>
      <w:r>
        <w:rPr>
          <w:rFonts w:hint="eastAsia"/>
          <w:lang w:val="en-US" w:eastAsia="zh-CN"/>
        </w:rPr>
        <w:drawing>
          <wp:inline distT="0" distB="0" distL="114300" distR="114300">
            <wp:extent cx="5065395" cy="2428240"/>
            <wp:effectExtent l="4445" t="4445" r="16510"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030537">
      <w:pPr>
        <w:spacing w:line="600" w:lineRule="exact"/>
        <w:ind w:firstLine="640" w:firstLineChars="200"/>
        <w:rPr>
          <w:rFonts w:ascii="仿宋_GB2312" w:eastAsia="仿宋_GB2312"/>
          <w:sz w:val="32"/>
          <w:szCs w:val="32"/>
        </w:rPr>
      </w:pPr>
    </w:p>
    <w:p w14:paraId="5C3BD698">
      <w:pPr>
        <w:pStyle w:val="28"/>
        <w:numPr>
          <w:ilvl w:val="0"/>
          <w:numId w:val="2"/>
        </w:numPr>
        <w:spacing w:line="600" w:lineRule="exact"/>
        <w:ind w:firstLineChars="0"/>
        <w:outlineLvl w:val="1"/>
        <w:rPr>
          <w:rStyle w:val="30"/>
          <w:rFonts w:ascii="黑体" w:hAnsi="黑体" w:eastAsia="黑体"/>
          <w:b w:val="0"/>
        </w:rPr>
      </w:pPr>
      <w:bookmarkStart w:id="20" w:name="_Toc15396605"/>
      <w:bookmarkStart w:id="21" w:name="_Toc15377207"/>
      <w:r>
        <w:rPr>
          <w:rFonts w:hint="eastAsia" w:ascii="黑体" w:hAnsi="黑体" w:eastAsia="黑体"/>
          <w:sz w:val="32"/>
          <w:szCs w:val="32"/>
        </w:rPr>
        <w:t>支</w:t>
      </w:r>
      <w:r>
        <w:rPr>
          <w:rStyle w:val="30"/>
          <w:rFonts w:hint="eastAsia" w:ascii="黑体" w:hAnsi="黑体" w:eastAsia="黑体"/>
          <w:b w:val="0"/>
        </w:rPr>
        <w:t>出决算情况说明</w:t>
      </w:r>
      <w:bookmarkEnd w:id="20"/>
      <w:bookmarkEnd w:id="21"/>
    </w:p>
    <w:p w14:paraId="299E8653">
      <w:pPr>
        <w:spacing w:line="600" w:lineRule="exact"/>
        <w:ind w:firstLine="640" w:firstLineChars="200"/>
        <w:outlineLvl w:val="1"/>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年本年支出合计659.39万元，其中：基本支出474.12万元，占</w:t>
      </w:r>
      <w:r>
        <w:rPr>
          <w:rFonts w:hint="eastAsia" w:ascii="仿宋" w:hAnsi="仿宋" w:eastAsia="仿宋"/>
          <w:sz w:val="32"/>
          <w:szCs w:val="32"/>
          <w:lang w:val="en-US" w:eastAsia="zh-CN"/>
        </w:rPr>
        <w:t>71.9</w:t>
      </w:r>
      <w:r>
        <w:rPr>
          <w:rFonts w:ascii="仿宋" w:hAnsi="仿宋" w:eastAsia="仿宋"/>
          <w:sz w:val="32"/>
          <w:szCs w:val="32"/>
        </w:rPr>
        <w:t>%</w:t>
      </w:r>
      <w:r>
        <w:rPr>
          <w:rFonts w:hint="eastAsia" w:ascii="仿宋" w:hAnsi="仿宋" w:eastAsia="仿宋"/>
          <w:sz w:val="32"/>
          <w:szCs w:val="32"/>
        </w:rPr>
        <w:t>；项目支出185.27万元，占</w:t>
      </w:r>
      <w:r>
        <w:rPr>
          <w:rFonts w:hint="eastAsia" w:ascii="仿宋" w:hAnsi="仿宋" w:eastAsia="仿宋"/>
          <w:sz w:val="32"/>
          <w:szCs w:val="32"/>
          <w:lang w:val="en-US" w:eastAsia="zh-CN"/>
        </w:rPr>
        <w:t>28.09</w:t>
      </w:r>
      <w:r>
        <w:rPr>
          <w:rFonts w:ascii="仿宋" w:hAnsi="仿宋" w:eastAsia="仿宋"/>
          <w:sz w:val="32"/>
          <w:szCs w:val="32"/>
        </w:rPr>
        <w:t>%</w:t>
      </w:r>
      <w:r>
        <w:rPr>
          <w:rFonts w:hint="eastAsia" w:ascii="仿宋" w:hAnsi="仿宋" w:eastAsia="仿宋"/>
          <w:sz w:val="32"/>
          <w:szCs w:val="32"/>
        </w:rPr>
        <w:t>；</w:t>
      </w:r>
    </w:p>
    <w:p w14:paraId="6ABB8D5A">
      <w:pPr>
        <w:pStyle w:val="6"/>
      </w:pPr>
      <w:r>
        <w:rPr>
          <w:rFonts w:hint="eastAsia"/>
          <w:lang w:eastAsia="zh-CN"/>
        </w:rPr>
        <w:drawing>
          <wp:inline distT="0" distB="0" distL="114300" distR="114300">
            <wp:extent cx="5045710" cy="2548255"/>
            <wp:effectExtent l="4445" t="4445" r="1714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76151E">
      <w:pPr>
        <w:spacing w:line="600" w:lineRule="exact"/>
        <w:ind w:firstLine="640" w:firstLineChars="200"/>
        <w:outlineLvl w:val="1"/>
        <w:rPr>
          <w:rStyle w:val="30"/>
          <w:rFonts w:ascii="黑体" w:hAnsi="黑体" w:eastAsia="黑体"/>
          <w:b w:val="0"/>
        </w:rPr>
      </w:pPr>
      <w:bookmarkStart w:id="22" w:name="_Toc15396606"/>
      <w:bookmarkStart w:id="23"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2"/>
      <w:bookmarkEnd w:id="23"/>
    </w:p>
    <w:p w14:paraId="11CEBDA5">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年财政拨款收、支总计227.75万元。与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w:t>
      </w:r>
      <w:r>
        <w:rPr>
          <w:rFonts w:hint="eastAsia" w:ascii="仿宋" w:hAnsi="仿宋" w:eastAsia="仿宋"/>
          <w:sz w:val="32"/>
          <w:szCs w:val="32"/>
          <w:lang w:val="en-US" w:eastAsia="zh-CN"/>
        </w:rPr>
        <w:t>增加78.51</w:t>
      </w:r>
      <w:r>
        <w:rPr>
          <w:rFonts w:hint="eastAsia" w:ascii="仿宋" w:hAnsi="仿宋" w:eastAsia="仿宋"/>
          <w:sz w:val="32"/>
          <w:szCs w:val="32"/>
        </w:rPr>
        <w:t>万元，</w:t>
      </w:r>
      <w:r>
        <w:rPr>
          <w:rFonts w:hint="eastAsia" w:ascii="仿宋" w:hAnsi="仿宋" w:eastAsia="仿宋"/>
          <w:sz w:val="32"/>
          <w:szCs w:val="32"/>
          <w:lang w:val="en-US" w:eastAsia="zh-CN"/>
        </w:rPr>
        <w:t>增加52.6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修建综合楼项目，一般公共预算财政拨款增加。</w:t>
      </w:r>
    </w:p>
    <w:p w14:paraId="130AE1E1">
      <w:pPr>
        <w:pStyle w:val="6"/>
      </w:pPr>
      <w:r>
        <w:rPr>
          <w:rFonts w:hint="default"/>
          <w:lang w:val="en-US"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FEC55A">
      <w:pPr>
        <w:spacing w:line="600" w:lineRule="exact"/>
        <w:ind w:firstLine="640" w:firstLineChars="200"/>
        <w:outlineLvl w:val="1"/>
        <w:rPr>
          <w:rStyle w:val="30"/>
          <w:rFonts w:ascii="黑体" w:hAnsi="黑体" w:eastAsia="黑体"/>
          <w:b w:val="0"/>
        </w:rPr>
      </w:pPr>
      <w:bookmarkStart w:id="24" w:name="_Toc15396607"/>
      <w:bookmarkStart w:id="25"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4"/>
      <w:bookmarkEnd w:id="25"/>
    </w:p>
    <w:p w14:paraId="2F8B2DBF">
      <w:pPr>
        <w:spacing w:line="600" w:lineRule="exact"/>
        <w:ind w:firstLine="643" w:firstLineChars="200"/>
        <w:outlineLvl w:val="2"/>
        <w:rPr>
          <w:rFonts w:ascii="仿宋" w:hAnsi="仿宋" w:eastAsia="仿宋"/>
          <w:b/>
          <w:sz w:val="32"/>
          <w:szCs w:val="32"/>
        </w:rPr>
      </w:pPr>
      <w:bookmarkStart w:id="26" w:name="_Toc15377210"/>
      <w:r>
        <w:rPr>
          <w:rFonts w:hint="eastAsia" w:ascii="仿宋" w:hAnsi="仿宋" w:eastAsia="仿宋"/>
          <w:b/>
          <w:sz w:val="32"/>
          <w:szCs w:val="32"/>
        </w:rPr>
        <w:t>（一）一般公共预算财政拨款支出决算总体情况</w:t>
      </w:r>
      <w:bookmarkEnd w:id="26"/>
    </w:p>
    <w:p w14:paraId="2FB9799D">
      <w:pPr>
        <w:spacing w:line="600" w:lineRule="exact"/>
        <w:ind w:firstLine="64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227.75</w:t>
      </w:r>
      <w:r>
        <w:rPr>
          <w:rFonts w:hint="eastAsia" w:ascii="仿宋" w:hAnsi="仿宋" w:eastAsia="仿宋"/>
          <w:sz w:val="32"/>
          <w:szCs w:val="32"/>
        </w:rPr>
        <w:t>万元，占本年支出合计的</w:t>
      </w:r>
      <w:r>
        <w:rPr>
          <w:rFonts w:hint="eastAsia" w:ascii="仿宋" w:hAnsi="仿宋" w:eastAsia="仿宋"/>
          <w:sz w:val="32"/>
          <w:szCs w:val="32"/>
          <w:lang w:val="en-US" w:eastAsia="zh-CN"/>
        </w:rPr>
        <w:t>34.54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val="en-US" w:eastAsia="zh-CN"/>
        </w:rPr>
        <w:t>增加78.51</w:t>
      </w:r>
      <w:r>
        <w:rPr>
          <w:rFonts w:hint="eastAsia" w:ascii="仿宋" w:hAnsi="仿宋" w:eastAsia="仿宋"/>
          <w:sz w:val="32"/>
          <w:szCs w:val="32"/>
        </w:rPr>
        <w:t>万元，</w:t>
      </w:r>
      <w:r>
        <w:rPr>
          <w:rFonts w:hint="eastAsia" w:ascii="仿宋" w:hAnsi="仿宋" w:eastAsia="仿宋"/>
          <w:sz w:val="32"/>
          <w:szCs w:val="32"/>
          <w:lang w:val="en-US" w:eastAsia="zh-CN"/>
        </w:rPr>
        <w:t>增加52.6</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修建综合楼项目，一般公共预算财政拨款增加。</w:t>
      </w:r>
    </w:p>
    <w:p w14:paraId="266C4B28">
      <w:pPr>
        <w:spacing w:line="600" w:lineRule="exact"/>
        <w:ind w:firstLine="640" w:firstLineChars="200"/>
        <w:rPr>
          <w:rFonts w:hint="default" w:ascii="仿宋" w:hAnsi="仿宋" w:eastAsia="仿宋"/>
          <w:sz w:val="32"/>
          <w:szCs w:val="32"/>
          <w:lang w:val="en-US" w:eastAsia="zh-CN"/>
        </w:rPr>
      </w:pPr>
    </w:p>
    <w:p w14:paraId="35059870">
      <w:pPr>
        <w:pStyle w:val="6"/>
        <w:rPr>
          <w:rFonts w:ascii="仿宋" w:hAnsi="仿宋" w:eastAsia="仿宋"/>
          <w:sz w:val="32"/>
          <w:szCs w:val="32"/>
        </w:rPr>
      </w:pPr>
      <w:r>
        <w:rPr>
          <w:rFonts w:hint="default"/>
          <w:lang w:val="en-US" w:eastAsia="zh-CN"/>
        </w:rPr>
        <w:drawing>
          <wp:inline distT="0" distB="0" distL="114300" distR="114300">
            <wp:extent cx="4980305" cy="2836545"/>
            <wp:effectExtent l="4445" t="4445" r="6350"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8DAC1C">
      <w:pPr>
        <w:spacing w:line="600" w:lineRule="exact"/>
        <w:ind w:firstLine="643" w:firstLineChars="200"/>
        <w:outlineLvl w:val="2"/>
        <w:rPr>
          <w:rFonts w:ascii="仿宋" w:hAnsi="仿宋" w:eastAsia="仿宋"/>
          <w:b/>
          <w:sz w:val="32"/>
          <w:szCs w:val="32"/>
        </w:rPr>
      </w:pPr>
      <w:bookmarkStart w:id="27" w:name="_Toc15377211"/>
      <w:r>
        <w:rPr>
          <w:rFonts w:hint="eastAsia" w:ascii="仿宋" w:hAnsi="仿宋" w:eastAsia="仿宋"/>
          <w:b/>
          <w:sz w:val="32"/>
          <w:szCs w:val="32"/>
        </w:rPr>
        <w:t>（二）一般公共预算财政拨款支出决算结构情况</w:t>
      </w:r>
      <w:bookmarkEnd w:id="27"/>
    </w:p>
    <w:p w14:paraId="75ED456D">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年一般公共预算财政拨款支出227.75万元，主要用于以下方面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25</w:t>
      </w:r>
      <w:r>
        <w:rPr>
          <w:rFonts w:hint="eastAsia" w:ascii="仿宋" w:hAnsi="仿宋" w:eastAsia="仿宋"/>
          <w:sz w:val="32"/>
          <w:szCs w:val="32"/>
        </w:rPr>
        <w:t>万元，占</w:t>
      </w:r>
      <w:r>
        <w:rPr>
          <w:rFonts w:hint="eastAsia" w:ascii="仿宋" w:hAnsi="仿宋" w:eastAsia="仿宋"/>
          <w:sz w:val="32"/>
          <w:szCs w:val="32"/>
          <w:lang w:val="en-US" w:eastAsia="zh-CN"/>
        </w:rPr>
        <w:t>10.97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202.75</w:t>
      </w:r>
      <w:r>
        <w:rPr>
          <w:rFonts w:hint="eastAsia" w:ascii="仿宋" w:hAnsi="仿宋" w:eastAsia="仿宋"/>
          <w:sz w:val="32"/>
          <w:szCs w:val="32"/>
        </w:rPr>
        <w:t>万元，占</w:t>
      </w:r>
      <w:r>
        <w:rPr>
          <w:rFonts w:hint="eastAsia" w:ascii="仿宋" w:hAnsi="仿宋" w:eastAsia="仿宋"/>
          <w:sz w:val="32"/>
          <w:szCs w:val="32"/>
          <w:lang w:val="en-US" w:eastAsia="zh-CN"/>
        </w:rPr>
        <w:t>89.02</w:t>
      </w:r>
      <w:r>
        <w:rPr>
          <w:rFonts w:ascii="仿宋" w:hAnsi="仿宋" w:eastAsia="仿宋"/>
          <w:sz w:val="32"/>
          <w:szCs w:val="32"/>
        </w:rPr>
        <w:t>%</w:t>
      </w:r>
      <w:r>
        <w:rPr>
          <w:rFonts w:hint="eastAsia" w:ascii="仿宋" w:hAnsi="仿宋" w:eastAsia="仿宋"/>
          <w:sz w:val="32"/>
          <w:szCs w:val="32"/>
        </w:rPr>
        <w:t>；</w:t>
      </w:r>
    </w:p>
    <w:p w14:paraId="20A7B68C">
      <w:pPr>
        <w:pStyle w:val="6"/>
        <w:jc w:val="center"/>
        <w:rPr>
          <w:rFonts w:hint="eastAsia" w:ascii="仿宋" w:hAnsi="仿宋" w:eastAsia="仿宋"/>
          <w:sz w:val="32"/>
          <w:szCs w:val="32"/>
        </w:rPr>
      </w:pPr>
      <w:r>
        <w:rPr>
          <w:rFonts w:hint="eastAsia"/>
          <w:lang w:eastAsia="zh-CN"/>
        </w:rPr>
        <w:drawing>
          <wp:inline distT="0" distB="0" distL="114300" distR="114300">
            <wp:extent cx="5045710" cy="2548255"/>
            <wp:effectExtent l="4445" t="4445" r="17145"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F23A02">
      <w:pPr>
        <w:pStyle w:val="6"/>
        <w:rPr>
          <w:rFonts w:hint="eastAsia" w:ascii="仿宋" w:hAnsi="仿宋" w:eastAsia="仿宋"/>
          <w:sz w:val="32"/>
          <w:szCs w:val="32"/>
        </w:rPr>
      </w:pPr>
    </w:p>
    <w:p w14:paraId="5796EF49">
      <w:pPr>
        <w:spacing w:line="600" w:lineRule="exact"/>
        <w:ind w:firstLine="643" w:firstLineChars="200"/>
        <w:outlineLvl w:val="2"/>
        <w:rPr>
          <w:rFonts w:ascii="仿宋" w:hAnsi="仿宋" w:eastAsia="仿宋"/>
          <w:b/>
          <w:sz w:val="32"/>
          <w:szCs w:val="32"/>
        </w:rPr>
      </w:pPr>
      <w:bookmarkStart w:id="28" w:name="_Toc15377212"/>
      <w:r>
        <w:rPr>
          <w:rFonts w:hint="eastAsia" w:ascii="仿宋" w:hAnsi="仿宋" w:eastAsia="仿宋"/>
          <w:b/>
          <w:sz w:val="32"/>
          <w:szCs w:val="32"/>
        </w:rPr>
        <w:t>（三）一般公共预算财政拨款支出决算具体情况</w:t>
      </w:r>
      <w:bookmarkEnd w:id="28"/>
    </w:p>
    <w:p w14:paraId="63086792">
      <w:pPr>
        <w:spacing w:line="600" w:lineRule="exact"/>
        <w:ind w:firstLine="643" w:firstLineChars="200"/>
        <w:outlineLvl w:val="2"/>
        <w:rPr>
          <w:rFonts w:ascii="仿宋" w:hAnsi="仿宋" w:eastAsia="仿宋"/>
          <w:sz w:val="32"/>
          <w:szCs w:val="32"/>
        </w:rPr>
      </w:pPr>
      <w:bookmarkStart w:id="29" w:name="_Toc15377213"/>
      <w:bookmarkStart w:id="30" w:name="_Toc15378460"/>
      <w:bookmarkStart w:id="31" w:name="_Toc15377444"/>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227.75</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29"/>
      <w:bookmarkEnd w:id="30"/>
      <w:bookmarkEnd w:id="31"/>
    </w:p>
    <w:p w14:paraId="00675C27">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17.41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5937DA6A">
      <w:pPr>
        <w:spacing w:line="600" w:lineRule="exact"/>
        <w:ind w:firstLine="643" w:firstLineChars="200"/>
        <w:rPr>
          <w:rStyle w:val="18"/>
          <w:rFonts w:hint="eastAsia" w:ascii="仿宋" w:hAnsi="仿宋" w:eastAsia="仿宋"/>
          <w:b w:val="0"/>
          <w:bCs/>
          <w:sz w:val="32"/>
          <w:szCs w:val="32"/>
          <w:lang w:eastAsia="zh-CN"/>
        </w:rPr>
      </w:pPr>
      <w:r>
        <w:rPr>
          <w:rStyle w:val="18"/>
          <w:rFonts w:hint="eastAsia" w:ascii="仿宋" w:hAnsi="仿宋" w:eastAsia="仿宋"/>
          <w:bCs/>
          <w:sz w:val="32"/>
          <w:szCs w:val="32"/>
        </w:rPr>
        <w:t>社会保障和就业（类）行政事业单位养老支出（款）机关事业单位职业年金缴费支出（项）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2.61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eastAsia="zh-CN"/>
        </w:rPr>
        <w:t>。</w:t>
      </w:r>
    </w:p>
    <w:p w14:paraId="141D4C4E">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（类）基层医疗卫生机构（款）乡镇卫生院（项）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color w:val="000000" w:themeColor="text1"/>
          <w:sz w:val="32"/>
          <w:szCs w:val="32"/>
          <w:lang w:val="en-US" w:eastAsia="zh-CN"/>
          <w14:textFill>
            <w14:solidFill>
              <w14:schemeClr w14:val="tx1"/>
            </w14:solidFill>
          </w14:textFill>
        </w:rPr>
        <w:t>36.28</w:t>
      </w:r>
      <w:r>
        <w:rPr>
          <w:rStyle w:val="18"/>
          <w:rFonts w:hint="eastAsia" w:ascii="仿宋" w:hAnsi="仿宋" w:eastAsia="仿宋"/>
          <w:b w:val="0"/>
          <w:bCs/>
          <w:color w:val="000000" w:themeColor="text1"/>
          <w:sz w:val="32"/>
          <w:szCs w:val="32"/>
          <w14:textFill>
            <w14:solidFill>
              <w14:schemeClr w14:val="tx1"/>
            </w14:solidFill>
          </w14:textFill>
        </w:rPr>
        <w:t>万</w:t>
      </w:r>
      <w:r>
        <w:rPr>
          <w:rStyle w:val="18"/>
          <w:rFonts w:hint="eastAsia" w:ascii="仿宋" w:hAnsi="仿宋" w:eastAsia="仿宋"/>
          <w:b w:val="0"/>
          <w:bCs/>
          <w:sz w:val="32"/>
          <w:szCs w:val="32"/>
        </w:rPr>
        <w:t>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BB34070">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（类）基层医疗卫生机构（款）其他基层医疗卫生机构支出（项）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43.99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BFB535C">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（类）公共卫生（款）基本公共卫生服务（项）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99.46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243DD61">
      <w:pPr>
        <w:spacing w:line="600" w:lineRule="exact"/>
        <w:ind w:firstLine="643" w:firstLineChars="200"/>
        <w:rPr>
          <w:rStyle w:val="18"/>
          <w:rFonts w:hint="eastAsia" w:ascii="仿宋" w:hAnsi="仿宋" w:eastAsia="仿宋"/>
          <w:b w:val="0"/>
          <w:bCs/>
          <w:sz w:val="32"/>
          <w:szCs w:val="32"/>
        </w:rPr>
      </w:pPr>
      <w:r>
        <w:rPr>
          <w:rFonts w:hint="eastAsia" w:ascii="仿宋" w:hAnsi="仿宋" w:eastAsia="仿宋"/>
          <w:b/>
          <w:bCs/>
          <w:sz w:val="32"/>
          <w:szCs w:val="32"/>
        </w:rPr>
        <w:t>卫生健康</w:t>
      </w:r>
      <w:r>
        <w:rPr>
          <w:rStyle w:val="18"/>
          <w:rFonts w:hint="eastAsia" w:ascii="仿宋" w:hAnsi="仿宋" w:eastAsia="仿宋"/>
          <w:bCs/>
          <w:sz w:val="32"/>
          <w:szCs w:val="32"/>
        </w:rPr>
        <w:t>（类）公共卫生（款）重大公共卫生服务（项）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9.06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14:paraId="7F88ECAE">
      <w:pPr>
        <w:tabs>
          <w:tab w:val="right" w:pos="8306"/>
        </w:tabs>
        <w:spacing w:line="600" w:lineRule="exact"/>
        <w:ind w:firstLine="640"/>
        <w:outlineLvl w:val="1"/>
        <w:rPr>
          <w:rStyle w:val="30"/>
        </w:rPr>
      </w:pPr>
      <w:bookmarkStart w:id="32" w:name="_Toc15377214"/>
      <w:bookmarkStart w:id="3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2"/>
      <w:bookmarkEnd w:id="33"/>
      <w:r>
        <w:rPr>
          <w:rStyle w:val="30"/>
          <w:rFonts w:ascii="黑体" w:hAnsi="黑体" w:eastAsia="黑体"/>
          <w:b w:val="0"/>
        </w:rPr>
        <w:tab/>
      </w:r>
    </w:p>
    <w:p w14:paraId="7C0D5A0A">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42.48</w:t>
      </w:r>
      <w:r>
        <w:rPr>
          <w:rFonts w:hint="eastAsia" w:ascii="仿宋" w:hAnsi="仿宋" w:eastAsia="仿宋"/>
          <w:sz w:val="32"/>
          <w:szCs w:val="32"/>
        </w:rPr>
        <w:t>万元，其中：</w:t>
      </w:r>
    </w:p>
    <w:p w14:paraId="69B5A8B6">
      <w:pPr>
        <w:spacing w:line="600" w:lineRule="exact"/>
        <w:ind w:firstLine="640"/>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42.48</w:t>
      </w:r>
      <w:r>
        <w:rPr>
          <w:rFonts w:hint="eastAsia" w:ascii="仿宋" w:hAnsi="仿宋" w:eastAsia="仿宋"/>
          <w:sz w:val="32"/>
          <w:szCs w:val="32"/>
        </w:rPr>
        <w:t>万元，主要包括：基本工资、职工基本医疗保险、机关事业单位基本养老保险缴费、</w:t>
      </w:r>
      <w:r>
        <w:rPr>
          <w:rFonts w:hint="eastAsia" w:ascii="仿宋" w:hAnsi="仿宋" w:eastAsia="仿宋"/>
          <w:sz w:val="32"/>
          <w:szCs w:val="32"/>
          <w:lang w:val="en-US" w:eastAsia="zh-CN"/>
        </w:rPr>
        <w:t>住房公积金、</w:t>
      </w:r>
      <w:r>
        <w:rPr>
          <w:rFonts w:hint="eastAsia" w:ascii="仿宋" w:hAnsi="仿宋" w:eastAsia="仿宋"/>
          <w:sz w:val="32"/>
          <w:szCs w:val="32"/>
        </w:rPr>
        <w:t>职业年金缴费、其他对个人和家庭的补助支出等。</w:t>
      </w:r>
      <w:r>
        <w:rPr>
          <w:rFonts w:ascii="仿宋" w:hAnsi="仿宋" w:eastAsia="仿宋"/>
          <w:sz w:val="32"/>
          <w:szCs w:val="32"/>
        </w:rPr>
        <w:br w:type="textWrapping"/>
      </w:r>
    </w:p>
    <w:p w14:paraId="4B50232D">
      <w:pPr>
        <w:spacing w:line="600" w:lineRule="exact"/>
        <w:ind w:firstLine="640"/>
        <w:outlineLvl w:val="1"/>
        <w:rPr>
          <w:rStyle w:val="30"/>
          <w:rFonts w:ascii="黑体" w:hAnsi="黑体" w:eastAsia="黑体"/>
          <w:b w:val="0"/>
        </w:rPr>
      </w:pPr>
      <w:bookmarkStart w:id="34" w:name="_Toc15377215"/>
      <w:bookmarkStart w:id="35"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4"/>
      <w:bookmarkEnd w:id="35"/>
    </w:p>
    <w:p w14:paraId="524236A9">
      <w:pPr>
        <w:spacing w:line="600" w:lineRule="exact"/>
        <w:ind w:firstLine="640"/>
        <w:outlineLvl w:val="2"/>
        <w:rPr>
          <w:rFonts w:ascii="仿宋" w:hAnsi="仿宋" w:eastAsia="仿宋"/>
          <w:b/>
          <w:sz w:val="32"/>
          <w:szCs w:val="32"/>
        </w:rPr>
      </w:pPr>
      <w:bookmarkStart w:id="36" w:name="_Toc15377216"/>
      <w:r>
        <w:rPr>
          <w:rFonts w:hint="eastAsia" w:ascii="仿宋" w:hAnsi="仿宋" w:eastAsia="仿宋"/>
          <w:b/>
          <w:sz w:val="32"/>
          <w:szCs w:val="32"/>
        </w:rPr>
        <w:t>（一）“三公”经费财政拨款支出决算总体情况说明</w:t>
      </w:r>
      <w:bookmarkEnd w:id="36"/>
    </w:p>
    <w:p w14:paraId="30B41034">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，较</w:t>
      </w:r>
      <w:r>
        <w:rPr>
          <w:rFonts w:hint="eastAsia" w:ascii="仿宋" w:hAnsi="仿宋" w:eastAsia="仿宋"/>
          <w:sz w:val="32"/>
          <w:szCs w:val="32"/>
          <w:lang w:val="en-US" w:eastAsia="zh-CN"/>
        </w:rPr>
        <w:t>上年持平</w:t>
      </w:r>
      <w:r>
        <w:rPr>
          <w:rFonts w:hint="eastAsia" w:ascii="仿宋" w:hAnsi="仿宋" w:eastAsia="仿宋"/>
          <w:sz w:val="32"/>
          <w:szCs w:val="32"/>
        </w:rPr>
        <w:t>，主要原因是</w:t>
      </w:r>
      <w:r>
        <w:rPr>
          <w:rFonts w:hint="eastAsia" w:ascii="仿宋" w:hAnsi="仿宋" w:eastAsia="仿宋"/>
          <w:sz w:val="32"/>
          <w:szCs w:val="32"/>
          <w:lang w:val="en-US" w:eastAsia="zh-CN"/>
        </w:rPr>
        <w:t>本年度未发生因公出国出境及需要公务接待的情况，本单位也无公务用车</w:t>
      </w:r>
      <w:r>
        <w:rPr>
          <w:rFonts w:hint="eastAsia" w:ascii="仿宋" w:hAnsi="仿宋" w:eastAsia="仿宋"/>
          <w:sz w:val="32"/>
          <w:szCs w:val="32"/>
        </w:rPr>
        <w:t>。</w:t>
      </w:r>
    </w:p>
    <w:p w14:paraId="4A5D65DF">
      <w:pPr>
        <w:spacing w:line="600" w:lineRule="exact"/>
        <w:ind w:firstLine="640"/>
        <w:outlineLvl w:val="2"/>
        <w:rPr>
          <w:rFonts w:ascii="仿宋" w:hAnsi="仿宋" w:eastAsia="仿宋"/>
          <w:b/>
          <w:sz w:val="32"/>
          <w:szCs w:val="32"/>
        </w:rPr>
      </w:pPr>
      <w:bookmarkStart w:id="37" w:name="_Toc15377217"/>
      <w:r>
        <w:rPr>
          <w:rFonts w:hint="eastAsia" w:ascii="仿宋" w:hAnsi="仿宋" w:eastAsia="仿宋"/>
          <w:b/>
          <w:sz w:val="32"/>
          <w:szCs w:val="32"/>
        </w:rPr>
        <w:t>（二）“三公”经费财政拨款支出决算具体情况说明</w:t>
      </w:r>
      <w:bookmarkEnd w:id="37"/>
    </w:p>
    <w:p w14:paraId="63088DA3">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14:paraId="3A34AC89">
      <w:pPr>
        <w:spacing w:line="600" w:lineRule="exact"/>
        <w:ind w:firstLine="640"/>
        <w:rPr>
          <w:rFonts w:hint="eastAsia" w:eastAsia="仿宋"/>
          <w:lang w:eastAsia="zh-CN"/>
        </w:rPr>
      </w:pPr>
    </w:p>
    <w:p w14:paraId="0A4EE3AB">
      <w:pPr>
        <w:spacing w:line="600" w:lineRule="exact"/>
        <w:ind w:firstLine="640"/>
        <w:rPr>
          <w:rFonts w:hint="eastAsia" w:eastAsia="仿宋"/>
          <w:lang w:eastAsia="zh-CN"/>
        </w:rPr>
      </w:pPr>
    </w:p>
    <w:p w14:paraId="5600D2EC">
      <w:pPr>
        <w:spacing w:line="600" w:lineRule="exact"/>
        <w:ind w:firstLine="640"/>
        <w:rPr>
          <w:rFonts w:hint="eastAsia" w:eastAsia="仿宋"/>
          <w:lang w:eastAsia="zh-CN"/>
        </w:rPr>
      </w:pPr>
    </w:p>
    <w:p w14:paraId="1CF47D4F">
      <w:pPr>
        <w:spacing w:line="600" w:lineRule="exact"/>
        <w:ind w:firstLine="640"/>
        <w:rPr>
          <w:rFonts w:hint="eastAsia" w:eastAsia="仿宋"/>
          <w:lang w:eastAsia="zh-CN"/>
        </w:rPr>
      </w:pPr>
    </w:p>
    <w:p w14:paraId="446CEBC3">
      <w:pPr>
        <w:spacing w:line="600" w:lineRule="exact"/>
        <w:ind w:firstLine="640"/>
        <w:rPr>
          <w:rFonts w:hint="eastAsia" w:eastAsia="仿宋"/>
          <w:lang w:eastAsia="zh-CN"/>
        </w:rPr>
      </w:pPr>
    </w:p>
    <w:p w14:paraId="713AB047">
      <w:pPr>
        <w:spacing w:line="600" w:lineRule="exact"/>
        <w:ind w:firstLine="640"/>
        <w:rPr>
          <w:rFonts w:hint="eastAsia" w:eastAsia="仿宋"/>
          <w:lang w:eastAsia="zh-CN"/>
        </w:rPr>
      </w:pPr>
    </w:p>
    <w:p w14:paraId="4FC90867">
      <w:pPr>
        <w:spacing w:line="600" w:lineRule="exact"/>
        <w:ind w:firstLine="640"/>
        <w:rPr>
          <w:rFonts w:hint="eastAsia" w:ascii="仿宋" w:hAnsi="仿宋" w:eastAsia="仿宋"/>
          <w:sz w:val="32"/>
          <w:szCs w:val="32"/>
        </w:rPr>
      </w:pPr>
    </w:p>
    <w:p w14:paraId="5F1996DA">
      <w:pPr>
        <w:spacing w:line="600" w:lineRule="exact"/>
        <w:ind w:firstLine="640"/>
        <w:rPr>
          <w:rFonts w:hint="eastAsia" w:ascii="仿宋" w:hAnsi="仿宋" w:eastAsia="仿宋"/>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411480</wp:posOffset>
            </wp:positionH>
            <wp:positionV relativeFrom="paragraph">
              <wp:posOffset>-2700655</wp:posOffset>
            </wp:positionV>
            <wp:extent cx="5256530" cy="2988310"/>
            <wp:effectExtent l="5080" t="4445" r="15240" b="1714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315B5EC">
      <w:pPr>
        <w:spacing w:line="600" w:lineRule="exact"/>
        <w:ind w:firstLine="640"/>
        <w:rPr>
          <w:rFonts w:eastAsia="仿宋"/>
          <w:i/>
          <w:color w:val="000000"/>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5DB868E6">
      <w:pPr>
        <w:spacing w:line="600" w:lineRule="exact"/>
        <w:ind w:firstLine="640"/>
        <w:rPr>
          <w:rFonts w:hint="eastAsia"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18D6321B">
      <w:pPr>
        <w:spacing w:line="600" w:lineRule="exact"/>
        <w:ind w:firstLine="640"/>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9CC688A">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91EA06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14:paraId="5566CE13">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178B429D">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4516C19F">
      <w:pPr>
        <w:spacing w:line="600" w:lineRule="exact"/>
        <w:ind w:firstLine="640"/>
        <w:outlineLvl w:val="1"/>
        <w:rPr>
          <w:rStyle w:val="30"/>
          <w:rFonts w:ascii="黑体" w:hAnsi="黑体" w:eastAsia="黑体"/>
        </w:rPr>
      </w:pPr>
      <w:bookmarkStart w:id="38" w:name="_Toc15377218"/>
      <w:bookmarkStart w:id="39" w:name="_Toc15396610"/>
      <w:r>
        <w:rPr>
          <w:rFonts w:hint="eastAsia" w:ascii="黑体" w:eastAsia="黑体"/>
          <w:sz w:val="32"/>
          <w:szCs w:val="32"/>
        </w:rPr>
        <w:t>八、</w:t>
      </w:r>
      <w:r>
        <w:rPr>
          <w:rStyle w:val="30"/>
          <w:rFonts w:hint="eastAsia" w:ascii="黑体" w:hAnsi="黑体" w:eastAsia="黑体"/>
          <w:b w:val="0"/>
        </w:rPr>
        <w:t>政府性基金预算支出决算情况说明</w:t>
      </w:r>
      <w:bookmarkEnd w:id="38"/>
      <w:bookmarkEnd w:id="39"/>
    </w:p>
    <w:p w14:paraId="41D5ACA4">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441B435">
      <w:pPr>
        <w:numPr>
          <w:ilvl w:val="0"/>
          <w:numId w:val="3"/>
        </w:numPr>
        <w:spacing w:line="600" w:lineRule="exact"/>
        <w:ind w:firstLine="640"/>
        <w:outlineLvl w:val="1"/>
        <w:rPr>
          <w:rStyle w:val="30"/>
          <w:rFonts w:ascii="黑体" w:hAnsi="黑体" w:eastAsia="黑体"/>
          <w:b w:val="0"/>
        </w:rPr>
      </w:pPr>
      <w:bookmarkStart w:id="40" w:name="_Toc15396611"/>
      <w:bookmarkStart w:id="41" w:name="_Toc15377219"/>
      <w:r>
        <w:rPr>
          <w:rStyle w:val="30"/>
          <w:rFonts w:hint="eastAsia" w:ascii="黑体" w:hAnsi="黑体" w:eastAsia="黑体"/>
          <w:b w:val="0"/>
        </w:rPr>
        <w:t>国有资本经营预算支出决算情况说明</w:t>
      </w:r>
      <w:bookmarkEnd w:id="40"/>
      <w:bookmarkEnd w:id="41"/>
    </w:p>
    <w:p w14:paraId="42855A84">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718B22B6">
      <w:pPr>
        <w:numPr>
          <w:ilvl w:val="0"/>
          <w:numId w:val="3"/>
        </w:numPr>
        <w:spacing w:line="600" w:lineRule="exact"/>
        <w:ind w:firstLine="640"/>
        <w:outlineLvl w:val="1"/>
        <w:rPr>
          <w:rStyle w:val="30"/>
          <w:rFonts w:ascii="黑体" w:hAnsi="黑体" w:eastAsia="黑体"/>
          <w:b w:val="0"/>
        </w:rPr>
      </w:pPr>
      <w:bookmarkStart w:id="42" w:name="_Toc15396612"/>
      <w:bookmarkStart w:id="43" w:name="_Toc15377221"/>
      <w:r>
        <w:rPr>
          <w:rStyle w:val="30"/>
          <w:rFonts w:hint="eastAsia" w:ascii="黑体" w:hAnsi="黑体" w:eastAsia="黑体"/>
          <w:b w:val="0"/>
        </w:rPr>
        <w:t>其他重要事项的情况说明</w:t>
      </w:r>
      <w:bookmarkEnd w:id="42"/>
      <w:bookmarkEnd w:id="43"/>
    </w:p>
    <w:p w14:paraId="21813EB6">
      <w:pPr>
        <w:spacing w:line="600" w:lineRule="exact"/>
        <w:ind w:firstLine="643" w:firstLineChars="200"/>
        <w:outlineLvl w:val="2"/>
        <w:rPr>
          <w:rFonts w:ascii="仿宋" w:hAnsi="仿宋" w:eastAsia="仿宋"/>
          <w:sz w:val="32"/>
          <w:szCs w:val="32"/>
        </w:rPr>
      </w:pPr>
      <w:bookmarkStart w:id="44" w:name="_Toc15377222"/>
      <w:r>
        <w:rPr>
          <w:rFonts w:hint="eastAsia" w:ascii="仿宋" w:hAnsi="仿宋" w:eastAsia="仿宋"/>
          <w:b/>
          <w:sz w:val="32"/>
          <w:szCs w:val="32"/>
        </w:rPr>
        <w:t>（一）机关运行经费支出情况</w:t>
      </w:r>
      <w:bookmarkEnd w:id="44"/>
    </w:p>
    <w:p w14:paraId="74B27CF3">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乐至县通旅镇</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年决算数持平）。主要原因是</w:t>
      </w:r>
      <w:r>
        <w:rPr>
          <w:rFonts w:hint="eastAsia" w:ascii="仿宋_GB2312" w:eastAsia="仿宋_GB2312"/>
          <w:sz w:val="32"/>
          <w:szCs w:val="32"/>
          <w:lang w:val="en-US" w:eastAsia="zh-CN"/>
        </w:rPr>
        <w:t>今年未发生此项费用。</w:t>
      </w:r>
    </w:p>
    <w:p w14:paraId="5D98A307">
      <w:pPr>
        <w:autoSpaceDE w:val="0"/>
        <w:autoSpaceDN w:val="0"/>
        <w:adjustRightInd w:val="0"/>
        <w:spacing w:line="600" w:lineRule="exact"/>
        <w:ind w:firstLine="643" w:firstLineChars="200"/>
        <w:jc w:val="left"/>
        <w:outlineLvl w:val="2"/>
        <w:rPr>
          <w:rFonts w:ascii="仿宋" w:hAnsi="仿宋" w:eastAsia="仿宋"/>
          <w:b/>
          <w:sz w:val="32"/>
          <w:szCs w:val="32"/>
        </w:rPr>
      </w:pPr>
      <w:bookmarkStart w:id="45" w:name="_Toc15377223"/>
      <w:r>
        <w:rPr>
          <w:rFonts w:hint="eastAsia" w:ascii="仿宋" w:hAnsi="仿宋" w:eastAsia="仿宋"/>
          <w:b/>
          <w:sz w:val="32"/>
          <w:szCs w:val="32"/>
        </w:rPr>
        <w:t>（二）政府采购支出情况</w:t>
      </w:r>
      <w:bookmarkEnd w:id="45"/>
    </w:p>
    <w:p w14:paraId="1353DDBA">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乐至县通旅镇卫生院</w:t>
      </w:r>
      <w:r>
        <w:rPr>
          <w:rFonts w:hint="eastAsia" w:ascii="仿宋_GB2312" w:eastAsia="仿宋_GB2312"/>
          <w:sz w:val="32"/>
          <w:szCs w:val="32"/>
        </w:rPr>
        <w:t>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6306D018">
      <w:pPr>
        <w:autoSpaceDE w:val="0"/>
        <w:autoSpaceDN w:val="0"/>
        <w:adjustRightInd w:val="0"/>
        <w:spacing w:line="600" w:lineRule="exact"/>
        <w:ind w:firstLine="643" w:firstLineChars="200"/>
        <w:jc w:val="left"/>
        <w:outlineLvl w:val="2"/>
        <w:rPr>
          <w:rFonts w:ascii="仿宋" w:hAnsi="仿宋" w:eastAsia="仿宋"/>
          <w:b/>
          <w:sz w:val="32"/>
          <w:szCs w:val="32"/>
        </w:rPr>
      </w:pPr>
      <w:bookmarkStart w:id="46" w:name="_Toc15377224"/>
      <w:r>
        <w:rPr>
          <w:rFonts w:hint="eastAsia" w:ascii="仿宋" w:hAnsi="仿宋" w:eastAsia="仿宋"/>
          <w:b/>
          <w:sz w:val="32"/>
          <w:szCs w:val="32"/>
        </w:rPr>
        <w:t>（三）国有资产占有使用情况</w:t>
      </w:r>
      <w:bookmarkEnd w:id="46"/>
    </w:p>
    <w:p w14:paraId="66683E64">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乐至县通旅镇卫生院</w:t>
      </w:r>
      <w:r>
        <w:rPr>
          <w:rFonts w:hint="eastAsia" w:ascii="仿宋_GB2312" w:eastAsia="仿宋_GB2312"/>
          <w:sz w:val="32"/>
          <w:szCs w:val="32"/>
        </w:rPr>
        <w:t>共有车辆</w:t>
      </w:r>
      <w:r>
        <w:rPr>
          <w:rFonts w:hint="eastAsia" w:ascii="仿宋_GB2312" w:eastAsia="仿宋_GB2312"/>
          <w:sz w:val="32"/>
          <w:szCs w:val="32"/>
          <w:lang w:val="en-US" w:eastAsia="zh-CN"/>
        </w:rPr>
        <w:t>1</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1</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3536D12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6301CBEF">
      <w:pPr>
        <w:widowControl/>
        <w:ind w:firstLine="640" w:firstLineChars="200"/>
        <w:jc w:val="left"/>
        <w:rPr>
          <w:rFonts w:ascii="仿宋_GB2312" w:eastAsia="仿宋_GB2312"/>
          <w:b/>
          <w:sz w:val="32"/>
          <w:szCs w:val="32"/>
        </w:rPr>
      </w:pPr>
      <w:r>
        <w:rPr>
          <w:rFonts w:hint="eastAsia" w:ascii="仿宋_GB2312" w:eastAsia="仿宋_GB2312"/>
          <w:sz w:val="32"/>
          <w:szCs w:val="32"/>
          <w:lang w:val="en-US" w:eastAsia="zh-CN"/>
        </w:rPr>
        <w:t>详见附件</w:t>
      </w:r>
      <w:r>
        <w:rPr>
          <w:rFonts w:ascii="仿宋_GB2312" w:eastAsia="仿宋_GB2312"/>
          <w:b/>
          <w:sz w:val="32"/>
          <w:szCs w:val="32"/>
        </w:rPr>
        <w:br w:type="page"/>
      </w:r>
    </w:p>
    <w:p w14:paraId="21EB06BC">
      <w:pPr>
        <w:pStyle w:val="6"/>
        <w:spacing w:before="93"/>
      </w:pPr>
    </w:p>
    <w:p w14:paraId="1BE246F5">
      <w:pPr>
        <w:numPr>
          <w:ilvl w:val="0"/>
          <w:numId w:val="4"/>
        </w:numPr>
        <w:spacing w:line="600" w:lineRule="exact"/>
        <w:ind w:firstLine="660" w:firstLineChars="150"/>
        <w:jc w:val="center"/>
        <w:outlineLvl w:val="0"/>
        <w:rPr>
          <w:rStyle w:val="29"/>
          <w:rFonts w:ascii="黑体" w:hAnsi="黑体" w:eastAsia="黑体"/>
          <w:b w:val="0"/>
        </w:rPr>
      </w:pPr>
      <w:bookmarkStart w:id="47" w:name="_Toc15377225"/>
      <w:bookmarkStart w:id="48" w:name="_Toc15396613"/>
      <w:r>
        <w:rPr>
          <w:rFonts w:hint="eastAsia" w:ascii="黑体" w:hAnsi="黑体" w:eastAsia="黑体"/>
          <w:sz w:val="44"/>
          <w:szCs w:val="44"/>
        </w:rPr>
        <w:t>名</w:t>
      </w:r>
      <w:r>
        <w:rPr>
          <w:rStyle w:val="29"/>
          <w:rFonts w:hint="eastAsia" w:ascii="黑体" w:hAnsi="黑体" w:eastAsia="黑体"/>
          <w:b w:val="0"/>
        </w:rPr>
        <w:t>词解释</w:t>
      </w:r>
      <w:bookmarkEnd w:id="47"/>
      <w:bookmarkEnd w:id="48"/>
    </w:p>
    <w:p w14:paraId="1789C57D">
      <w:pPr>
        <w:spacing w:line="600" w:lineRule="exact"/>
        <w:jc w:val="left"/>
        <w:rPr>
          <w:rFonts w:ascii="宋体"/>
          <w:b/>
          <w:sz w:val="44"/>
          <w:szCs w:val="44"/>
        </w:rPr>
      </w:pPr>
    </w:p>
    <w:p w14:paraId="032436D9">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26075FBB">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717BE94C">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4BF0D060">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66412441">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6F69125C">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D4659A9">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3999530D">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5453D2CD">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社会保障和就业（类）行政事业单位养老支出（款）机关事业单位基本养老保险缴费支出（项）：指</w:t>
      </w:r>
      <w:r>
        <w:rPr>
          <w:rFonts w:hint="eastAsia" w:ascii="仿宋_GB2312" w:eastAsia="仿宋_GB2312"/>
          <w:sz w:val="32"/>
          <w:szCs w:val="32"/>
          <w:lang w:val="en-US" w:eastAsia="zh-CN"/>
        </w:rPr>
        <w:t>机关事业单位养老保险费用</w:t>
      </w:r>
      <w:r>
        <w:rPr>
          <w:rFonts w:hint="eastAsia" w:ascii="仿宋_GB2312" w:eastAsia="仿宋_GB2312"/>
          <w:sz w:val="32"/>
          <w:szCs w:val="32"/>
        </w:rPr>
        <w:t>。</w:t>
      </w:r>
    </w:p>
    <w:p w14:paraId="157B1261">
      <w:pPr>
        <w:ind w:firstLine="640" w:firstLineChars="200"/>
        <w:rPr>
          <w:rFonts w:hint="default" w:ascii="仿宋_GB2312" w:eastAsia="仿宋_GB2312"/>
          <w:sz w:val="32"/>
          <w:szCs w:val="32"/>
          <w:lang w:val="en-US" w:eastAsia="zh-CN"/>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卫生健康（类）基层医疗卫生机构（款）乡镇卫生院（项）：指</w:t>
      </w:r>
      <w:r>
        <w:rPr>
          <w:rFonts w:hint="eastAsia" w:ascii="仿宋_GB2312" w:eastAsia="仿宋_GB2312"/>
          <w:sz w:val="32"/>
          <w:szCs w:val="32"/>
          <w:lang w:val="en-US" w:eastAsia="zh-CN"/>
        </w:rPr>
        <w:t>乡镇卫生院的基本工资及绩效工资支出</w:t>
      </w:r>
      <w:r>
        <w:rPr>
          <w:rFonts w:hint="eastAsia" w:ascii="仿宋_GB2312" w:eastAsia="仿宋_GB2312"/>
          <w:sz w:val="32"/>
          <w:szCs w:val="32"/>
          <w:lang w:eastAsia="zh-CN"/>
        </w:rPr>
        <w:t>；</w:t>
      </w:r>
      <w:r>
        <w:rPr>
          <w:rFonts w:hint="eastAsia" w:ascii="仿宋_GB2312" w:eastAsia="仿宋_GB2312"/>
          <w:sz w:val="32"/>
          <w:szCs w:val="32"/>
        </w:rPr>
        <w:t>卫生健康（类）</w:t>
      </w:r>
      <w:r>
        <w:rPr>
          <w:rFonts w:hint="eastAsia" w:ascii="仿宋_GB2312" w:eastAsia="仿宋_GB2312"/>
          <w:sz w:val="32"/>
          <w:szCs w:val="32"/>
          <w:lang w:val="en-US" w:eastAsia="zh-CN"/>
        </w:rPr>
        <w:t>公共卫生</w:t>
      </w:r>
      <w:r>
        <w:rPr>
          <w:rFonts w:hint="eastAsia" w:ascii="仿宋_GB2312" w:eastAsia="仿宋_GB2312"/>
          <w:sz w:val="32"/>
          <w:szCs w:val="32"/>
        </w:rPr>
        <w:t>（款）</w:t>
      </w:r>
      <w:r>
        <w:rPr>
          <w:rFonts w:hint="eastAsia" w:ascii="仿宋_GB2312" w:eastAsia="仿宋_GB2312"/>
          <w:sz w:val="32"/>
          <w:szCs w:val="32"/>
          <w:lang w:val="en-US" w:eastAsia="zh-CN"/>
        </w:rPr>
        <w:t>基本公共卫生</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指为辖区居民提供的基本公共卫生服务支出。</w:t>
      </w:r>
    </w:p>
    <w:p w14:paraId="60E200F6">
      <w:pPr>
        <w:ind w:firstLine="640" w:firstLineChars="200"/>
        <w:rPr>
          <w:rFonts w:ascii="仿宋_GB2312" w:eastAsia="仿宋_GB2312"/>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1D3374D2">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7AC7D801">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E98B52F">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3D15D8">
      <w:pPr>
        <w:pStyle w:val="27"/>
        <w:spacing w:line="560" w:lineRule="exact"/>
        <w:ind w:firstLine="640" w:firstLineChars="200"/>
        <w:rPr>
          <w:rFonts w:ascii="仿宋_GB2312" w:eastAsia="仿宋_GB2312" w:cs="黑体"/>
          <w:color w:val="auto"/>
          <w:sz w:val="32"/>
          <w:szCs w:val="32"/>
        </w:rPr>
      </w:pPr>
    </w:p>
    <w:p w14:paraId="5C04D2D5">
      <w:pPr>
        <w:pStyle w:val="27"/>
        <w:spacing w:line="560" w:lineRule="exact"/>
        <w:ind w:firstLine="640" w:firstLineChars="200"/>
        <w:rPr>
          <w:rFonts w:ascii="仿宋_GB2312" w:eastAsia="仿宋_GB2312"/>
          <w:color w:val="auto"/>
          <w:sz w:val="32"/>
          <w:szCs w:val="32"/>
        </w:rPr>
      </w:pPr>
    </w:p>
    <w:p w14:paraId="300EE3C1">
      <w:pPr>
        <w:pStyle w:val="27"/>
        <w:spacing w:line="560" w:lineRule="exact"/>
        <w:ind w:firstLine="640" w:firstLineChars="200"/>
        <w:rPr>
          <w:rFonts w:ascii="仿宋_GB2312" w:eastAsia="仿宋_GB2312" w:cs="黑体"/>
          <w:color w:val="auto"/>
          <w:sz w:val="32"/>
          <w:szCs w:val="32"/>
        </w:rPr>
      </w:pPr>
    </w:p>
    <w:p w14:paraId="6591D4FE">
      <w:pPr>
        <w:spacing w:line="600" w:lineRule="exact"/>
        <w:jc w:val="center"/>
        <w:outlineLvl w:val="0"/>
        <w:rPr>
          <w:rStyle w:val="29"/>
          <w:rFonts w:ascii="黑体" w:hAnsi="黑体" w:eastAsia="黑体"/>
          <w:b w:val="0"/>
        </w:rPr>
      </w:pPr>
      <w:bookmarkStart w:id="49" w:name="_Toc15377226"/>
      <w:r>
        <w:rPr>
          <w:rFonts w:ascii="宋体"/>
          <w:b/>
          <w:sz w:val="44"/>
          <w:szCs w:val="44"/>
        </w:rPr>
        <w:br w:type="page"/>
      </w:r>
      <w:bookmarkStart w:id="50" w:name="_Toc15396614"/>
      <w:r>
        <w:rPr>
          <w:rFonts w:hint="eastAsia" w:ascii="黑体" w:hAnsi="黑体" w:eastAsia="黑体"/>
          <w:sz w:val="44"/>
          <w:szCs w:val="44"/>
        </w:rPr>
        <w:t>第</w:t>
      </w:r>
      <w:r>
        <w:rPr>
          <w:rStyle w:val="29"/>
          <w:rFonts w:hint="eastAsia" w:ascii="黑体" w:hAnsi="黑体" w:eastAsia="黑体"/>
          <w:b w:val="0"/>
        </w:rPr>
        <w:t>四部分 附件</w:t>
      </w:r>
      <w:bookmarkEnd w:id="50"/>
    </w:p>
    <w:p w14:paraId="4EFB78F9">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lang w:val="en-US" w:eastAsia="zh-CN"/>
        </w:rPr>
        <w:t>3</w:t>
      </w:r>
      <w:r>
        <w:rPr>
          <w:rFonts w:hint="eastAsia" w:eastAsia="方正小标宋简体"/>
          <w:sz w:val="44"/>
          <w:szCs w:val="44"/>
        </w:rPr>
        <w:t>年乐至</w:t>
      </w:r>
      <w:r>
        <w:rPr>
          <w:rFonts w:hint="eastAsia" w:eastAsia="方正小标宋简体"/>
          <w:sz w:val="44"/>
          <w:szCs w:val="44"/>
          <w:lang w:val="en-US" w:eastAsia="zh-CN"/>
        </w:rPr>
        <w:t>通旅</w:t>
      </w:r>
      <w:r>
        <w:rPr>
          <w:rFonts w:hint="eastAsia" w:eastAsia="方正小标宋简体"/>
          <w:sz w:val="44"/>
          <w:szCs w:val="44"/>
        </w:rPr>
        <w:t>镇卫生院</w:t>
      </w:r>
    </w:p>
    <w:p w14:paraId="602BABB3">
      <w:pPr>
        <w:spacing w:line="580" w:lineRule="exact"/>
        <w:jc w:val="center"/>
        <w:rPr>
          <w:rFonts w:eastAsia="方正小标宋简体"/>
          <w:sz w:val="44"/>
          <w:szCs w:val="44"/>
        </w:rPr>
      </w:pPr>
      <w:r>
        <w:rPr>
          <w:rFonts w:hint="eastAsia" w:eastAsia="方正小标宋简体"/>
          <w:sz w:val="44"/>
          <w:szCs w:val="44"/>
        </w:rPr>
        <w:t>预算绩效管理总结报告</w:t>
      </w:r>
    </w:p>
    <w:p w14:paraId="1BD5D32D">
      <w:pPr>
        <w:spacing w:line="580" w:lineRule="exact"/>
        <w:ind w:firstLine="640" w:firstLineChars="200"/>
        <w:rPr>
          <w:rFonts w:eastAsia="方正仿宋简体"/>
          <w:sz w:val="32"/>
          <w:szCs w:val="32"/>
        </w:rPr>
      </w:pPr>
    </w:p>
    <w:p w14:paraId="12CFCDA6">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14:paraId="34DAE945">
      <w:pPr>
        <w:spacing w:line="580" w:lineRule="exact"/>
        <w:ind w:firstLine="640" w:firstLineChars="200"/>
        <w:rPr>
          <w:rFonts w:eastAsia="方正仿宋简体"/>
          <w:sz w:val="32"/>
          <w:szCs w:val="32"/>
        </w:rPr>
      </w:pPr>
    </w:p>
    <w:p w14:paraId="53A14F25">
      <w:pPr>
        <w:spacing w:line="580" w:lineRule="exact"/>
        <w:ind w:firstLine="640" w:firstLineChars="200"/>
        <w:rPr>
          <w:rFonts w:eastAsia="方正黑体简体"/>
          <w:sz w:val="32"/>
          <w:szCs w:val="32"/>
        </w:rPr>
      </w:pPr>
      <w:r>
        <w:rPr>
          <w:rFonts w:hint="eastAsia" w:eastAsia="方正黑体简体"/>
          <w:sz w:val="32"/>
          <w:szCs w:val="32"/>
        </w:rPr>
        <w:t>一、单位概况</w:t>
      </w:r>
    </w:p>
    <w:p w14:paraId="1DFA6102">
      <w:pPr>
        <w:spacing w:line="580" w:lineRule="exact"/>
        <w:ind w:firstLine="643" w:firstLineChars="200"/>
        <w:rPr>
          <w:rFonts w:eastAsia="方正楷体简体"/>
          <w:b/>
          <w:sz w:val="32"/>
          <w:szCs w:val="32"/>
        </w:rPr>
      </w:pPr>
      <w:r>
        <w:rPr>
          <w:rFonts w:hint="eastAsia" w:eastAsia="方正楷体简体"/>
          <w:b/>
          <w:sz w:val="32"/>
          <w:szCs w:val="32"/>
        </w:rPr>
        <w:t>（一）机构组成</w:t>
      </w:r>
    </w:p>
    <w:p w14:paraId="48CD3E90">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乐至县</w:t>
      </w:r>
      <w:r>
        <w:rPr>
          <w:rFonts w:hint="eastAsia" w:ascii="仿宋_GB2312" w:hAnsi="仿宋" w:eastAsia="仿宋_GB2312"/>
          <w:sz w:val="32"/>
          <w:szCs w:val="32"/>
          <w:lang w:eastAsia="zh-CN"/>
        </w:rPr>
        <w:t>通旅</w:t>
      </w:r>
      <w:r>
        <w:rPr>
          <w:rFonts w:hint="eastAsia" w:ascii="仿宋_GB2312" w:hAnsi="仿宋" w:eastAsia="仿宋_GB2312"/>
          <w:sz w:val="32"/>
          <w:szCs w:val="32"/>
        </w:rPr>
        <w:t>镇卫生院属乐至县卫生健康局管辖的二级预算独立法人单位，单位性质为差额拨款事业单位，按照基层医疗机构政府会计制度执行预决算。</w:t>
      </w:r>
    </w:p>
    <w:p w14:paraId="03128F78">
      <w:pPr>
        <w:spacing w:line="580" w:lineRule="exact"/>
        <w:ind w:firstLine="643" w:firstLineChars="200"/>
        <w:rPr>
          <w:rFonts w:eastAsia="方正楷体简体"/>
          <w:b/>
          <w:sz w:val="32"/>
          <w:szCs w:val="32"/>
        </w:rPr>
      </w:pPr>
      <w:r>
        <w:rPr>
          <w:rFonts w:hint="eastAsia" w:eastAsia="方正楷体简体"/>
          <w:b/>
          <w:sz w:val="32"/>
          <w:szCs w:val="32"/>
        </w:rPr>
        <w:t>（二）机构职能</w:t>
      </w:r>
    </w:p>
    <w:p w14:paraId="180F5C03">
      <w:pPr>
        <w:snapToGrid w:val="0"/>
        <w:spacing w:line="520" w:lineRule="exact"/>
        <w:ind w:firstLine="640" w:firstLineChars="200"/>
        <w:rPr>
          <w:rFonts w:eastAsia="方正楷体简体"/>
          <w:b/>
          <w:sz w:val="32"/>
          <w:szCs w:val="32"/>
        </w:rPr>
      </w:pPr>
      <w:r>
        <w:rPr>
          <w:rFonts w:hint="eastAsia" w:ascii="仿宋_GB2312" w:hAnsi="仿宋" w:eastAsia="仿宋_GB2312"/>
          <w:sz w:val="32"/>
          <w:szCs w:val="32"/>
        </w:rPr>
        <w:t>是为辖区内的居民提供基本医疗服务、免费计划生育服务和基本公共卫生服务。</w:t>
      </w:r>
    </w:p>
    <w:p w14:paraId="5795745A">
      <w:pPr>
        <w:spacing w:line="580" w:lineRule="exact"/>
        <w:ind w:firstLine="643" w:firstLineChars="200"/>
        <w:rPr>
          <w:rFonts w:eastAsia="方正楷体简体"/>
          <w:b/>
          <w:sz w:val="32"/>
          <w:szCs w:val="32"/>
        </w:rPr>
      </w:pPr>
      <w:r>
        <w:rPr>
          <w:rFonts w:hint="eastAsia" w:eastAsia="方正楷体简体"/>
          <w:b/>
          <w:sz w:val="32"/>
          <w:szCs w:val="32"/>
        </w:rPr>
        <w:t>（三）人员概况</w:t>
      </w:r>
    </w:p>
    <w:p w14:paraId="4B519ECC">
      <w:pPr>
        <w:snapToGrid w:val="0"/>
        <w:spacing w:line="520" w:lineRule="exact"/>
        <w:ind w:firstLine="640" w:firstLineChars="200"/>
        <w:rPr>
          <w:rFonts w:eastAsia="方正楷体简体"/>
          <w:b/>
          <w:sz w:val="32"/>
          <w:szCs w:val="32"/>
        </w:rPr>
      </w:pPr>
      <w:r>
        <w:rPr>
          <w:rFonts w:hint="eastAsia" w:ascii="仿宋_GB2312" w:hAnsi="仿宋" w:eastAsia="仿宋_GB2312"/>
          <w:sz w:val="32"/>
          <w:szCs w:val="32"/>
        </w:rPr>
        <w:t>人员编制数</w:t>
      </w:r>
      <w:r>
        <w:rPr>
          <w:rFonts w:hint="eastAsia" w:ascii="仿宋_GB2312" w:hAnsi="仿宋" w:eastAsia="仿宋_GB2312"/>
          <w:sz w:val="32"/>
          <w:szCs w:val="32"/>
          <w:lang w:val="en-US" w:eastAsia="zh-CN"/>
        </w:rPr>
        <w:t>22</w:t>
      </w:r>
      <w:r>
        <w:rPr>
          <w:rFonts w:hint="eastAsia" w:ascii="仿宋_GB2312" w:hAnsi="仿宋" w:eastAsia="仿宋_GB2312"/>
          <w:sz w:val="32"/>
          <w:szCs w:val="32"/>
        </w:rPr>
        <w:t>人，实有在职人员</w:t>
      </w:r>
      <w:r>
        <w:rPr>
          <w:rFonts w:hint="eastAsia" w:ascii="仿宋_GB2312" w:hAnsi="仿宋" w:eastAsia="仿宋_GB2312"/>
          <w:sz w:val="32"/>
          <w:szCs w:val="32"/>
          <w:lang w:val="en-US" w:eastAsia="zh-CN"/>
        </w:rPr>
        <w:t>21</w:t>
      </w:r>
      <w:r>
        <w:rPr>
          <w:rFonts w:hint="eastAsia" w:ascii="仿宋_GB2312" w:hAnsi="仿宋" w:eastAsia="仿宋_GB2312"/>
          <w:sz w:val="32"/>
          <w:szCs w:val="32"/>
        </w:rPr>
        <w:t>人，副高级职称</w:t>
      </w:r>
      <w:r>
        <w:rPr>
          <w:rFonts w:hint="eastAsia" w:ascii="仿宋_GB2312" w:hAnsi="仿宋" w:eastAsia="仿宋_GB2312"/>
          <w:sz w:val="32"/>
          <w:szCs w:val="32"/>
          <w:lang w:val="en-US" w:eastAsia="zh-CN"/>
        </w:rPr>
        <w:t>1</w:t>
      </w:r>
      <w:r>
        <w:rPr>
          <w:rFonts w:hint="eastAsia" w:ascii="仿宋_GB2312" w:hAnsi="仿宋" w:eastAsia="仿宋_GB2312"/>
          <w:sz w:val="32"/>
          <w:szCs w:val="32"/>
        </w:rPr>
        <w:t>人，中级职称</w:t>
      </w:r>
      <w:r>
        <w:rPr>
          <w:rFonts w:hint="eastAsia" w:ascii="仿宋_GB2312" w:hAnsi="仿宋" w:eastAsia="仿宋_GB2312"/>
          <w:sz w:val="32"/>
          <w:szCs w:val="32"/>
          <w:lang w:val="en-US" w:eastAsia="zh-CN"/>
        </w:rPr>
        <w:t>4</w:t>
      </w:r>
      <w:r>
        <w:rPr>
          <w:rFonts w:hint="eastAsia" w:ascii="仿宋_GB2312" w:hAnsi="仿宋" w:eastAsia="仿宋_GB2312"/>
          <w:sz w:val="32"/>
          <w:szCs w:val="32"/>
        </w:rPr>
        <w:t>人。</w:t>
      </w:r>
    </w:p>
    <w:p w14:paraId="1894F08E">
      <w:pPr>
        <w:spacing w:line="580" w:lineRule="exact"/>
        <w:ind w:firstLine="640" w:firstLineChars="200"/>
        <w:rPr>
          <w:rFonts w:eastAsia="方正黑体简体"/>
          <w:sz w:val="32"/>
          <w:szCs w:val="32"/>
        </w:rPr>
      </w:pPr>
      <w:r>
        <w:rPr>
          <w:rFonts w:hint="eastAsia" w:eastAsia="方正黑体简体"/>
          <w:sz w:val="32"/>
          <w:szCs w:val="32"/>
        </w:rPr>
        <w:t>二、部门财政资金收支情况</w:t>
      </w:r>
    </w:p>
    <w:p w14:paraId="31C3A63A">
      <w:pPr>
        <w:spacing w:line="580" w:lineRule="exact"/>
        <w:ind w:firstLine="643" w:firstLineChars="200"/>
        <w:rPr>
          <w:rFonts w:eastAsia="方正楷体简体"/>
          <w:b/>
          <w:sz w:val="32"/>
          <w:szCs w:val="32"/>
        </w:rPr>
      </w:pPr>
      <w:r>
        <w:rPr>
          <w:rFonts w:hint="eastAsia" w:eastAsia="方正楷体简体"/>
          <w:b/>
          <w:sz w:val="32"/>
          <w:szCs w:val="32"/>
        </w:rPr>
        <w:t>（一）</w:t>
      </w:r>
      <w:r>
        <w:rPr>
          <w:rFonts w:hint="eastAsia" w:eastAsia="方正楷体简体"/>
          <w:b/>
          <w:sz w:val="32"/>
          <w:szCs w:val="32"/>
          <w:lang w:val="en-US" w:eastAsia="zh-CN"/>
        </w:rPr>
        <w:t>单位</w:t>
      </w:r>
      <w:r>
        <w:rPr>
          <w:rFonts w:hint="eastAsia" w:eastAsia="方正楷体简体"/>
          <w:b/>
          <w:sz w:val="32"/>
          <w:szCs w:val="32"/>
        </w:rPr>
        <w:t>财政资金收入情况</w:t>
      </w:r>
    </w:p>
    <w:p w14:paraId="7C79AD6F">
      <w:pPr>
        <w:spacing w:line="580" w:lineRule="exact"/>
        <w:ind w:firstLine="640" w:firstLineChars="200"/>
        <w:rPr>
          <w:rFonts w:eastAsia="仿宋_GB2312"/>
          <w:b/>
          <w:sz w:val="32"/>
          <w:szCs w:val="32"/>
        </w:rPr>
      </w:pPr>
      <w:r>
        <w:rPr>
          <w:rFonts w:hint="eastAsia" w:ascii="仿宋_GB2312" w:hAnsi="仿宋" w:eastAsia="仿宋_GB2312" w:cs="仿宋"/>
          <w:color w:val="000000"/>
          <w:sz w:val="32"/>
          <w:szCs w:val="32"/>
        </w:rPr>
        <w:t>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仿宋"/>
          <w:color w:val="000000"/>
          <w:sz w:val="32"/>
          <w:szCs w:val="32"/>
          <w:lang w:val="en-US" w:eastAsia="zh-CN"/>
        </w:rPr>
        <w:t>227.75</w:t>
      </w:r>
      <w:r>
        <w:rPr>
          <w:rFonts w:hint="eastAsia" w:ascii="仿宋_GB2312" w:hAnsi="仿宋" w:eastAsia="仿宋_GB2312" w:cs="仿宋"/>
          <w:color w:val="000000"/>
          <w:sz w:val="32"/>
          <w:szCs w:val="32"/>
        </w:rPr>
        <w:t>万元，财政部门拨款对账单</w:t>
      </w:r>
      <w:r>
        <w:rPr>
          <w:rFonts w:hint="eastAsia" w:ascii="仿宋_GB2312" w:hAnsi="仿宋" w:eastAsia="仿宋_GB2312" w:cs="仿宋"/>
          <w:color w:val="000000"/>
          <w:sz w:val="32"/>
          <w:szCs w:val="32"/>
          <w:lang w:val="en-US" w:eastAsia="zh-CN"/>
        </w:rPr>
        <w:t>227.75</w:t>
      </w:r>
      <w:r>
        <w:rPr>
          <w:rFonts w:hint="eastAsia" w:ascii="仿宋_GB2312" w:hAnsi="仿宋" w:eastAsia="仿宋_GB2312" w:cs="仿宋"/>
          <w:color w:val="000000"/>
          <w:sz w:val="32"/>
          <w:szCs w:val="32"/>
        </w:rPr>
        <w:t>万元。</w:t>
      </w:r>
    </w:p>
    <w:p w14:paraId="5E327C59">
      <w:pPr>
        <w:numPr>
          <w:ilvl w:val="0"/>
          <w:numId w:val="5"/>
        </w:numPr>
        <w:spacing w:line="580" w:lineRule="exact"/>
        <w:ind w:firstLine="643" w:firstLineChars="200"/>
        <w:rPr>
          <w:rFonts w:eastAsia="方正楷体简体"/>
          <w:b/>
          <w:sz w:val="32"/>
          <w:szCs w:val="32"/>
        </w:rPr>
      </w:pPr>
      <w:r>
        <w:rPr>
          <w:rFonts w:hint="eastAsia" w:eastAsia="方正楷体简体"/>
          <w:b/>
          <w:sz w:val="32"/>
          <w:szCs w:val="32"/>
        </w:rPr>
        <w:t>部门财政资金支出情况</w:t>
      </w:r>
    </w:p>
    <w:p w14:paraId="1EFC86ED">
      <w:pPr>
        <w:spacing w:line="580" w:lineRule="exact"/>
        <w:rPr>
          <w:rFonts w:eastAsia="仿宋_GB2312"/>
          <w:b/>
          <w:sz w:val="32"/>
          <w:szCs w:val="32"/>
        </w:rPr>
      </w:pPr>
      <w:r>
        <w:rPr>
          <w:rFonts w:hint="eastAsia" w:eastAsia="方正楷体简体"/>
          <w:b/>
          <w:sz w:val="32"/>
          <w:szCs w:val="32"/>
        </w:rPr>
        <w:t xml:space="preserve">    </w:t>
      </w:r>
      <w:r>
        <w:rPr>
          <w:rFonts w:hint="eastAsia" w:ascii="仿宋_GB2312" w:hAnsi="仿宋" w:eastAsia="仿宋_GB2312" w:cs="仿宋"/>
          <w:color w:val="000000"/>
          <w:sz w:val="32"/>
          <w:szCs w:val="32"/>
        </w:rPr>
        <w:t>单位本年度实际财政资金支出</w:t>
      </w:r>
      <w:r>
        <w:rPr>
          <w:rFonts w:hint="eastAsia" w:ascii="仿宋_GB2312" w:hAnsi="仿宋" w:eastAsia="仿宋_GB2312" w:cs="仿宋"/>
          <w:color w:val="000000"/>
          <w:sz w:val="32"/>
          <w:szCs w:val="32"/>
          <w:lang w:val="en-US" w:eastAsia="zh-CN"/>
        </w:rPr>
        <w:t>227.75</w:t>
      </w:r>
      <w:r>
        <w:rPr>
          <w:rFonts w:hint="eastAsia" w:ascii="仿宋_GB2312" w:hAnsi="仿宋" w:eastAsia="仿宋_GB2312" w:cs="仿宋"/>
          <w:color w:val="000000"/>
          <w:sz w:val="32"/>
          <w:szCs w:val="32"/>
        </w:rPr>
        <w:t>万元，财政部门拨款结余0万元。</w:t>
      </w:r>
    </w:p>
    <w:p w14:paraId="6F931665">
      <w:pPr>
        <w:spacing w:line="580" w:lineRule="exact"/>
        <w:ind w:firstLine="640" w:firstLineChars="200"/>
        <w:rPr>
          <w:rFonts w:eastAsia="方正黑体简体"/>
          <w:sz w:val="32"/>
          <w:szCs w:val="32"/>
        </w:rPr>
      </w:pPr>
      <w:r>
        <w:rPr>
          <w:rFonts w:hint="eastAsia" w:eastAsia="方正黑体简体"/>
          <w:sz w:val="32"/>
          <w:szCs w:val="32"/>
        </w:rPr>
        <w:t>三、评价工作开展情况</w:t>
      </w:r>
    </w:p>
    <w:p w14:paraId="03BFB33E">
      <w:pPr>
        <w:spacing w:line="580" w:lineRule="exact"/>
        <w:ind w:firstLine="643" w:firstLineChars="200"/>
        <w:rPr>
          <w:rFonts w:eastAsia="方正楷体简体"/>
          <w:b/>
          <w:sz w:val="32"/>
          <w:szCs w:val="32"/>
        </w:rPr>
      </w:pPr>
      <w:r>
        <w:rPr>
          <w:rFonts w:hint="eastAsia" w:eastAsia="方正楷体简体"/>
          <w:b/>
          <w:sz w:val="32"/>
          <w:szCs w:val="32"/>
        </w:rPr>
        <w:t>（一）自评工作组织领导</w:t>
      </w:r>
    </w:p>
    <w:p w14:paraId="0E7CFB8D">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成立了自评工作组织领导小组：</w:t>
      </w:r>
    </w:p>
    <w:p w14:paraId="4A93A1B6">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组  长：</w:t>
      </w:r>
      <w:r>
        <w:rPr>
          <w:rFonts w:hint="eastAsia" w:ascii="仿宋" w:hAnsi="仿宋" w:eastAsia="仿宋" w:cs="仿宋"/>
          <w:bCs/>
          <w:sz w:val="32"/>
          <w:szCs w:val="32"/>
          <w:lang w:val="en-US" w:eastAsia="zh-CN"/>
        </w:rPr>
        <w:t>余明江</w:t>
      </w:r>
      <w:r>
        <w:rPr>
          <w:rFonts w:hint="eastAsia" w:ascii="仿宋" w:hAnsi="仿宋" w:eastAsia="仿宋" w:cs="仿宋"/>
          <w:bCs/>
          <w:sz w:val="32"/>
          <w:szCs w:val="32"/>
        </w:rPr>
        <w:t xml:space="preserve"> （院长、书记）</w:t>
      </w:r>
    </w:p>
    <w:p w14:paraId="6E8790EA">
      <w:pPr>
        <w:spacing w:line="58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副组长：</w:t>
      </w:r>
      <w:r>
        <w:rPr>
          <w:rFonts w:hint="eastAsia" w:ascii="仿宋" w:hAnsi="仿宋" w:eastAsia="仿宋" w:cs="仿宋"/>
          <w:bCs/>
          <w:sz w:val="32"/>
          <w:szCs w:val="32"/>
          <w:lang w:val="en-US" w:eastAsia="zh-CN"/>
        </w:rPr>
        <w:t>杨海均、杨宇</w:t>
      </w:r>
    </w:p>
    <w:p w14:paraId="17C848D6">
      <w:pPr>
        <w:spacing w:line="58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rPr>
        <w:t>成  员：</w:t>
      </w:r>
      <w:r>
        <w:rPr>
          <w:rFonts w:hint="eastAsia" w:ascii="仿宋" w:hAnsi="仿宋" w:eastAsia="仿宋" w:cs="仿宋"/>
          <w:bCs/>
          <w:sz w:val="32"/>
          <w:szCs w:val="32"/>
          <w:lang w:val="en-US" w:eastAsia="zh-CN"/>
        </w:rPr>
        <w:t>徐苗、刘欣、刘洲、杨宗华、宁莉、郭鹏鹰</w:t>
      </w:r>
    </w:p>
    <w:p w14:paraId="0125D976">
      <w:pPr>
        <w:spacing w:line="580" w:lineRule="exact"/>
        <w:ind w:firstLine="643" w:firstLineChars="200"/>
        <w:rPr>
          <w:rFonts w:eastAsia="方正楷体简体"/>
          <w:b/>
          <w:sz w:val="32"/>
          <w:szCs w:val="32"/>
        </w:rPr>
      </w:pPr>
      <w:r>
        <w:rPr>
          <w:rFonts w:hint="eastAsia" w:eastAsia="方正楷体简体"/>
          <w:b/>
          <w:sz w:val="32"/>
          <w:szCs w:val="32"/>
        </w:rPr>
        <w:t>（二）自评方式、方法、重点等</w:t>
      </w:r>
    </w:p>
    <w:p w14:paraId="0F7E389C">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按照相关要求结合本院实际情况进行全方位的实际工作进行实事求是的自评。</w:t>
      </w:r>
    </w:p>
    <w:p w14:paraId="474F9244">
      <w:pPr>
        <w:spacing w:line="580" w:lineRule="exact"/>
        <w:ind w:firstLine="640" w:firstLineChars="200"/>
        <w:rPr>
          <w:rFonts w:eastAsia="方正黑体简体"/>
          <w:sz w:val="32"/>
          <w:szCs w:val="32"/>
        </w:rPr>
      </w:pPr>
      <w:r>
        <w:rPr>
          <w:rFonts w:hint="eastAsia" w:eastAsia="方正黑体简体"/>
          <w:sz w:val="32"/>
          <w:szCs w:val="32"/>
        </w:rPr>
        <w:t>四、评价结论</w:t>
      </w:r>
    </w:p>
    <w:p w14:paraId="2A872D3C">
      <w:pPr>
        <w:ind w:firstLine="640" w:firstLineChars="200"/>
        <w:rPr>
          <w:rFonts w:ascii="仿宋" w:hAnsi="仿宋" w:eastAsia="仿宋" w:cs="仿宋"/>
          <w:sz w:val="32"/>
          <w:szCs w:val="32"/>
        </w:rPr>
      </w:pPr>
      <w:r>
        <w:rPr>
          <w:rFonts w:hint="eastAsia" w:ascii="仿宋" w:hAnsi="仿宋" w:eastAsia="仿宋" w:cs="仿宋"/>
          <w:sz w:val="32"/>
          <w:szCs w:val="32"/>
        </w:rPr>
        <w:t>一年来，各项卫生专项资金和本级财政安排的专项经费，都能严格按照专项经费管理使用要求和相应项目实施方案要求进行管理，严格支出，专项资金使用规范，制定了相关资金管理制度，项目工作开展措施有力，工作稳步推进，且成效明显，项目专项资金财政到位和拨付做到及时，财政对相关配套项目资金有保障，各项目资金使用单位严格专项资金使用与管理，进行专账核算，专款专用，用到实处，没有出现挤占、挪用的情况，确保资金使用效果，专项资金产出的效果比较明显，达到预期效果。综合各项指标，我院财务管理较为健全规范，未发生严重违法违规现象，202</w:t>
      </w:r>
      <w:r>
        <w:rPr>
          <w:rFonts w:hint="eastAsia" w:ascii="仿宋" w:hAnsi="仿宋" w:eastAsia="仿宋" w:cs="仿宋"/>
          <w:sz w:val="32"/>
          <w:szCs w:val="32"/>
          <w:lang w:val="en-US" w:eastAsia="zh-CN"/>
        </w:rPr>
        <w:t>3</w:t>
      </w:r>
      <w:r>
        <w:rPr>
          <w:rFonts w:hint="eastAsia" w:ascii="仿宋" w:hAnsi="仿宋" w:eastAsia="仿宋" w:cs="仿宋"/>
          <w:sz w:val="32"/>
          <w:szCs w:val="32"/>
        </w:rPr>
        <w:t>年的部门整体支出绩效自我评价自评结果：良好。全镇卫计事业得以健康平稳发展。我院将在以后的工作中加强预算管理，严格控制各项经费的开支，提高经费的使用效率。</w:t>
      </w:r>
    </w:p>
    <w:p w14:paraId="1C9BE1F7">
      <w:pPr>
        <w:spacing w:line="580" w:lineRule="exact"/>
        <w:ind w:firstLine="640" w:firstLineChars="200"/>
        <w:rPr>
          <w:rFonts w:eastAsia="方正黑体简体"/>
          <w:sz w:val="32"/>
          <w:szCs w:val="32"/>
        </w:rPr>
      </w:pPr>
      <w:r>
        <w:rPr>
          <w:rFonts w:hint="eastAsia" w:eastAsia="方正黑体简体"/>
          <w:sz w:val="32"/>
          <w:szCs w:val="32"/>
        </w:rPr>
        <w:t>五、绩效分析</w:t>
      </w:r>
    </w:p>
    <w:p w14:paraId="507C5AEA">
      <w:pPr>
        <w:spacing w:line="580" w:lineRule="exact"/>
        <w:ind w:firstLine="643" w:firstLineChars="200"/>
        <w:rPr>
          <w:rFonts w:eastAsia="方正楷体简体"/>
          <w:b/>
          <w:sz w:val="32"/>
          <w:szCs w:val="32"/>
        </w:rPr>
      </w:pPr>
      <w:r>
        <w:rPr>
          <w:rFonts w:hint="eastAsia" w:eastAsia="方正楷体简体"/>
          <w:b/>
          <w:sz w:val="32"/>
          <w:szCs w:val="32"/>
        </w:rPr>
        <w:t>（一）指标分析</w:t>
      </w:r>
    </w:p>
    <w:p w14:paraId="056F58D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严格按照乐财监督绩效【2023】1号预算管理绩效评价指标的评分依据执行</w:t>
      </w:r>
    </w:p>
    <w:p w14:paraId="1FAEBC61">
      <w:pPr>
        <w:spacing w:line="580" w:lineRule="exact"/>
        <w:ind w:firstLine="643" w:firstLineChars="200"/>
        <w:rPr>
          <w:rFonts w:eastAsia="方正楷体简体"/>
          <w:b/>
          <w:sz w:val="32"/>
          <w:szCs w:val="32"/>
        </w:rPr>
      </w:pPr>
      <w:r>
        <w:rPr>
          <w:rFonts w:hint="eastAsia" w:eastAsia="方正楷体简体"/>
          <w:b/>
          <w:sz w:val="32"/>
          <w:szCs w:val="32"/>
        </w:rPr>
        <w:t>（二）综合绩效分析</w:t>
      </w:r>
    </w:p>
    <w:p w14:paraId="2D0BC2AE">
      <w:pPr>
        <w:pStyle w:val="14"/>
        <w:widowControl/>
        <w:shd w:val="clear" w:color="auto" w:fill="FFFFFF"/>
        <w:spacing w:before="0" w:beforeAutospacing="0" w:after="0" w:afterAutospacing="0" w:line="460" w:lineRule="atLeast"/>
        <w:ind w:firstLine="624"/>
        <w:jc w:val="both"/>
        <w:rPr>
          <w:rFonts w:ascii="仿宋" w:hAnsi="仿宋" w:eastAsia="仿宋" w:cs="仿宋"/>
          <w:b/>
          <w:sz w:val="32"/>
          <w:szCs w:val="32"/>
        </w:rPr>
      </w:pPr>
      <w:r>
        <w:rPr>
          <w:rFonts w:hint="eastAsia" w:ascii="仿宋" w:hAnsi="仿宋" w:eastAsia="仿宋" w:cs="仿宋"/>
          <w:b/>
          <w:sz w:val="32"/>
          <w:szCs w:val="32"/>
        </w:rPr>
        <w:t>1.部门职能履行情况</w:t>
      </w:r>
    </w:p>
    <w:p w14:paraId="0D67D722">
      <w:pPr>
        <w:ind w:firstLine="640" w:firstLineChars="200"/>
        <w:rPr>
          <w:rFonts w:ascii="仿宋" w:hAnsi="仿宋" w:eastAsia="仿宋" w:cs="仿宋"/>
          <w:sz w:val="32"/>
          <w:szCs w:val="32"/>
        </w:rPr>
      </w:pPr>
      <w:r>
        <w:rPr>
          <w:rFonts w:hint="eastAsia" w:ascii="仿宋" w:hAnsi="仿宋" w:eastAsia="仿宋" w:cs="仿宋"/>
          <w:sz w:val="32"/>
          <w:szCs w:val="32"/>
        </w:rPr>
        <w:t>（1）提供公共卫生服务：①承担农村居民健康档案建档指导、管理和服务；②普及卫生保健常识，在重点人群和重点场所开展健康教育；③提供并组织实施辖区预防接种服务，落实国家计划免疫工作；④及时发现、登记并报告辖区内发现的传染病病例和疑似病例，参与现场疫情处理；⑤开展新生儿访视及儿童保健系统管理，进行体格检查和生长发育监测及评价，开展健康指导；⑥开展孕产妇保健系统管理和产后访视，进行一般体格检查及孕期营养、心理等健康指导；⑦对辖区65岁及以上老年人进行登记管理，进行健康危险因素调查和一般体格检查，开展健康指导；⑧对高血压、糖尿病等慢性病高危人群进行指导，对确诊高血压、糖尿病等慢性病病例进行登记管理、定期随访和健康指导；⑨对辖区重性精神疾病患者进行登记管理、治疗随访和康复指导；⑩负责辖区内突发公共卫生事件的报告并协助处理；⑪做好卫生行政部门规定的其他公共卫生服务。</w:t>
      </w:r>
    </w:p>
    <w:p w14:paraId="7321918A">
      <w:pPr>
        <w:ind w:firstLine="640" w:firstLineChars="200"/>
        <w:rPr>
          <w:rFonts w:ascii="仿宋" w:hAnsi="仿宋" w:eastAsia="仿宋" w:cs="仿宋"/>
          <w:sz w:val="32"/>
          <w:szCs w:val="32"/>
        </w:rPr>
      </w:pPr>
      <w:r>
        <w:rPr>
          <w:rFonts w:hint="eastAsia" w:ascii="仿宋" w:hAnsi="仿宋" w:eastAsia="仿宋" w:cs="仿宋"/>
          <w:sz w:val="32"/>
          <w:szCs w:val="32"/>
        </w:rPr>
        <w:t>（2）提供基本医疗服务：①使用农村适宜医疗技术和中医药技术，正确处理常见病、多发病，对疑难重症进行恰当的处理并转诊；②处理孕产妇顺产；③健全消毒、隔离制度，遵守无菌操作规程，加强医疗质量管理；④积极参与政府卫生行政部门安排的疫情防控任务。⑤执行国家基本药物制度药品集中采购、零差率销售等政策，为实施一体化管理的村卫生室统一代购药品；⑥提供政府卫生行政部门批准的其他适宜的医疗服务。</w:t>
      </w:r>
    </w:p>
    <w:p w14:paraId="3DD6205D">
      <w:pPr>
        <w:rPr>
          <w:rFonts w:ascii="仿宋" w:hAnsi="仿宋" w:eastAsia="仿宋" w:cs="仿宋"/>
          <w:sz w:val="32"/>
          <w:szCs w:val="32"/>
        </w:rPr>
      </w:pPr>
      <w:r>
        <w:rPr>
          <w:rFonts w:hint="eastAsia" w:ascii="仿宋" w:hAnsi="仿宋" w:eastAsia="仿宋" w:cs="仿宋"/>
          <w:sz w:val="32"/>
          <w:szCs w:val="32"/>
        </w:rPr>
        <w:t>    （3）承担公共卫生管理：①对辖区内传染病防治、学校卫生、食品卫生、饮水卫生、职业卫生，以及村级预防保健工作进行指导、培训、考核与监督；②严格执行新型农村合作医疗政策规定，履行定点医疗机构职责，做好有关的政策宣传、监督及服务工作；③深入推进乡村卫生服务一体化管理，对村卫生室实行以行政、人员、业务、药品、财产为基本内容的“五统一”规范管理；负责村卫生室的技术指导和乡村医生培训等工作。负责在本辖区内开展社区基本公共卫生服务项目（建立健康档案、健康教育、儿童保健、孕产妇保健、预防接种、传染病防治、老年人健康管理、慢性病患者管理、重性精神病人管理、中医药健康管理、卫生监督协管）、社区基本医疗服务、城镇职工医疗保险报销定点机构等。承办县卫健局交办的其他事项。</w:t>
      </w:r>
    </w:p>
    <w:p w14:paraId="43FA6C00">
      <w:pPr>
        <w:ind w:firstLine="640" w:firstLineChars="200"/>
        <w:rPr>
          <w:rFonts w:ascii="仿宋" w:hAnsi="仿宋" w:eastAsia="仿宋" w:cs="仿宋"/>
          <w:sz w:val="32"/>
          <w:szCs w:val="32"/>
        </w:rPr>
      </w:pPr>
      <w:r>
        <w:rPr>
          <w:rFonts w:hint="eastAsia" w:ascii="仿宋" w:hAnsi="仿宋" w:eastAsia="仿宋" w:cs="仿宋"/>
          <w:sz w:val="32"/>
          <w:szCs w:val="32"/>
        </w:rPr>
        <w:t>（4）提供了重大公共卫生服务：在各级部门的领导下开展了新冠肺炎疫情专项重大公共卫生服务。</w:t>
      </w:r>
    </w:p>
    <w:p w14:paraId="6613F68A">
      <w:pPr>
        <w:widowControl/>
        <w:ind w:firstLine="643" w:firstLineChars="200"/>
        <w:jc w:val="left"/>
        <w:rPr>
          <w:rFonts w:ascii="仿宋" w:hAnsi="仿宋" w:eastAsia="仿宋" w:cs="仿宋"/>
          <w:b/>
          <w:sz w:val="32"/>
          <w:szCs w:val="32"/>
        </w:rPr>
      </w:pPr>
      <w:r>
        <w:rPr>
          <w:rFonts w:hint="eastAsia" w:ascii="仿宋" w:hAnsi="仿宋" w:eastAsia="仿宋" w:cs="仿宋"/>
          <w:b/>
          <w:sz w:val="32"/>
          <w:szCs w:val="32"/>
        </w:rPr>
        <w:t>2.部门履职有效性</w:t>
      </w:r>
    </w:p>
    <w:p w14:paraId="444EC355">
      <w:pPr>
        <w:widowControl/>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牢固树立预算绩效管理理念，建立完善贯穿预算管理事前、事中、事后的全过程闭环管理链条，着力强化绩效目标引领、提高绩效目标编制质量，扎实开展事前绩效评估、加强预算项目前端绩效管控，动态实施绩效运行监控、及时发现校正目标执行偏差，深入开展绩效评价并将结果与预算安排、政策调整等挂钩，不断提高财政资源配置效率和使用效益</w:t>
      </w:r>
    </w:p>
    <w:p w14:paraId="624B90E4">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3.部门职能实现程度</w:t>
      </w:r>
    </w:p>
    <w:p w14:paraId="0D738630">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工作的整体效果良好、基本实现了预期目标、社会满意度较高。</w:t>
      </w:r>
    </w:p>
    <w:p w14:paraId="738133DF">
      <w:pPr>
        <w:spacing w:line="580" w:lineRule="exact"/>
        <w:ind w:firstLine="640" w:firstLineChars="200"/>
        <w:rPr>
          <w:rFonts w:eastAsia="方正黑体简体"/>
          <w:sz w:val="32"/>
          <w:szCs w:val="32"/>
        </w:rPr>
      </w:pPr>
      <w:r>
        <w:rPr>
          <w:rFonts w:hint="eastAsia" w:eastAsia="方正黑体简体"/>
          <w:sz w:val="32"/>
          <w:szCs w:val="32"/>
        </w:rPr>
        <w:t>六、问题分析</w:t>
      </w:r>
    </w:p>
    <w:p w14:paraId="42481D82">
      <w:pPr>
        <w:ind w:firstLine="640" w:firstLineChars="200"/>
        <w:rPr>
          <w:rFonts w:ascii="仿宋" w:hAnsi="仿宋" w:eastAsia="仿宋" w:cs="仿宋"/>
          <w:sz w:val="32"/>
          <w:szCs w:val="32"/>
        </w:rPr>
      </w:pPr>
      <w:r>
        <w:rPr>
          <w:rFonts w:hint="eastAsia" w:ascii="仿宋" w:hAnsi="仿宋" w:eastAsia="仿宋" w:cs="仿宋"/>
          <w:sz w:val="32"/>
          <w:szCs w:val="32"/>
        </w:rPr>
        <w:t>编外人员较多，经费无预算，固定支出较多，资金缺口较大；基层卫生院医疗服务能力在弱化，医院的基本支出和运行成本在逐年增加，近两年又受疫情影响收支极不衡，财政投入需加大。</w:t>
      </w:r>
    </w:p>
    <w:p w14:paraId="04D5583D">
      <w:pPr>
        <w:spacing w:line="580" w:lineRule="exact"/>
        <w:ind w:firstLine="640" w:firstLineChars="200"/>
        <w:rPr>
          <w:rFonts w:eastAsia="方正黑体简体"/>
          <w:sz w:val="32"/>
          <w:szCs w:val="32"/>
        </w:rPr>
      </w:pPr>
      <w:r>
        <w:rPr>
          <w:rFonts w:hint="eastAsia" w:eastAsia="方正黑体简体"/>
          <w:sz w:val="32"/>
          <w:szCs w:val="32"/>
        </w:rPr>
        <w:t>七、建议</w:t>
      </w:r>
    </w:p>
    <w:p w14:paraId="3286C384">
      <w:pPr>
        <w:ind w:firstLine="640" w:firstLineChars="200"/>
        <w:rPr>
          <w:rFonts w:ascii="仿宋" w:hAnsi="仿宋" w:eastAsia="仿宋" w:cs="仿宋"/>
          <w:sz w:val="32"/>
          <w:szCs w:val="32"/>
        </w:rPr>
      </w:pPr>
      <w:r>
        <w:rPr>
          <w:rFonts w:hint="eastAsia" w:ascii="楷体" w:hAnsi="楷体" w:eastAsia="楷体" w:cs="楷体"/>
          <w:sz w:val="32"/>
          <w:szCs w:val="32"/>
        </w:rPr>
        <w:t>（一）</w:t>
      </w:r>
      <w:r>
        <w:rPr>
          <w:rFonts w:hint="eastAsia" w:ascii="仿宋" w:hAnsi="仿宋" w:eastAsia="仿宋" w:cs="仿宋"/>
          <w:sz w:val="32"/>
          <w:szCs w:val="32"/>
        </w:rPr>
        <w:t>建议对乡镇卫生院实施财政全额预算管理。</w:t>
      </w:r>
    </w:p>
    <w:p w14:paraId="35370372">
      <w:pPr>
        <w:ind w:firstLine="640" w:firstLineChars="200"/>
        <w:rPr>
          <w:rFonts w:ascii="仿宋" w:hAnsi="仿宋" w:eastAsia="仿宋" w:cs="仿宋"/>
          <w:sz w:val="32"/>
          <w:szCs w:val="32"/>
        </w:rPr>
      </w:pPr>
      <w:r>
        <w:rPr>
          <w:rFonts w:hint="eastAsia" w:ascii="楷体" w:hAnsi="楷体" w:eastAsia="楷体" w:cs="楷体"/>
          <w:sz w:val="32"/>
          <w:szCs w:val="32"/>
        </w:rPr>
        <w:t>（二）</w:t>
      </w:r>
      <w:r>
        <w:rPr>
          <w:rFonts w:hint="eastAsia" w:ascii="仿宋" w:hAnsi="仿宋" w:eastAsia="仿宋" w:cs="仿宋"/>
          <w:sz w:val="32"/>
          <w:szCs w:val="32"/>
        </w:rPr>
        <w:t>财政基本投入不及时。</w:t>
      </w:r>
    </w:p>
    <w:p w14:paraId="7E499A13">
      <w:pPr>
        <w:ind w:firstLine="640" w:firstLineChars="200"/>
      </w:pPr>
      <w:r>
        <w:rPr>
          <w:rFonts w:hint="eastAsia" w:ascii="楷体" w:hAnsi="楷体" w:eastAsia="楷体" w:cs="楷体"/>
          <w:sz w:val="32"/>
          <w:szCs w:val="32"/>
        </w:rPr>
        <w:t>（三）</w:t>
      </w:r>
      <w:r>
        <w:rPr>
          <w:rFonts w:hint="eastAsia" w:ascii="仿宋" w:hAnsi="仿宋" w:eastAsia="仿宋" w:cs="仿宋"/>
          <w:sz w:val="32"/>
          <w:szCs w:val="32"/>
        </w:rPr>
        <w:t>加大财政投入。重点保障人员经费、建设资金和人才培养经费的投入，提高基层医疗卫生机构服务水平和能力，保障人员待遇，要留得住人。 </w:t>
      </w:r>
    </w:p>
    <w:p w14:paraId="104E1B4D">
      <w:pPr>
        <w:spacing w:line="600" w:lineRule="exact"/>
        <w:jc w:val="center"/>
        <w:outlineLvl w:val="0"/>
        <w:rPr>
          <w:rFonts w:ascii="仿宋" w:hAnsi="仿宋" w:eastAsia="仿宋"/>
        </w:rPr>
      </w:pPr>
      <w:bookmarkStart w:id="51" w:name="_Toc15396618"/>
      <w:r>
        <w:rPr>
          <w:rFonts w:hint="eastAsia" w:ascii="黑体" w:hAnsi="黑体" w:eastAsia="黑体"/>
          <w:sz w:val="44"/>
          <w:szCs w:val="44"/>
        </w:rPr>
        <w:t>第</w:t>
      </w:r>
      <w:r>
        <w:rPr>
          <w:rStyle w:val="29"/>
          <w:rFonts w:hint="eastAsia" w:ascii="黑体" w:hAnsi="黑体" w:eastAsia="黑体"/>
          <w:b w:val="0"/>
        </w:rPr>
        <w:t>五部分 附表</w:t>
      </w:r>
      <w:bookmarkEnd w:id="49"/>
      <w:bookmarkEnd w:id="51"/>
      <w:bookmarkStart w:id="52" w:name="_Toc15396619"/>
    </w:p>
    <w:p w14:paraId="70696B6E">
      <w:pPr>
        <w:pStyle w:val="3"/>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2"/>
    </w:p>
    <w:p w14:paraId="62E3398D">
      <w:pPr>
        <w:pStyle w:val="3"/>
        <w:rPr>
          <w:rFonts w:ascii="仿宋" w:hAnsi="仿宋" w:eastAsia="仿宋"/>
        </w:rPr>
      </w:pPr>
      <w:bookmarkStart w:id="53" w:name="_Toc15396620"/>
      <w:r>
        <w:rPr>
          <w:rFonts w:hint="eastAsia" w:ascii="仿宋" w:hAnsi="仿宋" w:eastAsia="仿宋"/>
          <w:b w:val="0"/>
        </w:rPr>
        <w:t>二、收</w:t>
      </w:r>
      <w:r>
        <w:rPr>
          <w:rStyle w:val="30"/>
          <w:rFonts w:hint="eastAsia" w:ascii="仿宋" w:hAnsi="仿宋" w:eastAsia="仿宋"/>
          <w:b w:val="0"/>
          <w:bCs w:val="0"/>
        </w:rPr>
        <w:t>入决算表</w:t>
      </w:r>
      <w:bookmarkEnd w:id="53"/>
    </w:p>
    <w:p w14:paraId="79A0F57C">
      <w:pPr>
        <w:pStyle w:val="3"/>
        <w:rPr>
          <w:rFonts w:ascii="仿宋" w:hAnsi="仿宋" w:eastAsia="仿宋"/>
        </w:rPr>
      </w:pPr>
      <w:bookmarkStart w:id="54"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4"/>
    </w:p>
    <w:p w14:paraId="562576BB">
      <w:pPr>
        <w:pStyle w:val="3"/>
        <w:rPr>
          <w:rFonts w:ascii="仿宋" w:hAnsi="仿宋" w:eastAsia="仿宋"/>
          <w:b w:val="0"/>
        </w:rPr>
      </w:pPr>
      <w:bookmarkStart w:id="55"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5"/>
    </w:p>
    <w:p w14:paraId="11032AA8">
      <w:pPr>
        <w:pStyle w:val="3"/>
        <w:rPr>
          <w:rStyle w:val="30"/>
          <w:rFonts w:ascii="仿宋" w:hAnsi="仿宋" w:eastAsia="仿宋"/>
          <w:b w:val="0"/>
          <w:bCs w:val="0"/>
        </w:rPr>
      </w:pPr>
      <w:bookmarkStart w:id="56"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56"/>
      <w:bookmarkStart w:id="57" w:name="_Toc15396624"/>
    </w:p>
    <w:p w14:paraId="7621DD42">
      <w:pPr>
        <w:pStyle w:val="3"/>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57"/>
    </w:p>
    <w:p w14:paraId="1EC30EAC">
      <w:pPr>
        <w:pStyle w:val="3"/>
        <w:rPr>
          <w:rFonts w:ascii="仿宋" w:hAnsi="仿宋" w:eastAsia="仿宋"/>
        </w:rPr>
      </w:pPr>
      <w:bookmarkStart w:id="58"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58"/>
    </w:p>
    <w:p w14:paraId="32AC16AF">
      <w:pPr>
        <w:pStyle w:val="3"/>
        <w:rPr>
          <w:rFonts w:ascii="仿宋" w:hAnsi="仿宋" w:eastAsia="仿宋"/>
        </w:rPr>
      </w:pPr>
      <w:bookmarkStart w:id="59"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59"/>
    </w:p>
    <w:p w14:paraId="30223071">
      <w:pPr>
        <w:pStyle w:val="3"/>
        <w:rPr>
          <w:rFonts w:ascii="仿宋" w:hAnsi="仿宋" w:eastAsia="仿宋"/>
        </w:rPr>
      </w:pPr>
      <w:bookmarkStart w:id="60"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0"/>
    </w:p>
    <w:p w14:paraId="08D61CF7">
      <w:pPr>
        <w:pStyle w:val="3"/>
        <w:rPr>
          <w:rFonts w:ascii="仿宋" w:hAnsi="仿宋" w:eastAsia="仿宋"/>
        </w:rPr>
      </w:pPr>
      <w:bookmarkStart w:id="61" w:name="_Toc15396628"/>
      <w:r>
        <w:rPr>
          <w:rStyle w:val="30"/>
          <w:rFonts w:hint="eastAsia" w:ascii="仿宋" w:hAnsi="仿宋" w:eastAsia="仿宋"/>
          <w:b w:val="0"/>
          <w:bCs w:val="0"/>
        </w:rPr>
        <w:t>十、</w:t>
      </w:r>
      <w:bookmarkEnd w:id="61"/>
      <w:r>
        <w:rPr>
          <w:rFonts w:hint="eastAsia" w:ascii="仿宋" w:hAnsi="仿宋" w:eastAsia="仿宋"/>
          <w:b w:val="0"/>
        </w:rPr>
        <w:t>政</w:t>
      </w:r>
      <w:r>
        <w:rPr>
          <w:rStyle w:val="30"/>
          <w:rFonts w:hint="eastAsia" w:ascii="仿宋" w:hAnsi="仿宋" w:eastAsia="仿宋"/>
          <w:b w:val="0"/>
          <w:bCs w:val="0"/>
        </w:rPr>
        <w:t>府性基金预算财政拨款收入支出决算表</w:t>
      </w:r>
    </w:p>
    <w:p w14:paraId="3B02852A">
      <w:pPr>
        <w:pStyle w:val="3"/>
        <w:rPr>
          <w:rFonts w:ascii="仿宋" w:hAnsi="仿宋" w:eastAsia="仿宋"/>
        </w:rPr>
      </w:pPr>
      <w:bookmarkStart w:id="62" w:name="_Toc15396629"/>
      <w:r>
        <w:rPr>
          <w:rStyle w:val="30"/>
          <w:rFonts w:hint="eastAsia" w:ascii="仿宋" w:hAnsi="仿宋" w:eastAsia="仿宋"/>
          <w:b w:val="0"/>
          <w:bCs w:val="0"/>
        </w:rPr>
        <w:t>十一、</w:t>
      </w:r>
      <w:bookmarkEnd w:id="62"/>
      <w:r>
        <w:rPr>
          <w:rFonts w:hint="eastAsia" w:ascii="仿宋" w:hAnsi="仿宋" w:eastAsia="仿宋"/>
          <w:b w:val="0"/>
        </w:rPr>
        <w:t>国</w:t>
      </w:r>
      <w:r>
        <w:rPr>
          <w:rStyle w:val="30"/>
          <w:rFonts w:hint="eastAsia" w:ascii="仿宋" w:hAnsi="仿宋" w:eastAsia="仿宋"/>
          <w:b w:val="0"/>
          <w:bCs w:val="0"/>
        </w:rPr>
        <w:t>有资本经营预算财政拨款收入支出决算表</w:t>
      </w:r>
    </w:p>
    <w:p w14:paraId="3F696A18">
      <w:pPr>
        <w:pStyle w:val="3"/>
        <w:rPr>
          <w:rFonts w:ascii="仿宋" w:hAnsi="仿宋" w:eastAsia="仿宋"/>
        </w:rPr>
      </w:pPr>
      <w:bookmarkStart w:id="63" w:name="_Toc15396630"/>
      <w:r>
        <w:rPr>
          <w:rStyle w:val="30"/>
          <w:rFonts w:hint="eastAsia" w:ascii="仿宋" w:hAnsi="仿宋" w:eastAsia="仿宋"/>
          <w:b w:val="0"/>
          <w:bCs w:val="0"/>
        </w:rPr>
        <w:t>十二、</w:t>
      </w:r>
      <w:bookmarkEnd w:id="63"/>
      <w:r>
        <w:rPr>
          <w:rStyle w:val="30"/>
          <w:rFonts w:hint="eastAsia" w:ascii="仿宋" w:hAnsi="仿宋" w:eastAsia="仿宋"/>
          <w:b w:val="0"/>
          <w:bCs w:val="0"/>
        </w:rPr>
        <w:t>国有资本经营预算财政拨款支出决算表</w:t>
      </w:r>
    </w:p>
    <w:p w14:paraId="4D709325">
      <w:pPr>
        <w:pStyle w:val="3"/>
        <w:rPr>
          <w:rFonts w:eastAsia="仿宋"/>
        </w:rPr>
      </w:pPr>
      <w:bookmarkStart w:id="64" w:name="_Toc15396631"/>
      <w:r>
        <w:rPr>
          <w:rStyle w:val="30"/>
          <w:rFonts w:hint="eastAsia" w:ascii="仿宋" w:hAnsi="仿宋" w:eastAsia="仿宋"/>
          <w:b w:val="0"/>
          <w:bCs w:val="0"/>
        </w:rPr>
        <w:t>十三、</w:t>
      </w:r>
      <w:bookmarkEnd w:id="64"/>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8BECCE8">
        <w:pPr>
          <w:pStyle w:val="10"/>
          <w:jc w:val="center"/>
        </w:pPr>
        <w:r>
          <w:fldChar w:fldCharType="begin"/>
        </w:r>
        <w:r>
          <w:instrText xml:space="preserve">PAGE   \* MERGEFORMAT</w:instrText>
        </w:r>
        <w:r>
          <w:fldChar w:fldCharType="separate"/>
        </w:r>
        <w:r>
          <w:rPr>
            <w:lang w:val="zh-CN"/>
          </w:rPr>
          <w:t>8</w:t>
        </w:r>
        <w:r>
          <w:fldChar w:fldCharType="end"/>
        </w:r>
      </w:p>
    </w:sdtContent>
  </w:sdt>
  <w:p w14:paraId="747A9625">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85795">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9E4D19A"/>
    <w:multiLevelType w:val="singleLevel"/>
    <w:tmpl w:val="39E4D19A"/>
    <w:lvl w:ilvl="0" w:tentative="0">
      <w:start w:val="2"/>
      <w:numFmt w:val="chineseCounting"/>
      <w:suff w:val="nothing"/>
      <w:lvlText w:val="（%1）"/>
      <w:lvlJc w:val="left"/>
      <w:rPr>
        <w:rFonts w:hint="eastAsia"/>
      </w:r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ZTAwZGJiOWE2M2MwNTBjN2M3MTRlNTQzMWI5M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4F1BA7"/>
    <w:rsid w:val="015975B8"/>
    <w:rsid w:val="02143E91"/>
    <w:rsid w:val="02C62933"/>
    <w:rsid w:val="02D917F0"/>
    <w:rsid w:val="0325568D"/>
    <w:rsid w:val="045521C0"/>
    <w:rsid w:val="066E0107"/>
    <w:rsid w:val="07996F6E"/>
    <w:rsid w:val="09CB0E9E"/>
    <w:rsid w:val="09EF5765"/>
    <w:rsid w:val="09FF2C83"/>
    <w:rsid w:val="0A2032A3"/>
    <w:rsid w:val="0F98263C"/>
    <w:rsid w:val="101860EC"/>
    <w:rsid w:val="10C055FF"/>
    <w:rsid w:val="118107EC"/>
    <w:rsid w:val="13D50BC4"/>
    <w:rsid w:val="13F53078"/>
    <w:rsid w:val="146241F7"/>
    <w:rsid w:val="15923843"/>
    <w:rsid w:val="16BB723D"/>
    <w:rsid w:val="18C8388E"/>
    <w:rsid w:val="193719B9"/>
    <w:rsid w:val="1BE8440E"/>
    <w:rsid w:val="1BEC2FB3"/>
    <w:rsid w:val="1D155CEE"/>
    <w:rsid w:val="1EB44C7D"/>
    <w:rsid w:val="1F8C7EEB"/>
    <w:rsid w:val="1FF35744"/>
    <w:rsid w:val="227F187C"/>
    <w:rsid w:val="23377209"/>
    <w:rsid w:val="23860B96"/>
    <w:rsid w:val="23AB4F94"/>
    <w:rsid w:val="240371BF"/>
    <w:rsid w:val="25E04F00"/>
    <w:rsid w:val="27531B58"/>
    <w:rsid w:val="27D76283"/>
    <w:rsid w:val="29FD04D3"/>
    <w:rsid w:val="2A2B511B"/>
    <w:rsid w:val="2C8A61B5"/>
    <w:rsid w:val="2DF04E50"/>
    <w:rsid w:val="2F040D46"/>
    <w:rsid w:val="2FDB53C0"/>
    <w:rsid w:val="319F7F4E"/>
    <w:rsid w:val="325946B1"/>
    <w:rsid w:val="32B211FA"/>
    <w:rsid w:val="3304709D"/>
    <w:rsid w:val="339E007A"/>
    <w:rsid w:val="349074EA"/>
    <w:rsid w:val="36AA5135"/>
    <w:rsid w:val="376D39B2"/>
    <w:rsid w:val="37E16F03"/>
    <w:rsid w:val="38D469F0"/>
    <w:rsid w:val="3C2105FF"/>
    <w:rsid w:val="3D98207C"/>
    <w:rsid w:val="3E78745D"/>
    <w:rsid w:val="41350A34"/>
    <w:rsid w:val="443D3AFC"/>
    <w:rsid w:val="4487307E"/>
    <w:rsid w:val="44E268DA"/>
    <w:rsid w:val="45B71E2A"/>
    <w:rsid w:val="46FD2564"/>
    <w:rsid w:val="478902C6"/>
    <w:rsid w:val="48104F02"/>
    <w:rsid w:val="4A0F39E7"/>
    <w:rsid w:val="4A627F82"/>
    <w:rsid w:val="4B0E749A"/>
    <w:rsid w:val="4B4F25DA"/>
    <w:rsid w:val="4B690D14"/>
    <w:rsid w:val="4BB51CA1"/>
    <w:rsid w:val="4BE068DB"/>
    <w:rsid w:val="4D577224"/>
    <w:rsid w:val="4D743088"/>
    <w:rsid w:val="4E9361D0"/>
    <w:rsid w:val="4EAB630A"/>
    <w:rsid w:val="4ECE2238"/>
    <w:rsid w:val="51010497"/>
    <w:rsid w:val="52F55543"/>
    <w:rsid w:val="537E6D0A"/>
    <w:rsid w:val="53BC2E44"/>
    <w:rsid w:val="55B24621"/>
    <w:rsid w:val="583077A8"/>
    <w:rsid w:val="58514009"/>
    <w:rsid w:val="586C6306"/>
    <w:rsid w:val="58FF44B7"/>
    <w:rsid w:val="5A270B7F"/>
    <w:rsid w:val="5AF92295"/>
    <w:rsid w:val="5CD71FC4"/>
    <w:rsid w:val="5E35548F"/>
    <w:rsid w:val="609150E6"/>
    <w:rsid w:val="61CA1D35"/>
    <w:rsid w:val="63FD6B81"/>
    <w:rsid w:val="699E714C"/>
    <w:rsid w:val="6B855C05"/>
    <w:rsid w:val="6C312569"/>
    <w:rsid w:val="6C4A05C8"/>
    <w:rsid w:val="6E7E3605"/>
    <w:rsid w:val="6FF5CC65"/>
    <w:rsid w:val="706305CE"/>
    <w:rsid w:val="715C0E4B"/>
    <w:rsid w:val="72734D90"/>
    <w:rsid w:val="72CB04CC"/>
    <w:rsid w:val="73AD73D5"/>
    <w:rsid w:val="73B6EB34"/>
    <w:rsid w:val="744731E5"/>
    <w:rsid w:val="76E3355F"/>
    <w:rsid w:val="778769C8"/>
    <w:rsid w:val="79EE5BA4"/>
    <w:rsid w:val="7A894339"/>
    <w:rsid w:val="7ACF09E3"/>
    <w:rsid w:val="7AE410C6"/>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6"/>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2"/>
    <w:basedOn w:val="7"/>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1"/>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0"/>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2"/>
    <w:qFormat/>
    <w:uiPriority w:val="9"/>
    <w:rPr>
      <w:rFonts w:ascii="Times New Roman" w:hAnsi="Times New Roman"/>
      <w:b/>
      <w:bCs/>
      <w:kern w:val="44"/>
      <w:sz w:val="44"/>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9"/>
    <w:semiHidden/>
    <w:qFormat/>
    <w:uiPriority w:val="99"/>
    <w:rPr>
      <w:rFonts w:ascii="Times New Roman" w:hAnsi="Times New Roman"/>
      <w:kern w:val="2"/>
      <w:sz w:val="18"/>
      <w:szCs w:val="18"/>
    </w:rPr>
  </w:style>
  <w:style w:type="character" w:customStyle="1" w:styleId="33">
    <w:name w:val="标题 3 字符"/>
    <w:basedOn w:val="17"/>
    <w:link w:val="4"/>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标题 1 Char"/>
    <w:basedOn w:val="17"/>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Sheet1!$B$2:$B$3</c:f>
              <c:numCache>
                <c:formatCode>General</c:formatCode>
                <c:ptCount val="2"/>
                <c:pt idx="0">
                  <c:v>585.37</c:v>
                </c:pt>
                <c:pt idx="1">
                  <c:v>585.37</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Sheet1!$C$2:$C$3</c:f>
              <c:numCache>
                <c:formatCode>General</c:formatCode>
                <c:ptCount val="2"/>
                <c:pt idx="0">
                  <c:v>659.39</c:v>
                </c:pt>
                <c:pt idx="1">
                  <c:v>659.39</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264103945"/>
        <c:axId val="258056102"/>
      </c:barChart>
      <c:catAx>
        <c:axId val="2641039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8056102"/>
        <c:crosses val="autoZero"/>
        <c:auto val="1"/>
        <c:lblAlgn val="ctr"/>
        <c:lblOffset val="100"/>
        <c:noMultiLvlLbl val="0"/>
      </c:catAx>
      <c:valAx>
        <c:axId val="25805610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10394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2</a:t>
            </a:r>
            <a:r>
              <a:rPr altLang="en-US"/>
              <a:t>：收入决算结构图</a:t>
            </a:r>
            <a:endParaRPr altLang="en-US"/>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227.75</c:v>
                </c:pt>
                <c:pt idx="1">
                  <c:v>418.1</c:v>
                </c:pt>
                <c:pt idx="2">
                  <c:v>13.53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3</a:t>
            </a:r>
            <a:r>
              <a:rPr altLang="en-US"/>
              <a:t>：支出决算结构图</a:t>
            </a:r>
            <a:endParaRPr altLang="en-US"/>
          </a:p>
        </c:rich>
      </c:tx>
      <c:layout>
        <c:manualLayout>
          <c:xMode val="edge"/>
          <c:yMode val="edge"/>
          <c:x val="0.331118627687847"/>
          <c:y val="0.0297492562685933"/>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474.12</c:v>
                </c:pt>
                <c:pt idx="1">
                  <c:v>185.27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Sheet1!$B$2:$B$3</c:f>
              <c:numCache>
                <c:formatCode>General</c:formatCode>
                <c:ptCount val="2"/>
                <c:pt idx="0">
                  <c:v>149.24</c:v>
                </c:pt>
                <c:pt idx="1">
                  <c:v>149.24</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Sheet1!$C$2:$C$3</c:f>
              <c:numCache>
                <c:formatCode>General</c:formatCode>
                <c:ptCount val="2"/>
                <c:pt idx="0">
                  <c:v>227.75</c:v>
                </c:pt>
                <c:pt idx="1">
                  <c:v>227.75</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531810288"/>
        <c:axId val="267608126"/>
      </c:barChart>
      <c:catAx>
        <c:axId val="5318102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608126"/>
        <c:crosses val="autoZero"/>
        <c:auto val="1"/>
        <c:lblAlgn val="ctr"/>
        <c:lblOffset val="100"/>
        <c:noMultiLvlLbl val="0"/>
      </c:catAx>
      <c:valAx>
        <c:axId val="2676081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81028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5</a:t>
            </a:r>
            <a:r>
              <a:rPr altLang="en-US"/>
              <a:t>：一般公共预算财政拨款支出决算变动情况</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一般公共预算财政拨款支出</c:v>
                </c:pt>
              </c:strCache>
            </c:strRef>
          </c:cat>
          <c:val>
            <c:numRef>
              <c:f>Sheet1!$B$2</c:f>
              <c:numCache>
                <c:formatCode>General</c:formatCode>
                <c:ptCount val="1"/>
                <c:pt idx="0">
                  <c:v>149.24</c:v>
                </c:pt>
              </c:numCache>
            </c:numRef>
          </c:val>
        </c:ser>
        <c:ser>
          <c:idx val="1"/>
          <c:order val="1"/>
          <c:tx>
            <c:strRef>
              <c:f>Sheet1!$C$1</c:f>
              <c:strCache>
                <c:ptCount val="1"/>
                <c:pt idx="0">
                  <c:v>2023年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一般公共预算财政拨款支出</c:v>
                </c:pt>
              </c:strCache>
            </c:strRef>
          </c:cat>
          <c:val>
            <c:numRef>
              <c:f>Sheet1!$C$2</c:f>
              <c:numCache>
                <c:formatCode>General</c:formatCode>
                <c:ptCount val="1"/>
                <c:pt idx="0">
                  <c:v>227.75</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一般公共预算财政拨款支出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966965255"/>
        <c:axId val="879552649"/>
      </c:barChart>
      <c:catAx>
        <c:axId val="9669652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9552649"/>
        <c:crosses val="autoZero"/>
        <c:auto val="1"/>
        <c:lblAlgn val="ctr"/>
        <c:lblOffset val="100"/>
        <c:noMultiLvlLbl val="0"/>
      </c:catAx>
      <c:valAx>
        <c:axId val="87955264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696525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6</a:t>
            </a:r>
            <a:r>
              <a:rPr altLang="en-US"/>
              <a:t>：一般公共预算财政拨款支出决算结构</a:t>
            </a:r>
            <a:endParaRPr altLang="en-US"/>
          </a:p>
        </c:rich>
      </c:tx>
      <c:layout>
        <c:manualLayout>
          <c:xMode val="edge"/>
          <c:yMode val="edge"/>
          <c:x val="0.158444500377548"/>
          <c:y val="0.0374741503627872"/>
        </c:manualLayout>
      </c:layout>
      <c:overlay val="0"/>
      <c:spPr>
        <a:noFill/>
        <a:ln>
          <a:noFill/>
        </a:ln>
        <a:effectLst/>
      </c:spPr>
    </c:title>
    <c:autoTitleDeleted val="0"/>
    <c:plotArea>
      <c:layout/>
      <c:pieChart>
        <c:varyColors val="1"/>
        <c:ser>
          <c:idx val="0"/>
          <c:order val="0"/>
          <c:tx>
            <c:strRef>
              <c:f>Sheet1!$B$1</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社会保障和就业支出</c:v>
                </c:pt>
                <c:pt idx="1">
                  <c:v>卫生健康支出</c:v>
                </c:pt>
              </c:strCache>
            </c:strRef>
          </c:cat>
          <c:val>
            <c:numRef>
              <c:f>Sheet1!$B$2:$B$3</c:f>
              <c:numCache>
                <c:formatCode>General</c:formatCode>
                <c:ptCount val="2"/>
                <c:pt idx="0">
                  <c:v>25</c:v>
                </c:pt>
                <c:pt idx="1">
                  <c:v>202.75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7</a:t>
            </a:r>
            <a:r>
              <a:rPr altLang="en-US"/>
              <a:t>：</a:t>
            </a:r>
            <a:r>
              <a:rPr lang="en-US" altLang="zh-CN"/>
              <a:t>“</a:t>
            </a:r>
            <a:r>
              <a:rPr altLang="en-US"/>
              <a:t>三公</a:t>
            </a:r>
            <a:r>
              <a:rPr lang="en-US" altLang="zh-CN"/>
              <a:t>”</a:t>
            </a:r>
            <a:r>
              <a:rPr altLang="en-US"/>
              <a:t>经费财政拨款支出结构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公务用车购置及运行维护支出</c:v>
                </c:pt>
                <c:pt idx="2">
                  <c:v>公务接待费支出</c:v>
                </c:pt>
              </c:strCache>
            </c:strRef>
          </c:cat>
          <c:val>
            <c:numRef>
              <c:f>Sheet1!$B$2:$B$4</c:f>
              <c:numCache>
                <c:formatCode>General</c:formatCode>
                <c:ptCount val="3"/>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5833</Words>
  <Characters>6174</Characters>
  <Lines>56</Lines>
  <Paragraphs>15</Paragraphs>
  <TotalTime>6</TotalTime>
  <ScaleCrop>false</ScaleCrop>
  <LinksUpToDate>false</LinksUpToDate>
  <CharactersWithSpaces>6205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WPS_1652357690</cp:lastModifiedBy>
  <cp:lastPrinted>2023-07-31T02:35:00Z</cp:lastPrinted>
  <dcterms:modified xsi:type="dcterms:W3CDTF">2024-09-19T06:55:54Z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A683B0ED30724B51AD6C64FBF4887DA3</vt:lpwstr>
  </property>
</Properties>
</file>