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96597"/>
      <w:bookmarkStart w:id="1" w:name="_Toc15378441"/>
      <w:bookmarkStart w:id="2" w:name="_Toc15396475"/>
      <w:bookmarkStart w:id="3" w:name="_Toc15377193"/>
      <w:bookmarkStart w:id="4" w:name="_Toc15377425"/>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3</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val="en-US" w:eastAsia="zh-CN"/>
        </w:rPr>
      </w:pPr>
      <w:bookmarkStart w:id="6" w:name="_Toc15396598"/>
      <w:bookmarkStart w:id="7" w:name="_Toc15377426"/>
      <w:bookmarkStart w:id="8" w:name="_Toc15377194"/>
      <w:bookmarkStart w:id="9" w:name="_Toc15396476"/>
      <w:bookmarkStart w:id="10" w:name="_Toc15378442"/>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val="en-US" w:eastAsia="zh-CN"/>
        </w:rPr>
        <w:t>乐至县财政局</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3"/>
      </w:pPr>
      <w:r>
        <w:rPr>
          <w:rFonts w:hint="eastAsia"/>
        </w:rPr>
        <w:t>公开时间：202</w:t>
      </w:r>
      <w:r>
        <w:rPr>
          <w:rFonts w:hint="eastAsia"/>
          <w:lang w:val="en-US" w:eastAsia="zh-CN"/>
        </w:rPr>
        <w:t>4</w:t>
      </w:r>
      <w:r>
        <w:rPr>
          <w:rFonts w:hint="eastAsia"/>
        </w:rPr>
        <w:t>年</w:t>
      </w:r>
      <w:r>
        <w:rPr>
          <w:rFonts w:hint="eastAsia"/>
          <w:lang w:val="en-US" w:eastAsia="zh-CN"/>
        </w:rPr>
        <w:t>8</w:t>
      </w:r>
      <w:r>
        <w:rPr>
          <w:rFonts w:hint="eastAsia"/>
        </w:rPr>
        <w:t>月</w:t>
      </w:r>
      <w:r>
        <w:rPr>
          <w:rFonts w:hint="eastAsia"/>
          <w:lang w:val="en-US" w:eastAsia="zh-CN"/>
        </w:rPr>
        <w:t>21</w:t>
      </w:r>
      <w:r>
        <w:rPr>
          <w:rFonts w:hint="eastAsia"/>
        </w:rPr>
        <w:t>日</w:t>
      </w:r>
    </w:p>
    <w:p/>
    <w:p>
      <w:pPr>
        <w:spacing w:before="0" w:beforeLines="0" w:after="0" w:afterLines="0" w:line="240" w:lineRule="auto"/>
        <w:ind w:left="0" w:leftChars="0" w:right="0" w:rightChars="0" w:firstLine="0" w:firstLineChars="0"/>
        <w:jc w:val="center"/>
      </w:pPr>
      <w:bookmarkStart w:id="12" w:name="_Toc25002_WPSOffice_Type2"/>
      <w:r>
        <w:rPr>
          <w:rFonts w:ascii="宋体" w:hAnsi="宋体" w:eastAsia="宋体"/>
          <w:sz w:val="21"/>
        </w:rPr>
        <w:t>目录</w:t>
      </w:r>
    </w:p>
    <w:p>
      <w:pPr>
        <w:pStyle w:val="38"/>
        <w:tabs>
          <w:tab w:val="right" w:leader="dot" w:pos="8845"/>
        </w:tabs>
      </w:pPr>
      <w:r>
        <w:rPr>
          <w:b/>
          <w:bCs/>
        </w:rPr>
        <w:fldChar w:fldCharType="begin"/>
      </w:r>
      <w:r>
        <w:instrText xml:space="preserve"> HYPERLINK \l _Toc19805_WPSOffice_Level1 </w:instrText>
      </w:r>
      <w:r>
        <w:rPr>
          <w:b/>
          <w:bCs/>
        </w:rPr>
        <w:fldChar w:fldCharType="separate"/>
      </w:r>
      <w:sdt>
        <w:sdtPr>
          <w:rPr>
            <w:rFonts w:ascii="Times New Roman" w:hAnsi="Times New Roman" w:eastAsia="宋体" w:cs="Times New Roman"/>
            <w:b/>
            <w:bCs/>
            <w:kern w:val="2"/>
            <w:sz w:val="21"/>
            <w:szCs w:val="24"/>
            <w:lang w:val="en-US" w:eastAsia="zh-CN" w:bidi="ar-SA"/>
          </w:rPr>
          <w:id w:val="147471877"/>
          <w:placeholder>
            <w:docPart w:val="{4693889a-56ff-4183-805e-2c9eeaf08c7e}"/>
          </w:placeholder>
        </w:sdtPr>
        <w:sdtEndPr>
          <w:rPr>
            <w:rFonts w:ascii="Times New Roman" w:hAnsi="Times New Roman" w:eastAsia="宋体" w:cs="Times New Roman"/>
            <w:b/>
            <w:bCs/>
            <w:kern w:val="2"/>
            <w:sz w:val="21"/>
            <w:szCs w:val="24"/>
            <w:lang w:val="en-US" w:eastAsia="zh-CN" w:bidi="ar-SA"/>
          </w:rPr>
        </w:sdtEndPr>
        <w:sdtContent>
          <w:r>
            <w:rPr>
              <w:rFonts w:hint="eastAsia" w:ascii="黑体" w:hAnsi="黑体" w:eastAsia="黑体" w:cs="Times New Roman"/>
              <w:b/>
              <w:bCs/>
            </w:rPr>
            <w:t>第一部分 部门概况</w:t>
          </w:r>
        </w:sdtContent>
      </w:sdt>
      <w:r>
        <w:rPr>
          <w:b/>
          <w:bCs/>
        </w:rPr>
        <w:tab/>
      </w:r>
      <w:bookmarkStart w:id="13" w:name="_Toc19805_WPSOffice_Level1Page"/>
      <w:r>
        <w:rPr>
          <w:b/>
          <w:bCs/>
        </w:rPr>
        <w:t>5</w:t>
      </w:r>
      <w:bookmarkEnd w:id="13"/>
      <w:r>
        <w:rPr>
          <w:b/>
          <w:bCs/>
        </w:rPr>
        <w:fldChar w:fldCharType="end"/>
      </w:r>
    </w:p>
    <w:p>
      <w:pPr>
        <w:pStyle w:val="39"/>
        <w:tabs>
          <w:tab w:val="right" w:leader="dot" w:pos="8845"/>
        </w:tabs>
      </w:pPr>
      <w:r>
        <w:fldChar w:fldCharType="begin"/>
      </w:r>
      <w:r>
        <w:instrText xml:space="preserve"> HYPERLINK \l _Toc25002_WPSOffice_Level2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1236087a-8363-4a2c-acf0-2b9b5c651728}"/>
          </w:placeholder>
        </w:sdtPr>
        <w:sdtEndPr>
          <w:rPr>
            <w:rFonts w:ascii="Times New Roman" w:hAnsi="Times New Roman" w:eastAsia="宋体" w:cs="Times New Roman"/>
            <w:kern w:val="2"/>
            <w:sz w:val="21"/>
            <w:szCs w:val="24"/>
            <w:lang w:val="en-US" w:eastAsia="zh-CN" w:bidi="ar-SA"/>
          </w:rPr>
        </w:sdtEndPr>
        <w:sdtContent>
          <w:r>
            <w:rPr>
              <w:rFonts w:hint="eastAsia" w:ascii="黑体" w:hAnsi="黑体" w:eastAsia="黑体" w:cstheme="majorBidi"/>
            </w:rPr>
            <w:t>一、 部门职责</w:t>
          </w:r>
        </w:sdtContent>
      </w:sdt>
      <w:r>
        <w:tab/>
      </w:r>
      <w:bookmarkStart w:id="14" w:name="_Toc25002_WPSOffice_Level2Page"/>
      <w:r>
        <w:t>5</w:t>
      </w:r>
      <w:bookmarkEnd w:id="14"/>
      <w:r>
        <w:fldChar w:fldCharType="end"/>
      </w:r>
    </w:p>
    <w:p>
      <w:pPr>
        <w:pStyle w:val="39"/>
        <w:tabs>
          <w:tab w:val="right" w:leader="dot" w:pos="8845"/>
        </w:tabs>
      </w:pPr>
      <w:r>
        <w:fldChar w:fldCharType="begin"/>
      </w:r>
      <w:r>
        <w:instrText xml:space="preserve"> HYPERLINK \l _Toc11228_WPSOffice_Level2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9e882b5f-810e-45b1-9753-fddd570ecfed}"/>
          </w:placeholder>
        </w:sdtPr>
        <w:sdtEndPr>
          <w:rPr>
            <w:rFonts w:ascii="Times New Roman" w:hAnsi="Times New Roman" w:eastAsia="宋体" w:cs="Times New Roman"/>
            <w:kern w:val="2"/>
            <w:sz w:val="21"/>
            <w:szCs w:val="24"/>
            <w:lang w:val="en-US" w:eastAsia="zh-CN" w:bidi="ar-SA"/>
          </w:rPr>
        </w:sdtEndPr>
        <w:sdtContent>
          <w:r>
            <w:rPr>
              <w:rFonts w:hint="eastAsia" w:ascii="黑体" w:eastAsia="黑体" w:hAnsiTheme="majorHAnsi" w:cstheme="majorBidi"/>
            </w:rPr>
            <w:t>二、</w:t>
          </w:r>
          <w:r>
            <w:rPr>
              <w:rFonts w:hint="eastAsia" w:ascii="黑体" w:hAnsi="黑体" w:eastAsia="黑体" w:cstheme="majorBidi"/>
            </w:rPr>
            <w:t>机构设置</w:t>
          </w:r>
        </w:sdtContent>
      </w:sdt>
      <w:r>
        <w:tab/>
      </w:r>
      <w:bookmarkStart w:id="15" w:name="_Toc11228_WPSOffice_Level2Page"/>
      <w:r>
        <w:t>7</w:t>
      </w:r>
      <w:bookmarkEnd w:id="15"/>
      <w:r>
        <w:fldChar w:fldCharType="end"/>
      </w:r>
    </w:p>
    <w:p>
      <w:pPr>
        <w:pStyle w:val="38"/>
        <w:tabs>
          <w:tab w:val="right" w:leader="dot" w:pos="8845"/>
        </w:tabs>
      </w:pPr>
      <w:r>
        <w:rPr>
          <w:b/>
          <w:bCs/>
        </w:rPr>
        <w:fldChar w:fldCharType="begin"/>
      </w:r>
      <w:r>
        <w:instrText xml:space="preserve"> HYPERLINK \l _Toc25002_WPSOffice_Level1 </w:instrText>
      </w:r>
      <w:r>
        <w:rPr>
          <w:b/>
          <w:bCs/>
        </w:rPr>
        <w:fldChar w:fldCharType="separate"/>
      </w:r>
      <w:sdt>
        <w:sdtPr>
          <w:rPr>
            <w:rFonts w:ascii="Times New Roman" w:hAnsi="Times New Roman" w:eastAsia="宋体" w:cs="Times New Roman"/>
            <w:b/>
            <w:bCs/>
            <w:kern w:val="2"/>
            <w:sz w:val="21"/>
            <w:szCs w:val="24"/>
            <w:lang w:val="en-US" w:eastAsia="zh-CN" w:bidi="ar-SA"/>
          </w:rPr>
          <w:id w:val="147471877"/>
          <w:placeholder>
            <w:docPart w:val="{42961840-c3da-42fb-8856-741cdd9c08e4}"/>
          </w:placeholder>
        </w:sdtPr>
        <w:sdtEndPr>
          <w:rPr>
            <w:rFonts w:ascii="Times New Roman" w:hAnsi="Times New Roman" w:eastAsia="宋体" w:cs="Times New Roman"/>
            <w:b/>
            <w:bCs/>
            <w:kern w:val="2"/>
            <w:sz w:val="21"/>
            <w:szCs w:val="24"/>
            <w:lang w:val="en-US" w:eastAsia="zh-CN" w:bidi="ar-SA"/>
          </w:rPr>
        </w:sdtEndPr>
        <w:sdtContent>
          <w:r>
            <w:rPr>
              <w:rFonts w:hint="eastAsia" w:ascii="黑体" w:hAnsi="黑体" w:eastAsia="黑体" w:cs="Times New Roman"/>
              <w:b/>
              <w:bCs/>
            </w:rPr>
            <w:t>第二部分 202</w:t>
          </w:r>
          <w:r>
            <w:rPr>
              <w:rFonts w:hint="eastAsia" w:ascii="黑体" w:hAnsi="黑体" w:eastAsia="黑体" w:cs="Times New Roman"/>
              <w:b/>
              <w:bCs/>
              <w:lang w:val="en-US" w:eastAsia="zh-CN"/>
            </w:rPr>
            <w:t>3</w:t>
          </w:r>
          <w:r>
            <w:rPr>
              <w:rFonts w:hint="eastAsia" w:ascii="黑体" w:hAnsi="黑体" w:eastAsia="黑体" w:cs="Times New Roman"/>
              <w:b/>
              <w:bCs/>
            </w:rPr>
            <w:t>年度部门决算情况说明</w:t>
          </w:r>
        </w:sdtContent>
      </w:sdt>
      <w:r>
        <w:rPr>
          <w:b/>
          <w:bCs/>
        </w:rPr>
        <w:tab/>
      </w:r>
      <w:bookmarkStart w:id="16" w:name="_Toc25002_WPSOffice_Level1Page"/>
      <w:r>
        <w:rPr>
          <w:b/>
          <w:bCs/>
        </w:rPr>
        <w:t>8</w:t>
      </w:r>
      <w:bookmarkEnd w:id="16"/>
      <w:r>
        <w:rPr>
          <w:b/>
          <w:bCs/>
        </w:rPr>
        <w:fldChar w:fldCharType="end"/>
      </w:r>
    </w:p>
    <w:p>
      <w:pPr>
        <w:pStyle w:val="39"/>
        <w:tabs>
          <w:tab w:val="right" w:leader="dot" w:pos="8845"/>
        </w:tabs>
      </w:pPr>
      <w:r>
        <w:fldChar w:fldCharType="begin"/>
      </w:r>
      <w:r>
        <w:instrText xml:space="preserve"> HYPERLINK \l _Toc13617_WPSOffice_Level2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aacd965d-640e-4977-a1c3-bf5879190f8d}"/>
          </w:placeholder>
        </w:sdtPr>
        <w:sdtEndPr>
          <w:rPr>
            <w:rFonts w:ascii="Times New Roman" w:hAnsi="Times New Roman" w:eastAsia="宋体" w:cs="Times New Roman"/>
            <w:kern w:val="2"/>
            <w:sz w:val="21"/>
            <w:szCs w:val="24"/>
            <w:lang w:val="en-US" w:eastAsia="zh-CN" w:bidi="ar-SA"/>
          </w:rPr>
        </w:sdtEndPr>
        <w:sdtContent>
          <w:r>
            <w:rPr>
              <w:rFonts w:hint="default" w:ascii="黑体" w:hAnsi="黑体" w:eastAsia="黑体" w:cstheme="majorBidi"/>
            </w:rPr>
            <w:t xml:space="preserve">一、 </w:t>
          </w:r>
          <w:r>
            <w:rPr>
              <w:rFonts w:hint="eastAsia" w:ascii="黑体" w:hAnsi="黑体" w:eastAsia="黑体" w:cs="Times New Roman"/>
            </w:rPr>
            <w:t>收</w:t>
          </w:r>
          <w:r>
            <w:rPr>
              <w:rFonts w:hint="eastAsia" w:ascii="黑体" w:hAnsi="黑体" w:eastAsia="黑体" w:cstheme="majorBidi"/>
            </w:rPr>
            <w:t>入支出决算总体情况说明</w:t>
          </w:r>
        </w:sdtContent>
      </w:sdt>
      <w:r>
        <w:tab/>
      </w:r>
      <w:bookmarkStart w:id="17" w:name="_Toc13617_WPSOffice_Level2Page"/>
      <w:r>
        <w:t>8</w:t>
      </w:r>
      <w:bookmarkEnd w:id="17"/>
      <w:r>
        <w:fldChar w:fldCharType="end"/>
      </w:r>
    </w:p>
    <w:p>
      <w:pPr>
        <w:pStyle w:val="39"/>
        <w:tabs>
          <w:tab w:val="right" w:leader="dot" w:pos="8845"/>
        </w:tabs>
      </w:pPr>
      <w:r>
        <w:fldChar w:fldCharType="begin"/>
      </w:r>
      <w:r>
        <w:instrText xml:space="preserve"> HYPERLINK \l _Toc23142_WPSOffice_Level2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b2cc3663-735f-4c09-9d53-fd560b83f860}"/>
          </w:placeholder>
        </w:sdtPr>
        <w:sdtEndPr>
          <w:rPr>
            <w:rFonts w:ascii="Times New Roman" w:hAnsi="Times New Roman" w:eastAsia="宋体" w:cs="Times New Roman"/>
            <w:kern w:val="2"/>
            <w:sz w:val="21"/>
            <w:szCs w:val="24"/>
            <w:lang w:val="en-US" w:eastAsia="zh-CN" w:bidi="ar-SA"/>
          </w:rPr>
        </w:sdtEndPr>
        <w:sdtContent>
          <w:r>
            <w:rPr>
              <w:rFonts w:hint="default" w:ascii="黑体" w:hAnsi="黑体" w:eastAsia="黑体" w:cstheme="majorBidi"/>
            </w:rPr>
            <w:t xml:space="preserve">二、 </w:t>
          </w:r>
          <w:r>
            <w:rPr>
              <w:rFonts w:hint="eastAsia" w:ascii="黑体" w:hAnsi="黑体" w:eastAsia="黑体" w:cs="Times New Roman"/>
            </w:rPr>
            <w:t>收</w:t>
          </w:r>
          <w:r>
            <w:rPr>
              <w:rFonts w:hint="eastAsia" w:ascii="黑体" w:hAnsi="黑体" w:eastAsia="黑体" w:cstheme="majorBidi"/>
            </w:rPr>
            <w:t>入决算情况说明</w:t>
          </w:r>
        </w:sdtContent>
      </w:sdt>
      <w:r>
        <w:tab/>
      </w:r>
      <w:bookmarkStart w:id="18" w:name="_Toc23142_WPSOffice_Level2Page"/>
      <w:r>
        <w:t>8</w:t>
      </w:r>
      <w:bookmarkEnd w:id="18"/>
      <w:r>
        <w:fldChar w:fldCharType="end"/>
      </w:r>
    </w:p>
    <w:p>
      <w:pPr>
        <w:pStyle w:val="39"/>
        <w:tabs>
          <w:tab w:val="right" w:leader="dot" w:pos="8845"/>
        </w:tabs>
      </w:pPr>
      <w:r>
        <w:fldChar w:fldCharType="begin"/>
      </w:r>
      <w:r>
        <w:instrText xml:space="preserve"> HYPERLINK \l _Toc31836_WPSOffice_Level2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5e267938-358c-47e8-b86c-9a4f9b7809e4}"/>
          </w:placeholder>
        </w:sdtPr>
        <w:sdtEndPr>
          <w:rPr>
            <w:rFonts w:ascii="Times New Roman" w:hAnsi="Times New Roman" w:eastAsia="宋体" w:cs="Times New Roman"/>
            <w:kern w:val="2"/>
            <w:sz w:val="21"/>
            <w:szCs w:val="24"/>
            <w:lang w:val="en-US" w:eastAsia="zh-CN" w:bidi="ar-SA"/>
          </w:rPr>
        </w:sdtEndPr>
        <w:sdtContent>
          <w:r>
            <w:rPr>
              <w:rFonts w:hint="default" w:ascii="黑体" w:hAnsi="黑体" w:eastAsia="黑体" w:cstheme="majorBidi"/>
            </w:rPr>
            <w:t xml:space="preserve">三、 </w:t>
          </w:r>
          <w:r>
            <w:rPr>
              <w:rFonts w:hint="eastAsia" w:ascii="黑体" w:hAnsi="黑体" w:eastAsia="黑体" w:cs="Times New Roman"/>
            </w:rPr>
            <w:t>支</w:t>
          </w:r>
          <w:r>
            <w:rPr>
              <w:rFonts w:hint="eastAsia" w:ascii="黑体" w:hAnsi="黑体" w:eastAsia="黑体" w:cstheme="majorBidi"/>
            </w:rPr>
            <w:t>出决算情况说明</w:t>
          </w:r>
        </w:sdtContent>
      </w:sdt>
      <w:r>
        <w:tab/>
      </w:r>
      <w:bookmarkStart w:id="19" w:name="_Toc31836_WPSOffice_Level2Page"/>
      <w:r>
        <w:t>9</w:t>
      </w:r>
      <w:bookmarkEnd w:id="19"/>
      <w:r>
        <w:fldChar w:fldCharType="end"/>
      </w:r>
    </w:p>
    <w:p>
      <w:pPr>
        <w:pStyle w:val="39"/>
        <w:tabs>
          <w:tab w:val="right" w:leader="dot" w:pos="8845"/>
        </w:tabs>
      </w:pPr>
      <w:r>
        <w:fldChar w:fldCharType="begin"/>
      </w:r>
      <w:r>
        <w:instrText xml:space="preserve"> HYPERLINK \l _Toc8747_WPSOffice_Level2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12dc97fa-cbb5-4527-b2c0-e0ad7bee9a0f}"/>
          </w:placeholder>
        </w:sdtPr>
        <w:sdtEndPr>
          <w:rPr>
            <w:rFonts w:ascii="Times New Roman" w:hAnsi="Times New Roman" w:eastAsia="宋体" w:cs="Times New Roman"/>
            <w:kern w:val="2"/>
            <w:sz w:val="21"/>
            <w:szCs w:val="24"/>
            <w:lang w:val="en-US" w:eastAsia="zh-CN" w:bidi="ar-SA"/>
          </w:rPr>
        </w:sdtEndPr>
        <w:sdtContent>
          <w:r>
            <w:rPr>
              <w:rFonts w:hint="eastAsia" w:ascii="黑体" w:hAnsi="黑体" w:eastAsia="黑体" w:cs="Times New Roman"/>
            </w:rPr>
            <w:t>四、财</w:t>
          </w:r>
          <w:r>
            <w:rPr>
              <w:rFonts w:hint="eastAsia" w:ascii="黑体" w:hAnsi="黑体" w:eastAsia="黑体" w:cstheme="majorBidi"/>
            </w:rPr>
            <w:t>政拨款收入支出决算总体情况说明</w:t>
          </w:r>
        </w:sdtContent>
      </w:sdt>
      <w:r>
        <w:tab/>
      </w:r>
      <w:bookmarkStart w:id="20" w:name="_Toc8747_WPSOffice_Level2Page"/>
      <w:r>
        <w:t>10</w:t>
      </w:r>
      <w:bookmarkEnd w:id="20"/>
      <w:r>
        <w:fldChar w:fldCharType="end"/>
      </w:r>
    </w:p>
    <w:p>
      <w:pPr>
        <w:pStyle w:val="39"/>
        <w:tabs>
          <w:tab w:val="right" w:leader="dot" w:pos="8845"/>
        </w:tabs>
      </w:pPr>
      <w:r>
        <w:fldChar w:fldCharType="begin"/>
      </w:r>
      <w:r>
        <w:instrText xml:space="preserve"> HYPERLINK \l _Toc3165_WPSOffice_Level2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72cf8caf-3eba-47c6-9d60-aeaaa0158f91}"/>
          </w:placeholder>
        </w:sdtPr>
        <w:sdtEndPr>
          <w:rPr>
            <w:rFonts w:ascii="Times New Roman" w:hAnsi="Times New Roman" w:eastAsia="宋体" w:cs="Times New Roman"/>
            <w:kern w:val="2"/>
            <w:sz w:val="21"/>
            <w:szCs w:val="24"/>
            <w:lang w:val="en-US" w:eastAsia="zh-CN" w:bidi="ar-SA"/>
          </w:rPr>
        </w:sdtEndPr>
        <w:sdtContent>
          <w:r>
            <w:rPr>
              <w:rFonts w:hint="eastAsia" w:ascii="黑体" w:hAnsi="黑体" w:eastAsia="黑体" w:cs="Times New Roman"/>
            </w:rPr>
            <w:t>五、一</w:t>
          </w:r>
          <w:r>
            <w:rPr>
              <w:rFonts w:hint="eastAsia" w:ascii="黑体" w:hAnsi="黑体" w:eastAsia="黑体" w:cstheme="majorBidi"/>
            </w:rPr>
            <w:t>般公共预算财政拨款支出决算情况说明</w:t>
          </w:r>
        </w:sdtContent>
      </w:sdt>
      <w:r>
        <w:tab/>
      </w:r>
      <w:bookmarkStart w:id="21" w:name="_Toc3165_WPSOffice_Level2Page"/>
      <w:r>
        <w:t>11</w:t>
      </w:r>
      <w:bookmarkEnd w:id="21"/>
      <w:r>
        <w:fldChar w:fldCharType="end"/>
      </w:r>
    </w:p>
    <w:p>
      <w:pPr>
        <w:pStyle w:val="39"/>
        <w:tabs>
          <w:tab w:val="right" w:leader="dot" w:pos="8845"/>
        </w:tabs>
      </w:pPr>
      <w:r>
        <w:fldChar w:fldCharType="begin"/>
      </w:r>
      <w:r>
        <w:instrText xml:space="preserve"> HYPERLINK \l _Toc32471_WPSOffice_Level2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4accee12-e89e-43a9-89ba-8a22710cb91b}"/>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六、</w:t>
          </w:r>
          <w:r>
            <w:rPr>
              <w:rFonts w:hint="eastAsia" w:ascii="黑体" w:hAnsi="黑体" w:eastAsia="黑体" w:cs="Times New Roman"/>
            </w:rPr>
            <w:t>一</w:t>
          </w:r>
          <w:r>
            <w:rPr>
              <w:rFonts w:hint="eastAsia" w:ascii="黑体" w:hAnsi="黑体" w:eastAsia="黑体" w:cstheme="majorBidi"/>
            </w:rPr>
            <w:t>般公共预算财政拨款基本支出决算情况说明</w:t>
          </w:r>
        </w:sdtContent>
      </w:sdt>
      <w:r>
        <w:tab/>
      </w:r>
      <w:bookmarkStart w:id="22" w:name="_Toc32471_WPSOffice_Level2Page"/>
      <w:r>
        <w:t>13</w:t>
      </w:r>
      <w:bookmarkEnd w:id="22"/>
      <w:r>
        <w:fldChar w:fldCharType="end"/>
      </w:r>
    </w:p>
    <w:p>
      <w:pPr>
        <w:pStyle w:val="39"/>
        <w:tabs>
          <w:tab w:val="right" w:leader="dot" w:pos="8845"/>
        </w:tabs>
      </w:pPr>
      <w:r>
        <w:fldChar w:fldCharType="begin"/>
      </w:r>
      <w:r>
        <w:instrText xml:space="preserve"> HYPERLINK \l _Toc2153_WPSOffice_Level2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77319846-d251-49eb-b777-3689c487bfb1}"/>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七、</w:t>
          </w:r>
          <w:r>
            <w:rPr>
              <w:rFonts w:hint="eastAsia" w:ascii="黑体" w:hAnsi="黑体" w:eastAsia="黑体" w:cstheme="majorBidi"/>
            </w:rPr>
            <w:t>财政拨款“三公”经费支出决算情况说明</w:t>
          </w:r>
        </w:sdtContent>
      </w:sdt>
      <w:r>
        <w:tab/>
      </w:r>
      <w:bookmarkStart w:id="23" w:name="_Toc2153_WPSOffice_Level2Page"/>
      <w:r>
        <w:t>14</w:t>
      </w:r>
      <w:bookmarkEnd w:id="23"/>
      <w:r>
        <w:fldChar w:fldCharType="end"/>
      </w:r>
    </w:p>
    <w:p>
      <w:pPr>
        <w:pStyle w:val="39"/>
        <w:tabs>
          <w:tab w:val="right" w:leader="dot" w:pos="8845"/>
        </w:tabs>
      </w:pPr>
      <w:r>
        <w:fldChar w:fldCharType="begin"/>
      </w:r>
      <w:r>
        <w:instrText xml:space="preserve"> HYPERLINK \l _Toc11293_WPSOffice_Level2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ba5d8a11-57dd-4137-9495-cb47d5de1a48}"/>
          </w:placeholder>
        </w:sdtPr>
        <w:sdtEndPr>
          <w:rPr>
            <w:rFonts w:ascii="Times New Roman" w:hAnsi="Times New Roman" w:eastAsia="宋体" w:cs="Times New Roman"/>
            <w:kern w:val="2"/>
            <w:sz w:val="21"/>
            <w:szCs w:val="24"/>
            <w:lang w:val="en-US" w:eastAsia="zh-CN" w:bidi="ar-SA"/>
          </w:rPr>
        </w:sdtEndPr>
        <w:sdtContent>
          <w:r>
            <w:rPr>
              <w:rFonts w:hint="eastAsia" w:ascii="黑体" w:hAnsi="Times New Roman" w:eastAsia="黑体" w:cs="Times New Roman"/>
            </w:rPr>
            <w:t>八、</w:t>
          </w:r>
          <w:r>
            <w:rPr>
              <w:rFonts w:hint="eastAsia" w:ascii="黑体" w:hAnsi="黑体" w:eastAsia="黑体" w:cstheme="majorBidi"/>
            </w:rPr>
            <w:t>政府性基金预算支出决算情况说明</w:t>
          </w:r>
        </w:sdtContent>
      </w:sdt>
      <w:r>
        <w:tab/>
      </w:r>
      <w:bookmarkStart w:id="24" w:name="_Toc11293_WPSOffice_Level2Page"/>
      <w:r>
        <w:t>16</w:t>
      </w:r>
      <w:bookmarkEnd w:id="24"/>
      <w:r>
        <w:fldChar w:fldCharType="end"/>
      </w:r>
    </w:p>
    <w:p>
      <w:pPr>
        <w:pStyle w:val="39"/>
        <w:tabs>
          <w:tab w:val="right" w:leader="dot" w:pos="8845"/>
        </w:tabs>
      </w:pPr>
      <w:r>
        <w:fldChar w:fldCharType="begin"/>
      </w:r>
      <w:r>
        <w:instrText xml:space="preserve"> HYPERLINK \l _Toc5492_WPSOffice_Level2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6daae8d8-2500-4d2b-807d-503d8c12bef5}"/>
          </w:placeholder>
        </w:sdtPr>
        <w:sdtEndPr>
          <w:rPr>
            <w:rFonts w:ascii="Times New Roman" w:hAnsi="Times New Roman" w:eastAsia="宋体" w:cs="Times New Roman"/>
            <w:kern w:val="2"/>
            <w:sz w:val="21"/>
            <w:szCs w:val="24"/>
            <w:lang w:val="en-US" w:eastAsia="zh-CN" w:bidi="ar-SA"/>
          </w:rPr>
        </w:sdtEndPr>
        <w:sdtContent>
          <w:r>
            <w:rPr>
              <w:rFonts w:hint="eastAsia" w:ascii="黑体" w:hAnsi="黑体" w:eastAsia="黑体" w:cstheme="majorBidi"/>
            </w:rPr>
            <w:t>九、 国有资本经营预算支出决算情况说明</w:t>
          </w:r>
        </w:sdtContent>
      </w:sdt>
      <w:r>
        <w:tab/>
      </w:r>
      <w:bookmarkStart w:id="25" w:name="_Toc5492_WPSOffice_Level2Page"/>
      <w:r>
        <w:t>16</w:t>
      </w:r>
      <w:bookmarkEnd w:id="25"/>
      <w:r>
        <w:fldChar w:fldCharType="end"/>
      </w:r>
    </w:p>
    <w:p>
      <w:pPr>
        <w:pStyle w:val="39"/>
        <w:tabs>
          <w:tab w:val="right" w:leader="dot" w:pos="8845"/>
        </w:tabs>
      </w:pPr>
      <w:r>
        <w:fldChar w:fldCharType="begin"/>
      </w:r>
      <w:r>
        <w:instrText xml:space="preserve"> HYPERLINK \l _Toc23303_WPSOffice_Level2 </w:instrText>
      </w:r>
      <w:r>
        <w:fldChar w:fldCharType="separate"/>
      </w:r>
      <w:sdt>
        <w:sdtPr>
          <w:rPr>
            <w:rFonts w:ascii="Times New Roman" w:hAnsi="Times New Roman" w:eastAsia="宋体" w:cs="Times New Roman"/>
            <w:kern w:val="2"/>
            <w:sz w:val="21"/>
            <w:szCs w:val="24"/>
            <w:lang w:val="en-US" w:eastAsia="zh-CN" w:bidi="ar-SA"/>
          </w:rPr>
          <w:id w:val="147471877"/>
          <w:placeholder>
            <w:docPart w:val="{3026548e-6916-48d1-80df-1500fff68aa2}"/>
          </w:placeholder>
        </w:sdtPr>
        <w:sdtEndPr>
          <w:rPr>
            <w:rFonts w:ascii="Times New Roman" w:hAnsi="Times New Roman" w:eastAsia="宋体" w:cs="Times New Roman"/>
            <w:kern w:val="2"/>
            <w:sz w:val="21"/>
            <w:szCs w:val="24"/>
            <w:lang w:val="en-US" w:eastAsia="zh-CN" w:bidi="ar-SA"/>
          </w:rPr>
        </w:sdtEndPr>
        <w:sdtContent>
          <w:r>
            <w:rPr>
              <w:rFonts w:hint="eastAsia" w:ascii="黑体" w:hAnsi="黑体" w:eastAsia="黑体" w:cstheme="majorBidi"/>
            </w:rPr>
            <w:t>十、 其他重要事项的情况说明</w:t>
          </w:r>
        </w:sdtContent>
      </w:sdt>
      <w:r>
        <w:tab/>
      </w:r>
      <w:bookmarkStart w:id="26" w:name="_Toc23303_WPSOffice_Level2Page"/>
      <w:r>
        <w:t>16</w:t>
      </w:r>
      <w:bookmarkEnd w:id="26"/>
      <w:r>
        <w:fldChar w:fldCharType="end"/>
      </w:r>
    </w:p>
    <w:p>
      <w:pPr>
        <w:pStyle w:val="38"/>
        <w:tabs>
          <w:tab w:val="right" w:leader="dot" w:pos="8845"/>
        </w:tabs>
      </w:pPr>
      <w:r>
        <w:rPr>
          <w:b/>
          <w:bCs/>
        </w:rPr>
        <w:fldChar w:fldCharType="begin"/>
      </w:r>
      <w:r>
        <w:instrText xml:space="preserve"> HYPERLINK \l _Toc11228_WPSOffice_Level1 </w:instrText>
      </w:r>
      <w:r>
        <w:rPr>
          <w:b/>
          <w:bCs/>
        </w:rPr>
        <w:fldChar w:fldCharType="separate"/>
      </w:r>
      <w:sdt>
        <w:sdtPr>
          <w:rPr>
            <w:rFonts w:ascii="Times New Roman" w:hAnsi="Times New Roman" w:eastAsia="宋体" w:cs="Times New Roman"/>
            <w:b/>
            <w:bCs/>
            <w:kern w:val="2"/>
            <w:sz w:val="21"/>
            <w:szCs w:val="24"/>
            <w:lang w:val="en-US" w:eastAsia="zh-CN" w:bidi="ar-SA"/>
          </w:rPr>
          <w:id w:val="147471877"/>
          <w:placeholder>
            <w:docPart w:val="{1470151c-a3c8-49c4-a1ac-86877d7cde7f}"/>
          </w:placeholder>
        </w:sdtPr>
        <w:sdtEndPr>
          <w:rPr>
            <w:rFonts w:ascii="Times New Roman" w:hAnsi="Times New Roman" w:eastAsia="宋体" w:cs="Times New Roman"/>
            <w:b/>
            <w:bCs/>
            <w:kern w:val="2"/>
            <w:sz w:val="21"/>
            <w:szCs w:val="24"/>
            <w:lang w:val="en-US" w:eastAsia="zh-CN" w:bidi="ar-SA"/>
          </w:rPr>
        </w:sdtEndPr>
        <w:sdtContent>
          <w:r>
            <w:rPr>
              <w:rFonts w:hint="eastAsia" w:ascii="黑体" w:hAnsi="黑体" w:eastAsia="黑体" w:cs="Times New Roman"/>
              <w:b/>
              <w:bCs/>
            </w:rPr>
            <w:t>第三部分 名词解释</w:t>
          </w:r>
        </w:sdtContent>
      </w:sdt>
      <w:r>
        <w:rPr>
          <w:b/>
          <w:bCs/>
        </w:rPr>
        <w:tab/>
      </w:r>
      <w:bookmarkStart w:id="27" w:name="_Toc11228_WPSOffice_Level1Page"/>
      <w:r>
        <w:rPr>
          <w:b/>
          <w:bCs/>
        </w:rPr>
        <w:t>18</w:t>
      </w:r>
      <w:bookmarkEnd w:id="27"/>
      <w:r>
        <w:rPr>
          <w:b/>
          <w:bCs/>
        </w:rPr>
        <w:fldChar w:fldCharType="end"/>
      </w:r>
    </w:p>
    <w:p>
      <w:pPr>
        <w:pStyle w:val="38"/>
        <w:tabs>
          <w:tab w:val="right" w:leader="dot" w:pos="8845"/>
        </w:tabs>
      </w:pPr>
      <w:r>
        <w:rPr>
          <w:b/>
          <w:bCs/>
        </w:rPr>
        <w:fldChar w:fldCharType="begin"/>
      </w:r>
      <w:r>
        <w:instrText xml:space="preserve"> HYPERLINK \l _Toc13617_WPSOffice_Level1 </w:instrText>
      </w:r>
      <w:r>
        <w:rPr>
          <w:b/>
          <w:bCs/>
        </w:rPr>
        <w:fldChar w:fldCharType="separate"/>
      </w:r>
      <w:sdt>
        <w:sdtPr>
          <w:rPr>
            <w:rFonts w:ascii="Times New Roman" w:hAnsi="Times New Roman" w:eastAsia="宋体" w:cs="Times New Roman"/>
            <w:b/>
            <w:bCs/>
            <w:kern w:val="2"/>
            <w:sz w:val="21"/>
            <w:szCs w:val="24"/>
            <w:lang w:val="en-US" w:eastAsia="zh-CN" w:bidi="ar-SA"/>
          </w:rPr>
          <w:id w:val="147471877"/>
          <w:placeholder>
            <w:docPart w:val="{7fa4a8a2-e50b-43ae-9c06-fc941ff758e5}"/>
          </w:placeholder>
        </w:sdtPr>
        <w:sdtEndPr>
          <w:rPr>
            <w:rFonts w:ascii="Times New Roman" w:hAnsi="Times New Roman" w:eastAsia="宋体" w:cs="Times New Roman"/>
            <w:b/>
            <w:bCs/>
            <w:kern w:val="2"/>
            <w:sz w:val="21"/>
            <w:szCs w:val="24"/>
            <w:lang w:val="en-US" w:eastAsia="zh-CN" w:bidi="ar-SA"/>
          </w:rPr>
        </w:sdtEndPr>
        <w:sdtContent>
          <w:r>
            <w:rPr>
              <w:rFonts w:hint="eastAsia" w:ascii="黑体" w:hAnsi="黑体" w:eastAsia="黑体" w:cs="Times New Roman"/>
              <w:b/>
              <w:bCs/>
            </w:rPr>
            <w:t>第四部分 附件</w:t>
          </w:r>
        </w:sdtContent>
      </w:sdt>
      <w:r>
        <w:rPr>
          <w:b/>
          <w:bCs/>
        </w:rPr>
        <w:tab/>
      </w:r>
      <w:bookmarkStart w:id="28" w:name="_Toc13617_WPSOffice_Level1Page"/>
      <w:r>
        <w:rPr>
          <w:b/>
          <w:bCs/>
        </w:rPr>
        <w:t>21</w:t>
      </w:r>
      <w:bookmarkEnd w:id="28"/>
      <w:r>
        <w:rPr>
          <w:b/>
          <w:bCs/>
        </w:rPr>
        <w:fldChar w:fldCharType="end"/>
      </w:r>
    </w:p>
    <w:p>
      <w:pPr>
        <w:pStyle w:val="38"/>
        <w:tabs>
          <w:tab w:val="right" w:leader="dot" w:pos="8845"/>
        </w:tabs>
      </w:pPr>
      <w:r>
        <w:rPr>
          <w:b/>
          <w:bCs/>
        </w:rPr>
        <w:fldChar w:fldCharType="begin"/>
      </w:r>
      <w:r>
        <w:instrText xml:space="preserve"> HYPERLINK \l _Toc23142_WPSOffice_Level1 </w:instrText>
      </w:r>
      <w:r>
        <w:rPr>
          <w:b/>
          <w:bCs/>
        </w:rPr>
        <w:fldChar w:fldCharType="separate"/>
      </w:r>
      <w:sdt>
        <w:sdtPr>
          <w:rPr>
            <w:rFonts w:ascii="Times New Roman" w:hAnsi="Times New Roman" w:eastAsia="宋体" w:cs="Times New Roman"/>
            <w:b/>
            <w:bCs/>
            <w:kern w:val="2"/>
            <w:sz w:val="21"/>
            <w:szCs w:val="24"/>
            <w:lang w:val="en-US" w:eastAsia="zh-CN" w:bidi="ar-SA"/>
          </w:rPr>
          <w:id w:val="147471877"/>
          <w:placeholder>
            <w:docPart w:val="{5e4176d6-bd7e-4001-999f-4f4d047f5400}"/>
          </w:placeholder>
        </w:sdtPr>
        <w:sdtEndPr>
          <w:rPr>
            <w:rFonts w:ascii="Times New Roman" w:hAnsi="Times New Roman" w:eastAsia="宋体" w:cs="Times New Roman"/>
            <w:b/>
            <w:bCs/>
            <w:kern w:val="2"/>
            <w:sz w:val="21"/>
            <w:szCs w:val="24"/>
            <w:lang w:val="en-US" w:eastAsia="zh-CN" w:bidi="ar-SA"/>
          </w:rPr>
        </w:sdtEndPr>
        <w:sdtContent>
          <w:r>
            <w:rPr>
              <w:rFonts w:hint="eastAsia" w:ascii="黑体" w:hAnsi="黑体" w:eastAsia="黑体" w:cs="Times New Roman"/>
              <w:b/>
              <w:bCs/>
            </w:rPr>
            <w:t>第五部分 附表</w:t>
          </w:r>
        </w:sdtContent>
      </w:sdt>
      <w:r>
        <w:rPr>
          <w:b/>
          <w:bCs/>
        </w:rPr>
        <w:tab/>
      </w:r>
      <w:bookmarkStart w:id="29" w:name="_Toc23142_WPSOffice_Level1Page"/>
      <w:r>
        <w:rPr>
          <w:b/>
          <w:bCs/>
        </w:rPr>
        <w:t>1</w:t>
      </w:r>
      <w:bookmarkEnd w:id="29"/>
      <w:r>
        <w:rPr>
          <w:b/>
          <w:bCs/>
        </w:rPr>
        <w:fldChar w:fldCharType="end"/>
      </w:r>
      <w:bookmarkEnd w:id="12"/>
    </w:p>
    <w:p>
      <w:pPr>
        <w:pStyle w:val="14"/>
        <w:adjustRightInd w:val="0"/>
        <w:snapToGrid w:val="0"/>
        <w:spacing w:line="440" w:lineRule="exact"/>
        <w:jc w:val="left"/>
        <w:rPr>
          <w:sz w:val="24"/>
        </w:rPr>
      </w:pPr>
      <w:r>
        <w:rPr>
          <w:rFonts w:hint="eastAsia"/>
          <w:sz w:val="24"/>
        </w:rPr>
        <w:t>一、收入支出决算总表</w:t>
      </w:r>
    </w:p>
    <w:p>
      <w:pPr>
        <w:pStyle w:val="14"/>
        <w:adjustRightInd w:val="0"/>
        <w:snapToGrid w:val="0"/>
        <w:spacing w:line="440" w:lineRule="exact"/>
        <w:jc w:val="left"/>
        <w:rPr>
          <w:sz w:val="24"/>
        </w:rPr>
      </w:pPr>
      <w:r>
        <w:rPr>
          <w:rFonts w:hint="eastAsia"/>
          <w:sz w:val="24"/>
        </w:rPr>
        <w:t>二、收入决算表</w:t>
      </w:r>
    </w:p>
    <w:p>
      <w:pPr>
        <w:pStyle w:val="14"/>
        <w:adjustRightInd w:val="0"/>
        <w:snapToGrid w:val="0"/>
        <w:spacing w:line="440" w:lineRule="exact"/>
        <w:jc w:val="left"/>
        <w:rPr>
          <w:sz w:val="24"/>
        </w:rPr>
      </w:pPr>
      <w:r>
        <w:rPr>
          <w:rFonts w:hint="eastAsia"/>
          <w:sz w:val="24"/>
        </w:rPr>
        <w:t>三、支出决算表</w:t>
      </w:r>
    </w:p>
    <w:p>
      <w:pPr>
        <w:pStyle w:val="14"/>
        <w:adjustRightInd w:val="0"/>
        <w:snapToGrid w:val="0"/>
        <w:spacing w:line="440" w:lineRule="exact"/>
        <w:jc w:val="left"/>
        <w:rPr>
          <w:sz w:val="24"/>
        </w:rPr>
      </w:pPr>
      <w:r>
        <w:rPr>
          <w:rFonts w:hint="eastAsia"/>
          <w:sz w:val="24"/>
        </w:rPr>
        <w:t>四、财政拨款收入支出决算总表</w:t>
      </w:r>
    </w:p>
    <w:p>
      <w:pPr>
        <w:pStyle w:val="14"/>
        <w:adjustRightInd w:val="0"/>
        <w:snapToGrid w:val="0"/>
        <w:spacing w:line="440" w:lineRule="exact"/>
        <w:jc w:val="left"/>
        <w:rPr>
          <w:sz w:val="24"/>
        </w:rPr>
      </w:pPr>
      <w:r>
        <w:rPr>
          <w:rFonts w:hint="eastAsia"/>
          <w:sz w:val="24"/>
        </w:rPr>
        <w:t>五、财政拨款支出决算明细表</w:t>
      </w:r>
    </w:p>
    <w:p>
      <w:pPr>
        <w:pStyle w:val="14"/>
        <w:adjustRightInd w:val="0"/>
        <w:snapToGrid w:val="0"/>
        <w:spacing w:line="440" w:lineRule="exact"/>
        <w:jc w:val="left"/>
        <w:rPr>
          <w:sz w:val="24"/>
        </w:rPr>
      </w:pPr>
      <w:r>
        <w:rPr>
          <w:rFonts w:hint="eastAsia"/>
          <w:sz w:val="24"/>
        </w:rPr>
        <w:t>六、一般公共预算财政拨款支出决算表</w:t>
      </w:r>
    </w:p>
    <w:p>
      <w:pPr>
        <w:pStyle w:val="14"/>
        <w:adjustRightInd w:val="0"/>
        <w:snapToGrid w:val="0"/>
        <w:spacing w:line="440" w:lineRule="exact"/>
        <w:jc w:val="left"/>
        <w:rPr>
          <w:sz w:val="24"/>
        </w:rPr>
      </w:pPr>
      <w:r>
        <w:rPr>
          <w:rFonts w:hint="eastAsia"/>
          <w:sz w:val="24"/>
        </w:rPr>
        <w:t>七、一般公共预算财政拨款支出决算明细表</w:t>
      </w:r>
    </w:p>
    <w:p>
      <w:pPr>
        <w:pStyle w:val="14"/>
        <w:adjustRightInd w:val="0"/>
        <w:snapToGrid w:val="0"/>
        <w:spacing w:line="440" w:lineRule="exact"/>
        <w:jc w:val="left"/>
        <w:rPr>
          <w:sz w:val="24"/>
        </w:rPr>
      </w:pPr>
      <w:r>
        <w:rPr>
          <w:rFonts w:hint="eastAsia"/>
          <w:sz w:val="24"/>
        </w:rPr>
        <w:t>八、一般公共预算财政拨款基本支出决算明细表</w:t>
      </w:r>
    </w:p>
    <w:p>
      <w:pPr>
        <w:pStyle w:val="14"/>
        <w:adjustRightInd w:val="0"/>
        <w:snapToGrid w:val="0"/>
        <w:spacing w:line="440" w:lineRule="exact"/>
        <w:jc w:val="left"/>
        <w:rPr>
          <w:sz w:val="24"/>
        </w:rPr>
      </w:pPr>
      <w:r>
        <w:rPr>
          <w:rFonts w:hint="eastAsia"/>
          <w:sz w:val="24"/>
        </w:rPr>
        <w:t>九、一般公共预算财政拨款项目支出决算表</w:t>
      </w:r>
    </w:p>
    <w:p>
      <w:pPr>
        <w:pStyle w:val="14"/>
        <w:adjustRightInd w:val="0"/>
        <w:snapToGrid w:val="0"/>
        <w:spacing w:line="440" w:lineRule="exact"/>
        <w:jc w:val="left"/>
        <w:rPr>
          <w:sz w:val="24"/>
        </w:rPr>
      </w:pPr>
      <w:r>
        <w:rPr>
          <w:rFonts w:hint="eastAsia"/>
          <w:sz w:val="24"/>
        </w:rPr>
        <w:t>十、政府性基金预算财政拨款收入支出决算表</w:t>
      </w:r>
    </w:p>
    <w:p>
      <w:pPr>
        <w:pStyle w:val="14"/>
        <w:adjustRightInd w:val="0"/>
        <w:snapToGrid w:val="0"/>
        <w:spacing w:line="440" w:lineRule="exact"/>
        <w:jc w:val="left"/>
        <w:rPr>
          <w:sz w:val="24"/>
        </w:rPr>
      </w:pPr>
      <w:r>
        <w:rPr>
          <w:rFonts w:hint="eastAsia"/>
          <w:sz w:val="24"/>
        </w:rPr>
        <w:t>十一、国有资本经营预算财政拨款收入支出决算表</w:t>
      </w:r>
    </w:p>
    <w:p>
      <w:pPr>
        <w:pStyle w:val="14"/>
        <w:adjustRightInd w:val="0"/>
        <w:snapToGrid w:val="0"/>
        <w:spacing w:line="440" w:lineRule="exact"/>
        <w:jc w:val="left"/>
        <w:rPr>
          <w:sz w:val="24"/>
        </w:rPr>
      </w:pPr>
      <w:r>
        <w:rPr>
          <w:rFonts w:hint="eastAsia"/>
          <w:sz w:val="24"/>
        </w:rPr>
        <w:t>十二、国有资本经营预算财政拨款支出决算表</w:t>
      </w:r>
    </w:p>
    <w:p>
      <w:pPr>
        <w:pStyle w:val="14"/>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pPr>
        <w:widowControl/>
        <w:spacing w:line="440" w:lineRule="exact"/>
        <w:jc w:val="left"/>
        <w:rPr>
          <w:rFonts w:ascii="仿宋" w:hAnsi="仿宋" w:eastAsia="仿宋"/>
          <w:bCs/>
          <w:kern w:val="44"/>
          <w:sz w:val="24"/>
        </w:rPr>
      </w:pPr>
      <w:bookmarkStart w:id="30" w:name="_Toc15377196"/>
      <w:bookmarkStart w:id="31" w:name="_Toc15396599"/>
      <w:r>
        <w:rPr>
          <w:rFonts w:ascii="仿宋" w:hAnsi="仿宋" w:eastAsia="仿宋"/>
          <w:b/>
          <w:sz w:val="24"/>
        </w:rPr>
        <w:br w:type="page"/>
      </w:r>
    </w:p>
    <w:p>
      <w:pPr>
        <w:pStyle w:val="3"/>
        <w:jc w:val="center"/>
        <w:rPr>
          <w:rStyle w:val="31"/>
          <w:rFonts w:ascii="黑体" w:hAnsi="黑体" w:eastAsia="黑体"/>
          <w:b/>
          <w:bCs w:val="0"/>
        </w:rPr>
      </w:pPr>
      <w:bookmarkStart w:id="32" w:name="_Toc19805_WPSOffice_Level1"/>
      <w:r>
        <w:rPr>
          <w:rFonts w:hint="eastAsia" w:ascii="黑体" w:hAnsi="黑体" w:eastAsia="黑体"/>
          <w:b w:val="0"/>
        </w:rPr>
        <w:t xml:space="preserve">第一部分 </w:t>
      </w:r>
      <w:r>
        <w:rPr>
          <w:rStyle w:val="31"/>
          <w:rFonts w:hint="eastAsia" w:ascii="黑体" w:hAnsi="黑体" w:eastAsia="黑体"/>
          <w:b w:val="0"/>
          <w:bCs w:val="0"/>
        </w:rPr>
        <w:t>部门概况</w:t>
      </w:r>
      <w:bookmarkEnd w:id="30"/>
      <w:bookmarkEnd w:id="31"/>
      <w:bookmarkEnd w:id="32"/>
    </w:p>
    <w:p>
      <w:pPr>
        <w:widowControl/>
        <w:jc w:val="left"/>
        <w:rPr>
          <w:rFonts w:ascii="黑体" w:eastAsia="黑体"/>
          <w:sz w:val="32"/>
          <w:szCs w:val="32"/>
        </w:rPr>
      </w:pPr>
    </w:p>
    <w:p>
      <w:pPr>
        <w:pStyle w:val="4"/>
        <w:numPr>
          <w:ilvl w:val="0"/>
          <w:numId w:val="1"/>
        </w:numPr>
        <w:rPr>
          <w:rFonts w:hint="eastAsia" w:ascii="黑体" w:hAnsi="黑体" w:eastAsia="黑体"/>
          <w:b w:val="0"/>
        </w:rPr>
      </w:pPr>
      <w:bookmarkStart w:id="33" w:name="_Toc25002_WPSOffice_Level2"/>
      <w:r>
        <w:rPr>
          <w:rFonts w:hint="eastAsia" w:ascii="黑体" w:hAnsi="黑体" w:eastAsia="黑体"/>
          <w:b w:val="0"/>
        </w:rPr>
        <w:t>部门职责</w:t>
      </w:r>
      <w:bookmarkEnd w:id="33"/>
    </w:p>
    <w:p>
      <w:pPr>
        <w:pStyle w:val="7"/>
        <w:adjustRightInd w:val="0"/>
        <w:snapToGrid w:val="0"/>
        <w:spacing w:before="93" w:line="600" w:lineRule="exact"/>
        <w:ind w:firstLine="672" w:firstLineChars="210"/>
        <w:outlineLvl w:val="2"/>
        <w:rPr>
          <w:rFonts w:ascii="Times New Roman" w:eastAsia="仿宋"/>
          <w:bCs/>
          <w:i/>
          <w:sz w:val="32"/>
          <w:szCs w:val="32"/>
          <w:highlight w:val="yellow"/>
        </w:rPr>
      </w:pPr>
      <w:bookmarkStart w:id="34" w:name="_Toc15377198"/>
      <w:bookmarkStart w:id="35" w:name="_Toc15378445"/>
      <w:r>
        <w:rPr>
          <w:rFonts w:ascii="Times New Roman" w:eastAsia="仿宋"/>
          <w:bCs/>
          <w:color w:val="000000"/>
          <w:sz w:val="32"/>
          <w:szCs w:val="32"/>
        </w:rPr>
        <w:t>（一）主要职能。</w:t>
      </w:r>
      <w:bookmarkEnd w:id="34"/>
      <w:bookmarkEnd w:id="35"/>
    </w:p>
    <w:p>
      <w:pPr>
        <w:ind w:firstLine="630"/>
        <w:rPr>
          <w:rFonts w:ascii="仿宋_GB2312" w:eastAsia="仿宋_GB2312"/>
          <w:color w:val="000000"/>
          <w:sz w:val="32"/>
          <w:szCs w:val="32"/>
        </w:rPr>
      </w:pPr>
      <w:r>
        <w:rPr>
          <w:rFonts w:hint="eastAsia" w:ascii="仿宋_GB2312" w:eastAsia="仿宋_GB2312"/>
          <w:color w:val="000000"/>
          <w:sz w:val="32"/>
          <w:szCs w:val="32"/>
        </w:rPr>
        <w:t>(1) 拟订全县财税发展战略、规划、政策和改革方案并组织实施。分析预测宏观经济形势，参与制定各项经济政策，提出运用财税政策实施宏观调控和综合平衡社会财力的建议。拟订县和乡镇、政府与企业的分配政策，完善鼓励公益事业发展的财税政策。</w:t>
      </w:r>
    </w:p>
    <w:p>
      <w:pPr>
        <w:ind w:firstLine="630"/>
        <w:rPr>
          <w:rFonts w:ascii="仿宋_GB2312" w:eastAsia="仿宋_GB2312"/>
          <w:color w:val="000000"/>
          <w:sz w:val="32"/>
          <w:szCs w:val="32"/>
        </w:rPr>
      </w:pPr>
      <w:r>
        <w:rPr>
          <w:rFonts w:hint="eastAsia" w:ascii="仿宋_GB2312" w:eastAsia="仿宋_GB2312"/>
          <w:color w:val="000000"/>
          <w:sz w:val="32"/>
          <w:szCs w:val="32"/>
        </w:rPr>
        <w:t>(2) 贯彻执行财政、税收、财务、会计管理的法律法规和规章。拟订全县财税管理的规范性文件及有关政策并组织实施。按照管理权限管理全县税政事项。</w:t>
      </w:r>
    </w:p>
    <w:p>
      <w:pPr>
        <w:ind w:firstLine="630"/>
        <w:rPr>
          <w:rFonts w:ascii="仿宋_GB2312" w:eastAsia="仿宋_GB2312"/>
          <w:color w:val="000000"/>
          <w:sz w:val="32"/>
          <w:szCs w:val="32"/>
        </w:rPr>
      </w:pPr>
      <w:r>
        <w:rPr>
          <w:rFonts w:hint="eastAsia" w:ascii="仿宋_GB2312" w:eastAsia="仿宋_GB2312"/>
          <w:color w:val="000000"/>
          <w:sz w:val="32"/>
          <w:szCs w:val="32"/>
        </w:rPr>
        <w:t>(3) 负责管理县级各项财政收支，指导监督乡镇财政收支。编制年度县级预决算草案并组织执行。组织制定经费开支标准、定额，审核批复县级部门（单位）年度预决算。受县政府委托，向县人大及其常委会报告财政预算、执行和决算等情况。负责县级预决算公开，指导监督乡镇财政预、决算编制、执行。负责全面实施预算绩效管理。</w:t>
      </w:r>
    </w:p>
    <w:p>
      <w:pPr>
        <w:ind w:firstLine="630"/>
        <w:rPr>
          <w:rFonts w:ascii="仿宋_GB2312" w:eastAsia="仿宋_GB2312"/>
          <w:color w:val="000000"/>
          <w:sz w:val="32"/>
          <w:szCs w:val="32"/>
        </w:rPr>
      </w:pPr>
      <w:r>
        <w:rPr>
          <w:rFonts w:hint="eastAsia" w:ascii="仿宋_GB2312" w:eastAsia="仿宋_GB2312"/>
          <w:color w:val="000000"/>
          <w:sz w:val="32"/>
          <w:szCs w:val="32"/>
        </w:rPr>
        <w:t>(4) 按分工负责政府非税收入管理。负责政府性基金管理，按规定管理行政事业性收费等其他非税收入。管理财政票据。按规定管理彩票公益金。</w:t>
      </w:r>
    </w:p>
    <w:p>
      <w:pPr>
        <w:ind w:firstLine="630"/>
        <w:rPr>
          <w:rFonts w:ascii="仿宋_GB2312" w:eastAsia="仿宋_GB2312"/>
          <w:color w:val="000000"/>
          <w:sz w:val="32"/>
          <w:szCs w:val="32"/>
        </w:rPr>
      </w:pPr>
      <w:r>
        <w:rPr>
          <w:rFonts w:hint="eastAsia" w:ascii="仿宋_GB2312" w:eastAsia="仿宋_GB2312"/>
          <w:color w:val="000000"/>
          <w:sz w:val="32"/>
          <w:szCs w:val="32"/>
        </w:rPr>
        <w:t>(5) 组织制定全县国库管理制度、国库集中收付制度，指导和监督国库业务，开展国库现金管理工作。贯彻执行政府财务报告编制办法。贯彻执行政府采购制度和政策，制定具体管理办法并监督管理。</w:t>
      </w:r>
    </w:p>
    <w:p>
      <w:pPr>
        <w:ind w:firstLine="630"/>
        <w:rPr>
          <w:rFonts w:ascii="仿宋_GB2312" w:eastAsia="仿宋_GB2312"/>
          <w:color w:val="000000"/>
          <w:sz w:val="32"/>
          <w:szCs w:val="32"/>
        </w:rPr>
      </w:pPr>
      <w:r>
        <w:rPr>
          <w:rFonts w:hint="eastAsia" w:ascii="仿宋_GB2312" w:eastAsia="仿宋_GB2312"/>
          <w:color w:val="000000"/>
          <w:sz w:val="32"/>
          <w:szCs w:val="32"/>
        </w:rPr>
        <w:t>(6) 贯彻执行地方政府债务管理制度和政策，制定具体管理办法。按规定负责地方政府债券使用、管理和监督，统一管理全县政府外债，管理外国政府和国际金融机构贷（赠）款，防范财政风险。参与财经领域的国际交流与合作。</w:t>
      </w:r>
    </w:p>
    <w:p>
      <w:pPr>
        <w:ind w:firstLine="630"/>
        <w:rPr>
          <w:rFonts w:ascii="仿宋_GB2312" w:eastAsia="仿宋_GB2312"/>
          <w:color w:val="000000"/>
          <w:sz w:val="32"/>
          <w:szCs w:val="32"/>
        </w:rPr>
      </w:pPr>
      <w:r>
        <w:rPr>
          <w:rFonts w:hint="eastAsia" w:ascii="仿宋_GB2312" w:eastAsia="仿宋_GB2312"/>
          <w:color w:val="000000"/>
          <w:sz w:val="32"/>
          <w:szCs w:val="32"/>
        </w:rPr>
        <w:t>(7) 根据县政府授权，集中统一履行县级国有金融资本出资人职责。制定县级国有金融资本管理制度。</w:t>
      </w:r>
    </w:p>
    <w:p>
      <w:pPr>
        <w:ind w:firstLine="630"/>
        <w:rPr>
          <w:rFonts w:ascii="仿宋_GB2312" w:eastAsia="仿宋_GB2312"/>
          <w:color w:val="000000"/>
          <w:sz w:val="32"/>
          <w:szCs w:val="32"/>
        </w:rPr>
      </w:pPr>
      <w:r>
        <w:rPr>
          <w:rFonts w:hint="eastAsia" w:ascii="仿宋_GB2312" w:eastAsia="仿宋_GB2312"/>
          <w:color w:val="000000"/>
          <w:sz w:val="32"/>
          <w:szCs w:val="32"/>
        </w:rPr>
        <w:t>(8) 组织实施企业财务制度。负责财政预算内行政事业单位和社会团体的非贸易外汇管理。负责审核并汇总编制全县国有资本经营预决算草案，制定全县国有资本经营预算制度和办法。</w:t>
      </w:r>
    </w:p>
    <w:p>
      <w:pPr>
        <w:ind w:firstLine="630"/>
        <w:rPr>
          <w:rFonts w:ascii="仿宋_GB2312" w:eastAsia="仿宋_GB2312"/>
          <w:color w:val="000000"/>
          <w:sz w:val="32"/>
          <w:szCs w:val="32"/>
        </w:rPr>
      </w:pPr>
      <w:r>
        <w:rPr>
          <w:rFonts w:hint="eastAsia" w:ascii="仿宋_GB2312" w:eastAsia="仿宋_GB2312"/>
          <w:color w:val="000000"/>
          <w:sz w:val="32"/>
          <w:szCs w:val="32"/>
        </w:rPr>
        <w:t>(9) 负责审核并汇总编制全县社会保险基金预决算草案，会同有关部门拟订并组织实施有关资金（基金）财务管理制度，承担社会保险基金财政监管工作。</w:t>
      </w:r>
    </w:p>
    <w:p>
      <w:pPr>
        <w:ind w:firstLine="630"/>
        <w:rPr>
          <w:rFonts w:ascii="仿宋_GB2312" w:eastAsia="仿宋_GB2312"/>
          <w:color w:val="000000"/>
          <w:sz w:val="32"/>
          <w:szCs w:val="32"/>
        </w:rPr>
      </w:pPr>
      <w:r>
        <w:rPr>
          <w:rFonts w:hint="eastAsia" w:ascii="仿宋_GB2312" w:eastAsia="仿宋_GB2312"/>
          <w:color w:val="000000"/>
          <w:sz w:val="32"/>
          <w:szCs w:val="32"/>
        </w:rPr>
        <w:t>(10) 负责办理和监督县级财政的经济发展支出、政府性投资项目的财政拨款，负责投资评审管理工作，参与拟订县级基建投资有关政策，贯彻执行基建财务管理制度。</w:t>
      </w:r>
    </w:p>
    <w:p>
      <w:pPr>
        <w:ind w:firstLine="630"/>
        <w:rPr>
          <w:rFonts w:ascii="仿宋_GB2312" w:eastAsia="仿宋_GB2312"/>
          <w:color w:val="000000"/>
          <w:sz w:val="32"/>
          <w:szCs w:val="32"/>
        </w:rPr>
      </w:pPr>
      <w:r>
        <w:rPr>
          <w:rFonts w:hint="eastAsia" w:ascii="仿宋_GB2312" w:eastAsia="仿宋_GB2312"/>
          <w:color w:val="000000"/>
          <w:sz w:val="32"/>
          <w:szCs w:val="32"/>
        </w:rPr>
        <w:t>(11) 负责管理全县会计工作，监督和规范会计行为，组织实施国家统一的会计制度。</w:t>
      </w:r>
    </w:p>
    <w:p>
      <w:pPr>
        <w:ind w:firstLine="630"/>
        <w:rPr>
          <w:rFonts w:ascii="仿宋_GB2312" w:eastAsia="仿宋_GB2312"/>
          <w:color w:val="000000"/>
          <w:sz w:val="32"/>
          <w:szCs w:val="32"/>
        </w:rPr>
      </w:pPr>
      <w:r>
        <w:rPr>
          <w:rFonts w:hint="eastAsia" w:ascii="仿宋_GB2312" w:eastAsia="仿宋_GB2312"/>
          <w:color w:val="000000"/>
          <w:sz w:val="32"/>
          <w:szCs w:val="32"/>
        </w:rPr>
        <w:t>(12) 负责职责范围内的安全生产和职业健康、生态环境保护、审批服务便民化等工作。</w:t>
      </w:r>
    </w:p>
    <w:p>
      <w:pPr>
        <w:ind w:firstLine="630"/>
        <w:rPr>
          <w:rFonts w:hint="eastAsia" w:ascii="Times New Roman" w:eastAsia="仿宋_GB2312"/>
          <w:bCs/>
          <w:i/>
          <w:sz w:val="32"/>
          <w:szCs w:val="32"/>
          <w:highlight w:val="yellow"/>
          <w:lang w:eastAsia="zh-CN"/>
        </w:rPr>
      </w:pPr>
      <w:r>
        <w:rPr>
          <w:rFonts w:hint="eastAsia" w:ascii="仿宋_GB2312" w:eastAsia="仿宋_GB2312"/>
          <w:color w:val="000000"/>
          <w:sz w:val="32"/>
          <w:szCs w:val="32"/>
        </w:rPr>
        <w:t>(13) 完成县委、县政府交办的其他任务</w:t>
      </w:r>
      <w:r>
        <w:rPr>
          <w:rFonts w:hint="eastAsia" w:ascii="仿宋_GB2312" w:eastAsia="仿宋_GB2312"/>
          <w:color w:val="000000"/>
          <w:sz w:val="32"/>
          <w:szCs w:val="32"/>
          <w:lang w:eastAsia="zh-CN"/>
        </w:rPr>
        <w:t>。</w:t>
      </w:r>
    </w:p>
    <w:p>
      <w:pPr>
        <w:numPr>
          <w:ilvl w:val="0"/>
          <w:numId w:val="0"/>
        </w:numPr>
      </w:pPr>
    </w:p>
    <w:p>
      <w:pPr>
        <w:pStyle w:val="4"/>
        <w:rPr>
          <w:rStyle w:val="32"/>
          <w:b w:val="0"/>
          <w:bCs w:val="0"/>
        </w:rPr>
      </w:pPr>
      <w:bookmarkStart w:id="36" w:name="_Toc11228_WPSOffice_Level2"/>
      <w:bookmarkStart w:id="37" w:name="_Toc15396601"/>
      <w:bookmarkStart w:id="38" w:name="_Toc15377200"/>
      <w:r>
        <w:rPr>
          <w:rFonts w:hint="eastAsia" w:ascii="黑体" w:eastAsia="黑体"/>
          <w:b w:val="0"/>
        </w:rPr>
        <w:t>二、</w:t>
      </w:r>
      <w:r>
        <w:rPr>
          <w:rFonts w:hint="eastAsia" w:ascii="黑体" w:hAnsi="黑体" w:eastAsia="黑体"/>
          <w:b w:val="0"/>
        </w:rPr>
        <w:t>机</w:t>
      </w:r>
      <w:r>
        <w:rPr>
          <w:rStyle w:val="32"/>
          <w:rFonts w:hint="eastAsia" w:ascii="黑体" w:hAnsi="黑体" w:eastAsia="黑体"/>
          <w:b w:val="0"/>
          <w:bCs w:val="0"/>
        </w:rPr>
        <w:t>构设置</w:t>
      </w:r>
      <w:bookmarkEnd w:id="36"/>
      <w:bookmarkEnd w:id="37"/>
      <w:bookmarkEnd w:id="38"/>
    </w:p>
    <w:p>
      <w:pPr>
        <w:ind w:firstLine="800" w:firstLineChars="25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rPr>
        <w:t>报表编制主体为乐至县财政局，属行政单位，内设办公室、农业农村股、预算股、国库股等14个股室。</w:t>
      </w:r>
      <w:r>
        <w:rPr>
          <w:rFonts w:hint="eastAsia" w:ascii="Times New Roman" w:hAnsi="Times New Roman" w:eastAsia="方正仿宋简体" w:cs="Times New Roman"/>
          <w:sz w:val="32"/>
          <w:szCs w:val="32"/>
          <w:lang w:val="en-US" w:eastAsia="zh-CN"/>
        </w:rPr>
        <w:t>含下属单位两个，其中乐至县财政国库集中支付中心为参照公务员管理事业单位，设稽核股、支付股、会计股；乐至县财政投资评审中心为下属独立核算的全额事业单位。</w:t>
      </w:r>
    </w:p>
    <w:p>
      <w:pPr>
        <w:ind w:firstLine="800" w:firstLineChars="250"/>
        <w:rPr>
          <w:rFonts w:ascii="仿宋" w:hAnsi="仿宋" w:eastAsia="仿宋"/>
          <w:sz w:val="32"/>
          <w:szCs w:val="32"/>
        </w:rPr>
      </w:pPr>
      <w:r>
        <w:rPr>
          <w:rFonts w:hint="eastAsia" w:ascii="仿宋" w:hAnsi="仿宋" w:eastAsia="仿宋"/>
          <w:sz w:val="32"/>
          <w:szCs w:val="32"/>
        </w:rPr>
        <w:t>纳入</w:t>
      </w:r>
      <w:r>
        <w:rPr>
          <w:rFonts w:hint="eastAsia" w:ascii="仿宋" w:hAnsi="仿宋" w:eastAsia="仿宋"/>
          <w:sz w:val="32"/>
          <w:szCs w:val="32"/>
          <w:lang w:val="en-US" w:eastAsia="zh-CN"/>
        </w:rPr>
        <w:t>乐至县财政局</w:t>
      </w: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年度部门决算编制范围的二级预算单位包括：</w:t>
      </w:r>
    </w:p>
    <w:p>
      <w:pPr>
        <w:pStyle w:val="30"/>
        <w:widowControl/>
        <w:jc w:val="left"/>
        <w:rPr>
          <w:rFonts w:eastAsia="仿宋"/>
          <w:i/>
          <w:iCs/>
          <w:color w:val="000000"/>
          <w:sz w:val="32"/>
          <w:szCs w:val="32"/>
        </w:rPr>
      </w:pPr>
      <w:r>
        <w:rPr>
          <w:rFonts w:hint="eastAsia" w:ascii="Times New Roman" w:hAnsi="Times New Roman" w:eastAsia="方正仿宋简体" w:cs="Times New Roman"/>
          <w:sz w:val="32"/>
          <w:szCs w:val="32"/>
        </w:rPr>
        <w:t>乐至县财政局</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含两个下属单位</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rPr>
        <w:t>202</w:t>
      </w:r>
      <w:r>
        <w:rPr>
          <w:rFonts w:hint="eastAsia" w:eastAsia="方正仿宋简体" w:cs="Times New Roman"/>
          <w:sz w:val="32"/>
          <w:szCs w:val="32"/>
          <w:lang w:val="en-US" w:eastAsia="zh-CN"/>
        </w:rPr>
        <w:t>3</w:t>
      </w:r>
      <w:r>
        <w:rPr>
          <w:rFonts w:hint="eastAsia" w:ascii="Times New Roman" w:hAnsi="Times New Roman" w:eastAsia="方正仿宋简体" w:cs="Times New Roman"/>
          <w:sz w:val="32"/>
          <w:szCs w:val="32"/>
        </w:rPr>
        <w:t>年末总编制</w:t>
      </w:r>
      <w:r>
        <w:rPr>
          <w:rFonts w:hint="eastAsia" w:ascii="Times New Roman" w:hAnsi="Times New Roman" w:eastAsia="方正仿宋简体" w:cs="Times New Roman"/>
          <w:sz w:val="32"/>
          <w:szCs w:val="32"/>
          <w:lang w:val="en-US" w:eastAsia="zh-CN"/>
        </w:rPr>
        <w:t>65</w:t>
      </w:r>
      <w:r>
        <w:rPr>
          <w:rFonts w:hint="eastAsia" w:ascii="Times New Roman" w:hAnsi="Times New Roman" w:eastAsia="方正仿宋简体" w:cs="Times New Roman"/>
          <w:sz w:val="32"/>
          <w:szCs w:val="32"/>
        </w:rPr>
        <w:t>名，其中：</w:t>
      </w:r>
      <w:r>
        <w:rPr>
          <w:rFonts w:hint="eastAsia" w:ascii="Times New Roman" w:hAnsi="Times New Roman" w:eastAsia="方正仿宋简体" w:cs="Times New Roman"/>
          <w:sz w:val="32"/>
          <w:szCs w:val="32"/>
          <w:lang w:val="en-US" w:eastAsia="zh-CN"/>
        </w:rPr>
        <w:t>机关</w:t>
      </w:r>
      <w:r>
        <w:rPr>
          <w:rFonts w:hint="eastAsia" w:ascii="Times New Roman" w:hAnsi="Times New Roman" w:eastAsia="方正仿宋简体" w:cs="Times New Roman"/>
          <w:sz w:val="32"/>
          <w:szCs w:val="32"/>
        </w:rPr>
        <w:t>行政编制31名，</w:t>
      </w:r>
      <w:r>
        <w:rPr>
          <w:rFonts w:hint="eastAsia" w:ascii="Times New Roman" w:hAnsi="Times New Roman" w:eastAsia="方正仿宋简体" w:cs="Times New Roman"/>
          <w:sz w:val="32"/>
          <w:szCs w:val="32"/>
          <w:lang w:val="en-US" w:eastAsia="zh-CN"/>
        </w:rPr>
        <w:t>机关</w:t>
      </w:r>
      <w:r>
        <w:rPr>
          <w:rFonts w:hint="eastAsia" w:ascii="Times New Roman" w:hAnsi="Times New Roman" w:eastAsia="方正仿宋简体" w:cs="Times New Roman"/>
          <w:sz w:val="32"/>
          <w:szCs w:val="32"/>
        </w:rPr>
        <w:t>行政工勤编制1名，</w:t>
      </w:r>
      <w:r>
        <w:rPr>
          <w:rFonts w:hint="eastAsia" w:ascii="Times New Roman" w:hAnsi="Times New Roman" w:eastAsia="方正仿宋简体" w:cs="Times New Roman"/>
          <w:sz w:val="32"/>
          <w:szCs w:val="32"/>
          <w:lang w:val="en-US" w:eastAsia="zh-CN"/>
        </w:rPr>
        <w:t>参公行政编制14名，参公行政工勤1名，</w:t>
      </w:r>
      <w:r>
        <w:rPr>
          <w:rFonts w:hint="eastAsia" w:ascii="Times New Roman" w:hAnsi="Times New Roman" w:eastAsia="方正仿宋简体" w:cs="Times New Roman"/>
          <w:sz w:val="32"/>
          <w:szCs w:val="32"/>
        </w:rPr>
        <w:t>事业编制1</w:t>
      </w:r>
      <w:r>
        <w:rPr>
          <w:rFonts w:hint="eastAsia" w:ascii="Times New Roman" w:hAnsi="Times New Roman" w:eastAsia="方正仿宋简体" w:cs="Times New Roman"/>
          <w:sz w:val="32"/>
          <w:szCs w:val="32"/>
          <w:lang w:val="en-US" w:eastAsia="zh-CN"/>
        </w:rPr>
        <w:t>8</w:t>
      </w:r>
      <w:r>
        <w:rPr>
          <w:rFonts w:hint="eastAsia" w:ascii="Times New Roman" w:hAnsi="Times New Roman" w:eastAsia="方正仿宋简体" w:cs="Times New Roman"/>
          <w:sz w:val="32"/>
          <w:szCs w:val="32"/>
        </w:rPr>
        <w:t>名。</w:t>
      </w:r>
      <w:r>
        <w:rPr>
          <w:rFonts w:hint="eastAsia" w:ascii="Times New Roman" w:hAnsi="Times New Roman" w:eastAsia="方正仿宋简体" w:cs="Times New Roman"/>
          <w:sz w:val="32"/>
          <w:szCs w:val="32"/>
          <w:lang w:val="en-US" w:eastAsia="zh-CN"/>
        </w:rPr>
        <w:t>年末</w:t>
      </w:r>
      <w:r>
        <w:rPr>
          <w:rFonts w:hint="eastAsia" w:ascii="Times New Roman" w:hAnsi="Times New Roman" w:eastAsia="方正仿宋简体" w:cs="Times New Roman"/>
          <w:sz w:val="32"/>
          <w:szCs w:val="32"/>
        </w:rPr>
        <w:t>实有在职人员总数</w:t>
      </w:r>
      <w:r>
        <w:rPr>
          <w:rFonts w:hint="eastAsia" w:ascii="Times New Roman" w:hAnsi="Times New Roman" w:eastAsia="方正仿宋简体" w:cs="Times New Roman"/>
          <w:sz w:val="32"/>
          <w:szCs w:val="32"/>
          <w:lang w:val="en-US" w:eastAsia="zh-CN"/>
        </w:rPr>
        <w:t>60</w:t>
      </w:r>
      <w:r>
        <w:rPr>
          <w:rFonts w:hint="eastAsia" w:ascii="Times New Roman" w:hAnsi="Times New Roman" w:eastAsia="方正仿宋简体" w:cs="Times New Roman"/>
          <w:sz w:val="32"/>
          <w:szCs w:val="32"/>
        </w:rPr>
        <w:t>人，其中：行政人员</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包含参公</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4</w:t>
      </w:r>
      <w:r>
        <w:rPr>
          <w:rFonts w:hint="eastAsia" w:eastAsia="方正仿宋简体" w:cs="Times New Roman"/>
          <w:sz w:val="32"/>
          <w:szCs w:val="32"/>
          <w:lang w:val="en-US" w:eastAsia="zh-CN"/>
        </w:rPr>
        <w:t>1</w:t>
      </w:r>
      <w:r>
        <w:rPr>
          <w:rFonts w:hint="eastAsia" w:ascii="Times New Roman" w:hAnsi="Times New Roman" w:eastAsia="方正仿宋简体" w:cs="Times New Roman"/>
          <w:sz w:val="32"/>
          <w:szCs w:val="32"/>
        </w:rPr>
        <w:t>人，行政工勤</w:t>
      </w:r>
      <w:r>
        <w:rPr>
          <w:rFonts w:hint="eastAsia" w:ascii="Times New Roman" w:hAnsi="Times New Roman" w:eastAsia="方正仿宋简体" w:cs="Times New Roman"/>
          <w:sz w:val="32"/>
          <w:szCs w:val="32"/>
          <w:lang w:val="en-US" w:eastAsia="zh-CN"/>
        </w:rPr>
        <w:t>2</w:t>
      </w:r>
      <w:r>
        <w:rPr>
          <w:rFonts w:hint="eastAsia" w:ascii="Times New Roman" w:hAnsi="Times New Roman" w:eastAsia="方正仿宋简体" w:cs="Times New Roman"/>
          <w:sz w:val="32"/>
          <w:szCs w:val="32"/>
        </w:rPr>
        <w:t>名，其他事业人员</w:t>
      </w:r>
      <w:r>
        <w:rPr>
          <w:rFonts w:hint="eastAsia" w:ascii="Times New Roman" w:hAnsi="Times New Roman" w:eastAsia="方正仿宋简体" w:cs="Times New Roman"/>
          <w:sz w:val="32"/>
          <w:szCs w:val="32"/>
          <w:lang w:val="en-US" w:eastAsia="zh-CN"/>
        </w:rPr>
        <w:t>17</w:t>
      </w:r>
      <w:r>
        <w:rPr>
          <w:rFonts w:hint="eastAsia" w:ascii="Times New Roman" w:hAnsi="Times New Roman" w:eastAsia="方正仿宋简体" w:cs="Times New Roman"/>
          <w:sz w:val="32"/>
          <w:szCs w:val="32"/>
        </w:rPr>
        <w:t>人，退休人员22人。</w:t>
      </w:r>
    </w:p>
    <w:p>
      <w:pPr>
        <w:pStyle w:val="7"/>
        <w:spacing w:before="93"/>
      </w:pPr>
    </w:p>
    <w:p>
      <w:pPr>
        <w:pStyle w:val="3"/>
        <w:ind w:right="440"/>
        <w:jc w:val="center"/>
        <w:rPr>
          <w:rStyle w:val="31"/>
          <w:rFonts w:ascii="黑体" w:hAnsi="黑体" w:eastAsia="黑体"/>
          <w:b w:val="0"/>
          <w:bCs/>
        </w:rPr>
      </w:pPr>
      <w:bookmarkStart w:id="39" w:name="_Toc15396602"/>
      <w:bookmarkStart w:id="40" w:name="_Toc15377204"/>
      <w:bookmarkStart w:id="41" w:name="_Toc25002_WPSOffice_Level1"/>
      <w:r>
        <w:rPr>
          <w:rFonts w:hint="eastAsia" w:ascii="黑体" w:hAnsi="黑体" w:eastAsia="黑体"/>
          <w:b w:val="0"/>
        </w:rPr>
        <w:t>第二部分 202</w:t>
      </w:r>
      <w:r>
        <w:rPr>
          <w:rFonts w:hint="eastAsia" w:ascii="黑体" w:hAnsi="黑体" w:eastAsia="黑体"/>
          <w:b w:val="0"/>
          <w:lang w:val="en-US" w:eastAsia="zh-CN"/>
        </w:rPr>
        <w:t>3</w:t>
      </w:r>
      <w:r>
        <w:rPr>
          <w:rFonts w:hint="eastAsia" w:ascii="黑体" w:hAnsi="黑体" w:eastAsia="黑体"/>
          <w:b w:val="0"/>
        </w:rPr>
        <w:t>年度</w:t>
      </w:r>
      <w:r>
        <w:rPr>
          <w:rStyle w:val="31"/>
          <w:rFonts w:hint="eastAsia" w:ascii="黑体" w:hAnsi="黑体" w:eastAsia="黑体"/>
          <w:b w:val="0"/>
          <w:bCs/>
        </w:rPr>
        <w:t>部门决算情况说明</w:t>
      </w:r>
      <w:bookmarkEnd w:id="39"/>
      <w:bookmarkEnd w:id="40"/>
      <w:bookmarkEnd w:id="41"/>
    </w:p>
    <w:p/>
    <w:p>
      <w:pPr>
        <w:pStyle w:val="30"/>
        <w:numPr>
          <w:ilvl w:val="0"/>
          <w:numId w:val="2"/>
        </w:numPr>
        <w:spacing w:line="600" w:lineRule="exact"/>
        <w:ind w:firstLineChars="0"/>
        <w:outlineLvl w:val="1"/>
        <w:rPr>
          <w:rStyle w:val="32"/>
          <w:rFonts w:ascii="黑体" w:hAnsi="黑体" w:eastAsia="黑体"/>
          <w:b w:val="0"/>
        </w:rPr>
      </w:pPr>
      <w:bookmarkStart w:id="42" w:name="_Toc15396603"/>
      <w:bookmarkStart w:id="43" w:name="_Toc15377205"/>
      <w:bookmarkStart w:id="44" w:name="_Toc13617_WPSOffice_Level2"/>
      <w:r>
        <w:rPr>
          <w:rFonts w:hint="eastAsia" w:ascii="黑体" w:hAnsi="黑体" w:eastAsia="黑体"/>
          <w:sz w:val="32"/>
          <w:szCs w:val="32"/>
        </w:rPr>
        <w:t>收</w:t>
      </w:r>
      <w:r>
        <w:rPr>
          <w:rStyle w:val="32"/>
          <w:rFonts w:hint="eastAsia" w:ascii="黑体" w:hAnsi="黑体" w:eastAsia="黑体"/>
          <w:b w:val="0"/>
        </w:rPr>
        <w:t>入支出决算总体情况说明</w:t>
      </w:r>
      <w:bookmarkEnd w:id="42"/>
      <w:bookmarkEnd w:id="43"/>
      <w:bookmarkEnd w:id="44"/>
    </w:p>
    <w:p>
      <w:pPr>
        <w:spacing w:line="60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年度收、支总计</w:t>
      </w:r>
      <w:r>
        <w:rPr>
          <w:rFonts w:hint="eastAsia" w:ascii="仿宋" w:hAnsi="仿宋" w:eastAsia="仿宋"/>
          <w:sz w:val="32"/>
          <w:szCs w:val="32"/>
          <w:lang w:val="en-US" w:eastAsia="zh-CN"/>
        </w:rPr>
        <w:t>2188.1</w:t>
      </w:r>
      <w:r>
        <w:rPr>
          <w:rFonts w:hint="eastAsia" w:ascii="仿宋" w:hAnsi="仿宋" w:eastAsia="仿宋"/>
          <w:sz w:val="32"/>
          <w:szCs w:val="32"/>
        </w:rPr>
        <w:t>万元。与202</w:t>
      </w:r>
      <w:r>
        <w:rPr>
          <w:rFonts w:hint="eastAsia" w:ascii="仿宋" w:hAnsi="仿宋" w:eastAsia="仿宋"/>
          <w:sz w:val="32"/>
          <w:szCs w:val="32"/>
          <w:lang w:val="en-US" w:eastAsia="zh-CN"/>
        </w:rPr>
        <w:t>2</w:t>
      </w:r>
      <w:r>
        <w:rPr>
          <w:rFonts w:hint="eastAsia" w:ascii="仿宋" w:hAnsi="仿宋" w:eastAsia="仿宋"/>
          <w:sz w:val="32"/>
          <w:szCs w:val="32"/>
        </w:rPr>
        <w:t>年相比，收、支总计各减少</w:t>
      </w:r>
      <w:r>
        <w:rPr>
          <w:rFonts w:hint="eastAsia" w:ascii="仿宋" w:hAnsi="仿宋" w:eastAsia="仿宋"/>
          <w:sz w:val="32"/>
          <w:szCs w:val="32"/>
          <w:lang w:val="en-US" w:eastAsia="zh-CN"/>
        </w:rPr>
        <w:t>34.4</w:t>
      </w:r>
      <w:r>
        <w:rPr>
          <w:rFonts w:hint="eastAsia" w:ascii="仿宋" w:hAnsi="仿宋" w:eastAsia="仿宋"/>
          <w:sz w:val="32"/>
          <w:szCs w:val="32"/>
        </w:rPr>
        <w:t>万元，下降</w:t>
      </w:r>
      <w:r>
        <w:rPr>
          <w:rFonts w:hint="eastAsia" w:ascii="仿宋" w:hAnsi="仿宋" w:eastAsia="仿宋"/>
          <w:sz w:val="32"/>
          <w:szCs w:val="32"/>
          <w:lang w:val="en-US" w:eastAsia="zh-CN"/>
        </w:rPr>
        <w:t>1.5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人员经费减少</w:t>
      </w:r>
      <w:r>
        <w:rPr>
          <w:rFonts w:hint="eastAsia" w:ascii="仿宋" w:hAnsi="仿宋" w:eastAsia="仿宋"/>
          <w:sz w:val="32"/>
          <w:szCs w:val="32"/>
        </w:rPr>
        <w:t>。</w:t>
      </w:r>
    </w:p>
    <w:p>
      <w:pPr>
        <w:spacing w:line="600" w:lineRule="exact"/>
        <w:ind w:firstLine="640" w:firstLineChars="200"/>
        <w:rPr>
          <w:rFonts w:eastAsia="仿宋"/>
          <w:i/>
          <w:color w:val="auto"/>
          <w:sz w:val="32"/>
          <w:szCs w:val="32"/>
          <w:highlight w:val="none"/>
        </w:rPr>
      </w:pPr>
      <w:r>
        <w:rPr>
          <w:rFonts w:eastAsia="仿宋"/>
          <w:i/>
          <w:color w:val="auto"/>
          <w:sz w:val="32"/>
          <w:szCs w:val="32"/>
          <w:highlight w:val="none"/>
        </w:rPr>
        <w:t>（图1：收、支决算总计变动情况图）（柱状图</w:t>
      </w:r>
      <w:r>
        <w:rPr>
          <w:rFonts w:hint="eastAsia" w:eastAsia="仿宋"/>
          <w:i/>
          <w:color w:val="auto"/>
          <w:sz w:val="32"/>
          <w:szCs w:val="32"/>
          <w:highlight w:val="none"/>
          <w:lang w:eastAsia="zh-CN"/>
        </w:rPr>
        <w:t>）</w:t>
      </w:r>
    </w:p>
    <w:p>
      <w:pPr>
        <w:pStyle w:val="7"/>
      </w:pPr>
      <w:r>
        <w:rPr>
          <w:rFonts w:hint="eastAsia"/>
          <w:lang w:val="en-US" w:eastAsia="zh-CN"/>
        </w:rPr>
        <w:t xml:space="preserve">   </w:t>
      </w:r>
      <w:r>
        <w:drawing>
          <wp:inline distT="0" distB="0" distL="114300" distR="114300">
            <wp:extent cx="4572000" cy="2743200"/>
            <wp:effectExtent l="4445" t="4445" r="10795" b="1079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Style w:val="30"/>
        <w:numPr>
          <w:ilvl w:val="0"/>
          <w:numId w:val="2"/>
        </w:numPr>
        <w:spacing w:line="600" w:lineRule="exact"/>
        <w:ind w:firstLineChars="0"/>
        <w:outlineLvl w:val="1"/>
        <w:rPr>
          <w:rStyle w:val="32"/>
          <w:rFonts w:ascii="黑体" w:hAnsi="黑体" w:eastAsia="黑体"/>
          <w:b w:val="0"/>
        </w:rPr>
      </w:pPr>
      <w:bookmarkStart w:id="45" w:name="_Toc15396604"/>
      <w:bookmarkStart w:id="46" w:name="_Toc15377206"/>
      <w:bookmarkStart w:id="47" w:name="_Toc23142_WPSOffice_Level2"/>
      <w:r>
        <w:rPr>
          <w:rFonts w:hint="eastAsia" w:ascii="黑体" w:hAnsi="黑体" w:eastAsia="黑体"/>
          <w:sz w:val="32"/>
          <w:szCs w:val="32"/>
        </w:rPr>
        <w:t>收</w:t>
      </w:r>
      <w:r>
        <w:rPr>
          <w:rStyle w:val="32"/>
          <w:rFonts w:hint="eastAsia" w:ascii="黑体" w:hAnsi="黑体" w:eastAsia="黑体"/>
          <w:b w:val="0"/>
        </w:rPr>
        <w:t>入决算情况说明</w:t>
      </w:r>
      <w:bookmarkEnd w:id="45"/>
      <w:bookmarkEnd w:id="46"/>
      <w:bookmarkEnd w:id="47"/>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年本年收入合计</w:t>
      </w:r>
      <w:r>
        <w:rPr>
          <w:rFonts w:hint="eastAsia" w:ascii="仿宋" w:hAnsi="仿宋" w:eastAsia="仿宋"/>
          <w:sz w:val="32"/>
          <w:szCs w:val="32"/>
          <w:lang w:val="en-US" w:eastAsia="zh-CN"/>
        </w:rPr>
        <w:t>1094.05</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1094.05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ascii="仿宋_GB2312" w:eastAsia="仿宋_GB2312"/>
          <w:sz w:val="32"/>
          <w:szCs w:val="32"/>
        </w:rPr>
      </w:pPr>
      <w:r>
        <w:rPr>
          <w:rFonts w:eastAsia="仿宋"/>
          <w:i/>
          <w:color w:val="000000"/>
          <w:sz w:val="32"/>
          <w:szCs w:val="32"/>
          <w:highlight w:val="none"/>
        </w:rPr>
        <w:t>（图2：收入决算结构图）（饼状图）</w:t>
      </w:r>
    </w:p>
    <w:p>
      <w:pPr>
        <w:pStyle w:val="7"/>
      </w:pPr>
      <w:r>
        <w:rPr>
          <w:rFonts w:hint="eastAsia" w:ascii="宋体" w:hAnsi="宋体" w:cs="宋体"/>
          <w:kern w:val="0"/>
          <w:sz w:val="24"/>
          <w:lang w:val="en-US" w:eastAsia="zh-CN"/>
        </w:rPr>
        <w:t xml:space="preserve"> </w:t>
      </w:r>
      <w:r>
        <w:rPr>
          <w:rFonts w:ascii="宋体" w:hAnsi="宋体" w:cs="宋体"/>
          <w:kern w:val="0"/>
          <w:sz w:val="24"/>
        </w:rPr>
        <w:drawing>
          <wp:inline distT="0" distB="0" distL="114300" distR="114300">
            <wp:extent cx="3878580" cy="2028825"/>
            <wp:effectExtent l="0" t="0" r="7620" b="13335"/>
            <wp:docPr id="2" name="图片 2" descr="C:\Users\Administrator\AppData\Roaming\Tencent\Users\305106404\QQ\WinTemp\RichOle\K13958BB~C)LC3PC3U~2MC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Roaming\Tencent\Users\305106404\QQ\WinTemp\RichOle\K13958BB~C)LC3PC3U~2MCM.png"/>
                    <pic:cNvPicPr>
                      <a:picLocks noChangeAspect="1"/>
                    </pic:cNvPicPr>
                  </pic:nvPicPr>
                  <pic:blipFill>
                    <a:blip r:embed="rId14"/>
                    <a:stretch>
                      <a:fillRect/>
                    </a:stretch>
                  </pic:blipFill>
                  <pic:spPr>
                    <a:xfrm>
                      <a:off x="0" y="0"/>
                      <a:ext cx="3878580" cy="2028825"/>
                    </a:xfrm>
                    <a:prstGeom prst="rect">
                      <a:avLst/>
                    </a:prstGeom>
                    <a:noFill/>
                    <a:ln>
                      <a:noFill/>
                    </a:ln>
                  </pic:spPr>
                </pic:pic>
              </a:graphicData>
            </a:graphic>
          </wp:inline>
        </w:drawing>
      </w:r>
    </w:p>
    <w:p>
      <w:pPr>
        <w:pStyle w:val="30"/>
        <w:numPr>
          <w:ilvl w:val="0"/>
          <w:numId w:val="2"/>
        </w:numPr>
        <w:spacing w:line="600" w:lineRule="exact"/>
        <w:ind w:firstLineChars="0"/>
        <w:outlineLvl w:val="1"/>
        <w:rPr>
          <w:rStyle w:val="32"/>
          <w:rFonts w:ascii="黑体" w:hAnsi="黑体" w:eastAsia="黑体"/>
          <w:b w:val="0"/>
        </w:rPr>
      </w:pPr>
      <w:bookmarkStart w:id="48" w:name="_Toc15377207"/>
      <w:bookmarkStart w:id="49" w:name="_Toc15396605"/>
      <w:bookmarkStart w:id="50" w:name="_Toc31836_WPSOffice_Level2"/>
      <w:r>
        <w:rPr>
          <w:rFonts w:hint="eastAsia" w:ascii="黑体" w:hAnsi="黑体" w:eastAsia="黑体"/>
          <w:sz w:val="32"/>
          <w:szCs w:val="32"/>
        </w:rPr>
        <w:t>支</w:t>
      </w:r>
      <w:r>
        <w:rPr>
          <w:rStyle w:val="32"/>
          <w:rFonts w:hint="eastAsia" w:ascii="黑体" w:hAnsi="黑体" w:eastAsia="黑体"/>
          <w:b w:val="0"/>
        </w:rPr>
        <w:t>出决算情况说明</w:t>
      </w:r>
      <w:bookmarkEnd w:id="48"/>
      <w:bookmarkEnd w:id="49"/>
      <w:bookmarkEnd w:id="50"/>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年本年支出合计</w:t>
      </w:r>
      <w:r>
        <w:rPr>
          <w:rFonts w:hint="eastAsia" w:ascii="仿宋" w:hAnsi="仿宋" w:eastAsia="仿宋"/>
          <w:sz w:val="32"/>
          <w:szCs w:val="32"/>
          <w:lang w:val="en-US" w:eastAsia="zh-CN"/>
        </w:rPr>
        <w:t>1094.05</w:t>
      </w:r>
      <w:r>
        <w:rPr>
          <w:rFonts w:hint="eastAsia" w:ascii="仿宋" w:hAnsi="仿宋" w:eastAsia="仿宋"/>
          <w:sz w:val="32"/>
          <w:szCs w:val="32"/>
        </w:rPr>
        <w:t>万元，其中：基本支出</w:t>
      </w:r>
      <w:r>
        <w:rPr>
          <w:rFonts w:hint="eastAsia" w:ascii="仿宋" w:hAnsi="仿宋" w:eastAsia="仿宋"/>
          <w:sz w:val="32"/>
          <w:szCs w:val="32"/>
          <w:lang w:val="en-US" w:eastAsia="zh-CN"/>
        </w:rPr>
        <w:t>738.3</w:t>
      </w:r>
      <w:r>
        <w:rPr>
          <w:rFonts w:hint="eastAsia" w:ascii="仿宋" w:hAnsi="仿宋" w:eastAsia="仿宋"/>
          <w:sz w:val="32"/>
          <w:szCs w:val="32"/>
        </w:rPr>
        <w:t>万元，占</w:t>
      </w:r>
      <w:r>
        <w:rPr>
          <w:rFonts w:hint="eastAsia" w:ascii="仿宋" w:hAnsi="仿宋" w:eastAsia="仿宋"/>
          <w:sz w:val="32"/>
          <w:szCs w:val="32"/>
          <w:lang w:val="en-US" w:eastAsia="zh-CN"/>
        </w:rPr>
        <w:t>67.5</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355.75</w:t>
      </w:r>
      <w:r>
        <w:rPr>
          <w:rFonts w:hint="eastAsia" w:ascii="仿宋" w:hAnsi="仿宋" w:eastAsia="仿宋"/>
          <w:sz w:val="32"/>
          <w:szCs w:val="32"/>
        </w:rPr>
        <w:t>万元，占</w:t>
      </w:r>
      <w:r>
        <w:rPr>
          <w:rFonts w:hint="eastAsia" w:ascii="仿宋" w:hAnsi="仿宋" w:eastAsia="仿宋"/>
          <w:sz w:val="32"/>
          <w:szCs w:val="32"/>
          <w:lang w:val="en-US" w:eastAsia="zh-CN"/>
        </w:rPr>
        <w:t>32.5</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ascii="仿宋_GB2312" w:eastAsia="仿宋_GB2312"/>
          <w:sz w:val="32"/>
          <w:szCs w:val="32"/>
          <w:highlight w:val="none"/>
        </w:rPr>
      </w:pPr>
      <w:r>
        <w:rPr>
          <w:rFonts w:eastAsia="仿宋"/>
          <w:i/>
          <w:color w:val="000000"/>
          <w:sz w:val="32"/>
          <w:szCs w:val="32"/>
          <w:highlight w:val="none"/>
        </w:rPr>
        <w:t>（图3：支出决算结构图）（饼状图）</w:t>
      </w:r>
    </w:p>
    <w:p>
      <w:pPr>
        <w:pStyle w:val="7"/>
        <w:rPr>
          <w:rFonts w:ascii="仿宋_GB2312" w:eastAsia="仿宋_GB2312"/>
          <w:sz w:val="32"/>
          <w:szCs w:val="32"/>
        </w:rPr>
      </w:pPr>
      <w:r>
        <w:rPr>
          <w:rFonts w:hint="eastAsia"/>
          <w:lang w:val="en-US" w:eastAsia="zh-CN"/>
        </w:rPr>
        <w:t xml:space="preserve">    </w:t>
      </w:r>
      <w:r>
        <w:drawing>
          <wp:inline distT="0" distB="0" distL="114300" distR="114300">
            <wp:extent cx="4572000" cy="2743200"/>
            <wp:effectExtent l="4445" t="4445" r="10795" b="1079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
      <w:pPr>
        <w:spacing w:line="600" w:lineRule="exact"/>
        <w:ind w:firstLine="640" w:firstLineChars="200"/>
        <w:outlineLvl w:val="1"/>
        <w:rPr>
          <w:rStyle w:val="32"/>
          <w:rFonts w:ascii="黑体" w:hAnsi="黑体" w:eastAsia="黑体"/>
          <w:b w:val="0"/>
        </w:rPr>
      </w:pPr>
      <w:bookmarkStart w:id="51" w:name="_Toc15396606"/>
      <w:bookmarkStart w:id="52" w:name="_Toc15377208"/>
      <w:bookmarkStart w:id="53" w:name="_Toc8747_WPSOffice_Level2"/>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51"/>
      <w:bookmarkEnd w:id="52"/>
      <w:bookmarkEnd w:id="53"/>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年财政拨款收、支总计</w:t>
      </w:r>
      <w:r>
        <w:rPr>
          <w:rFonts w:hint="eastAsia" w:ascii="仿宋" w:hAnsi="仿宋" w:eastAsia="仿宋"/>
          <w:sz w:val="32"/>
          <w:szCs w:val="32"/>
          <w:lang w:val="en-US" w:eastAsia="zh-CN"/>
        </w:rPr>
        <w:t>2188.1</w:t>
      </w:r>
      <w:r>
        <w:rPr>
          <w:rFonts w:hint="eastAsia" w:ascii="仿宋" w:hAnsi="仿宋" w:eastAsia="仿宋"/>
          <w:sz w:val="32"/>
          <w:szCs w:val="32"/>
        </w:rPr>
        <w:t>万元。与202</w:t>
      </w:r>
      <w:r>
        <w:rPr>
          <w:rFonts w:hint="eastAsia" w:ascii="仿宋" w:hAnsi="仿宋" w:eastAsia="仿宋"/>
          <w:sz w:val="32"/>
          <w:szCs w:val="32"/>
          <w:lang w:val="en-US" w:eastAsia="zh-CN"/>
        </w:rPr>
        <w:t>2</w:t>
      </w:r>
      <w:r>
        <w:rPr>
          <w:rFonts w:hint="eastAsia" w:ascii="仿宋" w:hAnsi="仿宋" w:eastAsia="仿宋"/>
          <w:sz w:val="32"/>
          <w:szCs w:val="32"/>
        </w:rPr>
        <w:t>年相比，收、支总计各减少</w:t>
      </w:r>
      <w:r>
        <w:rPr>
          <w:rFonts w:hint="eastAsia" w:ascii="仿宋" w:hAnsi="仿宋" w:eastAsia="仿宋"/>
          <w:sz w:val="32"/>
          <w:szCs w:val="32"/>
          <w:lang w:val="en-US" w:eastAsia="zh-CN"/>
        </w:rPr>
        <w:t>34.4</w:t>
      </w:r>
      <w:r>
        <w:rPr>
          <w:rFonts w:hint="eastAsia" w:ascii="仿宋" w:hAnsi="仿宋" w:eastAsia="仿宋"/>
          <w:sz w:val="32"/>
          <w:szCs w:val="32"/>
        </w:rPr>
        <w:t>万元，下降</w:t>
      </w:r>
      <w:r>
        <w:rPr>
          <w:rFonts w:hint="eastAsia" w:ascii="仿宋" w:hAnsi="仿宋" w:eastAsia="仿宋"/>
          <w:sz w:val="32"/>
          <w:szCs w:val="32"/>
          <w:lang w:val="en-US" w:eastAsia="zh-CN"/>
        </w:rPr>
        <w:t>1.5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人员经费减少</w:t>
      </w:r>
      <w:r>
        <w:rPr>
          <w:rFonts w:hint="eastAsia" w:ascii="仿宋" w:hAnsi="仿宋" w:eastAsia="仿宋"/>
          <w:sz w:val="32"/>
          <w:szCs w:val="32"/>
        </w:rPr>
        <w:t>。</w:t>
      </w:r>
    </w:p>
    <w:p>
      <w:pPr>
        <w:spacing w:line="600" w:lineRule="exact"/>
        <w:rPr>
          <w:rFonts w:ascii="仿宋" w:hAnsi="仿宋" w:eastAsia="仿宋"/>
          <w:sz w:val="32"/>
          <w:szCs w:val="32"/>
        </w:rPr>
      </w:pPr>
    </w:p>
    <w:p>
      <w:pPr>
        <w:spacing w:line="600" w:lineRule="exact"/>
        <w:ind w:firstLine="640" w:firstLineChars="200"/>
        <w:rPr>
          <w:rFonts w:ascii="仿宋" w:hAnsi="仿宋" w:eastAsia="仿宋"/>
          <w:b/>
          <w:sz w:val="32"/>
          <w:szCs w:val="32"/>
        </w:rPr>
      </w:pPr>
      <w:r>
        <w:rPr>
          <w:rFonts w:eastAsia="仿宋"/>
          <w:i/>
          <w:color w:val="000000"/>
          <w:sz w:val="32"/>
          <w:szCs w:val="32"/>
          <w:highlight w:val="none"/>
        </w:rPr>
        <w:t>（图4：财政拨款收、支决算总计变动情况）（柱状图）</w:t>
      </w:r>
    </w:p>
    <w:p>
      <w:pPr>
        <w:pStyle w:val="2"/>
        <w:rPr>
          <w:rFonts w:ascii="仿宋" w:hAnsi="仿宋" w:eastAsia="仿宋"/>
          <w:b/>
          <w:sz w:val="32"/>
          <w:szCs w:val="32"/>
        </w:rPr>
      </w:pPr>
    </w:p>
    <w:p>
      <w:r>
        <w:drawing>
          <wp:inline distT="0" distB="0" distL="114300" distR="114300">
            <wp:extent cx="4572000" cy="2743200"/>
            <wp:effectExtent l="4445" t="4445" r="10795" b="1079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0" w:firstLineChars="200"/>
        <w:outlineLvl w:val="1"/>
        <w:rPr>
          <w:rStyle w:val="32"/>
          <w:rFonts w:ascii="黑体" w:hAnsi="黑体" w:eastAsia="黑体"/>
          <w:b w:val="0"/>
        </w:rPr>
      </w:pPr>
      <w:bookmarkStart w:id="54" w:name="_Toc15396607"/>
      <w:bookmarkStart w:id="55" w:name="_Toc3165_WPSOffice_Level2"/>
      <w:bookmarkStart w:id="56" w:name="_Toc15377209"/>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54"/>
      <w:bookmarkEnd w:id="55"/>
      <w:bookmarkEnd w:id="56"/>
    </w:p>
    <w:p>
      <w:pPr>
        <w:spacing w:line="600" w:lineRule="exact"/>
        <w:ind w:firstLine="643" w:firstLineChars="200"/>
        <w:outlineLvl w:val="2"/>
        <w:rPr>
          <w:rFonts w:ascii="仿宋" w:hAnsi="仿宋" w:eastAsia="仿宋"/>
          <w:b/>
          <w:sz w:val="32"/>
          <w:szCs w:val="32"/>
        </w:rPr>
      </w:pPr>
      <w:bookmarkStart w:id="57" w:name="_Toc15377210"/>
      <w:r>
        <w:rPr>
          <w:rFonts w:hint="eastAsia" w:ascii="仿宋" w:hAnsi="仿宋" w:eastAsia="仿宋"/>
          <w:b/>
          <w:sz w:val="32"/>
          <w:szCs w:val="32"/>
        </w:rPr>
        <w:t>（一）一般公共预算财政拨款支出决算总体情况</w:t>
      </w:r>
      <w:bookmarkEnd w:id="57"/>
    </w:p>
    <w:p>
      <w:pPr>
        <w:spacing w:line="600" w:lineRule="exact"/>
        <w:ind w:firstLine="640" w:firstLineChars="200"/>
        <w:rPr>
          <w:rFonts w:hint="default"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1094.05</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年相比，一般公共预算财政拨款支出减少</w:t>
      </w:r>
      <w:r>
        <w:rPr>
          <w:rFonts w:hint="eastAsia" w:ascii="仿宋" w:hAnsi="仿宋" w:eastAsia="仿宋"/>
          <w:sz w:val="32"/>
          <w:szCs w:val="32"/>
          <w:lang w:val="en-US" w:eastAsia="zh-CN"/>
        </w:rPr>
        <w:t>17.2</w:t>
      </w:r>
      <w:r>
        <w:rPr>
          <w:rFonts w:hint="eastAsia" w:ascii="仿宋" w:hAnsi="仿宋" w:eastAsia="仿宋"/>
          <w:sz w:val="32"/>
          <w:szCs w:val="32"/>
        </w:rPr>
        <w:t>万元，下降</w:t>
      </w:r>
      <w:r>
        <w:rPr>
          <w:rFonts w:hint="eastAsia" w:ascii="仿宋" w:hAnsi="仿宋" w:eastAsia="仿宋"/>
          <w:sz w:val="32"/>
          <w:szCs w:val="32"/>
          <w:lang w:val="en-US" w:eastAsia="zh-CN"/>
        </w:rPr>
        <w:t>1.5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人员经费减少。</w:t>
      </w:r>
    </w:p>
    <w:p>
      <w:pPr>
        <w:spacing w:line="600" w:lineRule="exact"/>
        <w:ind w:firstLine="640" w:firstLineChars="200"/>
      </w:pPr>
      <w:r>
        <w:rPr>
          <w:rFonts w:eastAsia="仿宋"/>
          <w:i/>
          <w:color w:val="000000"/>
          <w:sz w:val="32"/>
          <w:szCs w:val="32"/>
          <w:highlight w:val="none"/>
        </w:rPr>
        <w:t>（图5：一般公共预算财政拨款支出决算变动情况）（柱状图）</w:t>
      </w:r>
    </w:p>
    <w:p>
      <w:pPr>
        <w:spacing w:line="600" w:lineRule="exact"/>
        <w:rPr>
          <w:rFonts w:eastAsia="仿宋"/>
          <w:i/>
          <w:color w:val="000000"/>
          <w:sz w:val="32"/>
          <w:szCs w:val="32"/>
          <w:highlight w:val="yellow"/>
        </w:rPr>
      </w:pPr>
    </w:p>
    <w:p>
      <w:pPr>
        <w:pStyle w:val="7"/>
        <w:rPr>
          <w:rFonts w:eastAsia="仿宋"/>
          <w:i/>
          <w:color w:val="000000"/>
          <w:sz w:val="32"/>
          <w:szCs w:val="32"/>
          <w:highlight w:val="yellow"/>
        </w:rPr>
      </w:pPr>
    </w:p>
    <w:p>
      <w:pPr>
        <w:rPr>
          <w:rFonts w:eastAsia="仿宋"/>
          <w:i/>
          <w:color w:val="000000"/>
          <w:sz w:val="32"/>
          <w:szCs w:val="32"/>
          <w:highlight w:val="yellow"/>
        </w:rPr>
      </w:pPr>
    </w:p>
    <w:p>
      <w:pPr>
        <w:pStyle w:val="7"/>
      </w:pPr>
      <w:r>
        <w:rPr>
          <w:rFonts w:hint="eastAsia"/>
          <w:lang w:val="en-US" w:eastAsia="zh-CN"/>
        </w:rPr>
        <w:t xml:space="preserve">     </w:t>
      </w:r>
      <w:r>
        <w:drawing>
          <wp:inline distT="0" distB="0" distL="114300" distR="114300">
            <wp:extent cx="4572000" cy="2743200"/>
            <wp:effectExtent l="4445" t="4445" r="10795" b="10795"/>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58" w:name="_Toc15377211"/>
      <w:r>
        <w:rPr>
          <w:rFonts w:hint="eastAsia" w:ascii="仿宋" w:hAnsi="仿宋" w:eastAsia="仿宋"/>
          <w:b/>
          <w:sz w:val="32"/>
          <w:szCs w:val="32"/>
        </w:rPr>
        <w:t>（二）一般公共预算财政拨款支出决算结构情况</w:t>
      </w:r>
      <w:bookmarkEnd w:id="5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1094.05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b/>
          <w:bCs/>
          <w:sz w:val="32"/>
          <w:szCs w:val="32"/>
          <w:lang w:val="en-US" w:eastAsia="zh-CN"/>
        </w:rPr>
        <w:t>942.01</w:t>
      </w:r>
      <w:r>
        <w:rPr>
          <w:rFonts w:hint="eastAsia" w:ascii="仿宋" w:hAnsi="仿宋" w:eastAsia="仿宋"/>
          <w:sz w:val="32"/>
          <w:szCs w:val="32"/>
        </w:rPr>
        <w:t>万元，占</w:t>
      </w:r>
      <w:r>
        <w:rPr>
          <w:rFonts w:hint="eastAsia" w:ascii="仿宋" w:hAnsi="仿宋" w:eastAsia="仿宋"/>
          <w:sz w:val="32"/>
          <w:szCs w:val="32"/>
          <w:lang w:val="en-US" w:eastAsia="zh-CN"/>
        </w:rPr>
        <w:t>86.1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b/>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b/>
          <w:bCs/>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b/>
          <w:bCs/>
          <w:sz w:val="32"/>
          <w:szCs w:val="32"/>
          <w:lang w:val="en-US" w:eastAsia="zh-CN"/>
        </w:rPr>
        <w:t>75.19</w:t>
      </w:r>
      <w:r>
        <w:rPr>
          <w:rFonts w:hint="eastAsia" w:ascii="仿宋" w:hAnsi="仿宋" w:eastAsia="仿宋"/>
          <w:sz w:val="32"/>
          <w:szCs w:val="32"/>
        </w:rPr>
        <w:t>万元，占</w:t>
      </w:r>
      <w:r>
        <w:rPr>
          <w:rFonts w:hint="eastAsia" w:ascii="仿宋" w:hAnsi="仿宋" w:eastAsia="仿宋"/>
          <w:sz w:val="32"/>
          <w:szCs w:val="32"/>
          <w:lang w:val="en-US" w:eastAsia="zh-CN"/>
        </w:rPr>
        <w:t>6.9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b/>
          <w:bCs/>
          <w:sz w:val="32"/>
          <w:szCs w:val="32"/>
          <w:lang w:val="en-US" w:eastAsia="zh-CN"/>
        </w:rPr>
        <w:t>25.37</w:t>
      </w:r>
      <w:r>
        <w:rPr>
          <w:rFonts w:hint="eastAsia" w:ascii="仿宋" w:hAnsi="仿宋" w:eastAsia="仿宋"/>
          <w:sz w:val="32"/>
          <w:szCs w:val="32"/>
        </w:rPr>
        <w:t>万元，占</w:t>
      </w:r>
      <w:r>
        <w:rPr>
          <w:rFonts w:hint="eastAsia" w:ascii="仿宋" w:hAnsi="仿宋" w:eastAsia="仿宋"/>
          <w:sz w:val="32"/>
          <w:szCs w:val="32"/>
          <w:lang w:val="en-US" w:eastAsia="zh-CN"/>
        </w:rPr>
        <w:t>2.3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b/>
          <w:bCs/>
          <w:sz w:val="32"/>
          <w:szCs w:val="32"/>
          <w:lang w:val="en-US" w:eastAsia="zh-CN"/>
        </w:rPr>
        <w:t>51.47</w:t>
      </w:r>
      <w:r>
        <w:rPr>
          <w:rFonts w:hint="eastAsia" w:ascii="仿宋" w:hAnsi="仿宋" w:eastAsia="仿宋"/>
          <w:sz w:val="32"/>
          <w:szCs w:val="32"/>
        </w:rPr>
        <w:t>万元，占</w:t>
      </w:r>
      <w:r>
        <w:rPr>
          <w:rFonts w:hint="eastAsia" w:ascii="仿宋" w:hAnsi="仿宋" w:eastAsia="仿宋"/>
          <w:sz w:val="32"/>
          <w:szCs w:val="32"/>
          <w:lang w:val="en-US" w:eastAsia="zh-CN"/>
        </w:rPr>
        <w:t>4.7</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eastAsia="仿宋"/>
          <w:i/>
          <w:color w:val="000000"/>
          <w:sz w:val="32"/>
          <w:szCs w:val="32"/>
          <w:highlight w:val="none"/>
        </w:rPr>
      </w:pPr>
      <w:r>
        <w:rPr>
          <w:rFonts w:eastAsia="仿宋"/>
          <w:i/>
          <w:color w:val="000000"/>
          <w:sz w:val="32"/>
          <w:szCs w:val="32"/>
          <w:highlight w:val="none"/>
        </w:rPr>
        <w:t>（图6：一般公共预算财政拨款支出决算结构）（饼状图）</w:t>
      </w:r>
    </w:p>
    <w:p>
      <w:r>
        <w:rPr>
          <w:rFonts w:hint="eastAsia"/>
          <w:lang w:val="en-US" w:eastAsia="zh-CN"/>
        </w:rPr>
        <w:t xml:space="preserve">        </w:t>
      </w:r>
      <w:r>
        <w:drawing>
          <wp:inline distT="0" distB="0" distL="114300" distR="114300">
            <wp:extent cx="4572000" cy="2743200"/>
            <wp:effectExtent l="4445" t="4445" r="10795" b="10795"/>
            <wp:docPr id="1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line="600" w:lineRule="exact"/>
        <w:ind w:firstLine="643" w:firstLineChars="200"/>
        <w:outlineLvl w:val="2"/>
        <w:rPr>
          <w:rFonts w:ascii="仿宋" w:hAnsi="仿宋" w:eastAsia="仿宋"/>
          <w:b/>
          <w:sz w:val="32"/>
          <w:szCs w:val="32"/>
        </w:rPr>
      </w:pPr>
      <w:bookmarkStart w:id="59" w:name="_Toc15377212"/>
      <w:r>
        <w:rPr>
          <w:rFonts w:hint="eastAsia" w:ascii="仿宋" w:hAnsi="仿宋" w:eastAsia="仿宋"/>
          <w:b/>
          <w:sz w:val="32"/>
          <w:szCs w:val="32"/>
        </w:rPr>
        <w:t>（三）一般公共预算财政拨款支出决算具体情况</w:t>
      </w:r>
      <w:bookmarkEnd w:id="59"/>
    </w:p>
    <w:p>
      <w:pPr>
        <w:spacing w:line="600" w:lineRule="exact"/>
        <w:ind w:firstLine="643" w:firstLineChars="200"/>
        <w:outlineLvl w:val="2"/>
        <w:rPr>
          <w:rFonts w:ascii="仿宋" w:hAnsi="仿宋" w:eastAsia="仿宋"/>
          <w:sz w:val="32"/>
          <w:szCs w:val="32"/>
        </w:rPr>
      </w:pPr>
      <w:bookmarkStart w:id="60" w:name="_Toc15377444"/>
      <w:bookmarkStart w:id="61" w:name="_Toc15377213"/>
      <w:bookmarkStart w:id="62" w:name="_Toc15378460"/>
      <w:r>
        <w:rPr>
          <w:rFonts w:hint="eastAsia" w:ascii="仿宋" w:hAnsi="仿宋" w:eastAsia="仿宋"/>
          <w:b/>
          <w:sz w:val="32"/>
          <w:szCs w:val="32"/>
        </w:rPr>
        <w:t>202</w:t>
      </w:r>
      <w:r>
        <w:rPr>
          <w:rFonts w:hint="eastAsia" w:ascii="仿宋" w:hAnsi="仿宋" w:eastAsia="仿宋"/>
          <w:b/>
          <w:sz w:val="32"/>
          <w:szCs w:val="32"/>
          <w:lang w:val="en-US" w:eastAsia="zh-CN"/>
        </w:rPr>
        <w:t>3</w:t>
      </w:r>
      <w:r>
        <w:rPr>
          <w:rFonts w:hint="eastAsia" w:ascii="仿宋" w:hAnsi="仿宋" w:eastAsia="仿宋"/>
          <w:b/>
          <w:sz w:val="32"/>
          <w:szCs w:val="32"/>
        </w:rPr>
        <w:t>年一般公共预算支出决算数为</w:t>
      </w:r>
      <w:r>
        <w:rPr>
          <w:rFonts w:hint="eastAsia" w:ascii="仿宋" w:hAnsi="仿宋" w:eastAsia="仿宋"/>
          <w:b/>
          <w:sz w:val="32"/>
          <w:szCs w:val="32"/>
          <w:lang w:val="en-US" w:eastAsia="zh-CN"/>
        </w:rPr>
        <w:t>1094.05万元</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hint="eastAsia" w:ascii="仿宋" w:hAnsi="仿宋" w:eastAsia="仿宋"/>
          <w:bCs/>
          <w:sz w:val="32"/>
          <w:szCs w:val="32"/>
          <w:lang w:val="en-US" w:eastAsia="zh-CN"/>
        </w:rPr>
        <w:t>100</w:t>
      </w:r>
      <w:r>
        <w:rPr>
          <w:rStyle w:val="19"/>
          <w:rFonts w:ascii="仿宋" w:hAnsi="仿宋" w:eastAsia="仿宋"/>
          <w:bCs/>
          <w:sz w:val="32"/>
          <w:szCs w:val="32"/>
        </w:rPr>
        <w:t>%</w:t>
      </w:r>
      <w:r>
        <w:rPr>
          <w:rStyle w:val="19"/>
          <w:rFonts w:hint="eastAsia" w:ascii="仿宋" w:hAnsi="仿宋" w:eastAsia="仿宋"/>
          <w:bCs/>
          <w:sz w:val="32"/>
          <w:szCs w:val="32"/>
        </w:rPr>
        <w:t>。其中：</w:t>
      </w:r>
      <w:bookmarkEnd w:id="60"/>
      <w:bookmarkEnd w:id="61"/>
      <w:bookmarkEnd w:id="62"/>
    </w:p>
    <w:p>
      <w:pPr>
        <w:spacing w:line="600" w:lineRule="exact"/>
        <w:ind w:firstLine="643" w:firstLineChars="200"/>
        <w:rPr>
          <w:rFonts w:hint="eastAsia" w:ascii="仿宋" w:hAnsi="仿宋" w:eastAsia="仿宋"/>
          <w:b/>
          <w:sz w:val="32"/>
          <w:szCs w:val="32"/>
          <w:lang w:val="en-US" w:eastAsia="zh-CN"/>
        </w:rPr>
      </w:pPr>
      <w:r>
        <w:rPr>
          <w:rStyle w:val="19"/>
          <w:rFonts w:eastAsia="仿宋"/>
          <w:bCs/>
          <w:color w:val="000000"/>
          <w:sz w:val="32"/>
          <w:szCs w:val="32"/>
        </w:rPr>
        <w:t>1.</w:t>
      </w:r>
      <w:r>
        <w:rPr>
          <w:rStyle w:val="19"/>
          <w:rFonts w:hint="eastAsia" w:ascii="仿宋" w:hAnsi="仿宋" w:eastAsia="仿宋"/>
          <w:bCs/>
          <w:sz w:val="32"/>
          <w:szCs w:val="32"/>
        </w:rPr>
        <w:t>一般公共服务（201）财政事务（06）行政运行（01）</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448.55</w:t>
      </w:r>
      <w:r>
        <w:rPr>
          <w:rStyle w:val="19"/>
          <w:rFonts w:hint="eastAsia" w:ascii="仿宋" w:hAnsi="仿宋" w:eastAsia="仿宋"/>
          <w:b w:val="0"/>
          <w:bCs/>
          <w:sz w:val="32"/>
          <w:szCs w:val="32"/>
        </w:rPr>
        <w:t>万元，完成预算100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Style w:val="19"/>
          <w:rFonts w:hint="eastAsia" w:ascii="仿宋" w:hAnsi="仿宋" w:eastAsia="仿宋"/>
          <w:bCs/>
          <w:sz w:val="32"/>
          <w:szCs w:val="32"/>
        </w:rPr>
        <w:t>一般公共服务（201）财政事务（06）一般行政事务管理（02）</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336.28</w:t>
      </w:r>
      <w:r>
        <w:rPr>
          <w:rStyle w:val="19"/>
          <w:rFonts w:hint="eastAsia" w:ascii="仿宋" w:hAnsi="仿宋" w:eastAsia="仿宋"/>
          <w:b w:val="0"/>
          <w:bCs/>
          <w:sz w:val="32"/>
          <w:szCs w:val="32"/>
        </w:rPr>
        <w:t>万元，完成预算100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Style w:val="19"/>
          <w:rFonts w:hint="eastAsia" w:ascii="仿宋" w:hAnsi="仿宋" w:eastAsia="仿宋"/>
          <w:bCs/>
          <w:sz w:val="32"/>
          <w:szCs w:val="32"/>
        </w:rPr>
        <w:t>一般公共服务</w:t>
      </w:r>
      <w:r>
        <w:rPr>
          <w:rStyle w:val="19"/>
          <w:rFonts w:hint="eastAsia" w:ascii="仿宋" w:hAnsi="仿宋" w:eastAsia="仿宋"/>
          <w:bCs/>
          <w:sz w:val="32"/>
          <w:szCs w:val="32"/>
          <w:lang w:eastAsia="zh-CN"/>
        </w:rPr>
        <w:t>（</w:t>
      </w:r>
      <w:r>
        <w:rPr>
          <w:rStyle w:val="19"/>
          <w:rFonts w:hint="eastAsia" w:ascii="仿宋" w:hAnsi="仿宋" w:eastAsia="仿宋"/>
          <w:bCs/>
          <w:sz w:val="32"/>
          <w:szCs w:val="32"/>
          <w:lang w:val="en-US" w:eastAsia="zh-CN"/>
        </w:rPr>
        <w:t>201</w:t>
      </w:r>
      <w:r>
        <w:rPr>
          <w:rStyle w:val="19"/>
          <w:rFonts w:hint="eastAsia" w:ascii="仿宋" w:hAnsi="仿宋" w:eastAsia="仿宋"/>
          <w:bCs/>
          <w:sz w:val="32"/>
          <w:szCs w:val="32"/>
          <w:lang w:eastAsia="zh-CN"/>
        </w:rPr>
        <w:t>）</w:t>
      </w:r>
      <w:r>
        <w:rPr>
          <w:rStyle w:val="19"/>
          <w:rFonts w:hint="eastAsia" w:ascii="仿宋" w:hAnsi="仿宋" w:eastAsia="仿宋"/>
          <w:bCs/>
          <w:sz w:val="32"/>
          <w:szCs w:val="32"/>
          <w:lang w:val="en-US" w:eastAsia="zh-CN"/>
        </w:rPr>
        <w:t>财政事务（06）信息化建设（07）</w:t>
      </w:r>
      <w:r>
        <w:rPr>
          <w:rStyle w:val="19"/>
          <w:rFonts w:hint="eastAsia" w:ascii="仿宋" w:hAnsi="仿宋" w:eastAsia="仿宋"/>
          <w:b w:val="0"/>
          <w:bCs/>
          <w:sz w:val="32"/>
          <w:szCs w:val="32"/>
        </w:rPr>
        <w:t>支出决算为</w:t>
      </w:r>
      <w:r>
        <w:rPr>
          <w:rStyle w:val="19"/>
          <w:rFonts w:hint="eastAsia" w:ascii="仿宋" w:hAnsi="仿宋" w:eastAsia="仿宋"/>
          <w:b w:val="0"/>
          <w:bCs/>
          <w:sz w:val="32"/>
          <w:szCs w:val="32"/>
          <w:lang w:val="en-US" w:eastAsia="zh-CN"/>
        </w:rPr>
        <w:t>19.47</w:t>
      </w:r>
      <w:r>
        <w:rPr>
          <w:rStyle w:val="19"/>
          <w:rFonts w:hint="eastAsia" w:ascii="仿宋" w:hAnsi="仿宋" w:eastAsia="仿宋"/>
          <w:b w:val="0"/>
          <w:bCs/>
          <w:sz w:val="32"/>
          <w:szCs w:val="32"/>
        </w:rPr>
        <w:t>万元，完成预算100</w:t>
      </w:r>
      <w:r>
        <w:rPr>
          <w:rStyle w:val="19"/>
          <w:rFonts w:ascii="仿宋" w:hAnsi="仿宋" w:eastAsia="仿宋"/>
          <w:b w:val="0"/>
          <w:bCs/>
          <w:sz w:val="32"/>
          <w:szCs w:val="32"/>
        </w:rPr>
        <w:t>%</w:t>
      </w:r>
      <w:r>
        <w:rPr>
          <w:rStyle w:val="19"/>
          <w:rFonts w:hint="eastAsia" w:ascii="仿宋" w:hAnsi="仿宋" w:eastAsia="仿宋"/>
          <w:b w:val="0"/>
          <w:bCs/>
          <w:sz w:val="32"/>
          <w:szCs w:val="32"/>
          <w:lang w:eastAsia="zh-CN"/>
        </w:rPr>
        <w:t>，</w:t>
      </w:r>
      <w:r>
        <w:rPr>
          <w:rStyle w:val="19"/>
          <w:rFonts w:hint="eastAsia" w:ascii="仿宋" w:hAnsi="仿宋" w:eastAsia="仿宋"/>
          <w:bCs/>
          <w:sz w:val="32"/>
          <w:szCs w:val="32"/>
        </w:rPr>
        <w:t>一般公共服务（201）</w:t>
      </w:r>
      <w:r>
        <w:rPr>
          <w:rStyle w:val="19"/>
          <w:rFonts w:hint="eastAsia" w:ascii="仿宋" w:hAnsi="仿宋" w:eastAsia="仿宋"/>
          <w:bCs/>
          <w:color w:val="000000"/>
          <w:sz w:val="32"/>
          <w:szCs w:val="32"/>
        </w:rPr>
        <w:t>财政事务（06）事业运行（50）</w:t>
      </w:r>
      <w:r>
        <w:rPr>
          <w:rStyle w:val="19"/>
          <w:rFonts w:hint="eastAsia" w:ascii="仿宋" w:hAnsi="仿宋" w:eastAsia="仿宋"/>
          <w:b w:val="0"/>
          <w:bCs/>
          <w:color w:val="000000"/>
          <w:sz w:val="32"/>
          <w:szCs w:val="32"/>
        </w:rPr>
        <w:t>支出决算为</w:t>
      </w:r>
      <w:r>
        <w:rPr>
          <w:rStyle w:val="19"/>
          <w:rFonts w:hint="eastAsia" w:ascii="仿宋" w:hAnsi="仿宋" w:eastAsia="仿宋"/>
          <w:b w:val="0"/>
          <w:bCs/>
          <w:color w:val="000000"/>
          <w:sz w:val="32"/>
          <w:szCs w:val="32"/>
          <w:lang w:val="en-US" w:eastAsia="zh-CN"/>
        </w:rPr>
        <w:t>137.72</w:t>
      </w:r>
      <w:r>
        <w:rPr>
          <w:rStyle w:val="19"/>
          <w:rFonts w:hint="eastAsia" w:ascii="仿宋" w:hAnsi="仿宋" w:eastAsia="仿宋"/>
          <w:b w:val="0"/>
          <w:bCs/>
          <w:color w:val="000000"/>
          <w:sz w:val="32"/>
          <w:szCs w:val="32"/>
        </w:rPr>
        <w:t>万元，完成预算100</w:t>
      </w:r>
      <w:r>
        <w:rPr>
          <w:rStyle w:val="19"/>
          <w:rFonts w:ascii="仿宋" w:hAnsi="仿宋" w:eastAsia="仿宋"/>
          <w:b w:val="0"/>
          <w:bCs/>
          <w:color w:val="000000"/>
          <w:sz w:val="32"/>
          <w:szCs w:val="32"/>
        </w:rPr>
        <w:t>%</w:t>
      </w:r>
      <w:r>
        <w:rPr>
          <w:rStyle w:val="19"/>
          <w:rFonts w:hint="eastAsia" w:ascii="仿宋" w:hAnsi="仿宋" w:eastAsia="仿宋"/>
          <w:b w:val="0"/>
          <w:bCs/>
          <w:color w:val="000000"/>
          <w:sz w:val="32"/>
          <w:szCs w:val="32"/>
          <w:lang w:eastAsia="zh-CN"/>
        </w:rPr>
        <w:t>。</w:t>
      </w:r>
    </w:p>
    <w:p>
      <w:pPr>
        <w:spacing w:line="600" w:lineRule="exact"/>
        <w:ind w:firstLine="643" w:firstLineChars="200"/>
        <w:rPr>
          <w:rFonts w:eastAsia="仿宋"/>
          <w:b/>
          <w:color w:val="000000"/>
          <w:sz w:val="32"/>
          <w:szCs w:val="32"/>
        </w:rPr>
      </w:pPr>
      <w:r>
        <w:rPr>
          <w:rStyle w:val="19"/>
          <w:rFonts w:hint="eastAsia" w:eastAsia="仿宋"/>
          <w:bCs/>
          <w:color w:val="000000"/>
          <w:sz w:val="32"/>
          <w:szCs w:val="32"/>
          <w:lang w:val="en-US" w:eastAsia="zh-CN"/>
        </w:rPr>
        <w:t>2</w:t>
      </w:r>
      <w:r>
        <w:rPr>
          <w:rStyle w:val="19"/>
          <w:rFonts w:eastAsia="仿宋"/>
          <w:bCs/>
          <w:color w:val="000000"/>
          <w:sz w:val="32"/>
          <w:szCs w:val="32"/>
        </w:rPr>
        <w:t>.</w:t>
      </w:r>
      <w:r>
        <w:rPr>
          <w:rStyle w:val="19"/>
          <w:rFonts w:hint="eastAsia" w:ascii="仿宋" w:hAnsi="仿宋" w:eastAsia="仿宋"/>
          <w:bCs/>
          <w:color w:val="000000"/>
          <w:sz w:val="32"/>
          <w:szCs w:val="32"/>
        </w:rPr>
        <w:t>社会保障和就业（208）机关事业单位基本养老保险缴费（05）</w:t>
      </w:r>
      <w:r>
        <w:rPr>
          <w:rStyle w:val="19"/>
          <w:rFonts w:hint="eastAsia" w:ascii="仿宋" w:hAnsi="仿宋" w:eastAsia="仿宋"/>
          <w:b w:val="0"/>
          <w:bCs/>
          <w:color w:val="000000"/>
          <w:sz w:val="32"/>
          <w:szCs w:val="32"/>
        </w:rPr>
        <w:t>支出决算为</w:t>
      </w:r>
      <w:r>
        <w:rPr>
          <w:rFonts w:hint="eastAsia" w:ascii="仿宋" w:hAnsi="仿宋" w:eastAsia="仿宋"/>
          <w:color w:val="000000"/>
          <w:sz w:val="32"/>
          <w:szCs w:val="32"/>
          <w:lang w:val="en-US" w:eastAsia="zh-CN"/>
        </w:rPr>
        <w:t>61.55</w:t>
      </w:r>
      <w:r>
        <w:rPr>
          <w:rStyle w:val="19"/>
          <w:rFonts w:hint="eastAsia" w:ascii="仿宋" w:hAnsi="仿宋" w:eastAsia="仿宋"/>
          <w:b w:val="0"/>
          <w:bCs/>
          <w:color w:val="000000"/>
          <w:sz w:val="32"/>
          <w:szCs w:val="32"/>
        </w:rPr>
        <w:t>万元，完成预算100</w:t>
      </w:r>
      <w:r>
        <w:rPr>
          <w:rStyle w:val="19"/>
          <w:rFonts w:ascii="仿宋" w:hAnsi="仿宋" w:eastAsia="仿宋"/>
          <w:b w:val="0"/>
          <w:bCs/>
          <w:color w:val="000000"/>
          <w:sz w:val="32"/>
          <w:szCs w:val="32"/>
        </w:rPr>
        <w:t>%</w:t>
      </w:r>
      <w:r>
        <w:rPr>
          <w:rStyle w:val="19"/>
          <w:rFonts w:hint="eastAsia" w:ascii="仿宋" w:hAnsi="仿宋" w:eastAsia="仿宋"/>
          <w:b w:val="0"/>
          <w:bCs/>
          <w:color w:val="000000"/>
          <w:sz w:val="32"/>
          <w:szCs w:val="32"/>
        </w:rPr>
        <w:t>。</w:t>
      </w:r>
      <w:r>
        <w:rPr>
          <w:rStyle w:val="19"/>
          <w:rFonts w:hint="eastAsia" w:ascii="仿宋" w:hAnsi="仿宋" w:eastAsia="仿宋"/>
          <w:bCs/>
          <w:color w:val="000000"/>
          <w:sz w:val="32"/>
          <w:szCs w:val="32"/>
        </w:rPr>
        <w:t>社会保障和就业（208）机关事业单位</w:t>
      </w:r>
      <w:r>
        <w:rPr>
          <w:rStyle w:val="19"/>
          <w:rFonts w:hint="eastAsia" w:ascii="仿宋" w:hAnsi="仿宋" w:eastAsia="仿宋"/>
          <w:bCs/>
          <w:color w:val="000000"/>
          <w:sz w:val="32"/>
          <w:szCs w:val="32"/>
          <w:lang w:val="en-US" w:eastAsia="zh-CN"/>
        </w:rPr>
        <w:t>职业年金</w:t>
      </w:r>
      <w:r>
        <w:rPr>
          <w:rStyle w:val="19"/>
          <w:rFonts w:hint="eastAsia" w:ascii="仿宋" w:hAnsi="仿宋" w:eastAsia="仿宋"/>
          <w:bCs/>
          <w:color w:val="000000"/>
          <w:sz w:val="32"/>
          <w:szCs w:val="32"/>
        </w:rPr>
        <w:t>缴费（0</w:t>
      </w:r>
      <w:r>
        <w:rPr>
          <w:rStyle w:val="19"/>
          <w:rFonts w:hint="eastAsia" w:ascii="仿宋" w:hAnsi="仿宋" w:eastAsia="仿宋"/>
          <w:bCs/>
          <w:color w:val="000000"/>
          <w:sz w:val="32"/>
          <w:szCs w:val="32"/>
          <w:lang w:val="en-US" w:eastAsia="zh-CN"/>
        </w:rPr>
        <w:t>6</w:t>
      </w:r>
      <w:r>
        <w:rPr>
          <w:rStyle w:val="19"/>
          <w:rFonts w:hint="eastAsia" w:ascii="仿宋" w:hAnsi="仿宋" w:eastAsia="仿宋"/>
          <w:bCs/>
          <w:color w:val="000000"/>
          <w:sz w:val="32"/>
          <w:szCs w:val="32"/>
        </w:rPr>
        <w:t>）</w:t>
      </w:r>
      <w:r>
        <w:rPr>
          <w:rStyle w:val="19"/>
          <w:rFonts w:hint="eastAsia" w:ascii="仿宋" w:hAnsi="仿宋" w:eastAsia="仿宋"/>
          <w:b w:val="0"/>
          <w:bCs/>
          <w:color w:val="000000"/>
          <w:sz w:val="32"/>
          <w:szCs w:val="32"/>
        </w:rPr>
        <w:t>支出决算为</w:t>
      </w:r>
      <w:r>
        <w:rPr>
          <w:rStyle w:val="19"/>
          <w:rFonts w:hint="eastAsia" w:ascii="仿宋" w:hAnsi="仿宋" w:eastAsia="仿宋"/>
          <w:b w:val="0"/>
          <w:bCs/>
          <w:color w:val="000000"/>
          <w:sz w:val="32"/>
          <w:szCs w:val="32"/>
          <w:lang w:val="en-US" w:eastAsia="zh-CN"/>
        </w:rPr>
        <w:t>13.64</w:t>
      </w:r>
      <w:r>
        <w:rPr>
          <w:rStyle w:val="19"/>
          <w:rFonts w:hint="eastAsia" w:ascii="仿宋" w:hAnsi="仿宋" w:eastAsia="仿宋"/>
          <w:b w:val="0"/>
          <w:bCs/>
          <w:color w:val="000000"/>
          <w:sz w:val="32"/>
          <w:szCs w:val="32"/>
        </w:rPr>
        <w:t>万元，完成预算100</w:t>
      </w:r>
      <w:r>
        <w:rPr>
          <w:rStyle w:val="19"/>
          <w:rFonts w:ascii="仿宋" w:hAnsi="仿宋" w:eastAsia="仿宋"/>
          <w:b w:val="0"/>
          <w:bCs/>
          <w:color w:val="000000"/>
          <w:sz w:val="32"/>
          <w:szCs w:val="32"/>
        </w:rPr>
        <w:t>%</w:t>
      </w:r>
      <w:r>
        <w:rPr>
          <w:rStyle w:val="19"/>
          <w:rFonts w:hint="eastAsia" w:ascii="仿宋" w:hAnsi="仿宋" w:eastAsia="仿宋"/>
          <w:b w:val="0"/>
          <w:bCs/>
          <w:color w:val="000000"/>
          <w:sz w:val="32"/>
          <w:szCs w:val="32"/>
        </w:rPr>
        <w:t>。</w:t>
      </w:r>
    </w:p>
    <w:p>
      <w:pPr>
        <w:spacing w:line="600" w:lineRule="exact"/>
        <w:ind w:firstLine="643" w:firstLineChars="200"/>
        <w:rPr>
          <w:rStyle w:val="19"/>
          <w:rFonts w:eastAsia="仿宋"/>
          <w:b w:val="0"/>
          <w:bCs/>
          <w:color w:val="000000"/>
          <w:sz w:val="32"/>
          <w:szCs w:val="32"/>
        </w:rPr>
      </w:pPr>
      <w:r>
        <w:rPr>
          <w:rStyle w:val="19"/>
          <w:rFonts w:hint="eastAsia" w:eastAsia="仿宋"/>
          <w:bCs/>
          <w:color w:val="000000"/>
          <w:sz w:val="32"/>
          <w:szCs w:val="32"/>
          <w:lang w:val="en-US" w:eastAsia="zh-CN"/>
        </w:rPr>
        <w:t>3</w:t>
      </w:r>
      <w:r>
        <w:rPr>
          <w:rStyle w:val="19"/>
          <w:rFonts w:eastAsia="仿宋"/>
          <w:bCs/>
          <w:color w:val="000000"/>
          <w:sz w:val="32"/>
          <w:szCs w:val="32"/>
        </w:rPr>
        <w:t>.</w:t>
      </w:r>
      <w:r>
        <w:rPr>
          <w:rFonts w:eastAsia="仿宋"/>
          <w:b/>
          <w:bCs/>
          <w:color w:val="000000"/>
          <w:sz w:val="32"/>
          <w:szCs w:val="32"/>
        </w:rPr>
        <w:t>卫生健康</w:t>
      </w:r>
      <w:r>
        <w:rPr>
          <w:rStyle w:val="19"/>
          <w:rFonts w:eastAsia="仿宋"/>
          <w:bCs/>
          <w:color w:val="000000"/>
          <w:sz w:val="32"/>
          <w:szCs w:val="32"/>
        </w:rPr>
        <w:t>（</w:t>
      </w:r>
      <w:r>
        <w:rPr>
          <w:rStyle w:val="19"/>
          <w:rFonts w:hint="eastAsia" w:eastAsia="仿宋"/>
          <w:bCs/>
          <w:color w:val="000000"/>
          <w:sz w:val="32"/>
          <w:szCs w:val="32"/>
          <w:lang w:val="en-US" w:eastAsia="zh-CN"/>
        </w:rPr>
        <w:t>210</w:t>
      </w:r>
      <w:r>
        <w:rPr>
          <w:rStyle w:val="19"/>
          <w:rFonts w:eastAsia="仿宋"/>
          <w:bCs/>
          <w:color w:val="000000"/>
          <w:sz w:val="32"/>
          <w:szCs w:val="32"/>
        </w:rPr>
        <w:t>）</w:t>
      </w:r>
      <w:r>
        <w:rPr>
          <w:rStyle w:val="19"/>
          <w:rFonts w:hint="eastAsia" w:eastAsia="仿宋"/>
          <w:bCs/>
          <w:color w:val="000000"/>
          <w:sz w:val="32"/>
          <w:szCs w:val="32"/>
          <w:lang w:val="en-US" w:eastAsia="zh-CN"/>
        </w:rPr>
        <w:t>行政事业单位医疗</w:t>
      </w:r>
      <w:r>
        <w:rPr>
          <w:rStyle w:val="19"/>
          <w:rFonts w:eastAsia="仿宋"/>
          <w:bCs/>
          <w:color w:val="000000"/>
          <w:sz w:val="32"/>
          <w:szCs w:val="32"/>
        </w:rPr>
        <w:t>（</w:t>
      </w:r>
      <w:r>
        <w:rPr>
          <w:rStyle w:val="19"/>
          <w:rFonts w:hint="eastAsia" w:eastAsia="仿宋"/>
          <w:bCs/>
          <w:color w:val="000000"/>
          <w:sz w:val="32"/>
          <w:szCs w:val="32"/>
          <w:lang w:val="en-US" w:eastAsia="zh-CN"/>
        </w:rPr>
        <w:t>11</w:t>
      </w:r>
      <w:r>
        <w:rPr>
          <w:rStyle w:val="19"/>
          <w:rFonts w:eastAsia="仿宋"/>
          <w:bCs/>
          <w:color w:val="000000"/>
          <w:sz w:val="32"/>
          <w:szCs w:val="32"/>
        </w:rPr>
        <w:t>）</w:t>
      </w:r>
      <w:r>
        <w:rPr>
          <w:rStyle w:val="19"/>
          <w:rFonts w:hint="eastAsia" w:eastAsia="仿宋"/>
          <w:bCs/>
          <w:color w:val="000000"/>
          <w:sz w:val="32"/>
          <w:szCs w:val="32"/>
          <w:lang w:val="en-US" w:eastAsia="zh-CN"/>
        </w:rPr>
        <w:t>行政单位医疗</w:t>
      </w:r>
      <w:r>
        <w:rPr>
          <w:rStyle w:val="19"/>
          <w:rFonts w:eastAsia="仿宋"/>
          <w:bCs/>
          <w:color w:val="000000"/>
          <w:sz w:val="32"/>
          <w:szCs w:val="32"/>
        </w:rPr>
        <w:t>（</w:t>
      </w:r>
      <w:r>
        <w:rPr>
          <w:rStyle w:val="19"/>
          <w:rFonts w:hint="eastAsia" w:eastAsia="仿宋"/>
          <w:bCs/>
          <w:color w:val="000000"/>
          <w:sz w:val="32"/>
          <w:szCs w:val="32"/>
          <w:lang w:val="en-US" w:eastAsia="zh-CN"/>
        </w:rPr>
        <w:t>01</w:t>
      </w:r>
      <w:r>
        <w:rPr>
          <w:rStyle w:val="19"/>
          <w:rFonts w:eastAsia="仿宋"/>
          <w:bCs/>
          <w:color w:val="000000"/>
          <w:sz w:val="32"/>
          <w:szCs w:val="32"/>
        </w:rPr>
        <w:t>）</w:t>
      </w:r>
      <w:r>
        <w:rPr>
          <w:rStyle w:val="19"/>
          <w:rFonts w:eastAsia="仿宋"/>
          <w:b w:val="0"/>
          <w:bCs/>
          <w:color w:val="000000"/>
          <w:sz w:val="32"/>
          <w:szCs w:val="32"/>
        </w:rPr>
        <w:t>支出决算为</w:t>
      </w:r>
      <w:r>
        <w:rPr>
          <w:rStyle w:val="19"/>
          <w:rFonts w:hint="eastAsia" w:eastAsia="仿宋"/>
          <w:b w:val="0"/>
          <w:bCs/>
          <w:color w:val="000000"/>
          <w:sz w:val="32"/>
          <w:szCs w:val="32"/>
          <w:lang w:val="en-US" w:eastAsia="zh-CN"/>
        </w:rPr>
        <w:t>16.96</w:t>
      </w:r>
      <w:r>
        <w:rPr>
          <w:rStyle w:val="19"/>
          <w:rFonts w:eastAsia="仿宋"/>
          <w:b w:val="0"/>
          <w:bCs/>
          <w:color w:val="000000"/>
          <w:sz w:val="32"/>
          <w:szCs w:val="32"/>
        </w:rPr>
        <w:t>万元，完成预算</w:t>
      </w:r>
      <w:r>
        <w:rPr>
          <w:rStyle w:val="19"/>
          <w:rFonts w:hint="eastAsia" w:eastAsia="仿宋"/>
          <w:b w:val="0"/>
          <w:bCs/>
          <w:color w:val="000000"/>
          <w:sz w:val="32"/>
          <w:szCs w:val="32"/>
          <w:lang w:val="en-US" w:eastAsia="zh-CN"/>
        </w:rPr>
        <w:t>100</w:t>
      </w:r>
      <w:r>
        <w:rPr>
          <w:rStyle w:val="19"/>
          <w:rFonts w:eastAsia="仿宋"/>
          <w:b w:val="0"/>
          <w:bCs/>
          <w:color w:val="000000"/>
          <w:sz w:val="32"/>
          <w:szCs w:val="32"/>
        </w:rPr>
        <w:t>%，</w:t>
      </w:r>
      <w:r>
        <w:rPr>
          <w:rFonts w:eastAsia="仿宋"/>
          <w:b/>
          <w:bCs/>
          <w:color w:val="000000"/>
          <w:sz w:val="32"/>
          <w:szCs w:val="32"/>
        </w:rPr>
        <w:t>卫生健康</w:t>
      </w:r>
      <w:r>
        <w:rPr>
          <w:rStyle w:val="19"/>
          <w:rFonts w:eastAsia="仿宋"/>
          <w:bCs/>
          <w:color w:val="000000"/>
          <w:sz w:val="32"/>
          <w:szCs w:val="32"/>
        </w:rPr>
        <w:t>（</w:t>
      </w:r>
      <w:r>
        <w:rPr>
          <w:rStyle w:val="19"/>
          <w:rFonts w:hint="eastAsia" w:eastAsia="仿宋"/>
          <w:bCs/>
          <w:color w:val="000000"/>
          <w:sz w:val="32"/>
          <w:szCs w:val="32"/>
          <w:lang w:val="en-US" w:eastAsia="zh-CN"/>
        </w:rPr>
        <w:t>210</w:t>
      </w:r>
      <w:r>
        <w:rPr>
          <w:rStyle w:val="19"/>
          <w:rFonts w:eastAsia="仿宋"/>
          <w:bCs/>
          <w:color w:val="000000"/>
          <w:sz w:val="32"/>
          <w:szCs w:val="32"/>
        </w:rPr>
        <w:t>）</w:t>
      </w:r>
      <w:r>
        <w:rPr>
          <w:rStyle w:val="19"/>
          <w:rFonts w:hint="eastAsia" w:eastAsia="仿宋"/>
          <w:bCs/>
          <w:color w:val="000000"/>
          <w:sz w:val="32"/>
          <w:szCs w:val="32"/>
          <w:lang w:val="en-US" w:eastAsia="zh-CN"/>
        </w:rPr>
        <w:t>行政事业单位医疗</w:t>
      </w:r>
      <w:r>
        <w:rPr>
          <w:rStyle w:val="19"/>
          <w:rFonts w:eastAsia="仿宋"/>
          <w:bCs/>
          <w:color w:val="000000"/>
          <w:sz w:val="32"/>
          <w:szCs w:val="32"/>
        </w:rPr>
        <w:t>（</w:t>
      </w:r>
      <w:r>
        <w:rPr>
          <w:rStyle w:val="19"/>
          <w:rFonts w:hint="eastAsia" w:eastAsia="仿宋"/>
          <w:bCs/>
          <w:color w:val="000000"/>
          <w:sz w:val="32"/>
          <w:szCs w:val="32"/>
          <w:lang w:val="en-US" w:eastAsia="zh-CN"/>
        </w:rPr>
        <w:t>11</w:t>
      </w:r>
      <w:r>
        <w:rPr>
          <w:rStyle w:val="19"/>
          <w:rFonts w:eastAsia="仿宋"/>
          <w:bCs/>
          <w:color w:val="000000"/>
          <w:sz w:val="32"/>
          <w:szCs w:val="32"/>
        </w:rPr>
        <w:t>）</w:t>
      </w:r>
      <w:r>
        <w:rPr>
          <w:rStyle w:val="19"/>
          <w:rFonts w:hint="eastAsia" w:eastAsia="仿宋"/>
          <w:bCs/>
          <w:color w:val="000000"/>
          <w:sz w:val="32"/>
          <w:szCs w:val="32"/>
          <w:lang w:val="en-US" w:eastAsia="zh-CN"/>
        </w:rPr>
        <w:t>事业单位医疗</w:t>
      </w:r>
      <w:r>
        <w:rPr>
          <w:rStyle w:val="19"/>
          <w:rFonts w:eastAsia="仿宋"/>
          <w:bCs/>
          <w:color w:val="000000"/>
          <w:sz w:val="32"/>
          <w:szCs w:val="32"/>
        </w:rPr>
        <w:t>（</w:t>
      </w:r>
      <w:r>
        <w:rPr>
          <w:rStyle w:val="19"/>
          <w:rFonts w:hint="eastAsia" w:eastAsia="仿宋"/>
          <w:bCs/>
          <w:color w:val="000000"/>
          <w:sz w:val="32"/>
          <w:szCs w:val="32"/>
          <w:lang w:val="en-US" w:eastAsia="zh-CN"/>
        </w:rPr>
        <w:t>02</w:t>
      </w:r>
      <w:r>
        <w:rPr>
          <w:rStyle w:val="19"/>
          <w:rFonts w:eastAsia="仿宋"/>
          <w:bCs/>
          <w:color w:val="000000"/>
          <w:sz w:val="32"/>
          <w:szCs w:val="32"/>
        </w:rPr>
        <w:t>）</w:t>
      </w:r>
      <w:r>
        <w:rPr>
          <w:rStyle w:val="19"/>
          <w:rFonts w:eastAsia="仿宋"/>
          <w:b w:val="0"/>
          <w:bCs/>
          <w:color w:val="000000"/>
          <w:sz w:val="32"/>
          <w:szCs w:val="32"/>
        </w:rPr>
        <w:t>支出决算为</w:t>
      </w:r>
      <w:r>
        <w:rPr>
          <w:rStyle w:val="19"/>
          <w:rFonts w:hint="eastAsia" w:eastAsia="仿宋"/>
          <w:b w:val="0"/>
          <w:bCs/>
          <w:color w:val="000000"/>
          <w:sz w:val="32"/>
          <w:szCs w:val="32"/>
          <w:lang w:val="en-US" w:eastAsia="zh-CN"/>
        </w:rPr>
        <w:t>6.06</w:t>
      </w:r>
      <w:r>
        <w:rPr>
          <w:rStyle w:val="19"/>
          <w:rFonts w:eastAsia="仿宋"/>
          <w:b w:val="0"/>
          <w:bCs/>
          <w:color w:val="000000"/>
          <w:sz w:val="32"/>
          <w:szCs w:val="32"/>
        </w:rPr>
        <w:t>万元，完成预算</w:t>
      </w:r>
      <w:r>
        <w:rPr>
          <w:rStyle w:val="19"/>
          <w:rFonts w:hint="eastAsia" w:eastAsia="仿宋"/>
          <w:b w:val="0"/>
          <w:bCs/>
          <w:color w:val="000000"/>
          <w:sz w:val="32"/>
          <w:szCs w:val="32"/>
          <w:lang w:val="en-US" w:eastAsia="zh-CN"/>
        </w:rPr>
        <w:t>100</w:t>
      </w:r>
      <w:r>
        <w:rPr>
          <w:rStyle w:val="19"/>
          <w:rFonts w:eastAsia="仿宋"/>
          <w:b w:val="0"/>
          <w:bCs/>
          <w:color w:val="000000"/>
          <w:sz w:val="32"/>
          <w:szCs w:val="32"/>
        </w:rPr>
        <w:t>%</w:t>
      </w:r>
      <w:r>
        <w:rPr>
          <w:rStyle w:val="19"/>
          <w:rFonts w:hint="eastAsia" w:eastAsia="仿宋"/>
          <w:b w:val="0"/>
          <w:bCs/>
          <w:color w:val="000000"/>
          <w:sz w:val="32"/>
          <w:szCs w:val="32"/>
          <w:lang w:eastAsia="zh-CN"/>
        </w:rPr>
        <w:t>，</w:t>
      </w:r>
      <w:r>
        <w:rPr>
          <w:rFonts w:eastAsia="仿宋"/>
          <w:b/>
          <w:bCs/>
          <w:color w:val="000000"/>
          <w:sz w:val="32"/>
          <w:szCs w:val="32"/>
        </w:rPr>
        <w:t>卫生健康</w:t>
      </w:r>
      <w:r>
        <w:rPr>
          <w:rStyle w:val="19"/>
          <w:rFonts w:eastAsia="仿宋"/>
          <w:bCs/>
          <w:color w:val="000000"/>
          <w:sz w:val="32"/>
          <w:szCs w:val="32"/>
        </w:rPr>
        <w:t>（</w:t>
      </w:r>
      <w:r>
        <w:rPr>
          <w:rStyle w:val="19"/>
          <w:rFonts w:hint="eastAsia" w:eastAsia="仿宋"/>
          <w:bCs/>
          <w:color w:val="000000"/>
          <w:sz w:val="32"/>
          <w:szCs w:val="32"/>
          <w:lang w:val="en-US" w:eastAsia="zh-CN"/>
        </w:rPr>
        <w:t>210</w:t>
      </w:r>
      <w:r>
        <w:rPr>
          <w:rStyle w:val="19"/>
          <w:rFonts w:eastAsia="仿宋"/>
          <w:bCs/>
          <w:color w:val="000000"/>
          <w:sz w:val="32"/>
          <w:szCs w:val="32"/>
        </w:rPr>
        <w:t>）</w:t>
      </w:r>
      <w:r>
        <w:rPr>
          <w:rStyle w:val="19"/>
          <w:rFonts w:hint="eastAsia" w:eastAsia="仿宋"/>
          <w:bCs/>
          <w:color w:val="000000"/>
          <w:sz w:val="32"/>
          <w:szCs w:val="32"/>
          <w:lang w:val="en-US" w:eastAsia="zh-CN"/>
        </w:rPr>
        <w:t>行政事业单位医疗</w:t>
      </w:r>
      <w:r>
        <w:rPr>
          <w:rStyle w:val="19"/>
          <w:rFonts w:eastAsia="仿宋"/>
          <w:bCs/>
          <w:color w:val="000000"/>
          <w:sz w:val="32"/>
          <w:szCs w:val="32"/>
        </w:rPr>
        <w:t>（</w:t>
      </w:r>
      <w:r>
        <w:rPr>
          <w:rStyle w:val="19"/>
          <w:rFonts w:hint="eastAsia" w:eastAsia="仿宋"/>
          <w:bCs/>
          <w:color w:val="000000"/>
          <w:sz w:val="32"/>
          <w:szCs w:val="32"/>
          <w:lang w:val="en-US" w:eastAsia="zh-CN"/>
        </w:rPr>
        <w:t>11</w:t>
      </w:r>
      <w:r>
        <w:rPr>
          <w:rStyle w:val="19"/>
          <w:rFonts w:eastAsia="仿宋"/>
          <w:bCs/>
          <w:color w:val="000000"/>
          <w:sz w:val="32"/>
          <w:szCs w:val="32"/>
        </w:rPr>
        <w:t>）</w:t>
      </w:r>
      <w:r>
        <w:rPr>
          <w:rStyle w:val="19"/>
          <w:rFonts w:hint="eastAsia" w:eastAsia="仿宋"/>
          <w:bCs/>
          <w:color w:val="000000"/>
          <w:sz w:val="32"/>
          <w:szCs w:val="32"/>
          <w:lang w:val="en-US" w:eastAsia="zh-CN"/>
        </w:rPr>
        <w:t>公务员医疗补助</w:t>
      </w:r>
      <w:r>
        <w:rPr>
          <w:rStyle w:val="19"/>
          <w:rFonts w:eastAsia="仿宋"/>
          <w:bCs/>
          <w:color w:val="000000"/>
          <w:sz w:val="32"/>
          <w:szCs w:val="32"/>
        </w:rPr>
        <w:t>（</w:t>
      </w:r>
      <w:r>
        <w:rPr>
          <w:rStyle w:val="19"/>
          <w:rFonts w:hint="eastAsia" w:eastAsia="仿宋"/>
          <w:bCs/>
          <w:color w:val="000000"/>
          <w:sz w:val="32"/>
          <w:szCs w:val="32"/>
          <w:lang w:val="en-US" w:eastAsia="zh-CN"/>
        </w:rPr>
        <w:t>03</w:t>
      </w:r>
      <w:r>
        <w:rPr>
          <w:rStyle w:val="19"/>
          <w:rFonts w:eastAsia="仿宋"/>
          <w:bCs/>
          <w:color w:val="000000"/>
          <w:sz w:val="32"/>
          <w:szCs w:val="32"/>
        </w:rPr>
        <w:t>）</w:t>
      </w:r>
      <w:r>
        <w:rPr>
          <w:rStyle w:val="19"/>
          <w:rFonts w:eastAsia="仿宋"/>
          <w:b w:val="0"/>
          <w:bCs/>
          <w:color w:val="000000"/>
          <w:sz w:val="32"/>
          <w:szCs w:val="32"/>
        </w:rPr>
        <w:t>支出决算为</w:t>
      </w:r>
      <w:r>
        <w:rPr>
          <w:rStyle w:val="19"/>
          <w:rFonts w:hint="eastAsia" w:eastAsia="仿宋"/>
          <w:b w:val="0"/>
          <w:bCs/>
          <w:color w:val="000000"/>
          <w:sz w:val="32"/>
          <w:szCs w:val="32"/>
          <w:lang w:val="en-US" w:eastAsia="zh-CN"/>
        </w:rPr>
        <w:t>2.3</w:t>
      </w:r>
      <w:r>
        <w:rPr>
          <w:rStyle w:val="19"/>
          <w:rFonts w:eastAsia="仿宋"/>
          <w:b w:val="0"/>
          <w:bCs/>
          <w:color w:val="000000"/>
          <w:sz w:val="32"/>
          <w:szCs w:val="32"/>
        </w:rPr>
        <w:t>万元，完成预算</w:t>
      </w:r>
      <w:r>
        <w:rPr>
          <w:rStyle w:val="19"/>
          <w:rFonts w:hint="eastAsia" w:eastAsia="仿宋"/>
          <w:b w:val="0"/>
          <w:bCs/>
          <w:color w:val="000000"/>
          <w:sz w:val="32"/>
          <w:szCs w:val="32"/>
          <w:lang w:val="en-US" w:eastAsia="zh-CN"/>
        </w:rPr>
        <w:t>100</w:t>
      </w:r>
      <w:r>
        <w:rPr>
          <w:rStyle w:val="19"/>
          <w:rFonts w:eastAsia="仿宋"/>
          <w:b w:val="0"/>
          <w:bCs/>
          <w:color w:val="000000"/>
          <w:sz w:val="32"/>
          <w:szCs w:val="32"/>
        </w:rPr>
        <w:t>%。</w:t>
      </w:r>
    </w:p>
    <w:p>
      <w:pPr>
        <w:pStyle w:val="7"/>
        <w:ind w:firstLine="643" w:firstLineChars="200"/>
        <w:rPr>
          <w:rFonts w:ascii="仿宋" w:hAnsi="仿宋" w:eastAsia="仿宋"/>
          <w:b/>
          <w:sz w:val="32"/>
          <w:szCs w:val="32"/>
        </w:rPr>
      </w:pPr>
      <w:r>
        <w:rPr>
          <w:rStyle w:val="19"/>
          <w:rFonts w:hint="eastAsia" w:ascii="Times New Roman" w:hAnsi="Times New Roman" w:eastAsia="仿宋" w:cs="Times New Roman"/>
          <w:b/>
          <w:bCs/>
          <w:color w:val="000000"/>
          <w:kern w:val="2"/>
          <w:sz w:val="32"/>
          <w:szCs w:val="32"/>
          <w:lang w:val="en-US" w:eastAsia="zh-CN" w:bidi="ar-SA"/>
        </w:rPr>
        <w:t>4.住房保障支出（221）住房改革支出（02）住房公积金（01）</w:t>
      </w:r>
      <w:r>
        <w:rPr>
          <w:rStyle w:val="19"/>
          <w:rFonts w:hint="eastAsia" w:eastAsia="仿宋"/>
          <w:b w:val="0"/>
          <w:bCs/>
          <w:color w:val="000000"/>
          <w:sz w:val="32"/>
          <w:szCs w:val="32"/>
          <w:lang w:val="en-US" w:eastAsia="zh-CN"/>
        </w:rPr>
        <w:t>支出决算为51.47万元，完成预算100%。</w:t>
      </w:r>
    </w:p>
    <w:p>
      <w:pPr>
        <w:tabs>
          <w:tab w:val="right" w:pos="8306"/>
        </w:tabs>
        <w:spacing w:line="600" w:lineRule="exact"/>
        <w:ind w:firstLine="640"/>
        <w:outlineLvl w:val="1"/>
        <w:rPr>
          <w:rStyle w:val="32"/>
        </w:rPr>
      </w:pPr>
      <w:bookmarkStart w:id="63" w:name="_Toc32471_WPSOffice_Level2"/>
      <w:bookmarkStart w:id="64" w:name="_Toc15396608"/>
      <w:bookmarkStart w:id="6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63"/>
      <w:bookmarkEnd w:id="64"/>
      <w:bookmarkEnd w:id="65"/>
      <w:r>
        <w:rPr>
          <w:rStyle w:val="32"/>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738.3</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653.64</w:t>
      </w:r>
      <w:r>
        <w:rPr>
          <w:rFonts w:hint="eastAsia" w:ascii="仿宋" w:hAnsi="仿宋" w:eastAsia="仿宋"/>
          <w:sz w:val="32"/>
          <w:szCs w:val="32"/>
        </w:rPr>
        <w:t>万元，主要包括：基本工资</w:t>
      </w:r>
      <w:r>
        <w:rPr>
          <w:rFonts w:hint="eastAsia" w:ascii="仿宋" w:hAnsi="仿宋" w:eastAsia="仿宋"/>
          <w:sz w:val="32"/>
          <w:szCs w:val="32"/>
          <w:lang w:val="en-US" w:eastAsia="zh-CN"/>
        </w:rPr>
        <w:t>167.24万元</w:t>
      </w:r>
      <w:r>
        <w:rPr>
          <w:rFonts w:hint="eastAsia" w:ascii="仿宋" w:hAnsi="仿宋" w:eastAsia="仿宋"/>
          <w:sz w:val="32"/>
          <w:szCs w:val="32"/>
        </w:rPr>
        <w:t>、津贴补贴</w:t>
      </w:r>
      <w:r>
        <w:rPr>
          <w:rFonts w:hint="eastAsia" w:ascii="仿宋" w:hAnsi="仿宋" w:eastAsia="仿宋"/>
          <w:sz w:val="32"/>
          <w:szCs w:val="32"/>
          <w:lang w:val="en-US" w:eastAsia="zh-CN"/>
        </w:rPr>
        <w:t>78.61万元</w:t>
      </w:r>
      <w:r>
        <w:rPr>
          <w:rFonts w:hint="eastAsia" w:ascii="仿宋" w:hAnsi="仿宋" w:eastAsia="仿宋"/>
          <w:sz w:val="32"/>
          <w:szCs w:val="32"/>
        </w:rPr>
        <w:t>、奖金</w:t>
      </w:r>
      <w:r>
        <w:rPr>
          <w:rFonts w:hint="eastAsia" w:ascii="仿宋" w:hAnsi="仿宋" w:eastAsia="仿宋"/>
          <w:sz w:val="32"/>
          <w:szCs w:val="32"/>
          <w:lang w:val="en-US" w:eastAsia="zh-CN"/>
        </w:rPr>
        <w:t>9.85万元</w:t>
      </w:r>
      <w:r>
        <w:rPr>
          <w:rFonts w:hint="eastAsia" w:ascii="仿宋" w:hAnsi="仿宋" w:eastAsia="仿宋"/>
          <w:sz w:val="32"/>
          <w:szCs w:val="32"/>
        </w:rPr>
        <w:t>、绩效工资</w:t>
      </w:r>
      <w:r>
        <w:rPr>
          <w:rFonts w:hint="eastAsia" w:ascii="仿宋" w:hAnsi="仿宋" w:eastAsia="仿宋"/>
          <w:sz w:val="32"/>
          <w:szCs w:val="32"/>
          <w:lang w:val="en-US" w:eastAsia="zh-CN"/>
        </w:rPr>
        <w:t>29.38万元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61.55万元</w:t>
      </w:r>
      <w:r>
        <w:rPr>
          <w:rFonts w:hint="eastAsia" w:ascii="仿宋" w:hAnsi="仿宋" w:eastAsia="仿宋"/>
          <w:sz w:val="32"/>
          <w:szCs w:val="32"/>
        </w:rPr>
        <w:t>、职业年金缴费</w:t>
      </w:r>
      <w:r>
        <w:rPr>
          <w:rFonts w:hint="eastAsia" w:ascii="仿宋" w:hAnsi="仿宋" w:eastAsia="仿宋"/>
          <w:sz w:val="32"/>
          <w:szCs w:val="32"/>
          <w:lang w:val="en-US" w:eastAsia="zh-CN"/>
        </w:rPr>
        <w:t>13.64万元</w:t>
      </w:r>
      <w:r>
        <w:rPr>
          <w:rFonts w:hint="eastAsia" w:ascii="仿宋" w:hAnsi="仿宋" w:eastAsia="仿宋"/>
          <w:sz w:val="32"/>
          <w:szCs w:val="32"/>
        </w:rPr>
        <w:t>、其他社会保障缴费</w:t>
      </w:r>
      <w:r>
        <w:rPr>
          <w:rFonts w:hint="eastAsia" w:ascii="仿宋" w:hAnsi="仿宋" w:eastAsia="仿宋"/>
          <w:sz w:val="32"/>
          <w:szCs w:val="32"/>
          <w:lang w:val="en-US" w:eastAsia="zh-CN"/>
        </w:rPr>
        <w:t>39.23万元</w:t>
      </w:r>
      <w:r>
        <w:rPr>
          <w:rFonts w:hint="eastAsia" w:ascii="仿宋" w:hAnsi="仿宋" w:eastAsia="仿宋"/>
          <w:sz w:val="32"/>
          <w:szCs w:val="32"/>
        </w:rPr>
        <w:t>、</w:t>
      </w:r>
      <w:r>
        <w:rPr>
          <w:rFonts w:hint="eastAsia" w:ascii="仿宋" w:hAnsi="仿宋" w:eastAsia="仿宋"/>
          <w:sz w:val="32"/>
          <w:szCs w:val="32"/>
          <w:lang w:val="en-US" w:eastAsia="zh-CN"/>
        </w:rPr>
        <w:t>职工基本医疗保险23.02万元、</w:t>
      </w:r>
      <w:r>
        <w:rPr>
          <w:rFonts w:hint="eastAsia" w:ascii="仿宋" w:hAnsi="仿宋" w:eastAsia="仿宋"/>
          <w:sz w:val="32"/>
          <w:szCs w:val="32"/>
        </w:rPr>
        <w:t>医疗费补助</w:t>
      </w:r>
      <w:r>
        <w:rPr>
          <w:rFonts w:hint="eastAsia" w:ascii="仿宋" w:hAnsi="仿宋" w:eastAsia="仿宋"/>
          <w:sz w:val="32"/>
          <w:szCs w:val="32"/>
          <w:lang w:val="en-US" w:eastAsia="zh-CN"/>
        </w:rPr>
        <w:t>2.35万元</w:t>
      </w:r>
      <w:r>
        <w:rPr>
          <w:rFonts w:hint="eastAsia" w:ascii="仿宋" w:hAnsi="仿宋" w:eastAsia="仿宋"/>
          <w:sz w:val="32"/>
          <w:szCs w:val="32"/>
        </w:rPr>
        <w:t>、奖励金</w:t>
      </w:r>
      <w:r>
        <w:rPr>
          <w:rFonts w:hint="eastAsia" w:ascii="仿宋" w:hAnsi="仿宋" w:eastAsia="仿宋"/>
          <w:sz w:val="32"/>
          <w:szCs w:val="32"/>
          <w:lang w:val="en-US" w:eastAsia="zh-CN"/>
        </w:rPr>
        <w:t>170.1万元</w:t>
      </w:r>
      <w:r>
        <w:rPr>
          <w:rFonts w:hint="eastAsia" w:ascii="仿宋" w:hAnsi="仿宋" w:eastAsia="仿宋"/>
          <w:sz w:val="32"/>
          <w:szCs w:val="32"/>
        </w:rPr>
        <w:t>、住房公积金</w:t>
      </w:r>
      <w:r>
        <w:rPr>
          <w:rFonts w:hint="eastAsia" w:ascii="仿宋" w:hAnsi="仿宋" w:eastAsia="仿宋"/>
          <w:sz w:val="32"/>
          <w:szCs w:val="32"/>
          <w:lang w:val="en-US" w:eastAsia="zh-CN"/>
        </w:rPr>
        <w:t>51.47万元</w:t>
      </w:r>
      <w:r>
        <w:rPr>
          <w:rFonts w:hint="eastAsia" w:ascii="仿宋" w:hAnsi="仿宋" w:eastAsia="仿宋"/>
          <w:sz w:val="32"/>
          <w:szCs w:val="32"/>
        </w:rPr>
        <w:t>、其他对个人和家庭的补助支出</w:t>
      </w:r>
      <w:r>
        <w:rPr>
          <w:rFonts w:hint="eastAsia" w:ascii="仿宋" w:hAnsi="仿宋" w:eastAsia="仿宋"/>
          <w:sz w:val="32"/>
          <w:szCs w:val="32"/>
          <w:lang w:val="en-US" w:eastAsia="zh-CN"/>
        </w:rPr>
        <w:t>7.18万元</w:t>
      </w:r>
      <w:r>
        <w:rPr>
          <w:rFonts w:hint="eastAsia" w:ascii="仿宋" w:hAnsi="仿宋" w:eastAsia="仿宋"/>
          <w:sz w:val="32"/>
          <w:szCs w:val="32"/>
        </w:rPr>
        <w:t>。</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84.66</w:t>
      </w:r>
      <w:r>
        <w:rPr>
          <w:rFonts w:hint="eastAsia" w:ascii="仿宋" w:hAnsi="仿宋" w:eastAsia="仿宋"/>
          <w:sz w:val="32"/>
          <w:szCs w:val="32"/>
        </w:rPr>
        <w:t>万元，主要包括：办公费</w:t>
      </w:r>
      <w:r>
        <w:rPr>
          <w:rFonts w:hint="eastAsia" w:ascii="仿宋" w:hAnsi="仿宋" w:eastAsia="仿宋"/>
          <w:sz w:val="32"/>
          <w:szCs w:val="32"/>
          <w:lang w:val="en-US" w:eastAsia="zh-CN"/>
        </w:rPr>
        <w:t>7万元</w:t>
      </w:r>
      <w:r>
        <w:rPr>
          <w:rFonts w:hint="eastAsia" w:ascii="仿宋" w:hAnsi="仿宋" w:eastAsia="仿宋"/>
          <w:sz w:val="32"/>
          <w:szCs w:val="32"/>
        </w:rPr>
        <w:t>、印刷费</w:t>
      </w:r>
      <w:r>
        <w:rPr>
          <w:rFonts w:hint="eastAsia" w:ascii="仿宋" w:hAnsi="仿宋" w:eastAsia="仿宋"/>
          <w:sz w:val="32"/>
          <w:szCs w:val="32"/>
          <w:lang w:val="en-US" w:eastAsia="zh-CN"/>
        </w:rPr>
        <w:t>1万元</w:t>
      </w:r>
      <w:r>
        <w:rPr>
          <w:rFonts w:hint="eastAsia" w:ascii="仿宋" w:hAnsi="仿宋" w:eastAsia="仿宋"/>
          <w:sz w:val="32"/>
          <w:szCs w:val="32"/>
        </w:rPr>
        <w:t>、咨询费</w:t>
      </w:r>
      <w:r>
        <w:rPr>
          <w:rFonts w:hint="eastAsia" w:ascii="仿宋" w:hAnsi="仿宋" w:eastAsia="仿宋"/>
          <w:sz w:val="32"/>
          <w:szCs w:val="32"/>
          <w:lang w:val="en-US" w:eastAsia="zh-CN"/>
        </w:rPr>
        <w:t>0万元</w:t>
      </w:r>
      <w:r>
        <w:rPr>
          <w:rFonts w:hint="eastAsia" w:ascii="仿宋" w:hAnsi="仿宋" w:eastAsia="仿宋"/>
          <w:sz w:val="32"/>
          <w:szCs w:val="32"/>
        </w:rPr>
        <w:t>、手续费</w:t>
      </w:r>
      <w:r>
        <w:rPr>
          <w:rFonts w:hint="eastAsia" w:ascii="仿宋" w:hAnsi="仿宋" w:eastAsia="仿宋"/>
          <w:sz w:val="32"/>
          <w:szCs w:val="32"/>
          <w:lang w:val="en-US" w:eastAsia="zh-CN"/>
        </w:rPr>
        <w:t>0万元</w:t>
      </w:r>
      <w:r>
        <w:rPr>
          <w:rFonts w:hint="eastAsia" w:ascii="仿宋" w:hAnsi="仿宋" w:eastAsia="仿宋"/>
          <w:sz w:val="32"/>
          <w:szCs w:val="32"/>
        </w:rPr>
        <w:t>、水费</w:t>
      </w:r>
      <w:r>
        <w:rPr>
          <w:rFonts w:hint="eastAsia" w:ascii="仿宋" w:hAnsi="仿宋" w:eastAsia="仿宋"/>
          <w:sz w:val="32"/>
          <w:szCs w:val="32"/>
          <w:lang w:val="en-US" w:eastAsia="zh-CN"/>
        </w:rPr>
        <w:t>0.65万元</w:t>
      </w:r>
      <w:r>
        <w:rPr>
          <w:rFonts w:hint="eastAsia" w:ascii="仿宋" w:hAnsi="仿宋" w:eastAsia="仿宋"/>
          <w:sz w:val="32"/>
          <w:szCs w:val="32"/>
        </w:rPr>
        <w:t>、电费</w:t>
      </w:r>
      <w:r>
        <w:rPr>
          <w:rFonts w:hint="eastAsia" w:ascii="仿宋" w:hAnsi="仿宋" w:eastAsia="仿宋"/>
          <w:sz w:val="32"/>
          <w:szCs w:val="32"/>
          <w:lang w:val="en-US" w:eastAsia="zh-CN"/>
        </w:rPr>
        <w:t>6.7万元</w:t>
      </w:r>
      <w:r>
        <w:rPr>
          <w:rFonts w:hint="eastAsia" w:ascii="仿宋" w:hAnsi="仿宋" w:eastAsia="仿宋"/>
          <w:sz w:val="32"/>
          <w:szCs w:val="32"/>
        </w:rPr>
        <w:t>、差旅费</w:t>
      </w:r>
      <w:r>
        <w:rPr>
          <w:rFonts w:hint="eastAsia" w:ascii="仿宋" w:hAnsi="仿宋" w:eastAsia="仿宋"/>
          <w:sz w:val="32"/>
          <w:szCs w:val="32"/>
          <w:lang w:val="en-US" w:eastAsia="zh-CN"/>
        </w:rPr>
        <w:t>21.25万元</w:t>
      </w:r>
      <w:r>
        <w:rPr>
          <w:rFonts w:hint="eastAsia" w:ascii="仿宋" w:hAnsi="仿宋" w:eastAsia="仿宋"/>
          <w:sz w:val="32"/>
          <w:szCs w:val="32"/>
        </w:rPr>
        <w:t>、维修（护）费</w:t>
      </w:r>
      <w:r>
        <w:rPr>
          <w:rFonts w:hint="eastAsia" w:ascii="仿宋" w:hAnsi="仿宋" w:eastAsia="仿宋"/>
          <w:sz w:val="32"/>
          <w:szCs w:val="32"/>
          <w:lang w:val="en-US" w:eastAsia="zh-CN"/>
        </w:rPr>
        <w:t>0.8万元</w:t>
      </w:r>
      <w:r>
        <w:rPr>
          <w:rFonts w:hint="eastAsia" w:ascii="仿宋" w:hAnsi="仿宋" w:eastAsia="仿宋"/>
          <w:sz w:val="32"/>
          <w:szCs w:val="32"/>
        </w:rPr>
        <w:t>、会议费</w:t>
      </w:r>
      <w:r>
        <w:rPr>
          <w:rFonts w:hint="eastAsia" w:ascii="仿宋" w:hAnsi="仿宋" w:eastAsia="仿宋"/>
          <w:sz w:val="32"/>
          <w:szCs w:val="32"/>
          <w:lang w:val="en-US" w:eastAsia="zh-CN"/>
        </w:rPr>
        <w:t>1万元</w:t>
      </w:r>
      <w:r>
        <w:rPr>
          <w:rFonts w:hint="eastAsia" w:ascii="仿宋" w:hAnsi="仿宋" w:eastAsia="仿宋"/>
          <w:sz w:val="32"/>
          <w:szCs w:val="32"/>
        </w:rPr>
        <w:t>、培训费</w:t>
      </w:r>
      <w:r>
        <w:rPr>
          <w:rFonts w:hint="eastAsia" w:ascii="仿宋" w:hAnsi="仿宋" w:eastAsia="仿宋"/>
          <w:sz w:val="32"/>
          <w:szCs w:val="32"/>
          <w:lang w:val="en-US" w:eastAsia="zh-CN"/>
        </w:rPr>
        <w:t>1万元</w:t>
      </w:r>
      <w:r>
        <w:rPr>
          <w:rFonts w:hint="eastAsia" w:ascii="仿宋" w:hAnsi="仿宋" w:eastAsia="仿宋"/>
          <w:sz w:val="32"/>
          <w:szCs w:val="32"/>
        </w:rPr>
        <w:t>、公务接待费</w:t>
      </w:r>
      <w:r>
        <w:rPr>
          <w:rFonts w:hint="eastAsia" w:ascii="仿宋" w:hAnsi="仿宋" w:eastAsia="仿宋"/>
          <w:sz w:val="32"/>
          <w:szCs w:val="32"/>
          <w:lang w:val="en-US" w:eastAsia="zh-CN"/>
        </w:rPr>
        <w:t>3.27万元</w:t>
      </w:r>
      <w:r>
        <w:rPr>
          <w:rFonts w:hint="eastAsia" w:ascii="仿宋" w:hAnsi="仿宋" w:eastAsia="仿宋"/>
          <w:sz w:val="32"/>
          <w:szCs w:val="32"/>
        </w:rPr>
        <w:t>、工会经费</w:t>
      </w:r>
      <w:r>
        <w:rPr>
          <w:rFonts w:hint="eastAsia" w:ascii="仿宋" w:hAnsi="仿宋" w:eastAsia="仿宋"/>
          <w:sz w:val="32"/>
          <w:szCs w:val="32"/>
          <w:lang w:val="en-US" w:eastAsia="zh-CN"/>
        </w:rPr>
        <w:t>5.49万元</w:t>
      </w:r>
      <w:r>
        <w:rPr>
          <w:rFonts w:hint="eastAsia" w:ascii="仿宋" w:hAnsi="仿宋" w:eastAsia="仿宋"/>
          <w:sz w:val="32"/>
          <w:szCs w:val="32"/>
        </w:rPr>
        <w:t>、福利费</w:t>
      </w:r>
      <w:r>
        <w:rPr>
          <w:rFonts w:hint="eastAsia" w:ascii="仿宋" w:hAnsi="仿宋" w:eastAsia="仿宋"/>
          <w:sz w:val="32"/>
          <w:szCs w:val="32"/>
          <w:lang w:val="en-US" w:eastAsia="zh-CN"/>
        </w:rPr>
        <w:t>8万元</w:t>
      </w:r>
      <w:r>
        <w:rPr>
          <w:rFonts w:hint="eastAsia" w:ascii="仿宋" w:hAnsi="仿宋" w:eastAsia="仿宋"/>
          <w:sz w:val="32"/>
          <w:szCs w:val="32"/>
        </w:rPr>
        <w:t>、公务用车运行维护费</w:t>
      </w:r>
      <w:r>
        <w:rPr>
          <w:rFonts w:hint="eastAsia" w:ascii="仿宋" w:hAnsi="仿宋" w:eastAsia="仿宋"/>
          <w:sz w:val="32"/>
          <w:szCs w:val="32"/>
          <w:lang w:val="en-US" w:eastAsia="zh-CN"/>
        </w:rPr>
        <w:t>2.5万元</w:t>
      </w:r>
      <w:r>
        <w:rPr>
          <w:rFonts w:hint="eastAsia" w:ascii="仿宋" w:hAnsi="仿宋" w:eastAsia="仿宋"/>
          <w:sz w:val="32"/>
          <w:szCs w:val="32"/>
        </w:rPr>
        <w:t>、其他交通费</w:t>
      </w:r>
      <w:r>
        <w:rPr>
          <w:rFonts w:hint="eastAsia" w:ascii="仿宋" w:hAnsi="仿宋" w:eastAsia="仿宋"/>
          <w:sz w:val="32"/>
          <w:szCs w:val="32"/>
          <w:lang w:val="en-US" w:eastAsia="zh-CN"/>
        </w:rPr>
        <w:t>20.6万元</w:t>
      </w:r>
      <w:r>
        <w:rPr>
          <w:rFonts w:hint="eastAsia" w:ascii="仿宋" w:hAnsi="仿宋" w:eastAsia="仿宋"/>
          <w:sz w:val="32"/>
          <w:szCs w:val="32"/>
        </w:rPr>
        <w:t>、其他商品和服务支出</w:t>
      </w:r>
      <w:r>
        <w:rPr>
          <w:rFonts w:hint="eastAsia" w:ascii="仿宋" w:hAnsi="仿宋" w:eastAsia="仿宋"/>
          <w:sz w:val="32"/>
          <w:szCs w:val="32"/>
          <w:lang w:val="en-US" w:eastAsia="zh-CN"/>
        </w:rPr>
        <w:t>5.34万元</w:t>
      </w:r>
      <w:r>
        <w:rPr>
          <w:rFonts w:hint="eastAsia" w:ascii="仿宋" w:hAnsi="仿宋" w:eastAsia="仿宋"/>
          <w:sz w:val="32"/>
          <w:szCs w:val="32"/>
        </w:rPr>
        <w:t>等。</w:t>
      </w:r>
    </w:p>
    <w:p>
      <w:pPr>
        <w:spacing w:line="600" w:lineRule="exact"/>
        <w:ind w:firstLine="640"/>
        <w:rPr>
          <w:rFonts w:ascii="仿宋" w:hAnsi="仿宋" w:eastAsia="仿宋"/>
          <w:b/>
          <w:sz w:val="32"/>
          <w:szCs w:val="32"/>
        </w:rPr>
      </w:pPr>
    </w:p>
    <w:p>
      <w:pPr>
        <w:spacing w:line="600" w:lineRule="exact"/>
        <w:ind w:firstLine="640"/>
        <w:outlineLvl w:val="1"/>
        <w:rPr>
          <w:rStyle w:val="32"/>
          <w:rFonts w:ascii="黑体" w:hAnsi="黑体" w:eastAsia="黑体"/>
          <w:b w:val="0"/>
        </w:rPr>
      </w:pPr>
      <w:bookmarkStart w:id="66" w:name="_Toc15377215"/>
      <w:bookmarkStart w:id="67" w:name="_Toc15396609"/>
      <w:bookmarkStart w:id="68" w:name="_Toc2153_WPSOffice_Level2"/>
      <w:r>
        <w:rPr>
          <w:rFonts w:hint="eastAsia" w:ascii="黑体" w:eastAsia="黑体"/>
          <w:sz w:val="32"/>
          <w:szCs w:val="32"/>
        </w:rPr>
        <w:t>七、</w:t>
      </w:r>
      <w:r>
        <w:rPr>
          <w:rStyle w:val="32"/>
          <w:rFonts w:hint="eastAsia" w:ascii="黑体" w:hAnsi="黑体" w:eastAsia="黑体"/>
          <w:b w:val="0"/>
        </w:rPr>
        <w:t>财政拨款</w:t>
      </w:r>
      <w:r>
        <w:rPr>
          <w:rStyle w:val="32"/>
          <w:rFonts w:hint="eastAsia" w:ascii="黑体" w:hAnsi="黑体" w:eastAsia="黑体"/>
        </w:rPr>
        <w:t>“</w:t>
      </w:r>
      <w:r>
        <w:rPr>
          <w:rStyle w:val="32"/>
          <w:rFonts w:hint="eastAsia" w:ascii="黑体" w:hAnsi="黑体" w:eastAsia="黑体"/>
          <w:b w:val="0"/>
        </w:rPr>
        <w:t>三公”经费支出决算情况说明</w:t>
      </w:r>
      <w:bookmarkEnd w:id="66"/>
      <w:bookmarkEnd w:id="67"/>
      <w:bookmarkEnd w:id="68"/>
    </w:p>
    <w:p>
      <w:pPr>
        <w:spacing w:line="600" w:lineRule="exact"/>
        <w:ind w:firstLine="640"/>
        <w:outlineLvl w:val="2"/>
        <w:rPr>
          <w:rFonts w:ascii="仿宋" w:hAnsi="仿宋" w:eastAsia="仿宋"/>
          <w:b/>
          <w:sz w:val="32"/>
          <w:szCs w:val="32"/>
        </w:rPr>
      </w:pPr>
      <w:bookmarkStart w:id="69" w:name="_Toc15377216"/>
      <w:r>
        <w:rPr>
          <w:rFonts w:hint="eastAsia" w:ascii="仿宋" w:hAnsi="仿宋" w:eastAsia="仿宋"/>
          <w:b/>
          <w:sz w:val="32"/>
          <w:szCs w:val="32"/>
        </w:rPr>
        <w:t>（一）“三公”经费财政拨款支出决算总体情况说明</w:t>
      </w:r>
      <w:bookmarkEnd w:id="6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年“三公”经费财政拨款支出决算为</w:t>
      </w:r>
      <w:r>
        <w:rPr>
          <w:rFonts w:hint="eastAsia" w:ascii="仿宋" w:hAnsi="仿宋" w:eastAsia="仿宋"/>
          <w:sz w:val="32"/>
          <w:szCs w:val="32"/>
          <w:lang w:val="en-US" w:eastAsia="zh-CN"/>
        </w:rPr>
        <w:t>5.77</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，较上年减少</w:t>
      </w:r>
      <w:r>
        <w:rPr>
          <w:rFonts w:hint="eastAsia" w:ascii="仿宋" w:hAnsi="仿宋" w:eastAsia="仿宋"/>
          <w:sz w:val="32"/>
          <w:szCs w:val="32"/>
          <w:lang w:val="en-US" w:eastAsia="zh-CN"/>
        </w:rPr>
        <w:t>1.86</w:t>
      </w:r>
      <w:r>
        <w:rPr>
          <w:rFonts w:hint="eastAsia" w:ascii="仿宋" w:hAnsi="仿宋" w:eastAsia="仿宋"/>
          <w:sz w:val="32"/>
          <w:szCs w:val="32"/>
        </w:rPr>
        <w:t>万元，下降</w:t>
      </w:r>
      <w:r>
        <w:rPr>
          <w:rFonts w:hint="eastAsia" w:ascii="仿宋" w:hAnsi="仿宋" w:eastAsia="仿宋"/>
          <w:sz w:val="32"/>
          <w:szCs w:val="32"/>
          <w:lang w:val="en-US" w:eastAsia="zh-CN"/>
        </w:rPr>
        <w:t>24.4</w:t>
      </w:r>
      <w:r>
        <w:rPr>
          <w:rFonts w:hint="eastAsia" w:ascii="仿宋" w:hAnsi="仿宋" w:eastAsia="仿宋"/>
          <w:sz w:val="32"/>
          <w:szCs w:val="32"/>
        </w:rPr>
        <w:t>%。决算数小于预算数的主要原因是</w:t>
      </w:r>
      <w:r>
        <w:rPr>
          <w:rFonts w:hint="eastAsia" w:ascii="仿宋" w:hAnsi="仿宋" w:eastAsia="仿宋"/>
          <w:sz w:val="32"/>
          <w:szCs w:val="32"/>
          <w:lang w:val="en-US" w:eastAsia="zh-CN"/>
        </w:rPr>
        <w:t>厉行节约</w:t>
      </w:r>
      <w:r>
        <w:rPr>
          <w:rFonts w:hint="eastAsia" w:ascii="仿宋" w:hAnsi="仿宋" w:eastAsia="仿宋"/>
          <w:sz w:val="32"/>
          <w:szCs w:val="32"/>
        </w:rPr>
        <w:t>。</w:t>
      </w:r>
    </w:p>
    <w:p>
      <w:pPr>
        <w:spacing w:line="600" w:lineRule="exact"/>
        <w:ind w:firstLine="640"/>
        <w:rPr>
          <w:rFonts w:eastAsia="仿宋"/>
          <w:b/>
          <w:color w:val="FF0000"/>
          <w:sz w:val="32"/>
          <w:szCs w:val="32"/>
        </w:rPr>
      </w:pPr>
    </w:p>
    <w:p>
      <w:pPr>
        <w:spacing w:line="600" w:lineRule="exact"/>
        <w:ind w:firstLine="640"/>
        <w:outlineLvl w:val="2"/>
        <w:rPr>
          <w:rFonts w:ascii="仿宋" w:hAnsi="仿宋" w:eastAsia="仿宋"/>
          <w:b/>
          <w:sz w:val="32"/>
          <w:szCs w:val="32"/>
        </w:rPr>
      </w:pPr>
      <w:bookmarkStart w:id="70" w:name="_Toc15377217"/>
      <w:r>
        <w:rPr>
          <w:rFonts w:hint="eastAsia" w:ascii="仿宋" w:hAnsi="仿宋" w:eastAsia="仿宋"/>
          <w:b/>
          <w:sz w:val="32"/>
          <w:szCs w:val="32"/>
        </w:rPr>
        <w:t>（二）“三公”经费财政拨款支出决算具体情况说明</w:t>
      </w:r>
      <w:bookmarkEnd w:id="70"/>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2.5</w:t>
      </w:r>
      <w:r>
        <w:rPr>
          <w:rFonts w:hint="eastAsia" w:ascii="仿宋" w:hAnsi="仿宋" w:eastAsia="仿宋"/>
          <w:sz w:val="32"/>
          <w:szCs w:val="32"/>
        </w:rPr>
        <w:t>万元，占</w:t>
      </w:r>
      <w:r>
        <w:rPr>
          <w:rFonts w:hint="eastAsia" w:ascii="仿宋" w:hAnsi="仿宋" w:eastAsia="仿宋"/>
          <w:sz w:val="32"/>
          <w:szCs w:val="32"/>
          <w:lang w:val="en-US" w:eastAsia="zh-CN"/>
        </w:rPr>
        <w:t>43.3</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3.27</w:t>
      </w:r>
      <w:r>
        <w:rPr>
          <w:rFonts w:hint="eastAsia" w:ascii="仿宋" w:hAnsi="仿宋" w:eastAsia="仿宋"/>
          <w:sz w:val="32"/>
          <w:szCs w:val="32"/>
        </w:rPr>
        <w:t>万元，占</w:t>
      </w:r>
      <w:r>
        <w:rPr>
          <w:rFonts w:hint="eastAsia" w:ascii="仿宋" w:hAnsi="仿宋" w:eastAsia="仿宋"/>
          <w:sz w:val="32"/>
          <w:szCs w:val="32"/>
          <w:lang w:val="en-US" w:eastAsia="zh-CN"/>
        </w:rPr>
        <w:t>56.7</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eastAsia="仿宋"/>
          <w:i/>
          <w:color w:val="000000"/>
          <w:sz w:val="32"/>
          <w:szCs w:val="32"/>
          <w:highlight w:val="none"/>
        </w:rPr>
      </w:pPr>
      <w:r>
        <w:rPr>
          <w:rFonts w:eastAsia="仿宋"/>
          <w:i/>
          <w:color w:val="000000"/>
          <w:sz w:val="32"/>
          <w:szCs w:val="32"/>
          <w:highlight w:val="none"/>
        </w:rPr>
        <w:t>（图7：“三公”经费财政拨款支出结构）（饼状图）</w:t>
      </w:r>
    </w:p>
    <w:p>
      <w:pPr>
        <w:pStyle w:val="7"/>
      </w:pPr>
      <w:r>
        <w:rPr>
          <w:rFonts w:hint="eastAsia"/>
          <w:lang w:val="en-US" w:eastAsia="zh-CN"/>
        </w:rPr>
        <w:t xml:space="preserve">     </w:t>
      </w:r>
      <w:r>
        <w:drawing>
          <wp:inline distT="0" distB="0" distL="114300" distR="114300">
            <wp:extent cx="4572000" cy="2743200"/>
            <wp:effectExtent l="4445" t="4445" r="10795" b="1079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spacing w:line="600" w:lineRule="exact"/>
        <w:ind w:firstLine="640"/>
        <w:rPr>
          <w:rFonts w:eastAsia="仿宋"/>
          <w:i/>
          <w:color w:val="000000"/>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eastAsia="仿宋"/>
          <w:color w:val="000000"/>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b/>
          <w:sz w:val="32"/>
          <w:szCs w:val="32"/>
          <w:lang w:val="en-US" w:eastAsia="zh-CN"/>
        </w:rPr>
        <w:t>2.5</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eastAsia="仿宋_GB2312"/>
          <w:sz w:val="32"/>
          <w:szCs w:val="32"/>
          <w:lang w:val="en-US" w:eastAsia="zh-CN"/>
        </w:rPr>
        <w:t>减少0.75</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出差次数减少</w:t>
      </w:r>
      <w:r>
        <w:rPr>
          <w:rFonts w:hint="eastAsia" w:ascii="仿宋_GB2312" w:eastAsia="仿宋_GB2312"/>
          <w:sz w:val="32"/>
          <w:szCs w:val="32"/>
        </w:rPr>
        <w:t>。</w:t>
      </w:r>
    </w:p>
    <w:p>
      <w:pPr>
        <w:spacing w:line="600" w:lineRule="exact"/>
        <w:ind w:firstLine="640"/>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1</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b/>
          <w:sz w:val="32"/>
          <w:szCs w:val="32"/>
          <w:lang w:val="en-US" w:eastAsia="zh-CN"/>
        </w:rPr>
        <w:t>2.5</w:t>
      </w:r>
      <w:r>
        <w:rPr>
          <w:rFonts w:hint="eastAsia" w:ascii="仿宋_GB2312" w:eastAsia="仿宋_GB2312"/>
          <w:sz w:val="32"/>
          <w:szCs w:val="32"/>
        </w:rPr>
        <w:t>万元。主要用于</w:t>
      </w:r>
      <w:r>
        <w:rPr>
          <w:rFonts w:hint="eastAsia" w:ascii="仿宋_GB2312" w:eastAsia="仿宋_GB2312"/>
          <w:sz w:val="32"/>
          <w:szCs w:val="32"/>
          <w:lang w:val="en-US" w:eastAsia="zh-CN"/>
        </w:rPr>
        <w:t>送领导出差、开会，下乡</w:t>
      </w:r>
      <w:r>
        <w:rPr>
          <w:rFonts w:hint="eastAsia" w:ascii="仿宋_GB2312" w:eastAsia="仿宋_GB2312"/>
          <w:sz w:val="32"/>
          <w:szCs w:val="32"/>
        </w:rPr>
        <w:t>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b/>
          <w:sz w:val="32"/>
          <w:szCs w:val="32"/>
          <w:lang w:val="en-US" w:eastAsia="zh-CN"/>
        </w:rPr>
        <w:t>3.27</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hint="eastAsia" w:ascii="仿宋" w:hAnsi="仿宋" w:eastAsia="仿宋"/>
          <w:b w:val="0"/>
          <w:bCs/>
          <w:sz w:val="32"/>
          <w:szCs w:val="32"/>
          <w:lang w:val="en-US" w:eastAsia="zh-CN"/>
        </w:rPr>
        <w:t>100</w:t>
      </w:r>
      <w:r>
        <w:rPr>
          <w:rStyle w:val="19"/>
          <w:rFonts w:ascii="仿宋" w:hAnsi="仿宋" w:eastAsia="仿宋"/>
          <w:b w:val="0"/>
          <w:bCs/>
          <w:sz w:val="32"/>
          <w:szCs w:val="32"/>
        </w:rPr>
        <w:t>%</w:t>
      </w:r>
      <w:r>
        <w:rPr>
          <w:rStyle w:val="19"/>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年减少</w:t>
      </w:r>
      <w:r>
        <w:rPr>
          <w:rFonts w:hint="eastAsia" w:ascii="仿宋_GB2312" w:eastAsia="仿宋_GB2312"/>
          <w:sz w:val="32"/>
          <w:szCs w:val="32"/>
          <w:lang w:val="en-US" w:eastAsia="zh-CN"/>
        </w:rPr>
        <w:t>1.11</w:t>
      </w:r>
      <w:r>
        <w:rPr>
          <w:rFonts w:hint="eastAsia" w:ascii="仿宋_GB2312" w:eastAsia="仿宋_GB2312"/>
          <w:sz w:val="32"/>
          <w:szCs w:val="32"/>
        </w:rPr>
        <w:t>万元，下降</w:t>
      </w:r>
      <w:r>
        <w:rPr>
          <w:rFonts w:hint="eastAsia" w:ascii="仿宋_GB2312" w:eastAsia="仿宋_GB2312"/>
          <w:sz w:val="32"/>
          <w:szCs w:val="32"/>
          <w:lang w:val="en-US" w:eastAsia="zh-CN"/>
        </w:rPr>
        <w:t>25.3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厉行节约</w:t>
      </w: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3.27</w:t>
      </w:r>
      <w:r>
        <w:rPr>
          <w:rFonts w:hint="eastAsia" w:ascii="仿宋_GB2312" w:eastAsia="仿宋_GB2312"/>
          <w:sz w:val="32"/>
          <w:szCs w:val="32"/>
        </w:rPr>
        <w:t>万元，主要用于</w:t>
      </w:r>
      <w:r>
        <w:rPr>
          <w:rFonts w:hint="eastAsia" w:ascii="仿宋_GB2312" w:eastAsia="仿宋_GB2312"/>
          <w:sz w:val="32"/>
          <w:szCs w:val="32"/>
          <w:highlight w:val="none"/>
        </w:rPr>
        <w:t>执行公务、开展业务活动开支的交通费、住宿费、用餐费等</w:t>
      </w:r>
      <w:r>
        <w:rPr>
          <w:rFonts w:hint="eastAsia" w:ascii="仿宋_GB2312" w:eastAsia="仿宋_GB2312"/>
          <w:sz w:val="32"/>
          <w:szCs w:val="32"/>
        </w:rPr>
        <w:t>。国内公务接待</w:t>
      </w:r>
      <w:r>
        <w:rPr>
          <w:rFonts w:hint="eastAsia" w:ascii="仿宋_GB2312" w:eastAsia="仿宋_GB2312"/>
          <w:sz w:val="32"/>
          <w:szCs w:val="32"/>
          <w:lang w:val="en-US" w:eastAsia="zh-CN"/>
        </w:rPr>
        <w:t>35</w:t>
      </w:r>
      <w:r>
        <w:rPr>
          <w:rFonts w:hint="eastAsia" w:ascii="仿宋_GB2312" w:eastAsia="仿宋_GB2312"/>
          <w:sz w:val="32"/>
          <w:szCs w:val="32"/>
        </w:rPr>
        <w:t>批次，</w:t>
      </w:r>
      <w:r>
        <w:rPr>
          <w:rFonts w:hint="eastAsia" w:ascii="仿宋_GB2312" w:eastAsia="仿宋_GB2312"/>
          <w:sz w:val="32"/>
          <w:szCs w:val="32"/>
          <w:lang w:val="en-US" w:eastAsia="zh-CN"/>
        </w:rPr>
        <w:t>232</w:t>
      </w:r>
      <w:r>
        <w:rPr>
          <w:rFonts w:hint="eastAsia" w:ascii="仿宋_GB2312" w:eastAsia="仿宋_GB2312"/>
          <w:sz w:val="32"/>
          <w:szCs w:val="32"/>
        </w:rPr>
        <w:t>人次，共计支出</w:t>
      </w:r>
      <w:r>
        <w:rPr>
          <w:rFonts w:hint="eastAsia" w:ascii="仿宋_GB2312" w:eastAsia="仿宋_GB2312"/>
          <w:sz w:val="32"/>
          <w:szCs w:val="32"/>
          <w:lang w:val="en-US" w:eastAsia="zh-CN"/>
        </w:rPr>
        <w:t>3.27</w:t>
      </w:r>
      <w:r>
        <w:rPr>
          <w:rFonts w:hint="eastAsia" w:ascii="仿宋_GB2312" w:eastAsia="仿宋_GB2312"/>
          <w:sz w:val="32"/>
          <w:szCs w:val="32"/>
        </w:rPr>
        <w:t>万元，具体内容包括：</w:t>
      </w:r>
      <w:r>
        <w:rPr>
          <w:rFonts w:hint="eastAsia" w:ascii="仿宋_GB2312" w:eastAsia="仿宋_GB2312"/>
          <w:sz w:val="32"/>
          <w:szCs w:val="32"/>
          <w:lang w:val="en-US" w:eastAsia="zh-CN"/>
        </w:rPr>
        <w:t>财经纪律检查、人员来访，考察调研等</w:t>
      </w:r>
      <w:r>
        <w:rPr>
          <w:rFonts w:hint="eastAsia" w:ascii="仿宋_GB2312" w:eastAsia="仿宋_GB2312"/>
          <w:sz w:val="32"/>
          <w:szCs w:val="32"/>
        </w:rPr>
        <w:t>。</w:t>
      </w:r>
    </w:p>
    <w:p>
      <w:pPr>
        <w:spacing w:line="600" w:lineRule="exact"/>
        <w:ind w:firstLine="643" w:firstLineChars="200"/>
        <w:rPr>
          <w:rFonts w:ascii="黑体" w:eastAsia="黑体"/>
          <w:sz w:val="32"/>
          <w:szCs w:val="32"/>
        </w:rPr>
      </w:pPr>
      <w:r>
        <w:rPr>
          <w:rFonts w:hint="eastAsia" w:ascii="仿宋" w:hAnsi="仿宋" w:eastAsia="仿宋"/>
          <w:b/>
          <w:sz w:val="32"/>
          <w:szCs w:val="32"/>
        </w:rPr>
        <w:t>外事接待支出</w:t>
      </w:r>
      <w:r>
        <w:rPr>
          <w:rFonts w:hint="eastAsia" w:ascii="仿宋" w:hAnsi="仿宋" w:eastAsia="仿宋"/>
          <w:b/>
          <w:sz w:val="32"/>
          <w:szCs w:val="32"/>
          <w:lang w:val="en-US" w:eastAsia="zh-CN"/>
        </w:rPr>
        <w:t>0</w:t>
      </w:r>
      <w:r>
        <w:rPr>
          <w:rFonts w:hint="eastAsia" w:ascii="仿宋_GB2312" w:eastAsia="仿宋_GB2312"/>
          <w:sz w:val="32"/>
          <w:szCs w:val="32"/>
        </w:rPr>
        <w:t>万元</w:t>
      </w:r>
      <w:bookmarkStart w:id="71" w:name="_Toc15377218"/>
      <w:bookmarkStart w:id="72" w:name="_Toc15396610"/>
      <w:r>
        <w:rPr>
          <w:rFonts w:hint="eastAsia" w:ascii="仿宋_GB2312" w:eastAsia="仿宋_GB2312"/>
          <w:sz w:val="32"/>
          <w:szCs w:val="32"/>
          <w:lang w:eastAsia="zh-CN"/>
        </w:rPr>
        <w:t>，</w:t>
      </w:r>
      <w:r>
        <w:rPr>
          <w:rFonts w:eastAsia="仿宋_GB2312"/>
          <w:color w:val="000000"/>
          <w:sz w:val="32"/>
          <w:szCs w:val="32"/>
        </w:rPr>
        <w:t>外事接待</w:t>
      </w:r>
      <w:r>
        <w:rPr>
          <w:rFonts w:hint="eastAsia" w:eastAsia="仿宋_GB2312"/>
          <w:color w:val="000000"/>
          <w:sz w:val="32"/>
          <w:szCs w:val="32"/>
          <w:lang w:val="en-US" w:eastAsia="zh-CN"/>
        </w:rPr>
        <w:t>0</w:t>
      </w:r>
      <w:r>
        <w:rPr>
          <w:rFonts w:eastAsia="仿宋_GB2312"/>
          <w:color w:val="000000"/>
          <w:sz w:val="32"/>
          <w:szCs w:val="32"/>
        </w:rPr>
        <w:t>批次，</w:t>
      </w:r>
      <w:r>
        <w:rPr>
          <w:rFonts w:hint="eastAsia" w:eastAsia="仿宋_GB2312"/>
          <w:color w:val="000000"/>
          <w:sz w:val="32"/>
          <w:szCs w:val="32"/>
          <w:lang w:val="en-US" w:eastAsia="zh-CN"/>
        </w:rPr>
        <w:t>0</w:t>
      </w:r>
      <w:r>
        <w:rPr>
          <w:rFonts w:eastAsia="仿宋_GB2312"/>
          <w:color w:val="000000"/>
          <w:sz w:val="32"/>
          <w:szCs w:val="32"/>
        </w:rPr>
        <w:t>人，共计支出</w:t>
      </w:r>
      <w:r>
        <w:rPr>
          <w:rFonts w:hint="eastAsia" w:eastAsia="仿宋_GB2312"/>
          <w:color w:val="000000"/>
          <w:sz w:val="32"/>
          <w:szCs w:val="32"/>
          <w:lang w:val="en-US" w:eastAsia="zh-CN"/>
        </w:rPr>
        <w:t>0</w:t>
      </w:r>
      <w:r>
        <w:rPr>
          <w:rFonts w:eastAsia="仿宋_GB2312"/>
          <w:color w:val="000000"/>
          <w:sz w:val="32"/>
          <w:szCs w:val="32"/>
        </w:rPr>
        <w:t>万元</w:t>
      </w:r>
      <w:r>
        <w:rPr>
          <w:rFonts w:hint="eastAsia" w:ascii="仿宋_GB2312" w:eastAsia="仿宋_GB2312"/>
          <w:sz w:val="32"/>
          <w:szCs w:val="32"/>
          <w:lang w:eastAsia="zh-CN"/>
        </w:rPr>
        <w:t>。</w:t>
      </w:r>
    </w:p>
    <w:p>
      <w:pPr>
        <w:spacing w:line="600" w:lineRule="exact"/>
        <w:ind w:firstLine="640"/>
        <w:outlineLvl w:val="1"/>
        <w:rPr>
          <w:rStyle w:val="32"/>
          <w:rFonts w:ascii="黑体" w:hAnsi="黑体" w:eastAsia="黑体"/>
        </w:rPr>
      </w:pPr>
      <w:bookmarkStart w:id="73" w:name="_Toc11293_WPSOffice_Level2"/>
      <w:r>
        <w:rPr>
          <w:rFonts w:hint="eastAsia" w:ascii="黑体" w:eastAsia="黑体"/>
          <w:sz w:val="32"/>
          <w:szCs w:val="32"/>
        </w:rPr>
        <w:t>八、</w:t>
      </w:r>
      <w:r>
        <w:rPr>
          <w:rStyle w:val="32"/>
          <w:rFonts w:hint="eastAsia" w:ascii="黑体" w:hAnsi="黑体" w:eastAsia="黑体"/>
          <w:b w:val="0"/>
        </w:rPr>
        <w:t>政府性基金预算支出决算情况说明</w:t>
      </w:r>
      <w:bookmarkEnd w:id="71"/>
      <w:bookmarkEnd w:id="72"/>
      <w:bookmarkEnd w:id="7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2"/>
          <w:rFonts w:ascii="黑体" w:hAnsi="黑体" w:eastAsia="黑体"/>
          <w:b w:val="0"/>
        </w:rPr>
      </w:pPr>
      <w:bookmarkStart w:id="74" w:name="_Toc15377219"/>
      <w:bookmarkStart w:id="75" w:name="_Toc15396611"/>
      <w:bookmarkStart w:id="76" w:name="_Toc5492_WPSOffice_Level2"/>
      <w:r>
        <w:rPr>
          <w:rStyle w:val="32"/>
          <w:rFonts w:hint="eastAsia" w:ascii="黑体" w:hAnsi="黑体" w:eastAsia="黑体"/>
          <w:b w:val="0"/>
        </w:rPr>
        <w:t>国有资本经营预算支出决算情况说明</w:t>
      </w:r>
      <w:bookmarkEnd w:id="74"/>
      <w:bookmarkEnd w:id="75"/>
      <w:bookmarkEnd w:id="76"/>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3"/>
        </w:numPr>
        <w:spacing w:line="600" w:lineRule="exact"/>
        <w:ind w:firstLine="640"/>
        <w:outlineLvl w:val="1"/>
        <w:rPr>
          <w:rStyle w:val="32"/>
          <w:rFonts w:ascii="黑体" w:hAnsi="黑体" w:eastAsia="黑体"/>
          <w:b w:val="0"/>
        </w:rPr>
      </w:pPr>
      <w:bookmarkStart w:id="77" w:name="_Toc15377221"/>
      <w:bookmarkStart w:id="78" w:name="_Toc15396612"/>
      <w:bookmarkStart w:id="79" w:name="_Toc23303_WPSOffice_Level2"/>
      <w:r>
        <w:rPr>
          <w:rStyle w:val="32"/>
          <w:rFonts w:hint="eastAsia" w:ascii="黑体" w:hAnsi="黑体" w:eastAsia="黑体"/>
          <w:b w:val="0"/>
        </w:rPr>
        <w:t>其他重要事项的情况说明</w:t>
      </w:r>
      <w:bookmarkEnd w:id="77"/>
      <w:bookmarkEnd w:id="78"/>
      <w:bookmarkEnd w:id="79"/>
    </w:p>
    <w:p>
      <w:pPr>
        <w:spacing w:line="600" w:lineRule="exact"/>
        <w:ind w:firstLine="643" w:firstLineChars="200"/>
        <w:outlineLvl w:val="2"/>
        <w:rPr>
          <w:rFonts w:ascii="仿宋" w:hAnsi="仿宋" w:eastAsia="仿宋"/>
          <w:sz w:val="32"/>
          <w:szCs w:val="32"/>
        </w:rPr>
      </w:pPr>
      <w:bookmarkStart w:id="80" w:name="_Toc15377222"/>
      <w:r>
        <w:rPr>
          <w:rFonts w:hint="eastAsia" w:ascii="仿宋" w:hAnsi="仿宋" w:eastAsia="仿宋"/>
          <w:b/>
          <w:sz w:val="32"/>
          <w:szCs w:val="32"/>
        </w:rPr>
        <w:t>（一）机关运行经费支出情况</w:t>
      </w:r>
      <w:bookmarkEnd w:id="80"/>
    </w:p>
    <w:p>
      <w:pPr>
        <w:spacing w:line="600" w:lineRule="exact"/>
        <w:ind w:firstLine="640" w:firstLineChars="200"/>
        <w:rPr>
          <w:rFonts w:ascii="仿宋" w:hAnsi="仿宋" w:eastAsia="仿宋"/>
          <w:b/>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乐至县财政局</w:t>
      </w:r>
      <w:r>
        <w:rPr>
          <w:rFonts w:hint="eastAsia" w:ascii="仿宋_GB2312" w:eastAsia="仿宋_GB2312"/>
          <w:sz w:val="32"/>
          <w:szCs w:val="32"/>
        </w:rPr>
        <w:t>机关运行经费支出</w:t>
      </w:r>
      <w:r>
        <w:rPr>
          <w:rFonts w:hint="eastAsia" w:ascii="仿宋_GB2312" w:eastAsia="仿宋_GB2312"/>
          <w:sz w:val="32"/>
          <w:szCs w:val="32"/>
          <w:lang w:val="en-US" w:eastAsia="zh-CN"/>
        </w:rPr>
        <w:t>84.66</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eastAsia="仿宋_GB2312"/>
          <w:sz w:val="32"/>
          <w:szCs w:val="32"/>
          <w:lang w:val="en-US" w:eastAsia="zh-CN"/>
        </w:rPr>
        <w:t>增加3</w:t>
      </w:r>
      <w:r>
        <w:rPr>
          <w:rFonts w:hint="eastAsia" w:ascii="仿宋_GB2312" w:eastAsia="仿宋_GB2312"/>
          <w:sz w:val="32"/>
          <w:szCs w:val="32"/>
        </w:rPr>
        <w:t>万元，</w:t>
      </w:r>
      <w:r>
        <w:rPr>
          <w:rFonts w:hint="eastAsia" w:ascii="仿宋_GB2312" w:eastAsia="仿宋_GB2312"/>
          <w:sz w:val="32"/>
          <w:szCs w:val="32"/>
          <w:lang w:val="en-US" w:eastAsia="zh-CN"/>
        </w:rPr>
        <w:t>增加3.7</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会议及培训费增加</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1" w:name="_Toc15377223"/>
      <w:r>
        <w:rPr>
          <w:rFonts w:hint="eastAsia" w:ascii="仿宋" w:hAnsi="仿宋" w:eastAsia="仿宋"/>
          <w:b/>
          <w:sz w:val="32"/>
          <w:szCs w:val="32"/>
        </w:rPr>
        <w:t>（二）政府采购支出情况</w:t>
      </w:r>
      <w:bookmarkEnd w:id="81"/>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乐至县财政局</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2" w:name="_Toc15377224"/>
      <w:r>
        <w:rPr>
          <w:rFonts w:hint="eastAsia" w:ascii="仿宋" w:hAnsi="仿宋" w:eastAsia="仿宋"/>
          <w:b/>
          <w:sz w:val="32"/>
          <w:szCs w:val="32"/>
        </w:rPr>
        <w:t>（三）国有资产占有使用情况</w:t>
      </w:r>
      <w:bookmarkEnd w:id="82"/>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乐至县财政局</w:t>
      </w:r>
      <w:r>
        <w:rPr>
          <w:rFonts w:hint="eastAsia" w:ascii="仿宋_GB2312" w:eastAsia="仿宋_GB2312"/>
          <w:sz w:val="32"/>
          <w:szCs w:val="32"/>
        </w:rPr>
        <w:t>共有车辆</w:t>
      </w:r>
      <w:r>
        <w:rPr>
          <w:rFonts w:hint="eastAsia" w:ascii="仿宋_GB2312" w:eastAsia="仿宋_GB2312"/>
          <w:sz w:val="32"/>
          <w:szCs w:val="32"/>
          <w:lang w:val="en-US" w:eastAsia="zh-CN"/>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1</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年度预算编制阶段，组织对</w:t>
      </w:r>
      <w:r>
        <w:rPr>
          <w:rFonts w:hint="eastAsia" w:eastAsia="仿宋_GB2312"/>
          <w:sz w:val="32"/>
          <w:szCs w:val="32"/>
          <w:lang w:val="en-US" w:eastAsia="zh-CN"/>
        </w:rPr>
        <w:t>金财网络运行维护费</w:t>
      </w:r>
      <w:r>
        <w:rPr>
          <w:rFonts w:eastAsia="仿宋_GB2312"/>
          <w:sz w:val="32"/>
          <w:szCs w:val="32"/>
        </w:rPr>
        <w:t>项目</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个项目开展绩效监控。</w:t>
      </w:r>
    </w:p>
    <w:p>
      <w:pPr>
        <w:autoSpaceDE w:val="0"/>
        <w:autoSpaceDN w:val="0"/>
        <w:adjustRightInd w:val="0"/>
        <w:spacing w:line="600" w:lineRule="exact"/>
        <w:ind w:firstLine="640" w:firstLineChars="200"/>
        <w:jc w:val="left"/>
        <w:rPr>
          <w:rFonts w:eastAsia="仿宋_GB2312"/>
          <w:iCs/>
          <w:sz w:val="32"/>
          <w:szCs w:val="32"/>
          <w:highlight w:val="yellow"/>
        </w:rPr>
      </w:pPr>
      <w:r>
        <w:rPr>
          <w:rFonts w:hint="eastAsia" w:ascii="仿宋_GB2312" w:hAnsi="仿宋_GB2312" w:eastAsia="仿宋_GB2312" w:cs="仿宋_GB2312"/>
          <w:sz w:val="32"/>
          <w:szCs w:val="32"/>
        </w:rPr>
        <w:t>组织对202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val="en-US" w:eastAsia="zh-CN"/>
        </w:rPr>
        <w:t>乐至县财政局</w:t>
      </w:r>
      <w:r>
        <w:rPr>
          <w:rFonts w:hint="eastAsia" w:ascii="仿宋_GB2312" w:hAnsi="仿宋_GB2312" w:eastAsia="仿宋_GB2312" w:cs="仿宋_GB2312"/>
          <w:sz w:val="32"/>
          <w:szCs w:val="32"/>
        </w:rPr>
        <w:t>部门整体（含部门预算项目）绩效自评报告、</w:t>
      </w:r>
      <w:r>
        <w:rPr>
          <w:rFonts w:hint="eastAsia" w:eastAsia="仿宋_GB2312"/>
          <w:sz w:val="32"/>
          <w:szCs w:val="32"/>
          <w:lang w:val="en-US" w:eastAsia="zh-CN"/>
        </w:rPr>
        <w:t>金财网络运行维护费</w:t>
      </w:r>
      <w:r>
        <w:rPr>
          <w:rFonts w:hint="eastAsia" w:ascii="仿宋_GB2312" w:hAnsi="仿宋_GB2312" w:eastAsia="仿宋_GB2312" w:cs="仿宋_GB2312"/>
          <w:sz w:val="32"/>
          <w:szCs w:val="32"/>
        </w:rPr>
        <w:t>等专项预算项目绩效自评报告，绩效自评报告详见附件。</w:t>
      </w:r>
      <w:bookmarkStart w:id="83" w:name="_Hlk113349417"/>
    </w:p>
    <w:bookmarkEnd w:id="83"/>
    <w:p>
      <w:pPr>
        <w:widowControl/>
        <w:ind w:firstLine="643" w:firstLineChars="200"/>
        <w:jc w:val="left"/>
        <w:rPr>
          <w:rFonts w:ascii="仿宋_GB2312" w:eastAsia="仿宋_GB2312"/>
          <w:b/>
          <w:sz w:val="32"/>
          <w:szCs w:val="32"/>
        </w:rPr>
      </w:pPr>
      <w:r>
        <w:rPr>
          <w:rFonts w:ascii="仿宋_GB2312" w:eastAsia="仿宋_GB2312"/>
          <w:b/>
          <w:sz w:val="32"/>
          <w:szCs w:val="32"/>
        </w:rPr>
        <w:br w:type="page"/>
      </w:r>
    </w:p>
    <w:p>
      <w:pPr>
        <w:pStyle w:val="7"/>
        <w:spacing w:before="93"/>
      </w:pPr>
    </w:p>
    <w:p>
      <w:pPr>
        <w:numPr>
          <w:ilvl w:val="0"/>
          <w:numId w:val="4"/>
        </w:numPr>
        <w:spacing w:line="600" w:lineRule="exact"/>
        <w:ind w:firstLine="660" w:firstLineChars="150"/>
        <w:jc w:val="center"/>
        <w:outlineLvl w:val="0"/>
        <w:rPr>
          <w:rStyle w:val="31"/>
          <w:rFonts w:ascii="黑体" w:hAnsi="黑体" w:eastAsia="黑体"/>
          <w:b w:val="0"/>
        </w:rPr>
      </w:pPr>
      <w:bookmarkStart w:id="84" w:name="_Toc15377225"/>
      <w:bookmarkStart w:id="85" w:name="_Toc15396613"/>
      <w:bookmarkStart w:id="86" w:name="_Toc11228_WPSOffice_Level1"/>
      <w:r>
        <w:rPr>
          <w:rFonts w:hint="eastAsia" w:ascii="黑体" w:hAnsi="黑体" w:eastAsia="黑体"/>
          <w:sz w:val="44"/>
          <w:szCs w:val="44"/>
        </w:rPr>
        <w:t>名</w:t>
      </w:r>
      <w:r>
        <w:rPr>
          <w:rStyle w:val="31"/>
          <w:rFonts w:hint="eastAsia" w:ascii="黑体" w:hAnsi="黑体" w:eastAsia="黑体"/>
          <w:b w:val="0"/>
        </w:rPr>
        <w:t>词解释</w:t>
      </w:r>
      <w:bookmarkEnd w:id="84"/>
      <w:bookmarkEnd w:id="85"/>
      <w:bookmarkEnd w:id="86"/>
    </w:p>
    <w:p>
      <w:pPr>
        <w:spacing w:line="600" w:lineRule="exact"/>
        <w:jc w:val="left"/>
        <w:rPr>
          <w:rFonts w:ascii="宋体"/>
          <w:b/>
          <w:sz w:val="44"/>
          <w:szCs w:val="44"/>
        </w:rPr>
      </w:pP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9"/>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9"/>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bookmarkStart w:id="87" w:name="_Toc15377226"/>
      <w:r>
        <w:rPr>
          <w:rFonts w:ascii="仿宋_GB2312" w:eastAsia="仿宋_GB2312"/>
          <w:color w:val="000000"/>
          <w:sz w:val="32"/>
          <w:szCs w:val="32"/>
        </w:rPr>
        <w:t>9.</w:t>
      </w:r>
      <w:r>
        <w:rPr>
          <w:rFonts w:hint="eastAsia" w:ascii="仿宋_GB2312" w:eastAsia="仿宋_GB2312"/>
          <w:color w:val="000000"/>
          <w:sz w:val="32"/>
          <w:szCs w:val="32"/>
        </w:rPr>
        <w:t>一般公共服务（201）财政事务（06）财政运行（01）：指行政单位的基本支出；一般公共服务（201）财政事务（06）一般行政管理事务（02）：指行政单位未单独设置项级科目的其他项目支出；一般公共服务（201）财政事务（06）财事业运行（50）：指事业单位的基本支出，不包括行政单位后勤服务中心、医务室等附属事务单位。</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社会保障和就业（208）行政事业单位离退休（05）机关事业单位基本养老保险缴费支出（05）：指机关事业单位实施养老保险制度由单位缴纳的基本养老保险费支出；社会保障和就业（208）行政事业单位离退休（05）机关事业单位基本养老保险缴费支出（06）：指机关事业单位实施养老保险制度由单位缴纳的职业年金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医疗卫生与计划生育（210）行政事业单位医疗（11）行政单位医疗（01）：指财政部门安排的行政单位基本医疗保险缴费经费；医疗卫生与计划生育（210）行政事业单位医疗（11）事业单位医疗（02）：指财政部门安排的事业单位基本医疗保险缴费经费；医疗卫生与计划生育（210）行政事业单位医疗（11）公务员医疗补助（01）：指财政部门安排公务员医疗补助经费。</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12</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13</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14</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9"/>
        <w:spacing w:line="560" w:lineRule="exact"/>
        <w:ind w:firstLine="640" w:firstLineChars="200"/>
        <w:rPr>
          <w:rFonts w:ascii="仿宋_GB2312" w:eastAsia="仿宋_GB2312"/>
          <w:sz w:val="32"/>
          <w:szCs w:val="32"/>
        </w:rPr>
      </w:pPr>
      <w:r>
        <w:rPr>
          <w:rFonts w:hint="eastAsia" w:ascii="仿宋_GB2312" w:eastAsia="仿宋_GB2312"/>
          <w:sz w:val="32"/>
          <w:szCs w:val="32"/>
        </w:rPr>
        <w:t>15</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spacing w:line="560" w:lineRule="exact"/>
        <w:ind w:firstLine="640" w:firstLineChars="200"/>
        <w:rPr>
          <w:rFonts w:ascii="仿宋" w:hAnsi="仿宋" w:eastAsia="仿宋"/>
          <w:b/>
          <w:sz w:val="32"/>
          <w:szCs w:val="32"/>
        </w:rPr>
      </w:pPr>
      <w:r>
        <w:rPr>
          <w:rFonts w:hint="eastAsia" w:ascii="仿宋_GB2312" w:eastAsia="仿宋_GB2312"/>
          <w:sz w:val="32"/>
          <w:szCs w:val="32"/>
        </w:rPr>
        <w:t>16</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1"/>
          <w:rFonts w:ascii="黑体" w:hAnsi="黑体" w:eastAsia="黑体"/>
          <w:b w:val="0"/>
        </w:rPr>
      </w:pPr>
      <w:r>
        <w:rPr>
          <w:rFonts w:ascii="宋体"/>
          <w:b/>
          <w:sz w:val="44"/>
          <w:szCs w:val="44"/>
        </w:rPr>
        <w:br w:type="page"/>
      </w:r>
      <w:bookmarkStart w:id="88" w:name="_Toc15396614"/>
      <w:bookmarkStart w:id="89" w:name="_Toc13617_WPSOffice_Level1"/>
      <w:r>
        <w:rPr>
          <w:rFonts w:hint="eastAsia" w:ascii="黑体" w:hAnsi="黑体" w:eastAsia="黑体"/>
          <w:sz w:val="44"/>
          <w:szCs w:val="44"/>
        </w:rPr>
        <w:t>第</w:t>
      </w:r>
      <w:r>
        <w:rPr>
          <w:rStyle w:val="31"/>
          <w:rFonts w:hint="eastAsia" w:ascii="黑体" w:hAnsi="黑体" w:eastAsia="黑体"/>
          <w:b w:val="0"/>
        </w:rPr>
        <w:t>四部分 附件</w:t>
      </w:r>
      <w:bookmarkEnd w:id="88"/>
      <w:bookmarkEnd w:id="89"/>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3</w:t>
      </w: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年乐至县部门整体支出绩效</w:t>
      </w:r>
    </w:p>
    <w:p>
      <w:pPr>
        <w:spacing w:line="580" w:lineRule="exact"/>
        <w:jc w:val="center"/>
        <w:rPr>
          <w:rFonts w:eastAsia="方正小标宋简体"/>
          <w:sz w:val="44"/>
          <w:szCs w:val="44"/>
        </w:rPr>
      </w:pPr>
      <w:r>
        <w:rPr>
          <w:rFonts w:hint="eastAsia" w:eastAsia="方正小标宋简体"/>
          <w:sz w:val="44"/>
          <w:szCs w:val="44"/>
        </w:rPr>
        <w:t>自评报告</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一、部门（单位）概况</w:t>
      </w:r>
    </w:p>
    <w:p>
      <w:pPr>
        <w:spacing w:line="580" w:lineRule="exact"/>
        <w:ind w:firstLine="643" w:firstLineChars="200"/>
        <w:rPr>
          <w:rFonts w:hint="eastAsia" w:eastAsia="方正楷体简体"/>
          <w:b/>
          <w:sz w:val="32"/>
          <w:szCs w:val="32"/>
        </w:rPr>
      </w:pPr>
      <w:r>
        <w:rPr>
          <w:rFonts w:hint="eastAsia" w:eastAsia="方正楷体简体"/>
          <w:b/>
          <w:sz w:val="32"/>
          <w:szCs w:val="32"/>
        </w:rPr>
        <w:t>（一）机构组成（含下属单位</w:t>
      </w:r>
      <w:r>
        <w:rPr>
          <w:rFonts w:hint="eastAsia" w:eastAsia="方正楷体简体"/>
          <w:b/>
          <w:sz w:val="32"/>
          <w:szCs w:val="32"/>
          <w:lang w:val="en-US" w:eastAsia="zh-CN"/>
        </w:rPr>
        <w:t>两</w:t>
      </w:r>
      <w:r>
        <w:rPr>
          <w:rFonts w:hint="eastAsia" w:eastAsia="方正楷体简体"/>
          <w:b/>
          <w:sz w:val="32"/>
          <w:szCs w:val="32"/>
        </w:rPr>
        <w:t>个）</w:t>
      </w:r>
    </w:p>
    <w:p>
      <w:pPr>
        <w:spacing w:line="580" w:lineRule="exact"/>
        <w:ind w:firstLine="640" w:firstLineChars="2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rPr>
        <w:t>报表编制主体为乐至县财政局，属行政单位，内设办公室、农业农村股、预算股、国库股等14个股室。</w:t>
      </w:r>
      <w:r>
        <w:rPr>
          <w:rFonts w:hint="eastAsia" w:ascii="Times New Roman" w:hAnsi="Times New Roman" w:eastAsia="方正仿宋简体" w:cs="Times New Roman"/>
          <w:sz w:val="32"/>
          <w:szCs w:val="32"/>
          <w:lang w:val="en-US" w:eastAsia="zh-CN"/>
        </w:rPr>
        <w:t>含下属单位两个，其中乐至县财政国库集中支付中心为参照公务员管理事业单位，设稽核股、支付股、会计股；乐至县财政投资评审中心为下属独立核算的全额事业单位。</w:t>
      </w:r>
    </w:p>
    <w:p>
      <w:pPr>
        <w:numPr>
          <w:ilvl w:val="0"/>
          <w:numId w:val="5"/>
        </w:numPr>
        <w:spacing w:line="580" w:lineRule="exact"/>
        <w:ind w:firstLine="643" w:firstLineChars="200"/>
        <w:rPr>
          <w:rFonts w:hint="eastAsia" w:eastAsia="方正楷体简体"/>
          <w:b/>
          <w:sz w:val="32"/>
          <w:szCs w:val="32"/>
        </w:rPr>
      </w:pPr>
      <w:r>
        <w:rPr>
          <w:rFonts w:hint="eastAsia" w:eastAsia="方正楷体简体"/>
          <w:b/>
          <w:sz w:val="32"/>
          <w:szCs w:val="32"/>
        </w:rPr>
        <w:t>机构职能</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乐至县财政局：</w:t>
      </w:r>
      <w:r>
        <w:rPr>
          <w:rFonts w:hint="eastAsia" w:ascii="Times New Roman" w:hAnsi="Times New Roman" w:eastAsia="方正仿宋简体" w:cs="Times New Roman"/>
          <w:sz w:val="32"/>
          <w:szCs w:val="32"/>
        </w:rPr>
        <w:t>1.拟订全县财税发展战略、规划、政策和改革方案并组织实施。分析预测宏观经济形势，参与制定各项经济政策，提出运用财税政策实施宏观调控和综合平衡社会财力的建议。</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2.贯彻执行财政、税收、财务、会计管理的法律法规和规章。拟订全县财税管理的规范性文件及有关政策并组织实施。按照管理权限管理全县税政事项。</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3.负责管理县级各项财政收支，指导监督乡镇财政收支。编制年度县级预决算草案并组织执行。组织制定经费开支标准、定额，审核批复县级部门（单位）年度预决算。受县政府委托，向县人大及其常委会报告财政预算、执行和决算等情况。负责县级预决算公开，指导监督乡镇财政预、决算编制、执行。负责全面实施预算绩效管理。</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4.按分工负责政府非税收入管理。负责政府性基金管理，按规定管理行政事业性收费等其他非税收入。管理财政票据。按规定管理彩票公益金。</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5.组织制定全县国库管理制度、国库集中收付制度，指导和监督国库业务，开展国库现金管理工作。贯彻执行政府财务报告编制办法。贯彻执行政府采购制度和政策，制定具体管理办法并监督管理。</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6.贯彻执行地方政府债务管理制度和政策，制定具体管理办法。按规定负责地方政府债券使用、管理和监督，统一管理全县政府外债，管理外国政府和国际金融机构贷（赠）款，防范财政风险。参与财经领域的国际交流与合作。</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7.根据县政府授权，集中统一履行县级国有金融资本出资人职责。制定县级国有金融资本管理制度。</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8.组织实施企业财务制度。负责财政预算内行政事业单位和社会团体的非贸易外汇管理。负责审核并汇总编制全县国有资本经营预决算草案，制定全县国有资本经营预算制度和办法。</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9.负责审核并汇总编制全县社会保险基金预决算草案，会同有关部门拟订并组织实施有关资金（基金）财务管理制度，承担社会保险基金财政监管工作。</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10.负责办理和监督县级财政的经济发展支出、政府性投资项目的财政拨款，负责投资评审管理工作，参与拟订县级基建投资有关政策，贯彻执行基建财务管理制度。</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11.负责管理全县会计工作，监督和规范会计行为，组织实施国家统一的会计制度。</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12.负责职责范围内的安全生产和职业健康、生态环境保护、审批服务便民化等工作。</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13.完成县委、县政府交办的其他任务</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lang w:val="en-US" w:eastAsia="zh-CN"/>
        </w:rPr>
        <w:t>乐至县财政国库集中支付中心：</w:t>
      </w:r>
      <w:r>
        <w:rPr>
          <w:rFonts w:hint="eastAsia" w:ascii="Times New Roman" w:hAnsi="Times New Roman" w:eastAsia="方正仿宋简体" w:cs="Times New Roman"/>
          <w:sz w:val="32"/>
          <w:szCs w:val="32"/>
        </w:rPr>
        <w:t>审核办理财政直接支付业务，负责预算单位现金限额的审核及限额内支付票据的审核，负责向预算单位出具财政直接支付入账依据，管理和使用财政零余额账户，负责单位预算内外及专项资金支出明细账管理，定期核对账目，及时向财政局提供预算单位财政资金支付和清算信息，受理预算单位业务信息的咨询。</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乐至县财政投资评审中心</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rPr>
        <w:t>负责全县财政预算内各项建设资金安排的建设项目、政府性基金安排的建设项目、纳入财政预算外专户管理的预算外资金安排的建设项目、政府性融资安排的建设项目、其他财政性资金安排的项目支出。负责对使用科技三项费、技改贴息、国土资源调查费等财政资金项目的专项检查。</w:t>
      </w:r>
    </w:p>
    <w:p>
      <w:pPr>
        <w:numPr>
          <w:ilvl w:val="0"/>
          <w:numId w:val="5"/>
        </w:numPr>
        <w:spacing w:line="580" w:lineRule="exact"/>
        <w:ind w:left="0" w:leftChars="0" w:firstLine="643" w:firstLineChars="200"/>
        <w:rPr>
          <w:rFonts w:hint="eastAsia" w:eastAsia="方正楷体简体"/>
          <w:b/>
          <w:sz w:val="32"/>
          <w:szCs w:val="32"/>
        </w:rPr>
      </w:pPr>
      <w:r>
        <w:rPr>
          <w:rFonts w:hint="eastAsia" w:eastAsia="方正楷体简体"/>
          <w:b/>
          <w:sz w:val="32"/>
          <w:szCs w:val="32"/>
        </w:rPr>
        <w:t>人员概况</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乐至县财政局</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含两个下属单位</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rPr>
        <w:t>202</w:t>
      </w:r>
      <w:r>
        <w:rPr>
          <w:rFonts w:hint="eastAsia" w:ascii="Times New Roman" w:hAnsi="Times New Roman" w:eastAsia="方正仿宋简体" w:cs="Times New Roman"/>
          <w:sz w:val="32"/>
          <w:szCs w:val="32"/>
          <w:lang w:val="en-US" w:eastAsia="zh-CN"/>
        </w:rPr>
        <w:t>3</w:t>
      </w:r>
      <w:r>
        <w:rPr>
          <w:rFonts w:hint="eastAsia" w:ascii="Times New Roman" w:hAnsi="Times New Roman" w:eastAsia="方正仿宋简体" w:cs="Times New Roman"/>
          <w:sz w:val="32"/>
          <w:szCs w:val="32"/>
        </w:rPr>
        <w:t>年末总编制</w:t>
      </w:r>
      <w:r>
        <w:rPr>
          <w:rFonts w:hint="eastAsia" w:ascii="Times New Roman" w:hAnsi="Times New Roman" w:eastAsia="方正仿宋简体" w:cs="Times New Roman"/>
          <w:sz w:val="32"/>
          <w:szCs w:val="32"/>
          <w:lang w:val="en-US" w:eastAsia="zh-CN"/>
        </w:rPr>
        <w:t>65</w:t>
      </w:r>
      <w:r>
        <w:rPr>
          <w:rFonts w:hint="eastAsia" w:ascii="Times New Roman" w:hAnsi="Times New Roman" w:eastAsia="方正仿宋简体" w:cs="Times New Roman"/>
          <w:sz w:val="32"/>
          <w:szCs w:val="32"/>
        </w:rPr>
        <w:t>名，其中：</w:t>
      </w:r>
      <w:r>
        <w:rPr>
          <w:rFonts w:hint="eastAsia" w:ascii="Times New Roman" w:hAnsi="Times New Roman" w:eastAsia="方正仿宋简体" w:cs="Times New Roman"/>
          <w:sz w:val="32"/>
          <w:szCs w:val="32"/>
          <w:lang w:val="en-US" w:eastAsia="zh-CN"/>
        </w:rPr>
        <w:t>机关</w:t>
      </w:r>
      <w:r>
        <w:rPr>
          <w:rFonts w:hint="eastAsia" w:ascii="Times New Roman" w:hAnsi="Times New Roman" w:eastAsia="方正仿宋简体" w:cs="Times New Roman"/>
          <w:sz w:val="32"/>
          <w:szCs w:val="32"/>
        </w:rPr>
        <w:t>行政编制31名，</w:t>
      </w:r>
      <w:r>
        <w:rPr>
          <w:rFonts w:hint="eastAsia" w:ascii="Times New Roman" w:hAnsi="Times New Roman" w:eastAsia="方正仿宋简体" w:cs="Times New Roman"/>
          <w:sz w:val="32"/>
          <w:szCs w:val="32"/>
          <w:lang w:val="en-US" w:eastAsia="zh-CN"/>
        </w:rPr>
        <w:t>机关</w:t>
      </w:r>
      <w:r>
        <w:rPr>
          <w:rFonts w:hint="eastAsia" w:ascii="Times New Roman" w:hAnsi="Times New Roman" w:eastAsia="方正仿宋简体" w:cs="Times New Roman"/>
          <w:sz w:val="32"/>
          <w:szCs w:val="32"/>
        </w:rPr>
        <w:t>行政工勤编制1名，</w:t>
      </w:r>
      <w:r>
        <w:rPr>
          <w:rFonts w:hint="eastAsia" w:ascii="Times New Roman" w:hAnsi="Times New Roman" w:eastAsia="方正仿宋简体" w:cs="Times New Roman"/>
          <w:sz w:val="32"/>
          <w:szCs w:val="32"/>
          <w:lang w:val="en-US" w:eastAsia="zh-CN"/>
        </w:rPr>
        <w:t>参公行政编制14名，参公行政工勤1名，</w:t>
      </w:r>
      <w:r>
        <w:rPr>
          <w:rFonts w:hint="eastAsia" w:ascii="Times New Roman" w:hAnsi="Times New Roman" w:eastAsia="方正仿宋简体" w:cs="Times New Roman"/>
          <w:sz w:val="32"/>
          <w:szCs w:val="32"/>
        </w:rPr>
        <w:t>事业编制1</w:t>
      </w:r>
      <w:r>
        <w:rPr>
          <w:rFonts w:hint="eastAsia" w:ascii="Times New Roman" w:hAnsi="Times New Roman" w:eastAsia="方正仿宋简体" w:cs="Times New Roman"/>
          <w:sz w:val="32"/>
          <w:szCs w:val="32"/>
          <w:lang w:val="en-US" w:eastAsia="zh-CN"/>
        </w:rPr>
        <w:t>8</w:t>
      </w:r>
      <w:r>
        <w:rPr>
          <w:rFonts w:hint="eastAsia" w:ascii="Times New Roman" w:hAnsi="Times New Roman" w:eastAsia="方正仿宋简体" w:cs="Times New Roman"/>
          <w:sz w:val="32"/>
          <w:szCs w:val="32"/>
        </w:rPr>
        <w:t>名。</w:t>
      </w:r>
      <w:r>
        <w:rPr>
          <w:rFonts w:hint="eastAsia" w:ascii="Times New Roman" w:hAnsi="Times New Roman" w:eastAsia="方正仿宋简体" w:cs="Times New Roman"/>
          <w:sz w:val="32"/>
          <w:szCs w:val="32"/>
          <w:lang w:val="en-US" w:eastAsia="zh-CN"/>
        </w:rPr>
        <w:t>年末</w:t>
      </w:r>
      <w:r>
        <w:rPr>
          <w:rFonts w:hint="eastAsia" w:ascii="Times New Roman" w:hAnsi="Times New Roman" w:eastAsia="方正仿宋简体" w:cs="Times New Roman"/>
          <w:sz w:val="32"/>
          <w:szCs w:val="32"/>
        </w:rPr>
        <w:t>实有在职人员总数</w:t>
      </w:r>
      <w:r>
        <w:rPr>
          <w:rFonts w:hint="eastAsia" w:ascii="Times New Roman" w:hAnsi="Times New Roman" w:eastAsia="方正仿宋简体" w:cs="Times New Roman"/>
          <w:sz w:val="32"/>
          <w:szCs w:val="32"/>
          <w:lang w:val="en-US" w:eastAsia="zh-CN"/>
        </w:rPr>
        <w:t>57</w:t>
      </w:r>
      <w:r>
        <w:rPr>
          <w:rFonts w:hint="eastAsia" w:ascii="Times New Roman" w:hAnsi="Times New Roman" w:eastAsia="方正仿宋简体" w:cs="Times New Roman"/>
          <w:sz w:val="32"/>
          <w:szCs w:val="32"/>
        </w:rPr>
        <w:t>人，其中：行政人员</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包含参公</w:t>
      </w:r>
      <w:r>
        <w:rPr>
          <w:rFonts w:hint="eastAsia" w:ascii="Times New Roman" w:hAnsi="Times New Roman" w:eastAsia="方正仿宋简体" w:cs="Times New Roman"/>
          <w:sz w:val="32"/>
          <w:szCs w:val="32"/>
          <w:lang w:eastAsia="zh-CN"/>
        </w:rPr>
        <w:t>）</w:t>
      </w:r>
      <w:r>
        <w:rPr>
          <w:rFonts w:hint="eastAsia" w:ascii="Times New Roman" w:hAnsi="Times New Roman" w:eastAsia="方正仿宋简体" w:cs="Times New Roman"/>
          <w:sz w:val="32"/>
          <w:szCs w:val="32"/>
          <w:lang w:val="en-US" w:eastAsia="zh-CN"/>
        </w:rPr>
        <w:t>41</w:t>
      </w:r>
      <w:r>
        <w:rPr>
          <w:rFonts w:hint="eastAsia" w:ascii="Times New Roman" w:hAnsi="Times New Roman" w:eastAsia="方正仿宋简体" w:cs="Times New Roman"/>
          <w:sz w:val="32"/>
          <w:szCs w:val="32"/>
        </w:rPr>
        <w:t>人，行政工勤</w:t>
      </w:r>
      <w:r>
        <w:rPr>
          <w:rFonts w:hint="eastAsia" w:ascii="Times New Roman" w:hAnsi="Times New Roman" w:eastAsia="方正仿宋简体" w:cs="Times New Roman"/>
          <w:sz w:val="32"/>
          <w:szCs w:val="32"/>
          <w:lang w:val="en-US" w:eastAsia="zh-CN"/>
        </w:rPr>
        <w:t>2</w:t>
      </w:r>
      <w:r>
        <w:rPr>
          <w:rFonts w:hint="eastAsia" w:ascii="Times New Roman" w:hAnsi="Times New Roman" w:eastAsia="方正仿宋简体" w:cs="Times New Roman"/>
          <w:sz w:val="32"/>
          <w:szCs w:val="32"/>
        </w:rPr>
        <w:t>名，其他事业人员</w:t>
      </w:r>
      <w:r>
        <w:rPr>
          <w:rFonts w:hint="eastAsia" w:ascii="Times New Roman" w:hAnsi="Times New Roman" w:eastAsia="方正仿宋简体" w:cs="Times New Roman"/>
          <w:sz w:val="32"/>
          <w:szCs w:val="32"/>
          <w:lang w:val="en-US" w:eastAsia="zh-CN"/>
        </w:rPr>
        <w:t>15</w:t>
      </w:r>
      <w:r>
        <w:rPr>
          <w:rFonts w:hint="eastAsia" w:ascii="Times New Roman" w:hAnsi="Times New Roman" w:eastAsia="方正仿宋简体" w:cs="Times New Roman"/>
          <w:sz w:val="32"/>
          <w:szCs w:val="32"/>
        </w:rPr>
        <w:t>人，退休人员22人。</w:t>
      </w:r>
    </w:p>
    <w:p>
      <w:pPr>
        <w:spacing w:line="580" w:lineRule="exact"/>
        <w:ind w:firstLine="640" w:firstLineChars="200"/>
        <w:rPr>
          <w:rFonts w:eastAsia="方正黑体简体"/>
          <w:sz w:val="32"/>
          <w:szCs w:val="32"/>
        </w:rPr>
      </w:pPr>
      <w:r>
        <w:rPr>
          <w:rFonts w:hint="eastAsia" w:eastAsia="方正黑体简体"/>
          <w:sz w:val="32"/>
          <w:szCs w:val="32"/>
        </w:rPr>
        <w:t>二、部门财政资金收支情况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（一）部门财政资金收入情况</w:t>
      </w:r>
    </w:p>
    <w:p>
      <w:pPr>
        <w:spacing w:line="600" w:lineRule="exact"/>
        <w:ind w:firstLine="640" w:firstLineChars="200"/>
        <w:rPr>
          <w:rFonts w:hint="eastAsia" w:eastAsia="方正楷体简体"/>
          <w:b/>
          <w:color w:val="auto"/>
          <w:sz w:val="32"/>
          <w:szCs w:val="32"/>
        </w:rPr>
      </w:pPr>
      <w:r>
        <w:rPr>
          <w:rFonts w:hint="eastAsia" w:ascii="Times New Roman" w:hAnsi="Times New Roman" w:eastAsia="方正仿宋简体" w:cs="Times New Roman"/>
          <w:color w:val="auto"/>
          <w:sz w:val="32"/>
          <w:szCs w:val="32"/>
        </w:rPr>
        <w:t>202</w:t>
      </w:r>
      <w:r>
        <w:rPr>
          <w:rFonts w:hint="eastAsia" w:ascii="Times New Roman" w:hAnsi="Times New Roman" w:eastAsia="方正仿宋简体" w:cs="Times New Roman"/>
          <w:color w:val="auto"/>
          <w:sz w:val="32"/>
          <w:szCs w:val="32"/>
          <w:lang w:val="en-US" w:eastAsia="zh-CN"/>
        </w:rPr>
        <w:t>3</w:t>
      </w:r>
      <w:r>
        <w:rPr>
          <w:rFonts w:hint="eastAsia" w:ascii="Times New Roman" w:hAnsi="Times New Roman" w:eastAsia="方正仿宋简体" w:cs="Times New Roman"/>
          <w:color w:val="auto"/>
          <w:sz w:val="32"/>
          <w:szCs w:val="32"/>
        </w:rPr>
        <w:t>年本年收入合计</w:t>
      </w:r>
      <w:r>
        <w:rPr>
          <w:rFonts w:hint="eastAsia" w:ascii="Times New Roman" w:hAnsi="Times New Roman" w:eastAsia="方正仿宋简体" w:cs="Times New Roman"/>
          <w:color w:val="auto"/>
          <w:sz w:val="32"/>
          <w:szCs w:val="32"/>
          <w:lang w:val="en-US" w:eastAsia="zh-CN"/>
        </w:rPr>
        <w:t>1094.05万元</w:t>
      </w:r>
      <w:r>
        <w:rPr>
          <w:rFonts w:hint="eastAsia" w:ascii="Times New Roman" w:hAnsi="Times New Roman" w:eastAsia="方正仿宋简体" w:cs="Times New Roman"/>
          <w:color w:val="auto"/>
          <w:sz w:val="32"/>
          <w:szCs w:val="32"/>
        </w:rPr>
        <w:t>，较20</w:t>
      </w:r>
      <w:r>
        <w:rPr>
          <w:rFonts w:hint="eastAsia" w:ascii="Times New Roman" w:hAnsi="Times New Roman" w:eastAsia="方正仿宋简体" w:cs="Times New Roman"/>
          <w:color w:val="auto"/>
          <w:sz w:val="32"/>
          <w:szCs w:val="32"/>
          <w:lang w:val="en-US" w:eastAsia="zh-CN"/>
        </w:rPr>
        <w:t>22</w:t>
      </w:r>
      <w:r>
        <w:rPr>
          <w:rFonts w:hint="eastAsia" w:ascii="Times New Roman" w:hAnsi="Times New Roman" w:eastAsia="方正仿宋简体" w:cs="Times New Roman"/>
          <w:color w:val="auto"/>
          <w:sz w:val="32"/>
          <w:szCs w:val="32"/>
        </w:rPr>
        <w:t>年全年收入</w:t>
      </w:r>
      <w:r>
        <w:rPr>
          <w:rFonts w:hint="eastAsia" w:ascii="Times New Roman" w:hAnsi="Times New Roman" w:eastAsia="方正仿宋简体" w:cs="Times New Roman"/>
          <w:color w:val="auto"/>
          <w:sz w:val="32"/>
          <w:szCs w:val="32"/>
          <w:lang w:val="en-US" w:eastAsia="zh-CN"/>
        </w:rPr>
        <w:t>1111.25万元减少17.2</w:t>
      </w:r>
      <w:r>
        <w:rPr>
          <w:rFonts w:hint="eastAsia" w:ascii="Times New Roman" w:hAnsi="Times New Roman" w:eastAsia="方正仿宋简体" w:cs="Times New Roman"/>
          <w:color w:val="auto"/>
          <w:sz w:val="32"/>
          <w:szCs w:val="32"/>
        </w:rPr>
        <w:t>万元，同比</w:t>
      </w:r>
      <w:r>
        <w:rPr>
          <w:rFonts w:hint="eastAsia" w:ascii="Times New Roman" w:hAnsi="Times New Roman" w:eastAsia="方正仿宋简体" w:cs="Times New Roman"/>
          <w:color w:val="auto"/>
          <w:sz w:val="32"/>
          <w:szCs w:val="32"/>
          <w:lang w:val="en-US" w:eastAsia="zh-CN"/>
        </w:rPr>
        <w:t>减少1.55</w:t>
      </w:r>
      <w:r>
        <w:rPr>
          <w:rFonts w:hint="eastAsia" w:ascii="Times New Roman" w:hAnsi="Times New Roman" w:eastAsia="方正仿宋简体" w:cs="Times New Roman"/>
          <w:color w:val="auto"/>
          <w:sz w:val="32"/>
          <w:szCs w:val="32"/>
        </w:rPr>
        <w:t>%，主要变动原因是人员变动</w:t>
      </w:r>
      <w:r>
        <w:rPr>
          <w:rFonts w:hint="eastAsia" w:ascii="Times New Roman" w:hAnsi="Times New Roman" w:eastAsia="方正仿宋简体" w:cs="Times New Roman"/>
          <w:color w:val="auto"/>
          <w:sz w:val="32"/>
          <w:szCs w:val="32"/>
          <w:lang w:val="en-US" w:eastAsia="zh-CN"/>
        </w:rPr>
        <w:t>以及项目减少</w:t>
      </w:r>
      <w:r>
        <w:rPr>
          <w:rFonts w:hint="eastAsia" w:ascii="Times New Roman" w:hAnsi="Times New Roman" w:eastAsia="方正仿宋简体" w:cs="Times New Roman"/>
          <w:color w:val="auto"/>
          <w:sz w:val="32"/>
          <w:szCs w:val="32"/>
        </w:rPr>
        <w:t>。其中：基本支出</w:t>
      </w:r>
      <w:r>
        <w:rPr>
          <w:rFonts w:hint="eastAsia" w:ascii="Times New Roman" w:hAnsi="Times New Roman" w:eastAsia="方正仿宋简体" w:cs="Times New Roman"/>
          <w:color w:val="auto"/>
          <w:sz w:val="32"/>
          <w:szCs w:val="32"/>
          <w:lang w:val="en-US" w:eastAsia="zh-CN"/>
        </w:rPr>
        <w:t>738.3</w:t>
      </w:r>
      <w:r>
        <w:rPr>
          <w:rFonts w:hint="eastAsia" w:ascii="Times New Roman" w:hAnsi="Times New Roman" w:eastAsia="方正仿宋简体" w:cs="Times New Roman"/>
          <w:color w:val="auto"/>
          <w:sz w:val="32"/>
          <w:szCs w:val="32"/>
        </w:rPr>
        <w:t>万元，占</w:t>
      </w:r>
      <w:r>
        <w:rPr>
          <w:rFonts w:hint="eastAsia" w:ascii="Times New Roman" w:hAnsi="Times New Roman" w:eastAsia="方正仿宋简体" w:cs="Times New Roman"/>
          <w:color w:val="auto"/>
          <w:sz w:val="32"/>
          <w:szCs w:val="32"/>
          <w:lang w:val="en-US" w:eastAsia="zh-CN"/>
        </w:rPr>
        <w:t>66.44</w:t>
      </w:r>
      <w:r>
        <w:rPr>
          <w:rFonts w:hint="eastAsia" w:ascii="Times New Roman" w:hAnsi="Times New Roman" w:eastAsia="方正仿宋简体" w:cs="Times New Roman"/>
          <w:color w:val="auto"/>
          <w:sz w:val="32"/>
          <w:szCs w:val="32"/>
        </w:rPr>
        <w:t>%；项目支出</w:t>
      </w:r>
      <w:r>
        <w:rPr>
          <w:rFonts w:hint="eastAsia" w:ascii="Times New Roman" w:hAnsi="Times New Roman" w:eastAsia="方正仿宋简体" w:cs="Times New Roman"/>
          <w:color w:val="auto"/>
          <w:sz w:val="32"/>
          <w:szCs w:val="32"/>
          <w:lang w:val="en-US" w:eastAsia="zh-CN"/>
        </w:rPr>
        <w:t>355.75</w:t>
      </w:r>
      <w:r>
        <w:rPr>
          <w:rFonts w:hint="eastAsia" w:ascii="Times New Roman" w:hAnsi="Times New Roman" w:eastAsia="方正仿宋简体" w:cs="Times New Roman"/>
          <w:color w:val="auto"/>
          <w:sz w:val="32"/>
          <w:szCs w:val="32"/>
        </w:rPr>
        <w:t>万元，占</w:t>
      </w:r>
      <w:r>
        <w:rPr>
          <w:rFonts w:hint="eastAsia" w:ascii="Times New Roman" w:hAnsi="Times New Roman" w:eastAsia="方正仿宋简体" w:cs="Times New Roman"/>
          <w:color w:val="auto"/>
          <w:sz w:val="32"/>
          <w:szCs w:val="32"/>
          <w:lang w:val="en-US" w:eastAsia="zh-CN"/>
        </w:rPr>
        <w:t>32.01</w:t>
      </w:r>
      <w:r>
        <w:rPr>
          <w:rFonts w:hint="eastAsia" w:ascii="Times New Roman" w:hAnsi="Times New Roman" w:eastAsia="方正仿宋简体" w:cs="Times New Roman"/>
          <w:color w:val="auto"/>
          <w:sz w:val="32"/>
          <w:szCs w:val="32"/>
        </w:rPr>
        <w:t>%；上缴上级支出0万元，占0%；经营支出0万元，占0%；对附属单位补助支出0万元，占0%。</w:t>
      </w:r>
    </w:p>
    <w:p>
      <w:pPr>
        <w:spacing w:line="580" w:lineRule="exact"/>
        <w:ind w:firstLine="643" w:firstLineChars="200"/>
        <w:rPr>
          <w:rFonts w:eastAsia="方正楷体简体"/>
          <w:b/>
          <w:sz w:val="32"/>
          <w:szCs w:val="32"/>
        </w:rPr>
      </w:pPr>
      <w:r>
        <w:rPr>
          <w:rFonts w:hint="eastAsia" w:eastAsia="方正楷体简体"/>
          <w:b/>
          <w:sz w:val="32"/>
          <w:szCs w:val="32"/>
        </w:rPr>
        <w:t>（二）部门财政资金支出情况</w:t>
      </w:r>
    </w:p>
    <w:p>
      <w:pPr>
        <w:spacing w:line="580" w:lineRule="exact"/>
        <w:ind w:firstLine="640" w:firstLineChars="200"/>
        <w:rPr>
          <w:rFonts w:eastAsia="方正黑体简体"/>
          <w:sz w:val="32"/>
          <w:szCs w:val="32"/>
        </w:rPr>
      </w:pPr>
      <w:r>
        <w:rPr>
          <w:rFonts w:hint="eastAsia" w:eastAsia="方正黑体简体"/>
          <w:sz w:val="32"/>
          <w:szCs w:val="32"/>
        </w:rPr>
        <w:t>三、评价工作开展情况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60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根据《关于开展2023年度财政支出绩效自评工作的通知》（乐财监督绩效〔2024〕7号）精神，我局高度重视，抓好落实，健全专项领导机制，成立以分管领导为组长，相关股室负责人为成员的绩效监督评价领导小组。</w:t>
      </w:r>
    </w:p>
    <w:p>
      <w:pPr>
        <w:numPr>
          <w:ilvl w:val="0"/>
          <w:numId w:val="6"/>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spacing w:line="60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我局采用两种绩效评价方法：成本效益分析法---将政策和项目存续期内的支出与效益进行对比分析，以评估政策和项目的资金及管理效率；比较法---通过对绩效目标与预期实施效果、历史与当期情况、不同部门与地区同类政策和项目安排的比较，综合分析政策和项目的绩效情况。结合单位职能职责及业务范围，我局绩效评价自查重点为行政运行，与预期实施效果相符。</w:t>
      </w:r>
    </w:p>
    <w:p>
      <w:pPr>
        <w:spacing w:line="580" w:lineRule="exact"/>
        <w:ind w:firstLine="640" w:firstLineChars="200"/>
        <w:rPr>
          <w:rFonts w:eastAsia="方正黑体简体"/>
          <w:sz w:val="32"/>
          <w:szCs w:val="32"/>
        </w:rPr>
      </w:pPr>
      <w:r>
        <w:rPr>
          <w:rFonts w:hint="eastAsia" w:eastAsia="方正黑体简体"/>
          <w:sz w:val="32"/>
          <w:szCs w:val="32"/>
        </w:rPr>
        <w:t>四、评价结论</w:t>
      </w:r>
    </w:p>
    <w:p>
      <w:pPr>
        <w:spacing w:line="60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按照综合评分结果，依据乐财规〔2021〕1号规定确定绩效等级为优。</w:t>
      </w:r>
    </w:p>
    <w:p>
      <w:pPr>
        <w:spacing w:line="580" w:lineRule="exact"/>
        <w:ind w:firstLine="640" w:firstLineChars="200"/>
        <w:rPr>
          <w:rFonts w:eastAsia="方正黑体简体"/>
          <w:sz w:val="32"/>
          <w:szCs w:val="32"/>
        </w:rPr>
      </w:pPr>
      <w:r>
        <w:rPr>
          <w:rFonts w:hint="eastAsia" w:eastAsia="方正黑体简体"/>
          <w:sz w:val="32"/>
          <w:szCs w:val="32"/>
        </w:rPr>
        <w:t>五、绩效分析</w:t>
      </w:r>
    </w:p>
    <w:p>
      <w:pPr>
        <w:spacing w:line="580" w:lineRule="exact"/>
        <w:ind w:firstLine="643" w:firstLineChars="200"/>
        <w:rPr>
          <w:rFonts w:eastAsia="方正楷体简体"/>
          <w:b/>
          <w:sz w:val="32"/>
          <w:szCs w:val="32"/>
        </w:rPr>
      </w:pPr>
      <w:r>
        <w:rPr>
          <w:rFonts w:hint="eastAsia" w:eastAsia="方正楷体简体"/>
          <w:b/>
          <w:sz w:val="32"/>
          <w:szCs w:val="32"/>
        </w:rPr>
        <w:t>（一）指标分析</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县财政局贯彻落实党中央关于财经工作的方针政策和省委、市委、县委的决策部署,在履行职责过程中坚持和加强党对财政工作的集中统一领导。</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202</w:t>
      </w:r>
      <w:r>
        <w:rPr>
          <w:rFonts w:hint="eastAsia" w:ascii="Times New Roman" w:hAnsi="Times New Roman" w:eastAsia="方正仿宋简体" w:cs="Times New Roman"/>
          <w:sz w:val="32"/>
          <w:szCs w:val="32"/>
          <w:lang w:val="en-US" w:eastAsia="zh-CN"/>
        </w:rPr>
        <w:t>3</w:t>
      </w:r>
      <w:r>
        <w:rPr>
          <w:rFonts w:hint="eastAsia" w:ascii="Times New Roman" w:hAnsi="Times New Roman" w:eastAsia="方正仿宋简体" w:cs="Times New Roman"/>
          <w:sz w:val="32"/>
          <w:szCs w:val="32"/>
        </w:rPr>
        <w:t>年，</w:t>
      </w:r>
      <w:r>
        <w:rPr>
          <w:rFonts w:hint="eastAsia" w:ascii="Times New Roman" w:hAnsi="Times New Roman" w:eastAsia="方正仿宋简体"/>
          <w:sz w:val="32"/>
          <w:szCs w:val="32"/>
          <w:highlight w:val="none"/>
          <w:lang w:val="en-US" w:eastAsia="zh-CN"/>
        </w:rPr>
        <w:t>一般公共预算收入完成6.82亿元，同比增加15.1%。其中：税收收入完成3.25亿元，同比增长22.7%；非税收入完成3.57亿元，同比增长9%。一般公共预算支出完成38.06亿元，同比增长5.4%。</w:t>
      </w:r>
    </w:p>
    <w:p>
      <w:pPr>
        <w:spacing w:line="580" w:lineRule="exact"/>
        <w:ind w:firstLine="643" w:firstLineChars="200"/>
        <w:rPr>
          <w:rFonts w:eastAsia="方正楷体简体"/>
          <w:b/>
          <w:sz w:val="32"/>
          <w:szCs w:val="32"/>
        </w:rPr>
      </w:pPr>
      <w:r>
        <w:rPr>
          <w:rFonts w:hint="eastAsia" w:eastAsia="方正楷体简体"/>
          <w:b/>
          <w:sz w:val="32"/>
          <w:szCs w:val="32"/>
        </w:rPr>
        <w:t>（二）综合绩效分析</w:t>
      </w:r>
    </w:p>
    <w:p>
      <w:pPr>
        <w:spacing w:line="580" w:lineRule="exact"/>
        <w:ind w:firstLine="643" w:firstLineChars="200"/>
        <w:rPr>
          <w:rFonts w:hint="eastAsia" w:eastAsia="方正仿宋简体"/>
          <w:b/>
          <w:sz w:val="32"/>
          <w:szCs w:val="32"/>
        </w:rPr>
      </w:pPr>
      <w:r>
        <w:rPr>
          <w:rFonts w:eastAsia="方正仿宋简体"/>
          <w:b/>
          <w:sz w:val="32"/>
          <w:szCs w:val="32"/>
        </w:rPr>
        <w:t>1.</w:t>
      </w:r>
      <w:r>
        <w:rPr>
          <w:rFonts w:hint="eastAsia" w:eastAsia="方正仿宋简体"/>
          <w:b/>
          <w:sz w:val="32"/>
          <w:szCs w:val="32"/>
        </w:rPr>
        <w:t>部门职能履行情况。</w:t>
      </w:r>
    </w:p>
    <w:p>
      <w:pPr>
        <w:spacing w:line="580" w:lineRule="exact"/>
        <w:ind w:firstLine="640" w:firstLineChars="200"/>
        <w:rPr>
          <w:rFonts w:hint="eastAsia" w:ascii="Times New Roman" w:hAnsi="Times New Roman" w:eastAsia="方正仿宋简体"/>
          <w:sz w:val="32"/>
          <w:szCs w:val="32"/>
          <w:highlight w:val="none"/>
        </w:rPr>
      </w:pPr>
      <w:r>
        <w:rPr>
          <w:rFonts w:hint="eastAsia" w:ascii="Times New Roman" w:hAnsi="Times New Roman" w:eastAsia="方正仿宋简体"/>
          <w:sz w:val="32"/>
          <w:szCs w:val="32"/>
          <w:highlight w:val="none"/>
          <w:lang w:val="en-US" w:eastAsia="zh-CN"/>
        </w:rPr>
        <w:t>一般公共预算收入完成6.82亿元，同比增加15.1%。其中：税收收入完成3.25亿元，同比增长22.7%；非税收入完成3.57亿元，同比增长9%。一般公共预算支出完成38.06亿元，同比增长5.4%。</w:t>
      </w:r>
      <w:r>
        <w:rPr>
          <w:rFonts w:hint="eastAsia" w:ascii="Times New Roman" w:hAnsi="Times New Roman" w:eastAsia="方正仿宋简体"/>
          <w:b/>
          <w:sz w:val="32"/>
          <w:szCs w:val="32"/>
          <w:highlight w:val="none"/>
        </w:rPr>
        <w:t>一是争取政策支持。</w:t>
      </w:r>
      <w:r>
        <w:rPr>
          <w:rFonts w:hint="eastAsia" w:ascii="Times New Roman" w:hAnsi="Times New Roman" w:eastAsia="方正仿宋简体"/>
          <w:sz w:val="32"/>
          <w:szCs w:val="32"/>
          <w:highlight w:val="none"/>
        </w:rPr>
        <w:t>进一步明确目标、扛起责任、对标先进、抓好落实，以争取更多资金、更优政策和更大项目为目标，加大</w:t>
      </w:r>
      <w:r>
        <w:rPr>
          <w:rFonts w:hint="eastAsia" w:ascii="Times New Roman" w:hAnsi="Times New Roman" w:eastAsia="方正仿宋简体"/>
          <w:sz w:val="32"/>
          <w:szCs w:val="32"/>
          <w:highlight w:val="none"/>
          <w:lang w:val="en-US" w:eastAsia="zh-CN"/>
        </w:rPr>
        <w:t>向上争资</w:t>
      </w:r>
      <w:r>
        <w:rPr>
          <w:rFonts w:hint="eastAsia" w:ascii="Times New Roman" w:hAnsi="Times New Roman" w:eastAsia="方正仿宋简体"/>
          <w:sz w:val="32"/>
          <w:szCs w:val="32"/>
          <w:highlight w:val="none"/>
        </w:rPr>
        <w:t>力度，加强部门协同联动。截至10月底，共争取上级资金47.78亿元，完成市下目标任务107.86%。</w:t>
      </w:r>
      <w:r>
        <w:rPr>
          <w:rFonts w:hint="eastAsia" w:ascii="Times New Roman" w:hAnsi="Times New Roman" w:eastAsia="方正仿宋简体"/>
          <w:b/>
          <w:sz w:val="32"/>
          <w:szCs w:val="32"/>
          <w:highlight w:val="none"/>
        </w:rPr>
        <w:t>二是拓宽财源渠道。</w:t>
      </w:r>
      <w:r>
        <w:rPr>
          <w:rFonts w:hint="eastAsia" w:ascii="Times New Roman" w:hAnsi="Times New Roman" w:eastAsia="方正仿宋简体"/>
          <w:sz w:val="32"/>
          <w:szCs w:val="32"/>
          <w:highlight w:val="none"/>
        </w:rPr>
        <w:t>积极争取债券资金，</w:t>
      </w:r>
      <w:r>
        <w:rPr>
          <w:rFonts w:hint="eastAsia" w:ascii="Times New Roman" w:hAnsi="Times New Roman" w:eastAsia="方正仿宋简体"/>
          <w:sz w:val="32"/>
          <w:szCs w:val="32"/>
          <w:highlight w:val="none"/>
          <w:lang w:eastAsia="zh-CN"/>
        </w:rPr>
        <w:t>已通过财政部、发改委债券项目22个，总投资176.38亿元，专项债券资金年度总需求45.21亿元；</w:t>
      </w:r>
      <w:r>
        <w:rPr>
          <w:rFonts w:hint="eastAsia" w:ascii="Times New Roman" w:hAnsi="Times New Roman" w:eastAsia="方正仿宋简体"/>
          <w:sz w:val="32"/>
          <w:szCs w:val="32"/>
          <w:highlight w:val="none"/>
        </w:rPr>
        <w:t>已争取到位新增债券资金额度11.09亿元，居全市第一（不含市本级），其中：专项债券资金10.61亿元，一般债券资金0.48亿元，完成市下目标任务100.81%</w:t>
      </w:r>
      <w:r>
        <w:rPr>
          <w:rFonts w:hint="eastAsia" w:ascii="Times New Roman" w:hAnsi="Times New Roman" w:eastAsia="方正仿宋简体"/>
          <w:sz w:val="32"/>
          <w:szCs w:val="32"/>
          <w:highlight w:val="none"/>
          <w:lang w:eastAsia="zh-CN"/>
        </w:rPr>
        <w:t>。</w:t>
      </w:r>
      <w:r>
        <w:rPr>
          <w:rFonts w:hint="eastAsia" w:ascii="Times New Roman" w:hAnsi="Times New Roman" w:eastAsia="方正仿宋简体"/>
          <w:b/>
          <w:sz w:val="32"/>
          <w:szCs w:val="32"/>
          <w:highlight w:val="none"/>
        </w:rPr>
        <w:t>三是兜牢“三保”底线。</w:t>
      </w:r>
      <w:r>
        <w:rPr>
          <w:rFonts w:hint="eastAsia" w:ascii="Times New Roman" w:hAnsi="Times New Roman" w:eastAsia="方正仿宋简体"/>
          <w:sz w:val="32"/>
          <w:szCs w:val="32"/>
          <w:highlight w:val="none"/>
        </w:rPr>
        <w:t>坚持预算安排优先、预算下达优先、资金拨付优先原则，全力保障各项重点和民生工程支出，确保基本工资及离退休费、津贴补贴、绩效工资等刚性支出及时足额到位。截至10月底，实现“三保”支出21.97亿元，其中：保工资13.01亿元、保运转0.71亿元、保基本民生8.25亿元。</w:t>
      </w:r>
    </w:p>
    <w:p>
      <w:pPr>
        <w:spacing w:line="580" w:lineRule="exact"/>
        <w:ind w:firstLine="643" w:firstLineChars="200"/>
        <w:rPr>
          <w:rFonts w:hint="eastAsia" w:eastAsia="方正仿宋简体"/>
          <w:b/>
          <w:sz w:val="32"/>
          <w:szCs w:val="32"/>
        </w:rPr>
      </w:pPr>
      <w:r>
        <w:rPr>
          <w:rFonts w:eastAsia="方正仿宋简体"/>
          <w:b/>
          <w:sz w:val="32"/>
          <w:szCs w:val="32"/>
        </w:rPr>
        <w:t>2.</w:t>
      </w:r>
      <w:r>
        <w:rPr>
          <w:rFonts w:hint="eastAsia" w:eastAsia="方正仿宋简体"/>
          <w:b/>
          <w:sz w:val="32"/>
          <w:szCs w:val="32"/>
        </w:rPr>
        <w:t>部门履职有效性。</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我局主动上级主管部门沟通衔接，取得上级主管部门的支持，确保本单位的基本支出和项目支出的支付进度，提升部门履职运行效率。</w:t>
      </w:r>
    </w:p>
    <w:p>
      <w:pPr>
        <w:spacing w:line="580" w:lineRule="exact"/>
        <w:ind w:firstLine="640" w:firstLineChars="200"/>
        <w:rPr>
          <w:rFonts w:eastAsia="方正仿宋简体"/>
          <w:sz w:val="32"/>
          <w:szCs w:val="32"/>
        </w:rPr>
      </w:pPr>
      <w:r>
        <w:rPr>
          <w:rFonts w:hint="eastAsia" w:ascii="Times New Roman" w:hAnsi="Times New Roman" w:eastAsia="方正仿宋简体" w:cs="Times New Roman"/>
          <w:sz w:val="32"/>
          <w:szCs w:val="32"/>
        </w:rPr>
        <w:t>为强化部门整体支出，加强绩效监督管理，提高资金使用效益，提升财务管理，建立节约型机关，202</w:t>
      </w:r>
      <w:r>
        <w:rPr>
          <w:rFonts w:hint="eastAsia" w:ascii="Times New Roman" w:hAnsi="Times New Roman" w:eastAsia="方正仿宋简体" w:cs="Times New Roman"/>
          <w:sz w:val="32"/>
          <w:szCs w:val="32"/>
          <w:lang w:val="en-US" w:eastAsia="zh-CN"/>
        </w:rPr>
        <w:t>3</w:t>
      </w:r>
      <w:r>
        <w:rPr>
          <w:rFonts w:hint="eastAsia" w:ascii="Times New Roman" w:hAnsi="Times New Roman" w:eastAsia="方正仿宋简体" w:cs="Times New Roman"/>
          <w:sz w:val="32"/>
          <w:szCs w:val="32"/>
        </w:rPr>
        <w:t>年我局在强化业务管理、财务管理和厉行节约方面开展了大量工作，行政效能显著。 在原有相对健全的财务管理制度基础上，适时地、针对性的进行了相关制度的增补，制度的建立更为完善。重视制度的学习工作，并已逐步形成了崇尚厉行节约反对浪费的机关文化。将厉行节约反对浪费教育作为机关作风建设的重要内容，极大强化了机关厉行节约管理意识。建立了经费支出定期汇报和公示机制，经费支出的公开透明性得到提高。除按照财政要求对部门预算“三公”经费进行例行公示外，根据经费支出情况，定期进行经费支出财务统计和分析，并及时向分管领导和绩效评价领导小组进行汇报，对经费支出的管理状况提出建设性的意见；使各项经费管理和监督发挥了较好的作用。严格执行了国库集中支付、公务卡结算制度、政府采购等有关规定，政府采购目录内的货物与服务全部按要求实施了政府采购，确保了支出管理流程、审批手续的完整。</w:t>
      </w:r>
      <w:r>
        <w:rPr>
          <w:rFonts w:hint="eastAsia" w:eastAsia="方正仿宋简体"/>
          <w:sz w:val="32"/>
          <w:szCs w:val="32"/>
        </w:rPr>
        <w:t>包括运行效率、管理水平、资源节约情况等。</w:t>
      </w:r>
    </w:p>
    <w:p>
      <w:pPr>
        <w:numPr>
          <w:ilvl w:val="0"/>
          <w:numId w:val="7"/>
        </w:numPr>
        <w:spacing w:line="580" w:lineRule="exact"/>
        <w:ind w:firstLine="643" w:firstLineChars="200"/>
        <w:rPr>
          <w:rFonts w:hint="eastAsia" w:eastAsia="方正仿宋简体"/>
          <w:b/>
          <w:sz w:val="32"/>
          <w:szCs w:val="32"/>
        </w:rPr>
      </w:pPr>
      <w:r>
        <w:rPr>
          <w:rFonts w:hint="eastAsia" w:eastAsia="方正仿宋简体"/>
          <w:b/>
          <w:sz w:val="32"/>
          <w:szCs w:val="32"/>
        </w:rPr>
        <w:t>部门职能实现程度。</w:t>
      </w:r>
    </w:p>
    <w:p>
      <w:pPr>
        <w:numPr>
          <w:ilvl w:val="0"/>
          <w:numId w:val="0"/>
        </w:numPr>
        <w:ind w:firstLine="640" w:firstLineChars="200"/>
        <w:jc w:val="left"/>
        <w:rPr>
          <w:rFonts w:hint="eastAsia" w:eastAsia="方正仿宋简体"/>
          <w:sz w:val="32"/>
          <w:szCs w:val="32"/>
        </w:rPr>
      </w:pPr>
      <w:r>
        <w:rPr>
          <w:rFonts w:hint="eastAsia" w:eastAsia="方正仿宋简体"/>
          <w:sz w:val="32"/>
          <w:szCs w:val="32"/>
        </w:rPr>
        <w:t>我局根据年初工作规划及财政预算计划，积极履职、强化管理，较好的完成了年度工作目标。通过加强预算收支管理，不断建立健全内部管理制度，梳理内部管理流程，部门整体支出管理情况得到提升，定期进行资产盘点和资产清理，总体执行情况良好。</w:t>
      </w:r>
    </w:p>
    <w:p>
      <w:pPr>
        <w:numPr>
          <w:ilvl w:val="0"/>
          <w:numId w:val="0"/>
        </w:numPr>
        <w:ind w:firstLine="640" w:firstLineChars="200"/>
        <w:jc w:val="left"/>
        <w:rPr>
          <w:rFonts w:hint="eastAsia" w:eastAsia="方正仿宋简体"/>
          <w:sz w:val="32"/>
          <w:szCs w:val="32"/>
        </w:rPr>
      </w:pPr>
      <w:r>
        <w:rPr>
          <w:rFonts w:hint="eastAsia" w:eastAsia="方正仿宋简体"/>
          <w:sz w:val="32"/>
          <w:szCs w:val="32"/>
        </w:rPr>
        <w:t>完善了现金支付管理，全年无现金支付。按时向预算单位出具财政直接支付入账依据和授权支付额度通知书，得到了预算单位和代理银行等广泛好评，社会满意度100%。</w:t>
      </w:r>
    </w:p>
    <w:p>
      <w:pPr>
        <w:numPr>
          <w:ilvl w:val="0"/>
          <w:numId w:val="0"/>
        </w:numPr>
        <w:ind w:firstLine="640" w:firstLineChars="200"/>
        <w:jc w:val="left"/>
        <w:rPr>
          <w:rFonts w:eastAsia="方正仿宋简体"/>
          <w:sz w:val="32"/>
          <w:szCs w:val="32"/>
        </w:rPr>
      </w:pPr>
      <w:r>
        <w:rPr>
          <w:rFonts w:hint="eastAsia" w:ascii="仿宋" w:hAnsi="仿宋" w:eastAsia="仿宋" w:cs="宋体"/>
          <w:snapToGrid w:val="0"/>
          <w:color w:val="000000"/>
          <w:kern w:val="0"/>
          <w:sz w:val="32"/>
          <w:szCs w:val="32"/>
        </w:rPr>
        <w:t>对评审资料的搜集、评审、会审、反馈等程序作出了明确规定，进一步规范了投资评审行为。在具体评审工作中,严格执行三级复核与会审制度，对重大工程项目实行由相关单位共同参加的联席会审制，提高了政府投资评审质量。</w:t>
      </w:r>
      <w:r>
        <w:rPr>
          <w:rFonts w:hint="eastAsia" w:eastAsia="仿宋"/>
          <w:snapToGrid w:val="0"/>
          <w:kern w:val="0"/>
        </w:rPr>
        <w:t>  </w:t>
      </w:r>
      <w:r>
        <w:rPr>
          <w:rFonts w:hint="eastAsia" w:ascii="宋体" w:hAnsi="宋体" w:eastAsia="仿宋" w:cs="宋体"/>
          <w:snapToGrid w:val="0"/>
          <w:color w:val="000000"/>
          <w:kern w:val="0"/>
          <w:sz w:val="32"/>
          <w:szCs w:val="32"/>
          <w:lang w:eastAsia="zh-CN"/>
        </w:rPr>
        <w:t>树立预算评审理念，增强服务意识。</w:t>
      </w:r>
      <w:r>
        <w:rPr>
          <w:rFonts w:hint="eastAsia" w:ascii="仿宋" w:hAnsi="仿宋" w:eastAsia="仿宋" w:cs="宋体"/>
          <w:snapToGrid w:val="0"/>
          <w:color w:val="000000"/>
          <w:kern w:val="0"/>
          <w:sz w:val="32"/>
          <w:szCs w:val="32"/>
        </w:rPr>
        <w:t>以专业技术审核把关为支撑点，把投资评审和为项目服务结合起来，</w:t>
      </w:r>
      <w:r>
        <w:rPr>
          <w:rFonts w:hint="eastAsia" w:ascii="仿宋" w:hAnsi="仿宋" w:eastAsia="仿宋" w:cs="宋体"/>
          <w:snapToGrid w:val="0"/>
          <w:color w:val="000000"/>
          <w:kern w:val="0"/>
          <w:sz w:val="32"/>
          <w:szCs w:val="32"/>
          <w:lang w:eastAsia="zh-CN"/>
        </w:rPr>
        <w:t>让投资评审工作深入人心，推动行业规范健康发展，让服务对象和社会人民满意。</w:t>
      </w:r>
      <w:r>
        <w:rPr>
          <w:rFonts w:hint="eastAsia" w:ascii="仿宋" w:hAnsi="仿宋" w:eastAsia="仿宋" w:cs="宋体"/>
          <w:snapToGrid w:val="0"/>
          <w:color w:val="000000"/>
          <w:kern w:val="0"/>
          <w:sz w:val="32"/>
          <w:szCs w:val="32"/>
          <w:lang w:val="en-US" w:eastAsia="zh-CN"/>
        </w:rPr>
        <w:t xml:space="preserve"> </w:t>
      </w:r>
    </w:p>
    <w:p>
      <w:pPr>
        <w:spacing w:line="580" w:lineRule="exact"/>
        <w:ind w:firstLine="640" w:firstLineChars="200"/>
        <w:rPr>
          <w:rFonts w:eastAsia="方正黑体简体"/>
          <w:sz w:val="32"/>
          <w:szCs w:val="32"/>
        </w:rPr>
      </w:pPr>
      <w:r>
        <w:rPr>
          <w:rFonts w:hint="eastAsia" w:eastAsia="方正黑体简体"/>
          <w:sz w:val="32"/>
          <w:szCs w:val="32"/>
        </w:rPr>
        <w:t>六、问题分析</w:t>
      </w:r>
    </w:p>
    <w:p>
      <w:pPr>
        <w:spacing w:line="580" w:lineRule="exact"/>
        <w:ind w:firstLine="640" w:firstLineChars="200"/>
        <w:rPr>
          <w:rFonts w:hint="eastAsia" w:eastAsia="方正仿宋简体"/>
          <w:sz w:val="32"/>
          <w:szCs w:val="32"/>
          <w:lang w:eastAsia="zh-CN"/>
        </w:rPr>
      </w:pPr>
      <w:r>
        <w:rPr>
          <w:rFonts w:hint="eastAsia" w:eastAsia="方正仿宋简体"/>
          <w:sz w:val="32"/>
          <w:szCs w:val="32"/>
        </w:rPr>
        <w:t>我县税源以中小企业为主，缺乏支柱产业和大宗税源，加之受疫情、减税降费、房地产土地市场疲软等因素叠加影响，完成全年财政收入任务比较困难；由于财力薄弱，“三保”支出、偿债压力大；扶贫资金、重点项目资金缺口大，资金调度困难；财政队伍力量薄弱，业务素质参差不齐</w:t>
      </w:r>
      <w:r>
        <w:rPr>
          <w:rFonts w:hint="eastAsia" w:eastAsia="方正仿宋简体"/>
          <w:sz w:val="32"/>
          <w:szCs w:val="32"/>
          <w:lang w:eastAsia="zh-CN"/>
        </w:rPr>
        <w:t>；预算不够明确和细化，预算编制的合理性不够。预算执行力度还要进一步加强。预算编制的前瞻度不够,对当年度新情况、新问题加强前瞻性、针对性研究不多，预算和实际支出有差距。财务管理水平有待提高。财务工作按部就班，缺乏创新，在精度和深度上欠缺，还需要进一步完善。内部管理相关制度虽已建立，但管理上较为粗糙，部分未实际落实到位。</w:t>
      </w:r>
    </w:p>
    <w:p>
      <w:pPr>
        <w:spacing w:line="580" w:lineRule="exact"/>
        <w:ind w:firstLine="640" w:firstLineChars="200"/>
        <w:rPr>
          <w:rFonts w:eastAsia="方正黑体简体"/>
          <w:sz w:val="32"/>
          <w:szCs w:val="32"/>
        </w:rPr>
      </w:pPr>
      <w:r>
        <w:rPr>
          <w:rFonts w:hint="eastAsia" w:eastAsia="方正黑体简体"/>
          <w:sz w:val="32"/>
          <w:szCs w:val="32"/>
        </w:rPr>
        <w:t>七、建议</w:t>
      </w:r>
    </w:p>
    <w:p>
      <w:pPr>
        <w:spacing w:line="580" w:lineRule="exact"/>
        <w:ind w:firstLine="640" w:firstLineChars="200"/>
        <w:rPr>
          <w:rFonts w:hint="eastAsia" w:eastAsia="方正仿宋简体"/>
          <w:sz w:val="32"/>
          <w:szCs w:val="32"/>
        </w:rPr>
      </w:pPr>
      <w:r>
        <w:rPr>
          <w:rFonts w:hint="eastAsia" w:eastAsia="方正仿宋简体"/>
          <w:sz w:val="32"/>
          <w:szCs w:val="32"/>
        </w:rPr>
        <w:t>1、细化预算编制工作，将进一步重视预算的编制工作，加强单位内部职工的预算管理意识，科学规划预算编制的精确度，提高财政资金使用效率，</w:t>
      </w:r>
    </w:p>
    <w:p>
      <w:pPr>
        <w:spacing w:line="580" w:lineRule="exact"/>
        <w:ind w:firstLine="640" w:firstLineChars="200"/>
        <w:rPr>
          <w:rFonts w:hint="eastAsia" w:eastAsia="方正仿宋简体"/>
          <w:sz w:val="32"/>
          <w:szCs w:val="32"/>
        </w:rPr>
      </w:pPr>
      <w:r>
        <w:rPr>
          <w:rFonts w:hint="eastAsia" w:eastAsia="方正仿宋简体"/>
          <w:sz w:val="32"/>
          <w:szCs w:val="32"/>
        </w:rPr>
        <w:t xml:space="preserve"> 2、建议财政部门加强对各单位财务人员队伍建设的重视，加强对财务人员做好各项财务工作的指导和培训，尤其是加强新《预算法》、《行政单位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pPr>
        <w:spacing w:line="580" w:lineRule="exact"/>
        <w:ind w:firstLine="640" w:firstLineChars="200"/>
        <w:rPr>
          <w:rFonts w:hint="eastAsia" w:eastAsia="方正仿宋简体"/>
          <w:sz w:val="32"/>
          <w:szCs w:val="32"/>
        </w:rPr>
      </w:pPr>
      <w:r>
        <w:rPr>
          <w:rFonts w:hint="eastAsia" w:eastAsia="方正仿宋简体"/>
          <w:sz w:val="32"/>
          <w:szCs w:val="32"/>
        </w:rPr>
        <w:t>3、进一步完善和落实相关管理制度，应加强学习内部控制管理制度，严格遵照相关制度贯彻落实到位，做到精细化管理。</w:t>
      </w:r>
    </w:p>
    <w:p>
      <w:pPr>
        <w:spacing w:line="580" w:lineRule="exact"/>
        <w:ind w:firstLine="640" w:firstLineChars="200"/>
        <w:rPr>
          <w:rFonts w:hint="eastAsia"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3-1.202</w:t>
      </w:r>
      <w:r>
        <w:rPr>
          <w:rFonts w:hint="eastAsia" w:eastAsia="方正仿宋简体"/>
          <w:sz w:val="32"/>
          <w:szCs w:val="32"/>
          <w:lang w:val="en-US" w:eastAsia="zh-CN"/>
        </w:rPr>
        <w:t>3</w:t>
      </w:r>
      <w:r>
        <w:rPr>
          <w:rFonts w:hint="eastAsia" w:eastAsia="方正仿宋简体"/>
          <w:sz w:val="32"/>
          <w:szCs w:val="32"/>
        </w:rPr>
        <w:t>年度乐至县部门整体支出绩效自评计分表</w:t>
      </w:r>
    </w:p>
    <w:p>
      <w:pPr>
        <w:spacing w:line="580" w:lineRule="exact"/>
        <w:ind w:firstLine="1600" w:firstLineChars="500"/>
        <w:rPr>
          <w:w w:val="90"/>
        </w:rPr>
      </w:pPr>
      <w:r>
        <w:rPr>
          <w:rFonts w:eastAsia="方正仿宋简体"/>
          <w:sz w:val="32"/>
          <w:szCs w:val="32"/>
        </w:rPr>
        <w:t>3-2.</w:t>
      </w:r>
      <w:r>
        <w:rPr>
          <w:rFonts w:eastAsia="方正仿宋简体"/>
          <w:w w:val="90"/>
          <w:sz w:val="32"/>
          <w:szCs w:val="32"/>
        </w:rPr>
        <w:t>202</w:t>
      </w:r>
      <w:r>
        <w:rPr>
          <w:rFonts w:hint="eastAsia" w:eastAsia="方正仿宋简体"/>
          <w:w w:val="90"/>
          <w:sz w:val="32"/>
          <w:szCs w:val="32"/>
          <w:lang w:val="en-US" w:eastAsia="zh-CN"/>
        </w:rPr>
        <w:t>3</w:t>
      </w:r>
      <w:r>
        <w:rPr>
          <w:rFonts w:hint="eastAsia" w:eastAsia="方正仿宋简体"/>
          <w:w w:val="90"/>
          <w:sz w:val="32"/>
          <w:szCs w:val="32"/>
        </w:rPr>
        <w:t>年度乐至县部门整体支出绩效目标完成情况表</w:t>
      </w:r>
    </w:p>
    <w:p>
      <w:pPr>
        <w:widowControl/>
        <w:jc w:val="left"/>
        <w:rPr>
          <w:rFonts w:ascii="??????" w:hAnsi="宋体" w:eastAsia="Times New Roman" w:cs="宋体"/>
          <w:color w:val="000000"/>
          <w:kern w:val="0"/>
          <w:sz w:val="33"/>
          <w:szCs w:val="33"/>
        </w:rPr>
      </w:pPr>
    </w:p>
    <w:p>
      <w:pPr>
        <w:spacing w:line="620" w:lineRule="exact"/>
        <w:ind w:firstLine="400" w:firstLineChars="100"/>
        <w:jc w:val="left"/>
        <w:rPr>
          <w:rFonts w:ascii="宋体" w:hAnsi="宋体" w:eastAsia="方正小标宋简体"/>
          <w:bCs/>
          <w:kern w:val="0"/>
          <w:sz w:val="40"/>
          <w:szCs w:val="40"/>
        </w:rPr>
        <w:sectPr>
          <w:footerReference r:id="rId3" w:type="default"/>
          <w:footerReference r:id="rId4" w:type="even"/>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3-1</w:t>
      </w:r>
    </w:p>
    <w:p>
      <w:pPr>
        <w:spacing w:line="620" w:lineRule="exact"/>
        <w:jc w:val="center"/>
        <w:rPr>
          <w:rFonts w:eastAsia="方正小标宋简体"/>
          <w:w w:val="90"/>
          <w:kern w:val="0"/>
          <w:sz w:val="44"/>
          <w:szCs w:val="44"/>
        </w:rPr>
      </w:pPr>
      <w:r>
        <w:rPr>
          <w:rFonts w:eastAsia="方正小标宋简体"/>
          <w:bCs/>
          <w:w w:val="90"/>
          <w:kern w:val="0"/>
          <w:sz w:val="44"/>
          <w:szCs w:val="44"/>
        </w:rPr>
        <w:t>202</w:t>
      </w:r>
      <w:r>
        <w:rPr>
          <w:rFonts w:hint="eastAsia" w:eastAsia="方正小标宋简体"/>
          <w:bCs/>
          <w:w w:val="90"/>
          <w:kern w:val="0"/>
          <w:sz w:val="44"/>
          <w:szCs w:val="44"/>
          <w:lang w:val="en-US" w:eastAsia="zh-CN"/>
        </w:rPr>
        <w:t>3</w:t>
      </w:r>
      <w:r>
        <w:rPr>
          <w:rFonts w:hint="eastAsia" w:eastAsia="方正小标宋简体"/>
          <w:bCs/>
          <w:w w:val="90"/>
          <w:kern w:val="0"/>
          <w:sz w:val="44"/>
          <w:szCs w:val="44"/>
        </w:rPr>
        <w:t>年度乐至县部门整体支出绩效自评计分表</w:t>
      </w:r>
    </w:p>
    <w:p>
      <w:pPr>
        <w:spacing w:line="620" w:lineRule="exact"/>
        <w:rPr>
          <w:color w:val="000000"/>
          <w:kern w:val="0"/>
          <w:sz w:val="24"/>
        </w:rPr>
      </w:pPr>
      <w:r>
        <w:rPr>
          <w:rFonts w:hint="eastAsia"/>
          <w:color w:val="000000"/>
          <w:kern w:val="0"/>
          <w:sz w:val="24"/>
        </w:rPr>
        <w:t>单位名称：</w:t>
      </w:r>
      <w:r>
        <w:rPr>
          <w:rFonts w:hint="eastAsia"/>
          <w:color w:val="000000"/>
          <w:kern w:val="0"/>
          <w:sz w:val="24"/>
          <w:lang w:val="en-US" w:eastAsia="zh-CN"/>
        </w:rPr>
        <w:t>乐至县财政局</w:t>
      </w:r>
      <w:r>
        <w:rPr>
          <w:color w:val="000000"/>
          <w:kern w:val="0"/>
          <w:sz w:val="24"/>
        </w:rPr>
        <w:t xml:space="preserve">             </w:t>
      </w:r>
      <w:r>
        <w:rPr>
          <w:rFonts w:hint="eastAsia"/>
          <w:color w:val="000000"/>
          <w:kern w:val="0"/>
          <w:sz w:val="24"/>
        </w:rPr>
        <w:t>预算单位编码：</w:t>
      </w:r>
      <w:r>
        <w:rPr>
          <w:rFonts w:hint="eastAsia"/>
          <w:color w:val="000000"/>
          <w:kern w:val="0"/>
          <w:sz w:val="24"/>
          <w:lang w:val="en-US" w:eastAsia="zh-CN"/>
        </w:rPr>
        <w:t>127001</w:t>
      </w:r>
      <w:r>
        <w:rPr>
          <w:color w:val="000000"/>
          <w:kern w:val="0"/>
          <w:sz w:val="24"/>
        </w:rPr>
        <w:t xml:space="preserve">         </w:t>
      </w:r>
      <w:r>
        <w:rPr>
          <w:rFonts w:hint="eastAsia"/>
          <w:color w:val="000000"/>
          <w:kern w:val="0"/>
          <w:sz w:val="24"/>
        </w:rPr>
        <w:t>自评等级：</w:t>
      </w:r>
    </w:p>
    <w:tbl>
      <w:tblPr>
        <w:tblStyle w:val="17"/>
        <w:tblW w:w="5129" w:type="pct"/>
        <w:jc w:val="center"/>
        <w:tblLayout w:type="autofit"/>
        <w:tblCellMar>
          <w:top w:w="0" w:type="dxa"/>
          <w:left w:w="28" w:type="dxa"/>
          <w:bottom w:w="0" w:type="dxa"/>
          <w:right w:w="28" w:type="dxa"/>
        </w:tblCellMar>
      </w:tblPr>
      <w:tblGrid>
        <w:gridCol w:w="644"/>
        <w:gridCol w:w="590"/>
        <w:gridCol w:w="1045"/>
        <w:gridCol w:w="2245"/>
        <w:gridCol w:w="2943"/>
        <w:gridCol w:w="857"/>
        <w:gridCol w:w="807"/>
      </w:tblGrid>
      <w:tr>
        <w:tblPrEx>
          <w:tblCellMar>
            <w:top w:w="0" w:type="dxa"/>
            <w:left w:w="28" w:type="dxa"/>
            <w:bottom w:w="0" w:type="dxa"/>
            <w:right w:w="28" w:type="dxa"/>
          </w:tblCellMar>
        </w:tblPrEx>
        <w:trPr>
          <w:trHeight w:val="518" w:hRule="atLeast"/>
          <w:tblHeader/>
          <w:jc w:val="center"/>
        </w:trPr>
        <w:tc>
          <w:tcPr>
            <w:tcW w:w="353" w:type="pct"/>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一级指标</w:t>
            </w:r>
          </w:p>
        </w:tc>
        <w:tc>
          <w:tcPr>
            <w:tcW w:w="323"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二级指标</w:t>
            </w:r>
          </w:p>
        </w:tc>
        <w:tc>
          <w:tcPr>
            <w:tcW w:w="572"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三级指标</w:t>
            </w:r>
          </w:p>
        </w:tc>
        <w:tc>
          <w:tcPr>
            <w:tcW w:w="122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指标解释</w:t>
            </w:r>
          </w:p>
        </w:tc>
        <w:tc>
          <w:tcPr>
            <w:tcW w:w="1608"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指标说明</w:t>
            </w:r>
            <w:r>
              <w:rPr>
                <w:rFonts w:eastAsia="方正黑体简体"/>
                <w:szCs w:val="21"/>
              </w:rPr>
              <w:t>(</w:t>
            </w:r>
            <w:r>
              <w:rPr>
                <w:rFonts w:hint="eastAsia" w:eastAsia="方正黑体简体"/>
                <w:szCs w:val="21"/>
              </w:rPr>
              <w:t>评价计分标准）</w:t>
            </w:r>
          </w:p>
        </w:tc>
        <w:tc>
          <w:tcPr>
            <w:tcW w:w="46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分数</w:t>
            </w:r>
          </w:p>
        </w:tc>
        <w:tc>
          <w:tcPr>
            <w:tcW w:w="442" w:type="pct"/>
            <w:tcBorders>
              <w:top w:val="single" w:color="auto" w:sz="12" w:space="0"/>
              <w:left w:val="nil"/>
              <w:bottom w:val="single" w:color="auto" w:sz="4" w:space="0"/>
              <w:right w:val="single" w:color="auto" w:sz="12" w:space="0"/>
            </w:tcBorders>
            <w:noWrap w:val="0"/>
            <w:vAlign w:val="center"/>
          </w:tcPr>
          <w:p>
            <w:pPr>
              <w:spacing w:line="240" w:lineRule="exact"/>
              <w:jc w:val="center"/>
              <w:rPr>
                <w:rFonts w:eastAsia="方正黑体简体"/>
                <w:szCs w:val="21"/>
              </w:rPr>
            </w:pPr>
            <w:r>
              <w:rPr>
                <w:rFonts w:hint="eastAsia" w:eastAsia="方正黑体简体"/>
                <w:szCs w:val="21"/>
              </w:rPr>
              <w:t>自评</w:t>
            </w:r>
          </w:p>
          <w:p>
            <w:pPr>
              <w:spacing w:line="240" w:lineRule="exact"/>
              <w:jc w:val="center"/>
              <w:rPr>
                <w:rFonts w:eastAsia="方正黑体简体"/>
                <w:szCs w:val="21"/>
              </w:rPr>
            </w:pPr>
            <w:r>
              <w:rPr>
                <w:rFonts w:hint="eastAsia" w:eastAsia="方正黑体简体"/>
                <w:szCs w:val="21"/>
              </w:rPr>
              <w:t>依据及说明</w:t>
            </w:r>
          </w:p>
        </w:tc>
      </w:tr>
      <w:tr>
        <w:tblPrEx>
          <w:tblCellMar>
            <w:top w:w="0" w:type="dxa"/>
            <w:left w:w="28" w:type="dxa"/>
            <w:bottom w:w="0" w:type="dxa"/>
            <w:right w:w="28" w:type="dxa"/>
          </w:tblCellMar>
        </w:tblPrEx>
        <w:trPr>
          <w:trHeight w:val="1330" w:hRule="atLeast"/>
          <w:jc w:val="center"/>
        </w:trPr>
        <w:tc>
          <w:tcPr>
            <w:tcW w:w="353"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投入（</w:t>
            </w:r>
            <w:r>
              <w:rPr>
                <w:szCs w:val="21"/>
              </w:rPr>
              <w:t>20</w:t>
            </w:r>
            <w:r>
              <w:rPr>
                <w:rFonts w:hint="eastAsia"/>
                <w:szCs w:val="21"/>
              </w:rPr>
              <w:t>分）</w:t>
            </w:r>
          </w:p>
        </w:tc>
        <w:tc>
          <w:tcPr>
            <w:tcW w:w="323"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目标设定（</w:t>
            </w:r>
            <w:r>
              <w:rPr>
                <w:szCs w:val="21"/>
              </w:rPr>
              <w:t>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绩效目标合理性（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部门（单位）所设立的整体绩效目标依据是否充分，是否符合客观实际，用以反映和考核部门（单位）整体绩效目标与部门履职、年度工作任务的相符性情况。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①是否符合国家法律法规、国民经济和社会发展总体规划；</w:t>
            </w:r>
            <w:r>
              <w:rPr>
                <w:szCs w:val="21"/>
              </w:rPr>
              <w:t>(1</w:t>
            </w:r>
            <w:r>
              <w:rPr>
                <w:rFonts w:hint="eastAsia"/>
                <w:szCs w:val="21"/>
              </w:rPr>
              <w:t>分）</w:t>
            </w:r>
          </w:p>
          <w:p>
            <w:pPr>
              <w:spacing w:line="240" w:lineRule="exact"/>
              <w:rPr>
                <w:szCs w:val="21"/>
              </w:rPr>
            </w:pPr>
            <w:r>
              <w:rPr>
                <w:rFonts w:hint="eastAsia"/>
                <w:szCs w:val="21"/>
              </w:rPr>
              <w:t>②是否符合部门“三定”方案确定的职责；（</w:t>
            </w:r>
            <w:r>
              <w:rPr>
                <w:szCs w:val="21"/>
              </w:rPr>
              <w:t>0.5</w:t>
            </w:r>
            <w:r>
              <w:rPr>
                <w:rFonts w:hint="eastAsia"/>
                <w:szCs w:val="21"/>
              </w:rPr>
              <w:t>分）</w:t>
            </w:r>
          </w:p>
          <w:p>
            <w:pPr>
              <w:spacing w:line="240" w:lineRule="exact"/>
              <w:rPr>
                <w:szCs w:val="21"/>
              </w:rPr>
            </w:pPr>
            <w:r>
              <w:rPr>
                <w:rFonts w:hint="eastAsia"/>
                <w:szCs w:val="21"/>
              </w:rPr>
              <w:t>③是否符合部门制定的中长期实施规划。（</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widowControl/>
              <w:spacing w:line="24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47"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绩效指标明确性（</w:t>
            </w:r>
            <w:r>
              <w:rPr>
                <w:szCs w:val="21"/>
              </w:rPr>
              <w:t>3</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部门（单位）依据整体绩效目标所设定的绩效指标是否清晰、细化、可衡量，用以反映和考核部门（单位）整体绩效目标的明细化情况。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①是否将部门整体的绩效目标细化分解为具体的工作任务；（</w:t>
            </w:r>
            <w:r>
              <w:rPr>
                <w:szCs w:val="21"/>
              </w:rPr>
              <w:t>1</w:t>
            </w:r>
            <w:r>
              <w:rPr>
                <w:rFonts w:hint="eastAsia"/>
                <w:szCs w:val="21"/>
              </w:rPr>
              <w:t>分）</w:t>
            </w:r>
          </w:p>
          <w:p>
            <w:pPr>
              <w:spacing w:line="240" w:lineRule="exact"/>
              <w:rPr>
                <w:szCs w:val="21"/>
              </w:rPr>
            </w:pPr>
            <w:r>
              <w:rPr>
                <w:rFonts w:hint="eastAsia"/>
                <w:szCs w:val="21"/>
              </w:rPr>
              <w:t>②是否通过清晰、可衡量的指标值予以体现</w:t>
            </w:r>
            <w:r>
              <w:rPr>
                <w:szCs w:val="21"/>
              </w:rPr>
              <w:t>;(0.5</w:t>
            </w:r>
            <w:r>
              <w:rPr>
                <w:rFonts w:hint="eastAsia"/>
                <w:szCs w:val="21"/>
              </w:rPr>
              <w:t>分）</w:t>
            </w:r>
            <w:r>
              <w:rPr>
                <w:szCs w:val="21"/>
              </w:rPr>
              <w:t xml:space="preserve">    </w:t>
            </w:r>
            <w:r>
              <w:rPr>
                <w:rFonts w:hint="eastAsia"/>
                <w:szCs w:val="21"/>
              </w:rPr>
              <w:t>③是否与部门年度的任务数或计划数相对应；（</w:t>
            </w:r>
            <w:r>
              <w:rPr>
                <w:szCs w:val="21"/>
              </w:rPr>
              <w:t>0.5</w:t>
            </w:r>
            <w:r>
              <w:rPr>
                <w:rFonts w:hint="eastAsia"/>
                <w:szCs w:val="21"/>
              </w:rPr>
              <w:t>分）</w:t>
            </w:r>
          </w:p>
          <w:p>
            <w:pPr>
              <w:spacing w:line="240" w:lineRule="exact"/>
              <w:rPr>
                <w:szCs w:val="21"/>
              </w:rPr>
            </w:pPr>
            <w:r>
              <w:rPr>
                <w:rFonts w:hint="eastAsia"/>
                <w:szCs w:val="21"/>
              </w:rPr>
              <w:t>④是否与本年度部门预算资金相匹配。（</w:t>
            </w:r>
            <w:r>
              <w:rPr>
                <w:szCs w:val="21"/>
              </w:rPr>
              <w:t>1</w:t>
            </w:r>
            <w:r>
              <w:rPr>
                <w:rFonts w:hint="eastAsia"/>
                <w:szCs w:val="21"/>
              </w:rPr>
              <w:t>分）</w:t>
            </w:r>
          </w:p>
        </w:tc>
        <w:tc>
          <w:tcPr>
            <w:tcW w:w="469" w:type="pct"/>
            <w:tcBorders>
              <w:top w:val="nil"/>
              <w:left w:val="nil"/>
              <w:bottom w:val="single" w:color="auto" w:sz="4" w:space="0"/>
              <w:right w:val="single" w:color="auto" w:sz="4" w:space="0"/>
            </w:tcBorders>
            <w:noWrap/>
            <w:vAlign w:val="center"/>
          </w:tcPr>
          <w:p>
            <w:pPr>
              <w:widowControl/>
              <w:spacing w:line="240" w:lineRule="exact"/>
              <w:jc w:val="left"/>
              <w:rPr>
                <w:rFonts w:eastAsia="宋体"/>
                <w:kern w:val="0"/>
                <w:sz w:val="21"/>
                <w:szCs w:val="21"/>
                <w:lang w:val="en-US" w:eastAsia="zh-CN" w:bidi="ar-SA"/>
              </w:rPr>
            </w:pPr>
            <w:r>
              <w:rPr>
                <w:rFonts w:hint="eastAsia" w:eastAsia="宋体"/>
                <w:kern w:val="0"/>
                <w:sz w:val="21"/>
                <w:szCs w:val="21"/>
              </w:rPr>
              <w:t>　3</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0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r>
              <w:rPr>
                <w:rFonts w:hint="eastAsia"/>
                <w:szCs w:val="21"/>
              </w:rPr>
              <w:t>预算配置（</w:t>
            </w:r>
            <w:r>
              <w:rPr>
                <w:szCs w:val="21"/>
              </w:rPr>
              <w:t>15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在职人员控制率（</w:t>
            </w:r>
            <w:r>
              <w:rPr>
                <w:szCs w:val="21"/>
              </w:rPr>
              <w:t>5</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部门（单位）本年度实际在职人员数与编制数的比率，用以反映和考核部门（单位）对人员成本的控制程度。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在职人员控制率</w:t>
            </w:r>
            <w:r>
              <w:rPr>
                <w:szCs w:val="21"/>
              </w:rPr>
              <w:t>=</w:t>
            </w:r>
            <w:r>
              <w:rPr>
                <w:rFonts w:hint="eastAsia"/>
                <w:szCs w:val="21"/>
              </w:rPr>
              <w:t>（在职人员数</w:t>
            </w:r>
            <w:r>
              <w:rPr>
                <w:szCs w:val="21"/>
              </w:rPr>
              <w:t>/</w:t>
            </w:r>
            <w:r>
              <w:rPr>
                <w:rFonts w:hint="eastAsia"/>
                <w:szCs w:val="21"/>
              </w:rPr>
              <w:t>编制数）×</w:t>
            </w:r>
            <w:r>
              <w:rPr>
                <w:szCs w:val="21"/>
              </w:rPr>
              <w:t>100%</w:t>
            </w:r>
            <w:r>
              <w:rPr>
                <w:rFonts w:hint="eastAsia"/>
                <w:szCs w:val="21"/>
              </w:rPr>
              <w:t>。（小于或等于</w:t>
            </w:r>
            <w:r>
              <w:rPr>
                <w:szCs w:val="21"/>
              </w:rPr>
              <w:t>1</w:t>
            </w:r>
            <w:r>
              <w:rPr>
                <w:rFonts w:hint="eastAsia"/>
                <w:szCs w:val="21"/>
              </w:rPr>
              <w:t>计</w:t>
            </w:r>
            <w:r>
              <w:rPr>
                <w:szCs w:val="21"/>
              </w:rPr>
              <w:t>5</w:t>
            </w:r>
            <w:r>
              <w:rPr>
                <w:rFonts w:hint="eastAsia"/>
                <w:szCs w:val="21"/>
              </w:rPr>
              <w:t>分，否则按比例计分）</w:t>
            </w:r>
          </w:p>
          <w:p>
            <w:pPr>
              <w:spacing w:line="240" w:lineRule="exact"/>
              <w:rPr>
                <w:szCs w:val="21"/>
              </w:rPr>
            </w:pPr>
            <w:r>
              <w:rPr>
                <w:rFonts w:hint="eastAsia"/>
                <w:szCs w:val="21"/>
              </w:rPr>
              <w:t>在职人员数：部门（单位）实际在职人数，以财政部确定的部门决算编制口径为准。</w:t>
            </w:r>
          </w:p>
          <w:p>
            <w:pPr>
              <w:spacing w:line="240" w:lineRule="exact"/>
              <w:rPr>
                <w:szCs w:val="21"/>
              </w:rPr>
            </w:pPr>
            <w:r>
              <w:rPr>
                <w:rFonts w:hint="eastAsia"/>
                <w:szCs w:val="21"/>
              </w:rPr>
              <w:t>编制数：机构编制部门核定批复的部门（单位）的人员编制数。</w:t>
            </w:r>
          </w:p>
        </w:tc>
        <w:tc>
          <w:tcPr>
            <w:tcW w:w="469" w:type="pct"/>
            <w:tcBorders>
              <w:top w:val="nil"/>
              <w:left w:val="nil"/>
              <w:bottom w:val="single" w:color="auto" w:sz="4" w:space="0"/>
              <w:right w:val="single" w:color="auto" w:sz="4" w:space="0"/>
            </w:tcBorders>
            <w:noWrap/>
            <w:vAlign w:val="center"/>
          </w:tcPr>
          <w:p>
            <w:pPr>
              <w:widowControl/>
              <w:spacing w:line="240" w:lineRule="exact"/>
              <w:jc w:val="left"/>
              <w:rPr>
                <w:rFonts w:eastAsia="宋体"/>
                <w:kern w:val="0"/>
                <w:sz w:val="21"/>
                <w:szCs w:val="21"/>
                <w:lang w:val="en-US" w:eastAsia="zh-CN" w:bidi="ar-SA"/>
              </w:rPr>
            </w:pPr>
            <w:r>
              <w:rPr>
                <w:rFonts w:hint="eastAsia" w:eastAsia="宋体"/>
                <w:kern w:val="0"/>
                <w:sz w:val="21"/>
                <w:szCs w:val="21"/>
              </w:rPr>
              <w:t>　5</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59"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“三公经费”变动率（</w:t>
            </w:r>
            <w:r>
              <w:rPr>
                <w:szCs w:val="21"/>
              </w:rPr>
              <w:t>5</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部门（单位）本年度“三公经费”预算数与上年度“三公经费”预算数的变动比率，用以反映和考核部门（单位）对控制重点行政成本的努力程度。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“三公经费”变动率</w:t>
            </w:r>
            <w:r>
              <w:rPr>
                <w:szCs w:val="21"/>
              </w:rPr>
              <w:t>=[</w:t>
            </w:r>
            <w:r>
              <w:rPr>
                <w:rFonts w:hint="eastAsia"/>
                <w:szCs w:val="21"/>
              </w:rPr>
              <w:t>（本年度“三公经费”总额</w:t>
            </w:r>
            <w:r>
              <w:rPr>
                <w:szCs w:val="21"/>
              </w:rPr>
              <w:t>-</w:t>
            </w:r>
            <w:r>
              <w:rPr>
                <w:rFonts w:hint="eastAsia"/>
                <w:szCs w:val="21"/>
              </w:rPr>
              <w:t>上年度“三公经费”总额）</w:t>
            </w:r>
            <w:r>
              <w:rPr>
                <w:szCs w:val="21"/>
              </w:rPr>
              <w:t>/</w:t>
            </w:r>
            <w:r>
              <w:rPr>
                <w:rFonts w:hint="eastAsia"/>
                <w:szCs w:val="21"/>
              </w:rPr>
              <w:t>上年度“三公经费”总额</w:t>
            </w:r>
            <w:r>
              <w:rPr>
                <w:szCs w:val="21"/>
              </w:rPr>
              <w:t>]</w:t>
            </w:r>
            <w:r>
              <w:rPr>
                <w:rFonts w:hint="eastAsia"/>
                <w:szCs w:val="21"/>
              </w:rPr>
              <w:t>×</w:t>
            </w:r>
            <w:r>
              <w:rPr>
                <w:szCs w:val="21"/>
              </w:rPr>
              <w:t>100%</w:t>
            </w:r>
            <w:r>
              <w:rPr>
                <w:rFonts w:hint="eastAsia"/>
                <w:szCs w:val="21"/>
              </w:rPr>
              <w:t>。（下降的计</w:t>
            </w:r>
            <w:r>
              <w:rPr>
                <w:szCs w:val="21"/>
              </w:rPr>
              <w:t>5</w:t>
            </w:r>
            <w:r>
              <w:rPr>
                <w:rFonts w:hint="eastAsia"/>
                <w:szCs w:val="21"/>
              </w:rPr>
              <w:t>分，增加的按比例扣减）</w:t>
            </w:r>
          </w:p>
          <w:p>
            <w:pPr>
              <w:spacing w:line="240" w:lineRule="exact"/>
              <w:rPr>
                <w:szCs w:val="21"/>
              </w:rPr>
            </w:pPr>
            <w:r>
              <w:rPr>
                <w:rFonts w:hint="eastAsia"/>
                <w:szCs w:val="21"/>
              </w:rPr>
              <w:t>“三公经费”：年度预算安排的因公出国（境）费、公务车辆购置及运行费和公务招待费。</w:t>
            </w:r>
          </w:p>
        </w:tc>
        <w:tc>
          <w:tcPr>
            <w:tcW w:w="469" w:type="pct"/>
            <w:tcBorders>
              <w:top w:val="nil"/>
              <w:left w:val="nil"/>
              <w:bottom w:val="single" w:color="auto" w:sz="4" w:space="0"/>
              <w:right w:val="single" w:color="auto" w:sz="4" w:space="0"/>
            </w:tcBorders>
            <w:noWrap/>
            <w:vAlign w:val="center"/>
          </w:tcPr>
          <w:p>
            <w:pPr>
              <w:widowControl/>
              <w:spacing w:line="240" w:lineRule="exact"/>
              <w:jc w:val="left"/>
              <w:rPr>
                <w:rFonts w:eastAsia="宋体"/>
                <w:kern w:val="0"/>
                <w:sz w:val="21"/>
                <w:szCs w:val="21"/>
                <w:lang w:val="en-US" w:eastAsia="zh-CN" w:bidi="ar-SA"/>
              </w:rPr>
            </w:pPr>
            <w:r>
              <w:rPr>
                <w:rFonts w:hint="eastAsia" w:eastAsia="宋体"/>
                <w:kern w:val="0"/>
                <w:sz w:val="21"/>
                <w:szCs w:val="21"/>
              </w:rPr>
              <w:t>　5</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534"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重点支出安排率（</w:t>
            </w:r>
            <w:r>
              <w:rPr>
                <w:szCs w:val="21"/>
              </w:rPr>
              <w:t>5</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部门（单位）本年度预算安排的重点项目支出与部门项目总支出的比率，用以反映和考核部门（单位）对履行主要职责或完成重点任务的保障程度。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重点支出安排率</w:t>
            </w:r>
            <w:r>
              <w:rPr>
                <w:szCs w:val="21"/>
              </w:rPr>
              <w:t>=</w:t>
            </w:r>
            <w:r>
              <w:rPr>
                <w:rFonts w:hint="eastAsia"/>
                <w:szCs w:val="21"/>
              </w:rPr>
              <w:t>（重点项目支出</w:t>
            </w:r>
            <w:r>
              <w:rPr>
                <w:szCs w:val="21"/>
              </w:rPr>
              <w:t>/</w:t>
            </w:r>
            <w:r>
              <w:rPr>
                <w:rFonts w:hint="eastAsia"/>
                <w:szCs w:val="21"/>
              </w:rPr>
              <w:t>项目总支出）×</w:t>
            </w:r>
            <w:r>
              <w:rPr>
                <w:szCs w:val="21"/>
              </w:rPr>
              <w:t>100%</w:t>
            </w:r>
            <w:r>
              <w:rPr>
                <w:rFonts w:hint="eastAsia"/>
                <w:szCs w:val="21"/>
              </w:rPr>
              <w:t>。（实际得分</w:t>
            </w:r>
            <w:r>
              <w:rPr>
                <w:szCs w:val="21"/>
              </w:rPr>
              <w:t>=</w:t>
            </w:r>
            <w:r>
              <w:rPr>
                <w:rFonts w:hint="eastAsia"/>
                <w:szCs w:val="21"/>
              </w:rPr>
              <w:t>支出安排率</w:t>
            </w:r>
            <w:r>
              <w:rPr>
                <w:szCs w:val="21"/>
              </w:rPr>
              <w:t>*5</w:t>
            </w:r>
            <w:r>
              <w:rPr>
                <w:rFonts w:hint="eastAsia"/>
                <w:szCs w:val="21"/>
              </w:rPr>
              <w:t>分）</w:t>
            </w:r>
          </w:p>
          <w:p>
            <w:pPr>
              <w:spacing w:line="240" w:lineRule="exact"/>
              <w:rPr>
                <w:szCs w:val="21"/>
              </w:rPr>
            </w:pPr>
            <w:r>
              <w:rPr>
                <w:rFonts w:hint="eastAsia"/>
                <w:szCs w:val="21"/>
              </w:rPr>
              <w:t>重点项目支出：部门（单位）年度预算安排的，与本部门履职和发展密切相关、具有明显社会和经济影响、党委政府关心或社会比较关注的项目支出总额。</w:t>
            </w:r>
          </w:p>
          <w:p>
            <w:pPr>
              <w:spacing w:line="240" w:lineRule="exact"/>
              <w:rPr>
                <w:szCs w:val="21"/>
              </w:rPr>
            </w:pPr>
            <w:r>
              <w:rPr>
                <w:rFonts w:hint="eastAsia"/>
                <w:szCs w:val="21"/>
              </w:rPr>
              <w:t>项目总支出：部门（单位）年度预算安排的项目支出总额。</w:t>
            </w:r>
          </w:p>
        </w:tc>
        <w:tc>
          <w:tcPr>
            <w:tcW w:w="469" w:type="pct"/>
            <w:tcBorders>
              <w:top w:val="nil"/>
              <w:left w:val="nil"/>
              <w:bottom w:val="single" w:color="auto" w:sz="4" w:space="0"/>
              <w:right w:val="single" w:color="auto" w:sz="4" w:space="0"/>
            </w:tcBorders>
            <w:noWrap/>
            <w:vAlign w:val="center"/>
          </w:tcPr>
          <w:p>
            <w:pPr>
              <w:widowControl/>
              <w:spacing w:line="240" w:lineRule="exact"/>
              <w:jc w:val="left"/>
              <w:rPr>
                <w:rFonts w:eastAsia="宋体"/>
                <w:kern w:val="0"/>
                <w:sz w:val="21"/>
                <w:szCs w:val="21"/>
                <w:lang w:val="en-US" w:eastAsia="zh-CN" w:bidi="ar-SA"/>
              </w:rPr>
            </w:pPr>
            <w:r>
              <w:rPr>
                <w:rFonts w:hint="eastAsia" w:eastAsia="宋体"/>
                <w:kern w:val="0"/>
                <w:sz w:val="21"/>
                <w:szCs w:val="21"/>
              </w:rPr>
              <w:t>　5</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30" w:hRule="atLeast"/>
          <w:jc w:val="center"/>
        </w:trPr>
        <w:tc>
          <w:tcPr>
            <w:tcW w:w="353" w:type="pct"/>
            <w:vMerge w:val="restart"/>
            <w:tcBorders>
              <w:top w:val="nil"/>
              <w:left w:val="single" w:color="auto" w:sz="12" w:space="0"/>
              <w:bottom w:val="single" w:color="000000" w:sz="4" w:space="0"/>
              <w:right w:val="single" w:color="auto" w:sz="4" w:space="0"/>
            </w:tcBorders>
            <w:noWrap/>
            <w:textDirection w:val="tbRlV"/>
            <w:vAlign w:val="center"/>
          </w:tcPr>
          <w:p>
            <w:pPr>
              <w:spacing w:line="240" w:lineRule="exact"/>
              <w:jc w:val="center"/>
              <w:rPr>
                <w:szCs w:val="21"/>
              </w:rPr>
            </w:pPr>
            <w:r>
              <w:rPr>
                <w:rFonts w:hint="eastAsia"/>
                <w:szCs w:val="21"/>
              </w:rPr>
              <w:t>过程（</w:t>
            </w:r>
            <w:r>
              <w:rPr>
                <w:szCs w:val="21"/>
              </w:rPr>
              <w:t>30</w:t>
            </w:r>
            <w:r>
              <w:rPr>
                <w:rFonts w:hint="eastAsia"/>
                <w:szCs w:val="21"/>
              </w:rPr>
              <w:t>分）</w:t>
            </w:r>
          </w:p>
        </w:tc>
        <w:tc>
          <w:tcPr>
            <w:tcW w:w="323"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r>
              <w:rPr>
                <w:rFonts w:hint="eastAsia"/>
                <w:szCs w:val="21"/>
              </w:rPr>
              <w:t>预算执行（</w:t>
            </w:r>
            <w:r>
              <w:rPr>
                <w:szCs w:val="21"/>
              </w:rPr>
              <w:t>20</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预算完成率（</w:t>
            </w:r>
            <w:r>
              <w:rPr>
                <w:szCs w:val="21"/>
              </w:rPr>
              <w:t>4</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部门（单位）本年度预算完成数与预算数的比率，用以反映和考核部门（单位）预算完成程度。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预算完成率</w:t>
            </w:r>
            <w:r>
              <w:rPr>
                <w:szCs w:val="21"/>
              </w:rPr>
              <w:t>=</w:t>
            </w:r>
            <w:r>
              <w:rPr>
                <w:rFonts w:hint="eastAsia"/>
                <w:szCs w:val="21"/>
              </w:rPr>
              <w:t>（预算完成数</w:t>
            </w:r>
            <w:r>
              <w:rPr>
                <w:szCs w:val="21"/>
              </w:rPr>
              <w:t>/</w:t>
            </w:r>
            <w:r>
              <w:rPr>
                <w:rFonts w:hint="eastAsia"/>
                <w:szCs w:val="21"/>
              </w:rPr>
              <w:t>预算数）×</w:t>
            </w:r>
            <w:r>
              <w:rPr>
                <w:szCs w:val="21"/>
              </w:rPr>
              <w:t>100%</w:t>
            </w:r>
            <w:r>
              <w:rPr>
                <w:rFonts w:hint="eastAsia"/>
                <w:szCs w:val="21"/>
              </w:rPr>
              <w:t>。（完成年初预算计</w:t>
            </w:r>
            <w:r>
              <w:rPr>
                <w:szCs w:val="21"/>
              </w:rPr>
              <w:t>4</w:t>
            </w:r>
            <w:r>
              <w:rPr>
                <w:rFonts w:hint="eastAsia"/>
                <w:szCs w:val="21"/>
              </w:rPr>
              <w:t>分，未完成年初按比例扣减）</w:t>
            </w:r>
          </w:p>
          <w:p>
            <w:pPr>
              <w:spacing w:line="240" w:lineRule="exact"/>
              <w:rPr>
                <w:szCs w:val="21"/>
              </w:rPr>
            </w:pPr>
            <w:r>
              <w:rPr>
                <w:rFonts w:hint="eastAsia"/>
                <w:szCs w:val="21"/>
              </w:rPr>
              <w:t>预算完成数：部门（单位）本年度实际完成的预算数。</w:t>
            </w:r>
          </w:p>
          <w:p>
            <w:pPr>
              <w:spacing w:line="240" w:lineRule="exact"/>
              <w:rPr>
                <w:szCs w:val="21"/>
              </w:rPr>
            </w:pPr>
            <w:r>
              <w:rPr>
                <w:rFonts w:hint="eastAsia"/>
                <w:szCs w:val="21"/>
              </w:rPr>
              <w:t>预算数：财政部门批复的本年度部门（单位）预算数。</w:t>
            </w:r>
          </w:p>
        </w:tc>
        <w:tc>
          <w:tcPr>
            <w:tcW w:w="469" w:type="pct"/>
            <w:tcBorders>
              <w:top w:val="nil"/>
              <w:left w:val="nil"/>
              <w:bottom w:val="single" w:color="auto" w:sz="4" w:space="0"/>
              <w:right w:val="single" w:color="auto" w:sz="4" w:space="0"/>
            </w:tcBorders>
            <w:noWrap/>
            <w:vAlign w:val="center"/>
          </w:tcPr>
          <w:p>
            <w:pPr>
              <w:widowControl/>
              <w:spacing w:line="260" w:lineRule="exact"/>
              <w:jc w:val="left"/>
              <w:rPr>
                <w:rFonts w:eastAsia="宋体"/>
                <w:kern w:val="0"/>
                <w:sz w:val="21"/>
                <w:szCs w:val="21"/>
                <w:lang w:val="en-US" w:eastAsia="zh-CN" w:bidi="ar-SA"/>
              </w:rPr>
            </w:pPr>
            <w:r>
              <w:rPr>
                <w:rFonts w:hint="eastAsia" w:eastAsia="宋体"/>
                <w:kern w:val="0"/>
                <w:sz w:val="21"/>
                <w:szCs w:val="21"/>
              </w:rPr>
              <w:t>　4</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59"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预算调整率（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部门（单位）本年度预算调整数与预算数的比率，用以反映和考核部门（单位）预算的调整程度。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预算调整率</w:t>
            </w:r>
            <w:r>
              <w:rPr>
                <w:szCs w:val="21"/>
              </w:rPr>
              <w:t>=</w:t>
            </w:r>
            <w:r>
              <w:rPr>
                <w:rFonts w:hint="eastAsia"/>
                <w:szCs w:val="21"/>
              </w:rPr>
              <w:t>（预算调整数</w:t>
            </w:r>
            <w:r>
              <w:rPr>
                <w:szCs w:val="21"/>
              </w:rPr>
              <w:t>/</w:t>
            </w:r>
            <w:r>
              <w:rPr>
                <w:rFonts w:hint="eastAsia"/>
                <w:szCs w:val="21"/>
              </w:rPr>
              <w:t>预算数）×</w:t>
            </w:r>
            <w:r>
              <w:rPr>
                <w:szCs w:val="21"/>
              </w:rPr>
              <w:t>100%</w:t>
            </w:r>
            <w:r>
              <w:rPr>
                <w:rFonts w:hint="eastAsia"/>
                <w:szCs w:val="21"/>
              </w:rPr>
              <w:t>。（未调整的计</w:t>
            </w:r>
            <w:r>
              <w:rPr>
                <w:szCs w:val="21"/>
              </w:rPr>
              <w:t>2</w:t>
            </w:r>
            <w:r>
              <w:rPr>
                <w:rFonts w:hint="eastAsia"/>
                <w:szCs w:val="21"/>
              </w:rPr>
              <w:t>分，调整了的除特殊原因外按比例扣减）</w:t>
            </w:r>
          </w:p>
          <w:p>
            <w:pPr>
              <w:spacing w:line="240" w:lineRule="exact"/>
              <w:rPr>
                <w:szCs w:val="21"/>
              </w:rPr>
            </w:pPr>
            <w:r>
              <w:rPr>
                <w:rFonts w:hint="eastAsia"/>
                <w:szCs w:val="21"/>
              </w:rPr>
              <w:t>预算调整数：部门（单位）在本年度内涉及预算的追加、追减或结构调整的资金总和（因落实国家政策、发生不可抗力、上级部门或本级党委政府临时交办而产生的调整除外）。</w:t>
            </w:r>
          </w:p>
        </w:tc>
        <w:tc>
          <w:tcPr>
            <w:tcW w:w="469" w:type="pct"/>
            <w:tcBorders>
              <w:top w:val="nil"/>
              <w:left w:val="nil"/>
              <w:bottom w:val="single" w:color="auto" w:sz="4" w:space="0"/>
              <w:right w:val="single" w:color="auto" w:sz="4" w:space="0"/>
            </w:tcBorders>
            <w:noWrap/>
            <w:vAlign w:val="center"/>
          </w:tcPr>
          <w:p>
            <w:pPr>
              <w:widowControl/>
              <w:spacing w:line="260" w:lineRule="exact"/>
              <w:jc w:val="left"/>
              <w:rPr>
                <w:rFonts w:hint="eastAsia" w:eastAsia="宋体"/>
                <w:kern w:val="0"/>
                <w:sz w:val="21"/>
                <w:szCs w:val="21"/>
                <w:lang w:val="en-US" w:eastAsia="zh-CN" w:bidi="ar-SA"/>
              </w:rPr>
            </w:pPr>
            <w:r>
              <w:rPr>
                <w:rFonts w:hint="eastAsia" w:eastAsia="宋体"/>
                <w:kern w:val="0"/>
                <w:sz w:val="21"/>
                <w:szCs w:val="21"/>
              </w:rPr>
              <w:t>　</w:t>
            </w:r>
            <w:r>
              <w:rPr>
                <w:rFonts w:hint="eastAsia" w:eastAsia="宋体"/>
                <w:kern w:val="0"/>
                <w:sz w:val="21"/>
                <w:szCs w:val="21"/>
                <w:lang w:val="en-US" w:eastAsia="zh-CN"/>
              </w:rPr>
              <w:t>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80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支付进度率（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部门（单位）实际支付进度与既定支付进度的比率，用以反映和考核部门（单位）预算执行的及时性和均衡性程度。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支付进度率</w:t>
            </w:r>
            <w:r>
              <w:rPr>
                <w:szCs w:val="21"/>
              </w:rPr>
              <w:t>=</w:t>
            </w:r>
            <w:r>
              <w:rPr>
                <w:rFonts w:hint="eastAsia"/>
                <w:szCs w:val="21"/>
              </w:rPr>
              <w:t>（实际支付进度</w:t>
            </w:r>
            <w:r>
              <w:rPr>
                <w:szCs w:val="21"/>
              </w:rPr>
              <w:t>/</w:t>
            </w:r>
            <w:r>
              <w:rPr>
                <w:rFonts w:hint="eastAsia"/>
                <w:szCs w:val="21"/>
              </w:rPr>
              <w:t>既定支付进度）×</w:t>
            </w:r>
            <w:r>
              <w:rPr>
                <w:szCs w:val="21"/>
              </w:rPr>
              <w:t>100%</w:t>
            </w:r>
            <w:r>
              <w:rPr>
                <w:rFonts w:hint="eastAsia"/>
                <w:szCs w:val="21"/>
              </w:rPr>
              <w:t>。完成年终进度的计</w:t>
            </w:r>
            <w:r>
              <w:rPr>
                <w:szCs w:val="21"/>
              </w:rPr>
              <w:t>1</w:t>
            </w:r>
            <w:r>
              <w:rPr>
                <w:rFonts w:hint="eastAsia"/>
                <w:szCs w:val="21"/>
              </w:rPr>
              <w:t>分，按季度完成预算进度的计</w:t>
            </w:r>
            <w:r>
              <w:rPr>
                <w:szCs w:val="21"/>
              </w:rPr>
              <w:t>1</w:t>
            </w:r>
            <w:r>
              <w:rPr>
                <w:rFonts w:hint="eastAsia"/>
                <w:szCs w:val="21"/>
              </w:rPr>
              <w:t>分。</w:t>
            </w:r>
          </w:p>
          <w:p>
            <w:pPr>
              <w:spacing w:line="240" w:lineRule="exact"/>
              <w:rPr>
                <w:szCs w:val="21"/>
              </w:rPr>
            </w:pPr>
            <w:r>
              <w:rPr>
                <w:rFonts w:hint="eastAsia"/>
                <w:szCs w:val="21"/>
              </w:rPr>
              <w:t>实际支付进度：部门（单位）在某一时点的支出预算执行总数与年度支出预算数的比率。</w:t>
            </w:r>
          </w:p>
          <w:p>
            <w:pPr>
              <w:spacing w:line="240" w:lineRule="exact"/>
              <w:rPr>
                <w:szCs w:val="21"/>
              </w:rPr>
            </w:pPr>
            <w:r>
              <w:rPr>
                <w:rFonts w:hint="eastAsia"/>
                <w:szCs w:val="21"/>
              </w:rPr>
              <w:t>既定支付进度：由部门（单位）在申报部门整体绩效目标时，参照序时支付进度、前三年支付进度、同级部门平均支付进度水平等确定的，在某一时点应达到的支付进度（比率）。</w:t>
            </w:r>
          </w:p>
        </w:tc>
        <w:tc>
          <w:tcPr>
            <w:tcW w:w="469" w:type="pct"/>
            <w:tcBorders>
              <w:top w:val="nil"/>
              <w:left w:val="nil"/>
              <w:bottom w:val="single" w:color="auto" w:sz="4" w:space="0"/>
              <w:right w:val="single" w:color="auto" w:sz="4" w:space="0"/>
            </w:tcBorders>
            <w:noWrap/>
            <w:vAlign w:val="center"/>
          </w:tcPr>
          <w:p>
            <w:pPr>
              <w:widowControl/>
              <w:spacing w:line="26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035"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结转结余率（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部门（单位）本年度结转结余总额与支出预算数的比率，用以反映和考核部门（单位）对本年度结转结余资金的实际控制程度。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结转结余率</w:t>
            </w:r>
            <w:r>
              <w:rPr>
                <w:szCs w:val="21"/>
              </w:rPr>
              <w:t>=</w:t>
            </w:r>
            <w:r>
              <w:rPr>
                <w:rFonts w:hint="eastAsia"/>
                <w:szCs w:val="21"/>
              </w:rPr>
              <w:t>结转结余总额</w:t>
            </w:r>
            <w:r>
              <w:rPr>
                <w:szCs w:val="21"/>
              </w:rPr>
              <w:t>/</w:t>
            </w:r>
            <w:r>
              <w:rPr>
                <w:rFonts w:hint="eastAsia"/>
                <w:szCs w:val="21"/>
              </w:rPr>
              <w:t>支出预算数×</w:t>
            </w:r>
            <w:r>
              <w:rPr>
                <w:szCs w:val="21"/>
              </w:rPr>
              <w:t>100%</w:t>
            </w:r>
            <w:r>
              <w:rPr>
                <w:rFonts w:hint="eastAsia"/>
                <w:szCs w:val="21"/>
              </w:rPr>
              <w:t>。低于</w:t>
            </w:r>
            <w:r>
              <w:rPr>
                <w:szCs w:val="21"/>
              </w:rPr>
              <w:t>5%</w:t>
            </w:r>
            <w:r>
              <w:rPr>
                <w:rFonts w:hint="eastAsia"/>
                <w:szCs w:val="21"/>
              </w:rPr>
              <w:t>的计</w:t>
            </w:r>
            <w:r>
              <w:rPr>
                <w:szCs w:val="21"/>
              </w:rPr>
              <w:t>1</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p>
            <w:pPr>
              <w:spacing w:line="240" w:lineRule="exact"/>
              <w:rPr>
                <w:szCs w:val="21"/>
              </w:rPr>
            </w:pPr>
            <w:r>
              <w:rPr>
                <w:rFonts w:hint="eastAsia"/>
                <w:szCs w:val="21"/>
              </w:rPr>
              <w:t>结转结余总额：部门（单位）本年度的结转资金与结余资金之和（以决算数为准）。</w:t>
            </w:r>
          </w:p>
        </w:tc>
        <w:tc>
          <w:tcPr>
            <w:tcW w:w="469" w:type="pct"/>
            <w:tcBorders>
              <w:top w:val="nil"/>
              <w:left w:val="nil"/>
              <w:bottom w:val="single" w:color="auto" w:sz="4" w:space="0"/>
              <w:right w:val="single" w:color="auto" w:sz="4" w:space="0"/>
            </w:tcBorders>
            <w:noWrap/>
            <w:vAlign w:val="center"/>
          </w:tcPr>
          <w:p>
            <w:pPr>
              <w:widowControl/>
              <w:spacing w:line="26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247"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结转结余变动率（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部门（单位）本年度结转结余资金总额与上年度结转结余资金总额的变动比率，用以反映和考核部门（单位）对控制结转结余资金的努力程度。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结转结余变动率</w:t>
            </w:r>
            <w:r>
              <w:rPr>
                <w:szCs w:val="21"/>
              </w:rPr>
              <w:t>=[</w:t>
            </w:r>
            <w:r>
              <w:rPr>
                <w:rFonts w:hint="eastAsia"/>
                <w:szCs w:val="21"/>
              </w:rPr>
              <w:t>（本年度累计结转结余资金总额</w:t>
            </w:r>
            <w:r>
              <w:rPr>
                <w:szCs w:val="21"/>
              </w:rPr>
              <w:t>-</w:t>
            </w:r>
            <w:r>
              <w:rPr>
                <w:rFonts w:hint="eastAsia"/>
                <w:szCs w:val="21"/>
              </w:rPr>
              <w:t>上年度累计结转结余资金总额）</w:t>
            </w:r>
            <w:r>
              <w:rPr>
                <w:szCs w:val="21"/>
              </w:rPr>
              <w:t>/</w:t>
            </w:r>
            <w:r>
              <w:rPr>
                <w:rFonts w:hint="eastAsia"/>
                <w:szCs w:val="21"/>
              </w:rPr>
              <w:t>上年度累计结转结余资金总额</w:t>
            </w:r>
            <w:r>
              <w:rPr>
                <w:szCs w:val="21"/>
              </w:rPr>
              <w:t>]</w:t>
            </w:r>
            <w:r>
              <w:rPr>
                <w:rFonts w:hint="eastAsia"/>
                <w:szCs w:val="21"/>
              </w:rPr>
              <w:t>×</w:t>
            </w:r>
            <w:r>
              <w:rPr>
                <w:szCs w:val="21"/>
              </w:rPr>
              <w:t>100%</w:t>
            </w:r>
            <w:r>
              <w:rPr>
                <w:rFonts w:hint="eastAsia"/>
                <w:szCs w:val="21"/>
              </w:rPr>
              <w:t>。（低于</w:t>
            </w:r>
            <w:r>
              <w:rPr>
                <w:szCs w:val="21"/>
              </w:rPr>
              <w:t>15%</w:t>
            </w:r>
            <w:r>
              <w:rPr>
                <w:rFonts w:hint="eastAsia"/>
                <w:szCs w:val="21"/>
              </w:rPr>
              <w:t>的计</w:t>
            </w:r>
            <w:r>
              <w:rPr>
                <w:szCs w:val="21"/>
              </w:rPr>
              <w:t>2</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widowControl/>
              <w:spacing w:line="26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153"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公用经费控制率（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部门（单位）本年度实际支出的公用经费总额与预算安排的公用经费总额的比率，用以反映和考核部门（单位）对机构运转成本的实际控制程度。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公用经费控制率</w:t>
            </w:r>
            <w:r>
              <w:rPr>
                <w:szCs w:val="21"/>
              </w:rPr>
              <w:t>=</w:t>
            </w:r>
            <w:r>
              <w:rPr>
                <w:rFonts w:hint="eastAsia"/>
                <w:szCs w:val="21"/>
              </w:rPr>
              <w:t>（实际支出公用经费总额</w:t>
            </w:r>
            <w:r>
              <w:rPr>
                <w:szCs w:val="21"/>
              </w:rPr>
              <w:t>/</w:t>
            </w:r>
            <w:r>
              <w:rPr>
                <w:rFonts w:hint="eastAsia"/>
                <w:szCs w:val="21"/>
              </w:rPr>
              <w:t>预算安排公用经费总额）×</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widowControl/>
              <w:spacing w:line="290" w:lineRule="exact"/>
              <w:jc w:val="left"/>
              <w:rPr>
                <w:rFonts w:hint="eastAsia" w:eastAsia="宋体"/>
                <w:kern w:val="0"/>
                <w:sz w:val="21"/>
                <w:szCs w:val="21"/>
                <w:lang w:val="en-US" w:eastAsia="zh-CN" w:bidi="ar-SA"/>
              </w:rPr>
            </w:pPr>
            <w:r>
              <w:rPr>
                <w:rFonts w:hint="eastAsia" w:eastAsia="宋体"/>
                <w:kern w:val="0"/>
                <w:sz w:val="21"/>
                <w:szCs w:val="21"/>
              </w:rPr>
              <w:t>　1.</w:t>
            </w:r>
            <w:r>
              <w:rPr>
                <w:rFonts w:hint="eastAsia" w:eastAsia="宋体"/>
                <w:kern w:val="0"/>
                <w:sz w:val="21"/>
                <w:szCs w:val="21"/>
                <w:lang w:val="en-US" w:eastAsia="zh-CN"/>
              </w:rPr>
              <w:t>6</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172"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“三公经费”控制率（</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部门（单位）本年度“三公经费”实际支出数与预算安排数的比率，用以反映和考核部门（单位）对“三公经费”的实际控制程度。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“三公经费”控制率</w:t>
            </w:r>
            <w:r>
              <w:rPr>
                <w:szCs w:val="21"/>
              </w:rPr>
              <w:t>=</w:t>
            </w:r>
            <w:r>
              <w:rPr>
                <w:rFonts w:hint="eastAsia"/>
                <w:szCs w:val="21"/>
              </w:rPr>
              <w:t>（“三公经费”实际支出数</w:t>
            </w:r>
            <w:r>
              <w:rPr>
                <w:szCs w:val="21"/>
              </w:rPr>
              <w:t>/</w:t>
            </w:r>
            <w:r>
              <w:rPr>
                <w:rFonts w:hint="eastAsia"/>
                <w:szCs w:val="21"/>
              </w:rPr>
              <w:t>“三公经费”预算安排数）×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分，每超过</w:t>
            </w:r>
            <w:r>
              <w:rPr>
                <w:szCs w:val="21"/>
              </w:rPr>
              <w:t>1</w:t>
            </w:r>
            <w:r>
              <w:rPr>
                <w:rFonts w:hint="eastAsia"/>
                <w:szCs w:val="21"/>
              </w:rPr>
              <w:t>个百分点扣</w:t>
            </w:r>
            <w:r>
              <w:rPr>
                <w:szCs w:val="21"/>
              </w:rPr>
              <w:t>0.5</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widowControl/>
              <w:spacing w:line="29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50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政府采购执行率（</w:t>
            </w:r>
            <w:r>
              <w:rPr>
                <w:szCs w:val="21"/>
              </w:rPr>
              <w:t>4</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部门（单位）本年度实际政府采购金额与年初政府采购预算的比率，用以反映和考核部门（单位）政府采购预算执行情况。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政府采购执行率</w:t>
            </w:r>
            <w:r>
              <w:rPr>
                <w:szCs w:val="21"/>
              </w:rPr>
              <w:t>=</w:t>
            </w:r>
            <w:r>
              <w:rPr>
                <w:rFonts w:hint="eastAsia"/>
                <w:szCs w:val="21"/>
              </w:rPr>
              <w:t>（实际政府采购金额</w:t>
            </w:r>
            <w:r>
              <w:rPr>
                <w:szCs w:val="21"/>
              </w:rPr>
              <w:t>/</w:t>
            </w:r>
            <w:r>
              <w:rPr>
                <w:rFonts w:hint="eastAsia"/>
                <w:szCs w:val="21"/>
              </w:rPr>
              <w:t>政府采购预算数）×</w:t>
            </w:r>
            <w:r>
              <w:rPr>
                <w:szCs w:val="21"/>
              </w:rPr>
              <w:t>100%</w:t>
            </w:r>
            <w:r>
              <w:rPr>
                <w:rFonts w:hint="eastAsia"/>
                <w:szCs w:val="21"/>
              </w:rPr>
              <w:t>。（为</w:t>
            </w:r>
            <w:r>
              <w:rPr>
                <w:szCs w:val="21"/>
              </w:rPr>
              <w:t>100%</w:t>
            </w:r>
            <w:r>
              <w:rPr>
                <w:rFonts w:hint="eastAsia"/>
                <w:szCs w:val="21"/>
              </w:rPr>
              <w:t>的计</w:t>
            </w:r>
            <w:r>
              <w:rPr>
                <w:szCs w:val="21"/>
              </w:rPr>
              <w:t>2</w:t>
            </w:r>
            <w:r>
              <w:rPr>
                <w:rFonts w:hint="eastAsia"/>
                <w:szCs w:val="21"/>
              </w:rPr>
              <w:t>分，每低于</w:t>
            </w:r>
            <w:r>
              <w:rPr>
                <w:szCs w:val="21"/>
              </w:rPr>
              <w:t>1</w:t>
            </w:r>
            <w:r>
              <w:rPr>
                <w:rFonts w:hint="eastAsia"/>
                <w:szCs w:val="21"/>
              </w:rPr>
              <w:t>个百分点扣</w:t>
            </w:r>
            <w:r>
              <w:rPr>
                <w:szCs w:val="21"/>
              </w:rPr>
              <w:t>0.5</w:t>
            </w:r>
            <w:r>
              <w:rPr>
                <w:rFonts w:hint="eastAsia"/>
                <w:szCs w:val="21"/>
              </w:rPr>
              <w:t>分，扣完为止）</w:t>
            </w:r>
          </w:p>
          <w:p>
            <w:pPr>
              <w:spacing w:line="240" w:lineRule="exact"/>
              <w:rPr>
                <w:szCs w:val="21"/>
              </w:rPr>
            </w:pPr>
            <w:r>
              <w:rPr>
                <w:rFonts w:hint="eastAsia"/>
                <w:szCs w:val="21"/>
              </w:rPr>
              <w:t>政府采购预算：采购机关根据事业发展计划和行政任务编制的、并经过规定程序批准的年度政府采购计划。</w:t>
            </w:r>
          </w:p>
        </w:tc>
        <w:tc>
          <w:tcPr>
            <w:tcW w:w="469" w:type="pct"/>
            <w:tcBorders>
              <w:top w:val="nil"/>
              <w:left w:val="nil"/>
              <w:bottom w:val="single" w:color="auto" w:sz="4" w:space="0"/>
              <w:right w:val="single" w:color="auto" w:sz="4" w:space="0"/>
            </w:tcBorders>
            <w:noWrap/>
            <w:vAlign w:val="center"/>
          </w:tcPr>
          <w:p>
            <w:pPr>
              <w:widowControl/>
              <w:spacing w:line="290" w:lineRule="exact"/>
              <w:jc w:val="left"/>
              <w:rPr>
                <w:rFonts w:eastAsia="宋体"/>
                <w:kern w:val="0"/>
                <w:sz w:val="21"/>
                <w:szCs w:val="21"/>
                <w:lang w:val="en-US" w:eastAsia="zh-CN" w:bidi="ar-SA"/>
              </w:rPr>
            </w:pPr>
            <w:r>
              <w:rPr>
                <w:rFonts w:hint="eastAsia" w:eastAsia="宋体"/>
                <w:kern w:val="0"/>
                <w:sz w:val="21"/>
                <w:szCs w:val="21"/>
              </w:rPr>
              <w:t>　0</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635"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预算管理（</w:t>
            </w:r>
            <w:r>
              <w:rPr>
                <w:szCs w:val="21"/>
              </w:rPr>
              <w:t>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部门（单位）为加强预算管理、规范财务行为而制定的管理制度是否健全完整，用以反映和考核部门（单位）预算管理制度对完成主要职责或促进事业发展的保障情况。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①是否已制定或具有预算资金管理办法、内部财务管理制度、会计核算制度等管理制度；（</w:t>
            </w:r>
            <w:r>
              <w:rPr>
                <w:szCs w:val="21"/>
              </w:rPr>
              <w:t>1</w:t>
            </w:r>
            <w:r>
              <w:rPr>
                <w:rFonts w:hint="eastAsia"/>
                <w:szCs w:val="21"/>
              </w:rPr>
              <w:t>分）</w:t>
            </w:r>
          </w:p>
          <w:p>
            <w:pPr>
              <w:spacing w:line="240" w:lineRule="exact"/>
              <w:rPr>
                <w:szCs w:val="21"/>
              </w:rPr>
            </w:pPr>
            <w:r>
              <w:rPr>
                <w:rFonts w:hint="eastAsia"/>
                <w:szCs w:val="21"/>
              </w:rPr>
              <w:t>②相关管理制度是否合法、合规、完整；（</w:t>
            </w:r>
            <w:r>
              <w:rPr>
                <w:szCs w:val="21"/>
              </w:rPr>
              <w:t>0.5</w:t>
            </w:r>
            <w:r>
              <w:rPr>
                <w:rFonts w:hint="eastAsia"/>
                <w:szCs w:val="21"/>
              </w:rPr>
              <w:t>分）</w:t>
            </w:r>
          </w:p>
          <w:p>
            <w:pPr>
              <w:spacing w:line="240" w:lineRule="exact"/>
              <w:rPr>
                <w:szCs w:val="21"/>
              </w:rPr>
            </w:pPr>
            <w:r>
              <w:rPr>
                <w:rFonts w:hint="eastAsia"/>
                <w:szCs w:val="21"/>
              </w:rPr>
              <w:t>③相关管理制度是否得到有效执行。（</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widowControl/>
              <w:spacing w:line="29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2334"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资金使用合规性（</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部门（单位）使用预算资金是否符合相关的预算财务管理制度的规定，用以反映和考核部门（单位）预算资金的规范运行情况。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①是否符合国家财经法规和财务管理制度规定以及有关专项资金管理办法的规定；（</w:t>
            </w:r>
            <w:r>
              <w:rPr>
                <w:szCs w:val="21"/>
              </w:rPr>
              <w:t>0.2</w:t>
            </w:r>
            <w:r>
              <w:rPr>
                <w:rFonts w:hint="eastAsia"/>
                <w:szCs w:val="21"/>
              </w:rPr>
              <w:t>分）</w:t>
            </w:r>
          </w:p>
          <w:p>
            <w:pPr>
              <w:spacing w:line="240" w:lineRule="exact"/>
              <w:rPr>
                <w:szCs w:val="21"/>
              </w:rPr>
            </w:pPr>
            <w:r>
              <w:rPr>
                <w:rFonts w:hint="eastAsia"/>
                <w:szCs w:val="21"/>
              </w:rPr>
              <w:t>②资金的拨付是否有完整的审批程序和手续；（</w:t>
            </w:r>
            <w:r>
              <w:rPr>
                <w:szCs w:val="21"/>
              </w:rPr>
              <w:t>0.2</w:t>
            </w:r>
            <w:r>
              <w:rPr>
                <w:rFonts w:hint="eastAsia"/>
                <w:szCs w:val="21"/>
              </w:rPr>
              <w:t>分）</w:t>
            </w:r>
          </w:p>
          <w:p>
            <w:pPr>
              <w:spacing w:line="240" w:lineRule="exact"/>
              <w:rPr>
                <w:szCs w:val="21"/>
              </w:rPr>
            </w:pPr>
            <w:r>
              <w:rPr>
                <w:rFonts w:hint="eastAsia"/>
                <w:szCs w:val="21"/>
              </w:rPr>
              <w:t>③项目的重大开支是否经过评估论证；（</w:t>
            </w:r>
            <w:r>
              <w:rPr>
                <w:szCs w:val="21"/>
              </w:rPr>
              <w:t>0.2</w:t>
            </w:r>
            <w:r>
              <w:rPr>
                <w:rFonts w:hint="eastAsia"/>
                <w:szCs w:val="21"/>
              </w:rPr>
              <w:t>分）</w:t>
            </w:r>
          </w:p>
          <w:p>
            <w:pPr>
              <w:spacing w:line="240" w:lineRule="exact"/>
              <w:rPr>
                <w:szCs w:val="21"/>
              </w:rPr>
            </w:pPr>
            <w:r>
              <w:rPr>
                <w:rFonts w:hint="eastAsia"/>
                <w:szCs w:val="21"/>
              </w:rPr>
              <w:t>④是否符合部门预算批复的用途；（</w:t>
            </w:r>
            <w:r>
              <w:rPr>
                <w:szCs w:val="21"/>
              </w:rPr>
              <w:t>0.2</w:t>
            </w:r>
            <w:r>
              <w:rPr>
                <w:rFonts w:hint="eastAsia"/>
                <w:szCs w:val="21"/>
              </w:rPr>
              <w:t>分）</w:t>
            </w:r>
          </w:p>
          <w:p>
            <w:pPr>
              <w:spacing w:line="240" w:lineRule="exact"/>
              <w:rPr>
                <w:szCs w:val="21"/>
              </w:rPr>
            </w:pPr>
            <w:r>
              <w:rPr>
                <w:rFonts w:hint="eastAsia"/>
                <w:szCs w:val="21"/>
              </w:rPr>
              <w:t>⑤是否存在截留、挤占、挪用、虚列支出等情况。（</w:t>
            </w:r>
            <w:r>
              <w:rPr>
                <w:szCs w:val="21"/>
              </w:rPr>
              <w:t>0.2</w:t>
            </w:r>
            <w:r>
              <w:rPr>
                <w:rFonts w:hint="eastAsia"/>
                <w:szCs w:val="21"/>
              </w:rPr>
              <w:t>分）</w:t>
            </w:r>
          </w:p>
        </w:tc>
        <w:tc>
          <w:tcPr>
            <w:tcW w:w="469" w:type="pct"/>
            <w:tcBorders>
              <w:top w:val="nil"/>
              <w:left w:val="nil"/>
              <w:bottom w:val="single" w:color="auto" w:sz="4" w:space="0"/>
              <w:right w:val="single" w:color="auto" w:sz="4" w:space="0"/>
            </w:tcBorders>
            <w:noWrap/>
            <w:vAlign w:val="center"/>
          </w:tcPr>
          <w:p>
            <w:pPr>
              <w:widowControl/>
              <w:spacing w:line="290" w:lineRule="exact"/>
              <w:jc w:val="left"/>
              <w:rPr>
                <w:rFonts w:eastAsia="宋体"/>
                <w:kern w:val="0"/>
                <w:sz w:val="21"/>
                <w:szCs w:val="21"/>
                <w:lang w:val="en-US" w:eastAsia="zh-CN" w:bidi="ar-SA"/>
              </w:rPr>
            </w:pPr>
            <w:r>
              <w:rPr>
                <w:rFonts w:hint="eastAsia" w:eastAsia="宋体"/>
                <w:kern w:val="0"/>
                <w:sz w:val="21"/>
                <w:szCs w:val="21"/>
              </w:rPr>
              <w:t>　1</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644"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预决算信息公开性（</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部门（单位）是否按照政府信息公开有关规定公开相关预决算信息，用以反映和考核部门（单位）预决算管理的公开透明情况。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①是否按规定内容公开预决算信息；（</w:t>
            </w:r>
            <w:r>
              <w:rPr>
                <w:szCs w:val="21"/>
              </w:rPr>
              <w:t>0.5</w:t>
            </w:r>
            <w:r>
              <w:rPr>
                <w:rFonts w:hint="eastAsia"/>
                <w:szCs w:val="21"/>
              </w:rPr>
              <w:t>分）</w:t>
            </w:r>
          </w:p>
          <w:p>
            <w:pPr>
              <w:spacing w:line="240" w:lineRule="exact"/>
              <w:rPr>
                <w:szCs w:val="21"/>
              </w:rPr>
            </w:pPr>
            <w:r>
              <w:rPr>
                <w:rFonts w:hint="eastAsia"/>
                <w:szCs w:val="21"/>
              </w:rPr>
              <w:t>②是否按规定时限公开预决算信息。（</w:t>
            </w:r>
            <w:r>
              <w:rPr>
                <w:szCs w:val="21"/>
              </w:rPr>
              <w:t>0.5</w:t>
            </w:r>
            <w:r>
              <w:rPr>
                <w:rFonts w:hint="eastAsia"/>
                <w:szCs w:val="21"/>
              </w:rPr>
              <w:t>分）</w:t>
            </w:r>
          </w:p>
          <w:p>
            <w:pPr>
              <w:spacing w:line="240" w:lineRule="exact"/>
              <w:rPr>
                <w:szCs w:val="21"/>
              </w:rPr>
            </w:pPr>
            <w:r>
              <w:rPr>
                <w:rFonts w:hint="eastAsia"/>
                <w:szCs w:val="21"/>
              </w:rPr>
              <w:t>预决算信息是指与部门预算、执行、决算、监督、绩效等管理相关的信息。</w:t>
            </w:r>
          </w:p>
        </w:tc>
        <w:tc>
          <w:tcPr>
            <w:tcW w:w="469" w:type="pct"/>
            <w:tcBorders>
              <w:top w:val="nil"/>
              <w:left w:val="nil"/>
              <w:bottom w:val="single" w:color="auto" w:sz="4" w:space="0"/>
              <w:right w:val="single" w:color="auto" w:sz="4" w:space="0"/>
            </w:tcBorders>
            <w:noWrap/>
            <w:vAlign w:val="center"/>
          </w:tcPr>
          <w:p>
            <w:pPr>
              <w:widowControl/>
              <w:spacing w:line="350" w:lineRule="exact"/>
              <w:jc w:val="left"/>
              <w:rPr>
                <w:rFonts w:eastAsia="宋体"/>
                <w:kern w:val="0"/>
                <w:sz w:val="21"/>
                <w:szCs w:val="21"/>
                <w:lang w:val="en-US" w:eastAsia="zh-CN" w:bidi="ar-SA"/>
              </w:rPr>
            </w:pPr>
            <w:r>
              <w:rPr>
                <w:rFonts w:hint="eastAsia" w:eastAsia="宋体"/>
                <w:kern w:val="0"/>
                <w:sz w:val="21"/>
                <w:szCs w:val="21"/>
              </w:rPr>
              <w:t>　1</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453"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基础信息完善性（</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部门（单位）基础信息是否完善，用以反映和考核基础信息对预算管理工作的支撑情况。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①基础数据信息和会计信息资料是否真实；（</w:t>
            </w:r>
            <w:r>
              <w:rPr>
                <w:szCs w:val="21"/>
              </w:rPr>
              <w:t>0.4</w:t>
            </w:r>
            <w:r>
              <w:rPr>
                <w:rFonts w:hint="eastAsia"/>
                <w:szCs w:val="21"/>
              </w:rPr>
              <w:t>分）</w:t>
            </w:r>
          </w:p>
          <w:p>
            <w:pPr>
              <w:spacing w:line="240" w:lineRule="exact"/>
              <w:rPr>
                <w:szCs w:val="21"/>
              </w:rPr>
            </w:pPr>
            <w:r>
              <w:rPr>
                <w:rFonts w:hint="eastAsia"/>
                <w:szCs w:val="21"/>
              </w:rPr>
              <w:t>②基础数据信息和会计信息资料是否完整；（</w:t>
            </w:r>
            <w:r>
              <w:rPr>
                <w:szCs w:val="21"/>
              </w:rPr>
              <w:t>0.3</w:t>
            </w:r>
            <w:r>
              <w:rPr>
                <w:rFonts w:hint="eastAsia"/>
                <w:szCs w:val="21"/>
              </w:rPr>
              <w:t>分）</w:t>
            </w:r>
          </w:p>
          <w:p>
            <w:pPr>
              <w:spacing w:line="240" w:lineRule="exact"/>
              <w:rPr>
                <w:szCs w:val="21"/>
              </w:rPr>
            </w:pPr>
            <w:r>
              <w:rPr>
                <w:rFonts w:hint="eastAsia"/>
                <w:szCs w:val="21"/>
              </w:rPr>
              <w:t>③基础数据信息和会计信息资料是否准确。（</w:t>
            </w:r>
            <w:r>
              <w:rPr>
                <w:szCs w:val="21"/>
              </w:rPr>
              <w:t>0.3</w:t>
            </w:r>
            <w:r>
              <w:rPr>
                <w:rFonts w:hint="eastAsia"/>
                <w:szCs w:val="21"/>
              </w:rPr>
              <w:t>分）</w:t>
            </w:r>
          </w:p>
        </w:tc>
        <w:tc>
          <w:tcPr>
            <w:tcW w:w="469" w:type="pct"/>
            <w:tcBorders>
              <w:top w:val="nil"/>
              <w:left w:val="nil"/>
              <w:bottom w:val="single" w:color="auto" w:sz="4" w:space="0"/>
              <w:right w:val="single" w:color="auto" w:sz="4" w:space="0"/>
            </w:tcBorders>
            <w:noWrap/>
            <w:vAlign w:val="center"/>
          </w:tcPr>
          <w:p>
            <w:pPr>
              <w:widowControl/>
              <w:spacing w:line="350" w:lineRule="exact"/>
              <w:jc w:val="left"/>
              <w:rPr>
                <w:rFonts w:eastAsia="宋体"/>
                <w:kern w:val="0"/>
                <w:sz w:val="21"/>
                <w:szCs w:val="21"/>
                <w:lang w:val="en-US" w:eastAsia="zh-CN" w:bidi="ar-SA"/>
              </w:rPr>
            </w:pPr>
            <w:r>
              <w:rPr>
                <w:rFonts w:hint="eastAsia" w:eastAsia="宋体"/>
                <w:kern w:val="0"/>
                <w:sz w:val="21"/>
                <w:szCs w:val="21"/>
              </w:rPr>
              <w:t>　1</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012"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资产管理（</w:t>
            </w:r>
            <w:r>
              <w:rPr>
                <w:szCs w:val="21"/>
              </w:rPr>
              <w:t>5</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管理制度健全性（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部门（单位）为加强资产管理、规范资产管理行为而制定的管理制度是否健全完整，用以反映和考核部门（单位）资产管理制度对完成主要职责或促进社会发展的保障情况。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①是否已制定或具有资产管理制度；（</w:t>
            </w:r>
            <w:r>
              <w:rPr>
                <w:szCs w:val="21"/>
              </w:rPr>
              <w:t>1</w:t>
            </w:r>
            <w:r>
              <w:rPr>
                <w:rFonts w:hint="eastAsia"/>
                <w:szCs w:val="21"/>
              </w:rPr>
              <w:t>分）</w:t>
            </w:r>
          </w:p>
          <w:p>
            <w:pPr>
              <w:spacing w:line="240" w:lineRule="exact"/>
              <w:rPr>
                <w:szCs w:val="21"/>
              </w:rPr>
            </w:pPr>
            <w:r>
              <w:rPr>
                <w:rFonts w:hint="eastAsia"/>
                <w:szCs w:val="21"/>
              </w:rPr>
              <w:t>②相关资金管理制度是否合法、合规、完整；（</w:t>
            </w:r>
            <w:r>
              <w:rPr>
                <w:szCs w:val="21"/>
              </w:rPr>
              <w:t>0.5</w:t>
            </w:r>
            <w:r>
              <w:rPr>
                <w:rFonts w:hint="eastAsia"/>
                <w:szCs w:val="21"/>
              </w:rPr>
              <w:t>分）</w:t>
            </w:r>
          </w:p>
          <w:p>
            <w:pPr>
              <w:spacing w:line="240" w:lineRule="exact"/>
              <w:rPr>
                <w:szCs w:val="21"/>
              </w:rPr>
            </w:pPr>
            <w:r>
              <w:rPr>
                <w:rFonts w:hint="eastAsia"/>
                <w:szCs w:val="21"/>
              </w:rPr>
              <w:t>③相关资产管理制度是否得到有效执行。（</w:t>
            </w:r>
            <w:r>
              <w:rPr>
                <w:szCs w:val="21"/>
              </w:rPr>
              <w:t>0.5</w:t>
            </w:r>
            <w:r>
              <w:rPr>
                <w:rFonts w:hint="eastAsia"/>
                <w:szCs w:val="21"/>
              </w:rPr>
              <w:t>分）</w:t>
            </w:r>
          </w:p>
        </w:tc>
        <w:tc>
          <w:tcPr>
            <w:tcW w:w="469" w:type="pct"/>
            <w:tcBorders>
              <w:top w:val="nil"/>
              <w:left w:val="nil"/>
              <w:bottom w:val="single" w:color="auto" w:sz="4" w:space="0"/>
              <w:right w:val="single" w:color="auto" w:sz="4" w:space="0"/>
            </w:tcBorders>
            <w:noWrap/>
            <w:vAlign w:val="center"/>
          </w:tcPr>
          <w:p>
            <w:pPr>
              <w:widowControl/>
              <w:spacing w:line="35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660"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资产管理安全性（</w:t>
            </w:r>
            <w:r>
              <w:rPr>
                <w:szCs w:val="21"/>
              </w:rPr>
              <w:t>2</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部门（单位）的资产是否保存完整、使用合规、配置合理、处置规范、收入及时足额上缴，用以反映和考核部门（单位）资产安全运行情况。</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①资产保存是否完整；（</w:t>
            </w:r>
            <w:r>
              <w:rPr>
                <w:szCs w:val="21"/>
              </w:rPr>
              <w:t>0.4</w:t>
            </w:r>
            <w:r>
              <w:rPr>
                <w:rFonts w:hint="eastAsia"/>
                <w:szCs w:val="21"/>
              </w:rPr>
              <w:t>分）</w:t>
            </w:r>
          </w:p>
          <w:p>
            <w:pPr>
              <w:spacing w:line="240" w:lineRule="exact"/>
              <w:rPr>
                <w:szCs w:val="21"/>
              </w:rPr>
            </w:pPr>
            <w:r>
              <w:rPr>
                <w:rFonts w:hint="eastAsia"/>
                <w:szCs w:val="21"/>
              </w:rPr>
              <w:t>②资产配置是否合理；（</w:t>
            </w:r>
            <w:r>
              <w:rPr>
                <w:szCs w:val="21"/>
              </w:rPr>
              <w:t>0.4</w:t>
            </w:r>
            <w:r>
              <w:rPr>
                <w:rFonts w:hint="eastAsia"/>
                <w:szCs w:val="21"/>
              </w:rPr>
              <w:t>分）</w:t>
            </w:r>
          </w:p>
          <w:p>
            <w:pPr>
              <w:spacing w:line="240" w:lineRule="exact"/>
              <w:rPr>
                <w:szCs w:val="21"/>
              </w:rPr>
            </w:pPr>
            <w:r>
              <w:rPr>
                <w:rFonts w:hint="eastAsia"/>
                <w:szCs w:val="21"/>
              </w:rPr>
              <w:t>③资产处置是否规范；（</w:t>
            </w:r>
            <w:r>
              <w:rPr>
                <w:szCs w:val="21"/>
              </w:rPr>
              <w:t>0.4</w:t>
            </w:r>
            <w:r>
              <w:rPr>
                <w:rFonts w:hint="eastAsia"/>
                <w:szCs w:val="21"/>
              </w:rPr>
              <w:t>分）</w:t>
            </w:r>
          </w:p>
          <w:p>
            <w:pPr>
              <w:spacing w:line="240" w:lineRule="exact"/>
              <w:rPr>
                <w:szCs w:val="21"/>
              </w:rPr>
            </w:pPr>
            <w:r>
              <w:rPr>
                <w:rFonts w:hint="eastAsia"/>
                <w:szCs w:val="21"/>
              </w:rPr>
              <w:t>④资产账务管理是否合规，是否帐实相符；（</w:t>
            </w:r>
            <w:r>
              <w:rPr>
                <w:szCs w:val="21"/>
              </w:rPr>
              <w:t>0.4</w:t>
            </w:r>
            <w:r>
              <w:rPr>
                <w:rFonts w:hint="eastAsia"/>
                <w:szCs w:val="21"/>
              </w:rPr>
              <w:t>分）</w:t>
            </w:r>
          </w:p>
          <w:p>
            <w:pPr>
              <w:spacing w:line="240" w:lineRule="exact"/>
              <w:rPr>
                <w:szCs w:val="21"/>
              </w:rPr>
            </w:pPr>
            <w:r>
              <w:rPr>
                <w:rFonts w:hint="eastAsia"/>
                <w:szCs w:val="21"/>
              </w:rPr>
              <w:t>⑤资产是否有偿使用及处置收入及时足额上缴。（</w:t>
            </w:r>
            <w:r>
              <w:rPr>
                <w:szCs w:val="21"/>
              </w:rPr>
              <w:t>0.4</w:t>
            </w:r>
            <w:r>
              <w:rPr>
                <w:rFonts w:hint="eastAsia"/>
                <w:szCs w:val="21"/>
              </w:rPr>
              <w:t>分）</w:t>
            </w:r>
          </w:p>
        </w:tc>
        <w:tc>
          <w:tcPr>
            <w:tcW w:w="469" w:type="pct"/>
            <w:tcBorders>
              <w:top w:val="nil"/>
              <w:left w:val="nil"/>
              <w:bottom w:val="single" w:color="auto" w:sz="4" w:space="0"/>
              <w:right w:val="single" w:color="auto" w:sz="4" w:space="0"/>
            </w:tcBorders>
            <w:noWrap/>
            <w:vAlign w:val="center"/>
          </w:tcPr>
          <w:p>
            <w:pPr>
              <w:widowControl/>
              <w:spacing w:line="350" w:lineRule="exact"/>
              <w:jc w:val="left"/>
              <w:rPr>
                <w:rFonts w:eastAsia="宋体"/>
                <w:kern w:val="0"/>
                <w:sz w:val="21"/>
                <w:szCs w:val="21"/>
                <w:lang w:val="en-US" w:eastAsia="zh-CN" w:bidi="ar-SA"/>
              </w:rPr>
            </w:pPr>
            <w:r>
              <w:rPr>
                <w:rFonts w:hint="eastAsia" w:eastAsia="宋体"/>
                <w:kern w:val="0"/>
                <w:sz w:val="21"/>
                <w:szCs w:val="21"/>
              </w:rPr>
              <w:t>　2</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26" w:hRule="atLeast"/>
          <w:jc w:val="center"/>
        </w:trPr>
        <w:tc>
          <w:tcPr>
            <w:tcW w:w="353"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固定资产利用率（</w:t>
            </w:r>
            <w:r>
              <w:rPr>
                <w:szCs w:val="21"/>
              </w:rPr>
              <w:t>1</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部门（单位）实际在用固定资产总额与所有固定资产总额的比率，用以反映和考核部门（单位）固定资产使用效率程度。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固定资产利用率</w:t>
            </w:r>
            <w:r>
              <w:rPr>
                <w:szCs w:val="21"/>
              </w:rPr>
              <w:t>=</w:t>
            </w:r>
            <w:r>
              <w:rPr>
                <w:rFonts w:hint="eastAsia"/>
                <w:szCs w:val="21"/>
              </w:rPr>
              <w:t>（实际在用固定资产总额</w:t>
            </w:r>
            <w:r>
              <w:rPr>
                <w:szCs w:val="21"/>
              </w:rPr>
              <w:t>/</w:t>
            </w:r>
            <w:r>
              <w:rPr>
                <w:rFonts w:hint="eastAsia"/>
                <w:szCs w:val="21"/>
              </w:rPr>
              <w:t>所有固定资产总额）×</w:t>
            </w:r>
            <w:r>
              <w:rPr>
                <w:szCs w:val="21"/>
              </w:rPr>
              <w:t>100%</w:t>
            </w:r>
            <w:r>
              <w:rPr>
                <w:rFonts w:hint="eastAsia"/>
                <w:szCs w:val="21"/>
              </w:rPr>
              <w:t>。（利用率为</w:t>
            </w:r>
            <w:r>
              <w:rPr>
                <w:szCs w:val="21"/>
              </w:rPr>
              <w:t>100%</w:t>
            </w:r>
            <w:r>
              <w:rPr>
                <w:rFonts w:hint="eastAsia"/>
                <w:szCs w:val="21"/>
              </w:rPr>
              <w:t>的计</w:t>
            </w:r>
            <w:r>
              <w:rPr>
                <w:szCs w:val="21"/>
              </w:rPr>
              <w:t>1</w:t>
            </w:r>
            <w:r>
              <w:rPr>
                <w:rFonts w:hint="eastAsia"/>
                <w:szCs w:val="21"/>
              </w:rPr>
              <w:t>分，每降</w:t>
            </w:r>
            <w:r>
              <w:rPr>
                <w:szCs w:val="21"/>
              </w:rPr>
              <w:t>1</w:t>
            </w:r>
            <w:r>
              <w:rPr>
                <w:rFonts w:hint="eastAsia"/>
                <w:szCs w:val="21"/>
              </w:rPr>
              <w:t>个百分点扣</w:t>
            </w:r>
            <w:r>
              <w:rPr>
                <w:szCs w:val="21"/>
              </w:rPr>
              <w:t>0.1</w:t>
            </w:r>
            <w:r>
              <w:rPr>
                <w:rFonts w:hint="eastAsia"/>
                <w:szCs w:val="21"/>
              </w:rPr>
              <w:t>分，扣完为止）</w:t>
            </w:r>
          </w:p>
        </w:tc>
        <w:tc>
          <w:tcPr>
            <w:tcW w:w="469" w:type="pct"/>
            <w:tcBorders>
              <w:top w:val="nil"/>
              <w:left w:val="nil"/>
              <w:bottom w:val="single" w:color="auto" w:sz="4" w:space="0"/>
              <w:right w:val="single" w:color="auto" w:sz="4" w:space="0"/>
            </w:tcBorders>
            <w:noWrap/>
            <w:vAlign w:val="center"/>
          </w:tcPr>
          <w:p>
            <w:pPr>
              <w:widowControl/>
              <w:spacing w:line="350" w:lineRule="exact"/>
              <w:jc w:val="left"/>
              <w:rPr>
                <w:rFonts w:eastAsia="宋体"/>
                <w:kern w:val="0"/>
                <w:sz w:val="21"/>
                <w:szCs w:val="21"/>
                <w:lang w:val="en-US" w:eastAsia="zh-CN" w:bidi="ar-SA"/>
              </w:rPr>
            </w:pPr>
            <w:r>
              <w:rPr>
                <w:rFonts w:hint="eastAsia" w:eastAsia="宋体"/>
                <w:kern w:val="0"/>
                <w:sz w:val="21"/>
                <w:szCs w:val="21"/>
              </w:rPr>
              <w:t>　1</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621" w:hRule="atLeast"/>
          <w:jc w:val="center"/>
        </w:trPr>
        <w:tc>
          <w:tcPr>
            <w:tcW w:w="353" w:type="pct"/>
            <w:vMerge w:val="restart"/>
            <w:tcBorders>
              <w:top w:val="nil"/>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产</w:t>
            </w:r>
            <w:r>
              <w:rPr>
                <w:szCs w:val="21"/>
              </w:rPr>
              <w:t xml:space="preserve"> </w:t>
            </w:r>
            <w:r>
              <w:rPr>
                <w:rFonts w:hint="eastAsia"/>
                <w:szCs w:val="21"/>
              </w:rPr>
              <w:t>出（</w:t>
            </w:r>
            <w:r>
              <w:rPr>
                <w:szCs w:val="21"/>
              </w:rPr>
              <w:t>30</w:t>
            </w:r>
            <w:r>
              <w:rPr>
                <w:rFonts w:hint="eastAsia"/>
                <w:szCs w:val="21"/>
              </w:rPr>
              <w:t>分）</w:t>
            </w:r>
          </w:p>
        </w:tc>
        <w:tc>
          <w:tcPr>
            <w:tcW w:w="323"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职责履行（</w:t>
            </w:r>
            <w:r>
              <w:rPr>
                <w:szCs w:val="21"/>
              </w:rPr>
              <w:t>30</w:t>
            </w:r>
            <w:r>
              <w:rPr>
                <w:rFonts w:hint="eastAsia"/>
                <w:szCs w:val="21"/>
              </w:rPr>
              <w:t>分）</w:t>
            </w: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实际完成率（</w:t>
            </w:r>
            <w:r>
              <w:rPr>
                <w:szCs w:val="21"/>
              </w:rPr>
              <w:t>8</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部门（单位）履行职责而实际完成工作数与计划工作数的比率，用以反映和考核部门（单位）履职工作任务目标的实现程度。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实际完成率</w:t>
            </w:r>
            <w:r>
              <w:rPr>
                <w:szCs w:val="21"/>
              </w:rPr>
              <w:t>=</w:t>
            </w:r>
            <w:r>
              <w:rPr>
                <w:rFonts w:hint="eastAsia"/>
                <w:szCs w:val="21"/>
              </w:rPr>
              <w:t>（实际完成工作数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实际工作完成率</w:t>
            </w:r>
            <w:r>
              <w:rPr>
                <w:szCs w:val="21"/>
              </w:rPr>
              <w:t>*8</w:t>
            </w:r>
            <w:r>
              <w:rPr>
                <w:rFonts w:hint="eastAsia"/>
                <w:szCs w:val="21"/>
              </w:rPr>
              <w:t>分）</w:t>
            </w:r>
          </w:p>
          <w:p>
            <w:pPr>
              <w:spacing w:line="240" w:lineRule="exact"/>
              <w:rPr>
                <w:szCs w:val="21"/>
              </w:rPr>
            </w:pPr>
            <w:r>
              <w:rPr>
                <w:rFonts w:hint="eastAsia"/>
                <w:szCs w:val="21"/>
              </w:rPr>
              <w:t>实际完成工作数：一定时期（年度或规划期）内部门（单位）实际完成工作任务的数量。</w:t>
            </w:r>
          </w:p>
          <w:p>
            <w:pPr>
              <w:spacing w:line="240" w:lineRule="exact"/>
              <w:rPr>
                <w:szCs w:val="21"/>
              </w:rPr>
            </w:pPr>
            <w:r>
              <w:rPr>
                <w:rFonts w:hint="eastAsia"/>
                <w:szCs w:val="21"/>
              </w:rPr>
              <w:t>计划工作数：部门（单位）整体绩效目标确定的一定时期（年度或规划期）内预计完成工作任务的数量。</w:t>
            </w:r>
          </w:p>
        </w:tc>
        <w:tc>
          <w:tcPr>
            <w:tcW w:w="469" w:type="pct"/>
            <w:tcBorders>
              <w:top w:val="nil"/>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8</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59" w:hRule="atLeast"/>
          <w:jc w:val="center"/>
        </w:trPr>
        <w:tc>
          <w:tcPr>
            <w:tcW w:w="353"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完成及时率（</w:t>
            </w:r>
            <w:r>
              <w:rPr>
                <w:szCs w:val="21"/>
              </w:rPr>
              <w:t>4</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部门（单位）在规定时限内及时完成的实际工作数与计划工作数的比率</w:t>
            </w:r>
            <w:r>
              <w:rPr>
                <w:szCs w:val="21"/>
              </w:rPr>
              <w:t>,</w:t>
            </w:r>
            <w:r>
              <w:rPr>
                <w:rFonts w:hint="eastAsia"/>
                <w:szCs w:val="21"/>
              </w:rPr>
              <w:t>用以反映和考核部门履职时效目标的实现程度。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完成及时率</w:t>
            </w:r>
            <w:r>
              <w:rPr>
                <w:szCs w:val="21"/>
              </w:rPr>
              <w:t>=</w:t>
            </w:r>
            <w:r>
              <w:rPr>
                <w:rFonts w:hint="eastAsia"/>
                <w:szCs w:val="21"/>
              </w:rPr>
              <w:t>（及时完成实际工作数</w:t>
            </w:r>
            <w:r>
              <w:rPr>
                <w:szCs w:val="21"/>
              </w:rPr>
              <w:t>/</w:t>
            </w:r>
            <w:r>
              <w:rPr>
                <w:rFonts w:hint="eastAsia"/>
                <w:szCs w:val="21"/>
              </w:rPr>
              <w:t>计划工作数）×</w:t>
            </w:r>
            <w:r>
              <w:rPr>
                <w:szCs w:val="21"/>
              </w:rPr>
              <w:t>100%</w:t>
            </w:r>
            <w:r>
              <w:rPr>
                <w:rFonts w:hint="eastAsia"/>
                <w:szCs w:val="21"/>
              </w:rPr>
              <w:t>。（</w:t>
            </w:r>
            <w:r>
              <w:rPr>
                <w:szCs w:val="21"/>
              </w:rPr>
              <w:t>1--4</w:t>
            </w:r>
            <w:r>
              <w:rPr>
                <w:rFonts w:hint="eastAsia"/>
                <w:szCs w:val="21"/>
              </w:rPr>
              <w:t>季度各得</w:t>
            </w:r>
            <w:r>
              <w:rPr>
                <w:szCs w:val="21"/>
              </w:rPr>
              <w:t>1</w:t>
            </w:r>
            <w:r>
              <w:rPr>
                <w:rFonts w:hint="eastAsia"/>
                <w:szCs w:val="21"/>
              </w:rPr>
              <w:t>分）</w:t>
            </w:r>
          </w:p>
          <w:p>
            <w:pPr>
              <w:spacing w:line="240" w:lineRule="exact"/>
              <w:rPr>
                <w:szCs w:val="21"/>
              </w:rPr>
            </w:pPr>
            <w:r>
              <w:rPr>
                <w:rFonts w:hint="eastAsia"/>
                <w:szCs w:val="21"/>
              </w:rPr>
              <w:t>及时完成实际工作数：部门（单位）按照整体绩效目标确定的时限实际完成的工作任务数量。</w:t>
            </w:r>
          </w:p>
        </w:tc>
        <w:tc>
          <w:tcPr>
            <w:tcW w:w="469" w:type="pct"/>
            <w:tcBorders>
              <w:top w:val="nil"/>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4</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778" w:hRule="atLeast"/>
          <w:jc w:val="center"/>
        </w:trPr>
        <w:tc>
          <w:tcPr>
            <w:tcW w:w="353"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质量达标率（</w:t>
            </w:r>
            <w:r>
              <w:rPr>
                <w:szCs w:val="21"/>
              </w:rPr>
              <w:t>8</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达到质量标准（绩效标准值）的实际工作数与计划工作数的比率</w:t>
            </w:r>
            <w:r>
              <w:rPr>
                <w:szCs w:val="21"/>
              </w:rPr>
              <w:t>,</w:t>
            </w:r>
            <w:r>
              <w:rPr>
                <w:rFonts w:hint="eastAsia"/>
                <w:szCs w:val="21"/>
              </w:rPr>
              <w:t>用以反映和考核部门履职质量目标的实现程度。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质量达标率</w:t>
            </w:r>
            <w:r>
              <w:rPr>
                <w:szCs w:val="21"/>
              </w:rPr>
              <w:t>=</w:t>
            </w:r>
            <w:r>
              <w:rPr>
                <w:rFonts w:hint="eastAsia"/>
                <w:szCs w:val="21"/>
              </w:rPr>
              <w:t>（质量达标实际工作数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达标率</w:t>
            </w:r>
            <w:r>
              <w:rPr>
                <w:szCs w:val="21"/>
              </w:rPr>
              <w:t>*8</w:t>
            </w:r>
            <w:r>
              <w:rPr>
                <w:rFonts w:hint="eastAsia"/>
                <w:szCs w:val="21"/>
              </w:rPr>
              <w:t>分）</w:t>
            </w:r>
          </w:p>
          <w:p>
            <w:pPr>
              <w:spacing w:line="240" w:lineRule="exact"/>
              <w:rPr>
                <w:szCs w:val="21"/>
              </w:rPr>
            </w:pPr>
            <w:r>
              <w:rPr>
                <w:rFonts w:hint="eastAsia"/>
                <w:szCs w:val="21"/>
              </w:rPr>
              <w:t>质量达标实际工作数：一定时期（年度或规划期）内部门（单位）实际完成工作数中达到部门绩效目标要求（绩效标准值）的工作任务数量。</w:t>
            </w:r>
          </w:p>
        </w:tc>
        <w:tc>
          <w:tcPr>
            <w:tcW w:w="469" w:type="pct"/>
            <w:tcBorders>
              <w:top w:val="nil"/>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8</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464" w:hRule="atLeast"/>
          <w:jc w:val="center"/>
        </w:trPr>
        <w:tc>
          <w:tcPr>
            <w:tcW w:w="353"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3"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nil"/>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重点工作办结率（</w:t>
            </w:r>
            <w:r>
              <w:rPr>
                <w:szCs w:val="21"/>
              </w:rPr>
              <w:t>10</w:t>
            </w:r>
            <w:r>
              <w:rPr>
                <w:rFonts w:hint="eastAsia"/>
                <w:szCs w:val="21"/>
              </w:rPr>
              <w:t>分）</w:t>
            </w:r>
          </w:p>
        </w:tc>
        <w:tc>
          <w:tcPr>
            <w:tcW w:w="1229"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部门（单位）年度重点工作实际完成数与交办或下达数的比率，用以反映部门（单位）对重点工作的办理落实程度。</w:t>
            </w:r>
          </w:p>
        </w:tc>
        <w:tc>
          <w:tcPr>
            <w:tcW w:w="1608" w:type="pct"/>
            <w:tcBorders>
              <w:top w:val="nil"/>
              <w:left w:val="nil"/>
              <w:bottom w:val="single" w:color="auto" w:sz="4" w:space="0"/>
              <w:right w:val="single" w:color="auto" w:sz="4" w:space="0"/>
            </w:tcBorders>
            <w:noWrap w:val="0"/>
            <w:vAlign w:val="center"/>
          </w:tcPr>
          <w:p>
            <w:pPr>
              <w:spacing w:line="240" w:lineRule="exact"/>
              <w:rPr>
                <w:szCs w:val="21"/>
              </w:rPr>
            </w:pPr>
            <w:r>
              <w:rPr>
                <w:rFonts w:hint="eastAsia"/>
                <w:szCs w:val="21"/>
              </w:rPr>
              <w:t>重点工作办结率</w:t>
            </w:r>
            <w:r>
              <w:rPr>
                <w:szCs w:val="21"/>
              </w:rPr>
              <w:t>=</w:t>
            </w:r>
            <w:r>
              <w:rPr>
                <w:rFonts w:hint="eastAsia"/>
                <w:szCs w:val="21"/>
              </w:rPr>
              <w:t>（重点工作实际完成数</w:t>
            </w:r>
            <w:r>
              <w:rPr>
                <w:szCs w:val="21"/>
              </w:rPr>
              <w:t>/</w:t>
            </w:r>
            <w:r>
              <w:rPr>
                <w:rFonts w:hint="eastAsia"/>
                <w:szCs w:val="21"/>
              </w:rPr>
              <w:t>交办或下达数）×</w:t>
            </w:r>
            <w:r>
              <w:rPr>
                <w:szCs w:val="21"/>
              </w:rPr>
              <w:t>100%</w:t>
            </w:r>
            <w:r>
              <w:rPr>
                <w:rFonts w:hint="eastAsia"/>
                <w:szCs w:val="21"/>
              </w:rPr>
              <w:t>。（实际得分</w:t>
            </w:r>
            <w:r>
              <w:rPr>
                <w:szCs w:val="21"/>
              </w:rPr>
              <w:t>=</w:t>
            </w:r>
            <w:r>
              <w:rPr>
                <w:rFonts w:hint="eastAsia"/>
                <w:szCs w:val="21"/>
              </w:rPr>
              <w:t>办结率</w:t>
            </w:r>
            <w:r>
              <w:rPr>
                <w:szCs w:val="21"/>
              </w:rPr>
              <w:t>*10</w:t>
            </w:r>
            <w:r>
              <w:rPr>
                <w:rFonts w:hint="eastAsia"/>
                <w:szCs w:val="21"/>
              </w:rPr>
              <w:t>分）</w:t>
            </w:r>
          </w:p>
          <w:p>
            <w:pPr>
              <w:spacing w:line="240" w:lineRule="exact"/>
              <w:rPr>
                <w:szCs w:val="21"/>
              </w:rPr>
            </w:pPr>
            <w:r>
              <w:rPr>
                <w:rFonts w:hint="eastAsia"/>
                <w:szCs w:val="21"/>
              </w:rPr>
              <w:t>重点工作是指党委、政府、人大、相关部门交办或下达的工作任务。</w:t>
            </w:r>
          </w:p>
        </w:tc>
        <w:tc>
          <w:tcPr>
            <w:tcW w:w="469" w:type="pct"/>
            <w:tcBorders>
              <w:top w:val="nil"/>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10</w:t>
            </w:r>
          </w:p>
        </w:tc>
        <w:tc>
          <w:tcPr>
            <w:tcW w:w="442" w:type="pct"/>
            <w:tcBorders>
              <w:top w:val="nil"/>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776" w:hRule="atLeast"/>
          <w:jc w:val="center"/>
        </w:trPr>
        <w:tc>
          <w:tcPr>
            <w:tcW w:w="353" w:type="pct"/>
            <w:vMerge w:val="restart"/>
            <w:tcBorders>
              <w:top w:val="single" w:color="auto" w:sz="4" w:space="0"/>
              <w:left w:val="single" w:color="auto" w:sz="12" w:space="0"/>
              <w:bottom w:val="single" w:color="auto" w:sz="4" w:space="0"/>
              <w:right w:val="single" w:color="auto" w:sz="4" w:space="0"/>
            </w:tcBorders>
            <w:noWrap/>
            <w:textDirection w:val="tbRlV"/>
            <w:vAlign w:val="center"/>
          </w:tcPr>
          <w:p>
            <w:pPr>
              <w:spacing w:line="240" w:lineRule="exact"/>
              <w:jc w:val="center"/>
              <w:rPr>
                <w:szCs w:val="21"/>
              </w:rPr>
            </w:pPr>
            <w:r>
              <w:rPr>
                <w:rFonts w:hint="eastAsia"/>
                <w:szCs w:val="21"/>
              </w:rPr>
              <w:t>效</w:t>
            </w:r>
            <w:r>
              <w:rPr>
                <w:szCs w:val="21"/>
              </w:rPr>
              <w:t xml:space="preserve"> </w:t>
            </w:r>
            <w:r>
              <w:rPr>
                <w:rFonts w:hint="eastAsia"/>
                <w:szCs w:val="21"/>
              </w:rPr>
              <w:t>果（</w:t>
            </w:r>
            <w:r>
              <w:rPr>
                <w:szCs w:val="21"/>
              </w:rPr>
              <w:t>20</w:t>
            </w:r>
            <w:r>
              <w:rPr>
                <w:rFonts w:hint="eastAsia"/>
                <w:szCs w:val="21"/>
              </w:rPr>
              <w:t>分）</w:t>
            </w:r>
          </w:p>
        </w:tc>
        <w:tc>
          <w:tcPr>
            <w:tcW w:w="323"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r>
              <w:rPr>
                <w:rFonts w:hint="eastAsia"/>
                <w:szCs w:val="21"/>
              </w:rPr>
              <w:t>履职效益（</w:t>
            </w:r>
            <w:r>
              <w:rPr>
                <w:szCs w:val="21"/>
              </w:rPr>
              <w:t>20</w:t>
            </w:r>
            <w:r>
              <w:rPr>
                <w:rFonts w:hint="eastAsia"/>
                <w:szCs w:val="21"/>
              </w:rPr>
              <w:t>分）</w:t>
            </w: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经济效益（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部门（单位）履行职责对经济发展所带来的直接或间接影响。</w:t>
            </w:r>
          </w:p>
        </w:tc>
        <w:tc>
          <w:tcPr>
            <w:tcW w:w="1608"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r>
              <w:rPr>
                <w:rFonts w:hint="eastAsia"/>
                <w:szCs w:val="21"/>
              </w:rPr>
              <w:t>此三项指标为部门整体支出绩效评价指标的共性要素，各单位按照部门整体支出绩效目标实现程度为依据。（按经济效益实现程度</w:t>
            </w:r>
            <w:r>
              <w:rPr>
                <w:szCs w:val="21"/>
              </w:rPr>
              <w:t>*5</w:t>
            </w:r>
            <w:r>
              <w:rPr>
                <w:rFonts w:hint="eastAsia"/>
                <w:szCs w:val="21"/>
              </w:rPr>
              <w:t>、社会效益实现程度</w:t>
            </w:r>
            <w:r>
              <w:rPr>
                <w:szCs w:val="21"/>
              </w:rPr>
              <w:t>*5</w:t>
            </w:r>
            <w:r>
              <w:rPr>
                <w:rFonts w:hint="eastAsia"/>
                <w:szCs w:val="21"/>
              </w:rPr>
              <w:t>、生态效益实现程度</w:t>
            </w:r>
            <w:r>
              <w:rPr>
                <w:szCs w:val="21"/>
              </w:rPr>
              <w:t>*5</w:t>
            </w:r>
            <w:r>
              <w:rPr>
                <w:rFonts w:hint="eastAsia"/>
                <w:szCs w:val="21"/>
              </w:rPr>
              <w:t>计算实际得分）</w:t>
            </w:r>
          </w:p>
        </w:tc>
        <w:tc>
          <w:tcPr>
            <w:tcW w:w="469" w:type="pct"/>
            <w:tcBorders>
              <w:top w:val="single" w:color="auto" w:sz="4" w:space="0"/>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5</w:t>
            </w:r>
          </w:p>
        </w:tc>
        <w:tc>
          <w:tcPr>
            <w:tcW w:w="442"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876" w:hRule="atLeast"/>
          <w:jc w:val="center"/>
        </w:trPr>
        <w:tc>
          <w:tcPr>
            <w:tcW w:w="353"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3"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部门（单位）履行职责对社会发展所带来的直接或间接影响。</w:t>
            </w:r>
          </w:p>
        </w:tc>
        <w:tc>
          <w:tcPr>
            <w:tcW w:w="1608"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469" w:type="pct"/>
            <w:tcBorders>
              <w:top w:val="single" w:color="auto" w:sz="4" w:space="0"/>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5</w:t>
            </w:r>
          </w:p>
        </w:tc>
        <w:tc>
          <w:tcPr>
            <w:tcW w:w="442"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777" w:hRule="atLeast"/>
          <w:jc w:val="center"/>
        </w:trPr>
        <w:tc>
          <w:tcPr>
            <w:tcW w:w="353"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3"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生态效益（</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部门（单位）履行职责对生态环境所带来的直接或间接影响。</w:t>
            </w:r>
          </w:p>
        </w:tc>
        <w:tc>
          <w:tcPr>
            <w:tcW w:w="1608"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szCs w:val="21"/>
              </w:rPr>
            </w:pPr>
          </w:p>
        </w:tc>
        <w:tc>
          <w:tcPr>
            <w:tcW w:w="469" w:type="pct"/>
            <w:tcBorders>
              <w:top w:val="single" w:color="auto" w:sz="4" w:space="0"/>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5</w:t>
            </w:r>
          </w:p>
        </w:tc>
        <w:tc>
          <w:tcPr>
            <w:tcW w:w="442"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1323" w:hRule="atLeast"/>
          <w:jc w:val="center"/>
        </w:trPr>
        <w:tc>
          <w:tcPr>
            <w:tcW w:w="353"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szCs w:val="21"/>
              </w:rPr>
            </w:pPr>
          </w:p>
        </w:tc>
        <w:tc>
          <w:tcPr>
            <w:tcW w:w="323"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szCs w:val="21"/>
              </w:rPr>
            </w:pPr>
          </w:p>
        </w:tc>
        <w:tc>
          <w:tcPr>
            <w:tcW w:w="572" w:type="pct"/>
            <w:tcBorders>
              <w:top w:val="single" w:color="auto" w:sz="4" w:space="0"/>
              <w:left w:val="nil"/>
              <w:bottom w:val="single" w:color="auto" w:sz="4" w:space="0"/>
              <w:right w:val="single" w:color="auto" w:sz="4" w:space="0"/>
            </w:tcBorders>
            <w:noWrap w:val="0"/>
            <w:vAlign w:val="center"/>
          </w:tcPr>
          <w:p>
            <w:pPr>
              <w:spacing w:line="240" w:lineRule="exact"/>
              <w:jc w:val="center"/>
              <w:rPr>
                <w:szCs w:val="21"/>
              </w:rPr>
            </w:pPr>
            <w:r>
              <w:rPr>
                <w:rFonts w:hint="eastAsia"/>
                <w:szCs w:val="21"/>
              </w:rPr>
              <w:t>社会公众或服务对象满意度（</w:t>
            </w:r>
            <w:r>
              <w:rPr>
                <w:szCs w:val="21"/>
              </w:rPr>
              <w:t>5</w:t>
            </w:r>
            <w:r>
              <w:rPr>
                <w:rFonts w:hint="eastAsia"/>
                <w:szCs w:val="21"/>
              </w:rPr>
              <w:t>分）</w:t>
            </w:r>
          </w:p>
        </w:tc>
        <w:tc>
          <w:tcPr>
            <w:tcW w:w="1229"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社会公众或部门（单位）的服务对象对部门履职效果的满意程度。</w:t>
            </w:r>
          </w:p>
        </w:tc>
        <w:tc>
          <w:tcPr>
            <w:tcW w:w="1608" w:type="pct"/>
            <w:tcBorders>
              <w:top w:val="single" w:color="auto" w:sz="4" w:space="0"/>
              <w:left w:val="nil"/>
              <w:bottom w:val="single" w:color="auto" w:sz="4" w:space="0"/>
              <w:right w:val="single" w:color="auto" w:sz="4" w:space="0"/>
            </w:tcBorders>
            <w:noWrap w:val="0"/>
            <w:vAlign w:val="center"/>
          </w:tcPr>
          <w:p>
            <w:pPr>
              <w:spacing w:line="240" w:lineRule="exact"/>
              <w:rPr>
                <w:szCs w:val="21"/>
              </w:rPr>
            </w:pPr>
            <w:r>
              <w:rPr>
                <w:rFonts w:hint="eastAsia"/>
                <w:szCs w:val="21"/>
              </w:rPr>
              <w:t>社会公众或服务对象是指部门（单位）履行职责而影响到的部门、群体或个人。一般采取社会调查的方式。（按收到的服务对象的满意率计算得分）</w:t>
            </w:r>
          </w:p>
        </w:tc>
        <w:tc>
          <w:tcPr>
            <w:tcW w:w="469" w:type="pct"/>
            <w:tcBorders>
              <w:top w:val="single" w:color="auto" w:sz="4" w:space="0"/>
              <w:left w:val="nil"/>
              <w:bottom w:val="single" w:color="auto" w:sz="4" w:space="0"/>
              <w:right w:val="single" w:color="auto" w:sz="4" w:space="0"/>
            </w:tcBorders>
            <w:noWrap/>
            <w:vAlign w:val="center"/>
          </w:tcPr>
          <w:p>
            <w:pPr>
              <w:widowControl/>
              <w:spacing w:line="250" w:lineRule="exact"/>
              <w:jc w:val="left"/>
              <w:rPr>
                <w:rFonts w:eastAsia="宋体"/>
                <w:kern w:val="0"/>
                <w:sz w:val="21"/>
                <w:szCs w:val="21"/>
                <w:lang w:val="en-US" w:eastAsia="zh-CN" w:bidi="ar-SA"/>
              </w:rPr>
            </w:pPr>
            <w:r>
              <w:rPr>
                <w:rFonts w:hint="eastAsia" w:eastAsia="宋体"/>
                <w:kern w:val="0"/>
                <w:sz w:val="21"/>
                <w:szCs w:val="21"/>
              </w:rPr>
              <w:t>　5</w:t>
            </w:r>
          </w:p>
        </w:tc>
        <w:tc>
          <w:tcPr>
            <w:tcW w:w="442" w:type="pct"/>
            <w:tcBorders>
              <w:top w:val="single" w:color="auto" w:sz="4" w:space="0"/>
              <w:left w:val="nil"/>
              <w:bottom w:val="single" w:color="auto" w:sz="4" w:space="0"/>
              <w:right w:val="single" w:color="auto" w:sz="12" w:space="0"/>
            </w:tcBorders>
            <w:noWrap/>
            <w:vAlign w:val="center"/>
          </w:tcPr>
          <w:p>
            <w:pPr>
              <w:spacing w:line="240" w:lineRule="exact"/>
              <w:jc w:val="center"/>
              <w:rPr>
                <w:szCs w:val="21"/>
              </w:rPr>
            </w:pPr>
          </w:p>
        </w:tc>
      </w:tr>
      <w:tr>
        <w:tblPrEx>
          <w:tblCellMar>
            <w:top w:w="0" w:type="dxa"/>
            <w:left w:w="28" w:type="dxa"/>
            <w:bottom w:w="0" w:type="dxa"/>
            <w:right w:w="28" w:type="dxa"/>
          </w:tblCellMar>
        </w:tblPrEx>
        <w:trPr>
          <w:trHeight w:val="584" w:hRule="atLeast"/>
          <w:jc w:val="center"/>
        </w:trPr>
        <w:tc>
          <w:tcPr>
            <w:tcW w:w="4088" w:type="pct"/>
            <w:gridSpan w:val="5"/>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szCs w:val="21"/>
              </w:rPr>
            </w:pPr>
            <w:r>
              <w:rPr>
                <w:rFonts w:hint="eastAsia"/>
                <w:szCs w:val="21"/>
              </w:rPr>
              <w:t>合</w:t>
            </w:r>
            <w:r>
              <w:rPr>
                <w:szCs w:val="21"/>
              </w:rPr>
              <w:t xml:space="preserve">      </w:t>
            </w:r>
            <w:r>
              <w:rPr>
                <w:rFonts w:hint="eastAsia"/>
                <w:szCs w:val="21"/>
              </w:rPr>
              <w:t>计</w:t>
            </w:r>
          </w:p>
        </w:tc>
        <w:tc>
          <w:tcPr>
            <w:tcW w:w="469" w:type="pct"/>
            <w:tcBorders>
              <w:top w:val="single" w:color="auto" w:sz="4" w:space="0"/>
              <w:left w:val="nil"/>
              <w:bottom w:val="single" w:color="auto" w:sz="12" w:space="0"/>
              <w:right w:val="single" w:color="auto" w:sz="4" w:space="0"/>
            </w:tcBorders>
            <w:noWrap/>
            <w:vAlign w:val="center"/>
          </w:tcPr>
          <w:p>
            <w:pPr>
              <w:spacing w:line="240" w:lineRule="exact"/>
              <w:jc w:val="center"/>
              <w:rPr>
                <w:rFonts w:hint="default" w:eastAsia="宋体"/>
                <w:szCs w:val="21"/>
                <w:lang w:val="en-US" w:eastAsia="zh-CN"/>
              </w:rPr>
            </w:pPr>
            <w:r>
              <w:rPr>
                <w:rFonts w:hint="eastAsia"/>
                <w:szCs w:val="21"/>
                <w:lang w:val="en-US" w:eastAsia="zh-CN"/>
              </w:rPr>
              <w:t>95.6</w:t>
            </w:r>
          </w:p>
        </w:tc>
        <w:tc>
          <w:tcPr>
            <w:tcW w:w="442" w:type="pct"/>
            <w:tcBorders>
              <w:top w:val="single" w:color="auto" w:sz="4" w:space="0"/>
              <w:left w:val="nil"/>
              <w:bottom w:val="single" w:color="auto" w:sz="12" w:space="0"/>
              <w:right w:val="single" w:color="auto" w:sz="12" w:space="0"/>
            </w:tcBorders>
            <w:noWrap/>
            <w:vAlign w:val="center"/>
          </w:tcPr>
          <w:p>
            <w:pPr>
              <w:spacing w:line="240" w:lineRule="exact"/>
              <w:jc w:val="center"/>
              <w:rPr>
                <w:szCs w:val="21"/>
              </w:rPr>
            </w:pPr>
          </w:p>
        </w:tc>
      </w:tr>
    </w:tbl>
    <w:p>
      <w:pPr>
        <w:pStyle w:val="7"/>
        <w:rPr>
          <w:rFonts w:ascii="宋体"/>
        </w:rPr>
      </w:pPr>
    </w:p>
    <w:p>
      <w:pPr>
        <w:spacing w:line="620" w:lineRule="exact"/>
        <w:jc w:val="left"/>
        <w:rPr>
          <w:rFonts w:eastAsia="方正黑体简体"/>
          <w:color w:val="000000"/>
          <w:kern w:val="0"/>
          <w:sz w:val="32"/>
          <w:szCs w:val="32"/>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color w:val="000000"/>
          <w:kern w:val="0"/>
          <w:sz w:val="32"/>
          <w:szCs w:val="32"/>
        </w:rPr>
      </w:pPr>
      <w:r>
        <w:rPr>
          <w:rFonts w:hint="eastAsia" w:eastAsia="方正黑体简体"/>
          <w:color w:val="000000"/>
          <w:kern w:val="0"/>
          <w:sz w:val="32"/>
          <w:szCs w:val="32"/>
        </w:rPr>
        <w:t>附件</w:t>
      </w:r>
      <w:r>
        <w:rPr>
          <w:rFonts w:eastAsia="方正黑体简体"/>
          <w:color w:val="000000"/>
          <w:kern w:val="0"/>
          <w:sz w:val="32"/>
          <w:szCs w:val="32"/>
        </w:rPr>
        <w:t>3-2</w:t>
      </w:r>
    </w:p>
    <w:p>
      <w:pPr>
        <w:spacing w:line="620" w:lineRule="exact"/>
        <w:jc w:val="center"/>
        <w:rPr>
          <w:rFonts w:eastAsia="方正小标宋简体"/>
          <w:color w:val="000000"/>
          <w:w w:val="90"/>
          <w:kern w:val="0"/>
          <w:sz w:val="44"/>
          <w:szCs w:val="44"/>
        </w:rPr>
      </w:pPr>
      <w:r>
        <w:rPr>
          <w:rFonts w:eastAsia="方正小标宋简体"/>
          <w:color w:val="000000"/>
          <w:w w:val="90"/>
          <w:kern w:val="0"/>
          <w:sz w:val="44"/>
          <w:szCs w:val="44"/>
        </w:rPr>
        <w:t>202</w:t>
      </w:r>
      <w:r>
        <w:rPr>
          <w:rFonts w:hint="eastAsia" w:eastAsia="方正小标宋简体"/>
          <w:color w:val="000000"/>
          <w:w w:val="90"/>
          <w:kern w:val="0"/>
          <w:sz w:val="44"/>
          <w:szCs w:val="44"/>
          <w:lang w:val="en-US" w:eastAsia="zh-CN"/>
        </w:rPr>
        <w:t>3</w:t>
      </w:r>
      <w:r>
        <w:rPr>
          <w:rFonts w:hint="eastAsia" w:eastAsia="方正小标宋简体"/>
          <w:color w:val="000000"/>
          <w:w w:val="90"/>
          <w:kern w:val="0"/>
          <w:sz w:val="44"/>
          <w:szCs w:val="44"/>
        </w:rPr>
        <w:t>年度乐至县部门整体支出绩效目标完成情况表</w:t>
      </w:r>
    </w:p>
    <w:p>
      <w:pPr>
        <w:pStyle w:val="7"/>
        <w:rPr>
          <w:rFonts w:ascii="宋体"/>
        </w:rPr>
      </w:pP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247"/>
        <w:gridCol w:w="1892"/>
        <w:gridCol w:w="1703"/>
        <w:gridCol w:w="1984"/>
        <w:gridCol w:w="1720"/>
        <w:gridCol w:w="725"/>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8" w:hRule="atLeast"/>
          <w:jc w:val="center"/>
        </w:trPr>
        <w:tc>
          <w:tcPr>
            <w:tcW w:w="0" w:type="auto"/>
            <w:tcBorders>
              <w:top w:val="single" w:color="auto" w:sz="12" w:space="0"/>
            </w:tcBorders>
            <w:noWrap/>
            <w:vAlign w:val="center"/>
          </w:tcPr>
          <w:p>
            <w:pPr>
              <w:widowControl/>
              <w:spacing w:line="290" w:lineRule="exact"/>
              <w:jc w:val="center"/>
              <w:rPr>
                <w:color w:val="000000"/>
                <w:kern w:val="0"/>
                <w:szCs w:val="21"/>
              </w:rPr>
            </w:pPr>
            <w:r>
              <w:rPr>
                <w:rFonts w:hint="eastAsia"/>
                <w:color w:val="000000"/>
                <w:kern w:val="0"/>
                <w:szCs w:val="21"/>
              </w:rPr>
              <w:t>部门（单位）名称</w:t>
            </w:r>
          </w:p>
        </w:tc>
        <w:tc>
          <w:tcPr>
            <w:tcW w:w="0" w:type="auto"/>
            <w:gridSpan w:val="4"/>
            <w:tcBorders>
              <w:top w:val="single" w:color="auto" w:sz="12" w:space="0"/>
            </w:tcBorders>
            <w:noWrap/>
            <w:vAlign w:val="center"/>
          </w:tcPr>
          <w:p>
            <w:pPr>
              <w:widowControl/>
              <w:spacing w:line="290" w:lineRule="exact"/>
              <w:jc w:val="center"/>
              <w:rPr>
                <w:color w:val="000000"/>
                <w:kern w:val="0"/>
                <w:szCs w:val="21"/>
              </w:rPr>
            </w:pPr>
            <w:r>
              <w:rPr>
                <w:rFonts w:hint="eastAsia"/>
                <w:color w:val="000000"/>
                <w:kern w:val="0"/>
                <w:szCs w:val="21"/>
                <w:lang w:val="en-US" w:eastAsia="zh-CN"/>
              </w:rPr>
              <w:t>乐至县财政局</w:t>
            </w:r>
            <w:r>
              <w:rPr>
                <w:rFonts w:hint="eastAsia"/>
                <w:color w:val="000000"/>
                <w:kern w:val="0"/>
                <w:szCs w:val="21"/>
              </w:rPr>
              <w:t>　</w:t>
            </w:r>
          </w:p>
        </w:tc>
        <w:tc>
          <w:tcPr>
            <w:tcW w:w="0" w:type="auto"/>
            <w:tcBorders>
              <w:top w:val="single" w:color="auto" w:sz="12" w:space="0"/>
            </w:tcBorders>
            <w:noWrap/>
            <w:vAlign w:val="center"/>
          </w:tcPr>
          <w:p>
            <w:pPr>
              <w:widowControl/>
              <w:spacing w:line="290" w:lineRule="exact"/>
              <w:jc w:val="center"/>
              <w:rPr>
                <w:color w:val="000000"/>
                <w:kern w:val="0"/>
                <w:szCs w:val="21"/>
              </w:rPr>
            </w:pPr>
            <w:r>
              <w:rPr>
                <w:rFonts w:hint="eastAsia"/>
                <w:color w:val="000000"/>
                <w:kern w:val="0"/>
                <w:szCs w:val="21"/>
              </w:rPr>
              <w:t>预算单位编码</w:t>
            </w:r>
          </w:p>
        </w:tc>
        <w:tc>
          <w:tcPr>
            <w:tcW w:w="0" w:type="auto"/>
            <w:tcBorders>
              <w:top w:val="single" w:color="auto" w:sz="12" w:space="0"/>
            </w:tcBorders>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127001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atLeast"/>
          <w:jc w:val="center"/>
        </w:trPr>
        <w:tc>
          <w:tcPr>
            <w:tcW w:w="0" w:type="auto"/>
            <w:vMerge w:val="restart"/>
            <w:noWrap/>
            <w:vAlign w:val="center"/>
          </w:tcPr>
          <w:p>
            <w:pPr>
              <w:widowControl/>
              <w:spacing w:line="29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1"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1094.05</w:t>
            </w:r>
          </w:p>
        </w:tc>
        <w:tc>
          <w:tcPr>
            <w:tcW w:w="1645" w:type="dxa"/>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1094.05</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kern w:val="0"/>
                <w:szCs w:val="21"/>
              </w:rPr>
            </w:pPr>
            <w:r>
              <w:rPr>
                <w:rFonts w:hint="eastAsia"/>
                <w:color w:val="000000"/>
                <w:kern w:val="0"/>
                <w:szCs w:val="21"/>
              </w:rPr>
              <w:t>基本支出</w:t>
            </w:r>
          </w:p>
        </w:tc>
        <w:tc>
          <w:tcPr>
            <w:tcW w:w="0" w:type="auto"/>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738.3</w:t>
            </w:r>
          </w:p>
        </w:tc>
        <w:tc>
          <w:tcPr>
            <w:tcW w:w="1645" w:type="dxa"/>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738.3</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kern w:val="0"/>
                <w:szCs w:val="21"/>
              </w:rPr>
            </w:pPr>
            <w:r>
              <w:rPr>
                <w:rFonts w:hint="eastAsia"/>
                <w:color w:val="000000"/>
                <w:kern w:val="0"/>
                <w:szCs w:val="21"/>
              </w:rPr>
              <w:t>政策和项目支出</w:t>
            </w:r>
          </w:p>
        </w:tc>
        <w:tc>
          <w:tcPr>
            <w:tcW w:w="0" w:type="auto"/>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355.75</w:t>
            </w:r>
          </w:p>
        </w:tc>
        <w:tc>
          <w:tcPr>
            <w:tcW w:w="1645" w:type="dxa"/>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355.75</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4" w:hRule="atLeast"/>
          <w:jc w:val="center"/>
        </w:trPr>
        <w:tc>
          <w:tcPr>
            <w:tcW w:w="0" w:type="auto"/>
            <w:vMerge w:val="restart"/>
            <w:noWrap/>
            <w:vAlign w:val="center"/>
          </w:tcPr>
          <w:p>
            <w:pPr>
              <w:widowControl/>
              <w:spacing w:line="290" w:lineRule="exact"/>
              <w:jc w:val="center"/>
              <w:rPr>
                <w:color w:val="000000"/>
                <w:kern w:val="0"/>
                <w:szCs w:val="21"/>
              </w:rPr>
            </w:pPr>
            <w:r>
              <w:rPr>
                <w:rFonts w:hint="eastAsia"/>
                <w:color w:val="000000"/>
                <w:kern w:val="0"/>
                <w:szCs w:val="21"/>
              </w:rPr>
              <w:t>预算</w:t>
            </w:r>
          </w:p>
          <w:p>
            <w:pPr>
              <w:widowControl/>
              <w:spacing w:line="290" w:lineRule="exact"/>
              <w:jc w:val="center"/>
              <w:rPr>
                <w:color w:val="000000"/>
                <w:kern w:val="0"/>
                <w:szCs w:val="21"/>
              </w:rPr>
            </w:pPr>
            <w:r>
              <w:rPr>
                <w:rFonts w:hint="eastAsia"/>
                <w:color w:val="000000"/>
                <w:kern w:val="0"/>
                <w:szCs w:val="21"/>
              </w:rPr>
              <w:t>结构</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9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1094.05</w:t>
            </w:r>
          </w:p>
        </w:tc>
        <w:tc>
          <w:tcPr>
            <w:tcW w:w="0" w:type="auto"/>
            <w:noWrap/>
            <w:vAlign w:val="center"/>
          </w:tcPr>
          <w:p>
            <w:pPr>
              <w:widowControl/>
              <w:spacing w:line="29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1094.05</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1094.05</w:t>
            </w:r>
          </w:p>
        </w:tc>
        <w:tc>
          <w:tcPr>
            <w:tcW w:w="0" w:type="auto"/>
            <w:noWrap/>
            <w:vAlign w:val="center"/>
          </w:tcPr>
          <w:p>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1094.05</w:t>
            </w:r>
          </w:p>
        </w:tc>
        <w:tc>
          <w:tcPr>
            <w:tcW w:w="0" w:type="auto"/>
            <w:noWrap/>
            <w:vAlign w:val="center"/>
          </w:tcPr>
          <w:p>
            <w:pPr>
              <w:widowControl/>
              <w:spacing w:line="290" w:lineRule="exact"/>
              <w:jc w:val="left"/>
              <w:rPr>
                <w:color w:val="000000"/>
                <w:kern w:val="0"/>
                <w:szCs w:val="21"/>
              </w:rPr>
            </w:pPr>
            <w:r>
              <w:rPr>
                <w:rFonts w:hint="eastAsia"/>
                <w:color w:val="000000"/>
                <w:kern w:val="0"/>
                <w:szCs w:val="21"/>
                <w:lang w:val="en-US" w:eastAsia="zh-CN"/>
              </w:rPr>
              <w:t>0</w:t>
            </w:r>
            <w:r>
              <w:rPr>
                <w:rFonts w:hint="eastAsia"/>
                <w:color w:val="000000"/>
                <w:kern w:val="0"/>
                <w:szCs w:val="21"/>
              </w:rPr>
              <w:t>　</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color w:val="000000"/>
                <w:kern w:val="0"/>
                <w:szCs w:val="21"/>
              </w:rPr>
            </w:pPr>
            <w:r>
              <w:rPr>
                <w:rFonts w:hint="eastAsia"/>
                <w:color w:val="000000"/>
                <w:kern w:val="0"/>
                <w:szCs w:val="21"/>
                <w:lang w:val="en-US" w:eastAsia="zh-CN"/>
              </w:rPr>
              <w:t>0</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spacing w:val="-20"/>
                <w:kern w:val="0"/>
                <w:szCs w:val="21"/>
              </w:rPr>
            </w:pPr>
            <w:r>
              <w:rPr>
                <w:rFonts w:hint="eastAsia"/>
                <w:color w:val="000000"/>
                <w:spacing w:val="-20"/>
                <w:kern w:val="0"/>
                <w:szCs w:val="21"/>
              </w:rPr>
              <w:t>当年结转结余额</w:t>
            </w:r>
            <w:r>
              <w:rPr>
                <w:color w:val="000000"/>
                <w:spacing w:val="-20"/>
                <w:kern w:val="0"/>
                <w:szCs w:val="21"/>
              </w:rPr>
              <w:t>(</w:t>
            </w:r>
            <w:r>
              <w:rPr>
                <w:rFonts w:hint="eastAsia"/>
                <w:color w:val="000000"/>
                <w:spacing w:val="-20"/>
                <w:kern w:val="0"/>
                <w:szCs w:val="21"/>
                <w:lang w:val="en-US" w:eastAsia="zh-CN"/>
              </w:rPr>
              <w:t>万</w:t>
            </w:r>
            <w:r>
              <w:rPr>
                <w:rFonts w:hint="eastAsia"/>
                <w:color w:val="000000"/>
                <w:spacing w:val="-20"/>
                <w:kern w:val="0"/>
                <w:szCs w:val="21"/>
              </w:rPr>
              <w:t>元</w:t>
            </w:r>
            <w:r>
              <w:rPr>
                <w:color w:val="000000"/>
                <w:spacing w:val="-20"/>
                <w:kern w:val="0"/>
                <w:szCs w:val="21"/>
              </w:rPr>
              <w:t>)</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000000"/>
                <w:kern w:val="0"/>
                <w:szCs w:val="21"/>
              </w:rPr>
            </w:pPr>
          </w:p>
        </w:tc>
        <w:tc>
          <w:tcPr>
            <w:tcW w:w="0" w:type="auto"/>
            <w:noWrap/>
            <w:vAlign w:val="center"/>
          </w:tcPr>
          <w:p>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atLeast"/>
          <w:jc w:val="center"/>
        </w:trPr>
        <w:tc>
          <w:tcPr>
            <w:tcW w:w="0" w:type="auto"/>
            <w:vMerge w:val="restart"/>
            <w:noWrap/>
            <w:vAlign w:val="center"/>
          </w:tcPr>
          <w:p>
            <w:pPr>
              <w:widowControl/>
              <w:spacing w:line="40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预算总体目标与预算总体目标</w:t>
            </w:r>
          </w:p>
          <w:p>
            <w:pPr>
              <w:widowControl/>
              <w:spacing w:line="400" w:lineRule="exact"/>
              <w:jc w:val="center"/>
              <w:rPr>
                <w:color w:val="000000"/>
                <w:kern w:val="0"/>
                <w:szCs w:val="21"/>
              </w:rPr>
            </w:pPr>
            <w:r>
              <w:rPr>
                <w:rFonts w:hint="eastAsia"/>
                <w:color w:val="000000"/>
                <w:kern w:val="0"/>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400" w:lineRule="exact"/>
              <w:jc w:val="left"/>
              <w:rPr>
                <w:color w:val="000000"/>
                <w:kern w:val="0"/>
                <w:szCs w:val="21"/>
              </w:rPr>
            </w:pPr>
          </w:p>
        </w:tc>
        <w:tc>
          <w:tcPr>
            <w:tcW w:w="0" w:type="auto"/>
            <w:gridSpan w:val="2"/>
            <w:noWrap/>
            <w:vAlign w:val="center"/>
          </w:tcPr>
          <w:p>
            <w:pPr>
              <w:widowControl/>
              <w:spacing w:line="400" w:lineRule="exact"/>
              <w:jc w:val="left"/>
              <w:rPr>
                <w:color w:val="000000"/>
                <w:kern w:val="0"/>
                <w:szCs w:val="21"/>
              </w:rPr>
            </w:pPr>
            <w:r>
              <w:rPr>
                <w:rFonts w:hint="eastAsia" w:eastAsia="宋体"/>
                <w:kern w:val="0"/>
                <w:sz w:val="21"/>
                <w:szCs w:val="21"/>
              </w:rPr>
              <w:t>负责管理县级各项财政收支，指导监督乡镇财政收支。编制年度县级预决算草案并组织执行。组织制定经费开支标准、定额，审核批复县级部门（单位）年度预决算。受县政府委托，向县人大及其常委会报告财政预算、执行和决算等情况。负责县级预决算公开，指导监督乡镇财政预、决算编制、执行。负责全面实施预算绩效管理。</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税收收入完成3.25亿元，同比增长22.7%；非税收入完成3.57亿元，同比增长9%。一般公共预算支出完成38.06亿元，同比增长5.4%</w:t>
            </w:r>
            <w:r>
              <w:rPr>
                <w:rFonts w:hint="eastAsia"/>
                <w:color w:val="000000"/>
                <w:kern w:val="0"/>
                <w:szCs w:val="21"/>
                <w:lang w:eastAsia="zh-CN"/>
              </w:rPr>
              <w:t>。</w:t>
            </w:r>
            <w:r>
              <w:rPr>
                <w:rFonts w:hint="eastAsia"/>
                <w:color w:val="000000"/>
                <w:kern w:val="0"/>
                <w:szCs w:val="21"/>
              </w:rPr>
              <w:t>积极争取债券资金，已通过财政部、发改委债券项目22个，总投资176.38亿元，专项债券资金年度总需求45.21亿元；已争取到位新增债券资金额度11.09亿元，居全市第一（不含市本级），其中：专项债券资金10.61亿元，一般债券资金0.48亿元，完成市下目标任务100.81%　</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400" w:lineRule="exact"/>
              <w:jc w:val="left"/>
              <w:rPr>
                <w:color w:val="000000"/>
                <w:kern w:val="0"/>
                <w:szCs w:val="21"/>
              </w:rPr>
            </w:pPr>
          </w:p>
        </w:tc>
        <w:tc>
          <w:tcPr>
            <w:tcW w:w="0" w:type="auto"/>
            <w:gridSpan w:val="2"/>
            <w:noWrap/>
            <w:vAlign w:val="center"/>
          </w:tcPr>
          <w:p>
            <w:pPr>
              <w:widowControl/>
              <w:spacing w:line="400" w:lineRule="exact"/>
              <w:jc w:val="left"/>
              <w:rPr>
                <w:color w:val="000000"/>
                <w:kern w:val="0"/>
                <w:szCs w:val="21"/>
              </w:rPr>
            </w:pPr>
            <w:r>
              <w:rPr>
                <w:rFonts w:hint="eastAsia" w:eastAsia="宋体"/>
                <w:kern w:val="0"/>
                <w:sz w:val="21"/>
                <w:szCs w:val="21"/>
              </w:rPr>
              <w:t>组织制定全县国库管理制度、国库集中收付制度，指导和监督国库业务，开展国库现金管理工作。贯彻执行政府财务报告编制办法。贯彻执行政府采购制度和政策，制定具体管理办法并监督管理</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坚持预算安排优先、预算下达优先、资金拨付优先原则，全力保障各项重点和民生工程支出，确保基本工资及离退休费、津贴补贴、绩效工资等刚性支出及时足额到位。实现“三保”支出21.97亿元，其中：保工资13.01亿元、保运转0.71亿元、保基本民生8.25亿元。　</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0" w:type="auto"/>
            <w:vMerge w:val="continue"/>
            <w:noWrap w:val="0"/>
            <w:vAlign w:val="center"/>
          </w:tcPr>
          <w:p>
            <w:pPr>
              <w:widowControl/>
              <w:spacing w:line="400" w:lineRule="exact"/>
              <w:jc w:val="left"/>
              <w:rPr>
                <w:color w:val="000000"/>
                <w:kern w:val="0"/>
                <w:szCs w:val="21"/>
              </w:rPr>
            </w:pPr>
          </w:p>
        </w:tc>
        <w:tc>
          <w:tcPr>
            <w:tcW w:w="0" w:type="auto"/>
            <w:gridSpan w:val="2"/>
            <w:noWrap/>
            <w:vAlign w:val="center"/>
          </w:tcPr>
          <w:p>
            <w:pPr>
              <w:widowControl/>
              <w:spacing w:line="400" w:lineRule="exact"/>
              <w:jc w:val="left"/>
              <w:rPr>
                <w:color w:val="000000"/>
                <w:kern w:val="0"/>
                <w:szCs w:val="21"/>
              </w:rPr>
            </w:pPr>
            <w:r>
              <w:rPr>
                <w:rFonts w:hint="eastAsia"/>
                <w:color w:val="000000"/>
                <w:kern w:val="0"/>
                <w:szCs w:val="21"/>
              </w:rPr>
              <w:t>负责办理和监督县级财政的经济发展支出、政府性投资项目的财政拨款，负责投资评审管理工作，参与拟订县级基建投资有关政策，贯彻执行基建财务管理制度。</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加大政府采购政策对中小企业的支持力度，确保全年政府采购授予中小企业合同占比达80%以上，截至目前全县专门面向中小企业政府采购预算金额1.25亿元，占91.85%；通过“放宽门槛+简化流程+融资优惠+财政奖补+贷款贴息”等系列“组合拳”，开辟中小企业政府采购信用融资“绿色通道”，截至目前累计完成政府采购信用融资3264.04万元；督促各预算单位按上级要求全面完成“832平台”预留份额采购，促进脱贫地区农副产品销售，今年我县在“832平台”预留份额366.95万元，超计划21.8万元。</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0" w:type="auto"/>
            <w:vMerge w:val="continue"/>
            <w:noWrap w:val="0"/>
            <w:vAlign w:val="center"/>
          </w:tcPr>
          <w:p>
            <w:pPr>
              <w:widowControl/>
              <w:spacing w:line="400" w:lineRule="exact"/>
              <w:jc w:val="left"/>
              <w:rPr>
                <w:color w:val="000000"/>
                <w:kern w:val="0"/>
                <w:szCs w:val="21"/>
              </w:rPr>
            </w:pPr>
          </w:p>
        </w:tc>
        <w:tc>
          <w:tcPr>
            <w:tcW w:w="0" w:type="auto"/>
            <w:gridSpan w:val="2"/>
            <w:noWrap/>
            <w:vAlign w:val="center"/>
          </w:tcPr>
          <w:p>
            <w:pPr>
              <w:widowControl/>
              <w:spacing w:line="400" w:lineRule="exact"/>
              <w:jc w:val="left"/>
              <w:rPr>
                <w:color w:val="000000"/>
                <w:kern w:val="0"/>
                <w:szCs w:val="21"/>
              </w:rPr>
            </w:pP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40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400" w:lineRule="exact"/>
              <w:jc w:val="left"/>
              <w:rPr>
                <w:color w:val="000000"/>
                <w:kern w:val="0"/>
                <w:szCs w:val="21"/>
              </w:rPr>
            </w:pPr>
          </w:p>
        </w:tc>
        <w:tc>
          <w:tcPr>
            <w:tcW w:w="0" w:type="auto"/>
            <w:gridSpan w:val="2"/>
            <w:noWrap/>
            <w:vAlign w:val="center"/>
          </w:tcPr>
          <w:p>
            <w:pPr>
              <w:widowControl/>
              <w:spacing w:line="400" w:lineRule="exact"/>
              <w:jc w:val="left"/>
              <w:rPr>
                <w:color w:val="000000"/>
                <w:kern w:val="0"/>
                <w:szCs w:val="21"/>
              </w:rPr>
            </w:pPr>
          </w:p>
        </w:tc>
        <w:tc>
          <w:tcPr>
            <w:tcW w:w="0" w:type="auto"/>
            <w:gridSpan w:val="2"/>
            <w:noWrap/>
            <w:vAlign w:val="center"/>
          </w:tcPr>
          <w:p>
            <w:pPr>
              <w:widowControl/>
              <w:spacing w:line="400" w:lineRule="exact"/>
              <w:rPr>
                <w:color w:val="000000"/>
                <w:kern w:val="0"/>
                <w:szCs w:val="21"/>
              </w:rPr>
            </w:pPr>
          </w:p>
        </w:tc>
        <w:tc>
          <w:tcPr>
            <w:tcW w:w="0" w:type="auto"/>
            <w:gridSpan w:val="2"/>
            <w:noWrap/>
            <w:vAlign w:val="center"/>
          </w:tcPr>
          <w:p>
            <w:pPr>
              <w:widowControl/>
              <w:spacing w:line="400" w:lineRule="exact"/>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0" w:type="auto"/>
            <w:vMerge w:val="restart"/>
            <w:noWrap/>
            <w:vAlign w:val="center"/>
          </w:tcPr>
          <w:p>
            <w:pPr>
              <w:widowControl/>
              <w:spacing w:line="230" w:lineRule="exact"/>
              <w:jc w:val="center"/>
              <w:rPr>
                <w:color w:val="000000"/>
                <w:kern w:val="0"/>
                <w:szCs w:val="21"/>
              </w:rPr>
            </w:pPr>
            <w:r>
              <w:rPr>
                <w:rFonts w:hint="eastAsia"/>
                <w:color w:val="000000"/>
                <w:kern w:val="0"/>
                <w:szCs w:val="21"/>
              </w:rPr>
              <w:t>年度绩效指标</w:t>
            </w:r>
          </w:p>
        </w:tc>
        <w:tc>
          <w:tcPr>
            <w:tcW w:w="0" w:type="auto"/>
            <w:noWrap/>
            <w:vAlign w:val="center"/>
          </w:tcPr>
          <w:p>
            <w:pPr>
              <w:widowControl/>
              <w:spacing w:line="230" w:lineRule="exact"/>
              <w:jc w:val="center"/>
              <w:rPr>
                <w:color w:val="000000"/>
                <w:kern w:val="0"/>
                <w:szCs w:val="21"/>
              </w:rPr>
            </w:pPr>
            <w:r>
              <w:rPr>
                <w:rFonts w:hint="eastAsia"/>
                <w:color w:val="000000"/>
                <w:kern w:val="0"/>
                <w:szCs w:val="21"/>
              </w:rPr>
              <w:t>一级指标</w:t>
            </w:r>
          </w:p>
        </w:tc>
        <w:tc>
          <w:tcPr>
            <w:tcW w:w="0" w:type="auto"/>
            <w:noWrap/>
            <w:vAlign w:val="center"/>
          </w:tcPr>
          <w:p>
            <w:pPr>
              <w:widowControl/>
              <w:spacing w:line="23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30" w:lineRule="exact"/>
              <w:jc w:val="center"/>
              <w:rPr>
                <w:color w:val="000000"/>
                <w:kern w:val="0"/>
                <w:szCs w:val="21"/>
              </w:rPr>
            </w:pPr>
            <w:r>
              <w:rPr>
                <w:rFonts w:hint="eastAsia"/>
                <w:color w:val="000000"/>
                <w:kern w:val="0"/>
                <w:szCs w:val="21"/>
              </w:rPr>
              <w:t>三级指标</w:t>
            </w:r>
          </w:p>
        </w:tc>
        <w:tc>
          <w:tcPr>
            <w:tcW w:w="0" w:type="auto"/>
            <w:noWrap/>
            <w:vAlign w:val="center"/>
          </w:tcPr>
          <w:p>
            <w:pPr>
              <w:widowControl/>
              <w:spacing w:line="23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3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3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restart"/>
            <w:noWrap/>
            <w:vAlign w:val="center"/>
          </w:tcPr>
          <w:p>
            <w:pPr>
              <w:widowControl/>
              <w:spacing w:line="230" w:lineRule="exact"/>
              <w:jc w:val="center"/>
              <w:rPr>
                <w:color w:val="000000"/>
                <w:kern w:val="0"/>
                <w:szCs w:val="21"/>
              </w:rPr>
            </w:pPr>
            <w:r>
              <w:rPr>
                <w:rFonts w:hint="eastAsia"/>
                <w:color w:val="000000"/>
                <w:kern w:val="0"/>
                <w:szCs w:val="21"/>
              </w:rPr>
              <w:t>完成</w:t>
            </w:r>
          </w:p>
          <w:p>
            <w:pPr>
              <w:widowControl/>
              <w:spacing w:line="23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30" w:lineRule="exact"/>
              <w:jc w:val="center"/>
              <w:rPr>
                <w:color w:val="000000"/>
                <w:kern w:val="0"/>
                <w:szCs w:val="21"/>
              </w:rPr>
            </w:pPr>
            <w:r>
              <w:rPr>
                <w:rFonts w:hint="eastAsia"/>
                <w:color w:val="000000"/>
                <w:kern w:val="0"/>
                <w:szCs w:val="21"/>
              </w:rPr>
              <w:t>数量</w:t>
            </w:r>
          </w:p>
          <w:p>
            <w:pPr>
              <w:widowControl/>
              <w:spacing w:line="23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支付笔数</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≧100000</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w:t>
            </w:r>
            <w:r>
              <w:rPr>
                <w:rFonts w:hint="eastAsia" w:ascii="Times New Roman" w:hAnsi="Times New Roman" w:eastAsia="宋体" w:cs="Times New Roman"/>
                <w:color w:val="000000"/>
                <w:kern w:val="0"/>
                <w:sz w:val="21"/>
                <w:szCs w:val="21"/>
                <w:lang w:val="en-US" w:eastAsia="zh-CN"/>
              </w:rPr>
              <w:t>418193</w:t>
            </w:r>
            <w:r>
              <w:rPr>
                <w:rFonts w:hint="eastAsia" w:ascii="Times New Roman" w:hAnsi="Times New Roman" w:eastAsia="宋体" w:cs="Times New Roman"/>
                <w:color w:val="000000"/>
                <w:kern w:val="0"/>
                <w:sz w:val="21"/>
                <w:szCs w:val="21"/>
              </w:rPr>
              <w:t>笔</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lang w:val="en-US" w:eastAsia="zh-CN"/>
              </w:rPr>
              <w:t>正偏离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left"/>
              <w:rPr>
                <w:rFonts w:hint="eastAsia" w:eastAsia="宋体"/>
                <w:color w:val="000000"/>
                <w:kern w:val="0"/>
                <w:sz w:val="21"/>
                <w:szCs w:val="21"/>
                <w:lang w:val="en-US" w:eastAsia="zh-CN" w:bidi="ar-SA"/>
              </w:rPr>
            </w:pPr>
            <w:r>
              <w:rPr>
                <w:rFonts w:hint="eastAsia"/>
                <w:color w:val="000000"/>
                <w:kern w:val="0"/>
                <w:szCs w:val="21"/>
                <w:lang w:eastAsia="zh-CN"/>
              </w:rPr>
              <w:t>编审追加项目支出绩效目标</w:t>
            </w:r>
          </w:p>
        </w:tc>
        <w:tc>
          <w:tcPr>
            <w:tcW w:w="0" w:type="auto"/>
            <w:noWrap/>
            <w:vAlign w:val="center"/>
          </w:tcPr>
          <w:p>
            <w:pPr>
              <w:widowControl/>
              <w:spacing w:line="230" w:lineRule="exact"/>
              <w:jc w:val="left"/>
              <w:rPr>
                <w:rFonts w:hint="default" w:eastAsia="宋体"/>
                <w:color w:val="000000"/>
                <w:kern w:val="0"/>
                <w:sz w:val="21"/>
                <w:szCs w:val="21"/>
                <w:lang w:val="en-US" w:eastAsia="zh-CN" w:bidi="ar-SA"/>
              </w:rPr>
            </w:pPr>
            <w:r>
              <w:rPr>
                <w:rFonts w:hint="eastAsia" w:eastAsia="宋体"/>
                <w:color w:val="000000"/>
                <w:kern w:val="0"/>
                <w:szCs w:val="21"/>
                <w:lang w:eastAsia="zh-CN"/>
              </w:rPr>
              <w:t>≥</w:t>
            </w:r>
            <w:r>
              <w:rPr>
                <w:rFonts w:hint="eastAsia"/>
                <w:color w:val="000000"/>
                <w:kern w:val="0"/>
                <w:szCs w:val="21"/>
                <w:lang w:val="en-US" w:eastAsia="zh-CN"/>
              </w:rPr>
              <w:t>300</w:t>
            </w:r>
          </w:p>
        </w:tc>
        <w:tc>
          <w:tcPr>
            <w:tcW w:w="0" w:type="auto"/>
            <w:noWrap/>
            <w:vAlign w:val="center"/>
          </w:tcPr>
          <w:p>
            <w:pPr>
              <w:widowControl/>
              <w:spacing w:line="230" w:lineRule="exact"/>
              <w:jc w:val="left"/>
              <w:rPr>
                <w:rFonts w:hint="default"/>
                <w:color w:val="000000"/>
                <w:kern w:val="0"/>
                <w:sz w:val="21"/>
                <w:szCs w:val="21"/>
                <w:lang w:val="en-US" w:eastAsia="zh-CN" w:bidi="ar-SA"/>
              </w:rPr>
            </w:pPr>
            <w:r>
              <w:rPr>
                <w:rFonts w:hint="eastAsia"/>
                <w:color w:val="000000"/>
                <w:kern w:val="0"/>
                <w:szCs w:val="21"/>
              </w:rPr>
              <w:t>　</w:t>
            </w:r>
            <w:r>
              <w:rPr>
                <w:rFonts w:hint="eastAsia" w:eastAsia="宋体"/>
                <w:color w:val="000000"/>
                <w:kern w:val="0"/>
                <w:szCs w:val="21"/>
                <w:lang w:val="en-US" w:eastAsia="zh-CN"/>
              </w:rPr>
              <w:t>612</w:t>
            </w:r>
          </w:p>
        </w:tc>
        <w:tc>
          <w:tcPr>
            <w:tcW w:w="0" w:type="auto"/>
            <w:noWrap/>
            <w:vAlign w:val="center"/>
          </w:tcPr>
          <w:p>
            <w:pPr>
              <w:widowControl/>
              <w:spacing w:line="23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left"/>
              <w:rPr>
                <w:color w:val="000000"/>
                <w:kern w:val="0"/>
                <w:szCs w:val="21"/>
              </w:rPr>
            </w:pPr>
            <w:r>
              <w:rPr>
                <w:rFonts w:hint="eastAsia"/>
                <w:color w:val="000000"/>
                <w:kern w:val="0"/>
                <w:szCs w:val="21"/>
              </w:rPr>
              <w:t>开展财政重点绩效评价项目</w:t>
            </w:r>
          </w:p>
        </w:tc>
        <w:tc>
          <w:tcPr>
            <w:tcW w:w="0" w:type="auto"/>
            <w:noWrap/>
            <w:vAlign w:val="center"/>
          </w:tcPr>
          <w:p>
            <w:pPr>
              <w:widowControl/>
              <w:spacing w:line="23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10</w:t>
            </w:r>
          </w:p>
        </w:tc>
        <w:tc>
          <w:tcPr>
            <w:tcW w:w="0" w:type="auto"/>
            <w:noWrap/>
            <w:vAlign w:val="center"/>
          </w:tcPr>
          <w:p>
            <w:pPr>
              <w:widowControl/>
              <w:spacing w:line="23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17</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vMerge w:val="restart"/>
            <w:noWrap/>
            <w:vAlign w:val="center"/>
          </w:tcPr>
          <w:p>
            <w:pPr>
              <w:widowControl/>
              <w:spacing w:line="230" w:lineRule="exact"/>
              <w:jc w:val="center"/>
              <w:rPr>
                <w:color w:val="000000"/>
                <w:kern w:val="0"/>
                <w:szCs w:val="21"/>
              </w:rPr>
            </w:pPr>
            <w:r>
              <w:rPr>
                <w:rFonts w:hint="eastAsia"/>
                <w:color w:val="000000"/>
                <w:kern w:val="0"/>
                <w:szCs w:val="21"/>
              </w:rPr>
              <w:t>质量</w:t>
            </w:r>
          </w:p>
          <w:p>
            <w:pPr>
              <w:widowControl/>
              <w:spacing w:line="23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支付凭证及预算单位入账凭证等制作规范率</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100%</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100%</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指标</w:t>
            </w:r>
            <w:r>
              <w:rPr>
                <w:rFonts w:ascii="Times New Roman" w:hAnsi="Times New Roman" w:eastAsia="宋体" w:cs="Times New Roman"/>
                <w:color w:val="000000"/>
                <w:kern w:val="0"/>
                <w:sz w:val="21"/>
                <w:szCs w:val="21"/>
              </w:rPr>
              <w:t>2:</w:t>
            </w:r>
            <w:r>
              <w:rPr>
                <w:rFonts w:hint="eastAsia" w:ascii="Times New Roman" w:hAnsi="Times New Roman" w:eastAsia="宋体" w:cs="Times New Roman"/>
                <w:color w:val="000000"/>
                <w:kern w:val="0"/>
                <w:sz w:val="21"/>
                <w:szCs w:val="21"/>
              </w:rPr>
              <w:t>监控违规报警处理率</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≧99%</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100%</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正偏差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left"/>
              <w:rPr>
                <w:rFonts w:hint="eastAsia" w:eastAsia="宋体"/>
                <w:color w:val="000000"/>
                <w:kern w:val="0"/>
                <w:sz w:val="21"/>
                <w:szCs w:val="21"/>
                <w:lang w:val="en-US" w:eastAsia="zh-CN" w:bidi="ar-SA"/>
              </w:rPr>
            </w:pPr>
            <w:r>
              <w:rPr>
                <w:rFonts w:hint="eastAsia"/>
                <w:color w:val="000000"/>
                <w:kern w:val="0"/>
                <w:szCs w:val="21"/>
                <w:lang w:val="en-US" w:eastAsia="zh-CN"/>
              </w:rPr>
              <w:t>评审</w:t>
            </w:r>
            <w:r>
              <w:rPr>
                <w:rFonts w:hint="eastAsia"/>
                <w:color w:val="000000"/>
                <w:kern w:val="0"/>
                <w:szCs w:val="21"/>
                <w:lang w:eastAsia="zh-CN"/>
              </w:rPr>
              <w:t>报告错误率</w:t>
            </w:r>
          </w:p>
        </w:tc>
        <w:tc>
          <w:tcPr>
            <w:tcW w:w="0" w:type="auto"/>
            <w:noWrap/>
            <w:vAlign w:val="center"/>
          </w:tcPr>
          <w:p>
            <w:pPr>
              <w:widowControl/>
              <w:spacing w:line="23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3%</w:t>
            </w:r>
          </w:p>
        </w:tc>
        <w:tc>
          <w:tcPr>
            <w:tcW w:w="0" w:type="auto"/>
            <w:noWrap/>
            <w:vAlign w:val="center"/>
          </w:tcPr>
          <w:p>
            <w:pPr>
              <w:widowControl/>
              <w:spacing w:line="230" w:lineRule="exact"/>
              <w:jc w:val="left"/>
              <w:rPr>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3%</w:t>
            </w:r>
          </w:p>
        </w:tc>
        <w:tc>
          <w:tcPr>
            <w:tcW w:w="0" w:type="auto"/>
            <w:noWrap/>
            <w:vAlign w:val="center"/>
          </w:tcPr>
          <w:p>
            <w:pPr>
              <w:widowControl/>
              <w:spacing w:line="230" w:lineRule="exact"/>
              <w:jc w:val="left"/>
              <w:rPr>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center"/>
              <w:rPr>
                <w:color w:val="000000"/>
                <w:kern w:val="0"/>
                <w:szCs w:val="21"/>
              </w:rPr>
            </w:pPr>
            <w:r>
              <w:rPr>
                <w:rFonts w:hint="eastAsia"/>
                <w:color w:val="000000"/>
                <w:kern w:val="0"/>
                <w:szCs w:val="21"/>
              </w:rPr>
              <w:t>时效</w:t>
            </w:r>
          </w:p>
          <w:p>
            <w:pPr>
              <w:widowControl/>
              <w:spacing w:line="23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70" w:lineRule="exact"/>
              <w:jc w:val="left"/>
              <w:rPr>
                <w:rFonts w:eastAsia="宋体"/>
                <w:kern w:val="0"/>
                <w:sz w:val="21"/>
                <w:szCs w:val="21"/>
                <w:lang w:val="en-US" w:eastAsia="zh-CN" w:bidi="ar-SA"/>
              </w:rPr>
            </w:pPr>
            <w:r>
              <w:rPr>
                <w:rFonts w:hint="eastAsia" w:eastAsia="宋体"/>
                <w:kern w:val="0"/>
                <w:sz w:val="21"/>
                <w:szCs w:val="21"/>
              </w:rPr>
              <w:t>按时完成预算绩效重点评价工作</w:t>
            </w:r>
          </w:p>
        </w:tc>
        <w:tc>
          <w:tcPr>
            <w:tcW w:w="0" w:type="auto"/>
            <w:noWrap/>
            <w:vAlign w:val="center"/>
          </w:tcPr>
          <w:p>
            <w:pPr>
              <w:widowControl/>
              <w:spacing w:line="270" w:lineRule="exact"/>
              <w:jc w:val="left"/>
              <w:rPr>
                <w:rFonts w:eastAsia="宋体"/>
                <w:kern w:val="0"/>
                <w:sz w:val="21"/>
                <w:szCs w:val="21"/>
                <w:lang w:val="en-US" w:eastAsia="zh-CN" w:bidi="ar-SA"/>
              </w:rPr>
            </w:pPr>
            <w:r>
              <w:rPr>
                <w:rFonts w:hint="eastAsia" w:eastAsia="宋体"/>
                <w:kern w:val="0"/>
                <w:sz w:val="21"/>
                <w:szCs w:val="21"/>
              </w:rPr>
              <w:t>　12月</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center"/>
              <w:rPr>
                <w:color w:val="000000"/>
                <w:kern w:val="0"/>
                <w:szCs w:val="21"/>
              </w:rPr>
            </w:pPr>
            <w:r>
              <w:rPr>
                <w:rFonts w:hint="eastAsia"/>
                <w:color w:val="000000"/>
                <w:kern w:val="0"/>
                <w:szCs w:val="21"/>
              </w:rPr>
              <w:t>成本</w:t>
            </w:r>
          </w:p>
          <w:p>
            <w:pPr>
              <w:widowControl/>
              <w:spacing w:line="230" w:lineRule="exact"/>
              <w:jc w:val="center"/>
              <w:rPr>
                <w:color w:val="000000"/>
                <w:kern w:val="0"/>
                <w:szCs w:val="21"/>
              </w:rPr>
            </w:pPr>
            <w:r>
              <w:rPr>
                <w:rFonts w:hint="eastAsia"/>
                <w:color w:val="000000"/>
                <w:kern w:val="0"/>
                <w:szCs w:val="21"/>
              </w:rPr>
              <w:t>指标</w:t>
            </w:r>
          </w:p>
        </w:tc>
        <w:tc>
          <w:tcPr>
            <w:tcW w:w="1818"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支付、入账票据工本费、手续费</w:t>
            </w:r>
          </w:p>
        </w:tc>
        <w:tc>
          <w:tcPr>
            <w:tcW w:w="1688"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　≦0.</w:t>
            </w:r>
            <w:r>
              <w:rPr>
                <w:rFonts w:hint="eastAsia" w:ascii="Times New Roman" w:hAnsi="Times New Roman" w:eastAsia="宋体" w:cs="Times New Roman"/>
                <w:color w:val="000000"/>
                <w:kern w:val="0"/>
                <w:sz w:val="21"/>
                <w:szCs w:val="21"/>
                <w:lang w:val="en-US" w:eastAsia="zh-CN"/>
              </w:rPr>
              <w:t>2</w:t>
            </w:r>
            <w:r>
              <w:rPr>
                <w:rFonts w:hint="eastAsia" w:ascii="Times New Roman" w:hAnsi="Times New Roman" w:eastAsia="宋体" w:cs="Times New Roman"/>
                <w:color w:val="000000"/>
                <w:kern w:val="0"/>
                <w:sz w:val="21"/>
                <w:szCs w:val="21"/>
              </w:rPr>
              <w:t>元/笔</w:t>
            </w:r>
          </w:p>
        </w:tc>
        <w:tc>
          <w:tcPr>
            <w:tcW w:w="752"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　0.</w:t>
            </w:r>
            <w:r>
              <w:rPr>
                <w:rFonts w:hint="eastAsia" w:ascii="Times New Roman" w:hAnsi="Times New Roman" w:eastAsia="宋体" w:cs="Times New Roman"/>
                <w:color w:val="000000"/>
                <w:kern w:val="0"/>
                <w:sz w:val="21"/>
                <w:szCs w:val="21"/>
                <w:lang w:val="en-US" w:eastAsia="zh-CN"/>
              </w:rPr>
              <w:t>1</w:t>
            </w:r>
            <w:r>
              <w:rPr>
                <w:rFonts w:hint="eastAsia" w:ascii="Times New Roman" w:hAnsi="Times New Roman" w:eastAsia="宋体" w:cs="Times New Roman"/>
                <w:color w:val="000000"/>
                <w:kern w:val="0"/>
                <w:sz w:val="21"/>
                <w:szCs w:val="21"/>
              </w:rPr>
              <w:t>元/笔</w:t>
            </w:r>
          </w:p>
        </w:tc>
        <w:tc>
          <w:tcPr>
            <w:tcW w:w="653"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　正偏差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restart"/>
            <w:noWrap/>
            <w:vAlign w:val="center"/>
          </w:tcPr>
          <w:p>
            <w:pPr>
              <w:widowControl/>
              <w:spacing w:line="230" w:lineRule="exact"/>
              <w:jc w:val="center"/>
              <w:rPr>
                <w:color w:val="000000"/>
                <w:kern w:val="0"/>
                <w:szCs w:val="21"/>
              </w:rPr>
            </w:pPr>
            <w:r>
              <w:rPr>
                <w:rFonts w:hint="eastAsia"/>
                <w:color w:val="000000"/>
                <w:kern w:val="0"/>
                <w:szCs w:val="21"/>
              </w:rPr>
              <w:t>效益</w:t>
            </w:r>
          </w:p>
          <w:p>
            <w:pPr>
              <w:widowControl/>
              <w:spacing w:line="23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30" w:lineRule="exact"/>
              <w:jc w:val="center"/>
              <w:rPr>
                <w:color w:val="000000"/>
                <w:kern w:val="0"/>
                <w:szCs w:val="21"/>
              </w:rPr>
            </w:pPr>
            <w:r>
              <w:rPr>
                <w:rFonts w:hint="eastAsia"/>
                <w:color w:val="000000"/>
                <w:kern w:val="0"/>
                <w:szCs w:val="21"/>
              </w:rPr>
              <w:t>经济效益指标</w:t>
            </w:r>
          </w:p>
        </w:tc>
        <w:tc>
          <w:tcPr>
            <w:tcW w:w="1818" w:type="dxa"/>
            <w:noWrap/>
            <w:vAlign w:val="center"/>
          </w:tcPr>
          <w:p>
            <w:pPr>
              <w:widowControl/>
              <w:spacing w:line="270" w:lineRule="exact"/>
              <w:jc w:val="left"/>
              <w:rPr>
                <w:color w:val="000000"/>
                <w:kern w:val="0"/>
                <w:szCs w:val="21"/>
              </w:rPr>
            </w:pPr>
            <w:r>
              <w:rPr>
                <w:rFonts w:hint="eastAsia" w:eastAsia="宋体"/>
                <w:kern w:val="0"/>
                <w:sz w:val="21"/>
                <w:szCs w:val="21"/>
              </w:rPr>
              <w:t>全年财政收入较上年增长</w:t>
            </w:r>
          </w:p>
        </w:tc>
        <w:tc>
          <w:tcPr>
            <w:tcW w:w="0" w:type="auto"/>
            <w:noWrap/>
            <w:vAlign w:val="center"/>
          </w:tcPr>
          <w:p>
            <w:pPr>
              <w:widowControl/>
              <w:spacing w:line="23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增长15.1%</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1818"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资金及时、准确到账，为各项工作提供资金保障。</w:t>
            </w:r>
          </w:p>
        </w:tc>
        <w:tc>
          <w:tcPr>
            <w:tcW w:w="1688"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　支付金额≧50亿</w:t>
            </w:r>
          </w:p>
        </w:tc>
        <w:tc>
          <w:tcPr>
            <w:tcW w:w="752"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　全年支付6</w:t>
            </w:r>
            <w:r>
              <w:rPr>
                <w:rFonts w:hint="eastAsia" w:ascii="Times New Roman" w:hAnsi="Times New Roman" w:eastAsia="宋体" w:cs="Times New Roman"/>
                <w:color w:val="000000"/>
                <w:kern w:val="0"/>
                <w:sz w:val="21"/>
                <w:szCs w:val="21"/>
                <w:lang w:val="en-US" w:eastAsia="zh-CN"/>
              </w:rPr>
              <w:t>5.90</w:t>
            </w:r>
            <w:r>
              <w:rPr>
                <w:rFonts w:hint="eastAsia" w:ascii="Times New Roman" w:hAnsi="Times New Roman" w:eastAsia="宋体" w:cs="Times New Roman"/>
                <w:color w:val="000000"/>
                <w:kern w:val="0"/>
                <w:sz w:val="21"/>
                <w:szCs w:val="21"/>
              </w:rPr>
              <w:t>亿</w:t>
            </w:r>
          </w:p>
        </w:tc>
        <w:tc>
          <w:tcPr>
            <w:tcW w:w="653" w:type="dxa"/>
            <w:noWrap/>
            <w:vAlign w:val="center"/>
          </w:tcPr>
          <w:p>
            <w:pPr>
              <w:widowControl/>
              <w:spacing w:line="240" w:lineRule="exact"/>
              <w:jc w:val="left"/>
              <w:rPr>
                <w:color w:val="000000"/>
                <w:kern w:val="0"/>
                <w:szCs w:val="21"/>
              </w:rPr>
            </w:pPr>
            <w:r>
              <w:rPr>
                <w:rFonts w:hint="eastAsia" w:ascii="Times New Roman" w:hAnsi="Times New Roman" w:eastAsia="宋体" w:cs="Times New Roman"/>
                <w:color w:val="000000"/>
                <w:kern w:val="0"/>
                <w:sz w:val="21"/>
                <w:szCs w:val="21"/>
              </w:rPr>
              <w:t>　完成1</w:t>
            </w:r>
            <w:r>
              <w:rPr>
                <w:rFonts w:hint="eastAsia" w:ascii="Times New Roman" w:hAnsi="Times New Roman" w:eastAsia="宋体" w:cs="Times New Roman"/>
                <w:color w:val="000000"/>
                <w:kern w:val="0"/>
                <w:sz w:val="21"/>
                <w:szCs w:val="21"/>
                <w:lang w:val="en-US" w:eastAsia="zh-CN"/>
              </w:rPr>
              <w:t>03.63</w:t>
            </w:r>
            <w:r>
              <w:rPr>
                <w:rFonts w:hint="eastAsia" w:ascii="Times New Roman" w:hAnsi="Times New Roman" w:eastAsia="宋体" w:cs="Times New Roman"/>
                <w:color w:val="000000"/>
                <w:kern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left"/>
              <w:rPr>
                <w:color w:val="000000"/>
                <w:kern w:val="0"/>
                <w:sz w:val="21"/>
                <w:szCs w:val="21"/>
                <w:lang w:val="en-US" w:eastAsia="zh-CN" w:bidi="ar-SA"/>
              </w:rPr>
            </w:pPr>
            <w:r>
              <w:rPr>
                <w:rFonts w:hint="eastAsia"/>
                <w:color w:val="000000"/>
                <w:kern w:val="0"/>
                <w:szCs w:val="21"/>
                <w:lang w:eastAsia="zh-CN"/>
              </w:rPr>
              <w:t>节约政府投资（项目审减额）</w:t>
            </w:r>
          </w:p>
        </w:tc>
        <w:tc>
          <w:tcPr>
            <w:tcW w:w="0" w:type="auto"/>
            <w:noWrap/>
            <w:vAlign w:val="center"/>
          </w:tcPr>
          <w:p>
            <w:pPr>
              <w:widowControl/>
              <w:tabs>
                <w:tab w:val="left" w:pos="500"/>
              </w:tabs>
              <w:spacing w:line="230" w:lineRule="exact"/>
              <w:jc w:val="left"/>
              <w:rPr>
                <w:rFonts w:hint="default" w:eastAsia="宋体"/>
                <w:color w:val="000000"/>
                <w:kern w:val="0"/>
                <w:sz w:val="21"/>
                <w:szCs w:val="21"/>
                <w:lang w:val="en-US" w:eastAsia="zh-CN" w:bidi="ar-SA"/>
              </w:rPr>
            </w:pPr>
            <w:r>
              <w:rPr>
                <w:rFonts w:hint="eastAsia"/>
                <w:color w:val="000000"/>
                <w:kern w:val="0"/>
                <w:szCs w:val="21"/>
                <w:lang w:eastAsia="zh-CN"/>
              </w:rPr>
              <w:t>综合审减率</w:t>
            </w:r>
            <w:r>
              <w:rPr>
                <w:rFonts w:hint="eastAsia" w:eastAsia="宋体"/>
                <w:color w:val="000000"/>
                <w:kern w:val="0"/>
                <w:szCs w:val="21"/>
                <w:lang w:eastAsia="zh-CN"/>
              </w:rPr>
              <w:t>≥</w:t>
            </w:r>
            <w:r>
              <w:rPr>
                <w:rFonts w:hint="eastAsia"/>
                <w:color w:val="000000"/>
                <w:kern w:val="0"/>
                <w:szCs w:val="21"/>
                <w:lang w:val="en-US" w:eastAsia="zh-CN"/>
              </w:rPr>
              <w:t>3%</w:t>
            </w:r>
          </w:p>
        </w:tc>
        <w:tc>
          <w:tcPr>
            <w:tcW w:w="0" w:type="auto"/>
            <w:noWrap/>
            <w:vAlign w:val="center"/>
          </w:tcPr>
          <w:p>
            <w:pPr>
              <w:widowControl/>
              <w:spacing w:line="230" w:lineRule="exact"/>
              <w:jc w:val="left"/>
              <w:rPr>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综合审减率</w:t>
            </w:r>
            <w:r>
              <w:rPr>
                <w:rFonts w:hint="eastAsia" w:eastAsia="宋体"/>
                <w:color w:val="000000"/>
                <w:kern w:val="0"/>
                <w:szCs w:val="21"/>
                <w:lang w:eastAsia="zh-CN"/>
              </w:rPr>
              <w:t>≥</w:t>
            </w:r>
            <w:r>
              <w:rPr>
                <w:rFonts w:hint="eastAsia"/>
                <w:color w:val="000000"/>
                <w:kern w:val="0"/>
                <w:szCs w:val="21"/>
                <w:lang w:val="en-US" w:eastAsia="zh-CN"/>
              </w:rPr>
              <w:t>3%</w:t>
            </w:r>
          </w:p>
        </w:tc>
        <w:tc>
          <w:tcPr>
            <w:tcW w:w="0" w:type="auto"/>
            <w:noWrap/>
            <w:vAlign w:val="center"/>
          </w:tcPr>
          <w:p>
            <w:pPr>
              <w:widowControl/>
              <w:spacing w:line="23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提高财政资金使用效率，预防违规使用财政资金，杜绝腐败。</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建立预算执行事前动态监控机制，严格控制现金支出。</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提高了财政资金使用效率，减少财政资金违规使用，防止腐败。</w:t>
            </w:r>
          </w:p>
        </w:tc>
        <w:tc>
          <w:tcPr>
            <w:tcW w:w="0" w:type="auto"/>
            <w:noWrap/>
            <w:vAlign w:val="center"/>
          </w:tcPr>
          <w:p>
            <w:pPr>
              <w:widowControl/>
              <w:spacing w:line="240" w:lineRule="exact"/>
              <w:jc w:val="left"/>
              <w:rPr>
                <w:rFonts w:ascii="Times New Roman" w:hAnsi="Times New Roman" w:eastAsia="宋体" w:cs="Times New Roman"/>
                <w:color w:val="000000"/>
                <w:kern w:val="0"/>
                <w:sz w:val="21"/>
                <w:szCs w:val="21"/>
                <w:lang w:val="en-US" w:eastAsia="zh-CN" w:bidi="ar-SA"/>
              </w:rPr>
            </w:pPr>
            <w:r>
              <w:rPr>
                <w:rFonts w:hint="eastAsia" w:ascii="Times New Roman" w:hAnsi="Times New Roman" w:eastAsia="宋体" w:cs="Times New Roman"/>
                <w:color w:val="000000"/>
                <w:kern w:val="0"/>
                <w:sz w:val="21"/>
                <w:szCs w:val="21"/>
              </w:rPr>
              <w:t>　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center"/>
              <w:rPr>
                <w:color w:val="000000"/>
                <w:kern w:val="0"/>
                <w:szCs w:val="21"/>
              </w:rPr>
            </w:pPr>
            <w:r>
              <w:rPr>
                <w:rFonts w:hint="eastAsia"/>
                <w:color w:val="000000"/>
                <w:kern w:val="0"/>
                <w:szCs w:val="21"/>
              </w:rPr>
              <w:t>生态效益指标</w:t>
            </w:r>
          </w:p>
        </w:tc>
        <w:tc>
          <w:tcPr>
            <w:tcW w:w="0" w:type="auto"/>
            <w:noWrap/>
            <w:vAlign w:val="center"/>
          </w:tcPr>
          <w:p>
            <w:pPr>
              <w:widowControl/>
              <w:spacing w:line="230" w:lineRule="exact"/>
              <w:jc w:val="left"/>
              <w:rPr>
                <w:color w:val="000000"/>
                <w:kern w:val="0"/>
                <w:szCs w:val="21"/>
              </w:rPr>
            </w:pPr>
            <w:r>
              <w:rPr>
                <w:rFonts w:hint="eastAsia" w:ascii="Times New Roman" w:hAnsi="Times New Roman" w:eastAsia="宋体" w:cs="Times New Roman"/>
                <w:color w:val="000000"/>
                <w:kern w:val="0"/>
                <w:sz w:val="21"/>
                <w:szCs w:val="21"/>
              </w:rPr>
              <w:t>推动高标准农田建设、现代农业发展、涪江流域饮用水水源地保护</w:t>
            </w:r>
          </w:p>
        </w:tc>
        <w:tc>
          <w:tcPr>
            <w:tcW w:w="0" w:type="auto"/>
            <w:noWrap/>
            <w:vAlign w:val="center"/>
          </w:tcPr>
          <w:p>
            <w:pPr>
              <w:widowControl/>
              <w:spacing w:line="23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14.49亿元</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center"/>
              <w:rPr>
                <w:color w:val="000000"/>
                <w:kern w:val="0"/>
                <w:szCs w:val="21"/>
              </w:rPr>
            </w:pPr>
            <w:r>
              <w:rPr>
                <w:rFonts w:hint="eastAsia"/>
                <w:color w:val="000000"/>
                <w:kern w:val="0"/>
                <w:szCs w:val="21"/>
              </w:rPr>
              <w:t>可持续影响指标</w:t>
            </w:r>
          </w:p>
        </w:tc>
        <w:tc>
          <w:tcPr>
            <w:tcW w:w="1818" w:type="dxa"/>
            <w:noWrap/>
            <w:vAlign w:val="center"/>
          </w:tcPr>
          <w:p>
            <w:pPr>
              <w:widowControl/>
              <w:spacing w:line="270" w:lineRule="exact"/>
              <w:jc w:val="left"/>
              <w:rPr>
                <w:color w:val="000000"/>
                <w:kern w:val="0"/>
                <w:szCs w:val="21"/>
              </w:rPr>
            </w:pPr>
            <w:r>
              <w:rPr>
                <w:rFonts w:hint="eastAsia" w:eastAsia="宋体"/>
                <w:kern w:val="0"/>
                <w:sz w:val="21"/>
                <w:szCs w:val="21"/>
              </w:rPr>
              <w:t>抓好财政建设，服务全县经济发展大局，对维护社会稳定的作用</w:t>
            </w:r>
          </w:p>
        </w:tc>
        <w:tc>
          <w:tcPr>
            <w:tcW w:w="1688" w:type="dxa"/>
            <w:noWrap/>
            <w:vAlign w:val="center"/>
          </w:tcPr>
          <w:p>
            <w:pPr>
              <w:widowControl/>
              <w:spacing w:line="270" w:lineRule="exact"/>
              <w:jc w:val="left"/>
              <w:rPr>
                <w:color w:val="000000"/>
                <w:kern w:val="0"/>
                <w:szCs w:val="21"/>
              </w:rPr>
            </w:pPr>
            <w:r>
              <w:rPr>
                <w:rFonts w:hint="eastAsia" w:eastAsia="宋体"/>
                <w:kern w:val="0"/>
                <w:sz w:val="21"/>
                <w:szCs w:val="21"/>
              </w:rPr>
              <w:t>　持续性较长</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230" w:lineRule="exact"/>
              <w:jc w:val="left"/>
              <w:rPr>
                <w:color w:val="000000"/>
                <w:kern w:val="0"/>
                <w:szCs w:val="21"/>
              </w:rPr>
            </w:pPr>
          </w:p>
        </w:tc>
        <w:tc>
          <w:tcPr>
            <w:tcW w:w="0" w:type="auto"/>
            <w:noWrap/>
            <w:vAlign w:val="center"/>
          </w:tcPr>
          <w:p>
            <w:pPr>
              <w:widowControl/>
              <w:spacing w:line="230" w:lineRule="exact"/>
              <w:jc w:val="center"/>
              <w:rPr>
                <w:color w:val="000000"/>
                <w:kern w:val="0"/>
                <w:szCs w:val="21"/>
              </w:rPr>
            </w:pPr>
            <w:r>
              <w:rPr>
                <w:rFonts w:hint="eastAsia"/>
                <w:color w:val="000000"/>
                <w:kern w:val="0"/>
                <w:szCs w:val="21"/>
              </w:rPr>
              <w:t>满意度</w:t>
            </w:r>
          </w:p>
          <w:p>
            <w:pPr>
              <w:widowControl/>
              <w:spacing w:line="23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3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70" w:lineRule="exact"/>
              <w:jc w:val="left"/>
              <w:rPr>
                <w:rFonts w:eastAsia="宋体"/>
                <w:kern w:val="0"/>
                <w:sz w:val="21"/>
                <w:szCs w:val="21"/>
                <w:lang w:val="en-US" w:eastAsia="zh-CN" w:bidi="ar-SA"/>
              </w:rPr>
            </w:pPr>
            <w:r>
              <w:rPr>
                <w:rFonts w:eastAsia="宋体"/>
                <w:kern w:val="0"/>
                <w:sz w:val="21"/>
                <w:szCs w:val="21"/>
              </w:rPr>
              <w:t>干部群众对财政各项工作的满意度</w:t>
            </w:r>
          </w:p>
        </w:tc>
        <w:tc>
          <w:tcPr>
            <w:tcW w:w="0" w:type="auto"/>
            <w:noWrap/>
            <w:vAlign w:val="center"/>
          </w:tcPr>
          <w:p>
            <w:pPr>
              <w:widowControl/>
              <w:spacing w:line="270" w:lineRule="exact"/>
              <w:jc w:val="left"/>
              <w:rPr>
                <w:rFonts w:eastAsia="宋体"/>
                <w:kern w:val="0"/>
                <w:sz w:val="21"/>
                <w:szCs w:val="21"/>
                <w:lang w:val="en-US" w:eastAsia="zh-CN" w:bidi="ar-SA"/>
              </w:rPr>
            </w:pPr>
            <w:r>
              <w:rPr>
                <w:rFonts w:hint="eastAsia" w:eastAsia="宋体"/>
                <w:kern w:val="0"/>
                <w:sz w:val="21"/>
                <w:szCs w:val="21"/>
              </w:rPr>
              <w:t>　</w:t>
            </w:r>
            <w:r>
              <w:rPr>
                <w:rFonts w:hint="eastAsia" w:ascii="宋体" w:hAnsi="宋体" w:eastAsia="宋体"/>
                <w:kern w:val="0"/>
                <w:sz w:val="21"/>
                <w:szCs w:val="21"/>
              </w:rPr>
              <w:t>≥</w:t>
            </w:r>
            <w:r>
              <w:rPr>
                <w:rFonts w:hint="eastAsia" w:eastAsia="宋体"/>
                <w:kern w:val="0"/>
                <w:sz w:val="21"/>
                <w:szCs w:val="21"/>
              </w:rPr>
              <w:t>96%</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30" w:lineRule="exact"/>
              <w:jc w:val="left"/>
              <w:rPr>
                <w:color w:val="000000"/>
                <w:kern w:val="0"/>
                <w:szCs w:val="21"/>
              </w:rPr>
            </w:pPr>
            <w:r>
              <w:rPr>
                <w:rFonts w:hint="eastAsia"/>
                <w:color w:val="000000"/>
                <w:kern w:val="0"/>
                <w:szCs w:val="21"/>
              </w:rPr>
              <w:t>　</w:t>
            </w:r>
          </w:p>
        </w:tc>
      </w:tr>
    </w:tbl>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金财网络</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600" w:lineRule="exact"/>
        <w:ind w:firstLine="640" w:firstLineChars="200"/>
        <w:rPr>
          <w:rFonts w:ascii="Times New Roman" w:hAnsi="Times New Roman" w:eastAsia="方正黑体简体" w:cs="宋体"/>
          <w:sz w:val="32"/>
          <w:szCs w:val="32"/>
        </w:rPr>
      </w:pPr>
      <w:r>
        <w:rPr>
          <w:rFonts w:hint="eastAsia" w:ascii="Times New Roman" w:hAnsi="Times New Roman" w:eastAsia="方正黑体简体" w:cs="宋体"/>
          <w:sz w:val="32"/>
          <w:szCs w:val="32"/>
        </w:rPr>
        <w:t>一、项目基本情况</w:t>
      </w:r>
    </w:p>
    <w:p>
      <w:pPr>
        <w:spacing w:line="600" w:lineRule="exact"/>
        <w:ind w:firstLine="643" w:firstLineChars="200"/>
        <w:rPr>
          <w:rFonts w:hint="eastAsia" w:ascii="Times New Roman" w:hAnsi="Times New Roman" w:eastAsia="方正楷体简体" w:cs="宋体"/>
          <w:b/>
          <w:sz w:val="32"/>
          <w:szCs w:val="32"/>
        </w:rPr>
      </w:pPr>
      <w:r>
        <w:rPr>
          <w:rFonts w:hint="eastAsia" w:ascii="Times New Roman" w:hAnsi="Times New Roman" w:eastAsia="方正楷体简体" w:cs="宋体"/>
          <w:b/>
          <w:sz w:val="32"/>
          <w:szCs w:val="32"/>
        </w:rPr>
        <w:t>（一）概况</w:t>
      </w:r>
    </w:p>
    <w:p>
      <w:pPr>
        <w:spacing w:line="600" w:lineRule="exact"/>
        <w:ind w:firstLine="640" w:firstLineChars="200"/>
        <w:rPr>
          <w:rFonts w:ascii="Times New Roman" w:hAnsi="Times New Roman" w:eastAsia="方正仿宋简体" w:cs="宋体"/>
          <w:sz w:val="32"/>
          <w:szCs w:val="32"/>
        </w:rPr>
      </w:pPr>
      <w:r>
        <w:rPr>
          <w:rFonts w:hint="eastAsia" w:ascii="Times New Roman" w:hAnsi="Times New Roman" w:eastAsia="方正仿宋简体" w:cs="宋体"/>
          <w:sz w:val="32"/>
          <w:szCs w:val="32"/>
        </w:rPr>
        <w:t>为了深入推进全面实施预算绩效管理，增强单位支出绩效意识，提高单位资金使用效益，按照《乐至县财政支出绩效评价管理办法》（乐财规〔2021〕1号）文件精神，结合本单位具体职能，对202</w:t>
      </w:r>
      <w:r>
        <w:rPr>
          <w:rFonts w:hint="eastAsia" w:ascii="Times New Roman" w:hAnsi="Times New Roman" w:eastAsia="方正仿宋简体" w:cs="宋体"/>
          <w:sz w:val="32"/>
          <w:szCs w:val="32"/>
          <w:lang w:val="en-US" w:eastAsia="zh-CN"/>
        </w:rPr>
        <w:t>2</w:t>
      </w:r>
      <w:r>
        <w:rPr>
          <w:rFonts w:hint="eastAsia" w:ascii="Times New Roman" w:hAnsi="Times New Roman" w:eastAsia="方正仿宋简体" w:cs="宋体"/>
          <w:sz w:val="32"/>
          <w:szCs w:val="32"/>
        </w:rPr>
        <w:t>年度本部门预算执行情况、预算结构、总体绩效目标和年度各项具体绩效指标完成情况进行收集梳理，对202</w:t>
      </w:r>
      <w:r>
        <w:rPr>
          <w:rFonts w:hint="eastAsia" w:ascii="Times New Roman" w:hAnsi="Times New Roman" w:eastAsia="方正仿宋简体" w:cs="宋体"/>
          <w:sz w:val="32"/>
          <w:szCs w:val="32"/>
          <w:lang w:val="en-US" w:eastAsia="zh-CN"/>
        </w:rPr>
        <w:t>2</w:t>
      </w:r>
      <w:r>
        <w:rPr>
          <w:rFonts w:hint="eastAsia" w:ascii="Times New Roman" w:hAnsi="Times New Roman" w:eastAsia="方正仿宋简体" w:cs="宋体"/>
          <w:sz w:val="32"/>
          <w:szCs w:val="32"/>
        </w:rPr>
        <w:t>年金财网络工程运行项目支出绩效目标完成情况开展自评报告如下：</w:t>
      </w:r>
    </w:p>
    <w:p>
      <w:pPr>
        <w:spacing w:line="600" w:lineRule="exact"/>
        <w:ind w:firstLine="643" w:firstLineChars="200"/>
        <w:rPr>
          <w:rFonts w:hint="eastAsia" w:ascii="Times New Roman" w:hAnsi="Times New Roman" w:eastAsia="方正仿宋简体" w:cs="宋体"/>
          <w:b/>
          <w:sz w:val="32"/>
          <w:szCs w:val="32"/>
        </w:rPr>
      </w:pPr>
      <w:r>
        <w:rPr>
          <w:rFonts w:ascii="Times New Roman" w:hAnsi="Times New Roman" w:eastAsia="方正仿宋简体" w:cs="宋体"/>
          <w:b/>
          <w:sz w:val="32"/>
          <w:szCs w:val="32"/>
        </w:rPr>
        <w:t>1</w:t>
      </w:r>
      <w:r>
        <w:rPr>
          <w:rFonts w:hint="eastAsia" w:ascii="Times New Roman" w:hAnsi="Times New Roman" w:eastAsia="方正仿宋简体" w:cs="宋体"/>
          <w:b/>
          <w:sz w:val="32"/>
          <w:szCs w:val="32"/>
        </w:rPr>
        <w:t>.立项背景及目的</w:t>
      </w:r>
    </w:p>
    <w:p>
      <w:pPr>
        <w:spacing w:line="600" w:lineRule="exact"/>
        <w:ind w:firstLine="640" w:firstLineChars="200"/>
        <w:rPr>
          <w:rFonts w:ascii="Times New Roman" w:hAnsi="Times New Roman" w:eastAsia="方正仿宋简体" w:cs="宋体"/>
          <w:sz w:val="32"/>
          <w:szCs w:val="32"/>
        </w:rPr>
      </w:pPr>
      <w:r>
        <w:rPr>
          <w:rFonts w:hint="eastAsia" w:ascii="Times New Roman" w:hAnsi="Times New Roman" w:eastAsia="方正仿宋简体" w:cs="宋体"/>
          <w:sz w:val="32"/>
          <w:szCs w:val="32"/>
        </w:rPr>
        <w:t>根据金财网业务安全要求，对金财网用户进行网络安全、业务安全检查，保证金财网网络设备安全接入，确保全县191个金财网点设施设备和数据安全。</w:t>
      </w:r>
    </w:p>
    <w:p>
      <w:pPr>
        <w:spacing w:line="600" w:lineRule="exact"/>
        <w:ind w:firstLine="643" w:firstLineChars="200"/>
        <w:rPr>
          <w:rFonts w:hint="eastAsia" w:ascii="Times New Roman" w:hAnsi="Times New Roman" w:eastAsia="方正仿宋简体" w:cs="宋体"/>
          <w:b/>
          <w:sz w:val="32"/>
          <w:szCs w:val="32"/>
        </w:rPr>
      </w:pPr>
      <w:r>
        <w:rPr>
          <w:rFonts w:ascii="Times New Roman" w:hAnsi="Times New Roman" w:eastAsia="方正仿宋简体" w:cs="宋体"/>
          <w:b/>
          <w:sz w:val="32"/>
          <w:szCs w:val="32"/>
        </w:rPr>
        <w:t>2</w:t>
      </w:r>
      <w:r>
        <w:rPr>
          <w:rFonts w:hint="eastAsia" w:ascii="Times New Roman" w:hAnsi="Times New Roman" w:eastAsia="方正仿宋简体" w:cs="宋体"/>
          <w:b/>
          <w:sz w:val="32"/>
          <w:szCs w:val="32"/>
        </w:rPr>
        <w:t>.预算资金来源及使用情况</w:t>
      </w:r>
    </w:p>
    <w:p>
      <w:pPr>
        <w:spacing w:line="600" w:lineRule="exact"/>
        <w:ind w:firstLine="640" w:firstLineChars="200"/>
        <w:rPr>
          <w:rFonts w:ascii="Times New Roman" w:hAnsi="Times New Roman" w:eastAsia="方正仿宋简体" w:cs="宋体"/>
          <w:sz w:val="32"/>
          <w:szCs w:val="32"/>
        </w:rPr>
      </w:pPr>
      <w:r>
        <w:rPr>
          <w:rFonts w:hint="eastAsia" w:ascii="Times New Roman" w:hAnsi="Times New Roman" w:eastAsia="方正仿宋简体" w:cs="宋体"/>
          <w:sz w:val="32"/>
          <w:szCs w:val="32"/>
        </w:rPr>
        <w:t>202</w:t>
      </w:r>
      <w:r>
        <w:rPr>
          <w:rFonts w:hint="eastAsia" w:ascii="Times New Roman" w:hAnsi="Times New Roman" w:eastAsia="方正仿宋简体" w:cs="宋体"/>
          <w:sz w:val="32"/>
          <w:szCs w:val="32"/>
          <w:lang w:val="en-US" w:eastAsia="zh-CN"/>
        </w:rPr>
        <w:t>3</w:t>
      </w:r>
      <w:r>
        <w:rPr>
          <w:rFonts w:hint="eastAsia" w:ascii="Times New Roman" w:hAnsi="Times New Roman" w:eastAsia="方正仿宋简体" w:cs="宋体"/>
          <w:sz w:val="32"/>
          <w:szCs w:val="32"/>
        </w:rPr>
        <w:t>年财政预算拨款8.5万元，项目经费已使用完毕。</w:t>
      </w:r>
    </w:p>
    <w:p>
      <w:pPr>
        <w:spacing w:line="600" w:lineRule="exact"/>
        <w:ind w:firstLine="643" w:firstLineChars="200"/>
        <w:rPr>
          <w:rFonts w:hint="eastAsia" w:ascii="Times New Roman" w:hAnsi="Times New Roman" w:eastAsia="方正仿宋简体" w:cs="宋体"/>
          <w:b/>
          <w:sz w:val="32"/>
          <w:szCs w:val="32"/>
        </w:rPr>
      </w:pPr>
      <w:r>
        <w:rPr>
          <w:rFonts w:ascii="Times New Roman" w:hAnsi="Times New Roman" w:eastAsia="方正仿宋简体" w:cs="宋体"/>
          <w:b/>
          <w:sz w:val="32"/>
          <w:szCs w:val="32"/>
        </w:rPr>
        <w:t>3</w:t>
      </w:r>
      <w:r>
        <w:rPr>
          <w:rFonts w:hint="eastAsia" w:ascii="Times New Roman" w:hAnsi="Times New Roman" w:eastAsia="方正仿宋简体" w:cs="宋体"/>
          <w:b/>
          <w:sz w:val="32"/>
          <w:szCs w:val="32"/>
        </w:rPr>
        <w:t>.实施情况（项目完成情况）</w:t>
      </w:r>
    </w:p>
    <w:p>
      <w:pPr>
        <w:spacing w:line="600" w:lineRule="exact"/>
        <w:ind w:firstLine="640" w:firstLineChars="200"/>
        <w:rPr>
          <w:rFonts w:ascii="Times New Roman" w:hAnsi="Times New Roman" w:eastAsia="方正仿宋简体" w:cs="宋体"/>
          <w:sz w:val="32"/>
          <w:szCs w:val="32"/>
        </w:rPr>
      </w:pPr>
      <w:r>
        <w:rPr>
          <w:rFonts w:ascii="Times New Roman" w:hAnsi="Times New Roman" w:eastAsia="方正仿宋简体" w:cs="宋体"/>
          <w:sz w:val="32"/>
          <w:szCs w:val="32"/>
        </w:rPr>
        <w:t>对全县财政局授权使用的相关金财网单位及各乡镇金财网点提供信息网络安全技术支持并提供一次硬件、软件的信息网络安全现场巡检服务，排查、巡检是否存在私自搭建无线网络及网络交叉使用情况；检查金财网使用电脑是否安装亚信防病毒软件；检查金财网电脑是否设置安全口令，关闭了</w:t>
      </w:r>
      <w:r>
        <w:rPr>
          <w:rFonts w:ascii="Times New Roman" w:hAnsi="Times New Roman" w:eastAsia="方正仿宋简体" w:cs="宋体"/>
          <w:sz w:val="32"/>
          <w:szCs w:val="32"/>
        </w:rPr>
        <w:fldChar w:fldCharType="begin"/>
      </w:r>
      <w:r>
        <w:rPr>
          <w:rFonts w:ascii="Times New Roman" w:hAnsi="Times New Roman" w:eastAsia="方正仿宋简体" w:cs="宋体"/>
          <w:sz w:val="32"/>
          <w:szCs w:val="32"/>
        </w:rPr>
        <w:instrText xml:space="preserve"> INCLUDEPICTURE "../AppData/Roaming/Tencent/QQ/Temp/%25W@GJ$ACOF(TYDYECOKVDYB.png" \* MERGEFORMAT </w:instrText>
      </w:r>
      <w:r>
        <w:rPr>
          <w:rFonts w:ascii="Times New Roman" w:hAnsi="Times New Roman" w:eastAsia="方正仿宋简体" w:cs="宋体"/>
          <w:sz w:val="32"/>
          <w:szCs w:val="32"/>
        </w:rPr>
        <w:fldChar w:fldCharType="separate"/>
      </w:r>
      <w:r>
        <w:rPr>
          <w:rFonts w:ascii="Times New Roman" w:hAnsi="Times New Roman" w:eastAsia="方正仿宋简体" w:cs="宋体"/>
          <w:sz w:val="32"/>
          <w:szCs w:val="32"/>
        </w:rPr>
        <w:drawing>
          <wp:inline distT="0" distB="0" distL="114300" distR="114300">
            <wp:extent cx="189230" cy="142875"/>
            <wp:effectExtent l="0" t="0" r="8890" b="9525"/>
            <wp:docPr id="12" name="图片 1" descr="%W@GJ$ACOF(TYDYECOKVDY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W@GJ$ACOF(TYDYECOKVDYB"/>
                    <pic:cNvPicPr>
                      <a:picLocks noChangeAspect="1"/>
                    </pic:cNvPicPr>
                  </pic:nvPicPr>
                  <pic:blipFill>
                    <a:blip r:embed="rId20"/>
                    <a:stretch>
                      <a:fillRect/>
                    </a:stretch>
                  </pic:blipFill>
                  <pic:spPr>
                    <a:xfrm>
                      <a:off x="0" y="0"/>
                      <a:ext cx="189230" cy="142875"/>
                    </a:xfrm>
                    <a:prstGeom prst="rect">
                      <a:avLst/>
                    </a:prstGeom>
                    <a:noFill/>
                    <a:ln>
                      <a:noFill/>
                    </a:ln>
                  </pic:spPr>
                </pic:pic>
              </a:graphicData>
            </a:graphic>
          </wp:inline>
        </w:drawing>
      </w:r>
      <w:r>
        <w:rPr>
          <w:rFonts w:ascii="Times New Roman" w:hAnsi="Times New Roman" w:eastAsia="方正仿宋简体" w:cs="宋体"/>
          <w:sz w:val="32"/>
          <w:szCs w:val="32"/>
        </w:rPr>
        <w:fldChar w:fldCharType="end"/>
      </w:r>
      <w:r>
        <w:rPr>
          <w:rFonts w:ascii="Times New Roman" w:hAnsi="Times New Roman" w:eastAsia="方正仿宋简体" w:cs="宋体"/>
          <w:sz w:val="32"/>
          <w:szCs w:val="32"/>
        </w:rPr>
        <w:t>135.136.137.138.139.445.3389等高危端口。</w:t>
      </w:r>
    </w:p>
    <w:p>
      <w:pPr>
        <w:spacing w:line="600" w:lineRule="exact"/>
        <w:ind w:firstLine="643" w:firstLineChars="200"/>
        <w:rPr>
          <w:rFonts w:hint="eastAsia" w:ascii="Times New Roman" w:hAnsi="Times New Roman" w:eastAsia="方正仿宋简体" w:cs="宋体"/>
          <w:b/>
          <w:sz w:val="32"/>
          <w:szCs w:val="32"/>
        </w:rPr>
      </w:pPr>
      <w:r>
        <w:rPr>
          <w:rFonts w:ascii="Times New Roman" w:hAnsi="Times New Roman" w:eastAsia="方正仿宋简体" w:cs="宋体"/>
          <w:b/>
          <w:sz w:val="32"/>
          <w:szCs w:val="32"/>
        </w:rPr>
        <w:t>4</w:t>
      </w:r>
      <w:r>
        <w:rPr>
          <w:rFonts w:hint="eastAsia" w:ascii="Times New Roman" w:hAnsi="Times New Roman" w:eastAsia="方正仿宋简体" w:cs="宋体"/>
          <w:b/>
          <w:sz w:val="32"/>
          <w:szCs w:val="32"/>
        </w:rPr>
        <w:t>.组织及管理（项目组织、管理流程及实际执行情况）</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（1）项目组织情况：为确保项目顺利实施，成立了由党组书记任组长，各分管领导为副组长，各业务股室负责人为成员的工作组。按照相关办法规定年初拟定工作计划，经党组审定后再实施。</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（2）项目管理流程：项目资金实行专款专用，专项核算。费用支出是在完成项目后，由分管领导负责审核，再由党组书记签批。帐务处理及时，核算准确规范。</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（3）项目组织实施的实际情况</w:t>
      </w:r>
    </w:p>
    <w:p>
      <w:pPr>
        <w:spacing w:line="600" w:lineRule="exact"/>
        <w:ind w:firstLine="640" w:firstLineChars="200"/>
        <w:rPr>
          <w:rFonts w:ascii="Times New Roman" w:hAnsi="Times New Roman" w:eastAsia="方正仿宋简体" w:cs="宋体"/>
          <w:sz w:val="32"/>
          <w:szCs w:val="32"/>
        </w:rPr>
      </w:pPr>
      <w:r>
        <w:rPr>
          <w:rFonts w:hint="eastAsia" w:ascii="Times New Roman" w:hAnsi="Times New Roman" w:eastAsia="方正仿宋简体" w:cs="宋体"/>
          <w:sz w:val="32"/>
          <w:szCs w:val="32"/>
        </w:rPr>
        <w:t>项目组织实施与预期绩效目标相符。</w:t>
      </w:r>
    </w:p>
    <w:p>
      <w:pPr>
        <w:spacing w:line="600" w:lineRule="exact"/>
        <w:ind w:firstLine="643" w:firstLineChars="200"/>
        <w:rPr>
          <w:rFonts w:ascii="Times New Roman" w:hAnsi="Times New Roman" w:eastAsia="方正楷体简体" w:cs="宋体"/>
          <w:b/>
          <w:sz w:val="32"/>
          <w:szCs w:val="32"/>
        </w:rPr>
      </w:pPr>
      <w:r>
        <w:rPr>
          <w:rFonts w:hint="eastAsia" w:ascii="Times New Roman" w:hAnsi="Times New Roman" w:eastAsia="方正楷体简体" w:cs="宋体"/>
          <w:b/>
          <w:sz w:val="32"/>
          <w:szCs w:val="32"/>
        </w:rPr>
        <w:t>（二）绩效目标</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确保主要用于保障省财政厅大平台业务软件及相关业务软件金财网正常运行。</w:t>
      </w:r>
    </w:p>
    <w:p>
      <w:pPr>
        <w:spacing w:line="600" w:lineRule="exact"/>
        <w:ind w:firstLine="640" w:firstLineChars="200"/>
        <w:rPr>
          <w:rFonts w:ascii="Times New Roman" w:hAnsi="Times New Roman" w:eastAsia="方正黑体简体" w:cs="宋体"/>
          <w:sz w:val="32"/>
          <w:szCs w:val="32"/>
        </w:rPr>
      </w:pPr>
      <w:r>
        <w:rPr>
          <w:rFonts w:hint="eastAsia" w:ascii="Times New Roman" w:hAnsi="Times New Roman" w:eastAsia="方正黑体简体" w:cs="宋体"/>
          <w:sz w:val="32"/>
          <w:szCs w:val="32"/>
        </w:rPr>
        <w:t>二、绩效自评工作情况</w:t>
      </w:r>
    </w:p>
    <w:p>
      <w:pPr>
        <w:spacing w:line="600" w:lineRule="exact"/>
        <w:ind w:firstLine="643" w:firstLineChars="200"/>
        <w:rPr>
          <w:rFonts w:hint="eastAsia" w:ascii="Times New Roman" w:hAnsi="Times New Roman" w:eastAsia="方正楷体简体" w:cs="宋体"/>
          <w:b/>
          <w:sz w:val="32"/>
          <w:szCs w:val="32"/>
        </w:rPr>
      </w:pPr>
      <w:r>
        <w:rPr>
          <w:rFonts w:hint="eastAsia" w:ascii="Times New Roman" w:hAnsi="Times New Roman" w:eastAsia="方正楷体简体" w:cs="宋体"/>
          <w:b/>
          <w:sz w:val="32"/>
          <w:szCs w:val="32"/>
        </w:rPr>
        <w:t>（一）自评工作组织领导</w:t>
      </w:r>
    </w:p>
    <w:p>
      <w:pPr>
        <w:spacing w:line="600" w:lineRule="exact"/>
        <w:ind w:firstLine="640" w:firstLineChars="200"/>
        <w:rPr>
          <w:rFonts w:ascii="Times New Roman" w:hAnsi="Times New Roman" w:eastAsia="方正仿宋简体" w:cs="宋体"/>
          <w:sz w:val="32"/>
          <w:szCs w:val="32"/>
        </w:rPr>
      </w:pPr>
      <w:r>
        <w:rPr>
          <w:rFonts w:hint="eastAsia" w:ascii="Times New Roman" w:hAnsi="Times New Roman" w:eastAsia="方正仿宋简体" w:cs="宋体"/>
          <w:sz w:val="32"/>
          <w:szCs w:val="32"/>
        </w:rPr>
        <w:t>为确保项目顺利实施，成立了由党组书记任组长，各分管领导为副组长，各业务股室负责人为成员的工作组。</w:t>
      </w:r>
    </w:p>
    <w:p>
      <w:pPr>
        <w:spacing w:line="600" w:lineRule="exact"/>
        <w:ind w:firstLine="643" w:firstLineChars="200"/>
        <w:rPr>
          <w:rFonts w:hint="eastAsia" w:ascii="Times New Roman" w:hAnsi="Times New Roman" w:eastAsia="方正楷体简体" w:cs="宋体"/>
          <w:b/>
          <w:sz w:val="32"/>
          <w:szCs w:val="32"/>
        </w:rPr>
      </w:pPr>
      <w:r>
        <w:rPr>
          <w:rFonts w:hint="eastAsia" w:ascii="Times New Roman" w:hAnsi="Times New Roman" w:eastAsia="方正楷体简体" w:cs="宋体"/>
          <w:b/>
          <w:sz w:val="32"/>
          <w:szCs w:val="32"/>
        </w:rPr>
        <w:t>（二）自评方式、方法、重点等</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本单位根据乐财规</w:t>
      </w:r>
      <w:r>
        <w:rPr>
          <w:rFonts w:hint="eastAsia" w:ascii="方正仿宋简体" w:hAnsi="Times New Roman" w:eastAsia="方正仿宋简体" w:cs="宋体"/>
          <w:sz w:val="32"/>
          <w:szCs w:val="32"/>
        </w:rPr>
        <w:t>〔</w:t>
      </w:r>
      <w:r>
        <w:rPr>
          <w:rFonts w:hint="eastAsia" w:ascii="Times New Roman" w:hAnsi="Times New Roman" w:eastAsia="方正仿宋简体" w:cs="宋体"/>
          <w:sz w:val="32"/>
          <w:szCs w:val="32"/>
        </w:rPr>
        <w:t>2021</w:t>
      </w:r>
      <w:r>
        <w:rPr>
          <w:rFonts w:hint="eastAsia" w:ascii="方正仿宋简体" w:hAnsi="Times New Roman" w:eastAsia="方正仿宋简体" w:cs="宋体"/>
          <w:sz w:val="32"/>
          <w:szCs w:val="32"/>
        </w:rPr>
        <w:t>〕</w:t>
      </w:r>
      <w:r>
        <w:rPr>
          <w:rFonts w:hint="eastAsia" w:ascii="Times New Roman" w:hAnsi="Times New Roman" w:eastAsia="方正仿宋简体" w:cs="宋体"/>
          <w:sz w:val="32"/>
          <w:szCs w:val="32"/>
        </w:rPr>
        <w:t>1号精神，绩效自评方式：成本效益分析法、比较法。</w:t>
      </w:r>
    </w:p>
    <w:p>
      <w:pPr>
        <w:spacing w:line="600" w:lineRule="exact"/>
        <w:ind w:firstLine="640" w:firstLineChars="200"/>
        <w:rPr>
          <w:rFonts w:ascii="Times New Roman" w:hAnsi="Times New Roman" w:eastAsia="方正仿宋简体" w:cs="宋体"/>
          <w:sz w:val="32"/>
          <w:szCs w:val="32"/>
        </w:rPr>
      </w:pPr>
      <w:r>
        <w:rPr>
          <w:rFonts w:hint="eastAsia" w:ascii="Times New Roman" w:hAnsi="Times New Roman" w:eastAsia="方正仿宋简体" w:cs="宋体"/>
          <w:sz w:val="32"/>
          <w:szCs w:val="32"/>
        </w:rPr>
        <w:t>绩效评价方法：成本效益分析法---将政策和项目存续期内的支出与效益进行对比分析，以评估政策和项目的资金及管理效率；比较法---通过对绩效目标与预期实施效果、历史与当期情况、不同部门与地区同类政策和项目安排的比较，综合分析政策和项目的绩效情况。</w:t>
      </w:r>
    </w:p>
    <w:p>
      <w:pPr>
        <w:spacing w:line="600" w:lineRule="exact"/>
        <w:ind w:firstLine="640" w:firstLineChars="200"/>
        <w:rPr>
          <w:rFonts w:ascii="Times New Roman" w:hAnsi="Times New Roman" w:eastAsia="方正黑体简体" w:cs="宋体"/>
          <w:sz w:val="32"/>
          <w:szCs w:val="32"/>
        </w:rPr>
      </w:pPr>
      <w:r>
        <w:rPr>
          <w:rFonts w:hint="eastAsia" w:ascii="Times New Roman" w:hAnsi="Times New Roman" w:eastAsia="方正黑体简体" w:cs="宋体"/>
          <w:sz w:val="32"/>
          <w:szCs w:val="32"/>
        </w:rPr>
        <w:t>三、评价结论</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按照依据乐财规〔</w:t>
      </w:r>
      <w:r>
        <w:rPr>
          <w:rFonts w:ascii="Times New Roman" w:hAnsi="Times New Roman" w:eastAsia="方正仿宋简体" w:cs="宋体"/>
          <w:sz w:val="32"/>
          <w:szCs w:val="32"/>
        </w:rPr>
        <w:t>2021</w:t>
      </w:r>
      <w:r>
        <w:rPr>
          <w:rFonts w:hint="eastAsia" w:ascii="Times New Roman" w:hAnsi="Times New Roman" w:eastAsia="方正仿宋简体" w:cs="宋体"/>
          <w:sz w:val="32"/>
          <w:szCs w:val="32"/>
        </w:rPr>
        <w:t>〕</w:t>
      </w:r>
      <w:r>
        <w:rPr>
          <w:rFonts w:ascii="Times New Roman" w:hAnsi="Times New Roman" w:eastAsia="方正仿宋简体" w:cs="宋体"/>
          <w:sz w:val="32"/>
          <w:szCs w:val="32"/>
        </w:rPr>
        <w:t>1</w:t>
      </w:r>
      <w:r>
        <w:rPr>
          <w:rFonts w:hint="eastAsia" w:ascii="Times New Roman" w:hAnsi="Times New Roman" w:eastAsia="方正仿宋简体" w:cs="宋体"/>
          <w:sz w:val="32"/>
          <w:szCs w:val="32"/>
        </w:rPr>
        <w:t>号规定，本年度专项工作经费管理规范，按计划基本完成，对各项职能指标完成情况进行了自检自查，各项工作均已基本完成，项目资金绩效评价自评为优秀</w:t>
      </w:r>
    </w:p>
    <w:p>
      <w:pPr>
        <w:spacing w:line="600" w:lineRule="exact"/>
        <w:ind w:firstLine="640" w:firstLineChars="200"/>
        <w:rPr>
          <w:rFonts w:ascii="Times New Roman" w:hAnsi="Times New Roman" w:eastAsia="方正黑体简体" w:cs="宋体"/>
          <w:sz w:val="32"/>
          <w:szCs w:val="32"/>
        </w:rPr>
      </w:pPr>
      <w:r>
        <w:rPr>
          <w:rFonts w:hint="eastAsia" w:ascii="Times New Roman" w:hAnsi="Times New Roman" w:eastAsia="方正黑体简体" w:cs="宋体"/>
          <w:sz w:val="32"/>
          <w:szCs w:val="32"/>
        </w:rPr>
        <w:t>四、绩效分析</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通过金财网络工程运行项目，确保了乐至县191个金财网点设施设备及数据安全，提高了全县资金支付效率，完善财政资金安全系统，为公众提供了优质服务，为维护社会稳定和发展做出了积极贡献。现目前各阶段具体实际情况与目标基本一致，无差异。</w:t>
      </w:r>
    </w:p>
    <w:p>
      <w:pPr>
        <w:spacing w:line="600" w:lineRule="exact"/>
        <w:ind w:firstLine="640" w:firstLineChars="200"/>
        <w:rPr>
          <w:rFonts w:ascii="Times New Roman" w:hAnsi="Times New Roman" w:eastAsia="方正黑体简体" w:cs="宋体"/>
          <w:sz w:val="32"/>
          <w:szCs w:val="32"/>
        </w:rPr>
      </w:pPr>
      <w:r>
        <w:rPr>
          <w:rFonts w:hint="eastAsia" w:ascii="Times New Roman" w:hAnsi="Times New Roman" w:eastAsia="方正黑体简体" w:cs="宋体"/>
          <w:sz w:val="32"/>
          <w:szCs w:val="32"/>
        </w:rPr>
        <w:t>五、主要经验及做法、存在的问题和建议</w:t>
      </w:r>
    </w:p>
    <w:p>
      <w:pPr>
        <w:spacing w:line="600" w:lineRule="exact"/>
        <w:ind w:firstLine="643" w:firstLineChars="200"/>
        <w:rPr>
          <w:rFonts w:hint="eastAsia" w:ascii="Times New Roman" w:hAnsi="Times New Roman" w:eastAsia="方正楷体简体" w:cs="宋体"/>
          <w:b/>
          <w:sz w:val="32"/>
          <w:szCs w:val="32"/>
        </w:rPr>
      </w:pPr>
      <w:r>
        <w:rPr>
          <w:rFonts w:hint="eastAsia" w:ascii="Times New Roman" w:hAnsi="Times New Roman" w:eastAsia="方正楷体简体" w:cs="宋体"/>
          <w:b/>
          <w:sz w:val="32"/>
          <w:szCs w:val="32"/>
        </w:rPr>
        <w:t>（一）主要经验及做法</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定期对局机房机房的供电设备运行情况进行检查；对机房内相关网络安全管理系统进行升级；提供操作系统性能调优；对日志文件和空间整理、分析等，系统运行性能监控、应用服务层的运行状况监控；对服务器定期检查：服务器运行状态、资源使用情况检查、应用软件的运行状态、系统日志的检查，填写检测日志；保证全县金财网络安全运行。</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所有开支均按照我单位财务管理制度执行，资金的使用严格把关，整个项目的运行完全按照我单位内部管理制度执行。单位内部不定期进行抽查，严格遵守纪律，不存在违规违法的问题。</w:t>
      </w:r>
    </w:p>
    <w:p>
      <w:pPr>
        <w:spacing w:line="600" w:lineRule="exact"/>
        <w:ind w:firstLine="643" w:firstLineChars="200"/>
        <w:rPr>
          <w:rFonts w:hint="eastAsia" w:ascii="Times New Roman" w:hAnsi="Times New Roman" w:eastAsia="方正楷体简体" w:cs="宋体"/>
          <w:b/>
          <w:sz w:val="32"/>
          <w:szCs w:val="32"/>
        </w:rPr>
      </w:pPr>
      <w:r>
        <w:rPr>
          <w:rFonts w:hint="eastAsia" w:ascii="Times New Roman" w:hAnsi="Times New Roman" w:eastAsia="方正楷体简体" w:cs="宋体"/>
          <w:b/>
          <w:sz w:val="32"/>
          <w:szCs w:val="32"/>
        </w:rPr>
        <w:t>（二）存在的问题</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在项目业务方面：可能会存在金财网断网的情况，对全县金财网支付进度产生影响，对相关项目经费未做到更完善的审核程序；</w:t>
      </w:r>
    </w:p>
    <w:p>
      <w:pPr>
        <w:spacing w:line="600" w:lineRule="exact"/>
        <w:ind w:firstLine="640" w:firstLineChars="200"/>
        <w:rPr>
          <w:rFonts w:hint="eastAsia" w:ascii="Times New Roman" w:hAnsi="Times New Roman" w:eastAsia="方正仿宋简体" w:cs="宋体"/>
          <w:sz w:val="32"/>
          <w:szCs w:val="32"/>
        </w:rPr>
      </w:pPr>
      <w:r>
        <w:rPr>
          <w:rFonts w:hint="eastAsia" w:ascii="Times New Roman" w:hAnsi="Times New Roman" w:eastAsia="方正仿宋简体" w:cs="宋体"/>
          <w:sz w:val="32"/>
          <w:szCs w:val="32"/>
        </w:rPr>
        <w:t>在绩效评价方面：对项目支出绩效管理工作经验不足，项目的部分成果无法用量化指标形式表示，在绩效考评指标的细化上还有待完善。</w:t>
      </w:r>
    </w:p>
    <w:p>
      <w:pPr>
        <w:spacing w:line="600" w:lineRule="exact"/>
        <w:ind w:firstLine="643" w:firstLineChars="200"/>
        <w:rPr>
          <w:rFonts w:ascii="Times New Roman" w:hAnsi="Times New Roman" w:eastAsia="方正楷体简体" w:cs="宋体"/>
          <w:b/>
          <w:sz w:val="32"/>
          <w:szCs w:val="32"/>
        </w:rPr>
      </w:pPr>
      <w:r>
        <w:rPr>
          <w:rFonts w:hint="eastAsia" w:ascii="Times New Roman" w:hAnsi="Times New Roman" w:eastAsia="方正楷体简体" w:cs="宋体"/>
          <w:b/>
          <w:sz w:val="32"/>
          <w:szCs w:val="32"/>
        </w:rPr>
        <w:t>（三）建议和改进措施</w:t>
      </w:r>
    </w:p>
    <w:p>
      <w:pPr>
        <w:spacing w:line="600" w:lineRule="exact"/>
        <w:ind w:firstLine="640" w:firstLineChars="200"/>
        <w:rPr>
          <w:rFonts w:hint="eastAsia" w:eastAsia="方正仿宋简体"/>
        </w:rPr>
        <w:sectPr>
          <w:pgSz w:w="11906" w:h="16838"/>
          <w:pgMar w:top="2098" w:right="1474" w:bottom="1928" w:left="1587" w:header="851" w:footer="992" w:gutter="0"/>
          <w:cols w:space="720" w:num="1"/>
          <w:docGrid w:type="lines" w:linePitch="312" w:charSpace="0"/>
        </w:sectPr>
      </w:pPr>
      <w:r>
        <w:rPr>
          <w:rFonts w:hint="eastAsia" w:ascii="Times New Roman" w:hAnsi="Times New Roman" w:eastAsia="方正仿宋简体" w:cs="宋体"/>
          <w:sz w:val="32"/>
          <w:szCs w:val="32"/>
        </w:rPr>
        <w:t>加强自身学习，提高业务能力水平，多吸取优秀经验，让项目经费指标更加完善。</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5" w:type="default"/>
          <w:footerReference r:id="rId6" w:type="even"/>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金财网络运行</w:t>
      </w:r>
      <w:r>
        <w:rPr>
          <w:rFonts w:hint="eastAsia" w:eastAsia="方正楷体简体"/>
          <w:b/>
          <w:bCs/>
          <w:kern w:val="0"/>
          <w:sz w:val="32"/>
          <w:szCs w:val="32"/>
        </w:rPr>
        <w:t>项目）</w:t>
      </w:r>
    </w:p>
    <w:p>
      <w:pPr>
        <w:spacing w:line="620" w:lineRule="exact"/>
        <w:rPr>
          <w:sz w:val="24"/>
        </w:rPr>
      </w:pPr>
      <w:r>
        <w:rPr>
          <w:rFonts w:hint="eastAsia"/>
          <w:bCs/>
          <w:kern w:val="0"/>
          <w:sz w:val="24"/>
        </w:rPr>
        <w:t>预算单位名称：</w:t>
      </w:r>
      <w:r>
        <w:rPr>
          <w:bCs/>
          <w:kern w:val="0"/>
          <w:sz w:val="24"/>
        </w:rPr>
        <w:t xml:space="preserve">                 </w:t>
      </w:r>
      <w:r>
        <w:rPr>
          <w:rFonts w:hint="eastAsia"/>
          <w:bCs/>
          <w:kern w:val="0"/>
          <w:sz w:val="24"/>
        </w:rPr>
        <w:t>预算单位编码：</w:t>
      </w:r>
      <w:r>
        <w:rPr>
          <w:bCs/>
          <w:kern w:val="0"/>
          <w:sz w:val="24"/>
        </w:rPr>
        <w:t xml:space="preserve">                  </w:t>
      </w:r>
      <w:r>
        <w:rPr>
          <w:rFonts w:hint="eastAsia"/>
          <w:bCs/>
          <w:kern w:val="0"/>
          <w:sz w:val="24"/>
        </w:rPr>
        <w:t>自评等级：</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714" w:type="dxa"/>
            <w:tcBorders>
              <w:top w:val="single" w:color="auto" w:sz="12" w:space="0"/>
            </w:tcBorders>
            <w:shd w:val="clear" w:color="auto" w:fill="FFFFFF"/>
            <w:noWrap w:val="0"/>
            <w:vAlign w:val="center"/>
          </w:tcPr>
          <w:p>
            <w:pPr>
              <w:widowControl/>
              <w:spacing w:line="280" w:lineRule="exact"/>
              <w:jc w:val="center"/>
              <w:rPr>
                <w:rFonts w:hint="eastAsia" w:eastAsia="黑体" w:cs="黑体"/>
                <w:kern w:val="0"/>
                <w:sz w:val="21"/>
                <w:szCs w:val="21"/>
              </w:rPr>
            </w:pPr>
            <w:r>
              <w:rPr>
                <w:rFonts w:hint="eastAsia" w:eastAsia="黑体" w:cs="黑体"/>
                <w:kern w:val="0"/>
                <w:sz w:val="21"/>
                <w:szCs w:val="21"/>
              </w:rPr>
              <w:t>一级</w:t>
            </w:r>
          </w:p>
          <w:p>
            <w:pPr>
              <w:widowControl/>
              <w:spacing w:line="280" w:lineRule="exact"/>
              <w:jc w:val="center"/>
              <w:rPr>
                <w:rFonts w:eastAsia="方正黑体简体"/>
                <w:bCs/>
                <w:kern w:val="0"/>
                <w:szCs w:val="21"/>
              </w:rPr>
            </w:pPr>
            <w:r>
              <w:rPr>
                <w:rFonts w:hint="eastAsia" w:eastAsia="黑体" w:cs="黑体"/>
                <w:kern w:val="0"/>
                <w:sz w:val="21"/>
                <w:szCs w:val="21"/>
              </w:rPr>
              <w:t>指标</w:t>
            </w:r>
          </w:p>
        </w:tc>
        <w:tc>
          <w:tcPr>
            <w:tcW w:w="702" w:type="dxa"/>
            <w:tcBorders>
              <w:top w:val="single" w:color="auto" w:sz="12" w:space="0"/>
            </w:tcBorders>
            <w:shd w:val="clear" w:color="auto" w:fill="FFFFFF"/>
            <w:noWrap w:val="0"/>
            <w:vAlign w:val="center"/>
          </w:tcPr>
          <w:p>
            <w:pPr>
              <w:widowControl/>
              <w:spacing w:line="280" w:lineRule="exact"/>
              <w:jc w:val="center"/>
              <w:rPr>
                <w:rFonts w:hint="eastAsia" w:eastAsia="黑体" w:cs="黑体"/>
                <w:kern w:val="0"/>
                <w:sz w:val="21"/>
                <w:szCs w:val="21"/>
              </w:rPr>
            </w:pPr>
            <w:r>
              <w:rPr>
                <w:rFonts w:hint="eastAsia" w:eastAsia="黑体" w:cs="黑体"/>
                <w:kern w:val="0"/>
                <w:sz w:val="21"/>
                <w:szCs w:val="21"/>
              </w:rPr>
              <w:t>二级</w:t>
            </w:r>
          </w:p>
          <w:p>
            <w:pPr>
              <w:widowControl/>
              <w:spacing w:line="280" w:lineRule="exact"/>
              <w:jc w:val="center"/>
              <w:rPr>
                <w:rFonts w:eastAsia="方正黑体简体"/>
                <w:bCs/>
                <w:kern w:val="0"/>
                <w:szCs w:val="21"/>
              </w:rPr>
            </w:pPr>
            <w:r>
              <w:rPr>
                <w:rFonts w:hint="eastAsia" w:eastAsia="黑体" w:cs="黑体"/>
                <w:kern w:val="0"/>
                <w:sz w:val="21"/>
                <w:szCs w:val="21"/>
              </w:rPr>
              <w:t>指标</w:t>
            </w:r>
          </w:p>
        </w:tc>
        <w:tc>
          <w:tcPr>
            <w:tcW w:w="851" w:type="dxa"/>
            <w:tcBorders>
              <w:top w:val="single" w:color="auto" w:sz="12" w:space="0"/>
            </w:tcBorders>
            <w:shd w:val="clear" w:color="auto" w:fill="FFFFFF"/>
            <w:noWrap w:val="0"/>
            <w:vAlign w:val="center"/>
          </w:tcPr>
          <w:p>
            <w:pPr>
              <w:widowControl/>
              <w:spacing w:line="280" w:lineRule="exact"/>
              <w:jc w:val="center"/>
              <w:rPr>
                <w:rFonts w:eastAsia="黑体" w:cs="黑体"/>
                <w:kern w:val="0"/>
                <w:sz w:val="21"/>
                <w:szCs w:val="21"/>
              </w:rPr>
            </w:pPr>
            <w:r>
              <w:rPr>
                <w:rFonts w:hint="eastAsia" w:eastAsia="黑体" w:cs="黑体"/>
                <w:kern w:val="0"/>
                <w:sz w:val="21"/>
                <w:szCs w:val="21"/>
              </w:rPr>
              <w:t>三级</w:t>
            </w:r>
          </w:p>
          <w:p>
            <w:pPr>
              <w:widowControl/>
              <w:spacing w:line="280" w:lineRule="exact"/>
              <w:jc w:val="center"/>
              <w:rPr>
                <w:rFonts w:eastAsia="方正黑体简体"/>
                <w:bCs/>
                <w:kern w:val="0"/>
                <w:szCs w:val="21"/>
              </w:rPr>
            </w:pPr>
            <w:r>
              <w:rPr>
                <w:rFonts w:hint="eastAsia" w:eastAsia="黑体" w:cs="黑体"/>
                <w:kern w:val="0"/>
                <w:sz w:val="21"/>
                <w:szCs w:val="21"/>
              </w:rPr>
              <w:t>指标</w:t>
            </w:r>
          </w:p>
        </w:tc>
        <w:tc>
          <w:tcPr>
            <w:tcW w:w="1700" w:type="dxa"/>
            <w:tcBorders>
              <w:top w:val="single" w:color="auto" w:sz="12" w:space="0"/>
            </w:tcBorders>
            <w:shd w:val="clear" w:color="auto" w:fill="FFFFFF"/>
            <w:noWrap w:val="0"/>
            <w:vAlign w:val="center"/>
          </w:tcPr>
          <w:p>
            <w:pPr>
              <w:widowControl/>
              <w:spacing w:line="280" w:lineRule="exact"/>
              <w:jc w:val="center"/>
              <w:rPr>
                <w:rFonts w:eastAsia="方正黑体简体"/>
                <w:bCs/>
                <w:kern w:val="0"/>
                <w:szCs w:val="21"/>
              </w:rPr>
            </w:pPr>
            <w:r>
              <w:rPr>
                <w:rFonts w:hint="eastAsia" w:eastAsia="黑体" w:cs="黑体"/>
                <w:kern w:val="0"/>
                <w:sz w:val="21"/>
                <w:szCs w:val="21"/>
              </w:rPr>
              <w:t>指标解释</w:t>
            </w:r>
          </w:p>
        </w:tc>
        <w:tc>
          <w:tcPr>
            <w:tcW w:w="3539" w:type="dxa"/>
            <w:tcBorders>
              <w:top w:val="single" w:color="auto" w:sz="12" w:space="0"/>
            </w:tcBorders>
            <w:shd w:val="clear" w:color="auto" w:fill="FFFFFF"/>
            <w:noWrap w:val="0"/>
            <w:vAlign w:val="center"/>
          </w:tcPr>
          <w:p>
            <w:pPr>
              <w:widowControl/>
              <w:spacing w:line="280" w:lineRule="exact"/>
              <w:jc w:val="center"/>
              <w:rPr>
                <w:rFonts w:eastAsia="方正黑体简体"/>
                <w:bCs/>
                <w:kern w:val="0"/>
                <w:szCs w:val="21"/>
              </w:rPr>
            </w:pPr>
            <w:r>
              <w:rPr>
                <w:rFonts w:hint="eastAsia" w:eastAsia="黑体" w:cs="黑体"/>
                <w:kern w:val="0"/>
                <w:sz w:val="21"/>
                <w:szCs w:val="21"/>
              </w:rPr>
              <w:t>指标说明（评价计分标准）</w:t>
            </w:r>
          </w:p>
        </w:tc>
        <w:tc>
          <w:tcPr>
            <w:tcW w:w="707" w:type="dxa"/>
            <w:tcBorders>
              <w:top w:val="single" w:color="auto" w:sz="12" w:space="0"/>
            </w:tcBorders>
            <w:shd w:val="clear" w:color="auto" w:fill="FFFFFF"/>
            <w:noWrap w:val="0"/>
            <w:vAlign w:val="center"/>
          </w:tcPr>
          <w:p>
            <w:pPr>
              <w:widowControl/>
              <w:spacing w:line="280" w:lineRule="exact"/>
              <w:jc w:val="center"/>
              <w:rPr>
                <w:rFonts w:eastAsia="黑体" w:cs="黑体"/>
                <w:kern w:val="0"/>
                <w:sz w:val="21"/>
                <w:szCs w:val="21"/>
              </w:rPr>
            </w:pPr>
            <w:r>
              <w:rPr>
                <w:rFonts w:hint="eastAsia" w:eastAsia="黑体" w:cs="黑体"/>
                <w:kern w:val="0"/>
                <w:sz w:val="21"/>
                <w:szCs w:val="21"/>
              </w:rPr>
              <w:t>自评</w:t>
            </w:r>
          </w:p>
          <w:p>
            <w:pPr>
              <w:widowControl/>
              <w:spacing w:line="280" w:lineRule="exact"/>
              <w:jc w:val="center"/>
              <w:rPr>
                <w:rFonts w:eastAsia="方正黑体简体"/>
                <w:bCs/>
                <w:kern w:val="0"/>
                <w:szCs w:val="21"/>
              </w:rPr>
            </w:pPr>
            <w:r>
              <w:rPr>
                <w:rFonts w:hint="eastAsia" w:eastAsia="黑体" w:cs="黑体"/>
                <w:kern w:val="0"/>
                <w:sz w:val="21"/>
                <w:szCs w:val="21"/>
              </w:rPr>
              <w:t>分数</w:t>
            </w:r>
          </w:p>
        </w:tc>
        <w:tc>
          <w:tcPr>
            <w:tcW w:w="900" w:type="dxa"/>
            <w:tcBorders>
              <w:top w:val="single" w:color="auto" w:sz="12" w:space="0"/>
            </w:tcBorders>
            <w:shd w:val="clear" w:color="auto" w:fill="FFFFFF"/>
            <w:noWrap w:val="0"/>
            <w:vAlign w:val="center"/>
          </w:tcPr>
          <w:p>
            <w:pPr>
              <w:widowControl/>
              <w:spacing w:line="280" w:lineRule="exact"/>
              <w:jc w:val="center"/>
              <w:rPr>
                <w:rFonts w:eastAsia="方正黑体简体"/>
                <w:bCs/>
                <w:kern w:val="0"/>
                <w:szCs w:val="21"/>
              </w:rPr>
            </w:pPr>
            <w:r>
              <w:rPr>
                <w:rFonts w:hint="eastAsia" w:eastAsia="黑体" w:cs="黑体"/>
                <w:kern w:val="0"/>
                <w:sz w:val="21"/>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714" w:type="dxa"/>
            <w:vMerge w:val="restart"/>
            <w:shd w:val="clear" w:color="auto" w:fill="FFFFFF"/>
            <w:noWrap/>
            <w:textDirection w:val="tbRlV"/>
            <w:vAlign w:val="center"/>
          </w:tcPr>
          <w:p>
            <w:pPr>
              <w:widowControl/>
              <w:spacing w:line="280" w:lineRule="exact"/>
              <w:jc w:val="center"/>
              <w:rPr>
                <w:kern w:val="0"/>
                <w:szCs w:val="21"/>
              </w:rPr>
            </w:pPr>
            <w:r>
              <w:rPr>
                <w:rFonts w:hint="eastAsia" w:eastAsia="宋体"/>
                <w:kern w:val="0"/>
                <w:sz w:val="21"/>
                <w:szCs w:val="21"/>
              </w:rPr>
              <w:t>投</w:t>
            </w:r>
            <w:r>
              <w:rPr>
                <w:rFonts w:eastAsia="宋体"/>
                <w:kern w:val="0"/>
                <w:sz w:val="21"/>
                <w:szCs w:val="21"/>
              </w:rPr>
              <w:t xml:space="preserve">   </w:t>
            </w:r>
            <w:r>
              <w:rPr>
                <w:rFonts w:hint="eastAsia" w:eastAsia="宋体"/>
                <w:kern w:val="0"/>
                <w:sz w:val="21"/>
                <w:szCs w:val="21"/>
              </w:rPr>
              <w:t>入（</w:t>
            </w:r>
            <w:r>
              <w:rPr>
                <w:rFonts w:eastAsia="宋体"/>
                <w:kern w:val="0"/>
                <w:sz w:val="21"/>
                <w:szCs w:val="21"/>
              </w:rPr>
              <w:t>25</w:t>
            </w:r>
            <w:r>
              <w:rPr>
                <w:rFonts w:hint="eastAsia" w:eastAsia="宋体"/>
                <w:kern w:val="0"/>
                <w:sz w:val="21"/>
                <w:szCs w:val="21"/>
              </w:rPr>
              <w:t>分）</w:t>
            </w:r>
          </w:p>
        </w:tc>
        <w:tc>
          <w:tcPr>
            <w:tcW w:w="702" w:type="dxa"/>
            <w:vMerge w:val="restart"/>
            <w:shd w:val="clear" w:color="auto" w:fill="FFFFFF"/>
            <w:noWrap w:val="0"/>
            <w:vAlign w:val="center"/>
          </w:tcPr>
          <w:p>
            <w:pPr>
              <w:widowControl/>
              <w:spacing w:line="280" w:lineRule="exact"/>
              <w:jc w:val="center"/>
              <w:rPr>
                <w:kern w:val="0"/>
                <w:szCs w:val="21"/>
              </w:rPr>
            </w:pPr>
            <w:r>
              <w:rPr>
                <w:rFonts w:hint="eastAsia" w:eastAsia="宋体"/>
                <w:kern w:val="0"/>
                <w:sz w:val="21"/>
                <w:szCs w:val="21"/>
              </w:rPr>
              <w:t>项目</w:t>
            </w:r>
            <w:r>
              <w:rPr>
                <w:rFonts w:eastAsia="宋体"/>
                <w:kern w:val="0"/>
                <w:sz w:val="21"/>
                <w:szCs w:val="21"/>
              </w:rPr>
              <w:br w:type="textWrapping"/>
            </w:r>
            <w:r>
              <w:rPr>
                <w:rFonts w:hint="eastAsia" w:eastAsia="宋体"/>
                <w:kern w:val="0"/>
                <w:sz w:val="21"/>
                <w:szCs w:val="21"/>
              </w:rPr>
              <w:t>立项（</w:t>
            </w:r>
            <w:r>
              <w:rPr>
                <w:rFonts w:eastAsia="宋体"/>
                <w:kern w:val="0"/>
                <w:sz w:val="21"/>
                <w:szCs w:val="21"/>
              </w:rPr>
              <w:t>15</w:t>
            </w:r>
            <w:r>
              <w:rPr>
                <w:rFonts w:hint="eastAsia" w:eastAsia="宋体"/>
                <w:kern w:val="0"/>
                <w:sz w:val="21"/>
                <w:szCs w:val="21"/>
              </w:rPr>
              <w:t>分）</w:t>
            </w: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项目立项规范性（</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项目的申请、设立过程是否符合相关要求，用以反映和考核项目立项的规范情况。</w:t>
            </w:r>
          </w:p>
        </w:tc>
        <w:tc>
          <w:tcPr>
            <w:tcW w:w="3539" w:type="dxa"/>
            <w:shd w:val="clear" w:color="auto" w:fill="FFFFFF"/>
            <w:noWrap w:val="0"/>
            <w:vAlign w:val="center"/>
          </w:tcPr>
          <w:p>
            <w:pPr>
              <w:widowControl/>
              <w:spacing w:line="280" w:lineRule="exact"/>
              <w:jc w:val="left"/>
              <w:rPr>
                <w:rFonts w:hint="eastAsia" w:eastAsia="宋体"/>
                <w:kern w:val="0"/>
                <w:sz w:val="21"/>
                <w:szCs w:val="21"/>
              </w:rPr>
            </w:pPr>
            <w:r>
              <w:rPr>
                <w:rFonts w:hint="eastAsia" w:eastAsia="宋体"/>
                <w:kern w:val="0"/>
                <w:sz w:val="21"/>
                <w:szCs w:val="21"/>
              </w:rPr>
              <w:t>①项目是否按照规定的程序申请设立；（</w:t>
            </w:r>
            <w:r>
              <w:rPr>
                <w:rFonts w:eastAsia="宋体"/>
                <w:kern w:val="0"/>
                <w:sz w:val="21"/>
                <w:szCs w:val="21"/>
              </w:rPr>
              <w:t>1</w:t>
            </w:r>
            <w:r>
              <w:rPr>
                <w:rFonts w:hint="eastAsia" w:eastAsia="宋体"/>
                <w:kern w:val="0"/>
                <w:sz w:val="21"/>
                <w:szCs w:val="21"/>
              </w:rPr>
              <w:t>分）</w:t>
            </w:r>
          </w:p>
          <w:p>
            <w:pPr>
              <w:widowControl/>
              <w:spacing w:line="280" w:lineRule="exact"/>
              <w:jc w:val="left"/>
              <w:rPr>
                <w:rFonts w:hint="eastAsia" w:eastAsia="宋体"/>
                <w:kern w:val="0"/>
                <w:sz w:val="21"/>
                <w:szCs w:val="21"/>
              </w:rPr>
            </w:pPr>
            <w:r>
              <w:rPr>
                <w:rFonts w:hint="eastAsia" w:eastAsia="宋体"/>
                <w:kern w:val="0"/>
                <w:sz w:val="21"/>
                <w:szCs w:val="21"/>
              </w:rPr>
              <w:t>②所提交的文件、材料是否符合相关要求；（</w:t>
            </w:r>
            <w:r>
              <w:rPr>
                <w:rFonts w:eastAsia="宋体"/>
                <w:kern w:val="0"/>
                <w:sz w:val="21"/>
                <w:szCs w:val="21"/>
              </w:rPr>
              <w:t>2</w:t>
            </w:r>
            <w:r>
              <w:rPr>
                <w:rFonts w:hint="eastAsia" w:eastAsia="宋体"/>
                <w:kern w:val="0"/>
                <w:sz w:val="21"/>
                <w:szCs w:val="21"/>
              </w:rPr>
              <w:t>分）</w:t>
            </w:r>
          </w:p>
          <w:p>
            <w:pPr>
              <w:widowControl/>
              <w:spacing w:line="280" w:lineRule="exact"/>
              <w:jc w:val="left"/>
              <w:rPr>
                <w:kern w:val="0"/>
                <w:szCs w:val="21"/>
              </w:rPr>
            </w:pPr>
            <w:r>
              <w:rPr>
                <w:rFonts w:hint="eastAsia" w:eastAsia="宋体"/>
                <w:kern w:val="0"/>
                <w:sz w:val="21"/>
                <w:szCs w:val="21"/>
              </w:rPr>
              <w:t>③事前是否已经过必要的可行性研究、专家论证、风险评估、集体决策等。（</w:t>
            </w:r>
            <w:r>
              <w:rPr>
                <w:rFonts w:eastAsia="宋体"/>
                <w:kern w:val="0"/>
                <w:sz w:val="21"/>
                <w:szCs w:val="21"/>
              </w:rPr>
              <w:t>2</w:t>
            </w:r>
            <w:r>
              <w:rPr>
                <w:rFonts w:hint="eastAsia" w:eastAsia="宋体"/>
                <w:kern w:val="0"/>
                <w:sz w:val="21"/>
                <w:szCs w:val="21"/>
              </w:rPr>
              <w:t>分）</w:t>
            </w:r>
          </w:p>
        </w:tc>
        <w:tc>
          <w:tcPr>
            <w:tcW w:w="707" w:type="dxa"/>
            <w:noWrap/>
            <w:vAlign w:val="center"/>
          </w:tcPr>
          <w:p>
            <w:pPr>
              <w:widowControl/>
              <w:spacing w:line="280" w:lineRule="exact"/>
              <w:jc w:val="left"/>
              <w:rPr>
                <w:kern w:val="0"/>
                <w:szCs w:val="21"/>
              </w:rPr>
            </w:pPr>
            <w:r>
              <w:rPr>
                <w:rFonts w:hint="eastAsia" w:eastAsia="宋体"/>
                <w:kern w:val="0"/>
                <w:sz w:val="21"/>
                <w:szCs w:val="21"/>
              </w:rPr>
              <w:t>　5</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714" w:type="dxa"/>
            <w:vMerge w:val="continue"/>
            <w:shd w:val="clear" w:color="auto" w:fill="auto"/>
            <w:noWrap w:val="0"/>
            <w:vAlign w:val="center"/>
          </w:tcPr>
          <w:p>
            <w:pPr>
              <w:widowControl/>
              <w:spacing w:line="280" w:lineRule="exact"/>
              <w:jc w:val="left"/>
              <w:rPr>
                <w:kern w:val="0"/>
                <w:szCs w:val="21"/>
              </w:rPr>
            </w:pPr>
          </w:p>
        </w:tc>
        <w:tc>
          <w:tcPr>
            <w:tcW w:w="702" w:type="dxa"/>
            <w:vMerge w:val="continue"/>
            <w:shd w:val="clear" w:color="auto" w:fill="auto"/>
            <w:noWrap w:val="0"/>
            <w:vAlign w:val="center"/>
          </w:tcPr>
          <w:p>
            <w:pPr>
              <w:widowControl/>
              <w:spacing w:line="280" w:lineRule="exact"/>
              <w:jc w:val="left"/>
              <w:rPr>
                <w:kern w:val="0"/>
                <w:szCs w:val="21"/>
              </w:rPr>
            </w:pP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绩效目标合理性（</w:t>
            </w:r>
            <w:r>
              <w:rPr>
                <w:rFonts w:eastAsia="宋体"/>
                <w:kern w:val="0"/>
                <w:sz w:val="21"/>
                <w:szCs w:val="21"/>
              </w:rPr>
              <w:t>4</w:t>
            </w:r>
            <w:r>
              <w:rPr>
                <w:rFonts w:hint="eastAsia" w:eastAsia="宋体"/>
                <w:kern w:val="0"/>
                <w:sz w:val="21"/>
                <w:szCs w:val="21"/>
              </w:rPr>
              <w:t>分）</w:t>
            </w:r>
          </w:p>
        </w:tc>
        <w:tc>
          <w:tcPr>
            <w:tcW w:w="1700"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项目所设定的绩效目标是否依据充分，是否符合客观实际，用以反映和考核项目绩效目标与项目实施的相符情况。</w:t>
            </w:r>
          </w:p>
        </w:tc>
        <w:tc>
          <w:tcPr>
            <w:tcW w:w="3539" w:type="dxa"/>
            <w:shd w:val="clear" w:color="auto" w:fill="FFFFFF"/>
            <w:noWrap w:val="0"/>
            <w:vAlign w:val="center"/>
          </w:tcPr>
          <w:p>
            <w:pPr>
              <w:widowControl/>
              <w:spacing w:line="280" w:lineRule="exact"/>
              <w:jc w:val="left"/>
              <w:rPr>
                <w:rFonts w:hint="eastAsia" w:eastAsia="宋体"/>
                <w:kern w:val="0"/>
                <w:sz w:val="21"/>
                <w:szCs w:val="21"/>
              </w:rPr>
            </w:pPr>
            <w:r>
              <w:rPr>
                <w:rFonts w:hint="eastAsia" w:eastAsia="宋体"/>
                <w:kern w:val="0"/>
                <w:sz w:val="21"/>
                <w:szCs w:val="21"/>
              </w:rPr>
              <w:t>①是否符合国家相关法律法规、国民经济发展规划和党委政府决策；（</w:t>
            </w:r>
            <w:r>
              <w:rPr>
                <w:rFonts w:eastAsia="宋体"/>
                <w:kern w:val="0"/>
                <w:sz w:val="21"/>
                <w:szCs w:val="21"/>
              </w:rPr>
              <w:t>1</w:t>
            </w:r>
            <w:r>
              <w:rPr>
                <w:rFonts w:hint="eastAsia" w:eastAsia="宋体"/>
                <w:kern w:val="0"/>
                <w:sz w:val="21"/>
                <w:szCs w:val="21"/>
              </w:rPr>
              <w:t>分）</w:t>
            </w:r>
          </w:p>
          <w:p>
            <w:pPr>
              <w:widowControl/>
              <w:spacing w:line="280" w:lineRule="exact"/>
              <w:jc w:val="left"/>
              <w:rPr>
                <w:rFonts w:hint="eastAsia" w:eastAsia="宋体"/>
                <w:kern w:val="0"/>
                <w:sz w:val="21"/>
                <w:szCs w:val="21"/>
              </w:rPr>
            </w:pPr>
            <w:r>
              <w:rPr>
                <w:rFonts w:hint="eastAsia" w:eastAsia="宋体"/>
                <w:kern w:val="0"/>
                <w:sz w:val="21"/>
                <w:szCs w:val="21"/>
              </w:rPr>
              <w:t>②是否与项目实施单位或委托单位职责密切相关；（</w:t>
            </w:r>
            <w:r>
              <w:rPr>
                <w:rFonts w:eastAsia="宋体"/>
                <w:kern w:val="0"/>
                <w:sz w:val="21"/>
                <w:szCs w:val="21"/>
              </w:rPr>
              <w:t>1</w:t>
            </w:r>
            <w:r>
              <w:rPr>
                <w:rFonts w:hint="eastAsia" w:eastAsia="宋体"/>
                <w:kern w:val="0"/>
                <w:sz w:val="21"/>
                <w:szCs w:val="21"/>
              </w:rPr>
              <w:t>分）</w:t>
            </w:r>
          </w:p>
          <w:p>
            <w:pPr>
              <w:widowControl/>
              <w:spacing w:line="280" w:lineRule="exact"/>
              <w:jc w:val="left"/>
              <w:rPr>
                <w:rFonts w:hint="eastAsia" w:eastAsia="宋体"/>
                <w:kern w:val="0"/>
                <w:sz w:val="21"/>
                <w:szCs w:val="21"/>
              </w:rPr>
            </w:pPr>
            <w:r>
              <w:rPr>
                <w:rFonts w:hint="eastAsia" w:eastAsia="宋体"/>
                <w:kern w:val="0"/>
                <w:sz w:val="21"/>
                <w:szCs w:val="21"/>
              </w:rPr>
              <w:t>③项目是否为促进事业发展所必需；（</w:t>
            </w:r>
            <w:r>
              <w:rPr>
                <w:rFonts w:eastAsia="宋体"/>
                <w:kern w:val="0"/>
                <w:sz w:val="21"/>
                <w:szCs w:val="21"/>
              </w:rPr>
              <w:t>1</w:t>
            </w:r>
            <w:r>
              <w:rPr>
                <w:rFonts w:hint="eastAsia" w:eastAsia="宋体"/>
                <w:kern w:val="0"/>
                <w:sz w:val="21"/>
                <w:szCs w:val="21"/>
              </w:rPr>
              <w:t>分）</w:t>
            </w:r>
          </w:p>
          <w:p>
            <w:pPr>
              <w:widowControl/>
              <w:spacing w:line="280" w:lineRule="exact"/>
              <w:jc w:val="left"/>
              <w:rPr>
                <w:kern w:val="0"/>
                <w:szCs w:val="21"/>
              </w:rPr>
            </w:pPr>
            <w:r>
              <w:rPr>
                <w:rFonts w:hint="eastAsia" w:eastAsia="宋体"/>
                <w:kern w:val="0"/>
                <w:sz w:val="21"/>
                <w:szCs w:val="21"/>
              </w:rPr>
              <w:t>④项目预期产出效益和效果是否符合正常的业绩水平。（</w:t>
            </w:r>
            <w:r>
              <w:rPr>
                <w:rFonts w:eastAsia="宋体"/>
                <w:kern w:val="0"/>
                <w:sz w:val="21"/>
                <w:szCs w:val="21"/>
              </w:rPr>
              <w:t>1</w:t>
            </w:r>
            <w:r>
              <w:rPr>
                <w:rFonts w:hint="eastAsia" w:eastAsia="宋体"/>
                <w:kern w:val="0"/>
                <w:sz w:val="21"/>
                <w:szCs w:val="21"/>
              </w:rPr>
              <w:t>分）</w:t>
            </w:r>
          </w:p>
        </w:tc>
        <w:tc>
          <w:tcPr>
            <w:tcW w:w="707" w:type="dxa"/>
            <w:noWrap/>
            <w:vAlign w:val="center"/>
          </w:tcPr>
          <w:p>
            <w:pPr>
              <w:widowControl/>
              <w:spacing w:line="280" w:lineRule="exact"/>
              <w:jc w:val="left"/>
              <w:rPr>
                <w:kern w:val="0"/>
                <w:szCs w:val="21"/>
              </w:rPr>
            </w:pPr>
            <w:r>
              <w:rPr>
                <w:rFonts w:hint="eastAsia" w:eastAsia="宋体"/>
                <w:kern w:val="0"/>
                <w:sz w:val="21"/>
                <w:szCs w:val="21"/>
              </w:rPr>
              <w:t>　4</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714" w:type="dxa"/>
            <w:vMerge w:val="continue"/>
            <w:shd w:val="clear" w:color="auto" w:fill="auto"/>
            <w:noWrap w:val="0"/>
            <w:vAlign w:val="center"/>
          </w:tcPr>
          <w:p>
            <w:pPr>
              <w:widowControl/>
              <w:spacing w:line="280" w:lineRule="exact"/>
              <w:jc w:val="left"/>
              <w:rPr>
                <w:kern w:val="0"/>
                <w:szCs w:val="21"/>
              </w:rPr>
            </w:pPr>
          </w:p>
        </w:tc>
        <w:tc>
          <w:tcPr>
            <w:tcW w:w="702" w:type="dxa"/>
            <w:vMerge w:val="continue"/>
            <w:shd w:val="clear" w:color="auto" w:fill="auto"/>
            <w:noWrap w:val="0"/>
            <w:vAlign w:val="center"/>
          </w:tcPr>
          <w:p>
            <w:pPr>
              <w:widowControl/>
              <w:spacing w:line="280" w:lineRule="exact"/>
              <w:jc w:val="left"/>
              <w:rPr>
                <w:kern w:val="0"/>
                <w:szCs w:val="21"/>
              </w:rPr>
            </w:pP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绩效指标明确性（</w:t>
            </w:r>
            <w:r>
              <w:rPr>
                <w:rFonts w:eastAsia="宋体"/>
                <w:kern w:val="0"/>
                <w:sz w:val="21"/>
                <w:szCs w:val="21"/>
              </w:rPr>
              <w:t>6</w:t>
            </w:r>
            <w:r>
              <w:rPr>
                <w:rFonts w:hint="eastAsia" w:eastAsia="宋体"/>
                <w:kern w:val="0"/>
                <w:sz w:val="21"/>
                <w:szCs w:val="21"/>
              </w:rPr>
              <w:t>分）</w:t>
            </w:r>
          </w:p>
        </w:tc>
        <w:tc>
          <w:tcPr>
            <w:tcW w:w="1700"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依据绩效目标设定的绩效指标是否清晰、细化、可衡量等，用以反映和考核项目绩效目标的明细化情况。</w:t>
            </w:r>
          </w:p>
        </w:tc>
        <w:tc>
          <w:tcPr>
            <w:tcW w:w="3539" w:type="dxa"/>
            <w:shd w:val="clear" w:color="auto" w:fill="FFFFFF"/>
            <w:noWrap w:val="0"/>
            <w:vAlign w:val="center"/>
          </w:tcPr>
          <w:p>
            <w:pPr>
              <w:widowControl/>
              <w:spacing w:line="280" w:lineRule="exact"/>
              <w:jc w:val="left"/>
              <w:rPr>
                <w:rFonts w:hint="eastAsia" w:eastAsia="宋体"/>
                <w:kern w:val="0"/>
                <w:sz w:val="21"/>
                <w:szCs w:val="21"/>
              </w:rPr>
            </w:pPr>
            <w:r>
              <w:rPr>
                <w:rFonts w:hint="eastAsia" w:eastAsia="宋体"/>
                <w:kern w:val="0"/>
                <w:sz w:val="21"/>
                <w:szCs w:val="21"/>
              </w:rPr>
              <w:t>①是否将项目绩效目标细化分解为具体的绩效指标；（</w:t>
            </w:r>
            <w:r>
              <w:rPr>
                <w:rFonts w:eastAsia="宋体"/>
                <w:kern w:val="0"/>
                <w:sz w:val="21"/>
                <w:szCs w:val="21"/>
              </w:rPr>
              <w:t>2</w:t>
            </w:r>
            <w:r>
              <w:rPr>
                <w:rFonts w:hint="eastAsia" w:eastAsia="宋体"/>
                <w:kern w:val="0"/>
                <w:sz w:val="21"/>
                <w:szCs w:val="21"/>
              </w:rPr>
              <w:t>分）</w:t>
            </w:r>
          </w:p>
          <w:p>
            <w:pPr>
              <w:widowControl/>
              <w:spacing w:line="280" w:lineRule="exact"/>
              <w:jc w:val="left"/>
              <w:rPr>
                <w:rFonts w:hint="eastAsia" w:eastAsia="宋体"/>
                <w:kern w:val="0"/>
                <w:sz w:val="21"/>
                <w:szCs w:val="21"/>
              </w:rPr>
            </w:pPr>
            <w:r>
              <w:rPr>
                <w:rFonts w:hint="eastAsia" w:eastAsia="宋体"/>
                <w:kern w:val="0"/>
                <w:sz w:val="21"/>
                <w:szCs w:val="21"/>
              </w:rPr>
              <w:t>②是否通过清晰、可衡量的指标值予以体现；（</w:t>
            </w:r>
            <w:r>
              <w:rPr>
                <w:rFonts w:eastAsia="宋体"/>
                <w:kern w:val="0"/>
                <w:sz w:val="21"/>
                <w:szCs w:val="21"/>
              </w:rPr>
              <w:t>1</w:t>
            </w:r>
            <w:r>
              <w:rPr>
                <w:rFonts w:hint="eastAsia" w:eastAsia="宋体"/>
                <w:kern w:val="0"/>
                <w:sz w:val="21"/>
                <w:szCs w:val="21"/>
              </w:rPr>
              <w:t>分）</w:t>
            </w:r>
          </w:p>
          <w:p>
            <w:pPr>
              <w:widowControl/>
              <w:spacing w:line="280" w:lineRule="exact"/>
              <w:jc w:val="left"/>
              <w:rPr>
                <w:rFonts w:hint="eastAsia" w:eastAsia="宋体"/>
                <w:kern w:val="0"/>
                <w:sz w:val="21"/>
                <w:szCs w:val="21"/>
              </w:rPr>
            </w:pPr>
            <w:r>
              <w:rPr>
                <w:rFonts w:hint="eastAsia" w:eastAsia="宋体"/>
                <w:kern w:val="0"/>
                <w:sz w:val="21"/>
                <w:szCs w:val="21"/>
              </w:rPr>
              <w:t>③是否与项目年度任务数或计划数相对应；（</w:t>
            </w:r>
            <w:r>
              <w:rPr>
                <w:rFonts w:eastAsia="宋体"/>
                <w:kern w:val="0"/>
                <w:sz w:val="21"/>
                <w:szCs w:val="21"/>
              </w:rPr>
              <w:t>1</w:t>
            </w:r>
            <w:r>
              <w:rPr>
                <w:rFonts w:hint="eastAsia" w:eastAsia="宋体"/>
                <w:kern w:val="0"/>
                <w:sz w:val="21"/>
                <w:szCs w:val="21"/>
              </w:rPr>
              <w:t>分）</w:t>
            </w:r>
          </w:p>
          <w:p>
            <w:pPr>
              <w:widowControl/>
              <w:spacing w:line="280" w:lineRule="exact"/>
              <w:jc w:val="left"/>
              <w:rPr>
                <w:kern w:val="0"/>
                <w:szCs w:val="21"/>
              </w:rPr>
            </w:pPr>
            <w:r>
              <w:rPr>
                <w:rFonts w:hint="eastAsia" w:eastAsia="宋体"/>
                <w:kern w:val="0"/>
                <w:sz w:val="21"/>
                <w:szCs w:val="21"/>
              </w:rPr>
              <w:t>④是否与预算确定的项目投资额或资金量相匹配。（</w:t>
            </w:r>
            <w:r>
              <w:rPr>
                <w:rFonts w:eastAsia="宋体"/>
                <w:kern w:val="0"/>
                <w:sz w:val="21"/>
                <w:szCs w:val="21"/>
              </w:rPr>
              <w:t>2</w:t>
            </w:r>
            <w:r>
              <w:rPr>
                <w:rFonts w:hint="eastAsia" w:eastAsia="宋体"/>
                <w:kern w:val="0"/>
                <w:sz w:val="21"/>
                <w:szCs w:val="21"/>
              </w:rPr>
              <w:t>分）</w:t>
            </w:r>
          </w:p>
        </w:tc>
        <w:tc>
          <w:tcPr>
            <w:tcW w:w="707" w:type="dxa"/>
            <w:noWrap/>
            <w:vAlign w:val="center"/>
          </w:tcPr>
          <w:p>
            <w:pPr>
              <w:widowControl/>
              <w:spacing w:line="280" w:lineRule="exact"/>
              <w:jc w:val="left"/>
              <w:rPr>
                <w:kern w:val="0"/>
                <w:szCs w:val="21"/>
              </w:rPr>
            </w:pPr>
            <w:r>
              <w:rPr>
                <w:rFonts w:hint="eastAsia" w:eastAsia="宋体"/>
                <w:kern w:val="0"/>
                <w:sz w:val="21"/>
                <w:szCs w:val="21"/>
              </w:rPr>
              <w:t>　4</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714" w:type="dxa"/>
            <w:vMerge w:val="continue"/>
            <w:shd w:val="clear" w:color="auto" w:fill="auto"/>
            <w:noWrap w:val="0"/>
            <w:vAlign w:val="center"/>
          </w:tcPr>
          <w:p>
            <w:pPr>
              <w:widowControl/>
              <w:spacing w:line="280" w:lineRule="exact"/>
              <w:jc w:val="left"/>
              <w:rPr>
                <w:kern w:val="0"/>
                <w:szCs w:val="21"/>
              </w:rPr>
            </w:pPr>
          </w:p>
        </w:tc>
        <w:tc>
          <w:tcPr>
            <w:tcW w:w="702" w:type="dxa"/>
            <w:vMerge w:val="restart"/>
            <w:shd w:val="clear" w:color="auto" w:fill="FFFFFF"/>
            <w:noWrap w:val="0"/>
            <w:vAlign w:val="center"/>
          </w:tcPr>
          <w:p>
            <w:pPr>
              <w:widowControl/>
              <w:spacing w:line="280" w:lineRule="exact"/>
              <w:jc w:val="center"/>
              <w:rPr>
                <w:kern w:val="0"/>
                <w:szCs w:val="21"/>
              </w:rPr>
            </w:pPr>
            <w:r>
              <w:rPr>
                <w:rFonts w:hint="eastAsia" w:eastAsia="宋体"/>
                <w:kern w:val="0"/>
                <w:sz w:val="21"/>
                <w:szCs w:val="21"/>
              </w:rPr>
              <w:t>资金</w:t>
            </w:r>
            <w:r>
              <w:rPr>
                <w:rFonts w:eastAsia="宋体"/>
                <w:kern w:val="0"/>
                <w:sz w:val="21"/>
                <w:szCs w:val="21"/>
              </w:rPr>
              <w:br w:type="textWrapping"/>
            </w:r>
            <w:r>
              <w:rPr>
                <w:rFonts w:hint="eastAsia" w:eastAsia="宋体"/>
                <w:kern w:val="0"/>
                <w:sz w:val="21"/>
                <w:szCs w:val="21"/>
              </w:rPr>
              <w:t>落实（</w:t>
            </w:r>
            <w:r>
              <w:rPr>
                <w:rFonts w:eastAsia="宋体"/>
                <w:kern w:val="0"/>
                <w:sz w:val="21"/>
                <w:szCs w:val="21"/>
              </w:rPr>
              <w:t>10</w:t>
            </w:r>
            <w:r>
              <w:rPr>
                <w:rFonts w:hint="eastAsia" w:eastAsia="宋体"/>
                <w:kern w:val="0"/>
                <w:sz w:val="21"/>
                <w:szCs w:val="21"/>
              </w:rPr>
              <w:t>分）</w:t>
            </w: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资金到位率（</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实际到位资金与计划投入资金的比率，用以反映和考核资金落实情况对项目实施的总体保障程度。</w:t>
            </w:r>
          </w:p>
        </w:tc>
        <w:tc>
          <w:tcPr>
            <w:tcW w:w="3539" w:type="dxa"/>
            <w:shd w:val="clear" w:color="auto" w:fill="FFFFFF"/>
            <w:noWrap w:val="0"/>
            <w:vAlign w:val="center"/>
          </w:tcPr>
          <w:p>
            <w:pPr>
              <w:widowControl/>
              <w:spacing w:line="280" w:lineRule="exact"/>
              <w:jc w:val="left"/>
              <w:rPr>
                <w:rFonts w:hint="eastAsia" w:eastAsia="宋体"/>
                <w:kern w:val="0"/>
                <w:sz w:val="21"/>
                <w:szCs w:val="21"/>
              </w:rPr>
            </w:pPr>
            <w:r>
              <w:rPr>
                <w:rFonts w:hint="eastAsia" w:eastAsia="宋体"/>
                <w:kern w:val="0"/>
                <w:sz w:val="21"/>
                <w:szCs w:val="21"/>
              </w:rPr>
              <w:t>资金到位率</w:t>
            </w:r>
            <w:r>
              <w:rPr>
                <w:rFonts w:eastAsia="宋体"/>
                <w:kern w:val="0"/>
                <w:sz w:val="21"/>
                <w:szCs w:val="21"/>
              </w:rPr>
              <w:t>=</w:t>
            </w:r>
            <w:r>
              <w:rPr>
                <w:rFonts w:hint="eastAsia" w:eastAsia="宋体"/>
                <w:kern w:val="0"/>
                <w:sz w:val="21"/>
                <w:szCs w:val="21"/>
              </w:rPr>
              <w:t>（实际到位资金</w:t>
            </w:r>
            <w:r>
              <w:rPr>
                <w:rFonts w:eastAsia="宋体"/>
                <w:kern w:val="0"/>
                <w:sz w:val="21"/>
                <w:szCs w:val="21"/>
              </w:rPr>
              <w:t>/</w:t>
            </w:r>
            <w:r>
              <w:rPr>
                <w:rFonts w:hint="eastAsia" w:eastAsia="宋体"/>
                <w:kern w:val="0"/>
                <w:sz w:val="21"/>
                <w:szCs w:val="21"/>
              </w:rPr>
              <w:t>计划投入资金）</w:t>
            </w:r>
            <w:r>
              <w:rPr>
                <w:rFonts w:eastAsia="宋体"/>
                <w:kern w:val="0"/>
                <w:sz w:val="21"/>
                <w:szCs w:val="21"/>
              </w:rPr>
              <w:t>×100%</w:t>
            </w:r>
            <w:r>
              <w:rPr>
                <w:rFonts w:hint="eastAsia" w:eastAsia="宋体"/>
                <w:kern w:val="0"/>
                <w:sz w:val="21"/>
                <w:szCs w:val="21"/>
              </w:rPr>
              <w:t>。（达到目标值得</w:t>
            </w:r>
            <w:r>
              <w:rPr>
                <w:rFonts w:eastAsia="宋体"/>
                <w:kern w:val="0"/>
                <w:sz w:val="21"/>
                <w:szCs w:val="21"/>
              </w:rPr>
              <w:t>5</w:t>
            </w:r>
            <w:r>
              <w:rPr>
                <w:rFonts w:hint="eastAsia" w:eastAsia="宋体"/>
                <w:kern w:val="0"/>
                <w:sz w:val="21"/>
                <w:szCs w:val="21"/>
              </w:rPr>
              <w:t>分，每少一个百分点扣</w:t>
            </w:r>
            <w:r>
              <w:rPr>
                <w:rFonts w:eastAsia="宋体"/>
                <w:kern w:val="0"/>
                <w:sz w:val="21"/>
                <w:szCs w:val="21"/>
              </w:rPr>
              <w:t>1</w:t>
            </w:r>
            <w:r>
              <w:rPr>
                <w:rFonts w:hint="eastAsia" w:eastAsia="宋体"/>
                <w:kern w:val="0"/>
                <w:sz w:val="21"/>
                <w:szCs w:val="21"/>
              </w:rPr>
              <w:t>分，扣完为止）</w:t>
            </w:r>
          </w:p>
          <w:p>
            <w:pPr>
              <w:widowControl/>
              <w:spacing w:line="280" w:lineRule="exact"/>
              <w:jc w:val="left"/>
              <w:rPr>
                <w:rFonts w:hint="eastAsia" w:eastAsia="宋体"/>
                <w:kern w:val="0"/>
                <w:sz w:val="21"/>
                <w:szCs w:val="21"/>
              </w:rPr>
            </w:pPr>
            <w:r>
              <w:rPr>
                <w:rFonts w:hint="eastAsia" w:eastAsia="宋体"/>
                <w:kern w:val="0"/>
                <w:sz w:val="21"/>
                <w:szCs w:val="21"/>
              </w:rPr>
              <w:t>实际到位资金：一定时期（本年度或项目期）内实际落实到具体项目的资金。</w:t>
            </w:r>
          </w:p>
          <w:p>
            <w:pPr>
              <w:widowControl/>
              <w:spacing w:line="280" w:lineRule="exact"/>
              <w:jc w:val="left"/>
              <w:rPr>
                <w:kern w:val="0"/>
                <w:szCs w:val="21"/>
              </w:rPr>
            </w:pPr>
            <w:r>
              <w:rPr>
                <w:rFonts w:hint="eastAsia" w:eastAsia="宋体"/>
                <w:kern w:val="0"/>
                <w:sz w:val="21"/>
                <w:szCs w:val="21"/>
              </w:rPr>
              <w:t>计划投入资金：一定时期（本年度或项目期）内计划投入到具体项目的资金。</w:t>
            </w:r>
          </w:p>
        </w:tc>
        <w:tc>
          <w:tcPr>
            <w:tcW w:w="707" w:type="dxa"/>
            <w:noWrap/>
            <w:vAlign w:val="center"/>
          </w:tcPr>
          <w:p>
            <w:pPr>
              <w:widowControl/>
              <w:spacing w:line="280" w:lineRule="exact"/>
              <w:jc w:val="left"/>
              <w:rPr>
                <w:kern w:val="0"/>
                <w:szCs w:val="21"/>
              </w:rPr>
            </w:pPr>
            <w:r>
              <w:rPr>
                <w:rFonts w:hint="eastAsia" w:eastAsia="宋体"/>
                <w:kern w:val="0"/>
                <w:sz w:val="21"/>
                <w:szCs w:val="21"/>
              </w:rPr>
              <w:t>　5</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714" w:type="dxa"/>
            <w:shd w:val="clear" w:color="auto" w:fill="auto"/>
            <w:noWrap w:val="0"/>
            <w:textDirection w:val="tbRlV"/>
            <w:vAlign w:val="center"/>
          </w:tcPr>
          <w:p>
            <w:pPr>
              <w:widowControl/>
              <w:spacing w:line="260" w:lineRule="exact"/>
              <w:ind w:left="113" w:leftChars="0" w:right="113" w:rightChars="0"/>
              <w:jc w:val="center"/>
              <w:rPr>
                <w:kern w:val="0"/>
                <w:szCs w:val="21"/>
              </w:rPr>
            </w:pPr>
            <w:r>
              <w:rPr>
                <w:rFonts w:hint="eastAsia" w:eastAsia="宋体"/>
                <w:kern w:val="0"/>
                <w:sz w:val="21"/>
                <w:szCs w:val="21"/>
              </w:rPr>
              <w:t>投</w:t>
            </w:r>
            <w:r>
              <w:rPr>
                <w:rFonts w:eastAsia="宋体"/>
                <w:kern w:val="0"/>
                <w:sz w:val="21"/>
                <w:szCs w:val="21"/>
              </w:rPr>
              <w:t xml:space="preserve">   </w:t>
            </w:r>
            <w:r>
              <w:rPr>
                <w:rFonts w:hint="eastAsia" w:eastAsia="宋体"/>
                <w:kern w:val="0"/>
                <w:sz w:val="21"/>
                <w:szCs w:val="21"/>
              </w:rPr>
              <w:t>入（</w:t>
            </w:r>
            <w:r>
              <w:rPr>
                <w:rFonts w:eastAsia="宋体"/>
                <w:kern w:val="0"/>
                <w:sz w:val="21"/>
                <w:szCs w:val="21"/>
              </w:rPr>
              <w:t>25</w:t>
            </w:r>
            <w:r>
              <w:rPr>
                <w:rFonts w:hint="eastAsia" w:eastAsia="宋体"/>
                <w:kern w:val="0"/>
                <w:sz w:val="21"/>
                <w:szCs w:val="21"/>
              </w:rPr>
              <w:t>分）</w:t>
            </w:r>
          </w:p>
        </w:tc>
        <w:tc>
          <w:tcPr>
            <w:tcW w:w="702" w:type="dxa"/>
            <w:vMerge w:val="continue"/>
            <w:shd w:val="clear" w:color="auto" w:fill="auto"/>
            <w:noWrap w:val="0"/>
            <w:vAlign w:val="center"/>
          </w:tcPr>
          <w:p>
            <w:pPr>
              <w:widowControl/>
              <w:spacing w:line="260" w:lineRule="exact"/>
              <w:jc w:val="left"/>
              <w:rPr>
                <w:kern w:val="0"/>
                <w:szCs w:val="21"/>
              </w:rPr>
            </w:pPr>
          </w:p>
        </w:tc>
        <w:tc>
          <w:tcPr>
            <w:tcW w:w="851"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到位及时率（</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及时到位资金与应到位资金的比率，用以反映和考核项目资金落实的及时性程度。</w:t>
            </w:r>
          </w:p>
        </w:tc>
        <w:tc>
          <w:tcPr>
            <w:tcW w:w="3539" w:type="dxa"/>
            <w:shd w:val="clear" w:color="auto" w:fill="FFFFFF"/>
            <w:noWrap w:val="0"/>
            <w:vAlign w:val="center"/>
          </w:tcPr>
          <w:p>
            <w:pPr>
              <w:widowControl/>
              <w:spacing w:line="260" w:lineRule="exact"/>
              <w:jc w:val="left"/>
              <w:rPr>
                <w:rFonts w:hint="eastAsia" w:eastAsia="宋体"/>
                <w:kern w:val="0"/>
                <w:sz w:val="21"/>
                <w:szCs w:val="21"/>
              </w:rPr>
            </w:pPr>
            <w:r>
              <w:rPr>
                <w:rFonts w:hint="eastAsia" w:eastAsia="宋体"/>
                <w:kern w:val="0"/>
                <w:sz w:val="21"/>
                <w:szCs w:val="21"/>
              </w:rPr>
              <w:t>到位及时率</w:t>
            </w:r>
            <w:r>
              <w:rPr>
                <w:rFonts w:eastAsia="宋体"/>
                <w:kern w:val="0"/>
                <w:sz w:val="21"/>
                <w:szCs w:val="21"/>
              </w:rPr>
              <w:t>=</w:t>
            </w:r>
            <w:r>
              <w:rPr>
                <w:rFonts w:hint="eastAsia" w:eastAsia="宋体"/>
                <w:kern w:val="0"/>
                <w:sz w:val="21"/>
                <w:szCs w:val="21"/>
              </w:rPr>
              <w:t>（及时到位资金</w:t>
            </w:r>
            <w:r>
              <w:rPr>
                <w:rFonts w:eastAsia="宋体"/>
                <w:kern w:val="0"/>
                <w:sz w:val="21"/>
                <w:szCs w:val="21"/>
              </w:rPr>
              <w:t>/</w:t>
            </w:r>
            <w:r>
              <w:rPr>
                <w:rFonts w:hint="eastAsia" w:eastAsia="宋体"/>
                <w:kern w:val="0"/>
                <w:sz w:val="21"/>
                <w:szCs w:val="21"/>
              </w:rPr>
              <w:t>应到位资金）</w:t>
            </w:r>
            <w:r>
              <w:rPr>
                <w:rFonts w:eastAsia="宋体"/>
                <w:kern w:val="0"/>
                <w:sz w:val="21"/>
                <w:szCs w:val="21"/>
              </w:rPr>
              <w:t>×100%</w:t>
            </w:r>
            <w:r>
              <w:rPr>
                <w:rFonts w:hint="eastAsia" w:eastAsia="宋体"/>
                <w:kern w:val="0"/>
                <w:sz w:val="21"/>
                <w:szCs w:val="21"/>
              </w:rPr>
              <w:t>。（达到目标值得</w:t>
            </w:r>
            <w:r>
              <w:rPr>
                <w:rFonts w:eastAsia="宋体"/>
                <w:kern w:val="0"/>
                <w:sz w:val="21"/>
                <w:szCs w:val="21"/>
              </w:rPr>
              <w:t>5</w:t>
            </w:r>
            <w:r>
              <w:rPr>
                <w:rFonts w:hint="eastAsia" w:eastAsia="宋体"/>
                <w:kern w:val="0"/>
                <w:sz w:val="21"/>
                <w:szCs w:val="21"/>
              </w:rPr>
              <w:t>分，每少一个百分点扣</w:t>
            </w:r>
            <w:r>
              <w:rPr>
                <w:rFonts w:eastAsia="宋体"/>
                <w:kern w:val="0"/>
                <w:sz w:val="21"/>
                <w:szCs w:val="21"/>
              </w:rPr>
              <w:t>1</w:t>
            </w:r>
            <w:r>
              <w:rPr>
                <w:rFonts w:hint="eastAsia" w:eastAsia="宋体"/>
                <w:kern w:val="0"/>
                <w:sz w:val="21"/>
                <w:szCs w:val="21"/>
              </w:rPr>
              <w:t>分，扣完为止）</w:t>
            </w:r>
            <w:r>
              <w:rPr>
                <w:rFonts w:eastAsia="宋体"/>
                <w:kern w:val="0"/>
                <w:sz w:val="21"/>
                <w:szCs w:val="21"/>
              </w:rPr>
              <w:br w:type="textWrapping"/>
            </w:r>
            <w:r>
              <w:rPr>
                <w:rFonts w:hint="eastAsia" w:eastAsia="宋体"/>
                <w:kern w:val="0"/>
                <w:sz w:val="21"/>
                <w:szCs w:val="21"/>
              </w:rPr>
              <w:t>及时到位资金：截至规定时点实际落实到具体项目的资金。</w:t>
            </w:r>
          </w:p>
          <w:p>
            <w:pPr>
              <w:widowControl/>
              <w:spacing w:line="260" w:lineRule="exact"/>
              <w:jc w:val="left"/>
              <w:rPr>
                <w:kern w:val="0"/>
                <w:szCs w:val="21"/>
              </w:rPr>
            </w:pPr>
            <w:r>
              <w:rPr>
                <w:rFonts w:hint="eastAsia" w:eastAsia="宋体"/>
                <w:kern w:val="0"/>
                <w:sz w:val="21"/>
                <w:szCs w:val="21"/>
              </w:rPr>
              <w:t>应到位资金：按照合同或项目进度要求截至规定时点应落实到具体项目的资金。</w:t>
            </w:r>
          </w:p>
        </w:tc>
        <w:tc>
          <w:tcPr>
            <w:tcW w:w="707" w:type="dxa"/>
            <w:noWrap/>
            <w:vAlign w:val="center"/>
          </w:tcPr>
          <w:p>
            <w:pPr>
              <w:widowControl/>
              <w:spacing w:line="260" w:lineRule="exact"/>
              <w:jc w:val="left"/>
              <w:rPr>
                <w:kern w:val="0"/>
                <w:szCs w:val="21"/>
              </w:rPr>
            </w:pPr>
            <w:r>
              <w:rPr>
                <w:rFonts w:hint="eastAsia" w:eastAsia="宋体"/>
                <w:kern w:val="0"/>
                <w:sz w:val="21"/>
                <w:szCs w:val="21"/>
              </w:rPr>
              <w:t>　5</w:t>
            </w:r>
          </w:p>
        </w:tc>
        <w:tc>
          <w:tcPr>
            <w:tcW w:w="900" w:type="dxa"/>
            <w:noWrap/>
            <w:vAlign w:val="center"/>
          </w:tcPr>
          <w:p>
            <w:pPr>
              <w:widowControl/>
              <w:spacing w:line="26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714" w:type="dxa"/>
            <w:vMerge w:val="restart"/>
            <w:shd w:val="clear" w:color="auto" w:fill="FFFFFF"/>
            <w:noWrap/>
            <w:textDirection w:val="tbRlV"/>
            <w:vAlign w:val="center"/>
          </w:tcPr>
          <w:p>
            <w:pPr>
              <w:widowControl/>
              <w:spacing w:line="260" w:lineRule="exact"/>
              <w:jc w:val="center"/>
              <w:rPr>
                <w:kern w:val="0"/>
                <w:szCs w:val="21"/>
              </w:rPr>
            </w:pPr>
            <w:r>
              <w:rPr>
                <w:rFonts w:hint="eastAsia" w:eastAsia="宋体"/>
                <w:kern w:val="0"/>
                <w:sz w:val="21"/>
                <w:szCs w:val="21"/>
              </w:rPr>
              <w:t>过</w:t>
            </w:r>
            <w:r>
              <w:rPr>
                <w:rFonts w:eastAsia="宋体"/>
                <w:kern w:val="0"/>
                <w:sz w:val="21"/>
                <w:szCs w:val="21"/>
              </w:rPr>
              <w:t xml:space="preserve">   </w:t>
            </w:r>
            <w:r>
              <w:rPr>
                <w:rFonts w:hint="eastAsia" w:eastAsia="宋体"/>
                <w:kern w:val="0"/>
                <w:sz w:val="21"/>
                <w:szCs w:val="21"/>
              </w:rPr>
              <w:t>程（</w:t>
            </w:r>
            <w:r>
              <w:rPr>
                <w:rFonts w:eastAsia="宋体"/>
                <w:kern w:val="0"/>
                <w:sz w:val="21"/>
                <w:szCs w:val="21"/>
              </w:rPr>
              <w:t>25</w:t>
            </w:r>
            <w:r>
              <w:rPr>
                <w:rFonts w:hint="eastAsia" w:eastAsia="宋体"/>
                <w:kern w:val="0"/>
                <w:sz w:val="21"/>
                <w:szCs w:val="21"/>
              </w:rPr>
              <w:t>分）</w:t>
            </w:r>
          </w:p>
        </w:tc>
        <w:tc>
          <w:tcPr>
            <w:tcW w:w="702" w:type="dxa"/>
            <w:vMerge w:val="restart"/>
            <w:shd w:val="clear" w:color="auto" w:fill="FFFFFF"/>
            <w:noWrap w:val="0"/>
            <w:vAlign w:val="center"/>
          </w:tcPr>
          <w:p>
            <w:pPr>
              <w:widowControl/>
              <w:spacing w:line="260" w:lineRule="exact"/>
              <w:jc w:val="center"/>
              <w:rPr>
                <w:kern w:val="0"/>
                <w:szCs w:val="21"/>
              </w:rPr>
            </w:pPr>
            <w:r>
              <w:rPr>
                <w:rFonts w:hint="eastAsia" w:eastAsia="宋体"/>
                <w:kern w:val="0"/>
                <w:sz w:val="21"/>
                <w:szCs w:val="21"/>
              </w:rPr>
              <w:t>业务</w:t>
            </w:r>
            <w:r>
              <w:rPr>
                <w:rFonts w:eastAsia="宋体"/>
                <w:kern w:val="0"/>
                <w:sz w:val="21"/>
                <w:szCs w:val="21"/>
              </w:rPr>
              <w:br w:type="textWrapping"/>
            </w:r>
            <w:r>
              <w:rPr>
                <w:rFonts w:hint="eastAsia" w:eastAsia="宋体"/>
                <w:kern w:val="0"/>
                <w:sz w:val="21"/>
                <w:szCs w:val="21"/>
              </w:rPr>
              <w:t>管理（</w:t>
            </w:r>
            <w:r>
              <w:rPr>
                <w:rFonts w:eastAsia="宋体"/>
                <w:kern w:val="0"/>
                <w:sz w:val="21"/>
                <w:szCs w:val="21"/>
              </w:rPr>
              <w:t>13</w:t>
            </w:r>
            <w:r>
              <w:rPr>
                <w:rFonts w:hint="eastAsia" w:eastAsia="宋体"/>
                <w:kern w:val="0"/>
                <w:sz w:val="21"/>
                <w:szCs w:val="21"/>
              </w:rPr>
              <w:t>分）</w:t>
            </w:r>
          </w:p>
        </w:tc>
        <w:tc>
          <w:tcPr>
            <w:tcW w:w="851"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管理制度健全性（</w:t>
            </w:r>
            <w:r>
              <w:rPr>
                <w:rFonts w:eastAsia="宋体"/>
                <w:kern w:val="0"/>
                <w:sz w:val="21"/>
                <w:szCs w:val="21"/>
              </w:rPr>
              <w:t>4</w:t>
            </w:r>
            <w:r>
              <w:rPr>
                <w:rFonts w:hint="eastAsia" w:eastAsia="宋体"/>
                <w:kern w:val="0"/>
                <w:sz w:val="21"/>
                <w:szCs w:val="21"/>
              </w:rPr>
              <w:t>分）</w:t>
            </w:r>
          </w:p>
        </w:tc>
        <w:tc>
          <w:tcPr>
            <w:tcW w:w="1700"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项目实施单位的业务管理制度是否健全，用以反映和考核业务管理制度对项目顺利实施的保障情况。</w:t>
            </w:r>
          </w:p>
        </w:tc>
        <w:tc>
          <w:tcPr>
            <w:tcW w:w="3539" w:type="dxa"/>
            <w:shd w:val="clear" w:color="auto" w:fill="FFFFFF"/>
            <w:noWrap w:val="0"/>
            <w:vAlign w:val="center"/>
          </w:tcPr>
          <w:p>
            <w:pPr>
              <w:widowControl/>
              <w:spacing w:line="260" w:lineRule="exact"/>
              <w:jc w:val="left"/>
              <w:rPr>
                <w:rFonts w:hint="eastAsia" w:eastAsia="宋体"/>
                <w:kern w:val="0"/>
                <w:sz w:val="21"/>
                <w:szCs w:val="21"/>
              </w:rPr>
            </w:pPr>
            <w:r>
              <w:rPr>
                <w:rFonts w:hint="eastAsia" w:eastAsia="宋体"/>
                <w:kern w:val="0"/>
                <w:sz w:val="21"/>
                <w:szCs w:val="21"/>
              </w:rPr>
              <w:t>①是否已制定或具有相应的业务管理制度；（</w:t>
            </w:r>
            <w:r>
              <w:rPr>
                <w:rFonts w:eastAsia="宋体"/>
                <w:kern w:val="0"/>
                <w:sz w:val="21"/>
                <w:szCs w:val="21"/>
              </w:rPr>
              <w:t>2</w:t>
            </w:r>
            <w:r>
              <w:rPr>
                <w:rFonts w:hint="eastAsia" w:eastAsia="宋体"/>
                <w:kern w:val="0"/>
                <w:sz w:val="21"/>
                <w:szCs w:val="21"/>
              </w:rPr>
              <w:t>分）</w:t>
            </w:r>
          </w:p>
          <w:p>
            <w:pPr>
              <w:widowControl/>
              <w:spacing w:line="260" w:lineRule="exact"/>
              <w:jc w:val="left"/>
              <w:rPr>
                <w:kern w:val="0"/>
                <w:szCs w:val="21"/>
              </w:rPr>
            </w:pPr>
            <w:r>
              <w:rPr>
                <w:rFonts w:hint="eastAsia" w:eastAsia="宋体"/>
                <w:kern w:val="0"/>
                <w:sz w:val="21"/>
                <w:szCs w:val="21"/>
              </w:rPr>
              <w:t>②业务管理制度是否合法、合规、完整。（</w:t>
            </w:r>
            <w:r>
              <w:rPr>
                <w:rFonts w:eastAsia="宋体"/>
                <w:kern w:val="0"/>
                <w:sz w:val="21"/>
                <w:szCs w:val="21"/>
              </w:rPr>
              <w:t>2</w:t>
            </w:r>
            <w:r>
              <w:rPr>
                <w:rFonts w:hint="eastAsia" w:eastAsia="宋体"/>
                <w:kern w:val="0"/>
                <w:sz w:val="21"/>
                <w:szCs w:val="21"/>
              </w:rPr>
              <w:t>分）</w:t>
            </w:r>
          </w:p>
        </w:tc>
        <w:tc>
          <w:tcPr>
            <w:tcW w:w="707" w:type="dxa"/>
            <w:noWrap/>
            <w:vAlign w:val="center"/>
          </w:tcPr>
          <w:p>
            <w:pPr>
              <w:widowControl/>
              <w:spacing w:line="260" w:lineRule="exact"/>
              <w:jc w:val="left"/>
              <w:rPr>
                <w:kern w:val="0"/>
                <w:szCs w:val="21"/>
              </w:rPr>
            </w:pPr>
            <w:r>
              <w:rPr>
                <w:rFonts w:hint="eastAsia" w:eastAsia="宋体"/>
                <w:kern w:val="0"/>
                <w:sz w:val="21"/>
                <w:szCs w:val="21"/>
              </w:rPr>
              <w:t>　4</w:t>
            </w:r>
          </w:p>
        </w:tc>
        <w:tc>
          <w:tcPr>
            <w:tcW w:w="900" w:type="dxa"/>
            <w:noWrap/>
            <w:vAlign w:val="center"/>
          </w:tcPr>
          <w:p>
            <w:pPr>
              <w:widowControl/>
              <w:spacing w:line="26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714" w:type="dxa"/>
            <w:vMerge w:val="continue"/>
            <w:shd w:val="clear" w:color="auto" w:fill="auto"/>
            <w:noWrap w:val="0"/>
            <w:vAlign w:val="center"/>
          </w:tcPr>
          <w:p>
            <w:pPr>
              <w:widowControl/>
              <w:spacing w:line="260" w:lineRule="exact"/>
              <w:jc w:val="left"/>
              <w:rPr>
                <w:kern w:val="0"/>
                <w:szCs w:val="21"/>
              </w:rPr>
            </w:pPr>
          </w:p>
        </w:tc>
        <w:tc>
          <w:tcPr>
            <w:tcW w:w="702" w:type="dxa"/>
            <w:vMerge w:val="continue"/>
            <w:shd w:val="clear" w:color="auto" w:fill="auto"/>
            <w:noWrap w:val="0"/>
            <w:vAlign w:val="center"/>
          </w:tcPr>
          <w:p>
            <w:pPr>
              <w:widowControl/>
              <w:spacing w:line="260" w:lineRule="exact"/>
              <w:jc w:val="left"/>
              <w:rPr>
                <w:kern w:val="0"/>
                <w:szCs w:val="21"/>
              </w:rPr>
            </w:pPr>
          </w:p>
        </w:tc>
        <w:tc>
          <w:tcPr>
            <w:tcW w:w="851"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制度执行有效性（</w:t>
            </w:r>
            <w:r>
              <w:rPr>
                <w:rFonts w:eastAsia="宋体"/>
                <w:kern w:val="0"/>
                <w:sz w:val="21"/>
                <w:szCs w:val="21"/>
              </w:rPr>
              <w:t>6</w:t>
            </w:r>
            <w:r>
              <w:rPr>
                <w:rFonts w:hint="eastAsia" w:eastAsia="宋体"/>
                <w:kern w:val="0"/>
                <w:sz w:val="21"/>
                <w:szCs w:val="21"/>
              </w:rPr>
              <w:t>分</w:t>
            </w:r>
            <w:r>
              <w:rPr>
                <w:rFonts w:eastAsia="宋体"/>
                <w:kern w:val="0"/>
                <w:sz w:val="21"/>
                <w:szCs w:val="21"/>
              </w:rPr>
              <w:t>)</w:t>
            </w:r>
          </w:p>
        </w:tc>
        <w:tc>
          <w:tcPr>
            <w:tcW w:w="1700"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项目实施是否符合相关业务管理规定，用以反映和考核业务管理制度的有效执行情况。</w:t>
            </w:r>
          </w:p>
        </w:tc>
        <w:tc>
          <w:tcPr>
            <w:tcW w:w="3539" w:type="dxa"/>
            <w:shd w:val="clear" w:color="auto" w:fill="FFFFFF"/>
            <w:noWrap w:val="0"/>
            <w:vAlign w:val="center"/>
          </w:tcPr>
          <w:p>
            <w:pPr>
              <w:widowControl/>
              <w:spacing w:line="260" w:lineRule="exact"/>
              <w:jc w:val="left"/>
              <w:rPr>
                <w:rFonts w:hint="eastAsia" w:eastAsia="宋体"/>
                <w:kern w:val="0"/>
                <w:sz w:val="21"/>
                <w:szCs w:val="21"/>
              </w:rPr>
            </w:pPr>
            <w:r>
              <w:rPr>
                <w:rFonts w:hint="eastAsia" w:eastAsia="宋体"/>
                <w:kern w:val="0"/>
                <w:sz w:val="21"/>
                <w:szCs w:val="21"/>
              </w:rPr>
              <w:t>①是否遵守相关法律法规和业务管理规定；</w:t>
            </w:r>
            <w:r>
              <w:rPr>
                <w:rFonts w:eastAsia="宋体"/>
                <w:kern w:val="0"/>
                <w:sz w:val="21"/>
                <w:szCs w:val="21"/>
              </w:rPr>
              <w:t>(1</w:t>
            </w:r>
            <w:r>
              <w:rPr>
                <w:rFonts w:hint="eastAsia" w:eastAsia="宋体"/>
                <w:kern w:val="0"/>
                <w:sz w:val="21"/>
                <w:szCs w:val="21"/>
              </w:rPr>
              <w:t>分）</w:t>
            </w:r>
          </w:p>
          <w:p>
            <w:pPr>
              <w:widowControl/>
              <w:spacing w:line="260" w:lineRule="exact"/>
              <w:jc w:val="left"/>
              <w:rPr>
                <w:rFonts w:hint="eastAsia" w:eastAsia="宋体"/>
                <w:kern w:val="0"/>
                <w:sz w:val="21"/>
                <w:szCs w:val="21"/>
              </w:rPr>
            </w:pPr>
            <w:r>
              <w:rPr>
                <w:rFonts w:hint="eastAsia" w:eastAsia="宋体"/>
                <w:kern w:val="0"/>
                <w:sz w:val="21"/>
                <w:szCs w:val="21"/>
              </w:rPr>
              <w:t>②项目调整及支出调整手续是否完备；（</w:t>
            </w:r>
            <w:r>
              <w:rPr>
                <w:rFonts w:eastAsia="宋体"/>
                <w:kern w:val="0"/>
                <w:sz w:val="21"/>
                <w:szCs w:val="21"/>
              </w:rPr>
              <w:t>1</w:t>
            </w:r>
            <w:r>
              <w:rPr>
                <w:rFonts w:hint="eastAsia" w:eastAsia="宋体"/>
                <w:kern w:val="0"/>
                <w:sz w:val="21"/>
                <w:szCs w:val="21"/>
              </w:rPr>
              <w:t>分）</w:t>
            </w:r>
          </w:p>
          <w:p>
            <w:pPr>
              <w:widowControl/>
              <w:spacing w:line="260" w:lineRule="exact"/>
              <w:jc w:val="left"/>
              <w:rPr>
                <w:kern w:val="0"/>
                <w:szCs w:val="21"/>
              </w:rPr>
            </w:pPr>
            <w:r>
              <w:rPr>
                <w:rFonts w:hint="eastAsia" w:eastAsia="宋体"/>
                <w:kern w:val="0"/>
                <w:sz w:val="21"/>
                <w:szCs w:val="21"/>
              </w:rPr>
              <w:t>③项目合同书、验收报告、技术鉴定等资料是否齐全并及时归档；（</w:t>
            </w:r>
            <w:r>
              <w:rPr>
                <w:rFonts w:eastAsia="宋体"/>
                <w:kern w:val="0"/>
                <w:sz w:val="21"/>
                <w:szCs w:val="21"/>
              </w:rPr>
              <w:t>2</w:t>
            </w:r>
            <w:r>
              <w:rPr>
                <w:rFonts w:hint="eastAsia" w:eastAsia="宋体"/>
                <w:kern w:val="0"/>
                <w:sz w:val="21"/>
                <w:szCs w:val="21"/>
              </w:rPr>
              <w:t>分）</w:t>
            </w:r>
            <w:r>
              <w:rPr>
                <w:rFonts w:eastAsia="宋体"/>
                <w:kern w:val="0"/>
                <w:sz w:val="21"/>
                <w:szCs w:val="21"/>
              </w:rPr>
              <w:br w:type="textWrapping"/>
            </w:r>
            <w:r>
              <w:rPr>
                <w:rFonts w:hint="eastAsia" w:eastAsia="宋体"/>
                <w:kern w:val="0"/>
                <w:sz w:val="21"/>
                <w:szCs w:val="21"/>
              </w:rPr>
              <w:t>④项目实施的人员条件、场地设备、信息支撑等是否落实到位。（</w:t>
            </w:r>
            <w:r>
              <w:rPr>
                <w:rFonts w:eastAsia="宋体"/>
                <w:kern w:val="0"/>
                <w:sz w:val="21"/>
                <w:szCs w:val="21"/>
              </w:rPr>
              <w:t>2</w:t>
            </w:r>
            <w:r>
              <w:rPr>
                <w:rFonts w:hint="eastAsia" w:eastAsia="宋体"/>
                <w:kern w:val="0"/>
                <w:sz w:val="21"/>
                <w:szCs w:val="21"/>
              </w:rPr>
              <w:t>分）</w:t>
            </w:r>
          </w:p>
        </w:tc>
        <w:tc>
          <w:tcPr>
            <w:tcW w:w="707" w:type="dxa"/>
            <w:noWrap/>
            <w:vAlign w:val="center"/>
          </w:tcPr>
          <w:p>
            <w:pPr>
              <w:widowControl/>
              <w:spacing w:line="260" w:lineRule="exact"/>
              <w:jc w:val="left"/>
              <w:rPr>
                <w:kern w:val="0"/>
                <w:szCs w:val="21"/>
              </w:rPr>
            </w:pPr>
            <w:r>
              <w:rPr>
                <w:rFonts w:hint="eastAsia" w:eastAsia="宋体"/>
                <w:kern w:val="0"/>
                <w:sz w:val="21"/>
                <w:szCs w:val="21"/>
              </w:rPr>
              <w:t>　6</w:t>
            </w:r>
          </w:p>
        </w:tc>
        <w:tc>
          <w:tcPr>
            <w:tcW w:w="900" w:type="dxa"/>
            <w:noWrap/>
            <w:vAlign w:val="center"/>
          </w:tcPr>
          <w:p>
            <w:pPr>
              <w:widowControl/>
              <w:spacing w:line="26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714" w:type="dxa"/>
            <w:vMerge w:val="continue"/>
            <w:shd w:val="clear" w:color="auto" w:fill="auto"/>
            <w:noWrap w:val="0"/>
            <w:vAlign w:val="center"/>
          </w:tcPr>
          <w:p>
            <w:pPr>
              <w:widowControl/>
              <w:spacing w:line="260" w:lineRule="exact"/>
              <w:jc w:val="left"/>
              <w:rPr>
                <w:kern w:val="0"/>
                <w:szCs w:val="21"/>
              </w:rPr>
            </w:pPr>
          </w:p>
        </w:tc>
        <w:tc>
          <w:tcPr>
            <w:tcW w:w="702" w:type="dxa"/>
            <w:vMerge w:val="continue"/>
            <w:shd w:val="clear" w:color="auto" w:fill="auto"/>
            <w:noWrap w:val="0"/>
            <w:vAlign w:val="center"/>
          </w:tcPr>
          <w:p>
            <w:pPr>
              <w:widowControl/>
              <w:spacing w:line="260" w:lineRule="exact"/>
              <w:jc w:val="left"/>
              <w:rPr>
                <w:kern w:val="0"/>
                <w:szCs w:val="21"/>
              </w:rPr>
            </w:pPr>
          </w:p>
        </w:tc>
        <w:tc>
          <w:tcPr>
            <w:tcW w:w="851"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项目质量可控性（</w:t>
            </w:r>
            <w:r>
              <w:rPr>
                <w:rFonts w:eastAsia="宋体"/>
                <w:kern w:val="0"/>
                <w:sz w:val="21"/>
                <w:szCs w:val="21"/>
              </w:rPr>
              <w:t>3</w:t>
            </w:r>
            <w:r>
              <w:rPr>
                <w:rFonts w:hint="eastAsia" w:eastAsia="宋体"/>
                <w:kern w:val="0"/>
                <w:sz w:val="21"/>
                <w:szCs w:val="21"/>
              </w:rPr>
              <w:t>分）</w:t>
            </w:r>
          </w:p>
        </w:tc>
        <w:tc>
          <w:tcPr>
            <w:tcW w:w="1700"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项目实施单位是否为达到项目质量要求而采取了必需的措施</w:t>
            </w:r>
            <w:r>
              <w:rPr>
                <w:rFonts w:eastAsia="宋体"/>
                <w:kern w:val="0"/>
                <w:sz w:val="21"/>
                <w:szCs w:val="21"/>
              </w:rPr>
              <w:t>,</w:t>
            </w:r>
            <w:r>
              <w:rPr>
                <w:rFonts w:hint="eastAsia" w:eastAsia="宋体"/>
                <w:kern w:val="0"/>
                <w:sz w:val="21"/>
                <w:szCs w:val="21"/>
              </w:rPr>
              <w:t>用以反映和考核项目实施单位对项目质量的控制情况。</w:t>
            </w:r>
          </w:p>
        </w:tc>
        <w:tc>
          <w:tcPr>
            <w:tcW w:w="3539" w:type="dxa"/>
            <w:shd w:val="clear" w:color="auto" w:fill="FFFFFF"/>
            <w:noWrap w:val="0"/>
            <w:vAlign w:val="center"/>
          </w:tcPr>
          <w:p>
            <w:pPr>
              <w:widowControl/>
              <w:spacing w:line="260" w:lineRule="exact"/>
              <w:jc w:val="left"/>
              <w:rPr>
                <w:rFonts w:hint="eastAsia" w:eastAsia="宋体"/>
                <w:kern w:val="0"/>
                <w:sz w:val="21"/>
                <w:szCs w:val="21"/>
              </w:rPr>
            </w:pPr>
            <w:r>
              <w:rPr>
                <w:rFonts w:hint="eastAsia" w:eastAsia="宋体"/>
                <w:kern w:val="0"/>
                <w:sz w:val="21"/>
                <w:szCs w:val="21"/>
              </w:rPr>
              <w:t>①是否已制定或具有相应的项目质量要求或标准；（</w:t>
            </w:r>
            <w:r>
              <w:rPr>
                <w:rFonts w:eastAsia="宋体"/>
                <w:kern w:val="0"/>
                <w:sz w:val="21"/>
                <w:szCs w:val="21"/>
              </w:rPr>
              <w:t>1</w:t>
            </w:r>
            <w:r>
              <w:rPr>
                <w:rFonts w:hint="eastAsia" w:eastAsia="宋体"/>
                <w:kern w:val="0"/>
                <w:sz w:val="21"/>
                <w:szCs w:val="21"/>
              </w:rPr>
              <w:t>分）</w:t>
            </w:r>
          </w:p>
          <w:p>
            <w:pPr>
              <w:widowControl/>
              <w:spacing w:line="260" w:lineRule="exact"/>
              <w:jc w:val="left"/>
              <w:rPr>
                <w:kern w:val="0"/>
                <w:szCs w:val="21"/>
              </w:rPr>
            </w:pPr>
            <w:r>
              <w:rPr>
                <w:rFonts w:hint="eastAsia" w:eastAsia="宋体"/>
                <w:kern w:val="0"/>
                <w:sz w:val="21"/>
                <w:szCs w:val="21"/>
              </w:rPr>
              <w:t>②是否采取了相应的项目质量检查、验收等必需的控制措施或手段。（</w:t>
            </w:r>
            <w:r>
              <w:rPr>
                <w:rFonts w:eastAsia="宋体"/>
                <w:kern w:val="0"/>
                <w:sz w:val="21"/>
                <w:szCs w:val="21"/>
              </w:rPr>
              <w:t>2</w:t>
            </w:r>
            <w:r>
              <w:rPr>
                <w:rFonts w:hint="eastAsia" w:eastAsia="宋体"/>
                <w:kern w:val="0"/>
                <w:sz w:val="21"/>
                <w:szCs w:val="21"/>
              </w:rPr>
              <w:t>分）</w:t>
            </w:r>
          </w:p>
        </w:tc>
        <w:tc>
          <w:tcPr>
            <w:tcW w:w="707" w:type="dxa"/>
            <w:noWrap/>
            <w:vAlign w:val="center"/>
          </w:tcPr>
          <w:p>
            <w:pPr>
              <w:widowControl/>
              <w:spacing w:line="260" w:lineRule="exact"/>
              <w:jc w:val="left"/>
              <w:rPr>
                <w:kern w:val="0"/>
                <w:szCs w:val="21"/>
              </w:rPr>
            </w:pPr>
            <w:r>
              <w:rPr>
                <w:rFonts w:hint="eastAsia" w:eastAsia="宋体"/>
                <w:kern w:val="0"/>
                <w:sz w:val="21"/>
                <w:szCs w:val="21"/>
              </w:rPr>
              <w:t>　3</w:t>
            </w:r>
          </w:p>
        </w:tc>
        <w:tc>
          <w:tcPr>
            <w:tcW w:w="900" w:type="dxa"/>
            <w:noWrap/>
            <w:vAlign w:val="center"/>
          </w:tcPr>
          <w:p>
            <w:pPr>
              <w:widowControl/>
              <w:spacing w:line="26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714" w:type="dxa"/>
            <w:vMerge w:val="continue"/>
            <w:shd w:val="clear" w:color="auto" w:fill="auto"/>
            <w:noWrap w:val="0"/>
            <w:vAlign w:val="center"/>
          </w:tcPr>
          <w:p>
            <w:pPr>
              <w:widowControl/>
              <w:spacing w:line="260" w:lineRule="exact"/>
              <w:jc w:val="left"/>
              <w:rPr>
                <w:kern w:val="0"/>
                <w:szCs w:val="21"/>
              </w:rPr>
            </w:pPr>
          </w:p>
        </w:tc>
        <w:tc>
          <w:tcPr>
            <w:tcW w:w="702" w:type="dxa"/>
            <w:vMerge w:val="restart"/>
            <w:shd w:val="clear" w:color="auto" w:fill="FFFFFF"/>
            <w:noWrap w:val="0"/>
            <w:vAlign w:val="center"/>
          </w:tcPr>
          <w:p>
            <w:pPr>
              <w:widowControl/>
              <w:spacing w:line="260" w:lineRule="exact"/>
              <w:jc w:val="center"/>
              <w:rPr>
                <w:kern w:val="0"/>
                <w:szCs w:val="21"/>
              </w:rPr>
            </w:pPr>
            <w:r>
              <w:rPr>
                <w:rFonts w:hint="eastAsia" w:eastAsia="宋体"/>
                <w:kern w:val="0"/>
                <w:sz w:val="21"/>
                <w:szCs w:val="21"/>
              </w:rPr>
              <w:t>财务</w:t>
            </w:r>
            <w:r>
              <w:rPr>
                <w:rFonts w:eastAsia="宋体"/>
                <w:kern w:val="0"/>
                <w:sz w:val="21"/>
                <w:szCs w:val="21"/>
              </w:rPr>
              <w:br w:type="textWrapping"/>
            </w:r>
            <w:r>
              <w:rPr>
                <w:rFonts w:hint="eastAsia" w:eastAsia="宋体"/>
                <w:kern w:val="0"/>
                <w:sz w:val="21"/>
                <w:szCs w:val="21"/>
              </w:rPr>
              <w:t>管理（</w:t>
            </w:r>
            <w:r>
              <w:rPr>
                <w:rFonts w:eastAsia="宋体"/>
                <w:kern w:val="0"/>
                <w:sz w:val="21"/>
                <w:szCs w:val="21"/>
              </w:rPr>
              <w:t>12</w:t>
            </w:r>
            <w:r>
              <w:rPr>
                <w:rFonts w:hint="eastAsia" w:eastAsia="宋体"/>
                <w:kern w:val="0"/>
                <w:sz w:val="21"/>
                <w:szCs w:val="21"/>
              </w:rPr>
              <w:t>分）</w:t>
            </w:r>
          </w:p>
        </w:tc>
        <w:tc>
          <w:tcPr>
            <w:tcW w:w="851"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管理制度健全性（</w:t>
            </w:r>
            <w:r>
              <w:rPr>
                <w:rFonts w:eastAsia="宋体"/>
                <w:kern w:val="0"/>
                <w:sz w:val="21"/>
                <w:szCs w:val="21"/>
              </w:rPr>
              <w:t>3</w:t>
            </w:r>
            <w:r>
              <w:rPr>
                <w:rFonts w:hint="eastAsia" w:eastAsia="宋体"/>
                <w:kern w:val="0"/>
                <w:sz w:val="21"/>
                <w:szCs w:val="21"/>
              </w:rPr>
              <w:t>分）</w:t>
            </w:r>
          </w:p>
        </w:tc>
        <w:tc>
          <w:tcPr>
            <w:tcW w:w="1700"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项目实施单位的财务制度是否健全，用以反映和考核财务管理制度对资金规范、安全运行的保障情况。</w:t>
            </w:r>
          </w:p>
        </w:tc>
        <w:tc>
          <w:tcPr>
            <w:tcW w:w="3539" w:type="dxa"/>
            <w:shd w:val="clear" w:color="auto" w:fill="FFFFFF"/>
            <w:noWrap w:val="0"/>
            <w:vAlign w:val="center"/>
          </w:tcPr>
          <w:p>
            <w:pPr>
              <w:widowControl/>
              <w:spacing w:line="260" w:lineRule="exact"/>
              <w:jc w:val="left"/>
              <w:rPr>
                <w:rFonts w:hint="eastAsia" w:eastAsia="宋体"/>
                <w:kern w:val="0"/>
                <w:sz w:val="21"/>
                <w:szCs w:val="21"/>
              </w:rPr>
            </w:pPr>
            <w:r>
              <w:rPr>
                <w:rFonts w:hint="eastAsia" w:eastAsia="宋体"/>
                <w:kern w:val="0"/>
                <w:sz w:val="21"/>
                <w:szCs w:val="21"/>
              </w:rPr>
              <w:t>①是否已制定或具有相应的项目资金管理办法；（</w:t>
            </w:r>
            <w:r>
              <w:rPr>
                <w:rFonts w:eastAsia="宋体"/>
                <w:kern w:val="0"/>
                <w:sz w:val="21"/>
                <w:szCs w:val="21"/>
              </w:rPr>
              <w:t>2</w:t>
            </w:r>
            <w:r>
              <w:rPr>
                <w:rFonts w:hint="eastAsia" w:eastAsia="宋体"/>
                <w:kern w:val="0"/>
                <w:sz w:val="21"/>
                <w:szCs w:val="21"/>
              </w:rPr>
              <w:t>分）</w:t>
            </w:r>
          </w:p>
          <w:p>
            <w:pPr>
              <w:widowControl/>
              <w:spacing w:line="260" w:lineRule="exact"/>
              <w:jc w:val="left"/>
              <w:rPr>
                <w:kern w:val="0"/>
                <w:szCs w:val="21"/>
              </w:rPr>
            </w:pPr>
            <w:r>
              <w:rPr>
                <w:rFonts w:hint="eastAsia" w:eastAsia="宋体"/>
                <w:kern w:val="0"/>
                <w:sz w:val="21"/>
                <w:szCs w:val="21"/>
              </w:rPr>
              <w:t>②项目资金管理办法是否符合相关财务会计制度的规定。（</w:t>
            </w:r>
            <w:r>
              <w:rPr>
                <w:rFonts w:eastAsia="宋体"/>
                <w:kern w:val="0"/>
                <w:sz w:val="21"/>
                <w:szCs w:val="21"/>
              </w:rPr>
              <w:t>1</w:t>
            </w:r>
            <w:r>
              <w:rPr>
                <w:rFonts w:hint="eastAsia" w:eastAsia="宋体"/>
                <w:kern w:val="0"/>
                <w:sz w:val="21"/>
                <w:szCs w:val="21"/>
              </w:rPr>
              <w:t>分）</w:t>
            </w:r>
          </w:p>
        </w:tc>
        <w:tc>
          <w:tcPr>
            <w:tcW w:w="707" w:type="dxa"/>
            <w:noWrap/>
            <w:vAlign w:val="center"/>
          </w:tcPr>
          <w:p>
            <w:pPr>
              <w:widowControl/>
              <w:spacing w:line="260" w:lineRule="exact"/>
              <w:jc w:val="left"/>
              <w:rPr>
                <w:kern w:val="0"/>
                <w:szCs w:val="21"/>
              </w:rPr>
            </w:pPr>
            <w:r>
              <w:rPr>
                <w:rFonts w:hint="eastAsia" w:eastAsia="宋体"/>
                <w:kern w:val="0"/>
                <w:sz w:val="21"/>
                <w:szCs w:val="21"/>
              </w:rPr>
              <w:t>　3</w:t>
            </w:r>
          </w:p>
        </w:tc>
        <w:tc>
          <w:tcPr>
            <w:tcW w:w="900" w:type="dxa"/>
            <w:noWrap/>
            <w:vAlign w:val="center"/>
          </w:tcPr>
          <w:p>
            <w:pPr>
              <w:widowControl/>
              <w:spacing w:line="26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714" w:type="dxa"/>
            <w:vMerge w:val="continue"/>
            <w:shd w:val="clear" w:color="auto" w:fill="auto"/>
            <w:noWrap w:val="0"/>
            <w:vAlign w:val="center"/>
          </w:tcPr>
          <w:p>
            <w:pPr>
              <w:widowControl/>
              <w:spacing w:line="260" w:lineRule="exact"/>
              <w:jc w:val="left"/>
              <w:rPr>
                <w:kern w:val="0"/>
                <w:szCs w:val="21"/>
              </w:rPr>
            </w:pPr>
          </w:p>
        </w:tc>
        <w:tc>
          <w:tcPr>
            <w:tcW w:w="702" w:type="dxa"/>
            <w:vMerge w:val="continue"/>
            <w:shd w:val="clear" w:color="auto" w:fill="auto"/>
            <w:noWrap w:val="0"/>
            <w:vAlign w:val="center"/>
          </w:tcPr>
          <w:p>
            <w:pPr>
              <w:widowControl/>
              <w:spacing w:line="260" w:lineRule="exact"/>
              <w:jc w:val="left"/>
              <w:rPr>
                <w:kern w:val="0"/>
                <w:szCs w:val="21"/>
              </w:rPr>
            </w:pPr>
          </w:p>
        </w:tc>
        <w:tc>
          <w:tcPr>
            <w:tcW w:w="851"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资金使用合规性（</w:t>
            </w:r>
            <w:r>
              <w:rPr>
                <w:rFonts w:eastAsia="宋体"/>
                <w:kern w:val="0"/>
                <w:sz w:val="21"/>
                <w:szCs w:val="21"/>
              </w:rPr>
              <w:t>7</w:t>
            </w:r>
            <w:r>
              <w:rPr>
                <w:rFonts w:hint="eastAsia" w:eastAsia="宋体"/>
                <w:kern w:val="0"/>
                <w:sz w:val="21"/>
                <w:szCs w:val="21"/>
              </w:rPr>
              <w:t>分）</w:t>
            </w:r>
          </w:p>
        </w:tc>
        <w:tc>
          <w:tcPr>
            <w:tcW w:w="1700" w:type="dxa"/>
            <w:shd w:val="clear" w:color="auto" w:fill="FFFFFF"/>
            <w:noWrap w:val="0"/>
            <w:vAlign w:val="center"/>
          </w:tcPr>
          <w:p>
            <w:pPr>
              <w:widowControl/>
              <w:spacing w:line="260" w:lineRule="exact"/>
              <w:jc w:val="left"/>
              <w:rPr>
                <w:kern w:val="0"/>
                <w:szCs w:val="21"/>
              </w:rPr>
            </w:pPr>
            <w:r>
              <w:rPr>
                <w:rFonts w:hint="eastAsia" w:eastAsia="宋体"/>
                <w:kern w:val="0"/>
                <w:sz w:val="21"/>
                <w:szCs w:val="21"/>
              </w:rPr>
              <w:t>项目资金使用是否符合相关的财务管理制度规定，用以反映和考核项目资金的规范运行情况。</w:t>
            </w:r>
          </w:p>
        </w:tc>
        <w:tc>
          <w:tcPr>
            <w:tcW w:w="3539" w:type="dxa"/>
            <w:shd w:val="clear" w:color="auto" w:fill="FFFFFF"/>
            <w:noWrap w:val="0"/>
            <w:vAlign w:val="center"/>
          </w:tcPr>
          <w:p>
            <w:pPr>
              <w:widowControl/>
              <w:spacing w:line="260" w:lineRule="exact"/>
              <w:jc w:val="left"/>
              <w:rPr>
                <w:rFonts w:hint="eastAsia" w:eastAsia="宋体"/>
                <w:kern w:val="0"/>
                <w:sz w:val="21"/>
                <w:szCs w:val="21"/>
              </w:rPr>
            </w:pPr>
            <w:r>
              <w:rPr>
                <w:rFonts w:hint="eastAsia" w:eastAsia="宋体"/>
                <w:kern w:val="0"/>
                <w:sz w:val="21"/>
                <w:szCs w:val="21"/>
              </w:rPr>
              <w:t>①是否符合国家财经法规和财务管理制度以及有关专项资金管理办法的规定；（</w:t>
            </w:r>
            <w:r>
              <w:rPr>
                <w:rFonts w:eastAsia="宋体"/>
                <w:kern w:val="0"/>
                <w:sz w:val="21"/>
                <w:szCs w:val="21"/>
              </w:rPr>
              <w:t>1</w:t>
            </w:r>
            <w:r>
              <w:rPr>
                <w:rFonts w:hint="eastAsia" w:eastAsia="宋体"/>
                <w:kern w:val="0"/>
                <w:sz w:val="21"/>
                <w:szCs w:val="21"/>
              </w:rPr>
              <w:t>分）</w:t>
            </w:r>
          </w:p>
          <w:p>
            <w:pPr>
              <w:widowControl/>
              <w:spacing w:line="260" w:lineRule="exact"/>
              <w:jc w:val="left"/>
              <w:rPr>
                <w:rFonts w:hint="eastAsia" w:eastAsia="宋体"/>
                <w:kern w:val="0"/>
                <w:sz w:val="21"/>
                <w:szCs w:val="21"/>
              </w:rPr>
            </w:pPr>
            <w:r>
              <w:rPr>
                <w:rFonts w:hint="eastAsia" w:eastAsia="宋体"/>
                <w:kern w:val="0"/>
                <w:sz w:val="21"/>
                <w:szCs w:val="21"/>
              </w:rPr>
              <w:t>②资金的拨付是否有完整的审批程序和手续；（</w:t>
            </w:r>
            <w:r>
              <w:rPr>
                <w:rFonts w:eastAsia="宋体"/>
                <w:kern w:val="0"/>
                <w:sz w:val="21"/>
                <w:szCs w:val="21"/>
              </w:rPr>
              <w:t>2</w:t>
            </w:r>
            <w:r>
              <w:rPr>
                <w:rFonts w:hint="eastAsia" w:eastAsia="宋体"/>
                <w:kern w:val="0"/>
                <w:sz w:val="21"/>
                <w:szCs w:val="21"/>
              </w:rPr>
              <w:t>分）</w:t>
            </w:r>
          </w:p>
          <w:p>
            <w:pPr>
              <w:widowControl/>
              <w:spacing w:line="260" w:lineRule="exact"/>
              <w:jc w:val="left"/>
              <w:rPr>
                <w:rFonts w:hint="eastAsia" w:eastAsia="宋体"/>
                <w:kern w:val="0"/>
                <w:sz w:val="21"/>
                <w:szCs w:val="21"/>
              </w:rPr>
            </w:pPr>
            <w:r>
              <w:rPr>
                <w:rFonts w:hint="eastAsia" w:eastAsia="宋体"/>
                <w:kern w:val="0"/>
                <w:sz w:val="21"/>
                <w:szCs w:val="21"/>
              </w:rPr>
              <w:t>③项目的重大开支是否经过评估认证；（</w:t>
            </w:r>
            <w:r>
              <w:rPr>
                <w:rFonts w:eastAsia="宋体"/>
                <w:kern w:val="0"/>
                <w:sz w:val="21"/>
                <w:szCs w:val="21"/>
              </w:rPr>
              <w:t>1</w:t>
            </w:r>
            <w:r>
              <w:rPr>
                <w:rFonts w:hint="eastAsia" w:eastAsia="宋体"/>
                <w:kern w:val="0"/>
                <w:sz w:val="21"/>
                <w:szCs w:val="21"/>
              </w:rPr>
              <w:t>分）</w:t>
            </w:r>
          </w:p>
          <w:p>
            <w:pPr>
              <w:widowControl/>
              <w:spacing w:line="260" w:lineRule="exact"/>
              <w:jc w:val="left"/>
              <w:rPr>
                <w:rFonts w:hint="eastAsia" w:eastAsia="宋体"/>
                <w:kern w:val="0"/>
                <w:sz w:val="21"/>
                <w:szCs w:val="21"/>
              </w:rPr>
            </w:pPr>
            <w:r>
              <w:rPr>
                <w:rFonts w:hint="eastAsia" w:eastAsia="宋体"/>
                <w:kern w:val="0"/>
                <w:sz w:val="21"/>
                <w:szCs w:val="21"/>
              </w:rPr>
              <w:t>④是否符合项目预算批复或合同规定的用途；（</w:t>
            </w:r>
            <w:r>
              <w:rPr>
                <w:rFonts w:eastAsia="宋体"/>
                <w:kern w:val="0"/>
                <w:sz w:val="21"/>
                <w:szCs w:val="21"/>
              </w:rPr>
              <w:t>1</w:t>
            </w:r>
            <w:r>
              <w:rPr>
                <w:rFonts w:hint="eastAsia" w:eastAsia="宋体"/>
                <w:kern w:val="0"/>
                <w:sz w:val="21"/>
                <w:szCs w:val="21"/>
              </w:rPr>
              <w:t>分）</w:t>
            </w:r>
          </w:p>
          <w:p>
            <w:pPr>
              <w:widowControl/>
              <w:spacing w:line="260" w:lineRule="exact"/>
              <w:jc w:val="left"/>
              <w:rPr>
                <w:kern w:val="0"/>
                <w:szCs w:val="21"/>
              </w:rPr>
            </w:pPr>
            <w:r>
              <w:rPr>
                <w:rFonts w:hint="eastAsia" w:eastAsia="宋体"/>
                <w:kern w:val="0"/>
                <w:sz w:val="21"/>
                <w:szCs w:val="21"/>
              </w:rPr>
              <w:t>⑤是否存在截留、挤占、挪用、虚列支出等情况。（</w:t>
            </w:r>
            <w:r>
              <w:rPr>
                <w:rFonts w:eastAsia="宋体"/>
                <w:kern w:val="0"/>
                <w:sz w:val="21"/>
                <w:szCs w:val="21"/>
              </w:rPr>
              <w:t>2</w:t>
            </w:r>
            <w:r>
              <w:rPr>
                <w:rFonts w:hint="eastAsia" w:eastAsia="宋体"/>
                <w:kern w:val="0"/>
                <w:sz w:val="21"/>
                <w:szCs w:val="21"/>
              </w:rPr>
              <w:t>分）</w:t>
            </w:r>
          </w:p>
        </w:tc>
        <w:tc>
          <w:tcPr>
            <w:tcW w:w="707" w:type="dxa"/>
            <w:noWrap/>
            <w:vAlign w:val="center"/>
          </w:tcPr>
          <w:p>
            <w:pPr>
              <w:widowControl/>
              <w:spacing w:line="260" w:lineRule="exact"/>
              <w:jc w:val="left"/>
              <w:rPr>
                <w:kern w:val="0"/>
                <w:szCs w:val="21"/>
              </w:rPr>
            </w:pPr>
            <w:r>
              <w:rPr>
                <w:rFonts w:hint="eastAsia" w:eastAsia="宋体"/>
                <w:kern w:val="0"/>
                <w:sz w:val="21"/>
                <w:szCs w:val="21"/>
              </w:rPr>
              <w:t>　7</w:t>
            </w:r>
          </w:p>
        </w:tc>
        <w:tc>
          <w:tcPr>
            <w:tcW w:w="900" w:type="dxa"/>
            <w:noWrap/>
            <w:vAlign w:val="center"/>
          </w:tcPr>
          <w:p>
            <w:pPr>
              <w:widowControl/>
              <w:spacing w:line="26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714" w:type="dxa"/>
            <w:shd w:val="clear" w:color="auto" w:fill="auto"/>
            <w:noWrap w:val="0"/>
            <w:textDirection w:val="tbRlV"/>
            <w:vAlign w:val="center"/>
          </w:tcPr>
          <w:p>
            <w:pPr>
              <w:widowControl/>
              <w:spacing w:line="310" w:lineRule="exact"/>
              <w:jc w:val="center"/>
              <w:rPr>
                <w:kern w:val="0"/>
                <w:szCs w:val="21"/>
              </w:rPr>
            </w:pPr>
            <w:r>
              <w:rPr>
                <w:rFonts w:hint="eastAsia" w:eastAsia="宋体"/>
                <w:kern w:val="0"/>
                <w:sz w:val="21"/>
                <w:szCs w:val="21"/>
              </w:rPr>
              <w:t>过</w:t>
            </w:r>
            <w:r>
              <w:rPr>
                <w:rFonts w:eastAsia="宋体"/>
                <w:kern w:val="0"/>
                <w:sz w:val="21"/>
                <w:szCs w:val="21"/>
              </w:rPr>
              <w:t xml:space="preserve">   </w:t>
            </w:r>
            <w:r>
              <w:rPr>
                <w:rFonts w:hint="eastAsia" w:eastAsia="宋体"/>
                <w:kern w:val="0"/>
                <w:sz w:val="21"/>
                <w:szCs w:val="21"/>
              </w:rPr>
              <w:t>程（</w:t>
            </w:r>
            <w:r>
              <w:rPr>
                <w:rFonts w:eastAsia="宋体"/>
                <w:kern w:val="0"/>
                <w:sz w:val="21"/>
                <w:szCs w:val="21"/>
              </w:rPr>
              <w:t>25</w:t>
            </w:r>
            <w:r>
              <w:rPr>
                <w:rFonts w:hint="eastAsia" w:eastAsia="宋体"/>
                <w:kern w:val="0"/>
                <w:sz w:val="21"/>
                <w:szCs w:val="21"/>
              </w:rPr>
              <w:t>分）</w:t>
            </w:r>
          </w:p>
        </w:tc>
        <w:tc>
          <w:tcPr>
            <w:tcW w:w="702" w:type="dxa"/>
            <w:shd w:val="clear" w:color="auto" w:fill="auto"/>
            <w:noWrap w:val="0"/>
            <w:vAlign w:val="center"/>
          </w:tcPr>
          <w:p>
            <w:pPr>
              <w:widowControl/>
              <w:spacing w:line="310" w:lineRule="exact"/>
              <w:jc w:val="center"/>
              <w:rPr>
                <w:kern w:val="0"/>
                <w:szCs w:val="21"/>
              </w:rPr>
            </w:pPr>
            <w:r>
              <w:rPr>
                <w:rFonts w:hint="eastAsia" w:eastAsia="宋体"/>
                <w:kern w:val="0"/>
                <w:sz w:val="21"/>
                <w:szCs w:val="21"/>
              </w:rPr>
              <w:t>财务</w:t>
            </w:r>
            <w:r>
              <w:rPr>
                <w:rFonts w:eastAsia="宋体"/>
                <w:kern w:val="0"/>
                <w:sz w:val="21"/>
                <w:szCs w:val="21"/>
              </w:rPr>
              <w:br w:type="textWrapping"/>
            </w:r>
            <w:r>
              <w:rPr>
                <w:rFonts w:hint="eastAsia" w:eastAsia="宋体"/>
                <w:kern w:val="0"/>
                <w:sz w:val="21"/>
                <w:szCs w:val="21"/>
              </w:rPr>
              <w:t>管理（</w:t>
            </w:r>
            <w:r>
              <w:rPr>
                <w:rFonts w:eastAsia="宋体"/>
                <w:kern w:val="0"/>
                <w:sz w:val="21"/>
                <w:szCs w:val="21"/>
              </w:rPr>
              <w:t>12</w:t>
            </w:r>
            <w:r>
              <w:rPr>
                <w:rFonts w:hint="eastAsia" w:eastAsia="宋体"/>
                <w:kern w:val="0"/>
                <w:sz w:val="21"/>
                <w:szCs w:val="21"/>
              </w:rPr>
              <w:t>分）</w:t>
            </w:r>
          </w:p>
        </w:tc>
        <w:tc>
          <w:tcPr>
            <w:tcW w:w="851"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财务监控有效性（</w:t>
            </w:r>
            <w:r>
              <w:rPr>
                <w:rFonts w:eastAsia="宋体"/>
                <w:kern w:val="0"/>
                <w:sz w:val="21"/>
                <w:szCs w:val="21"/>
              </w:rPr>
              <w:t>2</w:t>
            </w:r>
            <w:r>
              <w:rPr>
                <w:rFonts w:hint="eastAsia" w:eastAsia="宋体"/>
                <w:kern w:val="0"/>
                <w:sz w:val="21"/>
                <w:szCs w:val="21"/>
              </w:rPr>
              <w:t>分）</w:t>
            </w:r>
          </w:p>
        </w:tc>
        <w:tc>
          <w:tcPr>
            <w:tcW w:w="1700"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项目实施单位是否为保障资金的安全、规范运行而采取了必要的监控措施，用以反映和考核项目实施单位对资金运行的控制情况。</w:t>
            </w:r>
          </w:p>
        </w:tc>
        <w:tc>
          <w:tcPr>
            <w:tcW w:w="3539" w:type="dxa"/>
            <w:shd w:val="clear" w:color="auto" w:fill="FFFFFF"/>
            <w:noWrap w:val="0"/>
            <w:vAlign w:val="center"/>
          </w:tcPr>
          <w:p>
            <w:pPr>
              <w:widowControl/>
              <w:spacing w:line="310" w:lineRule="exact"/>
              <w:jc w:val="left"/>
              <w:rPr>
                <w:rFonts w:hint="eastAsia" w:eastAsia="宋体"/>
                <w:kern w:val="0"/>
                <w:sz w:val="21"/>
                <w:szCs w:val="21"/>
              </w:rPr>
            </w:pPr>
            <w:r>
              <w:rPr>
                <w:rFonts w:hint="eastAsia" w:eastAsia="宋体"/>
                <w:kern w:val="0"/>
                <w:sz w:val="21"/>
                <w:szCs w:val="21"/>
              </w:rPr>
              <w:t>①是否已制定或具有相应的监控机制；（</w:t>
            </w:r>
            <w:r>
              <w:rPr>
                <w:rFonts w:eastAsia="宋体"/>
                <w:kern w:val="0"/>
                <w:sz w:val="21"/>
                <w:szCs w:val="21"/>
              </w:rPr>
              <w:t>1</w:t>
            </w:r>
            <w:r>
              <w:rPr>
                <w:rFonts w:hint="eastAsia" w:eastAsia="宋体"/>
                <w:kern w:val="0"/>
                <w:sz w:val="21"/>
                <w:szCs w:val="21"/>
              </w:rPr>
              <w:t>分）</w:t>
            </w:r>
          </w:p>
          <w:p>
            <w:pPr>
              <w:widowControl/>
              <w:spacing w:line="310" w:lineRule="exact"/>
              <w:jc w:val="left"/>
              <w:rPr>
                <w:kern w:val="0"/>
                <w:szCs w:val="21"/>
              </w:rPr>
            </w:pPr>
            <w:r>
              <w:rPr>
                <w:rFonts w:hint="eastAsia" w:eastAsia="宋体"/>
                <w:kern w:val="0"/>
                <w:sz w:val="21"/>
                <w:szCs w:val="21"/>
              </w:rPr>
              <w:t>②是否采取了相应的财务检查等必要的监控措施或手段。（</w:t>
            </w:r>
            <w:r>
              <w:rPr>
                <w:rFonts w:eastAsia="宋体"/>
                <w:kern w:val="0"/>
                <w:sz w:val="21"/>
                <w:szCs w:val="21"/>
              </w:rPr>
              <w:t>1</w:t>
            </w:r>
            <w:r>
              <w:rPr>
                <w:rFonts w:hint="eastAsia" w:eastAsia="宋体"/>
                <w:kern w:val="0"/>
                <w:sz w:val="21"/>
                <w:szCs w:val="21"/>
              </w:rPr>
              <w:t>分）</w:t>
            </w:r>
          </w:p>
        </w:tc>
        <w:tc>
          <w:tcPr>
            <w:tcW w:w="707" w:type="dxa"/>
            <w:noWrap/>
            <w:vAlign w:val="center"/>
          </w:tcPr>
          <w:p>
            <w:pPr>
              <w:widowControl/>
              <w:spacing w:line="310" w:lineRule="exact"/>
              <w:jc w:val="left"/>
              <w:rPr>
                <w:kern w:val="0"/>
                <w:szCs w:val="21"/>
              </w:rPr>
            </w:pPr>
            <w:r>
              <w:rPr>
                <w:rFonts w:hint="eastAsia" w:eastAsia="宋体"/>
                <w:kern w:val="0"/>
                <w:sz w:val="21"/>
                <w:szCs w:val="21"/>
              </w:rPr>
              <w:t>　2</w:t>
            </w:r>
          </w:p>
        </w:tc>
        <w:tc>
          <w:tcPr>
            <w:tcW w:w="900" w:type="dxa"/>
            <w:noWrap/>
            <w:vAlign w:val="center"/>
          </w:tcPr>
          <w:p>
            <w:pPr>
              <w:widowControl/>
              <w:spacing w:line="31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restart"/>
            <w:shd w:val="clear" w:color="auto" w:fill="FFFFFF"/>
            <w:noWrap/>
            <w:textDirection w:val="tbRlV"/>
            <w:vAlign w:val="center"/>
          </w:tcPr>
          <w:p>
            <w:pPr>
              <w:widowControl/>
              <w:spacing w:line="310" w:lineRule="exact"/>
              <w:jc w:val="center"/>
              <w:rPr>
                <w:kern w:val="0"/>
                <w:szCs w:val="21"/>
              </w:rPr>
            </w:pPr>
            <w:r>
              <w:rPr>
                <w:rFonts w:hint="eastAsia" w:eastAsia="宋体"/>
                <w:kern w:val="0"/>
                <w:sz w:val="21"/>
                <w:szCs w:val="21"/>
              </w:rPr>
              <w:t>产</w:t>
            </w:r>
            <w:r>
              <w:rPr>
                <w:rFonts w:eastAsia="宋体"/>
                <w:kern w:val="0"/>
                <w:sz w:val="21"/>
                <w:szCs w:val="21"/>
              </w:rPr>
              <w:t xml:space="preserve">   </w:t>
            </w:r>
            <w:r>
              <w:rPr>
                <w:rFonts w:hint="eastAsia" w:eastAsia="宋体"/>
                <w:kern w:val="0"/>
                <w:sz w:val="21"/>
                <w:szCs w:val="21"/>
              </w:rPr>
              <w:t>出（</w:t>
            </w:r>
            <w:r>
              <w:rPr>
                <w:rFonts w:eastAsia="宋体"/>
                <w:kern w:val="0"/>
                <w:sz w:val="21"/>
                <w:szCs w:val="21"/>
              </w:rPr>
              <w:t>20</w:t>
            </w:r>
            <w:r>
              <w:rPr>
                <w:rFonts w:hint="eastAsia" w:eastAsia="宋体"/>
                <w:kern w:val="0"/>
                <w:sz w:val="21"/>
                <w:szCs w:val="21"/>
              </w:rPr>
              <w:t>分）</w:t>
            </w:r>
          </w:p>
        </w:tc>
        <w:tc>
          <w:tcPr>
            <w:tcW w:w="702" w:type="dxa"/>
            <w:vMerge w:val="restart"/>
            <w:shd w:val="clear" w:color="auto" w:fill="FFFFFF"/>
            <w:noWrap w:val="0"/>
            <w:vAlign w:val="center"/>
          </w:tcPr>
          <w:p>
            <w:pPr>
              <w:widowControl/>
              <w:spacing w:line="310" w:lineRule="exact"/>
              <w:jc w:val="center"/>
              <w:rPr>
                <w:kern w:val="0"/>
                <w:szCs w:val="21"/>
              </w:rPr>
            </w:pPr>
            <w:r>
              <w:rPr>
                <w:rFonts w:hint="eastAsia" w:eastAsia="宋体"/>
                <w:kern w:val="0"/>
                <w:sz w:val="21"/>
                <w:szCs w:val="21"/>
              </w:rPr>
              <w:t>项目</w:t>
            </w:r>
            <w:r>
              <w:rPr>
                <w:rFonts w:eastAsia="宋体"/>
                <w:kern w:val="0"/>
                <w:sz w:val="21"/>
                <w:szCs w:val="21"/>
              </w:rPr>
              <w:br w:type="textWrapping"/>
            </w:r>
            <w:r>
              <w:rPr>
                <w:rFonts w:hint="eastAsia" w:eastAsia="宋体"/>
                <w:kern w:val="0"/>
                <w:sz w:val="21"/>
                <w:szCs w:val="21"/>
              </w:rPr>
              <w:t>产出（</w:t>
            </w:r>
            <w:r>
              <w:rPr>
                <w:rFonts w:eastAsia="宋体"/>
                <w:kern w:val="0"/>
                <w:sz w:val="21"/>
                <w:szCs w:val="21"/>
              </w:rPr>
              <w:t>20</w:t>
            </w:r>
            <w:r>
              <w:rPr>
                <w:rFonts w:hint="eastAsia" w:eastAsia="宋体"/>
                <w:kern w:val="0"/>
                <w:sz w:val="21"/>
                <w:szCs w:val="21"/>
              </w:rPr>
              <w:t>分）</w:t>
            </w:r>
          </w:p>
        </w:tc>
        <w:tc>
          <w:tcPr>
            <w:tcW w:w="851"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实际完成率（</w:t>
            </w:r>
            <w:r>
              <w:rPr>
                <w:rFonts w:eastAsia="宋体"/>
                <w:kern w:val="0"/>
                <w:sz w:val="21"/>
                <w:szCs w:val="21"/>
              </w:rPr>
              <w:t>4</w:t>
            </w:r>
            <w:r>
              <w:rPr>
                <w:rFonts w:hint="eastAsia" w:eastAsia="宋体"/>
                <w:kern w:val="0"/>
                <w:sz w:val="21"/>
                <w:szCs w:val="21"/>
              </w:rPr>
              <w:t>分）</w:t>
            </w:r>
          </w:p>
        </w:tc>
        <w:tc>
          <w:tcPr>
            <w:tcW w:w="1700"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项目实施的实际产出数与计划产出数的比率，用以反映和考核项目产出数量目标的实现程度。</w:t>
            </w:r>
          </w:p>
        </w:tc>
        <w:tc>
          <w:tcPr>
            <w:tcW w:w="3539" w:type="dxa"/>
            <w:shd w:val="clear" w:color="auto" w:fill="FFFFFF"/>
            <w:noWrap w:val="0"/>
            <w:vAlign w:val="center"/>
          </w:tcPr>
          <w:p>
            <w:pPr>
              <w:widowControl/>
              <w:spacing w:line="310" w:lineRule="exact"/>
              <w:jc w:val="left"/>
              <w:rPr>
                <w:rFonts w:hint="eastAsia" w:eastAsia="宋体"/>
                <w:spacing w:val="-14"/>
                <w:kern w:val="0"/>
                <w:sz w:val="21"/>
                <w:szCs w:val="21"/>
              </w:rPr>
            </w:pPr>
            <w:r>
              <w:rPr>
                <w:rFonts w:hint="eastAsia" w:eastAsia="宋体"/>
                <w:spacing w:val="-14"/>
                <w:kern w:val="0"/>
                <w:sz w:val="21"/>
                <w:szCs w:val="21"/>
              </w:rPr>
              <w:t>实际完成率</w:t>
            </w:r>
            <w:r>
              <w:rPr>
                <w:rFonts w:eastAsia="宋体"/>
                <w:spacing w:val="-14"/>
                <w:kern w:val="0"/>
                <w:sz w:val="21"/>
                <w:szCs w:val="21"/>
              </w:rPr>
              <w:t>=</w:t>
            </w:r>
            <w:r>
              <w:rPr>
                <w:rFonts w:hint="eastAsia" w:eastAsia="宋体"/>
                <w:spacing w:val="-14"/>
                <w:kern w:val="0"/>
                <w:sz w:val="21"/>
                <w:szCs w:val="21"/>
              </w:rPr>
              <w:t>（实际产出数</w:t>
            </w:r>
            <w:r>
              <w:rPr>
                <w:rFonts w:eastAsia="宋体"/>
                <w:spacing w:val="-14"/>
                <w:kern w:val="0"/>
                <w:sz w:val="21"/>
                <w:szCs w:val="21"/>
              </w:rPr>
              <w:t>/</w:t>
            </w:r>
            <w:r>
              <w:rPr>
                <w:rFonts w:hint="eastAsia" w:eastAsia="宋体"/>
                <w:spacing w:val="-14"/>
                <w:kern w:val="0"/>
                <w:sz w:val="21"/>
                <w:szCs w:val="21"/>
              </w:rPr>
              <w:t>计划产出数）</w:t>
            </w:r>
            <w:r>
              <w:rPr>
                <w:rFonts w:eastAsia="宋体"/>
                <w:spacing w:val="-14"/>
                <w:kern w:val="0"/>
                <w:sz w:val="21"/>
                <w:szCs w:val="21"/>
              </w:rPr>
              <w:t>×100%</w:t>
            </w:r>
            <w:r>
              <w:rPr>
                <w:rFonts w:hint="eastAsia" w:eastAsia="宋体"/>
                <w:spacing w:val="-14"/>
                <w:kern w:val="0"/>
                <w:sz w:val="21"/>
                <w:szCs w:val="21"/>
              </w:rPr>
              <w:t>。（得分</w:t>
            </w:r>
            <w:r>
              <w:rPr>
                <w:rFonts w:eastAsia="宋体"/>
                <w:spacing w:val="-14"/>
                <w:kern w:val="0"/>
                <w:sz w:val="21"/>
                <w:szCs w:val="21"/>
              </w:rPr>
              <w:t>=</w:t>
            </w:r>
            <w:r>
              <w:rPr>
                <w:rFonts w:hint="eastAsia" w:eastAsia="宋体"/>
                <w:spacing w:val="-14"/>
                <w:kern w:val="0"/>
                <w:sz w:val="21"/>
                <w:szCs w:val="21"/>
              </w:rPr>
              <w:t>实际完成率</w:t>
            </w:r>
            <w:r>
              <w:rPr>
                <w:rFonts w:eastAsia="宋体"/>
                <w:spacing w:val="-14"/>
                <w:kern w:val="0"/>
                <w:sz w:val="21"/>
                <w:szCs w:val="21"/>
              </w:rPr>
              <w:t>*4</w:t>
            </w:r>
            <w:r>
              <w:rPr>
                <w:rFonts w:hint="eastAsia" w:eastAsia="宋体"/>
                <w:spacing w:val="-14"/>
                <w:kern w:val="0"/>
                <w:sz w:val="21"/>
                <w:szCs w:val="21"/>
              </w:rPr>
              <w:t>分）</w:t>
            </w:r>
          </w:p>
          <w:p>
            <w:pPr>
              <w:widowControl/>
              <w:spacing w:line="310" w:lineRule="exact"/>
              <w:jc w:val="left"/>
              <w:rPr>
                <w:kern w:val="0"/>
                <w:szCs w:val="21"/>
              </w:rPr>
            </w:pPr>
            <w:r>
              <w:rPr>
                <w:rFonts w:hint="eastAsia" w:eastAsia="宋体"/>
                <w:spacing w:val="-14"/>
                <w:kern w:val="0"/>
                <w:sz w:val="21"/>
                <w:szCs w:val="21"/>
              </w:rPr>
              <w:t>实际产出数：一定时期（本年度或项目期）内项目实际产出的产品或提供的服务数量。</w:t>
            </w:r>
            <w:r>
              <w:rPr>
                <w:rFonts w:eastAsia="宋体"/>
                <w:kern w:val="0"/>
                <w:sz w:val="21"/>
                <w:szCs w:val="21"/>
              </w:rPr>
              <w:br w:type="textWrapping"/>
            </w:r>
            <w:r>
              <w:rPr>
                <w:rFonts w:hint="eastAsia" w:eastAsia="宋体"/>
                <w:kern w:val="0"/>
                <w:sz w:val="21"/>
                <w:szCs w:val="21"/>
              </w:rPr>
              <w:t>计划产出数：项目绩效目标确定的在一定时期（本年度或项目期）内计划产出的产品或提供的服务数量。</w:t>
            </w:r>
          </w:p>
        </w:tc>
        <w:tc>
          <w:tcPr>
            <w:tcW w:w="707" w:type="dxa"/>
            <w:noWrap/>
            <w:vAlign w:val="center"/>
          </w:tcPr>
          <w:p>
            <w:pPr>
              <w:widowControl/>
              <w:spacing w:line="310" w:lineRule="exact"/>
              <w:jc w:val="left"/>
              <w:rPr>
                <w:kern w:val="0"/>
                <w:szCs w:val="21"/>
              </w:rPr>
            </w:pPr>
            <w:r>
              <w:rPr>
                <w:rFonts w:hint="eastAsia" w:eastAsia="宋体"/>
                <w:kern w:val="0"/>
                <w:sz w:val="21"/>
                <w:szCs w:val="21"/>
              </w:rPr>
              <w:t>　4</w:t>
            </w:r>
          </w:p>
        </w:tc>
        <w:tc>
          <w:tcPr>
            <w:tcW w:w="900" w:type="dxa"/>
            <w:noWrap/>
            <w:vAlign w:val="center"/>
          </w:tcPr>
          <w:p>
            <w:pPr>
              <w:widowControl/>
              <w:spacing w:line="31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continue"/>
            <w:shd w:val="clear" w:color="auto" w:fill="auto"/>
            <w:noWrap w:val="0"/>
            <w:vAlign w:val="center"/>
          </w:tcPr>
          <w:p>
            <w:pPr>
              <w:widowControl/>
              <w:spacing w:line="310" w:lineRule="exact"/>
              <w:jc w:val="left"/>
              <w:rPr>
                <w:kern w:val="0"/>
                <w:szCs w:val="21"/>
              </w:rPr>
            </w:pPr>
          </w:p>
        </w:tc>
        <w:tc>
          <w:tcPr>
            <w:tcW w:w="702" w:type="dxa"/>
            <w:vMerge w:val="continue"/>
            <w:shd w:val="clear" w:color="auto" w:fill="auto"/>
            <w:noWrap w:val="0"/>
            <w:vAlign w:val="center"/>
          </w:tcPr>
          <w:p>
            <w:pPr>
              <w:widowControl/>
              <w:spacing w:line="310" w:lineRule="exact"/>
              <w:jc w:val="left"/>
              <w:rPr>
                <w:kern w:val="0"/>
                <w:szCs w:val="21"/>
              </w:rPr>
            </w:pPr>
          </w:p>
        </w:tc>
        <w:tc>
          <w:tcPr>
            <w:tcW w:w="851"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完成及时率（</w:t>
            </w:r>
            <w:r>
              <w:rPr>
                <w:rFonts w:eastAsia="宋体"/>
                <w:kern w:val="0"/>
                <w:sz w:val="21"/>
                <w:szCs w:val="21"/>
              </w:rPr>
              <w:t>6</w:t>
            </w:r>
            <w:r>
              <w:rPr>
                <w:rFonts w:hint="eastAsia" w:eastAsia="宋体"/>
                <w:kern w:val="0"/>
                <w:sz w:val="21"/>
                <w:szCs w:val="21"/>
              </w:rPr>
              <w:t>分）</w:t>
            </w:r>
          </w:p>
        </w:tc>
        <w:tc>
          <w:tcPr>
            <w:tcW w:w="1700"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项目实际提前完成时间与计划完成时间的比率，用以反映和考核项目产出时效目标的实现程度。</w:t>
            </w:r>
          </w:p>
        </w:tc>
        <w:tc>
          <w:tcPr>
            <w:tcW w:w="3539" w:type="dxa"/>
            <w:shd w:val="clear" w:color="auto" w:fill="FFFFFF"/>
            <w:noWrap w:val="0"/>
            <w:vAlign w:val="center"/>
          </w:tcPr>
          <w:p>
            <w:pPr>
              <w:widowControl/>
              <w:spacing w:line="310" w:lineRule="exact"/>
              <w:jc w:val="left"/>
              <w:rPr>
                <w:rFonts w:hint="eastAsia" w:eastAsia="宋体"/>
                <w:kern w:val="0"/>
                <w:sz w:val="21"/>
                <w:szCs w:val="21"/>
              </w:rPr>
            </w:pPr>
            <w:r>
              <w:rPr>
                <w:rFonts w:hint="eastAsia" w:eastAsia="宋体"/>
                <w:kern w:val="0"/>
                <w:sz w:val="21"/>
                <w:szCs w:val="21"/>
              </w:rPr>
              <w:t>完成及时率</w:t>
            </w:r>
            <w:r>
              <w:rPr>
                <w:rFonts w:eastAsia="宋体"/>
                <w:kern w:val="0"/>
                <w:sz w:val="21"/>
                <w:szCs w:val="21"/>
              </w:rPr>
              <w:t>=[</w:t>
            </w:r>
            <w:r>
              <w:rPr>
                <w:rFonts w:hint="eastAsia" w:eastAsia="宋体"/>
                <w:kern w:val="0"/>
                <w:sz w:val="21"/>
                <w:szCs w:val="21"/>
              </w:rPr>
              <w:t>（计划完成时间</w:t>
            </w:r>
            <w:r>
              <w:rPr>
                <w:rFonts w:eastAsia="宋体"/>
                <w:kern w:val="0"/>
                <w:sz w:val="21"/>
                <w:szCs w:val="21"/>
              </w:rPr>
              <w:t>-</w:t>
            </w:r>
            <w:r>
              <w:rPr>
                <w:rFonts w:hint="eastAsia" w:eastAsia="宋体"/>
                <w:kern w:val="0"/>
                <w:sz w:val="21"/>
                <w:szCs w:val="21"/>
              </w:rPr>
              <w:t>实际完成时间）</w:t>
            </w:r>
            <w:r>
              <w:rPr>
                <w:rFonts w:eastAsia="宋体"/>
                <w:kern w:val="0"/>
                <w:sz w:val="21"/>
                <w:szCs w:val="21"/>
              </w:rPr>
              <w:t>/</w:t>
            </w:r>
            <w:r>
              <w:rPr>
                <w:rFonts w:hint="eastAsia" w:eastAsia="宋体"/>
                <w:kern w:val="0"/>
                <w:sz w:val="21"/>
                <w:szCs w:val="21"/>
              </w:rPr>
              <w:t>计划完成时间</w:t>
            </w:r>
            <w:r>
              <w:rPr>
                <w:rFonts w:eastAsia="宋体"/>
                <w:kern w:val="0"/>
                <w:sz w:val="21"/>
                <w:szCs w:val="21"/>
              </w:rPr>
              <w:t>]×100%</w:t>
            </w:r>
            <w:r>
              <w:rPr>
                <w:rFonts w:hint="eastAsia" w:eastAsia="宋体"/>
                <w:kern w:val="0"/>
                <w:sz w:val="21"/>
                <w:szCs w:val="21"/>
              </w:rPr>
              <w:t>。（</w:t>
            </w:r>
            <w:r>
              <w:rPr>
                <w:rFonts w:eastAsia="宋体"/>
                <w:kern w:val="0"/>
                <w:sz w:val="21"/>
                <w:szCs w:val="21"/>
              </w:rPr>
              <w:t>1--4</w:t>
            </w:r>
            <w:r>
              <w:rPr>
                <w:rFonts w:hint="eastAsia" w:eastAsia="宋体"/>
                <w:kern w:val="0"/>
                <w:sz w:val="21"/>
                <w:szCs w:val="21"/>
              </w:rPr>
              <w:t>季度各得</w:t>
            </w:r>
            <w:r>
              <w:rPr>
                <w:rFonts w:eastAsia="宋体"/>
                <w:kern w:val="0"/>
                <w:sz w:val="21"/>
                <w:szCs w:val="21"/>
              </w:rPr>
              <w:t>1.5</w:t>
            </w:r>
            <w:r>
              <w:rPr>
                <w:rFonts w:hint="eastAsia" w:eastAsia="宋体"/>
                <w:kern w:val="0"/>
                <w:sz w:val="21"/>
                <w:szCs w:val="21"/>
              </w:rPr>
              <w:t>分）</w:t>
            </w:r>
          </w:p>
          <w:p>
            <w:pPr>
              <w:widowControl/>
              <w:spacing w:line="310" w:lineRule="exact"/>
              <w:jc w:val="left"/>
              <w:rPr>
                <w:rFonts w:hint="eastAsia" w:eastAsia="宋体"/>
                <w:kern w:val="0"/>
                <w:sz w:val="21"/>
                <w:szCs w:val="21"/>
              </w:rPr>
            </w:pPr>
            <w:r>
              <w:rPr>
                <w:rFonts w:hint="eastAsia" w:eastAsia="宋体"/>
                <w:kern w:val="0"/>
                <w:sz w:val="21"/>
                <w:szCs w:val="21"/>
              </w:rPr>
              <w:t>实际完成时间：项目实施单位完成该项目实际所耗用的时间。</w:t>
            </w:r>
          </w:p>
          <w:p>
            <w:pPr>
              <w:widowControl/>
              <w:spacing w:line="310" w:lineRule="exact"/>
              <w:jc w:val="left"/>
              <w:rPr>
                <w:kern w:val="0"/>
                <w:szCs w:val="21"/>
              </w:rPr>
            </w:pPr>
            <w:r>
              <w:rPr>
                <w:rFonts w:hint="eastAsia" w:eastAsia="宋体"/>
                <w:kern w:val="0"/>
                <w:sz w:val="21"/>
                <w:szCs w:val="21"/>
              </w:rPr>
              <w:t>计划完成时间：按照项目实施计划或相关规定完成该项目所需的时间。</w:t>
            </w:r>
          </w:p>
        </w:tc>
        <w:tc>
          <w:tcPr>
            <w:tcW w:w="707" w:type="dxa"/>
            <w:noWrap/>
            <w:vAlign w:val="center"/>
          </w:tcPr>
          <w:p>
            <w:pPr>
              <w:widowControl/>
              <w:spacing w:line="310" w:lineRule="exact"/>
              <w:jc w:val="left"/>
              <w:rPr>
                <w:kern w:val="0"/>
                <w:szCs w:val="21"/>
              </w:rPr>
            </w:pPr>
            <w:r>
              <w:rPr>
                <w:rFonts w:hint="eastAsia" w:eastAsia="宋体"/>
                <w:kern w:val="0"/>
                <w:sz w:val="21"/>
                <w:szCs w:val="21"/>
              </w:rPr>
              <w:t>　6</w:t>
            </w:r>
          </w:p>
        </w:tc>
        <w:tc>
          <w:tcPr>
            <w:tcW w:w="900" w:type="dxa"/>
            <w:noWrap/>
            <w:vAlign w:val="center"/>
          </w:tcPr>
          <w:p>
            <w:pPr>
              <w:widowControl/>
              <w:spacing w:line="31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714" w:type="dxa"/>
            <w:vMerge w:val="continue"/>
            <w:shd w:val="clear" w:color="auto" w:fill="auto"/>
            <w:noWrap w:val="0"/>
            <w:vAlign w:val="center"/>
          </w:tcPr>
          <w:p>
            <w:pPr>
              <w:widowControl/>
              <w:spacing w:line="310" w:lineRule="exact"/>
              <w:jc w:val="left"/>
              <w:rPr>
                <w:kern w:val="0"/>
                <w:szCs w:val="21"/>
              </w:rPr>
            </w:pPr>
          </w:p>
        </w:tc>
        <w:tc>
          <w:tcPr>
            <w:tcW w:w="702" w:type="dxa"/>
            <w:vMerge w:val="continue"/>
            <w:shd w:val="clear" w:color="auto" w:fill="auto"/>
            <w:noWrap w:val="0"/>
            <w:vAlign w:val="center"/>
          </w:tcPr>
          <w:p>
            <w:pPr>
              <w:widowControl/>
              <w:spacing w:line="310" w:lineRule="exact"/>
              <w:jc w:val="left"/>
              <w:rPr>
                <w:kern w:val="0"/>
                <w:szCs w:val="21"/>
              </w:rPr>
            </w:pPr>
          </w:p>
        </w:tc>
        <w:tc>
          <w:tcPr>
            <w:tcW w:w="851"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质量达标率（</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项目完成的质量达标产出数与实际产出数的比率，用以反映和考核项目产出质量目标的实现程度。</w:t>
            </w:r>
          </w:p>
        </w:tc>
        <w:tc>
          <w:tcPr>
            <w:tcW w:w="3539" w:type="dxa"/>
            <w:shd w:val="clear" w:color="auto" w:fill="FFFFFF"/>
            <w:noWrap w:val="0"/>
            <w:vAlign w:val="center"/>
          </w:tcPr>
          <w:p>
            <w:pPr>
              <w:widowControl/>
              <w:spacing w:line="310" w:lineRule="exact"/>
              <w:jc w:val="left"/>
              <w:rPr>
                <w:rFonts w:hint="eastAsia" w:eastAsia="宋体"/>
                <w:kern w:val="0"/>
                <w:sz w:val="21"/>
                <w:szCs w:val="21"/>
              </w:rPr>
            </w:pPr>
            <w:r>
              <w:rPr>
                <w:rFonts w:hint="eastAsia" w:eastAsia="宋体"/>
                <w:kern w:val="0"/>
                <w:sz w:val="21"/>
                <w:szCs w:val="21"/>
              </w:rPr>
              <w:t>质量达标率</w:t>
            </w:r>
            <w:r>
              <w:rPr>
                <w:rFonts w:eastAsia="宋体"/>
                <w:kern w:val="0"/>
                <w:sz w:val="21"/>
                <w:szCs w:val="21"/>
              </w:rPr>
              <w:t>=</w:t>
            </w:r>
            <w:r>
              <w:rPr>
                <w:rFonts w:hint="eastAsia" w:eastAsia="宋体"/>
                <w:kern w:val="0"/>
                <w:sz w:val="21"/>
                <w:szCs w:val="21"/>
              </w:rPr>
              <w:t>（质量达标产出数</w:t>
            </w:r>
            <w:r>
              <w:rPr>
                <w:rFonts w:eastAsia="宋体"/>
                <w:kern w:val="0"/>
                <w:sz w:val="21"/>
                <w:szCs w:val="21"/>
              </w:rPr>
              <w:t>/</w:t>
            </w:r>
            <w:r>
              <w:rPr>
                <w:rFonts w:hint="eastAsia" w:eastAsia="宋体"/>
                <w:kern w:val="0"/>
                <w:sz w:val="21"/>
                <w:szCs w:val="21"/>
              </w:rPr>
              <w:t>实际产出数）</w:t>
            </w:r>
            <w:r>
              <w:rPr>
                <w:rFonts w:eastAsia="宋体"/>
                <w:kern w:val="0"/>
                <w:sz w:val="21"/>
                <w:szCs w:val="21"/>
              </w:rPr>
              <w:t>×100%</w:t>
            </w:r>
            <w:r>
              <w:rPr>
                <w:rFonts w:hint="eastAsia" w:eastAsia="宋体"/>
                <w:kern w:val="0"/>
                <w:sz w:val="21"/>
                <w:szCs w:val="21"/>
              </w:rPr>
              <w:t>。（得分</w:t>
            </w:r>
            <w:r>
              <w:rPr>
                <w:rFonts w:eastAsia="宋体"/>
                <w:kern w:val="0"/>
                <w:sz w:val="21"/>
                <w:szCs w:val="21"/>
              </w:rPr>
              <w:t>=</w:t>
            </w:r>
            <w:r>
              <w:rPr>
                <w:rFonts w:hint="eastAsia" w:eastAsia="宋体"/>
                <w:kern w:val="0"/>
                <w:sz w:val="21"/>
                <w:szCs w:val="21"/>
              </w:rPr>
              <w:t>达标率</w:t>
            </w:r>
            <w:r>
              <w:rPr>
                <w:rFonts w:eastAsia="宋体"/>
                <w:kern w:val="0"/>
                <w:sz w:val="21"/>
                <w:szCs w:val="21"/>
              </w:rPr>
              <w:t>*5</w:t>
            </w:r>
            <w:r>
              <w:rPr>
                <w:rFonts w:hint="eastAsia" w:eastAsia="宋体"/>
                <w:kern w:val="0"/>
                <w:sz w:val="21"/>
                <w:szCs w:val="21"/>
              </w:rPr>
              <w:t>分）</w:t>
            </w:r>
          </w:p>
          <w:p>
            <w:pPr>
              <w:widowControl/>
              <w:spacing w:line="310" w:lineRule="exact"/>
              <w:jc w:val="left"/>
              <w:rPr>
                <w:rFonts w:hint="eastAsia" w:eastAsia="宋体"/>
                <w:kern w:val="0"/>
                <w:sz w:val="21"/>
                <w:szCs w:val="21"/>
              </w:rPr>
            </w:pPr>
            <w:r>
              <w:rPr>
                <w:rFonts w:hint="eastAsia" w:eastAsia="宋体"/>
                <w:kern w:val="0"/>
                <w:sz w:val="21"/>
                <w:szCs w:val="21"/>
              </w:rPr>
              <w:t>质量达标产出数：一定时期（本年度或项目期）内实际达到既定质量标准的产品或服务数量。</w:t>
            </w:r>
          </w:p>
          <w:p>
            <w:pPr>
              <w:widowControl/>
              <w:spacing w:line="310" w:lineRule="exact"/>
              <w:jc w:val="left"/>
              <w:rPr>
                <w:kern w:val="0"/>
                <w:szCs w:val="21"/>
              </w:rPr>
            </w:pPr>
            <w:r>
              <w:rPr>
                <w:rFonts w:hint="eastAsia" w:eastAsia="宋体"/>
                <w:spacing w:val="-10"/>
                <w:kern w:val="0"/>
                <w:sz w:val="21"/>
                <w:szCs w:val="21"/>
              </w:rPr>
              <w:t>既定质量标准是指项目实施单位设立绩效目标时依据计划标准、行业标准、历史标准或其他标准而设定的绩效指标值。</w:t>
            </w:r>
          </w:p>
        </w:tc>
        <w:tc>
          <w:tcPr>
            <w:tcW w:w="707" w:type="dxa"/>
            <w:noWrap/>
            <w:vAlign w:val="center"/>
          </w:tcPr>
          <w:p>
            <w:pPr>
              <w:widowControl/>
              <w:spacing w:line="310" w:lineRule="exact"/>
              <w:jc w:val="left"/>
              <w:rPr>
                <w:kern w:val="0"/>
                <w:szCs w:val="21"/>
              </w:rPr>
            </w:pPr>
            <w:r>
              <w:rPr>
                <w:rFonts w:hint="eastAsia" w:eastAsia="宋体"/>
                <w:kern w:val="0"/>
                <w:sz w:val="21"/>
                <w:szCs w:val="21"/>
              </w:rPr>
              <w:t>　3</w:t>
            </w:r>
          </w:p>
        </w:tc>
        <w:tc>
          <w:tcPr>
            <w:tcW w:w="900" w:type="dxa"/>
            <w:noWrap/>
            <w:vAlign w:val="center"/>
          </w:tcPr>
          <w:p>
            <w:pPr>
              <w:widowControl/>
              <w:spacing w:line="31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714" w:type="dxa"/>
            <w:vMerge w:val="continue"/>
            <w:shd w:val="clear" w:color="auto" w:fill="auto"/>
            <w:noWrap w:val="0"/>
            <w:vAlign w:val="center"/>
          </w:tcPr>
          <w:p>
            <w:pPr>
              <w:widowControl/>
              <w:spacing w:line="310" w:lineRule="exact"/>
              <w:jc w:val="left"/>
              <w:rPr>
                <w:kern w:val="0"/>
                <w:szCs w:val="21"/>
              </w:rPr>
            </w:pPr>
          </w:p>
        </w:tc>
        <w:tc>
          <w:tcPr>
            <w:tcW w:w="702" w:type="dxa"/>
            <w:vMerge w:val="continue"/>
            <w:shd w:val="clear" w:color="auto" w:fill="auto"/>
            <w:noWrap w:val="0"/>
            <w:vAlign w:val="center"/>
          </w:tcPr>
          <w:p>
            <w:pPr>
              <w:widowControl/>
              <w:spacing w:line="310" w:lineRule="exact"/>
              <w:jc w:val="left"/>
              <w:rPr>
                <w:kern w:val="0"/>
                <w:szCs w:val="21"/>
              </w:rPr>
            </w:pPr>
          </w:p>
        </w:tc>
        <w:tc>
          <w:tcPr>
            <w:tcW w:w="851"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成本节约率（</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310" w:lineRule="exact"/>
              <w:jc w:val="left"/>
              <w:rPr>
                <w:kern w:val="0"/>
                <w:szCs w:val="21"/>
              </w:rPr>
            </w:pPr>
            <w:r>
              <w:rPr>
                <w:rFonts w:hint="eastAsia" w:eastAsia="宋体"/>
                <w:kern w:val="0"/>
                <w:sz w:val="21"/>
                <w:szCs w:val="21"/>
              </w:rPr>
              <w:t>完成项目计划工作目标的实际节约成本与计划成本的比率，用以反映和考核项目的成本节约程度。</w:t>
            </w:r>
          </w:p>
        </w:tc>
        <w:tc>
          <w:tcPr>
            <w:tcW w:w="3539" w:type="dxa"/>
            <w:shd w:val="clear" w:color="auto" w:fill="FFFFFF"/>
            <w:noWrap w:val="0"/>
            <w:vAlign w:val="center"/>
          </w:tcPr>
          <w:p>
            <w:pPr>
              <w:widowControl/>
              <w:spacing w:line="310" w:lineRule="exact"/>
              <w:jc w:val="left"/>
              <w:rPr>
                <w:rFonts w:hint="eastAsia" w:eastAsia="宋体"/>
                <w:kern w:val="0"/>
                <w:sz w:val="21"/>
                <w:szCs w:val="21"/>
              </w:rPr>
            </w:pPr>
            <w:r>
              <w:rPr>
                <w:rFonts w:hint="eastAsia" w:eastAsia="宋体"/>
                <w:kern w:val="0"/>
                <w:sz w:val="21"/>
                <w:szCs w:val="21"/>
              </w:rPr>
              <w:t>成本节约率</w:t>
            </w:r>
            <w:r>
              <w:rPr>
                <w:rFonts w:eastAsia="宋体"/>
                <w:kern w:val="0"/>
                <w:sz w:val="21"/>
                <w:szCs w:val="21"/>
              </w:rPr>
              <w:t>=[</w:t>
            </w:r>
            <w:r>
              <w:rPr>
                <w:rFonts w:hint="eastAsia" w:eastAsia="宋体"/>
                <w:kern w:val="0"/>
                <w:sz w:val="21"/>
                <w:szCs w:val="21"/>
              </w:rPr>
              <w:t>（计划成本</w:t>
            </w:r>
            <w:r>
              <w:rPr>
                <w:rFonts w:eastAsia="宋体"/>
                <w:kern w:val="0"/>
                <w:sz w:val="21"/>
                <w:szCs w:val="21"/>
              </w:rPr>
              <w:t>-</w:t>
            </w:r>
            <w:r>
              <w:rPr>
                <w:rFonts w:hint="eastAsia" w:eastAsia="宋体"/>
                <w:kern w:val="0"/>
                <w:sz w:val="21"/>
                <w:szCs w:val="21"/>
              </w:rPr>
              <w:t>实际成本）</w:t>
            </w:r>
            <w:r>
              <w:rPr>
                <w:rFonts w:eastAsia="宋体"/>
                <w:kern w:val="0"/>
                <w:sz w:val="21"/>
                <w:szCs w:val="21"/>
              </w:rPr>
              <w:t>/</w:t>
            </w:r>
            <w:r>
              <w:rPr>
                <w:rFonts w:hint="eastAsia" w:eastAsia="宋体"/>
                <w:kern w:val="0"/>
                <w:sz w:val="21"/>
                <w:szCs w:val="21"/>
              </w:rPr>
              <w:t>计划成本</w:t>
            </w:r>
            <w:r>
              <w:rPr>
                <w:rFonts w:eastAsia="宋体"/>
                <w:kern w:val="0"/>
                <w:sz w:val="21"/>
                <w:szCs w:val="21"/>
              </w:rPr>
              <w:t>]×100%</w:t>
            </w:r>
            <w:r>
              <w:rPr>
                <w:rFonts w:hint="eastAsia" w:eastAsia="宋体"/>
                <w:kern w:val="0"/>
                <w:sz w:val="21"/>
                <w:szCs w:val="21"/>
              </w:rPr>
              <w:t>。</w:t>
            </w:r>
            <w:r>
              <w:rPr>
                <w:rFonts w:eastAsia="宋体"/>
                <w:kern w:val="0"/>
                <w:sz w:val="21"/>
                <w:szCs w:val="21"/>
              </w:rPr>
              <w:t>(</w:t>
            </w:r>
            <w:r>
              <w:rPr>
                <w:rFonts w:hint="eastAsia" w:eastAsia="宋体"/>
                <w:kern w:val="0"/>
                <w:sz w:val="21"/>
                <w:szCs w:val="21"/>
              </w:rPr>
              <w:t>节约的计</w:t>
            </w:r>
            <w:r>
              <w:rPr>
                <w:rFonts w:eastAsia="宋体"/>
                <w:kern w:val="0"/>
                <w:sz w:val="21"/>
                <w:szCs w:val="21"/>
              </w:rPr>
              <w:t>5</w:t>
            </w:r>
            <w:r>
              <w:rPr>
                <w:rFonts w:hint="eastAsia" w:eastAsia="宋体"/>
                <w:kern w:val="0"/>
                <w:sz w:val="21"/>
                <w:szCs w:val="21"/>
              </w:rPr>
              <w:t>分</w:t>
            </w:r>
            <w:r>
              <w:rPr>
                <w:rFonts w:eastAsia="宋体"/>
                <w:kern w:val="0"/>
                <w:sz w:val="21"/>
                <w:szCs w:val="21"/>
              </w:rPr>
              <w:t>,</w:t>
            </w:r>
            <w:r>
              <w:rPr>
                <w:rFonts w:hint="eastAsia" w:eastAsia="宋体"/>
                <w:kern w:val="0"/>
                <w:sz w:val="21"/>
                <w:szCs w:val="21"/>
              </w:rPr>
              <w:t>增加的按比例扣分</w:t>
            </w:r>
            <w:r>
              <w:rPr>
                <w:rFonts w:eastAsia="宋体"/>
                <w:kern w:val="0"/>
                <w:sz w:val="21"/>
                <w:szCs w:val="21"/>
              </w:rPr>
              <w:t>)</w:t>
            </w:r>
          </w:p>
          <w:p>
            <w:pPr>
              <w:widowControl/>
              <w:spacing w:line="310" w:lineRule="exact"/>
              <w:jc w:val="left"/>
              <w:rPr>
                <w:kern w:val="0"/>
                <w:szCs w:val="21"/>
              </w:rPr>
            </w:pPr>
            <w:r>
              <w:rPr>
                <w:rFonts w:hint="eastAsia" w:eastAsia="宋体"/>
                <w:spacing w:val="-10"/>
                <w:kern w:val="0"/>
                <w:sz w:val="21"/>
                <w:szCs w:val="21"/>
              </w:rPr>
              <w:t>实际成本：项目实施单位如期、保质、保量完成既定工作目标实际所耗费的支出。</w:t>
            </w:r>
            <w:r>
              <w:rPr>
                <w:rFonts w:eastAsia="宋体"/>
                <w:spacing w:val="-10"/>
                <w:kern w:val="0"/>
                <w:sz w:val="21"/>
                <w:szCs w:val="21"/>
              </w:rPr>
              <w:br w:type="textWrapping"/>
            </w:r>
            <w:r>
              <w:rPr>
                <w:rFonts w:hint="eastAsia" w:eastAsia="宋体"/>
                <w:spacing w:val="-10"/>
                <w:kern w:val="0"/>
                <w:sz w:val="21"/>
                <w:szCs w:val="21"/>
              </w:rPr>
              <w:t>计划成本：项目实施单位为完成工作目标计划安排的支出，一般以项目预算为参考。</w:t>
            </w:r>
          </w:p>
        </w:tc>
        <w:tc>
          <w:tcPr>
            <w:tcW w:w="707" w:type="dxa"/>
            <w:noWrap/>
            <w:vAlign w:val="center"/>
          </w:tcPr>
          <w:p>
            <w:pPr>
              <w:widowControl/>
              <w:spacing w:line="310" w:lineRule="exact"/>
              <w:jc w:val="left"/>
              <w:rPr>
                <w:kern w:val="0"/>
                <w:szCs w:val="21"/>
              </w:rPr>
            </w:pPr>
            <w:r>
              <w:rPr>
                <w:rFonts w:hint="eastAsia" w:eastAsia="宋体"/>
                <w:kern w:val="0"/>
                <w:sz w:val="21"/>
                <w:szCs w:val="21"/>
              </w:rPr>
              <w:t>　4</w:t>
            </w:r>
          </w:p>
        </w:tc>
        <w:tc>
          <w:tcPr>
            <w:tcW w:w="900" w:type="dxa"/>
            <w:noWrap/>
            <w:vAlign w:val="center"/>
          </w:tcPr>
          <w:p>
            <w:pPr>
              <w:widowControl/>
              <w:spacing w:line="31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714" w:type="dxa"/>
            <w:vMerge w:val="restart"/>
            <w:shd w:val="clear" w:color="auto" w:fill="FFFFFF"/>
            <w:noWrap/>
            <w:textDirection w:val="tbRlV"/>
            <w:vAlign w:val="center"/>
          </w:tcPr>
          <w:p>
            <w:pPr>
              <w:widowControl/>
              <w:spacing w:line="280" w:lineRule="exact"/>
              <w:jc w:val="center"/>
              <w:rPr>
                <w:kern w:val="0"/>
                <w:szCs w:val="21"/>
              </w:rPr>
            </w:pPr>
            <w:r>
              <w:rPr>
                <w:rFonts w:hint="eastAsia" w:eastAsia="宋体"/>
                <w:kern w:val="0"/>
                <w:sz w:val="21"/>
                <w:szCs w:val="21"/>
              </w:rPr>
              <w:t>效</w:t>
            </w:r>
            <w:r>
              <w:rPr>
                <w:rFonts w:eastAsia="宋体"/>
                <w:kern w:val="0"/>
                <w:sz w:val="21"/>
                <w:szCs w:val="21"/>
              </w:rPr>
              <w:t xml:space="preserve">   </w:t>
            </w:r>
            <w:r>
              <w:rPr>
                <w:rFonts w:hint="eastAsia" w:eastAsia="宋体"/>
                <w:kern w:val="0"/>
                <w:sz w:val="21"/>
                <w:szCs w:val="21"/>
              </w:rPr>
              <w:t>果（</w:t>
            </w:r>
            <w:r>
              <w:rPr>
                <w:rFonts w:eastAsia="宋体"/>
                <w:kern w:val="0"/>
                <w:sz w:val="21"/>
                <w:szCs w:val="21"/>
              </w:rPr>
              <w:t>30</w:t>
            </w:r>
            <w:r>
              <w:rPr>
                <w:rFonts w:hint="eastAsia" w:eastAsia="宋体"/>
                <w:kern w:val="0"/>
                <w:sz w:val="21"/>
                <w:szCs w:val="21"/>
              </w:rPr>
              <w:t>分）</w:t>
            </w:r>
          </w:p>
        </w:tc>
        <w:tc>
          <w:tcPr>
            <w:tcW w:w="702" w:type="dxa"/>
            <w:vMerge w:val="restart"/>
            <w:shd w:val="clear" w:color="auto" w:fill="FFFFFF"/>
            <w:noWrap w:val="0"/>
            <w:vAlign w:val="center"/>
          </w:tcPr>
          <w:p>
            <w:pPr>
              <w:widowControl/>
              <w:spacing w:line="280" w:lineRule="exact"/>
              <w:jc w:val="center"/>
              <w:rPr>
                <w:kern w:val="0"/>
                <w:szCs w:val="21"/>
              </w:rPr>
            </w:pPr>
            <w:r>
              <w:rPr>
                <w:rFonts w:hint="eastAsia" w:eastAsia="宋体"/>
                <w:kern w:val="0"/>
                <w:sz w:val="21"/>
                <w:szCs w:val="21"/>
              </w:rPr>
              <w:t>项目</w:t>
            </w:r>
            <w:r>
              <w:rPr>
                <w:rFonts w:eastAsia="宋体"/>
                <w:kern w:val="0"/>
                <w:sz w:val="21"/>
                <w:szCs w:val="21"/>
              </w:rPr>
              <w:br w:type="textWrapping"/>
            </w:r>
            <w:r>
              <w:rPr>
                <w:rFonts w:hint="eastAsia" w:eastAsia="宋体"/>
                <w:kern w:val="0"/>
                <w:sz w:val="21"/>
                <w:szCs w:val="21"/>
              </w:rPr>
              <w:t>效益（</w:t>
            </w:r>
            <w:r>
              <w:rPr>
                <w:rFonts w:eastAsia="宋体"/>
                <w:kern w:val="0"/>
                <w:sz w:val="21"/>
                <w:szCs w:val="21"/>
              </w:rPr>
              <w:t>30</w:t>
            </w:r>
            <w:r>
              <w:rPr>
                <w:rFonts w:hint="eastAsia" w:eastAsia="宋体"/>
                <w:kern w:val="0"/>
                <w:sz w:val="21"/>
                <w:szCs w:val="21"/>
              </w:rPr>
              <w:t>分）</w:t>
            </w: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经济效益</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280" w:lineRule="exact"/>
              <w:jc w:val="left"/>
              <w:rPr>
                <w:spacing w:val="-10"/>
                <w:kern w:val="0"/>
                <w:szCs w:val="21"/>
              </w:rPr>
            </w:pPr>
            <w:r>
              <w:rPr>
                <w:rFonts w:hint="eastAsia" w:eastAsia="宋体"/>
                <w:spacing w:val="-10"/>
                <w:kern w:val="0"/>
                <w:sz w:val="21"/>
                <w:szCs w:val="21"/>
              </w:rPr>
              <w:t>项目实施对经济发展所带来的直接或间接影响情况。</w:t>
            </w:r>
          </w:p>
        </w:tc>
        <w:tc>
          <w:tcPr>
            <w:tcW w:w="3539" w:type="dxa"/>
            <w:vMerge w:val="restart"/>
            <w:shd w:val="clear" w:color="auto" w:fill="FFFFFF"/>
            <w:noWrap w:val="0"/>
            <w:vAlign w:val="center"/>
          </w:tcPr>
          <w:p>
            <w:pPr>
              <w:widowControl/>
              <w:spacing w:line="280" w:lineRule="exact"/>
              <w:jc w:val="left"/>
              <w:rPr>
                <w:kern w:val="0"/>
                <w:szCs w:val="21"/>
              </w:rPr>
            </w:pPr>
            <w:r>
              <w:rPr>
                <w:rFonts w:hint="eastAsia" w:eastAsia="宋体"/>
                <w:kern w:val="0"/>
                <w:sz w:val="21"/>
                <w:szCs w:val="21"/>
              </w:rPr>
              <w:t>此四项指标为项目支出绩效评价指标的共性要素，各单位按照项目支出绩效目标实现程度为依据。（按经济效益实现程度</w:t>
            </w:r>
            <w:r>
              <w:rPr>
                <w:rFonts w:eastAsia="宋体"/>
                <w:kern w:val="0"/>
                <w:sz w:val="21"/>
                <w:szCs w:val="21"/>
              </w:rPr>
              <w:t>*5</w:t>
            </w:r>
            <w:r>
              <w:rPr>
                <w:rFonts w:hint="eastAsia" w:eastAsia="宋体"/>
                <w:kern w:val="0"/>
                <w:sz w:val="21"/>
                <w:szCs w:val="21"/>
              </w:rPr>
              <w:t>分、社会效益实现程度</w:t>
            </w:r>
            <w:r>
              <w:rPr>
                <w:rFonts w:eastAsia="宋体"/>
                <w:kern w:val="0"/>
                <w:sz w:val="21"/>
                <w:szCs w:val="21"/>
              </w:rPr>
              <w:t>*5</w:t>
            </w:r>
            <w:r>
              <w:rPr>
                <w:rFonts w:hint="eastAsia" w:eastAsia="宋体"/>
                <w:kern w:val="0"/>
                <w:sz w:val="21"/>
                <w:szCs w:val="21"/>
              </w:rPr>
              <w:t>分、生态效益实现程度</w:t>
            </w:r>
            <w:r>
              <w:rPr>
                <w:rFonts w:eastAsia="宋体"/>
                <w:kern w:val="0"/>
                <w:sz w:val="21"/>
                <w:szCs w:val="21"/>
              </w:rPr>
              <w:t>*5</w:t>
            </w:r>
            <w:r>
              <w:rPr>
                <w:rFonts w:hint="eastAsia" w:eastAsia="宋体"/>
                <w:kern w:val="0"/>
                <w:sz w:val="21"/>
                <w:szCs w:val="21"/>
              </w:rPr>
              <w:t>分、可持续影响程度</w:t>
            </w:r>
            <w:r>
              <w:rPr>
                <w:rFonts w:eastAsia="宋体"/>
                <w:kern w:val="0"/>
                <w:sz w:val="21"/>
                <w:szCs w:val="21"/>
              </w:rPr>
              <w:t>*5</w:t>
            </w:r>
            <w:r>
              <w:rPr>
                <w:rFonts w:hint="eastAsia" w:eastAsia="宋体"/>
                <w:kern w:val="0"/>
                <w:sz w:val="21"/>
                <w:szCs w:val="21"/>
              </w:rPr>
              <w:t>分计算实际得分）</w:t>
            </w:r>
          </w:p>
        </w:tc>
        <w:tc>
          <w:tcPr>
            <w:tcW w:w="707" w:type="dxa"/>
            <w:noWrap/>
            <w:vAlign w:val="center"/>
          </w:tcPr>
          <w:p>
            <w:pPr>
              <w:widowControl/>
              <w:spacing w:line="280" w:lineRule="exact"/>
              <w:jc w:val="left"/>
              <w:rPr>
                <w:kern w:val="0"/>
                <w:szCs w:val="21"/>
              </w:rPr>
            </w:pPr>
            <w:r>
              <w:rPr>
                <w:rFonts w:hint="eastAsia" w:eastAsia="宋体"/>
                <w:kern w:val="0"/>
                <w:sz w:val="21"/>
                <w:szCs w:val="21"/>
              </w:rPr>
              <w:t>　5</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714" w:type="dxa"/>
            <w:vMerge w:val="continue"/>
            <w:shd w:val="clear" w:color="auto" w:fill="auto"/>
            <w:noWrap w:val="0"/>
            <w:vAlign w:val="center"/>
          </w:tcPr>
          <w:p>
            <w:pPr>
              <w:widowControl/>
              <w:spacing w:line="280" w:lineRule="exact"/>
              <w:jc w:val="left"/>
              <w:rPr>
                <w:kern w:val="0"/>
                <w:szCs w:val="21"/>
              </w:rPr>
            </w:pPr>
          </w:p>
        </w:tc>
        <w:tc>
          <w:tcPr>
            <w:tcW w:w="702" w:type="dxa"/>
            <w:vMerge w:val="continue"/>
            <w:shd w:val="clear" w:color="auto" w:fill="auto"/>
            <w:noWrap w:val="0"/>
            <w:vAlign w:val="center"/>
          </w:tcPr>
          <w:p>
            <w:pPr>
              <w:widowControl/>
              <w:spacing w:line="280" w:lineRule="exact"/>
              <w:jc w:val="left"/>
              <w:rPr>
                <w:kern w:val="0"/>
                <w:szCs w:val="21"/>
              </w:rPr>
            </w:pP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社会效益（</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280" w:lineRule="exact"/>
              <w:jc w:val="left"/>
              <w:rPr>
                <w:spacing w:val="-10"/>
                <w:kern w:val="0"/>
                <w:szCs w:val="21"/>
              </w:rPr>
            </w:pPr>
            <w:r>
              <w:rPr>
                <w:rFonts w:hint="eastAsia" w:eastAsia="宋体"/>
                <w:spacing w:val="-10"/>
                <w:kern w:val="0"/>
                <w:sz w:val="21"/>
                <w:szCs w:val="21"/>
              </w:rPr>
              <w:t>项目实施对社会发展所带来的直接或间接影响情况。</w:t>
            </w:r>
          </w:p>
        </w:tc>
        <w:tc>
          <w:tcPr>
            <w:tcW w:w="3539" w:type="dxa"/>
            <w:vMerge w:val="continue"/>
            <w:noWrap w:val="0"/>
            <w:vAlign w:val="center"/>
          </w:tcPr>
          <w:p>
            <w:pPr>
              <w:widowControl/>
              <w:spacing w:line="280" w:lineRule="exact"/>
              <w:jc w:val="left"/>
              <w:rPr>
                <w:kern w:val="0"/>
                <w:szCs w:val="21"/>
              </w:rPr>
            </w:pPr>
          </w:p>
        </w:tc>
        <w:tc>
          <w:tcPr>
            <w:tcW w:w="707" w:type="dxa"/>
            <w:noWrap/>
            <w:vAlign w:val="center"/>
          </w:tcPr>
          <w:p>
            <w:pPr>
              <w:widowControl/>
              <w:spacing w:line="280" w:lineRule="exact"/>
              <w:jc w:val="left"/>
              <w:rPr>
                <w:kern w:val="0"/>
                <w:szCs w:val="21"/>
              </w:rPr>
            </w:pPr>
            <w:r>
              <w:rPr>
                <w:rFonts w:hint="eastAsia" w:eastAsia="宋体"/>
                <w:kern w:val="0"/>
                <w:sz w:val="21"/>
                <w:szCs w:val="21"/>
              </w:rPr>
              <w:t>　5</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pPr>
              <w:widowControl/>
              <w:spacing w:line="280" w:lineRule="exact"/>
              <w:jc w:val="left"/>
              <w:rPr>
                <w:kern w:val="0"/>
                <w:szCs w:val="21"/>
              </w:rPr>
            </w:pPr>
          </w:p>
        </w:tc>
        <w:tc>
          <w:tcPr>
            <w:tcW w:w="702" w:type="dxa"/>
            <w:vMerge w:val="continue"/>
            <w:shd w:val="clear" w:color="auto" w:fill="auto"/>
            <w:noWrap w:val="0"/>
            <w:vAlign w:val="center"/>
          </w:tcPr>
          <w:p>
            <w:pPr>
              <w:widowControl/>
              <w:spacing w:line="280" w:lineRule="exact"/>
              <w:jc w:val="left"/>
              <w:rPr>
                <w:kern w:val="0"/>
                <w:szCs w:val="21"/>
              </w:rPr>
            </w:pP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生态效益（</w:t>
            </w:r>
            <w:r>
              <w:rPr>
                <w:rFonts w:eastAsia="宋体"/>
                <w:kern w:val="0"/>
                <w:sz w:val="21"/>
                <w:szCs w:val="21"/>
              </w:rPr>
              <w:t>5</w:t>
            </w:r>
            <w:r>
              <w:rPr>
                <w:rFonts w:hint="eastAsia" w:eastAsia="宋体"/>
                <w:kern w:val="0"/>
                <w:sz w:val="21"/>
                <w:szCs w:val="21"/>
              </w:rPr>
              <w:t>分）</w:t>
            </w:r>
          </w:p>
        </w:tc>
        <w:tc>
          <w:tcPr>
            <w:tcW w:w="1700" w:type="dxa"/>
            <w:shd w:val="clear" w:color="auto" w:fill="FFFFFF"/>
            <w:noWrap w:val="0"/>
            <w:vAlign w:val="center"/>
          </w:tcPr>
          <w:p>
            <w:pPr>
              <w:widowControl/>
              <w:spacing w:line="280" w:lineRule="exact"/>
              <w:jc w:val="left"/>
              <w:rPr>
                <w:spacing w:val="-10"/>
                <w:kern w:val="0"/>
                <w:szCs w:val="21"/>
              </w:rPr>
            </w:pPr>
            <w:r>
              <w:rPr>
                <w:rFonts w:hint="eastAsia" w:eastAsia="宋体"/>
                <w:spacing w:val="-10"/>
                <w:kern w:val="0"/>
                <w:sz w:val="21"/>
                <w:szCs w:val="21"/>
              </w:rPr>
              <w:t>项目实施对生态环境所带来的直接或间接影响情况。</w:t>
            </w:r>
          </w:p>
        </w:tc>
        <w:tc>
          <w:tcPr>
            <w:tcW w:w="3539" w:type="dxa"/>
            <w:vMerge w:val="continue"/>
            <w:noWrap w:val="0"/>
            <w:vAlign w:val="center"/>
          </w:tcPr>
          <w:p>
            <w:pPr>
              <w:widowControl/>
              <w:spacing w:line="280" w:lineRule="exact"/>
              <w:jc w:val="left"/>
              <w:rPr>
                <w:kern w:val="0"/>
                <w:szCs w:val="21"/>
              </w:rPr>
            </w:pPr>
          </w:p>
        </w:tc>
        <w:tc>
          <w:tcPr>
            <w:tcW w:w="707" w:type="dxa"/>
            <w:noWrap/>
            <w:vAlign w:val="center"/>
          </w:tcPr>
          <w:p>
            <w:pPr>
              <w:widowControl/>
              <w:spacing w:line="280" w:lineRule="exact"/>
              <w:jc w:val="left"/>
              <w:rPr>
                <w:kern w:val="0"/>
                <w:szCs w:val="21"/>
              </w:rPr>
            </w:pPr>
            <w:r>
              <w:rPr>
                <w:rFonts w:hint="eastAsia" w:eastAsia="宋体"/>
                <w:kern w:val="0"/>
                <w:sz w:val="21"/>
                <w:szCs w:val="21"/>
              </w:rPr>
              <w:t>　5</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pPr>
              <w:widowControl/>
              <w:spacing w:line="280" w:lineRule="exact"/>
              <w:jc w:val="left"/>
              <w:rPr>
                <w:kern w:val="0"/>
                <w:szCs w:val="21"/>
              </w:rPr>
            </w:pPr>
          </w:p>
        </w:tc>
        <w:tc>
          <w:tcPr>
            <w:tcW w:w="702" w:type="dxa"/>
            <w:vMerge w:val="continue"/>
            <w:shd w:val="clear" w:color="auto" w:fill="auto"/>
            <w:noWrap w:val="0"/>
            <w:vAlign w:val="center"/>
          </w:tcPr>
          <w:p>
            <w:pPr>
              <w:widowControl/>
              <w:spacing w:line="280" w:lineRule="exact"/>
              <w:jc w:val="left"/>
              <w:rPr>
                <w:kern w:val="0"/>
                <w:szCs w:val="21"/>
              </w:rPr>
            </w:pPr>
          </w:p>
        </w:tc>
        <w:tc>
          <w:tcPr>
            <w:tcW w:w="851"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可持续影响</w:t>
            </w:r>
          </w:p>
        </w:tc>
        <w:tc>
          <w:tcPr>
            <w:tcW w:w="1700"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项目后续运行及成效发挥的可持续影响情况。</w:t>
            </w:r>
          </w:p>
        </w:tc>
        <w:tc>
          <w:tcPr>
            <w:tcW w:w="3539" w:type="dxa"/>
            <w:vMerge w:val="continue"/>
            <w:noWrap w:val="0"/>
            <w:vAlign w:val="center"/>
          </w:tcPr>
          <w:p>
            <w:pPr>
              <w:widowControl/>
              <w:spacing w:line="280" w:lineRule="exact"/>
              <w:jc w:val="left"/>
              <w:rPr>
                <w:kern w:val="0"/>
                <w:szCs w:val="21"/>
              </w:rPr>
            </w:pPr>
          </w:p>
        </w:tc>
        <w:tc>
          <w:tcPr>
            <w:tcW w:w="707" w:type="dxa"/>
            <w:noWrap/>
            <w:vAlign w:val="center"/>
          </w:tcPr>
          <w:p>
            <w:pPr>
              <w:widowControl/>
              <w:spacing w:line="280" w:lineRule="exact"/>
              <w:jc w:val="left"/>
              <w:rPr>
                <w:kern w:val="0"/>
                <w:szCs w:val="21"/>
              </w:rPr>
            </w:pPr>
            <w:r>
              <w:rPr>
                <w:rFonts w:hint="eastAsia" w:eastAsia="宋体"/>
                <w:kern w:val="0"/>
                <w:sz w:val="21"/>
                <w:szCs w:val="21"/>
              </w:rPr>
              <w:t>　5</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714" w:type="dxa"/>
            <w:vMerge w:val="continue"/>
            <w:shd w:val="clear" w:color="auto" w:fill="auto"/>
            <w:noWrap w:val="0"/>
            <w:vAlign w:val="center"/>
          </w:tcPr>
          <w:p>
            <w:pPr>
              <w:widowControl/>
              <w:spacing w:line="280" w:lineRule="exact"/>
              <w:jc w:val="left"/>
              <w:rPr>
                <w:kern w:val="0"/>
                <w:szCs w:val="21"/>
              </w:rPr>
            </w:pPr>
          </w:p>
        </w:tc>
        <w:tc>
          <w:tcPr>
            <w:tcW w:w="702" w:type="dxa"/>
            <w:vMerge w:val="continue"/>
            <w:shd w:val="clear" w:color="auto" w:fill="auto"/>
            <w:noWrap w:val="0"/>
            <w:vAlign w:val="center"/>
          </w:tcPr>
          <w:p>
            <w:pPr>
              <w:widowControl/>
              <w:spacing w:line="280" w:lineRule="exact"/>
              <w:jc w:val="left"/>
              <w:rPr>
                <w:kern w:val="0"/>
                <w:szCs w:val="21"/>
              </w:rPr>
            </w:pPr>
          </w:p>
        </w:tc>
        <w:tc>
          <w:tcPr>
            <w:tcW w:w="851" w:type="dxa"/>
            <w:shd w:val="clear" w:color="auto" w:fill="FFFFFF"/>
            <w:noWrap w:val="0"/>
            <w:vAlign w:val="center"/>
          </w:tcPr>
          <w:p>
            <w:pPr>
              <w:widowControl/>
              <w:spacing w:line="280" w:lineRule="exact"/>
              <w:jc w:val="left"/>
              <w:rPr>
                <w:spacing w:val="-10"/>
                <w:kern w:val="0"/>
                <w:szCs w:val="21"/>
              </w:rPr>
            </w:pPr>
            <w:r>
              <w:rPr>
                <w:rFonts w:hint="eastAsia" w:eastAsia="宋体"/>
                <w:spacing w:val="-10"/>
                <w:kern w:val="0"/>
                <w:sz w:val="21"/>
                <w:szCs w:val="21"/>
              </w:rPr>
              <w:t>社会公众或服务对象满意度（</w:t>
            </w:r>
            <w:r>
              <w:rPr>
                <w:rFonts w:eastAsia="宋体"/>
                <w:spacing w:val="-10"/>
                <w:kern w:val="0"/>
                <w:sz w:val="21"/>
                <w:szCs w:val="21"/>
              </w:rPr>
              <w:t>10</w:t>
            </w:r>
            <w:r>
              <w:rPr>
                <w:rFonts w:hint="eastAsia" w:eastAsia="宋体"/>
                <w:spacing w:val="-10"/>
                <w:kern w:val="0"/>
                <w:sz w:val="21"/>
                <w:szCs w:val="21"/>
              </w:rPr>
              <w:t>分）</w:t>
            </w:r>
          </w:p>
        </w:tc>
        <w:tc>
          <w:tcPr>
            <w:tcW w:w="1700"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社会公众或服务对象对项目实施效果的满意程度。</w:t>
            </w:r>
          </w:p>
        </w:tc>
        <w:tc>
          <w:tcPr>
            <w:tcW w:w="3539" w:type="dxa"/>
            <w:shd w:val="clear" w:color="auto" w:fill="FFFFFF"/>
            <w:noWrap w:val="0"/>
            <w:vAlign w:val="center"/>
          </w:tcPr>
          <w:p>
            <w:pPr>
              <w:widowControl/>
              <w:spacing w:line="280" w:lineRule="exact"/>
              <w:jc w:val="left"/>
              <w:rPr>
                <w:kern w:val="0"/>
                <w:szCs w:val="21"/>
              </w:rPr>
            </w:pPr>
            <w:r>
              <w:rPr>
                <w:rFonts w:hint="eastAsia" w:eastAsia="宋体"/>
                <w:kern w:val="0"/>
                <w:sz w:val="21"/>
                <w:szCs w:val="21"/>
              </w:rPr>
              <w:t>社会公众或服务对象是指因该项目实施而受到影响的部门（单位）、群体或个人。一般采取社会调查的方式。（按收到的服务对象的满意率计算得分）</w:t>
            </w:r>
          </w:p>
        </w:tc>
        <w:tc>
          <w:tcPr>
            <w:tcW w:w="707" w:type="dxa"/>
            <w:noWrap/>
            <w:vAlign w:val="center"/>
          </w:tcPr>
          <w:p>
            <w:pPr>
              <w:widowControl/>
              <w:spacing w:line="280" w:lineRule="exact"/>
              <w:jc w:val="left"/>
              <w:rPr>
                <w:kern w:val="0"/>
                <w:szCs w:val="21"/>
              </w:rPr>
            </w:pPr>
            <w:r>
              <w:rPr>
                <w:rFonts w:hint="eastAsia" w:eastAsia="宋体"/>
                <w:kern w:val="0"/>
                <w:sz w:val="21"/>
                <w:szCs w:val="21"/>
              </w:rPr>
              <w:t>　8</w:t>
            </w:r>
          </w:p>
        </w:tc>
        <w:tc>
          <w:tcPr>
            <w:tcW w:w="900" w:type="dxa"/>
            <w:noWrap/>
            <w:vAlign w:val="center"/>
          </w:tcPr>
          <w:p>
            <w:pPr>
              <w:widowControl/>
              <w:spacing w:line="280" w:lineRule="exact"/>
              <w:jc w:val="left"/>
              <w:rPr>
                <w:kern w:val="0"/>
                <w:szCs w:val="21"/>
              </w:rPr>
            </w:pPr>
            <w:r>
              <w:rPr>
                <w:rFonts w:hint="eastAsia" w:eastAsia="宋体"/>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7506" w:type="dxa"/>
            <w:gridSpan w:val="5"/>
            <w:tcBorders>
              <w:bottom w:val="single" w:color="auto" w:sz="12" w:space="0"/>
            </w:tcBorders>
            <w:shd w:val="clear" w:color="auto" w:fill="FFFFFF"/>
            <w:noWrap w:val="0"/>
            <w:vAlign w:val="center"/>
          </w:tcPr>
          <w:p>
            <w:pPr>
              <w:widowControl/>
              <w:spacing w:line="280" w:lineRule="exact"/>
              <w:jc w:val="center"/>
              <w:rPr>
                <w:kern w:val="0"/>
                <w:szCs w:val="21"/>
              </w:rPr>
            </w:pPr>
            <w:r>
              <w:rPr>
                <w:rFonts w:hint="eastAsia" w:eastAsia="宋体"/>
                <w:kern w:val="0"/>
                <w:sz w:val="21"/>
                <w:szCs w:val="21"/>
              </w:rPr>
              <w:t>合计</w:t>
            </w:r>
          </w:p>
        </w:tc>
        <w:tc>
          <w:tcPr>
            <w:tcW w:w="707" w:type="dxa"/>
            <w:tcBorders>
              <w:bottom w:val="single" w:color="auto" w:sz="12" w:space="0"/>
            </w:tcBorders>
            <w:noWrap/>
            <w:vAlign w:val="center"/>
          </w:tcPr>
          <w:p>
            <w:pPr>
              <w:widowControl/>
              <w:spacing w:line="280" w:lineRule="exact"/>
              <w:jc w:val="left"/>
              <w:rPr>
                <w:kern w:val="0"/>
                <w:szCs w:val="21"/>
              </w:rPr>
            </w:pPr>
            <w:r>
              <w:rPr>
                <w:rFonts w:hint="eastAsia" w:eastAsia="宋体"/>
                <w:kern w:val="0"/>
                <w:sz w:val="21"/>
                <w:szCs w:val="21"/>
              </w:rPr>
              <w:t>　93</w:t>
            </w:r>
          </w:p>
        </w:tc>
        <w:tc>
          <w:tcPr>
            <w:tcW w:w="900" w:type="dxa"/>
            <w:tcBorders>
              <w:bottom w:val="single" w:color="auto" w:sz="12" w:space="0"/>
            </w:tcBorders>
            <w:noWrap/>
            <w:vAlign w:val="center"/>
          </w:tcPr>
          <w:p>
            <w:pPr>
              <w:widowControl/>
              <w:spacing w:line="280" w:lineRule="exact"/>
              <w:jc w:val="left"/>
              <w:rPr>
                <w:kern w:val="0"/>
                <w:szCs w:val="21"/>
              </w:rPr>
            </w:pPr>
            <w:r>
              <w:rPr>
                <w:rFonts w:hint="eastAsia" w:eastAsia="宋体"/>
                <w:kern w:val="0"/>
                <w:sz w:val="21"/>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3</w:t>
      </w:r>
      <w:r>
        <w:rPr>
          <w:rFonts w:hint="eastAsia" w:eastAsia="方正小标宋简体"/>
          <w:color w:val="000000"/>
          <w:spacing w:val="-12"/>
          <w:kern w:val="0"/>
          <w:sz w:val="44"/>
          <w:szCs w:val="44"/>
        </w:rPr>
        <w:t>年度乐至县项目支出绩效目标完成情况表</w:t>
      </w:r>
    </w:p>
    <w:p>
      <w:pPr>
        <w:pStyle w:val="7"/>
        <w:spacing w:after="0" w:line="240" w:lineRule="exact"/>
        <w:rPr>
          <w:rFonts w:ascii="宋体"/>
        </w:rPr>
      </w:pP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73"/>
        <w:gridCol w:w="1343"/>
        <w:gridCol w:w="992"/>
        <w:gridCol w:w="1293"/>
        <w:gridCol w:w="1190"/>
        <w:gridCol w:w="1499"/>
        <w:gridCol w:w="19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val="en-US" w:eastAsia="zh-CN"/>
              </w:rPr>
              <w:t>金财网络工程运行费</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乐至县财政局</w:t>
            </w:r>
            <w:r>
              <w:rPr>
                <w:rFonts w:hint="eastAsia"/>
                <w:color w:val="000000"/>
                <w:kern w:val="0"/>
                <w:szCs w:val="21"/>
              </w:rPr>
              <w:t>　</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127001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百元</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目标</w:t>
            </w:r>
            <w:r>
              <w:rPr>
                <w:color w:val="000000"/>
                <w:kern w:val="0"/>
                <w:szCs w:val="21"/>
              </w:rPr>
              <w:t>1:</w:t>
            </w:r>
            <w:r>
              <w:rPr>
                <w:rFonts w:hint="eastAsia"/>
                <w:color w:val="000000"/>
                <w:kern w:val="0"/>
                <w:szCs w:val="21"/>
                <w:lang w:val="en-US" w:eastAsia="zh-CN"/>
              </w:rPr>
              <w:t>确保用于保障省财政厅大平台业务软件及相关软件正常运行</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平台软件正常运行</w:t>
            </w: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2:</w:t>
            </w:r>
            <w:r>
              <w:rPr>
                <w:rFonts w:hint="eastAsia"/>
                <w:color w:val="000000"/>
                <w:kern w:val="0"/>
                <w:szCs w:val="21"/>
              </w:rPr>
              <w:t>………</w:t>
            </w:r>
            <w:r>
              <w:rPr>
                <w:color w:val="000000"/>
                <w:kern w:val="0"/>
                <w:szCs w:val="21"/>
              </w:rPr>
              <w:t>.</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w:t>
            </w:r>
            <w:r>
              <w:rPr>
                <w:color w:val="000000"/>
                <w:kern w:val="0"/>
                <w:szCs w:val="21"/>
              </w:rPr>
              <w:t>.</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lang w:val="en-US" w:eastAsia="zh-CN"/>
              </w:rPr>
              <w:t>保障全县网络安全使用单位</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default" w:ascii="Arial" w:hAnsi="Arial" w:cs="Arial"/>
                <w:color w:val="000000"/>
                <w:kern w:val="0"/>
                <w:szCs w:val="21"/>
              </w:rPr>
              <w:t>≥</w:t>
            </w:r>
            <w:r>
              <w:rPr>
                <w:rFonts w:hint="eastAsia"/>
                <w:color w:val="000000"/>
                <w:kern w:val="0"/>
                <w:szCs w:val="21"/>
                <w:lang w:val="en-US" w:eastAsia="zh-CN"/>
              </w:rPr>
              <w:t>191家</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191家</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保证金财网运行速度</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200Mbps</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200Mbps</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平台断网次数</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5次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3次</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运行省财政厅业务软件年限</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1年</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1年</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提高资金支付效率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95%</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98%</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保障省财政厅业务软件稳定及安全性</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稳定</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稳定</w:t>
            </w:r>
            <w:r>
              <w:rPr>
                <w:rFonts w:hint="eastAsia"/>
                <w:color w:val="000000"/>
                <w:kern w:val="0"/>
                <w:szCs w:val="21"/>
              </w:rPr>
              <w:t>　</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业务软件运行单位满意度</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default" w:ascii="Arial" w:hAnsi="Arial" w:cs="Arial"/>
                <w:color w:val="000000"/>
                <w:kern w:val="0"/>
                <w:szCs w:val="21"/>
              </w:rPr>
              <w:t>≥</w:t>
            </w:r>
            <w:r>
              <w:rPr>
                <w:rFonts w:hint="eastAsia"/>
                <w:color w:val="000000"/>
                <w:kern w:val="0"/>
                <w:szCs w:val="21"/>
                <w:lang w:val="en-US" w:eastAsia="zh-CN"/>
              </w:rPr>
              <w:t>90%</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92%</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spacing w:line="580" w:lineRule="exact"/>
        <w:jc w:val="center"/>
        <w:rPr>
          <w:rFonts w:eastAsia="方正小标宋简体"/>
          <w:sz w:val="44"/>
          <w:szCs w:val="44"/>
        </w:rPr>
      </w:pPr>
      <w:r>
        <w:rPr>
          <w:rFonts w:eastAsia="方正小标宋简体"/>
          <w:sz w:val="44"/>
          <w:szCs w:val="44"/>
        </w:rPr>
        <w:t>20</w:t>
      </w:r>
      <w:r>
        <w:rPr>
          <w:rFonts w:hint="eastAsia" w:eastAsia="方正小标宋简体"/>
          <w:sz w:val="44"/>
          <w:szCs w:val="44"/>
          <w:lang w:val="en-US" w:eastAsia="zh-CN"/>
        </w:rPr>
        <w:t>23</w:t>
      </w:r>
      <w:r>
        <w:rPr>
          <w:rFonts w:hint="eastAsia" w:eastAsia="方正小标宋简体"/>
          <w:sz w:val="44"/>
          <w:szCs w:val="44"/>
        </w:rPr>
        <w:t>年乐至县项目支出绩效自评报告范本</w:t>
      </w:r>
    </w:p>
    <w:p>
      <w:pPr>
        <w:spacing w:line="580" w:lineRule="exact"/>
        <w:jc w:val="center"/>
        <w:rPr>
          <w:rFonts w:eastAsia="方正小标宋简体"/>
          <w:sz w:val="44"/>
          <w:szCs w:val="44"/>
        </w:rPr>
      </w:pPr>
      <w:r>
        <w:rPr>
          <w:rFonts w:hint="eastAsia" w:eastAsia="方正小标宋简体"/>
          <w:sz w:val="44"/>
          <w:szCs w:val="44"/>
        </w:rPr>
        <w:t>（参考框架）</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2023年专项债券咨询服务</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eastAsia="方正仿宋简体"/>
          <w:sz w:val="32"/>
          <w:szCs w:val="32"/>
          <w:lang w:eastAsia="zh-CN"/>
        </w:rPr>
        <w:t>为争取20</w:t>
      </w:r>
      <w:r>
        <w:rPr>
          <w:rFonts w:hint="eastAsia" w:eastAsia="方正仿宋简体"/>
          <w:sz w:val="32"/>
          <w:szCs w:val="32"/>
          <w:lang w:val="en-US" w:eastAsia="zh-CN"/>
        </w:rPr>
        <w:t>20</w:t>
      </w:r>
      <w:r>
        <w:rPr>
          <w:rFonts w:hint="eastAsia" w:eastAsia="方正仿宋简体"/>
          <w:sz w:val="32"/>
          <w:szCs w:val="32"/>
          <w:lang w:eastAsia="zh-CN"/>
        </w:rPr>
        <w:t>年项目收益与融资自求平衡专项债券资金，我局委托了第三方咨询服务机构(四川天和汇智工程咨询有限公司)帮助完成项目建议书、实施方案、财务评价报告和法律意见书等申报资料。</w:t>
      </w:r>
    </w:p>
    <w:p>
      <w:pPr>
        <w:pStyle w:val="2"/>
        <w:ind w:left="0" w:leftChars="0" w:firstLine="0" w:firstLineChars="0"/>
      </w:pPr>
    </w:p>
    <w:p>
      <w:pPr>
        <w:numPr>
          <w:ilvl w:val="0"/>
          <w:numId w:val="8"/>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eastAsia="zh-CN"/>
        </w:rPr>
        <w:t>本级追加</w:t>
      </w:r>
      <w:r>
        <w:rPr>
          <w:rFonts w:hint="eastAsia" w:eastAsia="方正仿宋简体"/>
          <w:sz w:val="32"/>
          <w:szCs w:val="32"/>
          <w:lang w:val="en-US" w:eastAsia="zh-CN"/>
        </w:rPr>
        <w:t>73.4万元，已拨付73.4万元。</w:t>
      </w:r>
    </w:p>
    <w:p>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numPr>
          <w:ilvl w:val="0"/>
          <w:numId w:val="0"/>
        </w:numPr>
        <w:spacing w:line="580" w:lineRule="exact"/>
        <w:ind w:firstLine="640" w:firstLineChars="200"/>
        <w:rPr>
          <w:rFonts w:hint="eastAsia" w:eastAsia="方正仿宋简体"/>
          <w:sz w:val="32"/>
          <w:szCs w:val="32"/>
        </w:rPr>
      </w:pPr>
      <w:r>
        <w:rPr>
          <w:rFonts w:hint="eastAsia" w:eastAsia="方正仿宋简体"/>
          <w:sz w:val="32"/>
          <w:szCs w:val="32"/>
        </w:rPr>
        <w:t>2020年我局申报新增专项债券项目11个，其中：未通过省厅审核项目1个（劳动文旅特色小镇项目）；通过省财政厅审核项目10个，总额度405000万元，2020年已发行额度21500万元（不含续发项目），剩余额度将在后续年度发行。10个项目中，已发行项目5个，具体是：1、鞋业特色小镇基础设施建设一期工程项目，申报额度27000万元，今年发行2500万元；2、城乡生态综合治理及水质改善项目，申报额度13000万元，今年发行7000万元；3、国家产业融合发展示范园区建设项目，申报额度135000万元，今年发行5000万元；4、现代蚕业产业园建设项目，申报额度70000万元，今年发行2000万元；5、老旧小区改造项目，申报额度43000万元，今年发行5000万元；未发行项目5个，分别是：1、精神卫生保健院第二住院大楼项目，申报额度4800万元；2、阳化河省级现代观光农业种养循环产业园项目，申报额度65000万元；3、遂资眉高速互通等18个停车场建设项目，申报额度19000万元；4、第三幼儿园等3个建设项目，申报额度4200万元；5、乡镇集中供水站及配套管网建设工程，申报额度24000万元。</w:t>
      </w:r>
    </w:p>
    <w:p>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方正仿宋简体"/>
          <w:sz w:val="32"/>
          <w:szCs w:val="32"/>
          <w:lang w:eastAsia="zh-CN"/>
        </w:rPr>
      </w:pPr>
      <w:r>
        <w:rPr>
          <w:rFonts w:hint="eastAsia" w:eastAsia="方正仿宋简体"/>
          <w:sz w:val="32"/>
          <w:szCs w:val="32"/>
          <w:lang w:eastAsia="zh-CN"/>
        </w:rPr>
        <w:t>我局按照清单向咨询机构提供与咨询业务有关的资料，四川天和汇智工程咨询有限公司协助完成项目申报发行工作，主要负责完成项目建议书、实施方案、财务评价报告和法律意见书及后期信息披露等工作。</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tbl>
      <w:tblPr>
        <w:tblStyle w:val="17"/>
        <w:tblW w:w="9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25"/>
        <w:gridCol w:w="1471"/>
        <w:gridCol w:w="2457"/>
        <w:gridCol w:w="2313"/>
        <w:gridCol w:w="15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000" w:type="dxa"/>
            <w:gridSpan w:val="5"/>
            <w:tcBorders>
              <w:top w:val="nil"/>
              <w:left w:val="nil"/>
              <w:bottom w:val="nil"/>
              <w:right w:val="nil"/>
            </w:tcBorders>
            <w:noWrap/>
            <w:vAlign w:val="center"/>
          </w:tcPr>
          <w:p>
            <w:pPr>
              <w:spacing w:line="580" w:lineRule="exact"/>
              <w:ind w:firstLine="640" w:firstLineChars="200"/>
              <w:rPr>
                <w:rFonts w:hint="eastAsia" w:eastAsia="方正仿宋简体"/>
                <w:sz w:val="32"/>
                <w:szCs w:val="32"/>
                <w:lang w:eastAsia="zh-CN"/>
              </w:rPr>
            </w:pPr>
            <w:r>
              <w:rPr>
                <w:rFonts w:hint="eastAsia" w:eastAsia="方正仿宋简体"/>
                <w:sz w:val="32"/>
                <w:szCs w:val="32"/>
                <w:lang w:eastAsia="zh-CN"/>
              </w:rPr>
              <w:t>根据《四川省项目收益与融资自求平衡地方政府专项债券指引》等文件要求，双方通过友好协商、诚信合作，完成了发行项目收益与融资自求平衡专项债的前期准备工作，为</w:t>
            </w:r>
            <w:r>
              <w:rPr>
                <w:rFonts w:hint="eastAsia" w:eastAsia="方正仿宋简体"/>
                <w:sz w:val="32"/>
                <w:szCs w:val="32"/>
                <w:lang w:val="en-US" w:eastAsia="zh-CN"/>
              </w:rPr>
              <w:t>2020年专项债券</w:t>
            </w:r>
            <w:r>
              <w:rPr>
                <w:rFonts w:hint="eastAsia" w:eastAsia="方正仿宋简体"/>
                <w:sz w:val="32"/>
                <w:szCs w:val="32"/>
                <w:lang w:eastAsia="zh-CN"/>
              </w:rPr>
              <w:t>项目编制了“一案两书”，并协助主管部门报省财政厅评审。</w:t>
            </w:r>
          </w:p>
          <w:p>
            <w:pPr>
              <w:keepNext w:val="0"/>
              <w:keepLines w:val="0"/>
              <w:widowControl/>
              <w:suppressLineNumbers w:val="0"/>
              <w:jc w:val="both"/>
              <w:textAlignment w:val="center"/>
              <w:rPr>
                <w:rFonts w:hint="eastAsia" w:ascii="宋体" w:hAnsi="宋体" w:eastAsia="宋体" w:cs="宋体"/>
                <w:i w:val="0"/>
                <w:iCs w:val="0"/>
                <w:color w:val="auto"/>
                <w:sz w:val="44"/>
                <w:szCs w:val="4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绩效目标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一级指标</w:t>
            </w:r>
          </w:p>
        </w:tc>
        <w:tc>
          <w:tcPr>
            <w:tcW w:w="219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二级指标</w:t>
            </w:r>
          </w:p>
        </w:tc>
        <w:tc>
          <w:tcPr>
            <w:tcW w:w="206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2198"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数量指标</w:t>
            </w:r>
          </w:p>
        </w:tc>
        <w:tc>
          <w:tcPr>
            <w:tcW w:w="2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eastAsia="zh-CN"/>
              </w:rPr>
              <w:t>支持</w:t>
            </w:r>
            <w:r>
              <w:rPr>
                <w:rFonts w:hint="eastAsia" w:ascii="宋体" w:hAnsi="宋体" w:eastAsia="宋体" w:cs="宋体"/>
                <w:i w:val="0"/>
                <w:iCs w:val="0"/>
                <w:color w:val="auto"/>
                <w:sz w:val="22"/>
                <w:szCs w:val="22"/>
                <w:u w:val="none"/>
                <w:lang w:val="en-US" w:eastAsia="zh-CN"/>
              </w:rPr>
              <w:t>11个项目建设</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734000</w:t>
            </w:r>
            <w:r>
              <w:rPr>
                <w:rFonts w:hint="eastAsia" w:ascii="宋体" w:hAnsi="宋体" w:eastAsia="宋体" w:cs="宋体"/>
                <w:i w:val="0"/>
                <w:iCs w:val="0"/>
                <w:color w:val="auto"/>
                <w:sz w:val="22"/>
                <w:szCs w:val="22"/>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19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19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2198" w:type="dxa"/>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经济效益指标</w:t>
            </w:r>
          </w:p>
        </w:tc>
        <w:tc>
          <w:tcPr>
            <w:tcW w:w="2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对乐至县经济发展的影响</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社会效益指标</w:t>
            </w:r>
          </w:p>
        </w:tc>
        <w:tc>
          <w:tcPr>
            <w:tcW w:w="2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eastAsia="zh-CN"/>
              </w:rPr>
              <w:t>提高乐至县</w:t>
            </w:r>
            <w:r>
              <w:rPr>
                <w:rFonts w:hint="eastAsia" w:ascii="宋体" w:hAnsi="宋体" w:eastAsia="宋体" w:cs="宋体"/>
                <w:i w:val="0"/>
                <w:iCs w:val="0"/>
                <w:color w:val="auto"/>
                <w:sz w:val="22"/>
                <w:szCs w:val="22"/>
                <w:u w:val="none"/>
                <w:lang w:val="en-US" w:eastAsia="zh-CN"/>
              </w:rPr>
              <w:t>民生事业水平</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0" w:type="auto"/>
            <w:vMerge w:val="restart"/>
            <w:tcBorders>
              <w:top w:val="nil"/>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21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服务对象满意度指标</w:t>
            </w:r>
          </w:p>
        </w:tc>
        <w:tc>
          <w:tcPr>
            <w:tcW w:w="2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eastAsia="zh-CN"/>
              </w:rPr>
            </w:pPr>
            <w:r>
              <w:rPr>
                <w:rFonts w:hint="eastAsia"/>
                <w:color w:val="000000"/>
                <w:kern w:val="0"/>
                <w:szCs w:val="21"/>
                <w:lang w:val="en-US" w:eastAsia="zh-CN"/>
              </w:rPr>
              <w:t>业主</w:t>
            </w:r>
            <w:r>
              <w:rPr>
                <w:rFonts w:hint="eastAsia" w:ascii="宋体" w:hAnsi="宋体" w:eastAsia="宋体" w:cs="宋体"/>
                <w:i w:val="0"/>
                <w:iCs w:val="0"/>
                <w:color w:val="auto"/>
                <w:sz w:val="22"/>
                <w:szCs w:val="22"/>
                <w:u w:val="none"/>
                <w:lang w:eastAsia="zh-CN"/>
              </w:rPr>
              <w:t>满意度</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0" w:type="auto"/>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19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u w:val="none"/>
              </w:rPr>
            </w:pPr>
          </w:p>
        </w:tc>
        <w:tc>
          <w:tcPr>
            <w:tcW w:w="2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bl>
    <w:p>
      <w:pPr>
        <w:pStyle w:val="7"/>
      </w:pP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根据</w:t>
      </w:r>
      <w:r>
        <w:rPr>
          <w:rFonts w:hint="eastAsia" w:ascii="Times New Roman" w:hAnsi="Times New Roman" w:eastAsia="方正仿宋简体" w:cs="Times New Roman"/>
          <w:sz w:val="32"/>
          <w:szCs w:val="32"/>
          <w:lang w:val="en-US" w:eastAsia="zh-CN"/>
        </w:rPr>
        <w:t>202</w:t>
      </w:r>
      <w:r>
        <w:rPr>
          <w:rFonts w:hint="eastAsia" w:eastAsia="方正仿宋简体" w:cs="Times New Roman"/>
          <w:sz w:val="32"/>
          <w:szCs w:val="32"/>
          <w:lang w:val="en-US" w:eastAsia="zh-CN"/>
        </w:rPr>
        <w:t>4</w:t>
      </w:r>
      <w:r>
        <w:rPr>
          <w:rFonts w:hint="eastAsia" w:ascii="Times New Roman" w:hAnsi="Times New Roman" w:eastAsia="方正仿宋简体" w:cs="Times New Roman"/>
          <w:sz w:val="32"/>
          <w:szCs w:val="32"/>
        </w:rPr>
        <w:t>年预算编制要求，绩效评估本着真正过紧日子的原则，厉行节约、精打细算，从严从紧控制项目申报和预算安排，非必要项目和工作内容可压尽压、应压尽压，做到客观、绩效、精准。</w:t>
      </w:r>
    </w:p>
    <w:p>
      <w:pPr>
        <w:numPr>
          <w:ilvl w:val="0"/>
          <w:numId w:val="9"/>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pStyle w:val="40"/>
        <w:keepNext w:val="0"/>
        <w:keepLines w:val="0"/>
        <w:pageBreakBefore w:val="0"/>
        <w:kinsoku/>
        <w:wordWrap/>
        <w:overflowPunct/>
        <w:topLinePunct w:val="0"/>
        <w:autoSpaceDE/>
        <w:autoSpaceDN/>
        <w:bidi w:val="0"/>
        <w:adjustRightInd/>
        <w:snapToGrid w:val="0"/>
        <w:spacing w:line="600" w:lineRule="atLeast"/>
        <w:ind w:firstLine="707" w:firstLineChars="221"/>
        <w:jc w:val="both"/>
        <w:textAlignment w:val="auto"/>
        <w:rPr>
          <w:rFonts w:hint="eastAsia" w:ascii="Times New Roman" w:hAnsi="Times New Roman" w:cs="Times New Roman"/>
          <w:szCs w:val="32"/>
          <w:lang w:eastAsia="zh-CN"/>
        </w:rPr>
      </w:pPr>
      <w:r>
        <w:rPr>
          <w:rFonts w:hint="eastAsia" w:ascii="Times New Roman" w:hAnsi="Times New Roman" w:eastAsia="仿宋_GB2312"/>
          <w:sz w:val="32"/>
          <w:szCs w:val="32"/>
          <w:lang w:val="en-US" w:eastAsia="zh-CN"/>
        </w:rPr>
        <w:t>我方</w:t>
      </w:r>
      <w:r>
        <w:rPr>
          <w:rFonts w:hint="eastAsia" w:ascii="Times New Roman" w:hAnsi="Times New Roman" w:eastAsia="仿宋_GB2312"/>
          <w:sz w:val="32"/>
          <w:szCs w:val="32"/>
          <w:lang w:eastAsia="zh-CN"/>
        </w:rPr>
        <w:t>财政资金绩效评价的要求开展项目绩效自评，落实主体责任，组织专人负责，认真开展自查自评，按时保质完成工作，自评结果客观准确。</w:t>
      </w:r>
    </w:p>
    <w:p>
      <w:pPr>
        <w:pStyle w:val="40"/>
        <w:keepNext w:val="0"/>
        <w:keepLines w:val="0"/>
        <w:pageBreakBefore w:val="0"/>
        <w:kinsoku/>
        <w:wordWrap/>
        <w:overflowPunct/>
        <w:topLinePunct w:val="0"/>
        <w:autoSpaceDE/>
        <w:autoSpaceDN/>
        <w:bidi w:val="0"/>
        <w:adjustRightInd/>
        <w:snapToGrid w:val="0"/>
        <w:spacing w:line="600" w:lineRule="atLeast"/>
        <w:ind w:firstLine="707" w:firstLineChars="221"/>
        <w:jc w:val="both"/>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为缓解财政压力，根据《关于报送202</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年地方政府新增债券需求的预通知》等文件的要求，申报争取项目专项债资金，有利于项目的建设，乐至县经济发展。</w:t>
      </w:r>
    </w:p>
    <w:p>
      <w:pPr>
        <w:pStyle w:val="40"/>
        <w:keepNext w:val="0"/>
        <w:keepLines w:val="0"/>
        <w:pageBreakBefore w:val="0"/>
        <w:kinsoku/>
        <w:wordWrap/>
        <w:overflowPunct/>
        <w:topLinePunct w:val="0"/>
        <w:autoSpaceDE/>
        <w:autoSpaceDN/>
        <w:bidi w:val="0"/>
        <w:adjustRightInd/>
        <w:snapToGrid w:val="0"/>
        <w:spacing w:line="600" w:lineRule="atLeast"/>
        <w:ind w:firstLine="707" w:firstLineChars="221"/>
        <w:jc w:val="both"/>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项目费用仅为债券资金到账的</w:t>
      </w:r>
      <w:r>
        <w:rPr>
          <w:rFonts w:hint="eastAsia" w:ascii="Times New Roman" w:hAnsi="Times New Roman" w:eastAsia="仿宋_GB2312"/>
          <w:sz w:val="32"/>
          <w:szCs w:val="32"/>
          <w:lang w:val="en-US" w:eastAsia="zh-CN"/>
        </w:rPr>
        <w:t>0.5%，项目具有经济性。</w:t>
      </w:r>
    </w:p>
    <w:p>
      <w:pPr>
        <w:pStyle w:val="40"/>
        <w:keepNext w:val="0"/>
        <w:keepLines w:val="0"/>
        <w:pageBreakBefore w:val="0"/>
        <w:kinsoku/>
        <w:wordWrap/>
        <w:overflowPunct/>
        <w:topLinePunct w:val="0"/>
        <w:autoSpaceDE/>
        <w:autoSpaceDN/>
        <w:bidi w:val="0"/>
        <w:adjustRightInd/>
        <w:snapToGrid w:val="0"/>
        <w:spacing w:line="600" w:lineRule="atLeast"/>
        <w:ind w:firstLine="707" w:firstLineChars="221"/>
        <w:jc w:val="both"/>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项目建设急需资金支持，为顺利建设，避免出现项目停工、资金缺乏等不良情况。本次债券申报具有实施的必要性和可行性。</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pStyle w:val="40"/>
        <w:keepNext w:val="0"/>
        <w:keepLines w:val="0"/>
        <w:pageBreakBefore w:val="0"/>
        <w:kinsoku/>
        <w:wordWrap/>
        <w:overflowPunct/>
        <w:topLinePunct w:val="0"/>
        <w:autoSpaceDE/>
        <w:autoSpaceDN/>
        <w:bidi w:val="0"/>
        <w:adjustRightInd/>
        <w:snapToGrid w:val="0"/>
        <w:spacing w:line="600" w:lineRule="atLeast"/>
        <w:ind w:firstLine="707" w:firstLineChars="221"/>
        <w:jc w:val="both"/>
        <w:textAlignment w:val="auto"/>
      </w:pPr>
      <w:r>
        <w:rPr>
          <w:rFonts w:hint="eastAsia" w:ascii="Times New Roman" w:hAnsi="Times New Roman" w:eastAsia="仿宋_GB2312"/>
          <w:sz w:val="32"/>
          <w:szCs w:val="32"/>
        </w:rPr>
        <w:t>综合前述评估内容来看，该项目立项必要性和依据充分，绩效目标明确，具备实施条件，具有公共性，符合财政资金支持方向</w:t>
      </w:r>
      <w:r>
        <w:rPr>
          <w:rFonts w:hint="eastAsia" w:ascii="Times New Roman" w:hAnsi="Times New Roman" w:eastAsia="仿宋_GB2312"/>
          <w:sz w:val="32"/>
          <w:szCs w:val="32"/>
          <w:lang w:eastAsia="zh-CN"/>
        </w:rPr>
        <w:t>等</w:t>
      </w:r>
      <w:r>
        <w:rPr>
          <w:rFonts w:hint="eastAsia" w:ascii="Times New Roman" w:hAnsi="Times New Roman" w:eastAsia="仿宋_GB2312"/>
          <w:sz w:val="32"/>
          <w:szCs w:val="32"/>
        </w:rPr>
        <w:t>。</w:t>
      </w:r>
      <w:r>
        <w:rPr>
          <w:rFonts w:hint="eastAsia" w:ascii="Times New Roman" w:hAnsi="Times New Roman" w:eastAsia="仿宋_GB2312"/>
          <w:b w:val="0"/>
          <w:bCs/>
          <w:sz w:val="32"/>
          <w:szCs w:val="32"/>
        </w:rPr>
        <w:t>建议</w:t>
      </w:r>
      <w:r>
        <w:rPr>
          <w:rFonts w:hint="eastAsia" w:ascii="Times New Roman" w:hAnsi="Times New Roman" w:eastAsia="仿宋_GB2312"/>
          <w:b w:val="0"/>
          <w:bCs/>
          <w:sz w:val="32"/>
          <w:szCs w:val="32"/>
          <w:u w:val="none"/>
        </w:rPr>
        <w:t>予以支持</w:t>
      </w:r>
      <w:r>
        <w:rPr>
          <w:rFonts w:hint="eastAsia" w:ascii="Times New Roman" w:hAnsi="Times New Roman" w:eastAsia="仿宋_GB2312"/>
          <w:b w:val="0"/>
          <w:bCs/>
          <w:sz w:val="32"/>
          <w:szCs w:val="32"/>
          <w:u w:val="none"/>
          <w:lang w:eastAsia="zh-CN"/>
        </w:rPr>
        <w:t>。</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eastAsia" w:eastAsia="方正仿宋简体"/>
          <w:sz w:val="32"/>
          <w:szCs w:val="32"/>
        </w:rPr>
      </w:pPr>
      <w:r>
        <w:rPr>
          <w:rFonts w:hint="eastAsia" w:eastAsia="方正仿宋简体"/>
          <w:sz w:val="32"/>
          <w:szCs w:val="32"/>
        </w:rPr>
        <w:t>对照项目实施情况，对各评价指标目标值与实际值的差异程度及产生原因进行分析。</w:t>
      </w:r>
    </w:p>
    <w:tbl>
      <w:tblPr>
        <w:tblStyle w:val="17"/>
        <w:tblW w:w="9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8"/>
        <w:gridCol w:w="1331"/>
        <w:gridCol w:w="2632"/>
        <w:gridCol w:w="1787"/>
        <w:gridCol w:w="1049"/>
        <w:gridCol w:w="10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000" w:type="dxa"/>
            <w:gridSpan w:val="6"/>
            <w:tcBorders>
              <w:top w:val="nil"/>
              <w:left w:val="nil"/>
              <w:bottom w:val="nil"/>
              <w:right w:val="nil"/>
            </w:tcBorders>
            <w:noWrap/>
            <w:vAlign w:val="center"/>
          </w:tcPr>
          <w:p>
            <w:pPr>
              <w:keepNext w:val="0"/>
              <w:keepLines w:val="0"/>
              <w:widowControl/>
              <w:suppressLineNumbers w:val="0"/>
              <w:jc w:val="both"/>
              <w:textAlignment w:val="center"/>
              <w:rPr>
                <w:rFonts w:hint="eastAsia" w:ascii="宋体" w:hAnsi="宋体" w:eastAsia="宋体" w:cs="宋体"/>
                <w:i w:val="0"/>
                <w:iCs w:val="0"/>
                <w:color w:val="auto"/>
                <w:sz w:val="44"/>
                <w:szCs w:val="4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绩效目标</w:t>
            </w:r>
          </w:p>
        </w:tc>
        <w:tc>
          <w:tcPr>
            <w:tcW w:w="133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一级指标</w:t>
            </w:r>
          </w:p>
        </w:tc>
        <w:tc>
          <w:tcPr>
            <w:tcW w:w="263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二级指标</w:t>
            </w:r>
          </w:p>
        </w:tc>
        <w:tc>
          <w:tcPr>
            <w:tcW w:w="178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三级指标</w:t>
            </w: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目标值</w:t>
            </w: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实际值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331"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2632"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数量指标</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eastAsia="zh-CN"/>
              </w:rPr>
              <w:t>支持</w:t>
            </w:r>
            <w:r>
              <w:rPr>
                <w:rFonts w:hint="eastAsia" w:ascii="宋体" w:hAnsi="宋体" w:eastAsia="宋体" w:cs="宋体"/>
                <w:i w:val="0"/>
                <w:iCs w:val="0"/>
                <w:color w:val="auto"/>
                <w:sz w:val="22"/>
                <w:szCs w:val="22"/>
                <w:u w:val="none"/>
                <w:lang w:val="en-US" w:eastAsia="zh-CN"/>
              </w:rPr>
              <w:t>11个项目建设</w:t>
            </w: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734000</w:t>
            </w:r>
            <w:r>
              <w:rPr>
                <w:rFonts w:hint="eastAsia" w:ascii="宋体" w:hAnsi="宋体" w:eastAsia="宋体" w:cs="宋体"/>
                <w:i w:val="0"/>
                <w:iCs w:val="0"/>
                <w:color w:val="auto"/>
                <w:sz w:val="22"/>
                <w:szCs w:val="22"/>
                <w:u w:val="none"/>
                <w:lang w:val="en-US" w:eastAsia="zh-CN"/>
              </w:rPr>
              <w:t>万元</w:t>
            </w: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734000</w:t>
            </w:r>
            <w:r>
              <w:rPr>
                <w:rFonts w:hint="eastAsia" w:ascii="宋体" w:hAnsi="宋体" w:eastAsia="宋体" w:cs="宋体"/>
                <w:i w:val="0"/>
                <w:iCs w:val="0"/>
                <w:color w:val="auto"/>
                <w:sz w:val="22"/>
                <w:szCs w:val="22"/>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33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632"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33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632"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331"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2632" w:type="dxa"/>
            <w:tcBorders>
              <w:top w:val="single" w:color="000000" w:sz="4" w:space="0"/>
              <w:left w:val="single" w:color="000000" w:sz="4" w:space="0"/>
              <w:bottom w:val="nil"/>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经济效益指标</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对乐至县经济发展的影响</w:t>
            </w: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提高</w:t>
            </w: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331"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6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社会效益指标</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提高乐至县</w:t>
            </w:r>
            <w:r>
              <w:rPr>
                <w:rFonts w:hint="eastAsia" w:ascii="宋体" w:hAnsi="宋体" w:eastAsia="宋体" w:cs="宋体"/>
                <w:i w:val="0"/>
                <w:iCs w:val="0"/>
                <w:color w:val="auto"/>
                <w:sz w:val="22"/>
                <w:szCs w:val="22"/>
                <w:u w:val="none"/>
                <w:lang w:val="en-US" w:eastAsia="zh-CN"/>
              </w:rPr>
              <w:t>民生事业水平</w:t>
            </w: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改善</w:t>
            </w: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i w:val="0"/>
                <w:iCs w:val="0"/>
                <w:color w:val="auto"/>
                <w:sz w:val="22"/>
                <w:szCs w:val="22"/>
                <w:u w:val="none"/>
                <w:lang w:eastAsia="zh-CN"/>
              </w:rPr>
              <w:t>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331" w:type="dxa"/>
            <w:vMerge w:val="restart"/>
            <w:tcBorders>
              <w:top w:val="nil"/>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26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服务对象满意度指标</w:t>
            </w: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eastAsia="zh-CN"/>
              </w:rPr>
            </w:pPr>
            <w:r>
              <w:rPr>
                <w:rFonts w:hint="eastAsia"/>
                <w:color w:val="000000"/>
                <w:kern w:val="0"/>
                <w:szCs w:val="21"/>
                <w:lang w:val="en-US" w:eastAsia="zh-CN"/>
              </w:rPr>
              <w:t>业主</w:t>
            </w:r>
            <w:r>
              <w:rPr>
                <w:rFonts w:hint="eastAsia" w:ascii="宋体" w:hAnsi="宋体" w:eastAsia="宋体" w:cs="宋体"/>
                <w:i w:val="0"/>
                <w:iCs w:val="0"/>
                <w:color w:val="auto"/>
                <w:sz w:val="22"/>
                <w:szCs w:val="22"/>
                <w:u w:val="none"/>
                <w:lang w:eastAsia="zh-CN"/>
              </w:rPr>
              <w:t>满意度</w:t>
            </w: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90%</w:t>
            </w: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10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1331" w:type="dxa"/>
            <w:vMerge w:val="continue"/>
            <w:tcBorders>
              <w:top w:val="nil"/>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2"/>
                <w:szCs w:val="22"/>
                <w:u w:val="none"/>
              </w:rPr>
            </w:pPr>
          </w:p>
        </w:tc>
        <w:tc>
          <w:tcPr>
            <w:tcW w:w="263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u w:val="none"/>
              </w:rPr>
            </w:pPr>
          </w:p>
        </w:tc>
        <w:tc>
          <w:tcPr>
            <w:tcW w:w="1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p>
        </w:tc>
        <w:tc>
          <w:tcPr>
            <w:tcW w:w="1049" w:type="dxa"/>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093" w:type="dxa"/>
            <w:tcBorders>
              <w:top w:val="single" w:color="000000" w:sz="4" w:space="0"/>
              <w:left w:val="single" w:color="auto"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bl>
    <w:p>
      <w:pPr>
        <w:pStyle w:val="7"/>
      </w:pP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本项目通过</w:t>
      </w:r>
      <w:r>
        <w:rPr>
          <w:rFonts w:ascii="Times New Roman" w:hAnsi="Times New Roman" w:eastAsia="方正仿宋简体" w:cs="Times New Roman"/>
          <w:sz w:val="32"/>
          <w:szCs w:val="32"/>
        </w:rPr>
        <w:t>市场调研</w:t>
      </w:r>
      <w:r>
        <w:rPr>
          <w:rFonts w:hint="eastAsia" w:ascii="Times New Roman" w:hAnsi="Times New Roman" w:eastAsia="方正仿宋简体" w:cs="Times New Roman"/>
          <w:sz w:val="32"/>
          <w:szCs w:val="32"/>
          <w:lang w:eastAsia="zh-CN"/>
        </w:rPr>
        <w:t>等方法</w:t>
      </w:r>
      <w:r>
        <w:rPr>
          <w:rFonts w:ascii="Times New Roman" w:hAnsi="Times New Roman" w:eastAsia="方正仿宋简体" w:cs="Times New Roman"/>
          <w:sz w:val="32"/>
          <w:szCs w:val="32"/>
        </w:rPr>
        <w:t>了解项目情况</w:t>
      </w:r>
      <w:r>
        <w:rPr>
          <w:rFonts w:hint="eastAsia" w:ascii="Times New Roman" w:hAnsi="Times New Roman" w:eastAsia="方正仿宋简体" w:cs="Times New Roman"/>
          <w:sz w:val="32"/>
          <w:szCs w:val="32"/>
        </w:rPr>
        <w:t>，收集相关资料，综合分析相关情况后，对项目的立项必要性、投入经济性、目标合理性、方案可行性以及筹资合规性实施评估。</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无</w:t>
      </w: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7" w:type="default"/>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2023年专项债券咨询服务</w:t>
      </w:r>
      <w:r>
        <w:rPr>
          <w:rFonts w:hint="eastAsia" w:eastAsia="方正楷体简体"/>
          <w:b/>
          <w:bCs/>
          <w:kern w:val="0"/>
          <w:sz w:val="32"/>
          <w:szCs w:val="32"/>
        </w:rPr>
        <w:t>项目）</w:t>
      </w:r>
    </w:p>
    <w:p>
      <w:pPr>
        <w:spacing w:line="620" w:lineRule="exact"/>
        <w:rPr>
          <w:sz w:val="24"/>
        </w:rPr>
      </w:pPr>
      <w:r>
        <w:rPr>
          <w:rFonts w:hint="eastAsia"/>
          <w:bCs/>
          <w:kern w:val="0"/>
          <w:sz w:val="24"/>
        </w:rPr>
        <w:t>预算单位名称：</w:t>
      </w:r>
      <w:r>
        <w:rPr>
          <w:bCs/>
          <w:kern w:val="0"/>
          <w:sz w:val="24"/>
        </w:rPr>
        <w:t xml:space="preserve">                 </w:t>
      </w:r>
      <w:r>
        <w:rPr>
          <w:rFonts w:hint="eastAsia"/>
          <w:bCs/>
          <w:kern w:val="0"/>
          <w:sz w:val="24"/>
        </w:rPr>
        <w:t>预算单位编码：</w:t>
      </w:r>
      <w:r>
        <w:rPr>
          <w:bCs/>
          <w:kern w:val="0"/>
          <w:sz w:val="24"/>
        </w:rPr>
        <w:t xml:space="preserve">                  </w:t>
      </w:r>
      <w:r>
        <w:rPr>
          <w:rFonts w:hint="eastAsia"/>
          <w:bCs/>
          <w:kern w:val="0"/>
          <w:sz w:val="24"/>
        </w:rPr>
        <w:t>自评等级：</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kern w:val="0"/>
                <w:szCs w:val="21"/>
              </w:rPr>
            </w:pPr>
            <w:r>
              <w:rPr>
                <w:rFonts w:hint="eastAsia"/>
                <w:kern w:val="0"/>
                <w:szCs w:val="21"/>
                <w:lang w:val="en-US" w:eastAsia="zh-CN"/>
              </w:rPr>
              <w:t>2</w:t>
            </w:r>
            <w:r>
              <w:rPr>
                <w:rFonts w:hint="eastAsia"/>
                <w:kern w:val="0"/>
                <w:szCs w:val="21"/>
              </w:rPr>
              <w:t>　</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100</w:t>
            </w:r>
          </w:p>
        </w:tc>
        <w:tc>
          <w:tcPr>
            <w:tcW w:w="493"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100</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3</w:t>
      </w:r>
      <w:r>
        <w:rPr>
          <w:rFonts w:hint="eastAsia" w:eastAsia="方正小标宋简体"/>
          <w:color w:val="000000"/>
          <w:spacing w:val="-12"/>
          <w:kern w:val="0"/>
          <w:sz w:val="44"/>
          <w:szCs w:val="44"/>
        </w:rPr>
        <w:t>年度乐至县项目支出绩效目标完成情况表</w:t>
      </w:r>
    </w:p>
    <w:p>
      <w:pPr>
        <w:pStyle w:val="7"/>
        <w:spacing w:line="240" w:lineRule="exact"/>
        <w:rPr>
          <w:rFonts w:ascii="宋体"/>
        </w:rPr>
      </w:pPr>
    </w:p>
    <w:tbl>
      <w:tblPr>
        <w:tblStyle w:val="17"/>
        <w:tblW w:w="911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6"/>
        <w:gridCol w:w="912"/>
        <w:gridCol w:w="676"/>
        <w:gridCol w:w="846"/>
        <w:gridCol w:w="1505"/>
        <w:gridCol w:w="1901"/>
        <w:gridCol w:w="24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9" w:hRule="atLeast"/>
          <w:jc w:val="center"/>
        </w:trPr>
        <w:tc>
          <w:tcPr>
            <w:tcW w:w="846"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268"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eastAsia="方正楷体简体"/>
                <w:b/>
                <w:bCs/>
                <w:kern w:val="0"/>
                <w:sz w:val="24"/>
                <w:szCs w:val="24"/>
                <w:lang w:val="en-US" w:eastAsia="zh-CN"/>
              </w:rPr>
              <w:t>2023年专项债券咨询服务</w:t>
            </w:r>
            <w:r>
              <w:rPr>
                <w:rFonts w:hint="eastAsia" w:eastAsia="方正楷体简体"/>
                <w:b/>
                <w:bCs/>
                <w:kern w:val="0"/>
                <w:sz w:val="24"/>
                <w:szCs w:val="24"/>
              </w:rPr>
              <w:t>项目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restart"/>
            <w:noWrap/>
            <w:vAlign w:val="center"/>
          </w:tcPr>
          <w:p>
            <w:pPr>
              <w:widowControl/>
              <w:spacing w:line="240" w:lineRule="exact"/>
              <w:jc w:val="center"/>
              <w:rPr>
                <w:color w:val="auto"/>
                <w:kern w:val="0"/>
                <w:szCs w:val="21"/>
              </w:rPr>
            </w:pPr>
            <w:r>
              <w:rPr>
                <w:rFonts w:hint="eastAsia"/>
                <w:color w:val="auto"/>
                <w:kern w:val="0"/>
                <w:szCs w:val="21"/>
              </w:rPr>
              <w:t>项目</w:t>
            </w:r>
          </w:p>
          <w:p>
            <w:pPr>
              <w:widowControl/>
              <w:spacing w:line="240" w:lineRule="exact"/>
              <w:jc w:val="center"/>
              <w:rPr>
                <w:color w:val="auto"/>
                <w:kern w:val="0"/>
                <w:szCs w:val="21"/>
              </w:rPr>
            </w:pPr>
            <w:r>
              <w:rPr>
                <w:rFonts w:hint="eastAsia"/>
                <w:color w:val="auto"/>
                <w:kern w:val="0"/>
                <w:szCs w:val="21"/>
              </w:rPr>
              <w:t>类型</w:t>
            </w:r>
          </w:p>
        </w:tc>
        <w:tc>
          <w:tcPr>
            <w:tcW w:w="912" w:type="dxa"/>
            <w:noWrap/>
            <w:vAlign w:val="center"/>
          </w:tcPr>
          <w:p>
            <w:pPr>
              <w:widowControl/>
              <w:spacing w:line="240" w:lineRule="exact"/>
              <w:jc w:val="center"/>
              <w:rPr>
                <w:color w:val="auto"/>
                <w:kern w:val="0"/>
                <w:szCs w:val="21"/>
              </w:rPr>
            </w:pPr>
            <w:r>
              <w:rPr>
                <w:rFonts w:hint="eastAsia"/>
                <w:color w:val="auto"/>
                <w:kern w:val="0"/>
                <w:szCs w:val="21"/>
              </w:rPr>
              <w:t>产业发展</w:t>
            </w:r>
          </w:p>
        </w:tc>
        <w:tc>
          <w:tcPr>
            <w:tcW w:w="676" w:type="dxa"/>
            <w:noWrap/>
            <w:vAlign w:val="center"/>
          </w:tcPr>
          <w:p>
            <w:pPr>
              <w:widowControl/>
              <w:spacing w:line="240" w:lineRule="exact"/>
              <w:jc w:val="center"/>
              <w:rPr>
                <w:color w:val="auto"/>
                <w:kern w:val="0"/>
                <w:szCs w:val="21"/>
              </w:rPr>
            </w:pPr>
            <w:r>
              <w:rPr>
                <w:rFonts w:hint="eastAsia"/>
                <w:color w:val="auto"/>
                <w:kern w:val="0"/>
                <w:szCs w:val="21"/>
              </w:rPr>
              <w:t>民生</w:t>
            </w:r>
          </w:p>
          <w:p>
            <w:pPr>
              <w:widowControl/>
              <w:spacing w:line="240" w:lineRule="exact"/>
              <w:jc w:val="center"/>
              <w:rPr>
                <w:color w:val="auto"/>
                <w:kern w:val="0"/>
                <w:szCs w:val="21"/>
              </w:rPr>
            </w:pPr>
            <w:r>
              <w:rPr>
                <w:rFonts w:hint="eastAsia"/>
                <w:color w:val="auto"/>
                <w:kern w:val="0"/>
                <w:szCs w:val="21"/>
              </w:rPr>
              <w:t>保障</w:t>
            </w:r>
          </w:p>
        </w:tc>
        <w:tc>
          <w:tcPr>
            <w:tcW w:w="2351" w:type="dxa"/>
            <w:gridSpan w:val="2"/>
            <w:noWrap/>
            <w:vAlign w:val="center"/>
          </w:tcPr>
          <w:p>
            <w:pPr>
              <w:widowControl/>
              <w:spacing w:line="240" w:lineRule="exact"/>
              <w:jc w:val="center"/>
              <w:rPr>
                <w:color w:val="auto"/>
                <w:kern w:val="0"/>
                <w:szCs w:val="21"/>
              </w:rPr>
            </w:pPr>
            <w:r>
              <w:rPr>
                <w:rFonts w:hint="eastAsia"/>
                <w:color w:val="auto"/>
                <w:kern w:val="0"/>
                <w:szCs w:val="21"/>
              </w:rPr>
              <w:t>基础设施</w:t>
            </w:r>
          </w:p>
        </w:tc>
        <w:tc>
          <w:tcPr>
            <w:tcW w:w="4329" w:type="dxa"/>
            <w:gridSpan w:val="2"/>
            <w:noWrap/>
            <w:vAlign w:val="center"/>
          </w:tcPr>
          <w:p>
            <w:pPr>
              <w:widowControl/>
              <w:spacing w:line="240" w:lineRule="exact"/>
              <w:jc w:val="center"/>
              <w:rPr>
                <w:color w:val="auto"/>
                <w:kern w:val="0"/>
                <w:szCs w:val="21"/>
              </w:rPr>
            </w:pPr>
            <w:r>
              <w:rPr>
                <w:rFonts w:hint="eastAsia"/>
                <w:color w:val="auto"/>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46" w:type="dxa"/>
            <w:vMerge w:val="continue"/>
            <w:noWrap w:val="0"/>
            <w:vAlign w:val="center"/>
          </w:tcPr>
          <w:p>
            <w:pPr>
              <w:widowControl/>
              <w:spacing w:line="240" w:lineRule="exact"/>
              <w:jc w:val="left"/>
              <w:rPr>
                <w:color w:val="auto"/>
                <w:kern w:val="0"/>
                <w:szCs w:val="21"/>
              </w:rPr>
            </w:pPr>
          </w:p>
        </w:tc>
        <w:tc>
          <w:tcPr>
            <w:tcW w:w="912" w:type="dxa"/>
            <w:noWrap/>
            <w:vAlign w:val="center"/>
          </w:tcPr>
          <w:p>
            <w:pPr>
              <w:widowControl/>
              <w:spacing w:line="240" w:lineRule="exact"/>
              <w:jc w:val="center"/>
              <w:rPr>
                <w:color w:val="auto"/>
                <w:kern w:val="0"/>
                <w:szCs w:val="21"/>
              </w:rPr>
            </w:pPr>
            <w:r>
              <w:rPr>
                <w:rFonts w:hint="eastAsia"/>
                <w:color w:val="auto"/>
                <w:kern w:val="0"/>
                <w:szCs w:val="21"/>
              </w:rPr>
              <w:t>□</w:t>
            </w:r>
          </w:p>
        </w:tc>
        <w:tc>
          <w:tcPr>
            <w:tcW w:w="676" w:type="dxa"/>
            <w:noWrap/>
            <w:vAlign w:val="center"/>
          </w:tcPr>
          <w:p>
            <w:pPr>
              <w:spacing w:line="240" w:lineRule="exact"/>
              <w:jc w:val="center"/>
              <w:rPr>
                <w:rFonts w:hint="eastAsia" w:eastAsia="宋体"/>
                <w:color w:val="auto"/>
                <w:szCs w:val="21"/>
                <w:lang w:eastAsia="zh-CN"/>
              </w:rPr>
            </w:pPr>
            <w:r>
              <w:rPr>
                <w:rFonts w:hint="eastAsia"/>
                <w:color w:val="auto"/>
                <w:kern w:val="0"/>
                <w:szCs w:val="21"/>
                <w:lang w:eastAsia="zh-CN"/>
              </w:rPr>
              <w:t>☑</w:t>
            </w:r>
          </w:p>
        </w:tc>
        <w:tc>
          <w:tcPr>
            <w:tcW w:w="2351" w:type="dxa"/>
            <w:gridSpan w:val="2"/>
            <w:noWrap/>
            <w:vAlign w:val="center"/>
          </w:tcPr>
          <w:p>
            <w:pPr>
              <w:spacing w:line="240" w:lineRule="exact"/>
              <w:jc w:val="center"/>
              <w:rPr>
                <w:rFonts w:hint="eastAsia" w:eastAsia="宋体"/>
                <w:color w:val="auto"/>
                <w:szCs w:val="21"/>
                <w:lang w:eastAsia="zh-CN"/>
              </w:rPr>
            </w:pPr>
            <w:r>
              <w:rPr>
                <w:rFonts w:hint="eastAsia"/>
                <w:color w:val="auto"/>
                <w:kern w:val="0"/>
                <w:szCs w:val="21"/>
                <w:lang w:eastAsia="zh-CN"/>
              </w:rPr>
              <w:t>□</w:t>
            </w:r>
          </w:p>
        </w:tc>
        <w:tc>
          <w:tcPr>
            <w:tcW w:w="4329" w:type="dxa"/>
            <w:gridSpan w:val="2"/>
            <w:noWrap/>
            <w:vAlign w:val="center"/>
          </w:tcPr>
          <w:p>
            <w:pPr>
              <w:spacing w:line="240" w:lineRule="exact"/>
              <w:jc w:val="center"/>
              <w:rPr>
                <w:rFonts w:hint="eastAsia" w:eastAsia="宋体"/>
                <w:color w:val="auto"/>
                <w:szCs w:val="21"/>
                <w:lang w:eastAsia="zh-CN"/>
              </w:rPr>
            </w:pPr>
            <w:r>
              <w:rPr>
                <w:rFonts w:hint="eastAsia"/>
                <w:color w:val="auto"/>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noWrap/>
            <w:vAlign w:val="center"/>
          </w:tcPr>
          <w:p>
            <w:pPr>
              <w:widowControl/>
              <w:spacing w:line="240" w:lineRule="exact"/>
              <w:jc w:val="center"/>
              <w:rPr>
                <w:color w:val="auto"/>
                <w:kern w:val="0"/>
                <w:szCs w:val="21"/>
              </w:rPr>
            </w:pPr>
            <w:r>
              <w:rPr>
                <w:rFonts w:hint="eastAsia"/>
                <w:color w:val="auto"/>
                <w:kern w:val="0"/>
                <w:szCs w:val="21"/>
              </w:rPr>
              <w:t>部门（单位）名称</w:t>
            </w:r>
          </w:p>
        </w:tc>
        <w:tc>
          <w:tcPr>
            <w:tcW w:w="3939" w:type="dxa"/>
            <w:gridSpan w:val="4"/>
            <w:noWrap/>
            <w:vAlign w:val="center"/>
          </w:tcPr>
          <w:p>
            <w:pPr>
              <w:widowControl/>
              <w:spacing w:line="240" w:lineRule="exact"/>
              <w:jc w:val="center"/>
              <w:rPr>
                <w:rFonts w:hint="default"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乐至县财政局</w:t>
            </w:r>
          </w:p>
        </w:tc>
        <w:tc>
          <w:tcPr>
            <w:tcW w:w="1901" w:type="dxa"/>
            <w:noWrap/>
            <w:vAlign w:val="center"/>
          </w:tcPr>
          <w:p>
            <w:pPr>
              <w:widowControl/>
              <w:spacing w:line="240" w:lineRule="exact"/>
              <w:jc w:val="center"/>
              <w:rPr>
                <w:color w:val="auto"/>
                <w:kern w:val="0"/>
                <w:szCs w:val="21"/>
              </w:rPr>
            </w:pPr>
            <w:r>
              <w:rPr>
                <w:rFonts w:hint="eastAsia"/>
                <w:color w:val="auto"/>
                <w:kern w:val="0"/>
                <w:szCs w:val="21"/>
              </w:rPr>
              <w:t>预算单位编码</w:t>
            </w:r>
          </w:p>
        </w:tc>
        <w:tc>
          <w:tcPr>
            <w:tcW w:w="2428" w:type="dxa"/>
            <w:noWrap/>
            <w:vAlign w:val="center"/>
          </w:tcPr>
          <w:p>
            <w:pPr>
              <w:widowControl/>
              <w:spacing w:line="24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46" w:type="dxa"/>
            <w:vMerge w:val="restart"/>
            <w:noWrap/>
            <w:vAlign w:val="center"/>
          </w:tcPr>
          <w:p>
            <w:pPr>
              <w:widowControl/>
              <w:spacing w:line="240" w:lineRule="exact"/>
              <w:jc w:val="center"/>
              <w:rPr>
                <w:color w:val="auto"/>
                <w:kern w:val="0"/>
                <w:szCs w:val="21"/>
              </w:rPr>
            </w:pPr>
            <w:r>
              <w:rPr>
                <w:rFonts w:hint="eastAsia"/>
                <w:color w:val="auto"/>
                <w:kern w:val="0"/>
                <w:szCs w:val="21"/>
              </w:rPr>
              <w:t>预算执行情况</w:t>
            </w:r>
          </w:p>
        </w:tc>
        <w:tc>
          <w:tcPr>
            <w:tcW w:w="912" w:type="dxa"/>
            <w:noWrap/>
            <w:vAlign w:val="center"/>
          </w:tcPr>
          <w:p>
            <w:pPr>
              <w:widowControl/>
              <w:spacing w:line="240" w:lineRule="exact"/>
              <w:jc w:val="center"/>
              <w:rPr>
                <w:color w:val="auto"/>
                <w:kern w:val="0"/>
                <w:szCs w:val="21"/>
              </w:rPr>
            </w:pPr>
            <w:r>
              <w:rPr>
                <w:rFonts w:hint="eastAsia"/>
                <w:color w:val="auto"/>
                <w:kern w:val="0"/>
                <w:szCs w:val="21"/>
              </w:rPr>
              <w:t>项目</w:t>
            </w:r>
          </w:p>
        </w:tc>
        <w:tc>
          <w:tcPr>
            <w:tcW w:w="676" w:type="dxa"/>
            <w:noWrap/>
            <w:vAlign w:val="center"/>
          </w:tcPr>
          <w:p>
            <w:pPr>
              <w:widowControl/>
              <w:spacing w:line="240" w:lineRule="exact"/>
              <w:jc w:val="center"/>
              <w:rPr>
                <w:color w:val="auto"/>
                <w:kern w:val="0"/>
                <w:szCs w:val="21"/>
              </w:rPr>
            </w:pPr>
            <w:r>
              <w:rPr>
                <w:rFonts w:hint="eastAsia"/>
                <w:color w:val="auto"/>
                <w:kern w:val="0"/>
                <w:szCs w:val="21"/>
              </w:rPr>
              <w:t>预算额</w:t>
            </w:r>
            <w:r>
              <w:rPr>
                <w:color w:val="auto"/>
                <w:kern w:val="0"/>
                <w:szCs w:val="21"/>
              </w:rPr>
              <w:t>(</w:t>
            </w:r>
            <w:r>
              <w:rPr>
                <w:rFonts w:hint="eastAsia"/>
                <w:color w:val="auto"/>
                <w:kern w:val="0"/>
                <w:szCs w:val="21"/>
              </w:rPr>
              <w:t>万元</w:t>
            </w:r>
            <w:r>
              <w:rPr>
                <w:color w:val="auto"/>
                <w:kern w:val="0"/>
                <w:szCs w:val="21"/>
              </w:rPr>
              <w:t>)</w:t>
            </w:r>
          </w:p>
        </w:tc>
        <w:tc>
          <w:tcPr>
            <w:tcW w:w="846" w:type="dxa"/>
            <w:noWrap/>
            <w:vAlign w:val="center"/>
          </w:tcPr>
          <w:p>
            <w:pPr>
              <w:widowControl/>
              <w:spacing w:line="240" w:lineRule="exact"/>
              <w:jc w:val="center"/>
              <w:rPr>
                <w:color w:val="auto"/>
                <w:kern w:val="0"/>
                <w:szCs w:val="21"/>
              </w:rPr>
            </w:pPr>
            <w:r>
              <w:rPr>
                <w:rFonts w:hint="eastAsia"/>
                <w:color w:val="auto"/>
                <w:kern w:val="0"/>
                <w:szCs w:val="21"/>
              </w:rPr>
              <w:t>执行额</w:t>
            </w:r>
            <w:r>
              <w:rPr>
                <w:color w:val="auto"/>
                <w:kern w:val="0"/>
                <w:szCs w:val="21"/>
              </w:rPr>
              <w:t>(</w:t>
            </w:r>
            <w:r>
              <w:rPr>
                <w:rFonts w:hint="eastAsia"/>
                <w:color w:val="auto"/>
                <w:kern w:val="0"/>
                <w:szCs w:val="21"/>
              </w:rPr>
              <w:t>万元</w:t>
            </w:r>
            <w:r>
              <w:rPr>
                <w:color w:val="auto"/>
                <w:kern w:val="0"/>
                <w:szCs w:val="21"/>
              </w:rPr>
              <w:t>)</w:t>
            </w:r>
          </w:p>
        </w:tc>
        <w:tc>
          <w:tcPr>
            <w:tcW w:w="1505" w:type="dxa"/>
            <w:noWrap/>
            <w:vAlign w:val="center"/>
          </w:tcPr>
          <w:p>
            <w:pPr>
              <w:widowControl/>
              <w:spacing w:line="240" w:lineRule="exact"/>
              <w:jc w:val="center"/>
              <w:rPr>
                <w:color w:val="auto"/>
                <w:kern w:val="0"/>
                <w:szCs w:val="21"/>
              </w:rPr>
            </w:pPr>
            <w:r>
              <w:rPr>
                <w:rFonts w:hint="eastAsia"/>
                <w:color w:val="auto"/>
                <w:kern w:val="0"/>
                <w:szCs w:val="21"/>
              </w:rPr>
              <w:t>当年结转结余额</w:t>
            </w:r>
            <w:r>
              <w:rPr>
                <w:color w:val="auto"/>
                <w:kern w:val="0"/>
                <w:szCs w:val="21"/>
              </w:rPr>
              <w:t>(</w:t>
            </w:r>
            <w:r>
              <w:rPr>
                <w:rFonts w:hint="eastAsia"/>
                <w:color w:val="auto"/>
                <w:kern w:val="0"/>
                <w:szCs w:val="21"/>
              </w:rPr>
              <w:t>万元</w:t>
            </w:r>
            <w:r>
              <w:rPr>
                <w:color w:val="auto"/>
                <w:kern w:val="0"/>
                <w:szCs w:val="21"/>
              </w:rPr>
              <w:t>)</w:t>
            </w:r>
          </w:p>
        </w:tc>
        <w:tc>
          <w:tcPr>
            <w:tcW w:w="1901" w:type="dxa"/>
            <w:noWrap/>
            <w:vAlign w:val="center"/>
          </w:tcPr>
          <w:p>
            <w:pPr>
              <w:widowControl/>
              <w:spacing w:line="240" w:lineRule="exact"/>
              <w:jc w:val="center"/>
              <w:rPr>
                <w:color w:val="auto"/>
                <w:kern w:val="0"/>
                <w:szCs w:val="21"/>
              </w:rPr>
            </w:pPr>
            <w:r>
              <w:rPr>
                <w:rFonts w:hint="eastAsia"/>
                <w:color w:val="auto"/>
                <w:kern w:val="0"/>
                <w:szCs w:val="21"/>
              </w:rPr>
              <w:t>结转结余率</w:t>
            </w:r>
            <w:r>
              <w:rPr>
                <w:color w:val="auto"/>
                <w:kern w:val="0"/>
                <w:szCs w:val="21"/>
              </w:rPr>
              <w:t>%</w:t>
            </w:r>
          </w:p>
        </w:tc>
        <w:tc>
          <w:tcPr>
            <w:tcW w:w="2428" w:type="dxa"/>
            <w:noWrap/>
            <w:vAlign w:val="center"/>
          </w:tcPr>
          <w:p>
            <w:pPr>
              <w:widowControl/>
              <w:spacing w:line="240" w:lineRule="exact"/>
              <w:jc w:val="center"/>
              <w:rPr>
                <w:color w:val="auto"/>
                <w:kern w:val="0"/>
                <w:szCs w:val="21"/>
              </w:rPr>
            </w:pPr>
            <w:r>
              <w:rPr>
                <w:rFonts w:hint="eastAsia"/>
                <w:color w:val="auto"/>
                <w:kern w:val="0"/>
                <w:szCs w:val="21"/>
              </w:rPr>
              <w:t>结转结余变动率</w:t>
            </w:r>
            <w:r>
              <w:rPr>
                <w:color w:val="auto"/>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auto"/>
                <w:kern w:val="0"/>
                <w:szCs w:val="21"/>
              </w:rPr>
            </w:pPr>
          </w:p>
        </w:tc>
        <w:tc>
          <w:tcPr>
            <w:tcW w:w="912" w:type="dxa"/>
            <w:noWrap/>
            <w:vAlign w:val="center"/>
          </w:tcPr>
          <w:p>
            <w:pPr>
              <w:widowControl/>
              <w:spacing w:line="240" w:lineRule="exact"/>
              <w:jc w:val="center"/>
              <w:rPr>
                <w:color w:val="auto"/>
                <w:kern w:val="0"/>
                <w:szCs w:val="21"/>
              </w:rPr>
            </w:pPr>
            <w:r>
              <w:rPr>
                <w:rFonts w:hint="eastAsia"/>
                <w:color w:val="auto"/>
                <w:kern w:val="0"/>
                <w:szCs w:val="21"/>
              </w:rPr>
              <w:t>合</w:t>
            </w:r>
            <w:r>
              <w:rPr>
                <w:color w:val="auto"/>
                <w:kern w:val="0"/>
                <w:szCs w:val="21"/>
              </w:rPr>
              <w:t xml:space="preserve">   </w:t>
            </w:r>
            <w:r>
              <w:rPr>
                <w:rFonts w:hint="eastAsia"/>
                <w:color w:val="auto"/>
                <w:kern w:val="0"/>
                <w:szCs w:val="21"/>
              </w:rPr>
              <w:t>计</w:t>
            </w:r>
          </w:p>
        </w:tc>
        <w:tc>
          <w:tcPr>
            <w:tcW w:w="676" w:type="dxa"/>
            <w:noWrap/>
            <w:vAlign w:val="center"/>
          </w:tcPr>
          <w:p>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eastAsia"/>
                <w:color w:val="auto"/>
                <w:kern w:val="0"/>
                <w:szCs w:val="21"/>
              </w:rPr>
              <w:t>　</w:t>
            </w:r>
            <w:r>
              <w:rPr>
                <w:rFonts w:hint="eastAsia"/>
                <w:color w:val="auto"/>
                <w:kern w:val="0"/>
                <w:szCs w:val="21"/>
                <w:lang w:val="en-US" w:eastAsia="zh-CN"/>
              </w:rPr>
              <w:t>73.4</w:t>
            </w:r>
          </w:p>
        </w:tc>
        <w:tc>
          <w:tcPr>
            <w:tcW w:w="846" w:type="dxa"/>
            <w:noWrap/>
            <w:vAlign w:val="center"/>
          </w:tcPr>
          <w:p>
            <w:pPr>
              <w:widowControl/>
              <w:spacing w:line="240" w:lineRule="exact"/>
              <w:jc w:val="left"/>
              <w:rPr>
                <w:rFonts w:hint="default"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73.4</w:t>
            </w:r>
          </w:p>
        </w:tc>
        <w:tc>
          <w:tcPr>
            <w:tcW w:w="1505" w:type="dxa"/>
            <w:noWrap/>
            <w:vAlign w:val="center"/>
          </w:tcPr>
          <w:p>
            <w:pPr>
              <w:widowControl/>
              <w:spacing w:line="240" w:lineRule="exact"/>
              <w:jc w:val="left"/>
              <w:rPr>
                <w:rFonts w:hint="default" w:eastAsia="宋体"/>
                <w:color w:val="auto"/>
                <w:kern w:val="0"/>
                <w:szCs w:val="21"/>
                <w:lang w:val="en-US" w:eastAsia="zh-CN"/>
              </w:rPr>
            </w:pPr>
            <w:r>
              <w:rPr>
                <w:rFonts w:hint="eastAsia"/>
                <w:color w:val="auto"/>
                <w:kern w:val="0"/>
                <w:szCs w:val="21"/>
              </w:rPr>
              <w:t>　</w:t>
            </w:r>
            <w:r>
              <w:rPr>
                <w:rFonts w:hint="eastAsia"/>
                <w:color w:val="auto"/>
                <w:kern w:val="0"/>
                <w:szCs w:val="21"/>
                <w:lang w:val="en-US" w:eastAsia="zh-CN"/>
              </w:rPr>
              <w:t>0</w:t>
            </w:r>
          </w:p>
        </w:tc>
        <w:tc>
          <w:tcPr>
            <w:tcW w:w="1901" w:type="dxa"/>
            <w:noWrap/>
            <w:vAlign w:val="center"/>
          </w:tcPr>
          <w:p>
            <w:pPr>
              <w:widowControl/>
              <w:spacing w:line="240" w:lineRule="exact"/>
              <w:jc w:val="left"/>
              <w:rPr>
                <w:color w:val="auto"/>
                <w:kern w:val="0"/>
                <w:szCs w:val="21"/>
              </w:rPr>
            </w:pPr>
            <w:r>
              <w:rPr>
                <w:rFonts w:hint="eastAsia"/>
                <w:color w:val="auto"/>
                <w:kern w:val="0"/>
                <w:szCs w:val="21"/>
              </w:rPr>
              <w:t>　</w:t>
            </w:r>
          </w:p>
        </w:tc>
        <w:tc>
          <w:tcPr>
            <w:tcW w:w="2428" w:type="dxa"/>
            <w:noWrap/>
            <w:vAlign w:val="center"/>
          </w:tcPr>
          <w:p>
            <w:pPr>
              <w:widowControl/>
              <w:spacing w:line="24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auto"/>
                <w:kern w:val="0"/>
                <w:szCs w:val="21"/>
              </w:rPr>
            </w:pPr>
          </w:p>
        </w:tc>
        <w:tc>
          <w:tcPr>
            <w:tcW w:w="912" w:type="dxa"/>
            <w:noWrap/>
            <w:vAlign w:val="center"/>
          </w:tcPr>
          <w:p>
            <w:pPr>
              <w:widowControl/>
              <w:spacing w:line="240" w:lineRule="exact"/>
              <w:jc w:val="center"/>
              <w:rPr>
                <w:color w:val="auto"/>
                <w:kern w:val="0"/>
                <w:szCs w:val="21"/>
              </w:rPr>
            </w:pPr>
            <w:r>
              <w:rPr>
                <w:rFonts w:hint="eastAsia"/>
                <w:color w:val="auto"/>
                <w:kern w:val="0"/>
                <w:szCs w:val="21"/>
              </w:rPr>
              <w:t>财政拨款</w:t>
            </w:r>
          </w:p>
        </w:tc>
        <w:tc>
          <w:tcPr>
            <w:tcW w:w="676" w:type="dxa"/>
            <w:noWrap/>
            <w:vAlign w:val="center"/>
          </w:tcPr>
          <w:p>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eastAsia"/>
                <w:color w:val="auto"/>
                <w:kern w:val="0"/>
                <w:szCs w:val="21"/>
              </w:rPr>
              <w:t>　</w:t>
            </w:r>
            <w:r>
              <w:rPr>
                <w:rFonts w:hint="eastAsia"/>
                <w:color w:val="auto"/>
                <w:kern w:val="0"/>
                <w:szCs w:val="21"/>
                <w:lang w:val="en-US" w:eastAsia="zh-CN"/>
              </w:rPr>
              <w:t>73.4</w:t>
            </w:r>
          </w:p>
        </w:tc>
        <w:tc>
          <w:tcPr>
            <w:tcW w:w="846" w:type="dxa"/>
            <w:noWrap/>
            <w:vAlign w:val="center"/>
          </w:tcPr>
          <w:p>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eastAsia"/>
                <w:color w:val="auto"/>
                <w:kern w:val="0"/>
                <w:szCs w:val="21"/>
              </w:rPr>
              <w:t>　</w:t>
            </w:r>
            <w:r>
              <w:rPr>
                <w:rFonts w:hint="eastAsia"/>
                <w:color w:val="auto"/>
                <w:kern w:val="0"/>
                <w:szCs w:val="21"/>
                <w:lang w:val="en-US" w:eastAsia="zh-CN"/>
              </w:rPr>
              <w:t>73.4</w:t>
            </w:r>
          </w:p>
        </w:tc>
        <w:tc>
          <w:tcPr>
            <w:tcW w:w="1505" w:type="dxa"/>
            <w:noWrap/>
            <w:vAlign w:val="center"/>
          </w:tcPr>
          <w:p>
            <w:pPr>
              <w:widowControl/>
              <w:spacing w:line="240" w:lineRule="exact"/>
              <w:jc w:val="left"/>
              <w:rPr>
                <w:rFonts w:hint="default" w:eastAsia="宋体"/>
                <w:color w:val="auto"/>
                <w:kern w:val="0"/>
                <w:sz w:val="21"/>
                <w:szCs w:val="21"/>
                <w:lang w:val="en-US" w:eastAsia="zh-CN" w:bidi="ar-SA"/>
              </w:rPr>
            </w:pPr>
            <w:r>
              <w:rPr>
                <w:rFonts w:hint="eastAsia"/>
                <w:color w:val="auto"/>
                <w:kern w:val="0"/>
                <w:szCs w:val="21"/>
              </w:rPr>
              <w:t>　</w:t>
            </w:r>
            <w:r>
              <w:rPr>
                <w:rFonts w:hint="eastAsia"/>
                <w:color w:val="auto"/>
                <w:kern w:val="0"/>
                <w:szCs w:val="21"/>
                <w:lang w:val="en-US" w:eastAsia="zh-CN"/>
              </w:rPr>
              <w:t>0</w:t>
            </w:r>
          </w:p>
        </w:tc>
        <w:tc>
          <w:tcPr>
            <w:tcW w:w="1901" w:type="dxa"/>
            <w:noWrap/>
            <w:vAlign w:val="center"/>
          </w:tcPr>
          <w:p>
            <w:pPr>
              <w:widowControl/>
              <w:spacing w:line="240" w:lineRule="exact"/>
              <w:jc w:val="left"/>
              <w:rPr>
                <w:color w:val="auto"/>
                <w:kern w:val="0"/>
                <w:szCs w:val="21"/>
              </w:rPr>
            </w:pPr>
            <w:r>
              <w:rPr>
                <w:rFonts w:hint="eastAsia"/>
                <w:color w:val="auto"/>
                <w:kern w:val="0"/>
                <w:szCs w:val="21"/>
              </w:rPr>
              <w:t>　</w:t>
            </w:r>
          </w:p>
        </w:tc>
        <w:tc>
          <w:tcPr>
            <w:tcW w:w="2428" w:type="dxa"/>
            <w:noWrap/>
            <w:vAlign w:val="center"/>
          </w:tcPr>
          <w:p>
            <w:pPr>
              <w:widowControl/>
              <w:spacing w:line="24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auto"/>
                <w:kern w:val="0"/>
                <w:szCs w:val="21"/>
              </w:rPr>
            </w:pPr>
          </w:p>
        </w:tc>
        <w:tc>
          <w:tcPr>
            <w:tcW w:w="912" w:type="dxa"/>
            <w:noWrap/>
            <w:vAlign w:val="center"/>
          </w:tcPr>
          <w:p>
            <w:pPr>
              <w:widowControl/>
              <w:spacing w:line="240" w:lineRule="exact"/>
              <w:jc w:val="center"/>
              <w:rPr>
                <w:color w:val="auto"/>
                <w:kern w:val="0"/>
                <w:szCs w:val="21"/>
              </w:rPr>
            </w:pPr>
            <w:r>
              <w:rPr>
                <w:rFonts w:hint="eastAsia"/>
                <w:color w:val="auto"/>
                <w:kern w:val="0"/>
                <w:szCs w:val="21"/>
              </w:rPr>
              <w:t>其他资金</w:t>
            </w:r>
          </w:p>
        </w:tc>
        <w:tc>
          <w:tcPr>
            <w:tcW w:w="676" w:type="dxa"/>
            <w:noWrap/>
            <w:vAlign w:val="center"/>
          </w:tcPr>
          <w:p>
            <w:pPr>
              <w:widowControl/>
              <w:spacing w:line="240" w:lineRule="exact"/>
              <w:jc w:val="left"/>
              <w:rPr>
                <w:color w:val="auto"/>
                <w:kern w:val="0"/>
                <w:szCs w:val="21"/>
              </w:rPr>
            </w:pPr>
            <w:r>
              <w:rPr>
                <w:rFonts w:hint="eastAsia"/>
                <w:color w:val="auto"/>
                <w:kern w:val="0"/>
                <w:szCs w:val="21"/>
              </w:rPr>
              <w:t>　</w:t>
            </w:r>
          </w:p>
        </w:tc>
        <w:tc>
          <w:tcPr>
            <w:tcW w:w="846" w:type="dxa"/>
            <w:noWrap/>
            <w:vAlign w:val="center"/>
          </w:tcPr>
          <w:p>
            <w:pPr>
              <w:widowControl/>
              <w:spacing w:line="240" w:lineRule="exact"/>
              <w:jc w:val="left"/>
              <w:rPr>
                <w:color w:val="auto"/>
                <w:kern w:val="0"/>
                <w:szCs w:val="21"/>
              </w:rPr>
            </w:pPr>
            <w:r>
              <w:rPr>
                <w:rFonts w:hint="eastAsia"/>
                <w:color w:val="auto"/>
                <w:kern w:val="0"/>
                <w:szCs w:val="21"/>
              </w:rPr>
              <w:t>　</w:t>
            </w:r>
          </w:p>
        </w:tc>
        <w:tc>
          <w:tcPr>
            <w:tcW w:w="1505" w:type="dxa"/>
            <w:noWrap/>
            <w:vAlign w:val="center"/>
          </w:tcPr>
          <w:p>
            <w:pPr>
              <w:widowControl/>
              <w:spacing w:line="240" w:lineRule="exact"/>
              <w:jc w:val="left"/>
              <w:rPr>
                <w:color w:val="auto"/>
                <w:kern w:val="0"/>
                <w:szCs w:val="21"/>
              </w:rPr>
            </w:pPr>
            <w:r>
              <w:rPr>
                <w:rFonts w:hint="eastAsia"/>
                <w:color w:val="auto"/>
                <w:kern w:val="0"/>
                <w:szCs w:val="21"/>
              </w:rPr>
              <w:t>　</w:t>
            </w:r>
          </w:p>
        </w:tc>
        <w:tc>
          <w:tcPr>
            <w:tcW w:w="1901" w:type="dxa"/>
            <w:noWrap/>
            <w:vAlign w:val="center"/>
          </w:tcPr>
          <w:p>
            <w:pPr>
              <w:widowControl/>
              <w:spacing w:line="240" w:lineRule="exact"/>
              <w:jc w:val="left"/>
              <w:rPr>
                <w:color w:val="auto"/>
                <w:kern w:val="0"/>
                <w:szCs w:val="21"/>
              </w:rPr>
            </w:pPr>
            <w:r>
              <w:rPr>
                <w:rFonts w:hint="eastAsia"/>
                <w:color w:val="auto"/>
                <w:kern w:val="0"/>
                <w:szCs w:val="21"/>
              </w:rPr>
              <w:t>　</w:t>
            </w:r>
          </w:p>
        </w:tc>
        <w:tc>
          <w:tcPr>
            <w:tcW w:w="2428" w:type="dxa"/>
            <w:noWrap/>
            <w:vAlign w:val="center"/>
          </w:tcPr>
          <w:p>
            <w:pPr>
              <w:widowControl/>
              <w:spacing w:line="24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46" w:type="dxa"/>
            <w:vMerge w:val="restart"/>
            <w:noWrap/>
            <w:vAlign w:val="center"/>
          </w:tcPr>
          <w:p>
            <w:pPr>
              <w:widowControl/>
              <w:spacing w:line="240" w:lineRule="exact"/>
              <w:jc w:val="center"/>
              <w:rPr>
                <w:color w:val="auto"/>
                <w:kern w:val="0"/>
                <w:szCs w:val="21"/>
              </w:rPr>
            </w:pPr>
            <w:r>
              <w:rPr>
                <w:rFonts w:hint="eastAsia"/>
                <w:color w:val="auto"/>
                <w:kern w:val="0"/>
                <w:szCs w:val="21"/>
              </w:rPr>
              <w:t>财政拨款结构</w:t>
            </w:r>
          </w:p>
        </w:tc>
        <w:tc>
          <w:tcPr>
            <w:tcW w:w="912" w:type="dxa"/>
            <w:noWrap/>
            <w:vAlign w:val="center"/>
          </w:tcPr>
          <w:p>
            <w:pPr>
              <w:widowControl/>
              <w:spacing w:line="240" w:lineRule="exact"/>
              <w:jc w:val="center"/>
              <w:rPr>
                <w:color w:val="auto"/>
                <w:kern w:val="0"/>
                <w:szCs w:val="21"/>
              </w:rPr>
            </w:pPr>
            <w:r>
              <w:rPr>
                <w:rFonts w:hint="eastAsia"/>
                <w:color w:val="auto"/>
                <w:kern w:val="0"/>
                <w:szCs w:val="21"/>
              </w:rPr>
              <w:t>项目</w:t>
            </w:r>
          </w:p>
        </w:tc>
        <w:tc>
          <w:tcPr>
            <w:tcW w:w="676" w:type="dxa"/>
            <w:noWrap/>
            <w:vAlign w:val="center"/>
          </w:tcPr>
          <w:p>
            <w:pPr>
              <w:widowControl/>
              <w:spacing w:line="240" w:lineRule="exact"/>
              <w:jc w:val="center"/>
              <w:rPr>
                <w:color w:val="auto"/>
                <w:kern w:val="0"/>
                <w:szCs w:val="21"/>
              </w:rPr>
            </w:pPr>
            <w:r>
              <w:rPr>
                <w:rFonts w:hint="eastAsia"/>
                <w:color w:val="auto"/>
                <w:kern w:val="0"/>
                <w:szCs w:val="21"/>
              </w:rPr>
              <w:t>合计</w:t>
            </w:r>
          </w:p>
        </w:tc>
        <w:tc>
          <w:tcPr>
            <w:tcW w:w="846" w:type="dxa"/>
            <w:noWrap/>
            <w:vAlign w:val="center"/>
          </w:tcPr>
          <w:p>
            <w:pPr>
              <w:widowControl/>
              <w:spacing w:line="240" w:lineRule="exact"/>
              <w:jc w:val="center"/>
              <w:rPr>
                <w:color w:val="auto"/>
                <w:kern w:val="0"/>
                <w:szCs w:val="21"/>
              </w:rPr>
            </w:pPr>
            <w:r>
              <w:rPr>
                <w:rFonts w:hint="eastAsia"/>
                <w:color w:val="auto"/>
                <w:kern w:val="0"/>
                <w:szCs w:val="21"/>
              </w:rPr>
              <w:t>一般公共预算安排</w:t>
            </w:r>
          </w:p>
        </w:tc>
        <w:tc>
          <w:tcPr>
            <w:tcW w:w="1505" w:type="dxa"/>
            <w:noWrap/>
            <w:vAlign w:val="center"/>
          </w:tcPr>
          <w:p>
            <w:pPr>
              <w:widowControl/>
              <w:spacing w:line="240" w:lineRule="exact"/>
              <w:jc w:val="center"/>
              <w:rPr>
                <w:color w:val="auto"/>
                <w:kern w:val="0"/>
                <w:szCs w:val="21"/>
              </w:rPr>
            </w:pPr>
            <w:r>
              <w:rPr>
                <w:rFonts w:hint="eastAsia"/>
                <w:color w:val="auto"/>
                <w:kern w:val="0"/>
                <w:szCs w:val="21"/>
              </w:rPr>
              <w:t>政府性基金预算安排</w:t>
            </w:r>
          </w:p>
        </w:tc>
        <w:tc>
          <w:tcPr>
            <w:tcW w:w="1901" w:type="dxa"/>
            <w:noWrap/>
            <w:vAlign w:val="center"/>
          </w:tcPr>
          <w:p>
            <w:pPr>
              <w:widowControl/>
              <w:spacing w:line="240" w:lineRule="exact"/>
              <w:jc w:val="center"/>
              <w:rPr>
                <w:color w:val="auto"/>
                <w:kern w:val="0"/>
                <w:szCs w:val="21"/>
              </w:rPr>
            </w:pPr>
            <w:r>
              <w:rPr>
                <w:rFonts w:hint="eastAsia"/>
                <w:color w:val="auto"/>
                <w:kern w:val="0"/>
                <w:szCs w:val="21"/>
              </w:rPr>
              <w:t>国有资本经营预算安排</w:t>
            </w:r>
          </w:p>
        </w:tc>
        <w:tc>
          <w:tcPr>
            <w:tcW w:w="2428" w:type="dxa"/>
            <w:noWrap/>
            <w:vAlign w:val="center"/>
          </w:tcPr>
          <w:p>
            <w:pPr>
              <w:widowControl/>
              <w:spacing w:line="240" w:lineRule="exact"/>
              <w:jc w:val="center"/>
              <w:rPr>
                <w:color w:val="auto"/>
                <w:kern w:val="0"/>
                <w:szCs w:val="21"/>
              </w:rPr>
            </w:pPr>
            <w:r>
              <w:rPr>
                <w:rFonts w:hint="eastAsia"/>
                <w:color w:val="auto"/>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auto"/>
                <w:kern w:val="0"/>
                <w:szCs w:val="21"/>
              </w:rPr>
            </w:pPr>
          </w:p>
        </w:tc>
        <w:tc>
          <w:tcPr>
            <w:tcW w:w="912" w:type="dxa"/>
            <w:noWrap/>
            <w:vAlign w:val="center"/>
          </w:tcPr>
          <w:p>
            <w:pPr>
              <w:widowControl/>
              <w:spacing w:line="240" w:lineRule="exact"/>
              <w:jc w:val="center"/>
              <w:rPr>
                <w:color w:val="auto"/>
                <w:kern w:val="0"/>
                <w:szCs w:val="21"/>
              </w:rPr>
            </w:pPr>
            <w:r>
              <w:rPr>
                <w:rFonts w:hint="eastAsia"/>
                <w:color w:val="auto"/>
                <w:kern w:val="0"/>
                <w:szCs w:val="21"/>
              </w:rPr>
              <w:t>预算额</w:t>
            </w:r>
          </w:p>
          <w:p>
            <w:pPr>
              <w:widowControl/>
              <w:spacing w:line="240" w:lineRule="exact"/>
              <w:jc w:val="center"/>
              <w:rPr>
                <w:color w:val="auto"/>
                <w:kern w:val="0"/>
                <w:szCs w:val="21"/>
              </w:rPr>
            </w:pPr>
            <w:r>
              <w:rPr>
                <w:color w:val="auto"/>
                <w:kern w:val="0"/>
                <w:szCs w:val="21"/>
              </w:rPr>
              <w:t>(</w:t>
            </w:r>
            <w:r>
              <w:rPr>
                <w:rFonts w:hint="eastAsia"/>
                <w:color w:val="auto"/>
                <w:kern w:val="0"/>
                <w:szCs w:val="21"/>
              </w:rPr>
              <w:t>万元</w:t>
            </w:r>
            <w:r>
              <w:rPr>
                <w:color w:val="auto"/>
                <w:kern w:val="0"/>
                <w:szCs w:val="21"/>
              </w:rPr>
              <w:t>)</w:t>
            </w:r>
          </w:p>
        </w:tc>
        <w:tc>
          <w:tcPr>
            <w:tcW w:w="676" w:type="dxa"/>
            <w:noWrap/>
            <w:vAlign w:val="center"/>
          </w:tcPr>
          <w:p>
            <w:pPr>
              <w:widowControl/>
              <w:spacing w:line="240" w:lineRule="exact"/>
              <w:jc w:val="left"/>
              <w:rPr>
                <w:color w:val="auto"/>
                <w:kern w:val="0"/>
                <w:szCs w:val="21"/>
              </w:rPr>
            </w:pPr>
            <w:r>
              <w:rPr>
                <w:rFonts w:hint="eastAsia"/>
                <w:color w:val="auto"/>
                <w:kern w:val="0"/>
                <w:szCs w:val="21"/>
              </w:rPr>
              <w:t>　</w:t>
            </w:r>
          </w:p>
        </w:tc>
        <w:tc>
          <w:tcPr>
            <w:tcW w:w="846" w:type="dxa"/>
            <w:noWrap/>
            <w:vAlign w:val="center"/>
          </w:tcPr>
          <w:p>
            <w:pPr>
              <w:widowControl/>
              <w:spacing w:line="240" w:lineRule="exact"/>
              <w:jc w:val="left"/>
              <w:rPr>
                <w:rFonts w:hint="default" w:ascii="Times New Roman" w:hAnsi="Times New Roman" w:eastAsia="宋体" w:cs="Times New Roman"/>
                <w:color w:val="auto"/>
                <w:kern w:val="0"/>
                <w:sz w:val="21"/>
                <w:szCs w:val="21"/>
                <w:lang w:val="en-US" w:eastAsia="zh-CN" w:bidi="ar-SA"/>
              </w:rPr>
            </w:pPr>
            <w:r>
              <w:rPr>
                <w:rFonts w:hint="eastAsia"/>
                <w:color w:val="auto"/>
                <w:kern w:val="0"/>
                <w:szCs w:val="21"/>
              </w:rPr>
              <w:t>　</w:t>
            </w:r>
            <w:r>
              <w:rPr>
                <w:rFonts w:hint="eastAsia"/>
                <w:color w:val="auto"/>
                <w:kern w:val="0"/>
                <w:szCs w:val="21"/>
                <w:lang w:val="en-US" w:eastAsia="zh-CN"/>
              </w:rPr>
              <w:t>73.4</w:t>
            </w:r>
          </w:p>
        </w:tc>
        <w:tc>
          <w:tcPr>
            <w:tcW w:w="1505" w:type="dxa"/>
            <w:noWrap/>
            <w:vAlign w:val="center"/>
          </w:tcPr>
          <w:p>
            <w:pPr>
              <w:widowControl/>
              <w:spacing w:line="240" w:lineRule="exact"/>
              <w:jc w:val="left"/>
              <w:rPr>
                <w:color w:val="auto"/>
                <w:kern w:val="0"/>
                <w:szCs w:val="21"/>
              </w:rPr>
            </w:pPr>
            <w:r>
              <w:rPr>
                <w:rFonts w:hint="eastAsia"/>
                <w:color w:val="auto"/>
                <w:kern w:val="0"/>
                <w:szCs w:val="21"/>
              </w:rPr>
              <w:t>　</w:t>
            </w:r>
          </w:p>
        </w:tc>
        <w:tc>
          <w:tcPr>
            <w:tcW w:w="1901" w:type="dxa"/>
            <w:noWrap/>
            <w:vAlign w:val="center"/>
          </w:tcPr>
          <w:p>
            <w:pPr>
              <w:widowControl/>
              <w:spacing w:line="240" w:lineRule="exact"/>
              <w:jc w:val="left"/>
              <w:rPr>
                <w:color w:val="auto"/>
                <w:kern w:val="0"/>
                <w:szCs w:val="21"/>
              </w:rPr>
            </w:pPr>
            <w:r>
              <w:rPr>
                <w:rFonts w:hint="eastAsia"/>
                <w:color w:val="auto"/>
                <w:kern w:val="0"/>
                <w:szCs w:val="21"/>
              </w:rPr>
              <w:t>　</w:t>
            </w:r>
          </w:p>
        </w:tc>
        <w:tc>
          <w:tcPr>
            <w:tcW w:w="2428" w:type="dxa"/>
            <w:noWrap/>
            <w:vAlign w:val="center"/>
          </w:tcPr>
          <w:p>
            <w:pPr>
              <w:widowControl/>
              <w:spacing w:line="24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auto"/>
                <w:kern w:val="0"/>
                <w:szCs w:val="21"/>
              </w:rPr>
            </w:pPr>
          </w:p>
        </w:tc>
        <w:tc>
          <w:tcPr>
            <w:tcW w:w="912" w:type="dxa"/>
            <w:noWrap/>
            <w:vAlign w:val="center"/>
          </w:tcPr>
          <w:p>
            <w:pPr>
              <w:widowControl/>
              <w:spacing w:line="240" w:lineRule="exact"/>
              <w:jc w:val="center"/>
              <w:rPr>
                <w:color w:val="auto"/>
                <w:kern w:val="0"/>
                <w:szCs w:val="21"/>
              </w:rPr>
            </w:pPr>
            <w:r>
              <w:rPr>
                <w:rFonts w:hint="eastAsia"/>
                <w:color w:val="auto"/>
                <w:kern w:val="0"/>
                <w:szCs w:val="21"/>
              </w:rPr>
              <w:t>执行额</w:t>
            </w:r>
          </w:p>
          <w:p>
            <w:pPr>
              <w:widowControl/>
              <w:spacing w:line="240" w:lineRule="exact"/>
              <w:jc w:val="center"/>
              <w:rPr>
                <w:color w:val="auto"/>
                <w:kern w:val="0"/>
                <w:szCs w:val="21"/>
              </w:rPr>
            </w:pPr>
            <w:r>
              <w:rPr>
                <w:color w:val="auto"/>
                <w:kern w:val="0"/>
                <w:szCs w:val="21"/>
              </w:rPr>
              <w:t>(</w:t>
            </w:r>
            <w:r>
              <w:rPr>
                <w:rFonts w:hint="eastAsia"/>
                <w:color w:val="auto"/>
                <w:kern w:val="0"/>
                <w:szCs w:val="21"/>
              </w:rPr>
              <w:t>万元</w:t>
            </w:r>
            <w:r>
              <w:rPr>
                <w:color w:val="auto"/>
                <w:kern w:val="0"/>
                <w:szCs w:val="21"/>
              </w:rPr>
              <w:t>)</w:t>
            </w:r>
          </w:p>
        </w:tc>
        <w:tc>
          <w:tcPr>
            <w:tcW w:w="676" w:type="dxa"/>
            <w:noWrap/>
            <w:vAlign w:val="center"/>
          </w:tcPr>
          <w:p>
            <w:pPr>
              <w:widowControl/>
              <w:spacing w:line="240" w:lineRule="exact"/>
              <w:jc w:val="left"/>
              <w:rPr>
                <w:color w:val="auto"/>
                <w:kern w:val="0"/>
                <w:szCs w:val="21"/>
              </w:rPr>
            </w:pPr>
            <w:r>
              <w:rPr>
                <w:rFonts w:hint="eastAsia"/>
                <w:color w:val="auto"/>
                <w:kern w:val="0"/>
                <w:szCs w:val="21"/>
              </w:rPr>
              <w:t>　</w:t>
            </w:r>
          </w:p>
        </w:tc>
        <w:tc>
          <w:tcPr>
            <w:tcW w:w="846" w:type="dxa"/>
            <w:noWrap/>
            <w:vAlign w:val="center"/>
          </w:tcPr>
          <w:p>
            <w:pPr>
              <w:widowControl/>
              <w:spacing w:line="240" w:lineRule="exact"/>
              <w:jc w:val="left"/>
              <w:rPr>
                <w:color w:val="auto"/>
                <w:kern w:val="0"/>
                <w:szCs w:val="21"/>
              </w:rPr>
            </w:pPr>
            <w:r>
              <w:rPr>
                <w:rFonts w:hint="eastAsia"/>
                <w:color w:val="auto"/>
                <w:kern w:val="0"/>
                <w:szCs w:val="21"/>
              </w:rPr>
              <w:t>　</w:t>
            </w:r>
          </w:p>
        </w:tc>
        <w:tc>
          <w:tcPr>
            <w:tcW w:w="1505" w:type="dxa"/>
            <w:noWrap/>
            <w:vAlign w:val="center"/>
          </w:tcPr>
          <w:p>
            <w:pPr>
              <w:widowControl/>
              <w:spacing w:line="240" w:lineRule="exact"/>
              <w:jc w:val="left"/>
              <w:rPr>
                <w:color w:val="auto"/>
                <w:kern w:val="0"/>
                <w:szCs w:val="21"/>
              </w:rPr>
            </w:pPr>
            <w:r>
              <w:rPr>
                <w:rFonts w:hint="eastAsia"/>
                <w:color w:val="auto"/>
                <w:kern w:val="0"/>
                <w:szCs w:val="21"/>
              </w:rPr>
              <w:t>　</w:t>
            </w:r>
          </w:p>
        </w:tc>
        <w:tc>
          <w:tcPr>
            <w:tcW w:w="1901" w:type="dxa"/>
            <w:noWrap/>
            <w:vAlign w:val="center"/>
          </w:tcPr>
          <w:p>
            <w:pPr>
              <w:widowControl/>
              <w:spacing w:line="240" w:lineRule="exact"/>
              <w:jc w:val="left"/>
              <w:rPr>
                <w:color w:val="auto"/>
                <w:kern w:val="0"/>
                <w:szCs w:val="21"/>
              </w:rPr>
            </w:pPr>
            <w:r>
              <w:rPr>
                <w:rFonts w:hint="eastAsia"/>
                <w:color w:val="auto"/>
                <w:kern w:val="0"/>
                <w:szCs w:val="21"/>
              </w:rPr>
              <w:t>　</w:t>
            </w:r>
          </w:p>
        </w:tc>
        <w:tc>
          <w:tcPr>
            <w:tcW w:w="2428" w:type="dxa"/>
            <w:noWrap/>
            <w:vAlign w:val="center"/>
          </w:tcPr>
          <w:p>
            <w:pPr>
              <w:widowControl/>
              <w:spacing w:line="24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67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46"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5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35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32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1588"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目标</w:t>
            </w:r>
            <w:r>
              <w:rPr>
                <w:color w:val="000000"/>
                <w:kern w:val="0"/>
                <w:szCs w:val="21"/>
              </w:rPr>
              <w:t>1:</w:t>
            </w:r>
            <w:r>
              <w:rPr>
                <w:rFonts w:hint="eastAsia"/>
                <w:color w:val="000000"/>
                <w:kern w:val="0"/>
                <w:szCs w:val="21"/>
              </w:rPr>
              <w:t>为20</w:t>
            </w:r>
            <w:r>
              <w:rPr>
                <w:rFonts w:hint="eastAsia"/>
                <w:color w:val="000000"/>
                <w:kern w:val="0"/>
                <w:szCs w:val="21"/>
                <w:lang w:val="en-US" w:eastAsia="zh-CN"/>
              </w:rPr>
              <w:t>20</w:t>
            </w:r>
            <w:r>
              <w:rPr>
                <w:rFonts w:hint="eastAsia"/>
                <w:color w:val="000000"/>
                <w:kern w:val="0"/>
                <w:szCs w:val="21"/>
              </w:rPr>
              <w:t>年专项债券项目编制“一案两书”</w:t>
            </w:r>
          </w:p>
        </w:tc>
        <w:tc>
          <w:tcPr>
            <w:tcW w:w="2351"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rPr>
              <w:t>为20</w:t>
            </w:r>
            <w:r>
              <w:rPr>
                <w:rFonts w:hint="eastAsia"/>
                <w:color w:val="000000"/>
                <w:kern w:val="0"/>
                <w:szCs w:val="21"/>
                <w:lang w:val="en-US" w:eastAsia="zh-CN"/>
              </w:rPr>
              <w:t>20</w:t>
            </w:r>
            <w:r>
              <w:rPr>
                <w:rFonts w:hint="eastAsia"/>
                <w:color w:val="000000"/>
                <w:kern w:val="0"/>
                <w:szCs w:val="21"/>
              </w:rPr>
              <w:t>年专项债券项目编制“一案两书”</w:t>
            </w:r>
          </w:p>
        </w:tc>
        <w:tc>
          <w:tcPr>
            <w:tcW w:w="4329" w:type="dxa"/>
            <w:gridSpan w:val="2"/>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1588"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2:</w:t>
            </w:r>
            <w:r>
              <w:rPr>
                <w:rFonts w:hint="eastAsia"/>
                <w:color w:val="000000"/>
                <w:kern w:val="0"/>
                <w:szCs w:val="21"/>
              </w:rPr>
              <w:t>协助主管部门报省财政厅评审</w:t>
            </w:r>
          </w:p>
        </w:tc>
        <w:tc>
          <w:tcPr>
            <w:tcW w:w="2351" w:type="dxa"/>
            <w:gridSpan w:val="2"/>
            <w:noWrap/>
            <w:vAlign w:val="center"/>
          </w:tcPr>
          <w:p>
            <w:pPr>
              <w:widowControl/>
              <w:spacing w:line="240" w:lineRule="exact"/>
              <w:jc w:val="left"/>
              <w:rPr>
                <w:color w:val="000000"/>
                <w:kern w:val="0"/>
                <w:szCs w:val="21"/>
              </w:rPr>
            </w:pPr>
            <w:r>
              <w:rPr>
                <w:rFonts w:hint="eastAsia"/>
                <w:color w:val="000000"/>
                <w:kern w:val="0"/>
                <w:szCs w:val="21"/>
              </w:rPr>
              <w:t>协助主管部门报省财政厅评审</w:t>
            </w:r>
          </w:p>
        </w:tc>
        <w:tc>
          <w:tcPr>
            <w:tcW w:w="4329"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1588"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w:t>
            </w:r>
            <w:r>
              <w:rPr>
                <w:color w:val="000000"/>
                <w:kern w:val="0"/>
                <w:szCs w:val="21"/>
              </w:rPr>
              <w:t>.</w:t>
            </w:r>
          </w:p>
        </w:tc>
        <w:tc>
          <w:tcPr>
            <w:tcW w:w="235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329"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1588"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35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329"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1588"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35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329"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46"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912"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676"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846"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505"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901"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428"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lang w:eastAsia="zh-CN"/>
              </w:rPr>
              <w:t>完成拟申报项目方案编制</w:t>
            </w:r>
          </w:p>
        </w:tc>
        <w:tc>
          <w:tcPr>
            <w:tcW w:w="15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完成</w:t>
            </w:r>
            <w:r>
              <w:rPr>
                <w:rFonts w:hint="eastAsia"/>
                <w:color w:val="000000"/>
                <w:kern w:val="0"/>
                <w:szCs w:val="21"/>
                <w:lang w:val="en-US" w:eastAsia="zh-CN"/>
              </w:rPr>
              <w:t>11个</w:t>
            </w:r>
            <w:r>
              <w:rPr>
                <w:rFonts w:hint="eastAsia"/>
                <w:color w:val="000000"/>
                <w:kern w:val="0"/>
                <w:szCs w:val="21"/>
                <w:lang w:eastAsia="zh-CN"/>
              </w:rPr>
              <w:t>申报项目方案编制</w:t>
            </w:r>
          </w:p>
        </w:tc>
        <w:tc>
          <w:tcPr>
            <w:tcW w:w="242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指标</w:t>
            </w:r>
            <w:r>
              <w:rPr>
                <w:color w:val="000000"/>
                <w:kern w:val="0"/>
                <w:szCs w:val="21"/>
              </w:rPr>
              <w:t>1:</w:t>
            </w:r>
            <w:r>
              <w:rPr>
                <w:rFonts w:hint="eastAsia"/>
                <w:color w:val="000000"/>
                <w:kern w:val="0"/>
                <w:szCs w:val="21"/>
                <w:lang w:eastAsia="zh-CN"/>
              </w:rPr>
              <w:t>完成拟申报项目方案编制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lang w:eastAsia="zh-CN"/>
              </w:rPr>
              <w:t>完成拟申报项目法律意见书编制</w:t>
            </w:r>
          </w:p>
        </w:tc>
        <w:tc>
          <w:tcPr>
            <w:tcW w:w="150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11</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完成</w:t>
            </w:r>
            <w:r>
              <w:rPr>
                <w:rFonts w:hint="eastAsia"/>
                <w:color w:val="000000"/>
                <w:kern w:val="0"/>
                <w:szCs w:val="21"/>
                <w:lang w:val="en-US" w:eastAsia="zh-CN"/>
              </w:rPr>
              <w:t>11个</w:t>
            </w:r>
            <w:r>
              <w:rPr>
                <w:rFonts w:hint="eastAsia"/>
                <w:color w:val="000000"/>
                <w:kern w:val="0"/>
                <w:szCs w:val="21"/>
                <w:lang w:eastAsia="zh-CN"/>
              </w:rPr>
              <w:t>申报项目法律意见书编制</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lang w:eastAsia="zh-CN"/>
              </w:rPr>
              <w:t>完成拟申报项目法律意见书编制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lang w:eastAsia="zh-CN"/>
              </w:rPr>
              <w:t>完成拟申报项目财务评价报告编制</w:t>
            </w:r>
          </w:p>
        </w:tc>
        <w:tc>
          <w:tcPr>
            <w:tcW w:w="15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11</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完成</w:t>
            </w:r>
            <w:r>
              <w:rPr>
                <w:rFonts w:hint="eastAsia"/>
                <w:color w:val="000000"/>
                <w:kern w:val="0"/>
                <w:szCs w:val="21"/>
                <w:lang w:val="en-US" w:eastAsia="zh-CN"/>
              </w:rPr>
              <w:t>11个</w:t>
            </w:r>
            <w:r>
              <w:rPr>
                <w:rFonts w:hint="eastAsia"/>
                <w:color w:val="000000"/>
                <w:kern w:val="0"/>
                <w:szCs w:val="21"/>
                <w:lang w:eastAsia="zh-CN"/>
              </w:rPr>
              <w:t>申报项目财务评价报告编制</w:t>
            </w:r>
          </w:p>
        </w:tc>
        <w:tc>
          <w:tcPr>
            <w:tcW w:w="2428" w:type="dxa"/>
            <w:noWrap/>
            <w:vAlign w:val="center"/>
          </w:tcPr>
          <w:p>
            <w:pPr>
              <w:widowControl/>
              <w:spacing w:line="240" w:lineRule="exact"/>
              <w:jc w:val="left"/>
              <w:rPr>
                <w:color w:val="000000"/>
                <w:kern w:val="0"/>
                <w:szCs w:val="21"/>
              </w:rPr>
            </w:pPr>
            <w:r>
              <w:rPr>
                <w:rFonts w:hint="eastAsia"/>
                <w:color w:val="000000"/>
                <w:kern w:val="0"/>
                <w:szCs w:val="21"/>
                <w:lang w:eastAsia="zh-CN"/>
              </w:rPr>
              <w:t>完成拟申报项目财务评价报告编制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 xml:space="preserve"> </w:t>
            </w:r>
            <w:r>
              <w:rPr>
                <w:rFonts w:hint="eastAsia"/>
                <w:color w:val="000000"/>
                <w:kern w:val="0"/>
                <w:szCs w:val="21"/>
                <w:lang w:eastAsia="zh-CN"/>
              </w:rPr>
              <w:t>通过省财政厅专家评审进入备选库</w:t>
            </w:r>
          </w:p>
        </w:tc>
        <w:tc>
          <w:tcPr>
            <w:tcW w:w="1505" w:type="dxa"/>
            <w:noWrap/>
            <w:vAlign w:val="center"/>
          </w:tcPr>
          <w:p>
            <w:pPr>
              <w:widowControl/>
              <w:spacing w:line="240" w:lineRule="exact"/>
              <w:jc w:val="left"/>
              <w:rPr>
                <w:rFonts w:hint="default" w:eastAsia="宋体"/>
                <w:color w:val="000000"/>
                <w:kern w:val="0"/>
                <w:szCs w:val="21"/>
                <w:highlight w:val="yellow"/>
                <w:lang w:val="en-US" w:eastAsia="zh-CN"/>
              </w:rPr>
            </w:pPr>
            <w:r>
              <w:rPr>
                <w:rFonts w:hint="eastAsia"/>
                <w:color w:val="000000"/>
                <w:kern w:val="0"/>
                <w:szCs w:val="21"/>
              </w:rPr>
              <w:t>　</w:t>
            </w:r>
            <w:r>
              <w:rPr>
                <w:rFonts w:hint="eastAsia"/>
                <w:color w:val="000000"/>
                <w:kern w:val="0"/>
                <w:szCs w:val="21"/>
                <w:lang w:val="en-US" w:eastAsia="zh-CN"/>
              </w:rPr>
              <w:t>11</w:t>
            </w:r>
          </w:p>
        </w:tc>
        <w:tc>
          <w:tcPr>
            <w:tcW w:w="1901" w:type="dxa"/>
            <w:noWrap/>
            <w:vAlign w:val="center"/>
          </w:tcPr>
          <w:p>
            <w:pPr>
              <w:widowControl/>
              <w:spacing w:line="240" w:lineRule="exact"/>
              <w:jc w:val="left"/>
              <w:rPr>
                <w:rFonts w:hint="eastAsia" w:eastAsia="宋体"/>
                <w:color w:val="000000"/>
                <w:kern w:val="0"/>
                <w:szCs w:val="21"/>
                <w:highlight w:val="yellow"/>
                <w:lang w:val="en-US" w:eastAsia="zh-CN"/>
              </w:rPr>
            </w:pPr>
            <w:r>
              <w:rPr>
                <w:rFonts w:hint="eastAsia"/>
                <w:color w:val="000000"/>
                <w:kern w:val="0"/>
                <w:szCs w:val="21"/>
              </w:rPr>
              <w:t>　</w:t>
            </w:r>
            <w:r>
              <w:rPr>
                <w:rFonts w:hint="eastAsia"/>
                <w:color w:val="000000"/>
                <w:kern w:val="0"/>
                <w:szCs w:val="21"/>
                <w:lang w:val="en-US" w:eastAsia="zh-CN"/>
              </w:rPr>
              <w:t>11个项目</w:t>
            </w:r>
            <w:r>
              <w:rPr>
                <w:rFonts w:hint="eastAsia"/>
                <w:color w:val="000000"/>
                <w:kern w:val="0"/>
                <w:szCs w:val="21"/>
                <w:lang w:eastAsia="zh-CN"/>
              </w:rPr>
              <w:t>通过省财政厅专家评审进入备选库</w:t>
            </w:r>
          </w:p>
        </w:tc>
        <w:tc>
          <w:tcPr>
            <w:tcW w:w="2428" w:type="dxa"/>
            <w:noWrap/>
            <w:vAlign w:val="center"/>
          </w:tcPr>
          <w:p>
            <w:pPr>
              <w:widowControl/>
              <w:spacing w:line="240" w:lineRule="exact"/>
              <w:jc w:val="left"/>
              <w:rPr>
                <w:color w:val="000000"/>
                <w:kern w:val="0"/>
                <w:szCs w:val="21"/>
                <w:highlight w:val="yellow"/>
              </w:rPr>
            </w:pPr>
            <w:r>
              <w:rPr>
                <w:rFonts w:hint="eastAsia"/>
                <w:color w:val="000000"/>
                <w:kern w:val="0"/>
                <w:szCs w:val="21"/>
              </w:rPr>
              <w:t>指标</w:t>
            </w:r>
            <w:r>
              <w:rPr>
                <w:color w:val="000000"/>
                <w:kern w:val="0"/>
                <w:szCs w:val="21"/>
              </w:rPr>
              <w:t>1:</w:t>
            </w:r>
            <w:r>
              <w:rPr>
                <w:rFonts w:hint="eastAsia"/>
                <w:color w:val="000000"/>
                <w:kern w:val="0"/>
                <w:szCs w:val="21"/>
              </w:rPr>
              <w:t xml:space="preserve"> </w:t>
            </w:r>
            <w:r>
              <w:rPr>
                <w:rFonts w:hint="eastAsia"/>
                <w:color w:val="000000"/>
                <w:kern w:val="0"/>
                <w:szCs w:val="21"/>
                <w:lang w:eastAsia="zh-CN"/>
              </w:rPr>
              <w:t>通过省财政厅专家评审进入备选库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190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24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05" w:type="dxa"/>
            <w:noWrap/>
            <w:vAlign w:val="center"/>
          </w:tcPr>
          <w:p>
            <w:pPr>
              <w:widowControl/>
              <w:spacing w:line="240" w:lineRule="exact"/>
              <w:jc w:val="left"/>
              <w:rPr>
                <w:rFonts w:hint="default" w:eastAsia="宋体"/>
                <w:color w:val="000000"/>
                <w:kern w:val="0"/>
                <w:szCs w:val="21"/>
                <w:lang w:val="en-US" w:eastAsia="zh-CN"/>
              </w:rPr>
            </w:pPr>
          </w:p>
        </w:tc>
        <w:tc>
          <w:tcPr>
            <w:tcW w:w="1901" w:type="dxa"/>
            <w:noWrap/>
            <w:vAlign w:val="center"/>
          </w:tcPr>
          <w:p>
            <w:pPr>
              <w:widowControl/>
              <w:spacing w:line="240" w:lineRule="exact"/>
              <w:jc w:val="left"/>
              <w:rPr>
                <w:rFonts w:hint="default" w:eastAsia="宋体"/>
                <w:color w:val="000000"/>
                <w:kern w:val="0"/>
                <w:szCs w:val="21"/>
                <w:lang w:val="en-US" w:eastAsia="zh-CN"/>
              </w:rPr>
            </w:pPr>
          </w:p>
        </w:tc>
        <w:tc>
          <w:tcPr>
            <w:tcW w:w="2428" w:type="dxa"/>
            <w:noWrap/>
            <w:vAlign w:val="center"/>
          </w:tcPr>
          <w:p>
            <w:pPr>
              <w:widowControl/>
              <w:spacing w:line="240" w:lineRule="exact"/>
              <w:jc w:val="left"/>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4"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5" w:hRule="atLeast"/>
          <w:jc w:val="center"/>
        </w:trPr>
        <w:tc>
          <w:tcPr>
            <w:tcW w:w="846"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912"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05" w:type="dxa"/>
            <w:noWrap/>
            <w:vAlign w:val="center"/>
          </w:tcPr>
          <w:p>
            <w:pPr>
              <w:widowControl/>
              <w:spacing w:line="240" w:lineRule="exact"/>
              <w:jc w:val="left"/>
              <w:rPr>
                <w:color w:val="000000"/>
                <w:kern w:val="0"/>
                <w:szCs w:val="21"/>
              </w:rPr>
            </w:pPr>
            <w:r>
              <w:rPr>
                <w:rFonts w:hint="eastAsia" w:ascii="宋体" w:hAnsi="宋体" w:eastAsia="宋体" w:cs="宋体"/>
                <w:i w:val="0"/>
                <w:iCs w:val="0"/>
                <w:color w:val="auto"/>
                <w:sz w:val="22"/>
                <w:szCs w:val="22"/>
                <w:u w:val="none"/>
                <w:lang w:val="en-US" w:eastAsia="zh-CN"/>
              </w:rPr>
              <w:t>提高</w:t>
            </w:r>
            <w:r>
              <w:rPr>
                <w:rFonts w:hint="eastAsia" w:ascii="宋体" w:hAnsi="宋体" w:eastAsia="宋体" w:cs="宋体"/>
                <w:i w:val="0"/>
                <w:iCs w:val="0"/>
                <w:color w:val="auto"/>
                <w:sz w:val="22"/>
                <w:szCs w:val="22"/>
                <w:u w:val="none"/>
                <w:lang w:eastAsia="zh-CN"/>
              </w:rPr>
              <w:t>乐至县经济发展的影响</w:t>
            </w:r>
          </w:p>
        </w:tc>
        <w:tc>
          <w:tcPr>
            <w:tcW w:w="1901" w:type="dxa"/>
            <w:noWrap/>
            <w:vAlign w:val="center"/>
          </w:tcPr>
          <w:p>
            <w:pPr>
              <w:widowControl/>
              <w:spacing w:line="240" w:lineRule="exact"/>
              <w:jc w:val="left"/>
              <w:rPr>
                <w:color w:val="000000"/>
                <w:kern w:val="0"/>
                <w:szCs w:val="21"/>
              </w:rPr>
            </w:pPr>
            <w:r>
              <w:rPr>
                <w:rFonts w:hint="eastAsia" w:ascii="宋体" w:hAnsi="宋体" w:eastAsia="宋体" w:cs="宋体"/>
                <w:i w:val="0"/>
                <w:iCs w:val="0"/>
                <w:color w:val="auto"/>
                <w:sz w:val="22"/>
                <w:szCs w:val="22"/>
                <w:u w:val="none"/>
                <w:lang w:val="en-US" w:eastAsia="zh-CN"/>
              </w:rPr>
              <w:t>提高</w:t>
            </w:r>
            <w:r>
              <w:rPr>
                <w:rFonts w:hint="eastAsia" w:ascii="宋体" w:hAnsi="宋体" w:eastAsia="宋体" w:cs="宋体"/>
                <w:i w:val="0"/>
                <w:iCs w:val="0"/>
                <w:color w:val="auto"/>
                <w:sz w:val="22"/>
                <w:szCs w:val="22"/>
                <w:u w:val="none"/>
                <w:lang w:eastAsia="zh-CN"/>
              </w:rPr>
              <w:t>乐至县经济发展的影响</w:t>
            </w:r>
          </w:p>
        </w:tc>
        <w:tc>
          <w:tcPr>
            <w:tcW w:w="24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2"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rFonts w:hint="default"/>
                <w:color w:val="000000"/>
                <w:kern w:val="0"/>
                <w:szCs w:val="21"/>
                <w:lang w:val="en-US"/>
              </w:rPr>
            </w:pPr>
          </w:p>
        </w:tc>
        <w:tc>
          <w:tcPr>
            <w:tcW w:w="1901" w:type="dxa"/>
            <w:noWrap/>
            <w:vAlign w:val="center"/>
          </w:tcPr>
          <w:p>
            <w:pPr>
              <w:widowControl/>
              <w:spacing w:line="240" w:lineRule="exact"/>
              <w:jc w:val="left"/>
              <w:rPr>
                <w:color w:val="000000"/>
                <w:kern w:val="0"/>
                <w:szCs w:val="21"/>
              </w:rPr>
            </w:pPr>
          </w:p>
        </w:tc>
        <w:tc>
          <w:tcPr>
            <w:tcW w:w="2428" w:type="dxa"/>
            <w:noWrap/>
            <w:vAlign w:val="center"/>
          </w:tcPr>
          <w:p>
            <w:pPr>
              <w:widowControl/>
              <w:spacing w:line="240" w:lineRule="exact"/>
              <w:jc w:val="left"/>
              <w:rPr>
                <w:rFonts w:hint="eastAsia" w:eastAsia="宋体"/>
                <w:color w:val="000000"/>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5"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05" w:type="dxa"/>
            <w:noWrap/>
            <w:vAlign w:val="center"/>
          </w:tcPr>
          <w:p>
            <w:pPr>
              <w:widowControl/>
              <w:spacing w:line="240" w:lineRule="exact"/>
              <w:jc w:val="left"/>
              <w:rPr>
                <w:rFonts w:hint="default" w:eastAsia="宋体"/>
                <w:color w:val="000000"/>
                <w:kern w:val="0"/>
                <w:szCs w:val="21"/>
                <w:lang w:val="en-US" w:eastAsia="zh-CN"/>
              </w:rPr>
            </w:pPr>
          </w:p>
        </w:tc>
        <w:tc>
          <w:tcPr>
            <w:tcW w:w="1901" w:type="dxa"/>
            <w:noWrap/>
            <w:vAlign w:val="center"/>
          </w:tcPr>
          <w:p>
            <w:pPr>
              <w:widowControl/>
              <w:spacing w:line="240" w:lineRule="exact"/>
              <w:jc w:val="left"/>
              <w:rPr>
                <w:color w:val="000000"/>
                <w:kern w:val="0"/>
                <w:szCs w:val="21"/>
              </w:rPr>
            </w:pPr>
          </w:p>
        </w:tc>
        <w:tc>
          <w:tcPr>
            <w:tcW w:w="24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05" w:type="dxa"/>
            <w:noWrap/>
            <w:vAlign w:val="center"/>
          </w:tcPr>
          <w:p>
            <w:pPr>
              <w:widowControl/>
              <w:spacing w:line="240" w:lineRule="exact"/>
              <w:jc w:val="left"/>
              <w:rPr>
                <w:color w:val="000000"/>
                <w:kern w:val="0"/>
                <w:szCs w:val="21"/>
              </w:rPr>
            </w:pP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带动乐至县可持续发展</w:t>
            </w:r>
          </w:p>
        </w:tc>
        <w:tc>
          <w:tcPr>
            <w:tcW w:w="1901" w:type="dxa"/>
            <w:noWrap/>
            <w:vAlign w:val="center"/>
          </w:tcPr>
          <w:p>
            <w:pPr>
              <w:widowControl/>
              <w:spacing w:line="240" w:lineRule="exact"/>
              <w:jc w:val="left"/>
              <w:rPr>
                <w:color w:val="000000"/>
                <w:kern w:val="0"/>
                <w:szCs w:val="21"/>
              </w:rPr>
            </w:pPr>
            <w:r>
              <w:rPr>
                <w:rFonts w:hint="eastAsia"/>
                <w:color w:val="000000"/>
                <w:kern w:val="0"/>
                <w:szCs w:val="21"/>
                <w:lang w:val="en-US" w:eastAsia="zh-CN"/>
              </w:rPr>
              <w:t>带动乐至县可持续发展</w:t>
            </w:r>
          </w:p>
        </w:tc>
        <w:tc>
          <w:tcPr>
            <w:tcW w:w="24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676"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5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业主满意度90%</w:t>
            </w:r>
          </w:p>
        </w:tc>
        <w:tc>
          <w:tcPr>
            <w:tcW w:w="1901"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业主满意度90%</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noWrap w:val="0"/>
            <w:vAlign w:val="center"/>
          </w:tcPr>
          <w:p>
            <w:pPr>
              <w:widowControl/>
              <w:spacing w:line="240" w:lineRule="exact"/>
              <w:jc w:val="left"/>
              <w:rPr>
                <w:color w:val="000000"/>
                <w:kern w:val="0"/>
                <w:szCs w:val="21"/>
              </w:rPr>
            </w:pPr>
          </w:p>
        </w:tc>
        <w:tc>
          <w:tcPr>
            <w:tcW w:w="912" w:type="dxa"/>
            <w:vMerge w:val="continue"/>
            <w:noWrap w:val="0"/>
            <w:vAlign w:val="center"/>
          </w:tcPr>
          <w:p>
            <w:pPr>
              <w:widowControl/>
              <w:spacing w:line="240" w:lineRule="exact"/>
              <w:jc w:val="left"/>
              <w:rPr>
                <w:color w:val="000000"/>
                <w:kern w:val="0"/>
                <w:szCs w:val="21"/>
              </w:rPr>
            </w:pPr>
          </w:p>
        </w:tc>
        <w:tc>
          <w:tcPr>
            <w:tcW w:w="676" w:type="dxa"/>
            <w:vMerge w:val="continue"/>
            <w:noWrap w:val="0"/>
            <w:vAlign w:val="center"/>
          </w:tcPr>
          <w:p>
            <w:pPr>
              <w:widowControl/>
              <w:spacing w:line="240" w:lineRule="exact"/>
              <w:jc w:val="left"/>
              <w:rPr>
                <w:color w:val="000000"/>
                <w:kern w:val="0"/>
                <w:szCs w:val="21"/>
              </w:rPr>
            </w:pPr>
          </w:p>
        </w:tc>
        <w:tc>
          <w:tcPr>
            <w:tcW w:w="846"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46"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912"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676"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846"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50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901"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2428"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
      <w:pPr>
        <w:pStyle w:val="2"/>
        <w:rPr>
          <w:rFonts w:hint="eastAsia"/>
        </w:rPr>
      </w:pPr>
    </w:p>
    <w:p>
      <w:pPr>
        <w:rPr>
          <w:rFonts w:hint="eastAsia"/>
        </w:rPr>
      </w:pPr>
    </w:p>
    <w:p>
      <w:pPr>
        <w:pStyle w:val="2"/>
        <w:rPr>
          <w:rFonts w:hint="eastAsia"/>
        </w:rPr>
      </w:pPr>
    </w:p>
    <w:p>
      <w:pPr>
        <w:rPr>
          <w:rFonts w:hint="eastAsia"/>
        </w:rPr>
      </w:pPr>
    </w:p>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非税收入征收管理费</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580" w:lineRule="exact"/>
        <w:jc w:val="center"/>
        <w:rPr>
          <w:rFonts w:eastAsia="方正黑体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pStyle w:val="7"/>
        <w:spacing w:line="620" w:lineRule="exact"/>
        <w:ind w:firstLine="627" w:firstLineChars="196"/>
        <w:rPr>
          <w:rFonts w:hint="eastAsia" w:eastAsia="方正仿宋简体"/>
          <w:sz w:val="32"/>
          <w:szCs w:val="32"/>
        </w:rPr>
      </w:pPr>
      <w:r>
        <w:rPr>
          <w:rFonts w:hint="eastAsia" w:eastAsia="方正仿宋简体"/>
          <w:sz w:val="32"/>
          <w:szCs w:val="32"/>
          <w:lang w:val="en-US" w:eastAsia="zh-CN"/>
        </w:rPr>
        <w:t>乐至县财政局职能职责:</w:t>
      </w:r>
      <w:r>
        <w:rPr>
          <w:rFonts w:hint="eastAsia" w:eastAsia="方正仿宋简体"/>
          <w:sz w:val="32"/>
          <w:szCs w:val="32"/>
        </w:rPr>
        <w:t>拟订全县财税发展战略、规划、政策和改革方案并组织实施。分析预测宏观经济形势，参与制定各项经济政策，提出运用财税政策实施宏观调控和综合平衡社会财力的建议；贯彻执行财政、税收、财务、会计管理的法律法规和规章；负责管理县级各项财政收支，指导监督乡镇财政收支。编制年度县级预决算草案并组织执行。组织制定经费开支标准、定额，审核批复县级部门（单位）年度预决算。受县政府委托，向县人大及其常委会报告财政预算、执行和决算等情况。负责县级预决算公开，指导监督乡镇财政预、决算编制、执行。负责全面实施预算绩效管理。</w:t>
      </w:r>
    </w:p>
    <w:p>
      <w:pPr>
        <w:numPr>
          <w:ilvl w:val="0"/>
          <w:numId w:val="10"/>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numPr>
          <w:ilvl w:val="0"/>
          <w:numId w:val="0"/>
        </w:numPr>
        <w:spacing w:line="580" w:lineRule="exact"/>
        <w:ind w:firstLine="640" w:firstLineChars="200"/>
        <w:rPr>
          <w:rFonts w:hint="eastAsia" w:eastAsia="方正仿宋简体"/>
          <w:sz w:val="32"/>
          <w:szCs w:val="32"/>
        </w:rPr>
      </w:pPr>
      <w:r>
        <w:rPr>
          <w:rFonts w:hint="eastAsia" w:eastAsia="方正仿宋简体"/>
          <w:sz w:val="32"/>
          <w:szCs w:val="32"/>
        </w:rPr>
        <w:t>乐至县财政局的202</w:t>
      </w:r>
      <w:r>
        <w:rPr>
          <w:rFonts w:hint="eastAsia" w:eastAsia="方正仿宋简体"/>
          <w:sz w:val="32"/>
          <w:szCs w:val="32"/>
          <w:lang w:val="en-US" w:eastAsia="zh-CN"/>
        </w:rPr>
        <w:t>3</w:t>
      </w:r>
      <w:r>
        <w:rPr>
          <w:rFonts w:hint="eastAsia" w:eastAsia="方正仿宋简体"/>
          <w:sz w:val="32"/>
          <w:szCs w:val="32"/>
        </w:rPr>
        <w:t>年</w:t>
      </w:r>
      <w:r>
        <w:rPr>
          <w:rFonts w:hint="eastAsia" w:eastAsia="方正仿宋简体"/>
          <w:sz w:val="32"/>
          <w:szCs w:val="32"/>
          <w:lang w:val="en-US" w:eastAsia="zh-CN"/>
        </w:rPr>
        <w:t>非税收入征收管理经费</w:t>
      </w:r>
      <w:r>
        <w:rPr>
          <w:rFonts w:hint="eastAsia" w:eastAsia="方正仿宋简体"/>
          <w:sz w:val="32"/>
          <w:szCs w:val="32"/>
        </w:rPr>
        <w:t>，由县级财政批复并投入专项资金</w:t>
      </w:r>
      <w:r>
        <w:rPr>
          <w:rFonts w:hint="eastAsia" w:eastAsia="方正仿宋简体"/>
          <w:sz w:val="32"/>
          <w:szCs w:val="32"/>
          <w:lang w:val="en-US" w:eastAsia="zh-CN"/>
        </w:rPr>
        <w:t>249.82</w:t>
      </w:r>
      <w:r>
        <w:rPr>
          <w:rFonts w:hint="eastAsia" w:eastAsia="方正仿宋简体"/>
          <w:sz w:val="32"/>
          <w:szCs w:val="32"/>
        </w:rPr>
        <w:t>万元。</w:t>
      </w:r>
    </w:p>
    <w:p>
      <w:pPr>
        <w:numPr>
          <w:ilvl w:val="0"/>
          <w:numId w:val="10"/>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w:t>
      </w:r>
    </w:p>
    <w:p>
      <w:pPr>
        <w:pStyle w:val="16"/>
        <w:spacing w:after="0" w:line="580" w:lineRule="atLeast"/>
        <w:ind w:left="0" w:leftChars="0" w:firstLine="640"/>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lang w:val="en-US" w:eastAsia="zh-CN"/>
        </w:rPr>
        <w:t>一是</w:t>
      </w:r>
      <w:r>
        <w:rPr>
          <w:rFonts w:hint="eastAsia" w:ascii="Times New Roman" w:hAnsi="Times New Roman" w:eastAsia="方正仿宋简体"/>
          <w:b/>
          <w:sz w:val="32"/>
          <w:szCs w:val="32"/>
          <w:highlight w:val="none"/>
        </w:rPr>
        <w:t>兜牢“三保”底线。</w:t>
      </w:r>
      <w:r>
        <w:rPr>
          <w:rFonts w:hint="eastAsia" w:ascii="Times New Roman" w:hAnsi="Times New Roman" w:eastAsia="方正仿宋简体"/>
          <w:sz w:val="32"/>
          <w:szCs w:val="32"/>
          <w:highlight w:val="none"/>
        </w:rPr>
        <w:t>坚持预算安排优先、预算下达优先、资金拨付优先原则，全力保障各项重点和民生工程支出，确保基本工资及离退休费、津贴补贴、绩效工资等刚性支出及时足额到位。</w:t>
      </w:r>
      <w:r>
        <w:rPr>
          <w:rFonts w:hint="eastAsia" w:ascii="仿宋_GB2312" w:hAnsi="仿宋_GB2312" w:eastAsia="仿宋_GB2312" w:cs="仿宋_GB2312"/>
          <w:sz w:val="32"/>
          <w:szCs w:val="32"/>
          <w:highlight w:val="none"/>
        </w:rPr>
        <w:t>二是</w:t>
      </w:r>
      <w:r>
        <w:rPr>
          <w:rFonts w:hint="eastAsia" w:ascii="Times New Roman" w:hAnsi="Times New Roman" w:eastAsia="方正仿宋简体"/>
          <w:b/>
          <w:sz w:val="32"/>
          <w:szCs w:val="32"/>
          <w:highlight w:val="none"/>
        </w:rPr>
        <w:t>深化财政改革。</w:t>
      </w:r>
      <w:r>
        <w:rPr>
          <w:rFonts w:hint="eastAsia" w:ascii="Times New Roman" w:hAnsi="Times New Roman" w:eastAsia="方正仿宋简体"/>
          <w:sz w:val="32"/>
          <w:szCs w:val="32"/>
          <w:highlight w:val="none"/>
          <w:lang w:val="en-US" w:eastAsia="zh-CN"/>
        </w:rPr>
        <w:t>召开2023年省级财政重点绩效评价工作部署会，</w:t>
      </w:r>
      <w:r>
        <w:rPr>
          <w:rFonts w:hint="eastAsia" w:ascii="Times New Roman" w:hAnsi="Times New Roman" w:eastAsia="方正仿宋简体"/>
          <w:sz w:val="32"/>
          <w:szCs w:val="32"/>
          <w:highlight w:val="none"/>
        </w:rPr>
        <w:t>相关简讯被省财政厅《川财快讯》采用</w:t>
      </w:r>
      <w:r>
        <w:rPr>
          <w:rFonts w:hint="eastAsia" w:ascii="Times New Roman" w:hAnsi="Times New Roman" w:eastAsia="方正仿宋简体"/>
          <w:sz w:val="32"/>
          <w:szCs w:val="32"/>
          <w:highlight w:val="none"/>
          <w:lang w:eastAsia="zh-CN"/>
        </w:rPr>
        <w:t>；</w:t>
      </w:r>
      <w:r>
        <w:rPr>
          <w:rFonts w:hint="eastAsia" w:ascii="Times New Roman" w:hAnsi="Times New Roman" w:eastAsia="方正仿宋简体"/>
          <w:sz w:val="32"/>
          <w:szCs w:val="32"/>
          <w:highlight w:val="none"/>
          <w:lang w:val="en-US" w:eastAsia="zh-CN"/>
        </w:rPr>
        <w:t>常态化开展事前绩效评估及绩效目标管理，截至目前审核项目绩效509个，涉及资金13.17亿元，累计节省财政资金2624万元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是</w:t>
      </w:r>
      <w:r>
        <w:rPr>
          <w:rFonts w:hint="eastAsia" w:ascii="Times New Roman" w:hAnsi="Times New Roman" w:eastAsia="方正仿宋简体" w:cs="Times New Roman"/>
          <w:b/>
          <w:sz w:val="32"/>
          <w:szCs w:val="32"/>
          <w:highlight w:val="none"/>
          <w:lang w:val="en-US" w:eastAsia="zh-CN"/>
        </w:rPr>
        <w:t>大力推进乡村振兴。</w:t>
      </w:r>
      <w:r>
        <w:rPr>
          <w:rFonts w:hint="eastAsia" w:ascii="Times New Roman" w:hAnsi="Times New Roman" w:eastAsia="方正仿宋简体"/>
          <w:sz w:val="32"/>
          <w:szCs w:val="32"/>
          <w:highlight w:val="none"/>
          <w:lang w:val="en-US" w:eastAsia="zh-CN"/>
        </w:rPr>
        <w:t>成功</w:t>
      </w:r>
      <w:r>
        <w:rPr>
          <w:rFonts w:hint="eastAsia" w:ascii="Times New Roman" w:hAnsi="Times New Roman" w:eastAsia="方正仿宋简体"/>
          <w:sz w:val="32"/>
          <w:szCs w:val="32"/>
          <w:highlight w:val="none"/>
        </w:rPr>
        <w:t>申报</w:t>
      </w:r>
      <w:r>
        <w:rPr>
          <w:rFonts w:ascii="Times New Roman" w:hAnsi="Times New Roman" w:eastAsia="方正仿宋简体"/>
          <w:sz w:val="32"/>
          <w:szCs w:val="32"/>
          <w:highlight w:val="none"/>
        </w:rPr>
        <w:t>2023</w:t>
      </w:r>
      <w:r>
        <w:rPr>
          <w:rFonts w:hint="eastAsia" w:ascii="Times New Roman" w:hAnsi="Times New Roman" w:eastAsia="方正仿宋简体"/>
          <w:sz w:val="32"/>
          <w:szCs w:val="32"/>
          <w:highlight w:val="none"/>
        </w:rPr>
        <w:t>年省美丽乡村建设试点县，争取上级补助资金</w:t>
      </w:r>
      <w:r>
        <w:rPr>
          <w:rFonts w:hint="eastAsia" w:ascii="Times New Roman" w:hAnsi="Times New Roman" w:eastAsia="方正仿宋简体"/>
          <w:sz w:val="32"/>
          <w:szCs w:val="32"/>
          <w:highlight w:val="none"/>
          <w:lang w:val="en-US" w:eastAsia="zh-CN"/>
        </w:rPr>
        <w:t>1540</w:t>
      </w:r>
      <w:r>
        <w:rPr>
          <w:rFonts w:hint="eastAsia" w:ascii="Times New Roman" w:hAnsi="Times New Roman" w:eastAsia="方正仿宋简体"/>
          <w:sz w:val="32"/>
          <w:szCs w:val="32"/>
          <w:highlight w:val="none"/>
        </w:rPr>
        <w:t>万元；会同县乡村振兴局编制《乐至县</w:t>
      </w:r>
      <w:r>
        <w:rPr>
          <w:rFonts w:ascii="Times New Roman" w:hAnsi="Times New Roman" w:eastAsia="方正仿宋简体"/>
          <w:sz w:val="32"/>
          <w:szCs w:val="32"/>
          <w:highlight w:val="none"/>
        </w:rPr>
        <w:t>2023</w:t>
      </w:r>
      <w:r>
        <w:rPr>
          <w:rFonts w:hint="eastAsia" w:ascii="Times New Roman" w:hAnsi="Times New Roman" w:eastAsia="方正仿宋简体"/>
          <w:sz w:val="32"/>
          <w:szCs w:val="32"/>
          <w:highlight w:val="none"/>
        </w:rPr>
        <w:t>年财政衔接推进乡村振兴项目实施方案》，投入各级财政资金</w:t>
      </w:r>
      <w:r>
        <w:rPr>
          <w:rFonts w:hint="eastAsia" w:ascii="Times New Roman" w:hAnsi="Times New Roman" w:eastAsia="方正仿宋简体"/>
          <w:sz w:val="32"/>
          <w:szCs w:val="32"/>
          <w:highlight w:val="none"/>
          <w:lang w:val="en-US" w:eastAsia="zh-CN"/>
        </w:rPr>
        <w:t>2</w:t>
      </w:r>
      <w:r>
        <w:rPr>
          <w:rFonts w:hint="eastAsia" w:ascii="Times New Roman" w:hAnsi="Times New Roman" w:eastAsia="方正仿宋简体"/>
          <w:sz w:val="32"/>
          <w:szCs w:val="32"/>
          <w:highlight w:val="none"/>
        </w:rPr>
        <w:t>亿元，以劳动镇粮油产业园区为重点，突出产业带动，持续巩固拓展脱贫攻坚成果同乡村振兴有效衔接。</w:t>
      </w:r>
    </w:p>
    <w:p>
      <w:pPr>
        <w:numPr>
          <w:ilvl w:val="0"/>
          <w:numId w:val="10"/>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w:t>
      </w:r>
    </w:p>
    <w:p>
      <w:pPr>
        <w:ind w:firstLine="480" w:firstLineChars="150"/>
        <w:rPr>
          <w:rFonts w:hint="eastAsia" w:eastAsia="方正仿宋简体"/>
          <w:sz w:val="32"/>
          <w:szCs w:val="32"/>
        </w:rPr>
      </w:pPr>
      <w:r>
        <w:rPr>
          <w:rFonts w:hint="eastAsia" w:eastAsia="方正仿宋简体"/>
          <w:sz w:val="32"/>
          <w:szCs w:val="32"/>
        </w:rPr>
        <w:t>（1）项目组织情况：为确保项目顺利实施，成立了由党组书记任组长，各分管领导为副组长，各业务股室负责人为成员的工作组。按照相关办法规定年初拟定工作计划，经党组审定后再实施。</w:t>
      </w:r>
    </w:p>
    <w:p>
      <w:pPr>
        <w:ind w:firstLine="480" w:firstLineChars="150"/>
        <w:rPr>
          <w:rFonts w:hint="eastAsia" w:eastAsia="方正仿宋简体"/>
          <w:sz w:val="32"/>
          <w:szCs w:val="32"/>
        </w:rPr>
      </w:pPr>
      <w:r>
        <w:rPr>
          <w:rFonts w:hint="eastAsia" w:eastAsia="方正仿宋简体"/>
          <w:sz w:val="32"/>
          <w:szCs w:val="32"/>
        </w:rPr>
        <w:t>（2）项目管理流程：项目资金实行专款专用，专项核算。费用支出是在完成项目后，由分管领导负责审核，再由党组书记签批。帐务处理及时，核算准确规范。</w:t>
      </w:r>
    </w:p>
    <w:p>
      <w:pPr>
        <w:ind w:firstLine="480" w:firstLineChars="150"/>
        <w:rPr>
          <w:rFonts w:hint="eastAsia" w:eastAsia="方正仿宋简体"/>
          <w:sz w:val="32"/>
          <w:szCs w:val="32"/>
        </w:rPr>
      </w:pPr>
      <w:r>
        <w:rPr>
          <w:rFonts w:hint="eastAsia" w:eastAsia="方正仿宋简体"/>
          <w:sz w:val="32"/>
          <w:szCs w:val="32"/>
        </w:rPr>
        <w:t>（3）项目组织实施的实际情况</w:t>
      </w:r>
    </w:p>
    <w:p>
      <w:pPr>
        <w:numPr>
          <w:ilvl w:val="0"/>
          <w:numId w:val="0"/>
        </w:numPr>
        <w:spacing w:line="580" w:lineRule="exact"/>
        <w:ind w:leftChars="200"/>
        <w:rPr>
          <w:rFonts w:hint="eastAsia" w:eastAsia="方正仿宋简体"/>
          <w:sz w:val="32"/>
          <w:szCs w:val="32"/>
        </w:rPr>
      </w:pPr>
      <w:r>
        <w:rPr>
          <w:rFonts w:hint="eastAsia" w:eastAsia="方正仿宋简体"/>
          <w:sz w:val="32"/>
          <w:szCs w:val="32"/>
        </w:rPr>
        <w:t>项目组织实施与预期绩效目标相符</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pStyle w:val="7"/>
        <w:spacing w:line="620" w:lineRule="exact"/>
        <w:ind w:firstLine="627" w:firstLineChars="196"/>
        <w:rPr>
          <w:rFonts w:eastAsia="方正仿宋简体"/>
          <w:sz w:val="32"/>
          <w:szCs w:val="32"/>
        </w:rPr>
      </w:pPr>
      <w:r>
        <w:rPr>
          <w:rFonts w:hint="eastAsia" w:eastAsia="方正仿宋简体"/>
          <w:sz w:val="32"/>
          <w:szCs w:val="32"/>
          <w:lang w:eastAsia="zh-CN"/>
        </w:rPr>
        <w:t>确保</w:t>
      </w:r>
      <w:r>
        <w:rPr>
          <w:rFonts w:eastAsia="方正仿宋简体"/>
          <w:sz w:val="32"/>
          <w:szCs w:val="32"/>
        </w:rPr>
        <w:t>乐至县财政局用于规范财政管理</w:t>
      </w:r>
      <w:r>
        <w:rPr>
          <w:rFonts w:hint="eastAsia" w:eastAsia="方正仿宋简体"/>
          <w:sz w:val="32"/>
          <w:szCs w:val="32"/>
          <w:lang w:eastAsia="zh-CN"/>
        </w:rPr>
        <w:t>、</w:t>
      </w:r>
      <w:r>
        <w:rPr>
          <w:rFonts w:eastAsia="方正仿宋简体"/>
          <w:sz w:val="32"/>
          <w:szCs w:val="32"/>
        </w:rPr>
        <w:t>强化资金监管</w:t>
      </w:r>
      <w:r>
        <w:rPr>
          <w:rFonts w:hint="eastAsia" w:eastAsia="方正仿宋简体"/>
          <w:sz w:val="32"/>
          <w:szCs w:val="32"/>
          <w:lang w:eastAsia="zh-CN"/>
        </w:rPr>
        <w:t>、</w:t>
      </w:r>
      <w:r>
        <w:rPr>
          <w:rFonts w:eastAsia="方正仿宋简体"/>
          <w:sz w:val="32"/>
          <w:szCs w:val="32"/>
        </w:rPr>
        <w:t>推进预决算公开等工作顺利开展</w:t>
      </w:r>
      <w:r>
        <w:rPr>
          <w:rFonts w:hint="eastAsia" w:eastAsia="方正仿宋简体"/>
          <w:sz w:val="32"/>
          <w:szCs w:val="32"/>
          <w:lang w:eastAsia="zh-CN"/>
        </w:rPr>
        <w:t>。</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pStyle w:val="7"/>
        <w:spacing w:line="620" w:lineRule="exact"/>
        <w:ind w:firstLine="627" w:firstLineChars="196"/>
        <w:rPr>
          <w:rFonts w:hint="eastAsia" w:eastAsia="方正楷体简体"/>
          <w:b/>
          <w:sz w:val="32"/>
          <w:szCs w:val="32"/>
        </w:rPr>
      </w:pPr>
      <w:r>
        <w:rPr>
          <w:rFonts w:hint="eastAsia" w:eastAsia="方正仿宋简体"/>
          <w:sz w:val="32"/>
          <w:szCs w:val="32"/>
        </w:rPr>
        <w:t>为确保项目顺利实施，成立了由党组书记任组长，各分管领导为副组长，各业务股室负责人为成员的工作组。</w:t>
      </w:r>
    </w:p>
    <w:p>
      <w:pPr>
        <w:numPr>
          <w:ilvl w:val="0"/>
          <w:numId w:val="11"/>
        </w:numPr>
        <w:spacing w:line="580" w:lineRule="exact"/>
        <w:ind w:firstLine="643" w:firstLineChars="200"/>
        <w:rPr>
          <w:rFonts w:hint="eastAsia" w:eastAsia="方正楷体简体"/>
          <w:b/>
          <w:sz w:val="32"/>
          <w:szCs w:val="32"/>
        </w:rPr>
      </w:pPr>
      <w:r>
        <w:rPr>
          <w:rFonts w:hint="eastAsia" w:eastAsia="方正楷体简体"/>
          <w:b/>
          <w:sz w:val="32"/>
          <w:szCs w:val="32"/>
        </w:rPr>
        <w:t>自评方式、方法、重点等</w:t>
      </w:r>
    </w:p>
    <w:p>
      <w:pPr>
        <w:spacing w:line="600" w:lineRule="exact"/>
        <w:ind w:firstLine="640" w:firstLineChars="200"/>
        <w:rPr>
          <w:rFonts w:hint="eastAsia" w:eastAsia="方正仿宋简体"/>
          <w:sz w:val="32"/>
          <w:szCs w:val="32"/>
        </w:rPr>
      </w:pPr>
      <w:r>
        <w:rPr>
          <w:rFonts w:hint="eastAsia" w:eastAsia="方正仿宋简体"/>
          <w:sz w:val="32"/>
          <w:szCs w:val="32"/>
        </w:rPr>
        <w:t>本单位根据乐财规〔2021〕1号精神，绩效自评方式：成本效益分析法、比较法。</w:t>
      </w:r>
    </w:p>
    <w:p>
      <w:pPr>
        <w:spacing w:line="600" w:lineRule="exact"/>
        <w:ind w:firstLine="640" w:firstLineChars="200"/>
        <w:rPr>
          <w:rFonts w:hint="eastAsia" w:eastAsia="方正楷体简体"/>
          <w:b/>
          <w:sz w:val="32"/>
          <w:szCs w:val="32"/>
        </w:rPr>
      </w:pPr>
      <w:r>
        <w:rPr>
          <w:rFonts w:hint="eastAsia" w:eastAsia="方正仿宋简体"/>
          <w:sz w:val="32"/>
          <w:szCs w:val="32"/>
        </w:rPr>
        <w:t>绩效评价方法：成本效益分析法---将政策和项目存续期内的支出与效益进行对比分析，以评估政策和项目的资金及管理效率；比较法---通过对绩效目标与预期实施效果、历史与当期情况、不同部门与地区同类政策和项目安排的比较，综合分析政策和项目的绩效情况。</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600" w:lineRule="exact"/>
        <w:ind w:firstLine="640" w:firstLineChars="200"/>
        <w:rPr>
          <w:rFonts w:hint="eastAsia" w:eastAsia="方正仿宋简体"/>
        </w:rPr>
      </w:pPr>
      <w:r>
        <w:rPr>
          <w:rFonts w:hint="eastAsia" w:eastAsia="方正仿宋简体"/>
          <w:sz w:val="32"/>
          <w:szCs w:val="32"/>
        </w:rPr>
        <w:t>按照依据乐财规〔</w:t>
      </w:r>
      <w:r>
        <w:rPr>
          <w:rFonts w:eastAsia="方正仿宋简体"/>
          <w:sz w:val="32"/>
          <w:szCs w:val="32"/>
        </w:rPr>
        <w:t>2021</w:t>
      </w:r>
      <w:r>
        <w:rPr>
          <w:rFonts w:hint="eastAsia" w:eastAsia="方正仿宋简体"/>
          <w:sz w:val="32"/>
          <w:szCs w:val="32"/>
        </w:rPr>
        <w:t>〕</w:t>
      </w:r>
      <w:r>
        <w:rPr>
          <w:rFonts w:eastAsia="方正仿宋简体"/>
          <w:sz w:val="32"/>
          <w:szCs w:val="32"/>
        </w:rPr>
        <w:t>1</w:t>
      </w:r>
      <w:r>
        <w:rPr>
          <w:rFonts w:hint="eastAsia" w:eastAsia="方正仿宋简体"/>
          <w:sz w:val="32"/>
          <w:szCs w:val="32"/>
        </w:rPr>
        <w:t>号规定，本年度专项工作经费管理规范，按计划基本完成，对各项职能指标完成情况进行了自检自查，各项工作均已基本完成，项目资金绩效评价自评为优秀</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7"/>
        <w:spacing w:line="620" w:lineRule="exact"/>
        <w:ind w:firstLine="627" w:firstLineChars="196"/>
        <w:rPr>
          <w:rFonts w:hint="eastAsia" w:eastAsia="方正仿宋简体"/>
          <w:sz w:val="32"/>
          <w:szCs w:val="32"/>
          <w:lang w:val="en-US" w:eastAsia="zh-CN"/>
        </w:rPr>
      </w:pPr>
      <w:r>
        <w:rPr>
          <w:rFonts w:hint="eastAsia" w:eastAsia="方正仿宋简体"/>
          <w:sz w:val="32"/>
          <w:szCs w:val="32"/>
        </w:rPr>
        <w:t>全面加强预算绩效管理</w:t>
      </w:r>
      <w:r>
        <w:rPr>
          <w:rFonts w:hint="eastAsia" w:eastAsia="方正仿宋简体"/>
          <w:sz w:val="32"/>
          <w:szCs w:val="32"/>
          <w:lang w:eastAsia="zh-CN"/>
        </w:rPr>
        <w:t>，</w:t>
      </w:r>
      <w:r>
        <w:rPr>
          <w:rFonts w:hint="eastAsia" w:eastAsia="方正仿宋简体"/>
          <w:sz w:val="32"/>
          <w:szCs w:val="32"/>
        </w:rPr>
        <w:t>深入推进绩效评价管理。建立“自评+重点抽评”相结合的运行机制，进一步强调部门绩效评价的主体责任</w:t>
      </w:r>
      <w:r>
        <w:rPr>
          <w:rFonts w:hint="eastAsia" w:eastAsia="方正仿宋简体"/>
          <w:sz w:val="32"/>
          <w:szCs w:val="32"/>
          <w:lang w:eastAsia="zh-CN"/>
        </w:rPr>
        <w:t>，</w:t>
      </w:r>
      <w:r>
        <w:rPr>
          <w:rFonts w:hint="eastAsia" w:eastAsia="方正仿宋简体"/>
          <w:sz w:val="32"/>
          <w:szCs w:val="32"/>
        </w:rPr>
        <w:t>引入第三方机构参与财政重点绩效评价，切实提高了绩效评价的客观性和科学性</w:t>
      </w:r>
      <w:r>
        <w:rPr>
          <w:rFonts w:hint="eastAsia" w:eastAsia="方正仿宋简体"/>
          <w:sz w:val="32"/>
          <w:szCs w:val="32"/>
          <w:lang w:eastAsia="zh-CN"/>
        </w:rPr>
        <w:t>；按照省财政厅关于在全省推广实施预算管理一体化系统工作的安排部署；深入开展严肃财经纪律及财务管理风险排查。我局会同县纪委监委、县审计局对全县各部门（单位）预算管理、支付管理、货币管理等十个方面重点内容开展全面排查。扎实开展预决算公开专项检查工作。采取全面自查与重点抽查相结合的方式，在自查的基础上，抽取10家单位对其预决算公开的及时性、完整性、细化程度等方面进行了重点核查，坚持“以查促改、以改促进”的原则，较好的完成了上级交办的工作任务。现目前各阶段具体实际情况与目标基本一致，无差异。</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pStyle w:val="7"/>
        <w:spacing w:line="620" w:lineRule="exact"/>
        <w:ind w:firstLine="630" w:firstLineChars="196"/>
        <w:rPr>
          <w:rFonts w:hint="eastAsia" w:eastAsia="方正楷体简体"/>
          <w:b/>
          <w:sz w:val="32"/>
          <w:szCs w:val="32"/>
        </w:rPr>
      </w:pPr>
      <w:r>
        <w:rPr>
          <w:rFonts w:eastAsia="方正楷体简体"/>
          <w:b/>
          <w:sz w:val="32"/>
          <w:szCs w:val="32"/>
        </w:rPr>
        <w:t>（一）主要经验及做法</w:t>
      </w:r>
    </w:p>
    <w:p>
      <w:pPr>
        <w:spacing w:line="600" w:lineRule="exact"/>
        <w:ind w:firstLine="640" w:firstLineChars="200"/>
        <w:rPr>
          <w:rFonts w:eastAsia="方正仿宋简体"/>
          <w:sz w:val="32"/>
          <w:szCs w:val="32"/>
        </w:rPr>
      </w:pPr>
      <w:r>
        <w:rPr>
          <w:rFonts w:hint="eastAsia" w:eastAsia="方正仿宋简体"/>
          <w:sz w:val="32"/>
          <w:szCs w:val="32"/>
        </w:rPr>
        <w:t>我局根据年初工作规划及财政预算计划，积极履职、强化管理，较好的完成了年度工作目标。通过加强预算收支管理，不断建立健全内部管理制度，梳理内部管理流程，部门整体支出管理情况得到提升，总体执行情况良好。</w:t>
      </w:r>
    </w:p>
    <w:p/>
    <w:p>
      <w:pPr>
        <w:pStyle w:val="7"/>
        <w:spacing w:line="620" w:lineRule="exact"/>
        <w:ind w:firstLine="630" w:firstLineChars="196"/>
        <w:rPr>
          <w:rFonts w:hint="eastAsia" w:eastAsia="方正楷体简体"/>
          <w:b/>
          <w:sz w:val="32"/>
          <w:szCs w:val="32"/>
        </w:rPr>
      </w:pPr>
      <w:r>
        <w:rPr>
          <w:rFonts w:eastAsia="方正楷体简体"/>
          <w:b/>
          <w:sz w:val="32"/>
          <w:szCs w:val="32"/>
        </w:rPr>
        <w:t>（二）存在的问题</w:t>
      </w:r>
    </w:p>
    <w:p>
      <w:pPr>
        <w:spacing w:line="600" w:lineRule="exact"/>
        <w:ind w:firstLine="640" w:firstLineChars="200"/>
        <w:rPr>
          <w:rFonts w:hint="eastAsia" w:eastAsia="方正仿宋简体"/>
          <w:sz w:val="32"/>
          <w:szCs w:val="32"/>
        </w:rPr>
      </w:pPr>
      <w:r>
        <w:rPr>
          <w:rFonts w:hint="eastAsia" w:eastAsia="方正仿宋简体"/>
          <w:sz w:val="32"/>
          <w:szCs w:val="32"/>
        </w:rPr>
        <w:t>对项目支出绩效管理工作经验不足，项目的部分成果无法用量化指标形式表示，在绩效考评指标的细化上还有待完善。</w:t>
      </w:r>
    </w:p>
    <w:p>
      <w:pPr>
        <w:rPr>
          <w:rFonts w:eastAsia="方正仿宋简体"/>
          <w:sz w:val="32"/>
          <w:szCs w:val="32"/>
        </w:rPr>
      </w:pPr>
    </w:p>
    <w:p>
      <w:pPr>
        <w:pStyle w:val="7"/>
        <w:spacing w:line="620" w:lineRule="exact"/>
        <w:ind w:firstLine="630" w:firstLineChars="196"/>
        <w:rPr>
          <w:rFonts w:hint="eastAsia" w:eastAsia="方正楷体简体"/>
          <w:b/>
          <w:sz w:val="32"/>
          <w:szCs w:val="32"/>
        </w:rPr>
      </w:pPr>
      <w:r>
        <w:rPr>
          <w:rFonts w:eastAsia="方正楷体简体"/>
          <w:b/>
          <w:sz w:val="32"/>
          <w:szCs w:val="32"/>
        </w:rPr>
        <w:t>（三）建议和改进措施</w:t>
      </w:r>
    </w:p>
    <w:p>
      <w:pPr>
        <w:spacing w:line="580" w:lineRule="exact"/>
        <w:ind w:firstLine="640" w:firstLineChars="200"/>
        <w:rPr>
          <w:rFonts w:eastAsia="方正楷体简体"/>
          <w:b/>
          <w:sz w:val="32"/>
          <w:szCs w:val="32"/>
        </w:rPr>
      </w:pPr>
      <w:r>
        <w:rPr>
          <w:rFonts w:hint="eastAsia" w:eastAsia="方正仿宋简体"/>
          <w:sz w:val="32"/>
          <w:szCs w:val="32"/>
        </w:rPr>
        <w:t>加强资金支出绩效管理，根据绩效完成情况合理分配资金，认真学习贯彻预算法，优化预算编制工作，结合内部控制工作，加强绩效管理工作，进一步完善业务和财务管理制度。</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8" w:type="default"/>
          <w:footerReference r:id="rId9" w:type="even"/>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非税收入征收管理经费</w:t>
      </w:r>
      <w:r>
        <w:rPr>
          <w:rFonts w:hint="eastAsia" w:eastAsia="方正楷体简体"/>
          <w:b/>
          <w:bCs/>
          <w:kern w:val="0"/>
          <w:sz w:val="32"/>
          <w:szCs w:val="32"/>
        </w:rPr>
        <w:t>项目）</w:t>
      </w:r>
    </w:p>
    <w:p>
      <w:pPr>
        <w:spacing w:line="620" w:lineRule="exact"/>
        <w:rPr>
          <w:sz w:val="24"/>
        </w:rPr>
      </w:pPr>
      <w:r>
        <w:rPr>
          <w:rFonts w:hint="eastAsia"/>
          <w:bCs/>
          <w:kern w:val="0"/>
          <w:sz w:val="24"/>
        </w:rPr>
        <w:t>预算单位名称：</w:t>
      </w:r>
      <w:r>
        <w:rPr>
          <w:bCs/>
          <w:kern w:val="0"/>
          <w:sz w:val="24"/>
        </w:rPr>
        <w:t xml:space="preserve">                 </w:t>
      </w:r>
      <w:r>
        <w:rPr>
          <w:rFonts w:hint="eastAsia"/>
          <w:bCs/>
          <w:kern w:val="0"/>
          <w:sz w:val="24"/>
        </w:rPr>
        <w:t>预算单位编码：</w:t>
      </w:r>
      <w:r>
        <w:rPr>
          <w:bCs/>
          <w:kern w:val="0"/>
          <w:sz w:val="24"/>
        </w:rPr>
        <w:t xml:space="preserve">                  </w:t>
      </w:r>
      <w:r>
        <w:rPr>
          <w:rFonts w:hint="eastAsia"/>
          <w:bCs/>
          <w:kern w:val="0"/>
          <w:sz w:val="24"/>
        </w:rPr>
        <w:t>自评等级：</w:t>
      </w:r>
    </w:p>
    <w:tbl>
      <w:tblPr>
        <w:tblStyle w:val="17"/>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2"/>
        <w:gridCol w:w="702"/>
        <w:gridCol w:w="850"/>
        <w:gridCol w:w="1699"/>
        <w:gridCol w:w="3545"/>
        <w:gridCol w:w="706"/>
        <w:gridCol w:w="8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widowControl/>
              <w:spacing w:line="280" w:lineRule="exact"/>
              <w:jc w:val="left"/>
              <w:rPr>
                <w:kern w:val="0"/>
                <w:sz w:val="21"/>
                <w:szCs w:val="21"/>
                <w:lang w:val="en-US" w:eastAsia="zh-CN" w:bidi="ar-SA"/>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widowControl/>
              <w:spacing w:line="280" w:lineRule="exact"/>
              <w:jc w:val="left"/>
              <w:rPr>
                <w:kern w:val="0"/>
                <w:sz w:val="21"/>
                <w:szCs w:val="21"/>
                <w:lang w:val="en-US" w:eastAsia="zh-CN" w:bidi="ar-SA"/>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widowControl/>
              <w:spacing w:line="280" w:lineRule="exact"/>
              <w:jc w:val="left"/>
              <w:rPr>
                <w:rFonts w:hint="eastAsia"/>
                <w:kern w:val="0"/>
                <w:sz w:val="21"/>
                <w:szCs w:val="21"/>
                <w:lang w:val="en-US" w:eastAsia="zh-CN" w:bidi="ar-SA"/>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widowControl/>
              <w:spacing w:line="280" w:lineRule="exact"/>
              <w:jc w:val="left"/>
              <w:rPr>
                <w:rFonts w:hint="eastAsia"/>
                <w:kern w:val="0"/>
                <w:sz w:val="21"/>
                <w:szCs w:val="21"/>
                <w:lang w:val="en-US" w:eastAsia="zh-CN" w:bidi="ar-SA"/>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widowControl/>
              <w:spacing w:line="260" w:lineRule="exact"/>
              <w:jc w:val="left"/>
              <w:rPr>
                <w:kern w:val="0"/>
                <w:sz w:val="21"/>
                <w:szCs w:val="21"/>
                <w:lang w:val="en-US" w:eastAsia="zh-CN" w:bidi="ar-SA"/>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widowControl/>
              <w:spacing w:line="260" w:lineRule="exact"/>
              <w:jc w:val="left"/>
              <w:rPr>
                <w:kern w:val="0"/>
                <w:sz w:val="21"/>
                <w:szCs w:val="21"/>
                <w:lang w:val="en-US" w:eastAsia="zh-CN" w:bidi="ar-SA"/>
              </w:rPr>
            </w:pPr>
            <w:r>
              <w:rPr>
                <w:rFonts w:hint="eastAsia"/>
                <w:kern w:val="0"/>
                <w:szCs w:val="21"/>
              </w:rPr>
              <w:t>　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kern w:val="0"/>
                <w:sz w:val="21"/>
                <w:szCs w:val="21"/>
                <w:lang w:val="en-US" w:eastAsia="zh-CN" w:bidi="ar-SA"/>
              </w:rPr>
            </w:pPr>
            <w:r>
              <w:rPr>
                <w:rFonts w:hint="eastAsia"/>
                <w:kern w:val="0"/>
                <w:szCs w:val="21"/>
              </w:rPr>
              <w:t>　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widowControl/>
              <w:spacing w:line="260" w:lineRule="exact"/>
              <w:jc w:val="left"/>
              <w:rPr>
                <w:kern w:val="0"/>
                <w:sz w:val="21"/>
                <w:szCs w:val="21"/>
                <w:lang w:val="en-US" w:eastAsia="zh-CN" w:bidi="ar-SA"/>
              </w:rPr>
            </w:pPr>
            <w:r>
              <w:rPr>
                <w:rFonts w:hint="eastAsia"/>
                <w:kern w:val="0"/>
                <w:szCs w:val="21"/>
              </w:rPr>
              <w:t>　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widowControl/>
              <w:spacing w:line="260" w:lineRule="exact"/>
              <w:jc w:val="left"/>
              <w:rPr>
                <w:kern w:val="0"/>
                <w:sz w:val="21"/>
                <w:szCs w:val="21"/>
                <w:lang w:val="en-US" w:eastAsia="zh-CN" w:bidi="ar-SA"/>
              </w:rPr>
            </w:pPr>
            <w:r>
              <w:rPr>
                <w:rFonts w:hint="eastAsia"/>
                <w:kern w:val="0"/>
                <w:szCs w:val="21"/>
              </w:rPr>
              <w:t>　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widowControl/>
              <w:spacing w:line="260" w:lineRule="exact"/>
              <w:jc w:val="left"/>
              <w:rPr>
                <w:kern w:val="0"/>
                <w:sz w:val="21"/>
                <w:szCs w:val="21"/>
                <w:lang w:val="en-US" w:eastAsia="zh-CN" w:bidi="ar-SA"/>
              </w:rPr>
            </w:pPr>
            <w:r>
              <w:rPr>
                <w:rFonts w:hint="eastAsia"/>
                <w:kern w:val="0"/>
                <w:szCs w:val="21"/>
              </w:rPr>
              <w:t>　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widowControl/>
              <w:spacing w:line="310" w:lineRule="exact"/>
              <w:jc w:val="left"/>
              <w:rPr>
                <w:rFonts w:hint="eastAsia"/>
                <w:kern w:val="0"/>
                <w:sz w:val="21"/>
                <w:szCs w:val="21"/>
                <w:lang w:val="en-US" w:eastAsia="zh-CN" w:bidi="ar-SA"/>
              </w:rPr>
            </w:pPr>
            <w:r>
              <w:rPr>
                <w:rFonts w:hint="eastAsia"/>
                <w:kern w:val="0"/>
                <w:szCs w:val="21"/>
              </w:rPr>
              <w:t>　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widowControl/>
              <w:spacing w:line="310" w:lineRule="exact"/>
              <w:jc w:val="left"/>
              <w:rPr>
                <w:rFonts w:hint="eastAsia"/>
                <w:kern w:val="0"/>
                <w:sz w:val="21"/>
                <w:szCs w:val="21"/>
                <w:lang w:val="en-US" w:eastAsia="zh-CN" w:bidi="ar-SA"/>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widowControl/>
              <w:spacing w:line="310" w:lineRule="exact"/>
              <w:jc w:val="left"/>
              <w:rPr>
                <w:rFonts w:hint="eastAsia"/>
                <w:kern w:val="0"/>
                <w:sz w:val="21"/>
                <w:szCs w:val="21"/>
                <w:lang w:val="en-US" w:eastAsia="zh-CN" w:bidi="ar-SA"/>
              </w:rPr>
            </w:pPr>
            <w:r>
              <w:rPr>
                <w:rFonts w:hint="eastAsia"/>
                <w:kern w:val="0"/>
                <w:szCs w:val="21"/>
              </w:rPr>
              <w:t>　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widowControl/>
              <w:spacing w:line="310" w:lineRule="exact"/>
              <w:jc w:val="left"/>
              <w:rPr>
                <w:rFonts w:hint="eastAsia"/>
                <w:kern w:val="0"/>
                <w:sz w:val="21"/>
                <w:szCs w:val="21"/>
                <w:lang w:val="en-US" w:eastAsia="zh-CN" w:bidi="ar-SA"/>
              </w:rPr>
            </w:pPr>
            <w:r>
              <w:rPr>
                <w:rFonts w:hint="eastAsia"/>
                <w:kern w:val="0"/>
                <w:szCs w:val="21"/>
              </w:rPr>
              <w:t>　3</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widowControl/>
              <w:spacing w:line="310" w:lineRule="exact"/>
              <w:jc w:val="left"/>
              <w:rPr>
                <w:rFonts w:hint="eastAsia"/>
                <w:kern w:val="0"/>
                <w:sz w:val="21"/>
                <w:szCs w:val="21"/>
                <w:lang w:val="en-US" w:eastAsia="zh-CN" w:bidi="ar-SA"/>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widowControl/>
              <w:spacing w:line="280" w:lineRule="exact"/>
              <w:jc w:val="left"/>
              <w:rPr>
                <w:kern w:val="0"/>
                <w:sz w:val="21"/>
                <w:szCs w:val="21"/>
                <w:lang w:val="en-US" w:eastAsia="zh-CN" w:bidi="ar-SA"/>
              </w:rPr>
            </w:pPr>
            <w:r>
              <w:rPr>
                <w:rFonts w:hint="eastAsia"/>
                <w:kern w:val="0"/>
                <w:szCs w:val="21"/>
              </w:rPr>
              <w:t>　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80" w:lineRule="exact"/>
              <w:jc w:val="left"/>
              <w:rPr>
                <w:kern w:val="0"/>
                <w:sz w:val="21"/>
                <w:szCs w:val="21"/>
                <w:lang w:val="en-US" w:eastAsia="zh-CN" w:bidi="ar-SA"/>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80" w:lineRule="exact"/>
              <w:jc w:val="left"/>
              <w:rPr>
                <w:kern w:val="0"/>
                <w:sz w:val="21"/>
                <w:szCs w:val="21"/>
                <w:lang w:val="en-US" w:eastAsia="zh-CN" w:bidi="ar-SA"/>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80" w:lineRule="exact"/>
              <w:jc w:val="left"/>
              <w:rPr>
                <w:kern w:val="0"/>
                <w:sz w:val="21"/>
                <w:szCs w:val="21"/>
                <w:lang w:val="en-US" w:eastAsia="zh-CN" w:bidi="ar-SA"/>
              </w:rPr>
            </w:pPr>
            <w:r>
              <w:rPr>
                <w:rFonts w:hint="eastAsia"/>
                <w:kern w:val="0"/>
                <w:szCs w:val="21"/>
              </w:rPr>
              <w:t>　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widowControl/>
              <w:spacing w:line="280" w:lineRule="exact"/>
              <w:jc w:val="left"/>
              <w:rPr>
                <w:rFonts w:hint="default" w:eastAsia="宋体"/>
                <w:kern w:val="0"/>
                <w:sz w:val="21"/>
                <w:szCs w:val="21"/>
                <w:lang w:val="en-US" w:eastAsia="zh-CN" w:bidi="ar-SA"/>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92</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3</w:t>
      </w:r>
      <w:r>
        <w:rPr>
          <w:rFonts w:hint="eastAsia" w:eastAsia="方正小标宋简体"/>
          <w:color w:val="000000"/>
          <w:spacing w:val="-12"/>
          <w:kern w:val="0"/>
          <w:sz w:val="44"/>
          <w:szCs w:val="44"/>
        </w:rPr>
        <w:t>年度乐至县项目支出绩效目标完成情况表</w:t>
      </w:r>
    </w:p>
    <w:p>
      <w:pPr>
        <w:pStyle w:val="7"/>
        <w:spacing w:after="0" w:line="240" w:lineRule="exact"/>
        <w:rPr>
          <w:rFonts w:ascii="宋体"/>
        </w:rPr>
      </w:pP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64"/>
        <w:gridCol w:w="912"/>
        <w:gridCol w:w="676"/>
        <w:gridCol w:w="764"/>
        <w:gridCol w:w="1355"/>
        <w:gridCol w:w="1709"/>
        <w:gridCol w:w="21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lang w:val="en-US" w:eastAsia="zh-CN"/>
              </w:rPr>
              <w:t>非税收入征收管理经费项目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乐至县财政局</w:t>
            </w:r>
            <w:r>
              <w:rPr>
                <w:rFonts w:hint="eastAsia"/>
                <w:color w:val="000000"/>
                <w:kern w:val="0"/>
                <w:szCs w:val="21"/>
              </w:rPr>
              <w:t>　</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127001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249.82</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249.82</w:t>
            </w:r>
            <w:r>
              <w:rPr>
                <w:rFonts w:hint="eastAsia"/>
                <w:color w:val="000000"/>
                <w:kern w:val="0"/>
                <w:szCs w:val="21"/>
              </w:rPr>
              <w:t>　</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249.82</w:t>
            </w:r>
          </w:p>
        </w:tc>
        <w:tc>
          <w:tcPr>
            <w:tcW w:w="0" w:type="auto"/>
            <w:noWrap/>
            <w:vAlign w:val="center"/>
          </w:tcPr>
          <w:p>
            <w:pPr>
              <w:widowControl/>
              <w:spacing w:line="240" w:lineRule="exact"/>
              <w:jc w:val="left"/>
              <w:rPr>
                <w:color w:val="000000"/>
                <w:kern w:val="0"/>
                <w:szCs w:val="21"/>
              </w:rPr>
            </w:pPr>
            <w:r>
              <w:rPr>
                <w:rFonts w:hint="eastAsia"/>
                <w:color w:val="000000"/>
                <w:kern w:val="0"/>
                <w:szCs w:val="21"/>
                <w:lang w:val="en-US" w:eastAsia="zh-CN"/>
              </w:rPr>
              <w:t>249.82</w:t>
            </w:r>
            <w:r>
              <w:rPr>
                <w:rFonts w:hint="eastAsia"/>
                <w:color w:val="000000"/>
                <w:kern w:val="0"/>
                <w:szCs w:val="21"/>
              </w:rPr>
              <w:t>　</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249.82</w:t>
            </w:r>
          </w:p>
        </w:tc>
        <w:tc>
          <w:tcPr>
            <w:tcW w:w="0" w:type="auto"/>
            <w:noWrap/>
            <w:vAlign w:val="center"/>
          </w:tcPr>
          <w:p>
            <w:pPr>
              <w:widowControl/>
              <w:spacing w:line="240" w:lineRule="exact"/>
              <w:jc w:val="left"/>
              <w:rPr>
                <w:color w:val="000000"/>
                <w:kern w:val="0"/>
                <w:szCs w:val="21"/>
              </w:rPr>
            </w:pPr>
            <w:r>
              <w:rPr>
                <w:rFonts w:hint="eastAsia"/>
                <w:color w:val="000000"/>
                <w:kern w:val="0"/>
                <w:szCs w:val="21"/>
                <w:lang w:val="en-US" w:eastAsia="zh-CN"/>
              </w:rPr>
              <w:t>249.82</w:t>
            </w:r>
            <w:r>
              <w:rPr>
                <w:rFonts w:hint="eastAsia"/>
                <w:color w:val="000000"/>
                <w:kern w:val="0"/>
                <w:szCs w:val="21"/>
              </w:rPr>
              <w:t>　</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249.82</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249.82</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jc w:val="left"/>
              <w:rPr>
                <w:color w:val="000000"/>
                <w:kern w:val="0"/>
                <w:szCs w:val="21"/>
              </w:rPr>
            </w:pPr>
            <w:r>
              <w:rPr>
                <w:color w:val="000000"/>
                <w:kern w:val="0"/>
                <w:sz w:val="18"/>
                <w:szCs w:val="18"/>
              </w:rPr>
              <w:t>目标1:</w:t>
            </w:r>
            <w:r>
              <w:rPr>
                <w:rFonts w:hint="eastAsia"/>
              </w:rPr>
              <w:t xml:space="preserve"> </w:t>
            </w:r>
            <w:r>
              <w:rPr>
                <w:rFonts w:hint="eastAsia"/>
                <w:color w:val="000000"/>
                <w:kern w:val="0"/>
                <w:sz w:val="18"/>
                <w:szCs w:val="18"/>
              </w:rPr>
              <w:t>深化财政改革，持续提升财政管理水平</w:t>
            </w:r>
          </w:p>
        </w:tc>
        <w:tc>
          <w:tcPr>
            <w:tcW w:w="2255" w:type="dxa"/>
            <w:gridSpan w:val="2"/>
            <w:noWrap/>
            <w:vAlign w:val="center"/>
          </w:tcPr>
          <w:p>
            <w:pPr>
              <w:widowControl/>
              <w:jc w:val="center"/>
              <w:rPr>
                <w:color w:val="000000"/>
                <w:kern w:val="0"/>
                <w:szCs w:val="21"/>
              </w:rPr>
            </w:pPr>
            <w:r>
              <w:rPr>
                <w:color w:val="000000"/>
                <w:kern w:val="0"/>
                <w:sz w:val="18"/>
                <w:szCs w:val="18"/>
              </w:rPr>
              <w:t>正常运行执行</w:t>
            </w:r>
            <w:r>
              <w:rPr>
                <w:rFonts w:hint="eastAsia"/>
                <w:color w:val="000000"/>
                <w:kern w:val="0"/>
                <w:sz w:val="18"/>
                <w:szCs w:val="18"/>
              </w:rPr>
              <w:t>100%</w:t>
            </w:r>
            <w:r>
              <w:rPr>
                <w:color w:val="000000"/>
                <w:kern w:val="0"/>
                <w:sz w:val="18"/>
                <w:szCs w:val="18"/>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jc w:val="left"/>
              <w:rPr>
                <w:color w:val="000000"/>
                <w:kern w:val="0"/>
                <w:szCs w:val="21"/>
              </w:rPr>
            </w:pPr>
            <w:r>
              <w:rPr>
                <w:color w:val="000000"/>
                <w:kern w:val="0"/>
                <w:sz w:val="18"/>
                <w:szCs w:val="18"/>
              </w:rPr>
              <w:t>目标2:</w:t>
            </w:r>
            <w:r>
              <w:rPr>
                <w:rFonts w:hint="eastAsia"/>
              </w:rPr>
              <w:t xml:space="preserve"> </w:t>
            </w:r>
            <w:r>
              <w:rPr>
                <w:rFonts w:hint="eastAsia"/>
                <w:color w:val="000000"/>
                <w:kern w:val="0"/>
                <w:sz w:val="18"/>
                <w:szCs w:val="18"/>
              </w:rPr>
              <w:t>持续强化监管，确保财政资金安全高效</w:t>
            </w:r>
          </w:p>
        </w:tc>
        <w:tc>
          <w:tcPr>
            <w:tcW w:w="2255" w:type="dxa"/>
            <w:gridSpan w:val="2"/>
            <w:noWrap/>
            <w:vAlign w:val="center"/>
          </w:tcPr>
          <w:p>
            <w:pPr>
              <w:widowControl/>
              <w:jc w:val="center"/>
              <w:rPr>
                <w:color w:val="000000"/>
                <w:kern w:val="0"/>
                <w:szCs w:val="21"/>
              </w:rPr>
            </w:pPr>
            <w:r>
              <w:rPr>
                <w:color w:val="000000"/>
                <w:kern w:val="0"/>
                <w:sz w:val="18"/>
                <w:szCs w:val="18"/>
              </w:rPr>
              <w:t>正常运行执行</w:t>
            </w:r>
            <w:r>
              <w:rPr>
                <w:rFonts w:hint="eastAsia"/>
                <w:color w:val="000000"/>
                <w:kern w:val="0"/>
                <w:sz w:val="18"/>
                <w:szCs w:val="18"/>
              </w:rPr>
              <w:t>100%</w:t>
            </w:r>
            <w:r>
              <w:rPr>
                <w:color w:val="000000"/>
                <w:kern w:val="0"/>
                <w:sz w:val="18"/>
                <w:szCs w:val="18"/>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jc w:val="left"/>
              <w:rPr>
                <w:color w:val="000000"/>
                <w:kern w:val="0"/>
                <w:szCs w:val="21"/>
              </w:rPr>
            </w:pPr>
            <w:r>
              <w:rPr>
                <w:color w:val="000000"/>
                <w:kern w:val="0"/>
                <w:sz w:val="18"/>
                <w:szCs w:val="18"/>
              </w:rPr>
              <w:t>目标3:</w:t>
            </w:r>
            <w:r>
              <w:rPr>
                <w:rFonts w:hint="eastAsia"/>
                <w:color w:val="000000"/>
                <w:kern w:val="0"/>
                <w:sz w:val="18"/>
                <w:szCs w:val="18"/>
              </w:rPr>
              <w:t>全县</w:t>
            </w:r>
            <w:r>
              <w:rPr>
                <w:color w:val="000000"/>
                <w:kern w:val="0"/>
                <w:sz w:val="18"/>
                <w:szCs w:val="18"/>
              </w:rPr>
              <w:t>预决算公开工作稳步全面推进</w:t>
            </w:r>
          </w:p>
        </w:tc>
        <w:tc>
          <w:tcPr>
            <w:tcW w:w="2255" w:type="dxa"/>
            <w:gridSpan w:val="2"/>
            <w:noWrap/>
            <w:vAlign w:val="center"/>
          </w:tcPr>
          <w:p>
            <w:pPr>
              <w:widowControl/>
              <w:jc w:val="center"/>
              <w:rPr>
                <w:color w:val="000000"/>
                <w:kern w:val="0"/>
                <w:szCs w:val="21"/>
              </w:rPr>
            </w:pPr>
            <w:r>
              <w:rPr>
                <w:rFonts w:hint="eastAsia"/>
                <w:color w:val="000000"/>
                <w:kern w:val="0"/>
                <w:sz w:val="18"/>
                <w:szCs w:val="18"/>
              </w:rPr>
              <w:t>正常运行执行100%</w:t>
            </w:r>
            <w:r>
              <w:rPr>
                <w:color w:val="000000"/>
                <w:kern w:val="0"/>
                <w:sz w:val="18"/>
                <w:szCs w:val="18"/>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812" w:type="dxa"/>
            <w:noWrap/>
            <w:vAlign w:val="center"/>
          </w:tcPr>
          <w:p>
            <w:pPr>
              <w:widowControl/>
              <w:jc w:val="left"/>
              <w:rPr>
                <w:color w:val="000000"/>
                <w:kern w:val="0"/>
                <w:szCs w:val="21"/>
              </w:rPr>
            </w:pPr>
            <w:r>
              <w:rPr>
                <w:color w:val="000000"/>
                <w:kern w:val="0"/>
                <w:sz w:val="18"/>
                <w:szCs w:val="18"/>
              </w:rPr>
              <w:t>　全县预算一体化改革编制单位数量</w:t>
            </w:r>
          </w:p>
        </w:tc>
        <w:tc>
          <w:tcPr>
            <w:tcW w:w="1443"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288家</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812"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以集中采购方式进行的政府购买服务项目数量</w:t>
            </w:r>
          </w:p>
        </w:tc>
        <w:tc>
          <w:tcPr>
            <w:tcW w:w="1443"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58个</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812"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已上线财政电子票据单位数量</w:t>
            </w:r>
          </w:p>
        </w:tc>
        <w:tc>
          <w:tcPr>
            <w:tcW w:w="1443"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207个</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812"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202</w:t>
            </w:r>
            <w:r>
              <w:rPr>
                <w:rFonts w:hint="eastAsia"/>
                <w:color w:val="000000"/>
                <w:kern w:val="0"/>
                <w:sz w:val="18"/>
                <w:szCs w:val="18"/>
                <w:lang w:val="en-US" w:eastAsia="zh-CN"/>
              </w:rPr>
              <w:t>3</w:t>
            </w:r>
            <w:r>
              <w:rPr>
                <w:rFonts w:hint="eastAsia"/>
                <w:color w:val="000000"/>
                <w:kern w:val="0"/>
                <w:sz w:val="18"/>
                <w:szCs w:val="18"/>
              </w:rPr>
              <w:t>年初预算编制</w:t>
            </w:r>
          </w:p>
        </w:tc>
        <w:tc>
          <w:tcPr>
            <w:tcW w:w="1443" w:type="dxa"/>
            <w:noWrap/>
            <w:vAlign w:val="center"/>
          </w:tcPr>
          <w:p>
            <w:pPr>
              <w:widowControl/>
              <w:jc w:val="left"/>
              <w:rPr>
                <w:color w:val="000000"/>
                <w:kern w:val="0"/>
                <w:szCs w:val="21"/>
              </w:rPr>
            </w:pPr>
            <w:r>
              <w:rPr>
                <w:color w:val="000000"/>
                <w:kern w:val="0"/>
                <w:sz w:val="18"/>
                <w:szCs w:val="18"/>
              </w:rPr>
              <w:t>　改革完成</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812" w:type="dxa"/>
            <w:noWrap/>
            <w:vAlign w:val="center"/>
          </w:tcPr>
          <w:p>
            <w:pPr>
              <w:widowControl/>
              <w:jc w:val="left"/>
              <w:rPr>
                <w:color w:val="000000"/>
                <w:kern w:val="0"/>
                <w:szCs w:val="21"/>
              </w:rPr>
            </w:pPr>
            <w:r>
              <w:rPr>
                <w:color w:val="000000"/>
                <w:kern w:val="0"/>
                <w:sz w:val="18"/>
                <w:szCs w:val="18"/>
              </w:rPr>
              <w:t>　预决算公开率</w:t>
            </w:r>
          </w:p>
        </w:tc>
        <w:tc>
          <w:tcPr>
            <w:tcW w:w="1443"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100%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812" w:type="dxa"/>
            <w:noWrap/>
            <w:vAlign w:val="center"/>
          </w:tcPr>
          <w:p>
            <w:pPr>
              <w:widowControl/>
              <w:jc w:val="left"/>
              <w:rPr>
                <w:color w:val="000000"/>
                <w:kern w:val="0"/>
                <w:szCs w:val="21"/>
              </w:rPr>
            </w:pPr>
            <w:r>
              <w:rPr>
                <w:color w:val="000000"/>
                <w:kern w:val="0"/>
                <w:sz w:val="18"/>
                <w:szCs w:val="18"/>
              </w:rPr>
              <w:t>　资金监管率</w:t>
            </w:r>
          </w:p>
        </w:tc>
        <w:tc>
          <w:tcPr>
            <w:tcW w:w="1443" w:type="dxa"/>
            <w:noWrap/>
            <w:vAlign w:val="center"/>
          </w:tcPr>
          <w:p>
            <w:pPr>
              <w:widowControl/>
              <w:jc w:val="left"/>
              <w:rPr>
                <w:color w:val="000000"/>
                <w:kern w:val="0"/>
                <w:szCs w:val="21"/>
              </w:rPr>
            </w:pPr>
            <w:r>
              <w:rPr>
                <w:rFonts w:hint="eastAsia"/>
                <w:color w:val="000000"/>
                <w:kern w:val="0"/>
                <w:sz w:val="18"/>
                <w:szCs w:val="18"/>
              </w:rPr>
              <w:t>100%</w:t>
            </w:r>
            <w:r>
              <w:rPr>
                <w:color w:val="000000"/>
                <w:kern w:val="0"/>
                <w:sz w:val="18"/>
                <w:szCs w:val="18"/>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812" w:type="dxa"/>
            <w:noWrap/>
            <w:vAlign w:val="center"/>
          </w:tcPr>
          <w:p>
            <w:pPr>
              <w:widowControl/>
              <w:jc w:val="left"/>
              <w:rPr>
                <w:color w:val="000000"/>
                <w:kern w:val="0"/>
                <w:szCs w:val="21"/>
              </w:rPr>
            </w:pPr>
            <w:r>
              <w:rPr>
                <w:color w:val="000000"/>
                <w:kern w:val="0"/>
                <w:sz w:val="18"/>
                <w:szCs w:val="18"/>
              </w:rPr>
              <w:t>　财政管理工作考核年限</w:t>
            </w:r>
          </w:p>
        </w:tc>
        <w:tc>
          <w:tcPr>
            <w:tcW w:w="1443" w:type="dxa"/>
            <w:noWrap/>
            <w:vAlign w:val="center"/>
          </w:tcPr>
          <w:p>
            <w:pPr>
              <w:widowControl/>
              <w:jc w:val="left"/>
              <w:rPr>
                <w:color w:val="000000"/>
                <w:kern w:val="0"/>
                <w:szCs w:val="21"/>
              </w:rPr>
            </w:pPr>
            <w:r>
              <w:rPr>
                <w:color w:val="000000"/>
                <w:kern w:val="0"/>
                <w:sz w:val="18"/>
                <w:szCs w:val="18"/>
              </w:rPr>
              <w:t>　</w:t>
            </w:r>
            <w:r>
              <w:rPr>
                <w:rFonts w:hint="eastAsia"/>
                <w:color w:val="000000"/>
                <w:kern w:val="0"/>
                <w:sz w:val="18"/>
                <w:szCs w:val="18"/>
              </w:rPr>
              <w:t>1年</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jc w:val="left"/>
              <w:rPr>
                <w:color w:val="000000"/>
                <w:kern w:val="0"/>
                <w:sz w:val="18"/>
                <w:szCs w:val="18"/>
                <w:lang w:val="en-US" w:eastAsia="zh-CN" w:bidi="ar-SA"/>
              </w:rPr>
            </w:pPr>
            <w:r>
              <w:rPr>
                <w:color w:val="000000"/>
                <w:kern w:val="0"/>
                <w:sz w:val="18"/>
                <w:szCs w:val="18"/>
              </w:rPr>
              <w:t>干部群众对财政各项工作的满意度</w:t>
            </w:r>
          </w:p>
        </w:tc>
        <w:tc>
          <w:tcPr>
            <w:tcW w:w="0" w:type="auto"/>
            <w:noWrap/>
            <w:vAlign w:val="center"/>
          </w:tcPr>
          <w:p>
            <w:pPr>
              <w:widowControl/>
              <w:jc w:val="left"/>
              <w:rPr>
                <w:color w:val="000000"/>
                <w:kern w:val="0"/>
                <w:sz w:val="18"/>
                <w:szCs w:val="18"/>
                <w:lang w:val="en-US" w:eastAsia="zh-CN" w:bidi="ar-SA"/>
              </w:rPr>
            </w:pPr>
            <w:r>
              <w:rPr>
                <w:rFonts w:hint="eastAsia"/>
                <w:color w:val="000000"/>
                <w:kern w:val="0"/>
                <w:sz w:val="18"/>
                <w:szCs w:val="18"/>
              </w:rPr>
              <w:t>　≥96%</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20" w:lineRule="exact"/>
        <w:jc w:val="left"/>
        <w:rPr>
          <w:rFonts w:ascii="宋体"/>
          <w:sz w:val="32"/>
          <w:szCs w:val="32"/>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580" w:lineRule="exact"/>
        <w:jc w:val="center"/>
        <w:rPr>
          <w:rFonts w:hint="eastAsia" w:ascii="Times New Roman" w:hAnsi="Times New Roman" w:eastAsia="方正小标宋简体" w:cs="Times New Roman"/>
          <w:sz w:val="44"/>
          <w:szCs w:val="44"/>
          <w:lang w:eastAsia="zh-CN"/>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w:t>
      </w:r>
      <w:r>
        <w:rPr>
          <w:rFonts w:hint="eastAsia" w:eastAsia="方正小标宋简体"/>
          <w:sz w:val="44"/>
          <w:szCs w:val="44"/>
          <w:lang w:eastAsia="zh-CN"/>
        </w:rPr>
        <w:t>财政投资评审</w:t>
      </w:r>
      <w:r>
        <w:rPr>
          <w:rFonts w:hint="eastAsia" w:ascii="Times New Roman" w:hAnsi="Times New Roman" w:eastAsia="方正小标宋简体" w:cs="Times New Roman"/>
          <w:sz w:val="44"/>
          <w:szCs w:val="44"/>
          <w:lang w:eastAsia="zh-CN"/>
        </w:rPr>
        <w:t>中心</w:t>
      </w:r>
    </w:p>
    <w:p>
      <w:pPr>
        <w:spacing w:line="580" w:lineRule="exact"/>
        <w:jc w:val="center"/>
        <w:rPr>
          <w:rFonts w:hint="eastAsia" w:eastAsia="方正小标宋简体"/>
          <w:sz w:val="44"/>
          <w:szCs w:val="44"/>
        </w:rPr>
      </w:pPr>
      <w:r>
        <w:rPr>
          <w:rFonts w:hint="eastAsia" w:ascii="Times New Roman" w:hAnsi="Times New Roman" w:eastAsia="方正小标宋简体" w:cs="Times New Roman"/>
          <w:sz w:val="44"/>
          <w:szCs w:val="44"/>
        </w:rPr>
        <w:t>聘请评审工程师工资、保险项目</w:t>
      </w:r>
      <w:r>
        <w:rPr>
          <w:rFonts w:hint="eastAsia" w:eastAsia="方正小标宋简体"/>
          <w:sz w:val="44"/>
          <w:szCs w:val="44"/>
        </w:rPr>
        <w:t>支出</w:t>
      </w:r>
    </w:p>
    <w:p>
      <w:pPr>
        <w:spacing w:line="580" w:lineRule="exact"/>
        <w:jc w:val="center"/>
        <w:rPr>
          <w:rFonts w:eastAsia="方正仿宋简体"/>
          <w:sz w:val="32"/>
          <w:szCs w:val="32"/>
        </w:rPr>
      </w:pPr>
      <w:r>
        <w:rPr>
          <w:rFonts w:hint="eastAsia" w:eastAsia="方正小标宋简体"/>
          <w:sz w:val="44"/>
          <w:szCs w:val="44"/>
        </w:rPr>
        <w:t>绩效自评报告</w:t>
      </w:r>
    </w:p>
    <w:p>
      <w:pPr>
        <w:spacing w:line="700" w:lineRule="exact"/>
        <w:ind w:firstLine="600" w:firstLineChars="200"/>
        <w:rPr>
          <w:rFonts w:eastAsia="方正黑体简体"/>
          <w:sz w:val="32"/>
          <w:szCs w:val="32"/>
        </w:rPr>
      </w:pPr>
      <w:r>
        <w:rPr>
          <w:rFonts w:eastAsia="方正仿宋简体" w:cs="Times New Roman"/>
          <w:sz w:val="30"/>
          <w:szCs w:val="30"/>
        </w:rPr>
        <w:t>根据《</w:t>
      </w:r>
      <w:r>
        <w:rPr>
          <w:rFonts w:hint="eastAsia" w:eastAsia="方正仿宋简体" w:cs="Times New Roman"/>
          <w:sz w:val="30"/>
          <w:szCs w:val="30"/>
        </w:rPr>
        <w:t>乐至县</w:t>
      </w:r>
      <w:r>
        <w:rPr>
          <w:rFonts w:eastAsia="方正仿宋简体" w:cs="Times New Roman"/>
          <w:sz w:val="30"/>
          <w:szCs w:val="30"/>
        </w:rPr>
        <w:t>财政局</w:t>
      </w:r>
      <w:r>
        <w:rPr>
          <w:rFonts w:hint="eastAsia" w:eastAsia="方正仿宋简体" w:cs="Times New Roman"/>
          <w:sz w:val="30"/>
          <w:szCs w:val="30"/>
        </w:rPr>
        <w:t>关于开展</w:t>
      </w:r>
      <w:r>
        <w:rPr>
          <w:rFonts w:eastAsia="方正仿宋简体" w:cs="Times New Roman"/>
          <w:sz w:val="30"/>
          <w:szCs w:val="30"/>
        </w:rPr>
        <w:t>202</w:t>
      </w:r>
      <w:r>
        <w:rPr>
          <w:rFonts w:hint="eastAsia" w:eastAsia="方正仿宋简体" w:cs="Times New Roman"/>
          <w:sz w:val="30"/>
          <w:szCs w:val="30"/>
          <w:lang w:val="en-US" w:eastAsia="zh-CN"/>
        </w:rPr>
        <w:t>3</w:t>
      </w:r>
      <w:r>
        <w:rPr>
          <w:rFonts w:hint="eastAsia" w:eastAsia="方正仿宋简体" w:cs="Times New Roman"/>
          <w:sz w:val="30"/>
          <w:szCs w:val="30"/>
        </w:rPr>
        <w:t>年度财政支出绩效</w:t>
      </w:r>
      <w:r>
        <w:rPr>
          <w:rFonts w:hint="eastAsia" w:eastAsia="方正仿宋简体" w:cs="Times New Roman"/>
          <w:sz w:val="30"/>
          <w:szCs w:val="30"/>
          <w:lang w:eastAsia="zh-CN"/>
        </w:rPr>
        <w:t>自评</w:t>
      </w:r>
      <w:r>
        <w:rPr>
          <w:rFonts w:hint="eastAsia" w:eastAsia="方正仿宋简体" w:cs="Times New Roman"/>
          <w:sz w:val="30"/>
          <w:szCs w:val="30"/>
        </w:rPr>
        <w:t>工</w:t>
      </w:r>
      <w:r>
        <w:rPr>
          <w:rFonts w:hint="eastAsia" w:eastAsia="方正仿宋简体" w:cs="Times New Roman"/>
          <w:sz w:val="30"/>
          <w:szCs w:val="30"/>
          <w:lang w:eastAsia="zh-CN"/>
        </w:rPr>
        <w:t>作</w:t>
      </w:r>
      <w:r>
        <w:rPr>
          <w:rFonts w:hint="eastAsia" w:eastAsia="方正仿宋简体" w:cs="Times New Roman"/>
          <w:sz w:val="30"/>
          <w:szCs w:val="30"/>
        </w:rPr>
        <w:t>的通知</w:t>
      </w:r>
      <w:r>
        <w:rPr>
          <w:rFonts w:eastAsia="方正仿宋简体" w:cs="Times New Roman"/>
          <w:sz w:val="30"/>
          <w:szCs w:val="30"/>
        </w:rPr>
        <w:t>》</w:t>
      </w:r>
      <w:r>
        <w:rPr>
          <w:rFonts w:hint="eastAsia" w:eastAsia="方正仿宋简体" w:cs="Times New Roman"/>
          <w:sz w:val="30"/>
          <w:szCs w:val="30"/>
        </w:rPr>
        <w:t>（乐财监督绩效〔202</w:t>
      </w:r>
      <w:r>
        <w:rPr>
          <w:rFonts w:hint="eastAsia" w:eastAsia="方正仿宋简体" w:cs="Times New Roman"/>
          <w:sz w:val="30"/>
          <w:szCs w:val="30"/>
          <w:lang w:val="en-US" w:eastAsia="zh-CN"/>
        </w:rPr>
        <w:t>4</w:t>
      </w:r>
      <w:r>
        <w:rPr>
          <w:rFonts w:hint="eastAsia" w:eastAsia="方正仿宋简体" w:cs="Times New Roman"/>
          <w:sz w:val="30"/>
          <w:szCs w:val="30"/>
        </w:rPr>
        <w:t>〕</w:t>
      </w:r>
      <w:r>
        <w:rPr>
          <w:rFonts w:hint="eastAsia" w:eastAsia="方正仿宋简体" w:cs="Times New Roman"/>
          <w:sz w:val="30"/>
          <w:szCs w:val="30"/>
          <w:lang w:val="en-US" w:eastAsia="zh-CN"/>
        </w:rPr>
        <w:t>7</w:t>
      </w:r>
      <w:r>
        <w:rPr>
          <w:rFonts w:hint="eastAsia" w:eastAsia="方正仿宋简体" w:cs="Times New Roman"/>
          <w:sz w:val="30"/>
          <w:szCs w:val="30"/>
        </w:rPr>
        <w:t>号）</w:t>
      </w:r>
      <w:r>
        <w:rPr>
          <w:rFonts w:eastAsia="方正仿宋简体" w:cs="Times New Roman"/>
          <w:sz w:val="30"/>
          <w:szCs w:val="30"/>
        </w:rPr>
        <w:t>文件以及</w:t>
      </w:r>
      <w:r>
        <w:rPr>
          <w:rFonts w:hint="eastAsia" w:eastAsia="方正仿宋简体" w:cs="Times New Roman"/>
          <w:sz w:val="30"/>
          <w:szCs w:val="30"/>
        </w:rPr>
        <w:t>乐至县</w:t>
      </w:r>
      <w:r>
        <w:rPr>
          <w:rFonts w:eastAsia="方正仿宋简体" w:cs="Times New Roman"/>
          <w:sz w:val="30"/>
          <w:szCs w:val="30"/>
        </w:rPr>
        <w:t>预算绩效管理工作的相关要求，</w:t>
      </w:r>
      <w:r>
        <w:rPr>
          <w:rFonts w:hint="eastAsia" w:eastAsia="方正仿宋简体" w:cs="Times New Roman"/>
          <w:sz w:val="30"/>
          <w:szCs w:val="30"/>
        </w:rPr>
        <w:t>为建成全方位、全过程、全覆盖的预算绩效管理体系，乐至县财政</w:t>
      </w:r>
      <w:r>
        <w:rPr>
          <w:rFonts w:hint="eastAsia" w:eastAsia="方正仿宋简体" w:cs="Times New Roman"/>
          <w:sz w:val="30"/>
          <w:szCs w:val="30"/>
          <w:lang w:eastAsia="zh-CN"/>
        </w:rPr>
        <w:t>投资评审</w:t>
      </w:r>
      <w:r>
        <w:rPr>
          <w:rFonts w:hint="eastAsia" w:eastAsia="方正仿宋简体" w:cs="Times New Roman"/>
          <w:sz w:val="30"/>
          <w:szCs w:val="30"/>
        </w:rPr>
        <w:t>中心</w:t>
      </w:r>
      <w:r>
        <w:rPr>
          <w:rFonts w:hint="eastAsia" w:eastAsia="方正仿宋简体" w:cs="Times New Roman"/>
          <w:sz w:val="30"/>
          <w:szCs w:val="30"/>
          <w:lang w:eastAsia="zh-CN"/>
        </w:rPr>
        <w:t>成立</w:t>
      </w:r>
      <w:r>
        <w:rPr>
          <w:rFonts w:eastAsia="方正仿宋简体" w:cs="Times New Roman"/>
          <w:sz w:val="30"/>
          <w:szCs w:val="30"/>
        </w:rPr>
        <w:t>绩效自评工作小组，对2</w:t>
      </w:r>
      <w:r>
        <w:rPr>
          <w:rFonts w:ascii="Times New Roman" w:hAnsi="Times New Roman" w:eastAsia="方正仿宋简体" w:cs="Times New Roman"/>
          <w:sz w:val="30"/>
          <w:szCs w:val="30"/>
        </w:rPr>
        <w:t>02</w:t>
      </w:r>
      <w:r>
        <w:rPr>
          <w:rFonts w:hint="eastAsia" w:ascii="Times New Roman" w:hAnsi="Times New Roman" w:eastAsia="方正仿宋简体" w:cs="Times New Roman"/>
          <w:sz w:val="30"/>
          <w:szCs w:val="30"/>
          <w:lang w:val="en-US" w:eastAsia="zh-CN"/>
        </w:rPr>
        <w:t>3</w:t>
      </w:r>
      <w:r>
        <w:rPr>
          <w:rFonts w:hint="eastAsia" w:ascii="Times New Roman" w:hAnsi="Times New Roman" w:eastAsia="方正仿宋简体" w:cs="Times New Roman"/>
          <w:sz w:val="30"/>
          <w:szCs w:val="30"/>
        </w:rPr>
        <w:t>年我单位</w:t>
      </w:r>
      <w:r>
        <w:rPr>
          <w:rFonts w:hint="eastAsia" w:ascii="Times New Roman" w:hAnsi="Times New Roman" w:eastAsia="方正仿宋简体" w:cs="Times New Roman"/>
          <w:sz w:val="30"/>
          <w:szCs w:val="30"/>
          <w:lang w:eastAsia="zh-CN"/>
        </w:rPr>
        <w:t>聘请评审工程师工资、保险</w:t>
      </w:r>
      <w:r>
        <w:rPr>
          <w:rFonts w:hint="eastAsia" w:ascii="Times New Roman" w:hAnsi="Times New Roman" w:eastAsia="方正仿宋简体" w:cs="Times New Roman"/>
          <w:sz w:val="30"/>
          <w:szCs w:val="30"/>
        </w:rPr>
        <w:t>项目支出</w:t>
      </w:r>
      <w:r>
        <w:rPr>
          <w:rFonts w:ascii="Times New Roman" w:hAnsi="Times New Roman" w:eastAsia="方正仿宋简体" w:cs="Times New Roman"/>
          <w:sz w:val="30"/>
          <w:szCs w:val="30"/>
        </w:rPr>
        <w:t>进行绩效自评。现将自评情况报告如下：</w:t>
      </w:r>
    </w:p>
    <w:p>
      <w:pPr>
        <w:numPr>
          <w:ilvl w:val="0"/>
          <w:numId w:val="12"/>
        </w:numPr>
        <w:spacing w:line="580" w:lineRule="exact"/>
        <w:ind w:firstLine="640" w:firstLineChars="200"/>
        <w:rPr>
          <w:rFonts w:hint="eastAsia" w:eastAsia="方正黑体简体"/>
          <w:sz w:val="32"/>
          <w:szCs w:val="32"/>
        </w:rPr>
      </w:pPr>
      <w:r>
        <w:rPr>
          <w:rFonts w:hint="eastAsia" w:eastAsia="方正黑体简体"/>
          <w:sz w:val="32"/>
          <w:szCs w:val="32"/>
        </w:rPr>
        <w:t>项目基本情况</w:t>
      </w:r>
    </w:p>
    <w:p>
      <w:pPr>
        <w:spacing w:line="700" w:lineRule="exact"/>
        <w:ind w:firstLine="600" w:firstLineChars="200"/>
        <w:rPr>
          <w:rFonts w:hint="eastAsia" w:ascii="Times New Roman" w:hAnsi="Times New Roman" w:eastAsia="方正仿宋简体" w:cs="Times New Roman"/>
          <w:sz w:val="30"/>
          <w:szCs w:val="30"/>
          <w:lang w:eastAsia="zh-CN"/>
        </w:rPr>
      </w:pPr>
      <w:r>
        <w:rPr>
          <w:rFonts w:hint="eastAsia" w:ascii="Times New Roman" w:hAnsi="Times New Roman" w:eastAsia="方正仿宋简体" w:cs="Times New Roman"/>
          <w:sz w:val="30"/>
          <w:szCs w:val="30"/>
          <w:lang w:eastAsia="zh-CN"/>
        </w:rPr>
        <w:t>为进一步提高评审工作效率和质量，根据工作需要，县财政投资评审中心聘用评审工程师3名。</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eastAsia="方正仿宋简体"/>
          <w:sz w:val="32"/>
          <w:szCs w:val="32"/>
          <w:lang w:eastAsia="zh-CN"/>
        </w:rPr>
      </w:pPr>
      <w:r>
        <w:rPr>
          <w:rFonts w:hint="eastAsia" w:eastAsia="方正仿宋简体"/>
          <w:sz w:val="32"/>
          <w:szCs w:val="32"/>
          <w:lang w:eastAsia="zh-CN"/>
        </w:rPr>
        <w:t>为确保政府性工程正常开展，</w:t>
      </w:r>
      <w:r>
        <w:rPr>
          <w:rFonts w:hint="eastAsia" w:ascii="Times New Roman" w:hAnsi="Times New Roman" w:eastAsia="方正仿宋简体" w:cs="Times New Roman"/>
          <w:sz w:val="30"/>
          <w:szCs w:val="30"/>
          <w:lang w:eastAsia="zh-CN"/>
        </w:rPr>
        <w:t>进一步提高评审工作效率和质量</w:t>
      </w:r>
      <w:r>
        <w:rPr>
          <w:rFonts w:hint="eastAsia" w:eastAsia="方正仿宋简体" w:cs="Times New Roman"/>
          <w:sz w:val="30"/>
          <w:szCs w:val="30"/>
          <w:lang w:eastAsia="zh-CN"/>
        </w:rPr>
        <w:t>，确保</w:t>
      </w:r>
      <w:r>
        <w:rPr>
          <w:rFonts w:hint="eastAsia" w:eastAsia="方正仿宋简体"/>
          <w:sz w:val="32"/>
          <w:szCs w:val="32"/>
          <w:lang w:eastAsia="zh-CN"/>
        </w:rPr>
        <w:t>前期的财评及时且准确。</w:t>
      </w:r>
    </w:p>
    <w:p>
      <w:pPr>
        <w:numPr>
          <w:ilvl w:val="0"/>
          <w:numId w:val="13"/>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pPr>
        <w:numPr>
          <w:ilvl w:val="0"/>
          <w:numId w:val="0"/>
        </w:numPr>
        <w:spacing w:line="580" w:lineRule="exact"/>
        <w:rPr>
          <w:rFonts w:hint="default" w:eastAsia="方正仿宋简体"/>
          <w:sz w:val="32"/>
          <w:szCs w:val="32"/>
          <w:lang w:val="en-US" w:eastAsia="zh-CN"/>
        </w:rPr>
      </w:pPr>
      <w:r>
        <w:rPr>
          <w:rFonts w:hint="eastAsia" w:eastAsia="方正仿宋简体"/>
          <w:sz w:val="32"/>
          <w:szCs w:val="32"/>
          <w:lang w:val="en-US" w:eastAsia="zh-CN"/>
        </w:rPr>
        <w:t xml:space="preserve">  资金均为县级资金，2023年使用13.53万元。</w:t>
      </w:r>
    </w:p>
    <w:p>
      <w:pPr>
        <w:numPr>
          <w:ilvl w:val="0"/>
          <w:numId w:val="13"/>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pPr>
        <w:numPr>
          <w:ilvl w:val="0"/>
          <w:numId w:val="0"/>
        </w:numPr>
        <w:spacing w:line="580" w:lineRule="exact"/>
        <w:ind w:firstLine="600" w:firstLineChars="200"/>
        <w:rPr>
          <w:rFonts w:hint="eastAsia" w:eastAsia="方正仿宋简体"/>
          <w:sz w:val="32"/>
          <w:szCs w:val="32"/>
          <w:lang w:eastAsia="zh-CN"/>
        </w:rPr>
      </w:pPr>
      <w:r>
        <w:rPr>
          <w:rFonts w:hint="eastAsia" w:ascii="Times New Roman" w:hAnsi="Times New Roman" w:eastAsia="方正仿宋简体" w:cs="Times New Roman"/>
          <w:sz w:val="30"/>
          <w:szCs w:val="30"/>
          <w:lang w:eastAsia="zh-CN"/>
        </w:rPr>
        <w:t>聘请评审工程师工资、保险</w:t>
      </w:r>
      <w:r>
        <w:rPr>
          <w:rFonts w:hint="eastAsia" w:eastAsia="方正仿宋简体"/>
          <w:sz w:val="32"/>
          <w:szCs w:val="32"/>
          <w:lang w:eastAsia="zh-CN"/>
        </w:rPr>
        <w:t>项目均在规定时间内完成，且无明显错误，保障了工程项目施工进度。</w:t>
      </w:r>
    </w:p>
    <w:p>
      <w:pPr>
        <w:numPr>
          <w:ilvl w:val="0"/>
          <w:numId w:val="13"/>
        </w:numPr>
        <w:spacing w:line="580" w:lineRule="exact"/>
        <w:ind w:left="0" w:leftChars="0" w:firstLine="640" w:firstLineChars="200"/>
        <w:rPr>
          <w:rFonts w:hint="eastAsia" w:eastAsia="方正仿宋简体"/>
          <w:sz w:val="32"/>
          <w:szCs w:val="32"/>
        </w:rPr>
      </w:pPr>
      <w:r>
        <w:rPr>
          <w:rFonts w:hint="eastAsia" w:eastAsia="方正仿宋简体"/>
          <w:sz w:val="32"/>
          <w:szCs w:val="32"/>
        </w:rPr>
        <w:t>组织及管理（项目组织、管理流程及实际执行情况）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eastAsia="zh-CN"/>
        </w:rPr>
        <w:t>聘用人员根据单位工作需要，安排工作岗位，落实具体工作任务。遵守单位规章制度及评审工作要求，工作报酬由基本工资、绩效工资两部分构成。绩效工资计提办法，送审额≤</w:t>
      </w:r>
      <w:r>
        <w:rPr>
          <w:rFonts w:hint="eastAsia" w:eastAsia="方正仿宋简体"/>
          <w:sz w:val="32"/>
          <w:szCs w:val="32"/>
          <w:lang w:val="en-US" w:eastAsia="zh-CN"/>
        </w:rPr>
        <w:t>100万元按</w:t>
      </w:r>
      <w:r>
        <w:rPr>
          <w:rFonts w:hint="eastAsia" w:eastAsia="方正仿宋简体"/>
          <w:sz w:val="32"/>
          <w:szCs w:val="32"/>
          <w:lang w:eastAsia="zh-CN"/>
        </w:rPr>
        <w:t>送审额万分之一和审减（增）量的千分之五计提（水利工程、公路按</w:t>
      </w:r>
      <w:r>
        <w:rPr>
          <w:rFonts w:hint="eastAsia" w:eastAsia="方正仿宋简体"/>
          <w:sz w:val="32"/>
          <w:szCs w:val="32"/>
          <w:lang w:val="en-US" w:eastAsia="zh-CN"/>
        </w:rPr>
        <w:t>60%计算），</w:t>
      </w:r>
      <w:r>
        <w:rPr>
          <w:rFonts w:hint="eastAsia" w:eastAsia="方正仿宋简体"/>
          <w:sz w:val="32"/>
          <w:szCs w:val="32"/>
          <w:lang w:eastAsia="zh-CN"/>
        </w:rPr>
        <w:t>送审额大于</w:t>
      </w:r>
      <w:r>
        <w:rPr>
          <w:rFonts w:hint="eastAsia" w:eastAsia="方正仿宋简体"/>
          <w:sz w:val="32"/>
          <w:szCs w:val="32"/>
          <w:lang w:val="en-US" w:eastAsia="zh-CN"/>
        </w:rPr>
        <w:t>100万元按</w:t>
      </w:r>
      <w:r>
        <w:rPr>
          <w:rFonts w:hint="eastAsia" w:eastAsia="方正仿宋简体"/>
          <w:sz w:val="32"/>
          <w:szCs w:val="32"/>
          <w:lang w:eastAsia="zh-CN"/>
        </w:rPr>
        <w:t>送审额万分之零点五和审减（增）量的千分之三计提（水利工程、公路按</w:t>
      </w:r>
      <w:r>
        <w:rPr>
          <w:rFonts w:hint="eastAsia" w:eastAsia="方正仿宋简体"/>
          <w:sz w:val="32"/>
          <w:szCs w:val="32"/>
          <w:lang w:val="en-US" w:eastAsia="zh-CN"/>
        </w:rPr>
        <w:t>60%计算），对个人绩效工资实行总额控制管理，年中预支，年末清算。评审项目123个，</w:t>
      </w:r>
      <w:r>
        <w:rPr>
          <w:rFonts w:hint="eastAsia" w:ascii="仿宋" w:hAnsi="仿宋" w:eastAsia="仿宋" w:cs="宋体"/>
          <w:snapToGrid w:val="0"/>
          <w:color w:val="000000"/>
          <w:kern w:val="0"/>
          <w:sz w:val="32"/>
          <w:szCs w:val="32"/>
          <w:lang w:val="en-US" w:eastAsia="zh-CN"/>
        </w:rPr>
        <w:t>审减金额8000余万元，平均审减率 10.8 %。</w:t>
      </w:r>
      <w:r>
        <w:rPr>
          <w:rFonts w:hint="eastAsia" w:eastAsia="方正仿宋简体"/>
          <w:sz w:val="32"/>
          <w:szCs w:val="32"/>
          <w:lang w:val="en-US" w:eastAsia="zh-CN"/>
        </w:rPr>
        <w:t>2023年实际支付工资、保险13.53万元。</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eastAsia="方正仿宋简体"/>
          <w:sz w:val="32"/>
          <w:szCs w:val="32"/>
        </w:rPr>
      </w:pPr>
      <w:r>
        <w:rPr>
          <w:rFonts w:hint="eastAsia" w:eastAsia="方正仿宋简体"/>
          <w:sz w:val="32"/>
          <w:szCs w:val="32"/>
        </w:rPr>
        <w:t>强化项目事前管理与控制，从源头杜绝高估冒算、弄虚作假的浪费，并按时完成财评，保障项目按进度实施。</w:t>
      </w:r>
    </w:p>
    <w:tbl>
      <w:tblPr>
        <w:tblStyle w:val="17"/>
        <w:tblW w:w="8580" w:type="dxa"/>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31"/>
        <w:gridCol w:w="1920"/>
        <w:gridCol w:w="1994"/>
        <w:gridCol w:w="679"/>
        <w:gridCol w:w="546"/>
        <w:gridCol w:w="646"/>
        <w:gridCol w:w="629"/>
        <w:gridCol w:w="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8" w:hRule="atLeast"/>
          <w:tblCellSpacing w:w="0" w:type="dxa"/>
        </w:trPr>
        <w:tc>
          <w:tcPr>
            <w:tcW w:w="1231" w:type="dxa"/>
            <w:shd w:val="clear" w:color="auto" w:fill="auto"/>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一级指标</w:t>
            </w:r>
          </w:p>
        </w:tc>
        <w:tc>
          <w:tcPr>
            <w:tcW w:w="1920" w:type="dxa"/>
            <w:shd w:val="clear" w:color="auto" w:fill="auto"/>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二级指标</w:t>
            </w:r>
          </w:p>
        </w:tc>
        <w:tc>
          <w:tcPr>
            <w:tcW w:w="1994" w:type="dxa"/>
            <w:shd w:val="clear" w:color="auto" w:fill="auto"/>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三级指标</w:t>
            </w:r>
          </w:p>
        </w:tc>
        <w:tc>
          <w:tcPr>
            <w:tcW w:w="679" w:type="dxa"/>
            <w:shd w:val="clear" w:color="auto" w:fill="auto"/>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指标性质</w:t>
            </w:r>
          </w:p>
        </w:tc>
        <w:tc>
          <w:tcPr>
            <w:tcW w:w="546" w:type="dxa"/>
            <w:shd w:val="clear" w:color="auto" w:fill="auto"/>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指标值</w:t>
            </w:r>
          </w:p>
        </w:tc>
        <w:tc>
          <w:tcPr>
            <w:tcW w:w="646" w:type="dxa"/>
            <w:shd w:val="clear" w:color="auto" w:fill="auto"/>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w:t>
            </w:r>
          </w:p>
        </w:tc>
        <w:tc>
          <w:tcPr>
            <w:tcW w:w="629" w:type="dxa"/>
            <w:shd w:val="clear" w:color="auto" w:fill="auto"/>
            <w:vAlign w:val="center"/>
          </w:tcPr>
          <w:p>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权重</w:t>
            </w:r>
          </w:p>
        </w:tc>
        <w:tc>
          <w:tcPr>
            <w:tcW w:w="935" w:type="dxa"/>
            <w:shd w:val="clear" w:color="auto" w:fill="auto"/>
            <w:vAlign w:val="center"/>
          </w:tcPr>
          <w:p>
            <w:pPr>
              <w:keepNext w:val="0"/>
              <w:keepLines w:val="0"/>
              <w:widowControl/>
              <w:suppressLineNumbers w:val="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2023完成情况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blCellSpacing w:w="0" w:type="dxa"/>
        </w:trPr>
        <w:tc>
          <w:tcPr>
            <w:tcW w:w="123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产出指标</w:t>
            </w:r>
          </w:p>
        </w:tc>
        <w:tc>
          <w:tcPr>
            <w:tcW w:w="19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质量指标</w:t>
            </w:r>
          </w:p>
        </w:tc>
        <w:tc>
          <w:tcPr>
            <w:tcW w:w="1994" w:type="dxa"/>
            <w:shd w:val="clear" w:color="auto" w:fill="auto"/>
            <w:vAlign w:val="center"/>
          </w:tcPr>
          <w:p>
            <w:pPr>
              <w:keepNext w:val="0"/>
              <w:keepLines w:val="0"/>
              <w:widowControl/>
              <w:suppressLineNumbers w:val="0"/>
              <w:jc w:val="left"/>
            </w:pPr>
            <w:r>
              <w:rPr>
                <w:rFonts w:ascii="宋体" w:hAnsi="宋体" w:eastAsia="宋体" w:cs="宋体"/>
                <w:sz w:val="24"/>
                <w:szCs w:val="24"/>
              </w:rPr>
              <w:t>人员到岗情况，履职情况</w:t>
            </w:r>
          </w:p>
        </w:tc>
        <w:tc>
          <w:tcPr>
            <w:tcW w:w="679" w:type="dxa"/>
            <w:shd w:val="clear" w:color="auto" w:fill="auto"/>
            <w:vAlign w:val="center"/>
          </w:tcPr>
          <w:p>
            <w:pPr>
              <w:keepNext w:val="0"/>
              <w:keepLines w:val="0"/>
              <w:widowControl/>
              <w:suppressLineNumbers w:val="0"/>
              <w:jc w:val="left"/>
              <w:rPr>
                <w:rFonts w:hint="eastAsia" w:eastAsia="宋体"/>
                <w:lang w:eastAsia="zh-CN"/>
              </w:rPr>
            </w:pPr>
            <w:r>
              <w:rPr>
                <w:rFonts w:hint="eastAsia"/>
                <w:lang w:eastAsia="zh-CN"/>
              </w:rPr>
              <w:t>定性</w:t>
            </w:r>
          </w:p>
        </w:tc>
        <w:tc>
          <w:tcPr>
            <w:tcW w:w="546" w:type="dxa"/>
            <w:shd w:val="clear" w:color="auto" w:fill="auto"/>
            <w:vAlign w:val="center"/>
          </w:tcPr>
          <w:p>
            <w:pPr>
              <w:keepNext w:val="0"/>
              <w:keepLines w:val="0"/>
              <w:widowControl/>
              <w:suppressLineNumbers w:val="0"/>
              <w:jc w:val="left"/>
              <w:rPr>
                <w:rFonts w:hint="eastAsia" w:eastAsia="宋体"/>
                <w:lang w:eastAsia="zh-CN"/>
              </w:rPr>
            </w:pPr>
            <w:r>
              <w:rPr>
                <w:rFonts w:hint="eastAsia"/>
                <w:lang w:eastAsia="zh-CN"/>
              </w:rPr>
              <w:t>高</w:t>
            </w:r>
          </w:p>
        </w:tc>
        <w:tc>
          <w:tcPr>
            <w:tcW w:w="646" w:type="dxa"/>
            <w:shd w:val="clear" w:color="auto" w:fill="auto"/>
            <w:vAlign w:val="center"/>
          </w:tcPr>
          <w:p>
            <w:pPr>
              <w:keepNext w:val="0"/>
              <w:keepLines w:val="0"/>
              <w:widowControl/>
              <w:suppressLineNumbers w:val="0"/>
              <w:jc w:val="left"/>
            </w:pPr>
          </w:p>
        </w:tc>
        <w:tc>
          <w:tcPr>
            <w:tcW w:w="629" w:type="dxa"/>
            <w:shd w:val="clear" w:color="auto" w:fill="auto"/>
            <w:vAlign w:val="center"/>
          </w:tcPr>
          <w:p>
            <w:pPr>
              <w:keepNext w:val="0"/>
              <w:keepLines w:val="0"/>
              <w:widowControl/>
              <w:suppressLineNumbers w:val="0"/>
              <w:jc w:val="left"/>
              <w:rPr>
                <w:rFonts w:hint="default" w:eastAsia="宋体"/>
                <w:lang w:val="en-US" w:eastAsia="zh-CN"/>
              </w:rPr>
            </w:pPr>
            <w:r>
              <w:rPr>
                <w:rFonts w:hint="eastAsia"/>
                <w:lang w:val="en-US" w:eastAsia="zh-CN"/>
              </w:rPr>
              <w:t>20</w:t>
            </w:r>
          </w:p>
        </w:tc>
        <w:tc>
          <w:tcPr>
            <w:tcW w:w="935" w:type="dxa"/>
            <w:shd w:val="clear" w:color="auto" w:fill="auto"/>
            <w:vAlign w:val="center"/>
          </w:tcPr>
          <w:p>
            <w:pPr>
              <w:keepNext w:val="0"/>
              <w:keepLines w:val="0"/>
              <w:widowControl/>
              <w:suppressLineNumbers w:val="0"/>
              <w:jc w:val="left"/>
              <w:rPr>
                <w:rFonts w:hint="default"/>
                <w:lang w:val="en-US"/>
              </w:rPr>
            </w:pPr>
            <w:r>
              <w:rPr>
                <w:rFonts w:ascii="宋体" w:hAnsi="宋体" w:eastAsia="宋体" w:cs="宋体"/>
                <w:kern w:val="0"/>
                <w:sz w:val="24"/>
                <w:szCs w:val="24"/>
                <w:lang w:val="en-US" w:eastAsia="zh-CN" w:bidi="ar"/>
              </w:rPr>
              <w:t>　</w:t>
            </w:r>
            <w:r>
              <w:rPr>
                <w:rFonts w:hint="eastAsia" w:ascii="宋体" w:hAnsi="宋体" w:cs="宋体"/>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123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产出指标</w:t>
            </w:r>
          </w:p>
        </w:tc>
        <w:tc>
          <w:tcPr>
            <w:tcW w:w="19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数量指标</w:t>
            </w:r>
          </w:p>
        </w:tc>
        <w:tc>
          <w:tcPr>
            <w:tcW w:w="1994" w:type="dxa"/>
            <w:shd w:val="clear" w:color="auto" w:fill="auto"/>
            <w:vAlign w:val="center"/>
          </w:tcPr>
          <w:p>
            <w:pPr>
              <w:keepNext w:val="0"/>
              <w:keepLines w:val="0"/>
              <w:widowControl/>
              <w:suppressLineNumbers w:val="0"/>
              <w:jc w:val="left"/>
            </w:pPr>
            <w:r>
              <w:rPr>
                <w:rFonts w:ascii="宋体" w:hAnsi="宋体" w:eastAsia="宋体" w:cs="宋体"/>
                <w:sz w:val="24"/>
                <w:szCs w:val="24"/>
              </w:rPr>
              <w:t>人数</w:t>
            </w:r>
          </w:p>
        </w:tc>
        <w:tc>
          <w:tcPr>
            <w:tcW w:w="679" w:type="dxa"/>
            <w:shd w:val="clear" w:color="auto" w:fill="auto"/>
            <w:vAlign w:val="center"/>
          </w:tcPr>
          <w:p>
            <w:pPr>
              <w:keepNext w:val="0"/>
              <w:keepLines w:val="0"/>
              <w:widowControl/>
              <w:suppressLineNumbers w:val="0"/>
              <w:jc w:val="left"/>
              <w:rPr>
                <w:rFonts w:hint="eastAsia" w:eastAsia="宋体"/>
                <w:lang w:val="en-US" w:eastAsia="zh-CN"/>
              </w:rPr>
            </w:pPr>
            <w:r>
              <w:rPr>
                <w:rFonts w:hint="eastAsia"/>
                <w:lang w:val="en-US" w:eastAsia="zh-CN"/>
              </w:rPr>
              <w:t>=</w:t>
            </w:r>
          </w:p>
        </w:tc>
        <w:tc>
          <w:tcPr>
            <w:tcW w:w="546" w:type="dxa"/>
            <w:shd w:val="clear" w:color="auto" w:fill="auto"/>
            <w:vAlign w:val="center"/>
          </w:tcPr>
          <w:p>
            <w:pPr>
              <w:keepNext w:val="0"/>
              <w:keepLines w:val="0"/>
              <w:widowControl/>
              <w:suppressLineNumbers w:val="0"/>
              <w:jc w:val="left"/>
              <w:rPr>
                <w:rFonts w:hint="eastAsia" w:eastAsia="宋体"/>
                <w:lang w:val="en-US" w:eastAsia="zh-CN"/>
              </w:rPr>
            </w:pPr>
            <w:r>
              <w:rPr>
                <w:rFonts w:hint="eastAsia"/>
                <w:lang w:val="en-US" w:eastAsia="zh-CN"/>
              </w:rPr>
              <w:t>3</w:t>
            </w:r>
          </w:p>
        </w:tc>
        <w:tc>
          <w:tcPr>
            <w:tcW w:w="646" w:type="dxa"/>
            <w:shd w:val="clear" w:color="auto" w:fill="auto"/>
            <w:vAlign w:val="center"/>
          </w:tcPr>
          <w:p>
            <w:pPr>
              <w:keepNext w:val="0"/>
              <w:keepLines w:val="0"/>
              <w:widowControl/>
              <w:suppressLineNumbers w:val="0"/>
              <w:jc w:val="left"/>
              <w:rPr>
                <w:rFonts w:hint="eastAsia" w:eastAsia="宋体"/>
                <w:lang w:eastAsia="zh-CN"/>
              </w:rPr>
            </w:pPr>
            <w:r>
              <w:rPr>
                <w:rFonts w:hint="eastAsia"/>
                <w:lang w:eastAsia="zh-CN"/>
              </w:rPr>
              <w:t>人</w:t>
            </w:r>
          </w:p>
        </w:tc>
        <w:tc>
          <w:tcPr>
            <w:tcW w:w="629"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20</w:t>
            </w:r>
          </w:p>
        </w:tc>
        <w:tc>
          <w:tcPr>
            <w:tcW w:w="935" w:type="dxa"/>
            <w:shd w:val="clear" w:color="auto" w:fill="auto"/>
            <w:vAlign w:val="center"/>
          </w:tcPr>
          <w:p>
            <w:pPr>
              <w:keepNext w:val="0"/>
              <w:keepLines w:val="0"/>
              <w:widowControl/>
              <w:suppressLineNumbers w:val="0"/>
              <w:jc w:val="left"/>
              <w:rPr>
                <w:rFonts w:hint="default"/>
                <w:lang w:val="en-US"/>
              </w:rPr>
            </w:pPr>
            <w:r>
              <w:rPr>
                <w:rFonts w:ascii="宋体" w:hAnsi="宋体" w:eastAsia="宋体" w:cs="宋体"/>
                <w:kern w:val="0"/>
                <w:sz w:val="24"/>
                <w:szCs w:val="24"/>
                <w:lang w:val="en-US" w:eastAsia="zh-CN" w:bidi="ar"/>
              </w:rPr>
              <w:t>　</w:t>
            </w:r>
            <w:r>
              <w:rPr>
                <w:rFonts w:hint="eastAsia" w:ascii="宋体" w:hAnsi="宋体" w:eastAsia="宋体" w:cs="宋体"/>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123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效益指标</w:t>
            </w:r>
          </w:p>
        </w:tc>
        <w:tc>
          <w:tcPr>
            <w:tcW w:w="1920" w:type="dxa"/>
            <w:shd w:val="clear" w:color="auto" w:fill="auto"/>
            <w:vAlign w:val="center"/>
          </w:tcPr>
          <w:p>
            <w:pPr>
              <w:keepNext w:val="0"/>
              <w:keepLines w:val="0"/>
              <w:widowControl/>
              <w:suppressLineNumbers w:val="0"/>
              <w:jc w:val="left"/>
            </w:pPr>
            <w:r>
              <w:rPr>
                <w:rFonts w:hint="eastAsia" w:ascii="宋体" w:hAnsi="宋体" w:cs="宋体"/>
                <w:kern w:val="0"/>
                <w:sz w:val="24"/>
                <w:szCs w:val="24"/>
                <w:lang w:val="en-US" w:eastAsia="zh-CN" w:bidi="ar"/>
              </w:rPr>
              <w:t>社会</w:t>
            </w:r>
            <w:r>
              <w:rPr>
                <w:rFonts w:ascii="宋体" w:hAnsi="宋体" w:eastAsia="宋体" w:cs="宋体"/>
                <w:kern w:val="0"/>
                <w:sz w:val="24"/>
                <w:szCs w:val="24"/>
                <w:lang w:val="en-US" w:eastAsia="zh-CN" w:bidi="ar"/>
              </w:rPr>
              <w:t>效益指标</w:t>
            </w:r>
          </w:p>
        </w:tc>
        <w:tc>
          <w:tcPr>
            <w:tcW w:w="1994" w:type="dxa"/>
            <w:shd w:val="clear" w:color="auto" w:fill="auto"/>
            <w:vAlign w:val="center"/>
          </w:tcPr>
          <w:p>
            <w:pPr>
              <w:keepNext w:val="0"/>
              <w:keepLines w:val="0"/>
              <w:widowControl/>
              <w:suppressLineNumbers w:val="0"/>
              <w:jc w:val="left"/>
            </w:pPr>
            <w:r>
              <w:rPr>
                <w:rFonts w:ascii="宋体" w:hAnsi="宋体" w:eastAsia="宋体" w:cs="宋体"/>
                <w:sz w:val="24"/>
                <w:szCs w:val="24"/>
              </w:rPr>
              <w:t>增加我中心评审能力，进一步提高评审工作和质量</w:t>
            </w:r>
          </w:p>
        </w:tc>
        <w:tc>
          <w:tcPr>
            <w:tcW w:w="679" w:type="dxa"/>
            <w:shd w:val="clear" w:color="auto" w:fill="auto"/>
            <w:vAlign w:val="center"/>
          </w:tcPr>
          <w:p>
            <w:pPr>
              <w:keepNext w:val="0"/>
              <w:keepLines w:val="0"/>
              <w:widowControl/>
              <w:suppressLineNumbers w:val="0"/>
              <w:jc w:val="left"/>
              <w:rPr>
                <w:rFonts w:hint="eastAsia" w:eastAsia="宋体"/>
                <w:lang w:eastAsia="zh-CN"/>
              </w:rPr>
            </w:pPr>
            <w:r>
              <w:rPr>
                <w:rFonts w:hint="eastAsia"/>
                <w:lang w:eastAsia="zh-CN"/>
              </w:rPr>
              <w:t>定性</w:t>
            </w:r>
          </w:p>
        </w:tc>
        <w:tc>
          <w:tcPr>
            <w:tcW w:w="546" w:type="dxa"/>
            <w:shd w:val="clear" w:color="auto" w:fill="auto"/>
            <w:vAlign w:val="center"/>
          </w:tcPr>
          <w:p>
            <w:pPr>
              <w:keepNext w:val="0"/>
              <w:keepLines w:val="0"/>
              <w:widowControl/>
              <w:suppressLineNumbers w:val="0"/>
              <w:jc w:val="left"/>
              <w:rPr>
                <w:rFonts w:hint="eastAsia" w:eastAsia="宋体"/>
                <w:lang w:eastAsia="zh-CN"/>
              </w:rPr>
            </w:pPr>
            <w:r>
              <w:rPr>
                <w:rFonts w:hint="eastAsia"/>
                <w:lang w:eastAsia="zh-CN"/>
              </w:rPr>
              <w:t>高</w:t>
            </w:r>
          </w:p>
        </w:tc>
        <w:tc>
          <w:tcPr>
            <w:tcW w:w="646"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w:t>
            </w:r>
          </w:p>
        </w:tc>
        <w:tc>
          <w:tcPr>
            <w:tcW w:w="629"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20</w:t>
            </w:r>
          </w:p>
        </w:tc>
        <w:tc>
          <w:tcPr>
            <w:tcW w:w="935" w:type="dxa"/>
            <w:shd w:val="clear" w:color="auto" w:fill="auto"/>
            <w:vAlign w:val="center"/>
          </w:tcPr>
          <w:p>
            <w:pPr>
              <w:keepNext w:val="0"/>
              <w:keepLines w:val="0"/>
              <w:widowControl/>
              <w:suppressLineNumbers w:val="0"/>
              <w:jc w:val="left"/>
              <w:rPr>
                <w:rFonts w:hint="default"/>
                <w:lang w:val="en-US"/>
              </w:rPr>
            </w:pPr>
            <w:r>
              <w:rPr>
                <w:rFonts w:ascii="宋体" w:hAnsi="宋体" w:eastAsia="宋体" w:cs="宋体"/>
                <w:kern w:val="0"/>
                <w:sz w:val="24"/>
                <w:szCs w:val="24"/>
                <w:lang w:val="en-US" w:eastAsia="zh-CN" w:bidi="ar"/>
              </w:rPr>
              <w:t>　</w:t>
            </w:r>
            <w:r>
              <w:rPr>
                <w:rFonts w:hint="eastAsia" w:ascii="宋体" w:hAnsi="宋体" w:eastAsia="宋体" w:cs="宋体"/>
                <w:kern w:val="0"/>
                <w:sz w:val="24"/>
                <w:szCs w:val="24"/>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123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满意度指标</w:t>
            </w:r>
          </w:p>
        </w:tc>
        <w:tc>
          <w:tcPr>
            <w:tcW w:w="19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服务对象满意度指标</w:t>
            </w:r>
          </w:p>
        </w:tc>
        <w:tc>
          <w:tcPr>
            <w:tcW w:w="1994" w:type="dxa"/>
            <w:shd w:val="clear" w:color="auto" w:fill="auto"/>
            <w:vAlign w:val="center"/>
          </w:tcPr>
          <w:p>
            <w:pPr>
              <w:keepNext w:val="0"/>
              <w:keepLines w:val="0"/>
              <w:widowControl/>
              <w:suppressLineNumbers w:val="0"/>
              <w:jc w:val="left"/>
            </w:pPr>
            <w:r>
              <w:rPr>
                <w:rFonts w:ascii="宋体" w:hAnsi="宋体" w:eastAsia="宋体" w:cs="宋体"/>
                <w:sz w:val="24"/>
                <w:szCs w:val="24"/>
              </w:rPr>
              <w:t>满意度指标</w:t>
            </w:r>
          </w:p>
        </w:tc>
        <w:tc>
          <w:tcPr>
            <w:tcW w:w="679"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w:t>
            </w:r>
          </w:p>
        </w:tc>
        <w:tc>
          <w:tcPr>
            <w:tcW w:w="546"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95</w:t>
            </w:r>
          </w:p>
        </w:tc>
        <w:tc>
          <w:tcPr>
            <w:tcW w:w="646"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w:t>
            </w:r>
          </w:p>
        </w:tc>
        <w:tc>
          <w:tcPr>
            <w:tcW w:w="629" w:type="dxa"/>
            <w:shd w:val="clear" w:color="auto" w:fill="auto"/>
            <w:vAlign w:val="center"/>
          </w:tcPr>
          <w:p>
            <w:pPr>
              <w:keepNext w:val="0"/>
              <w:keepLines w:val="0"/>
              <w:widowControl/>
              <w:suppressLineNumbers w:val="0"/>
              <w:jc w:val="left"/>
              <w:rPr>
                <w:rFonts w:hint="default" w:eastAsia="宋体"/>
                <w:lang w:val="en-US" w:eastAsia="zh-CN"/>
              </w:rPr>
            </w:pPr>
            <w:r>
              <w:rPr>
                <w:rFonts w:hint="eastAsia"/>
                <w:lang w:val="en-US" w:eastAsia="zh-CN"/>
              </w:rPr>
              <w:t>10</w:t>
            </w:r>
          </w:p>
        </w:tc>
        <w:tc>
          <w:tcPr>
            <w:tcW w:w="935" w:type="dxa"/>
            <w:shd w:val="clear" w:color="auto" w:fill="auto"/>
            <w:vAlign w:val="center"/>
          </w:tcPr>
          <w:p>
            <w:pPr>
              <w:keepNext w:val="0"/>
              <w:keepLines w:val="0"/>
              <w:widowControl/>
              <w:suppressLineNumbers w:val="0"/>
              <w:jc w:val="left"/>
              <w:rPr>
                <w:rFonts w:hint="default"/>
                <w:lang w:val="en-US"/>
              </w:rPr>
            </w:pPr>
            <w:r>
              <w:rPr>
                <w:rFonts w:ascii="宋体" w:hAnsi="宋体" w:eastAsia="宋体" w:cs="宋体"/>
                <w:kern w:val="0"/>
                <w:sz w:val="24"/>
                <w:szCs w:val="24"/>
                <w:lang w:val="en-US" w:eastAsia="zh-CN" w:bidi="ar"/>
              </w:rPr>
              <w:t>　</w:t>
            </w:r>
            <w:r>
              <w:rPr>
                <w:rFonts w:hint="eastAsia" w:ascii="宋体" w:hAnsi="宋体" w:cs="宋体"/>
                <w:kern w:val="0"/>
                <w:sz w:val="24"/>
                <w:szCs w:val="24"/>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0" w:type="dxa"/>
        </w:trPr>
        <w:tc>
          <w:tcPr>
            <w:tcW w:w="1231"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成本指标</w:t>
            </w:r>
          </w:p>
        </w:tc>
        <w:tc>
          <w:tcPr>
            <w:tcW w:w="192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经济成本指标</w:t>
            </w:r>
          </w:p>
        </w:tc>
        <w:tc>
          <w:tcPr>
            <w:tcW w:w="1994" w:type="dxa"/>
            <w:shd w:val="clear" w:color="auto" w:fill="auto"/>
            <w:vAlign w:val="center"/>
          </w:tcPr>
          <w:p>
            <w:pPr>
              <w:keepNext w:val="0"/>
              <w:keepLines w:val="0"/>
              <w:widowControl/>
              <w:suppressLineNumbers w:val="0"/>
              <w:jc w:val="left"/>
            </w:pPr>
            <w:r>
              <w:rPr>
                <w:rFonts w:hint="eastAsia" w:ascii="宋体" w:hAnsi="宋体" w:cs="宋体"/>
                <w:kern w:val="0"/>
                <w:sz w:val="24"/>
                <w:szCs w:val="24"/>
                <w:lang w:val="en-US" w:eastAsia="zh-CN" w:bidi="ar"/>
              </w:rPr>
              <w:t>劳务</w:t>
            </w:r>
            <w:r>
              <w:rPr>
                <w:rFonts w:ascii="宋体" w:hAnsi="宋体" w:eastAsia="宋体" w:cs="宋体"/>
                <w:kern w:val="0"/>
                <w:sz w:val="24"/>
                <w:szCs w:val="24"/>
                <w:lang w:val="en-US" w:eastAsia="zh-CN" w:bidi="ar"/>
              </w:rPr>
              <w:t>费</w:t>
            </w:r>
          </w:p>
        </w:tc>
        <w:tc>
          <w:tcPr>
            <w:tcW w:w="679"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w:t>
            </w:r>
          </w:p>
        </w:tc>
        <w:tc>
          <w:tcPr>
            <w:tcW w:w="546" w:type="dxa"/>
            <w:shd w:val="clear" w:color="auto" w:fill="auto"/>
            <w:vAlign w:val="center"/>
          </w:tcPr>
          <w:p>
            <w:pPr>
              <w:keepNext w:val="0"/>
              <w:keepLines w:val="0"/>
              <w:widowControl/>
              <w:suppressLineNumbers w:val="0"/>
              <w:jc w:val="left"/>
              <w:rPr>
                <w:rFonts w:hint="eastAsia" w:eastAsia="宋体"/>
                <w:lang w:eastAsia="zh-CN"/>
              </w:rPr>
            </w:pPr>
            <w:r>
              <w:rPr>
                <w:rFonts w:hint="eastAsia"/>
                <w:lang w:eastAsia="zh-CN"/>
              </w:rPr>
              <w:t>预算金额</w:t>
            </w:r>
          </w:p>
        </w:tc>
        <w:tc>
          <w:tcPr>
            <w:tcW w:w="646" w:type="dxa"/>
            <w:shd w:val="clear" w:color="auto" w:fill="auto"/>
            <w:vAlign w:val="center"/>
          </w:tcPr>
          <w:p>
            <w:pPr>
              <w:keepNext w:val="0"/>
              <w:keepLines w:val="0"/>
              <w:widowControl/>
              <w:suppressLineNumbers w:val="0"/>
              <w:jc w:val="left"/>
            </w:pPr>
          </w:p>
        </w:tc>
        <w:tc>
          <w:tcPr>
            <w:tcW w:w="629"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5</w:t>
            </w:r>
          </w:p>
        </w:tc>
        <w:tc>
          <w:tcPr>
            <w:tcW w:w="935" w:type="dxa"/>
            <w:shd w:val="clear" w:color="auto" w:fill="auto"/>
            <w:vAlign w:val="center"/>
          </w:tcPr>
          <w:p>
            <w:pPr>
              <w:keepNext w:val="0"/>
              <w:keepLines w:val="0"/>
              <w:widowControl/>
              <w:suppressLineNumbers w:val="0"/>
              <w:jc w:val="left"/>
              <w:rPr>
                <w:rFonts w:hint="default"/>
                <w:lang w:val="en-US"/>
              </w:rPr>
            </w:pPr>
            <w:r>
              <w:rPr>
                <w:rFonts w:ascii="宋体" w:hAnsi="宋体" w:eastAsia="宋体" w:cs="宋体"/>
                <w:kern w:val="0"/>
                <w:sz w:val="24"/>
                <w:szCs w:val="24"/>
                <w:lang w:val="en-US" w:eastAsia="zh-CN" w:bidi="ar"/>
              </w:rPr>
              <w:t>　</w:t>
            </w:r>
            <w:r>
              <w:rPr>
                <w:rFonts w:hint="eastAsia" w:ascii="宋体" w:hAnsi="宋体" w:cs="宋体"/>
                <w:kern w:val="0"/>
                <w:sz w:val="24"/>
                <w:szCs w:val="24"/>
                <w:lang w:val="en-US" w:eastAsia="zh-CN" w:bidi="ar"/>
              </w:rPr>
              <w:t>20</w:t>
            </w:r>
          </w:p>
        </w:tc>
      </w:tr>
    </w:tbl>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组长：鲜航</w:t>
      </w:r>
    </w:p>
    <w:p>
      <w:pPr>
        <w:spacing w:line="580" w:lineRule="exact"/>
        <w:ind w:firstLine="640" w:firstLineChars="200"/>
        <w:rPr>
          <w:rFonts w:hint="eastAsia" w:eastAsia="方正仿宋简体"/>
          <w:sz w:val="32"/>
          <w:szCs w:val="32"/>
          <w:lang w:val="en-US" w:eastAsia="zh-CN"/>
        </w:rPr>
      </w:pPr>
      <w:r>
        <w:rPr>
          <w:rFonts w:hint="eastAsia" w:eastAsia="方正仿宋简体"/>
          <w:sz w:val="32"/>
          <w:szCs w:val="32"/>
          <w:lang w:val="en-US" w:eastAsia="zh-CN"/>
        </w:rPr>
        <w:t>成员：孟玉华、闵小凤</w:t>
      </w:r>
    </w:p>
    <w:p>
      <w:pPr>
        <w:numPr>
          <w:ilvl w:val="0"/>
          <w:numId w:val="14"/>
        </w:numPr>
        <w:spacing w:line="580" w:lineRule="exact"/>
        <w:ind w:left="-13" w:leftChars="0" w:firstLine="643" w:firstLineChars="0"/>
        <w:rPr>
          <w:rFonts w:hint="eastAsia" w:eastAsia="方正楷体简体"/>
          <w:b/>
          <w:sz w:val="32"/>
          <w:szCs w:val="32"/>
        </w:rPr>
      </w:pPr>
      <w:r>
        <w:rPr>
          <w:rFonts w:hint="eastAsia" w:eastAsia="方正楷体简体"/>
          <w:b/>
          <w:sz w:val="32"/>
          <w:szCs w:val="32"/>
        </w:rPr>
        <w:t>自评方式、方法、重点等</w:t>
      </w:r>
    </w:p>
    <w:p>
      <w:pPr>
        <w:spacing w:line="580" w:lineRule="exact"/>
        <w:ind w:firstLine="640" w:firstLineChars="200"/>
        <w:rPr>
          <w:rFonts w:hint="eastAsia" w:eastAsia="方正仿宋简体"/>
          <w:sz w:val="32"/>
          <w:szCs w:val="32"/>
          <w:lang w:val="zh-CN" w:eastAsia="zh-CN"/>
        </w:rPr>
      </w:pPr>
      <w:r>
        <w:rPr>
          <w:rFonts w:hint="eastAsia" w:eastAsia="方正仿宋简体"/>
          <w:sz w:val="32"/>
          <w:szCs w:val="32"/>
          <w:lang w:val="zh-CN" w:eastAsia="zh-CN"/>
        </w:rPr>
        <w:t>1、对预算进行对比</w:t>
      </w:r>
    </w:p>
    <w:p>
      <w:pPr>
        <w:spacing w:line="580" w:lineRule="exact"/>
        <w:ind w:firstLine="640" w:firstLineChars="200"/>
        <w:rPr>
          <w:rFonts w:hint="eastAsia" w:eastAsia="方正仿宋简体"/>
          <w:sz w:val="32"/>
          <w:szCs w:val="32"/>
          <w:lang w:val="zh-CN" w:eastAsia="zh-CN"/>
        </w:rPr>
      </w:pPr>
      <w:r>
        <w:rPr>
          <w:rFonts w:hint="eastAsia" w:eastAsia="方正仿宋简体"/>
          <w:sz w:val="32"/>
          <w:szCs w:val="32"/>
          <w:lang w:val="zh-CN" w:eastAsia="zh-CN"/>
        </w:rPr>
        <w:t>2、对执行管理情况进行查阅</w:t>
      </w:r>
    </w:p>
    <w:p>
      <w:pPr>
        <w:spacing w:line="580" w:lineRule="exact"/>
        <w:ind w:firstLine="640" w:firstLineChars="200"/>
        <w:rPr>
          <w:rFonts w:hint="eastAsia" w:eastAsia="方正仿宋简体"/>
          <w:sz w:val="32"/>
          <w:szCs w:val="32"/>
          <w:lang w:val="zh-CN" w:eastAsia="zh-CN"/>
        </w:rPr>
      </w:pPr>
      <w:r>
        <w:rPr>
          <w:rFonts w:hint="eastAsia" w:eastAsia="方正仿宋简体"/>
          <w:sz w:val="32"/>
          <w:szCs w:val="32"/>
          <w:lang w:val="zh-CN" w:eastAsia="zh-CN"/>
        </w:rPr>
        <w:t>3、对项目进行现场查看</w:t>
      </w:r>
    </w:p>
    <w:p>
      <w:pPr>
        <w:spacing w:line="580" w:lineRule="exact"/>
        <w:ind w:firstLine="640" w:firstLineChars="200"/>
        <w:rPr>
          <w:rFonts w:hint="eastAsia" w:eastAsia="方正仿宋简体"/>
          <w:sz w:val="32"/>
          <w:szCs w:val="32"/>
          <w:lang w:val="zh-CN" w:eastAsia="zh-CN"/>
        </w:rPr>
      </w:pPr>
      <w:r>
        <w:rPr>
          <w:rFonts w:hint="eastAsia" w:eastAsia="方正仿宋简体"/>
          <w:sz w:val="32"/>
          <w:szCs w:val="32"/>
          <w:lang w:val="zh-CN" w:eastAsia="zh-CN"/>
        </w:rPr>
        <w:t>4、结合评价体系进行分析总结</w:t>
      </w:r>
    </w:p>
    <w:p>
      <w:pPr>
        <w:spacing w:line="580" w:lineRule="exact"/>
        <w:ind w:firstLine="640" w:firstLineChars="200"/>
        <w:rPr>
          <w:rFonts w:hint="eastAsia" w:eastAsia="方正仿宋简体"/>
          <w:sz w:val="32"/>
          <w:szCs w:val="32"/>
          <w:lang w:val="zh-CN" w:eastAsia="zh-CN"/>
        </w:rPr>
      </w:pPr>
      <w:r>
        <w:rPr>
          <w:rFonts w:hint="eastAsia" w:eastAsia="方正仿宋简体"/>
          <w:sz w:val="32"/>
          <w:szCs w:val="32"/>
          <w:lang w:val="zh-CN" w:eastAsia="zh-CN"/>
        </w:rPr>
        <w:t>5、得出结论</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eastAsia="方正仿宋简体"/>
          <w:sz w:val="32"/>
          <w:szCs w:val="32"/>
        </w:rPr>
      </w:pPr>
      <w:r>
        <w:rPr>
          <w:rFonts w:hint="eastAsia" w:ascii="仿宋" w:hAnsi="仿宋" w:eastAsia="仿宋" w:cs="宋体"/>
          <w:snapToGrid w:val="0"/>
          <w:color w:val="000000"/>
          <w:kern w:val="0"/>
          <w:sz w:val="32"/>
          <w:szCs w:val="32"/>
        </w:rPr>
        <w:t>自评分为：</w:t>
      </w:r>
      <w:r>
        <w:rPr>
          <w:rFonts w:hint="eastAsia" w:ascii="仿宋" w:hAnsi="仿宋" w:eastAsia="仿宋" w:cs="宋体"/>
          <w:snapToGrid w:val="0"/>
          <w:color w:val="000000"/>
          <w:kern w:val="0"/>
          <w:sz w:val="32"/>
          <w:szCs w:val="32"/>
          <w:lang w:val="en-US" w:eastAsia="zh-CN"/>
        </w:rPr>
        <w:t>99</w:t>
      </w:r>
      <w:r>
        <w:rPr>
          <w:rFonts w:hint="eastAsia" w:ascii="仿宋" w:hAnsi="仿宋" w:eastAsia="仿宋" w:cs="宋体"/>
          <w:snapToGrid w:val="0"/>
          <w:color w:val="000000"/>
          <w:kern w:val="0"/>
          <w:sz w:val="32"/>
          <w:szCs w:val="32"/>
        </w:rPr>
        <w:t>分，</w:t>
      </w:r>
      <w:r>
        <w:rPr>
          <w:rFonts w:hint="eastAsia" w:eastAsia="方正仿宋简体"/>
          <w:sz w:val="32"/>
          <w:szCs w:val="32"/>
        </w:rPr>
        <w:t>依据《乐至县财政支出绩效评价管理办法》规定确定绩效等级</w:t>
      </w:r>
      <w:r>
        <w:rPr>
          <w:rFonts w:hint="eastAsia" w:eastAsia="方正仿宋简体"/>
          <w:sz w:val="32"/>
          <w:szCs w:val="32"/>
          <w:lang w:eastAsia="zh-CN"/>
        </w:rPr>
        <w:t>为优</w:t>
      </w:r>
      <w:r>
        <w:rPr>
          <w:rFonts w:hint="eastAsia" w:eastAsia="方正仿宋简体"/>
          <w:sz w:val="32"/>
          <w:szCs w:val="32"/>
        </w:rPr>
        <w:t>。</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320" w:firstLineChars="100"/>
        <w:rPr>
          <w:rFonts w:hint="eastAsia" w:ascii="宋体" w:hAnsi="宋体" w:eastAsia="方正仿宋简体" w:cs="宋体"/>
          <w:kern w:val="0"/>
          <w:sz w:val="32"/>
          <w:szCs w:val="32"/>
          <w:lang w:val="zh-CN" w:eastAsia="zh-CN" w:bidi="ar-SA"/>
        </w:rPr>
      </w:pPr>
      <w:r>
        <w:rPr>
          <w:rFonts w:hint="eastAsia" w:ascii="宋体" w:hAnsi="宋体" w:eastAsia="方正仿宋简体" w:cs="宋体"/>
          <w:kern w:val="0"/>
          <w:sz w:val="32"/>
          <w:szCs w:val="32"/>
          <w:lang w:val="zh-CN" w:eastAsia="zh-CN" w:bidi="ar-SA"/>
        </w:rPr>
        <w:t>本年度绩效目标资金落实到位及时率，扣</w:t>
      </w:r>
      <w:r>
        <w:rPr>
          <w:rFonts w:hint="eastAsia" w:ascii="宋体" w:hAnsi="宋体" w:eastAsia="方正仿宋简体" w:cs="宋体"/>
          <w:kern w:val="0"/>
          <w:sz w:val="32"/>
          <w:szCs w:val="32"/>
          <w:lang w:val="en-US" w:eastAsia="zh-CN" w:bidi="ar-SA"/>
        </w:rPr>
        <w:t>1</w:t>
      </w:r>
      <w:r>
        <w:rPr>
          <w:rFonts w:hint="eastAsia" w:ascii="宋体" w:hAnsi="宋体" w:eastAsia="方正仿宋简体" w:cs="宋体"/>
          <w:kern w:val="0"/>
          <w:sz w:val="32"/>
          <w:szCs w:val="32"/>
          <w:lang w:val="zh-CN" w:eastAsia="zh-CN" w:bidi="ar-SA"/>
        </w:rPr>
        <w:t>分。</w:t>
      </w:r>
    </w:p>
    <w:p>
      <w:pPr>
        <w:spacing w:line="580" w:lineRule="exact"/>
        <w:ind w:firstLine="640" w:firstLineChars="200"/>
        <w:rPr>
          <w:rFonts w:hint="eastAsia" w:ascii="宋体" w:hAnsi="宋体" w:eastAsia="方正仿宋简体" w:cs="宋体"/>
          <w:kern w:val="0"/>
          <w:sz w:val="32"/>
          <w:szCs w:val="32"/>
          <w:lang w:val="zh-CN" w:eastAsia="zh-CN" w:bidi="ar-SA"/>
        </w:rPr>
      </w:pPr>
      <w:r>
        <w:rPr>
          <w:rFonts w:hint="eastAsia" w:ascii="宋体" w:hAnsi="宋体" w:eastAsia="方正仿宋简体" w:cs="宋体"/>
          <w:kern w:val="0"/>
          <w:sz w:val="32"/>
          <w:szCs w:val="32"/>
          <w:lang w:val="zh-CN" w:eastAsia="zh-CN" w:bidi="ar-SA"/>
        </w:rPr>
        <w:t>改进措施：</w:t>
      </w:r>
    </w:p>
    <w:p>
      <w:pPr>
        <w:spacing w:line="580" w:lineRule="exact"/>
        <w:ind w:firstLine="640" w:firstLineChars="200"/>
        <w:rPr>
          <w:rFonts w:hint="eastAsia" w:ascii="宋体" w:hAnsi="宋体" w:eastAsia="方正仿宋简体" w:cs="宋体"/>
          <w:kern w:val="0"/>
          <w:sz w:val="32"/>
          <w:szCs w:val="32"/>
          <w:lang w:val="zh-CN" w:eastAsia="zh-CN" w:bidi="ar-SA"/>
        </w:rPr>
      </w:pPr>
      <w:r>
        <w:rPr>
          <w:rFonts w:hint="eastAsia" w:eastAsia="方正仿宋简体" w:cs="宋体"/>
          <w:kern w:val="0"/>
          <w:sz w:val="32"/>
          <w:szCs w:val="32"/>
          <w:lang w:val="en-US" w:eastAsia="zh-CN" w:bidi="ar-SA"/>
        </w:rPr>
        <w:t>对委托费用尽早规划测算，及时追加，保障按时到位</w:t>
      </w:r>
      <w:r>
        <w:rPr>
          <w:rFonts w:hint="eastAsia" w:ascii="宋体" w:hAnsi="宋体" w:eastAsia="方正仿宋简体" w:cs="宋体"/>
          <w:kern w:val="0"/>
          <w:sz w:val="32"/>
          <w:szCs w:val="32"/>
          <w:lang w:val="zh-CN" w:eastAsia="zh-CN" w:bidi="ar-SA"/>
        </w:rPr>
        <w:t>。</w:t>
      </w:r>
    </w:p>
    <w:p>
      <w:pPr>
        <w:spacing w:line="580" w:lineRule="exact"/>
        <w:ind w:firstLine="640" w:firstLineChars="200"/>
        <w:rPr>
          <w:rFonts w:hint="eastAsia" w:ascii="宋体" w:hAnsi="宋体" w:eastAsia="方正仿宋简体" w:cs="宋体"/>
          <w:kern w:val="0"/>
          <w:sz w:val="32"/>
          <w:szCs w:val="32"/>
          <w:lang w:val="zh-CN" w:eastAsia="zh-CN" w:bidi="ar-SA"/>
        </w:rPr>
      </w:pPr>
      <w:r>
        <w:rPr>
          <w:rFonts w:hint="eastAsia" w:ascii="宋体" w:hAnsi="宋体" w:eastAsia="方正仿宋简体" w:cs="宋体"/>
          <w:kern w:val="0"/>
          <w:sz w:val="32"/>
          <w:szCs w:val="32"/>
          <w:lang w:val="zh-CN" w:eastAsia="zh-CN" w:bidi="ar-SA"/>
        </w:rPr>
        <w:t>针对满意度不够高的情况，加强财政宣传工作，对办事人员有礼貌、减少部分繁杂手续。</w:t>
      </w:r>
    </w:p>
    <w:p>
      <w:pPr>
        <w:spacing w:line="580" w:lineRule="exact"/>
        <w:ind w:firstLine="640" w:firstLineChars="200"/>
        <w:rPr>
          <w:rFonts w:hint="eastAsia" w:ascii="宋体" w:hAnsi="宋体" w:eastAsia="方正仿宋简体" w:cs="宋体"/>
          <w:kern w:val="0"/>
          <w:sz w:val="32"/>
          <w:szCs w:val="32"/>
          <w:lang w:val="en-US" w:eastAsia="zh-CN" w:bidi="ar-SA"/>
        </w:rPr>
      </w:pPr>
      <w:r>
        <w:rPr>
          <w:rFonts w:hint="eastAsia" w:ascii="宋体" w:hAnsi="宋体" w:eastAsia="方正仿宋简体" w:cs="宋体"/>
          <w:kern w:val="0"/>
          <w:sz w:val="32"/>
          <w:szCs w:val="32"/>
          <w:lang w:val="en-US" w:eastAsia="zh-CN" w:bidi="ar-SA"/>
        </w:rPr>
        <w:t>我中心紧紧围绕节约政府投资，提高财政资金使用效益这一核心，进一步强化财政投资评审工作职能，拓宽评审领域，加大对政府投资项目的监管力度，挖掘节约政府投资，提高财政资金使用效益的潜力，促进了财政投资评审工作的全面开展。</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eastAsia" w:ascii="宋体" w:hAnsi="宋体" w:eastAsia="方正仿宋简体" w:cs="宋体"/>
          <w:kern w:val="0"/>
          <w:sz w:val="32"/>
          <w:szCs w:val="32"/>
          <w:lang w:val="en-US" w:eastAsia="zh-CN" w:bidi="ar-SA"/>
        </w:rPr>
      </w:pPr>
      <w:r>
        <w:rPr>
          <w:rFonts w:hint="eastAsia" w:ascii="仿宋" w:hAnsi="仿宋" w:eastAsia="仿宋" w:cs="宋体"/>
          <w:snapToGrid w:val="0"/>
          <w:color w:val="000000"/>
          <w:kern w:val="0"/>
          <w:sz w:val="32"/>
          <w:szCs w:val="32"/>
          <w:lang w:val="en-US" w:eastAsia="zh-CN"/>
        </w:rPr>
        <w:t xml:space="preserve"> </w:t>
      </w:r>
      <w:r>
        <w:rPr>
          <w:rFonts w:hint="eastAsia" w:ascii="宋体" w:hAnsi="宋体" w:eastAsia="方正仿宋简体" w:cs="宋体"/>
          <w:kern w:val="0"/>
          <w:sz w:val="32"/>
          <w:szCs w:val="32"/>
          <w:lang w:val="en-US" w:eastAsia="zh-CN" w:bidi="ar-SA"/>
        </w:rPr>
        <w:t>我中心紧紧围绕节约政府投资，提高财政资金使用效益这一核心，进一步强化财政投资评审工作职能，拓宽评审领域，加大对政府投资项目的监管力度，挖掘节约政府投资，提高财政资金使用效益的潜力，促进了财政投资评审工作的全面开展。</w:t>
      </w:r>
    </w:p>
    <w:p>
      <w:pPr>
        <w:numPr>
          <w:ilvl w:val="0"/>
          <w:numId w:val="0"/>
        </w:numPr>
        <w:ind w:firstLine="640" w:firstLineChars="200"/>
        <w:rPr>
          <w:rFonts w:hint="eastAsia" w:eastAsia="方正楷体简体"/>
          <w:b/>
          <w:sz w:val="32"/>
          <w:szCs w:val="32"/>
        </w:rPr>
      </w:pPr>
      <w:r>
        <w:rPr>
          <w:rFonts w:hint="eastAsia" w:ascii="宋体" w:hAnsi="宋体" w:eastAsia="方正仿宋简体" w:cs="宋体"/>
          <w:kern w:val="0"/>
          <w:sz w:val="32"/>
          <w:szCs w:val="32"/>
          <w:lang w:val="en-US" w:eastAsia="zh-CN" w:bidi="ar-SA"/>
        </w:rPr>
        <w:t>为加强投资评审机制建设，规范评审业务管理制度，我们在实际工作中,严格遵循《财政投资评审管理规定》、《 四川省政府投资及财政专项支出项目评审操作规程（试行）》等制度办法，确保评审工作有理有据。结合不同类型的评审项目，按照相关政府部门出台的文件、行业规范、定额规范、信息价等资料，规范当地市场询价的流程等，科学、合理的确定工程项目各项单价。</w:t>
      </w:r>
    </w:p>
    <w:p>
      <w:pPr>
        <w:numPr>
          <w:ilvl w:val="0"/>
          <w:numId w:val="0"/>
        </w:numPr>
        <w:spacing w:line="580" w:lineRule="exact"/>
        <w:ind w:left="630" w:leftChars="0"/>
        <w:rPr>
          <w:rFonts w:hint="eastAsia" w:eastAsia="方正楷体简体"/>
          <w:b/>
          <w:sz w:val="32"/>
          <w:szCs w:val="32"/>
        </w:rPr>
      </w:pPr>
      <w:r>
        <w:rPr>
          <w:rFonts w:hint="eastAsia" w:eastAsia="方正楷体简体"/>
          <w:b/>
          <w:sz w:val="32"/>
          <w:szCs w:val="32"/>
        </w:rPr>
        <w:t>（</w:t>
      </w:r>
      <w:r>
        <w:rPr>
          <w:rFonts w:hint="eastAsia" w:eastAsia="方正楷体简体"/>
          <w:b/>
          <w:sz w:val="32"/>
          <w:szCs w:val="32"/>
          <w:lang w:eastAsia="zh-CN"/>
        </w:rPr>
        <w:t>二</w:t>
      </w:r>
      <w:r>
        <w:rPr>
          <w:rFonts w:hint="eastAsia" w:eastAsia="方正楷体简体"/>
          <w:b/>
          <w:sz w:val="32"/>
          <w:szCs w:val="32"/>
        </w:rPr>
        <w:t>）存在的问题</w:t>
      </w:r>
    </w:p>
    <w:p>
      <w:pPr>
        <w:pStyle w:val="15"/>
        <w:widowControl w:val="0"/>
        <w:spacing w:line="432" w:lineRule="auto"/>
        <w:ind w:firstLine="641"/>
        <w:rPr>
          <w:rFonts w:hint="eastAsia" w:ascii="宋体" w:hAnsi="宋体" w:eastAsia="方正仿宋简体" w:cs="宋体"/>
          <w:kern w:val="0"/>
          <w:sz w:val="32"/>
          <w:szCs w:val="32"/>
          <w:lang w:val="en-US" w:eastAsia="zh-CN" w:bidi="ar-SA"/>
        </w:rPr>
      </w:pPr>
      <w:r>
        <w:rPr>
          <w:rFonts w:hint="eastAsia" w:eastAsia="方正仿宋简体" w:cs="宋体"/>
          <w:kern w:val="0"/>
          <w:sz w:val="32"/>
          <w:szCs w:val="32"/>
          <w:lang w:val="en-US" w:eastAsia="zh-CN" w:bidi="ar-SA"/>
        </w:rPr>
        <w:t>劳务</w:t>
      </w:r>
      <w:r>
        <w:rPr>
          <w:rFonts w:hint="eastAsia" w:ascii="宋体" w:hAnsi="宋体" w:eastAsia="方正仿宋简体" w:cs="宋体"/>
          <w:kern w:val="0"/>
          <w:sz w:val="32"/>
          <w:szCs w:val="32"/>
          <w:lang w:val="en-US" w:eastAsia="zh-CN" w:bidi="ar-SA"/>
        </w:rPr>
        <w:t>费不能及时预算到位，导致时间上有所滞后；需要进一步加强项目监督管理</w:t>
      </w:r>
      <w:r>
        <w:rPr>
          <w:rFonts w:hint="eastAsia" w:eastAsia="方正仿宋简体" w:cs="宋体"/>
          <w:kern w:val="0"/>
          <w:sz w:val="32"/>
          <w:szCs w:val="32"/>
          <w:lang w:val="en-US" w:eastAsia="zh-CN" w:bidi="ar-SA"/>
        </w:rPr>
        <w:t>，确保评审准确规范。</w:t>
      </w:r>
    </w:p>
    <w:p>
      <w:pPr>
        <w:numPr>
          <w:ilvl w:val="0"/>
          <w:numId w:val="14"/>
        </w:numPr>
        <w:spacing w:line="580" w:lineRule="exact"/>
        <w:ind w:left="-13" w:leftChars="0" w:firstLine="643" w:firstLineChars="0"/>
        <w:rPr>
          <w:rFonts w:hint="eastAsia" w:eastAsia="方正楷体简体"/>
          <w:b/>
          <w:sz w:val="32"/>
          <w:szCs w:val="32"/>
        </w:rPr>
      </w:pPr>
      <w:r>
        <w:rPr>
          <w:rFonts w:hint="eastAsia" w:eastAsia="方正楷体简体"/>
          <w:b/>
          <w:sz w:val="32"/>
          <w:szCs w:val="32"/>
        </w:rPr>
        <w:t>建议和改进措施</w:t>
      </w:r>
    </w:p>
    <w:p>
      <w:pPr>
        <w:pStyle w:val="15"/>
        <w:widowControl w:val="0"/>
        <w:spacing w:line="432" w:lineRule="auto"/>
        <w:ind w:firstLine="641"/>
        <w:rPr>
          <w:rFonts w:hint="eastAsia" w:ascii="宋体" w:hAnsi="宋体" w:eastAsia="方正仿宋简体" w:cs="宋体"/>
          <w:kern w:val="0"/>
          <w:sz w:val="32"/>
          <w:szCs w:val="32"/>
          <w:lang w:val="en-US" w:eastAsia="zh-CN" w:bidi="ar-SA"/>
        </w:rPr>
      </w:pPr>
      <w:r>
        <w:rPr>
          <w:rFonts w:hint="eastAsia" w:ascii="宋体" w:hAnsi="宋体" w:eastAsia="方正仿宋简体" w:cs="宋体"/>
          <w:kern w:val="0"/>
          <w:sz w:val="32"/>
          <w:szCs w:val="32"/>
          <w:lang w:val="en-US" w:eastAsia="zh-CN" w:bidi="ar-SA"/>
        </w:rPr>
        <w:t>加强对</w:t>
      </w:r>
      <w:r>
        <w:rPr>
          <w:rFonts w:hint="eastAsia" w:eastAsia="方正仿宋简体" w:cs="宋体"/>
          <w:kern w:val="0"/>
          <w:sz w:val="32"/>
          <w:szCs w:val="32"/>
          <w:lang w:val="en-US" w:eastAsia="zh-CN" w:bidi="ar-SA"/>
        </w:rPr>
        <w:t>聘用人员</w:t>
      </w:r>
      <w:r>
        <w:rPr>
          <w:rFonts w:hint="eastAsia" w:ascii="宋体" w:hAnsi="宋体" w:eastAsia="方正仿宋简体" w:cs="宋体"/>
          <w:kern w:val="0"/>
          <w:sz w:val="32"/>
          <w:szCs w:val="32"/>
          <w:lang w:val="en-US" w:eastAsia="zh-CN" w:bidi="ar-SA"/>
        </w:rPr>
        <w:t>的评审项目管理考核，督促其认真负责对待评审工作。发现评审过程中不按要求或者评审有误的，通过谈话、扣减</w:t>
      </w:r>
      <w:r>
        <w:rPr>
          <w:rFonts w:hint="eastAsia" w:eastAsia="方正仿宋简体" w:cs="宋体"/>
          <w:kern w:val="0"/>
          <w:sz w:val="32"/>
          <w:szCs w:val="32"/>
          <w:lang w:val="en-US" w:eastAsia="zh-CN" w:bidi="ar-SA"/>
        </w:rPr>
        <w:t>绩效工资</w:t>
      </w:r>
      <w:r>
        <w:rPr>
          <w:rFonts w:hint="eastAsia" w:ascii="宋体" w:hAnsi="宋体" w:eastAsia="方正仿宋简体" w:cs="宋体"/>
          <w:kern w:val="0"/>
          <w:sz w:val="32"/>
          <w:szCs w:val="32"/>
          <w:lang w:val="en-US" w:eastAsia="zh-CN" w:bidi="ar-SA"/>
        </w:rPr>
        <w:t>费用等方式处罚。</w:t>
      </w: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rPr>
        <w:t>3年度乐至县项目支出绩效自评计分表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rPr>
        <w:t>3年度乐至县项目支出绩效目标完成情况表</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3年度乐至县项目支出绩效自评计分表</w:t>
      </w:r>
    </w:p>
    <w:p>
      <w:pPr>
        <w:spacing w:line="620" w:lineRule="exact"/>
        <w:jc w:val="center"/>
        <w:rPr>
          <w:rFonts w:hint="eastAsia" w:eastAsia="方正小标宋简体"/>
          <w:bCs/>
          <w:kern w:val="0"/>
          <w:sz w:val="44"/>
          <w:szCs w:val="44"/>
        </w:rPr>
      </w:pPr>
      <w:r>
        <w:rPr>
          <w:rFonts w:hint="eastAsia" w:eastAsia="方正楷体简体"/>
          <w:b/>
          <w:bCs/>
          <w:kern w:val="0"/>
          <w:sz w:val="32"/>
          <w:szCs w:val="32"/>
        </w:rPr>
        <w:t>（</w:t>
      </w:r>
      <w:r>
        <w:rPr>
          <w:rFonts w:hint="eastAsia" w:ascii="Times New Roman" w:hAnsi="Times New Roman" w:eastAsia="方正小标宋简体" w:cs="Times New Roman"/>
          <w:sz w:val="44"/>
          <w:szCs w:val="44"/>
        </w:rPr>
        <w:t>聘请评审工程</w:t>
      </w:r>
      <w:r>
        <w:rPr>
          <w:rFonts w:hint="eastAsia" w:eastAsia="方正小标宋简体"/>
          <w:bCs/>
          <w:kern w:val="0"/>
          <w:sz w:val="44"/>
          <w:szCs w:val="44"/>
        </w:rPr>
        <w:t>师工资、保险项</w:t>
      </w:r>
      <w:r>
        <w:rPr>
          <w:rFonts w:hint="eastAsia" w:eastAsia="方正小标宋简体"/>
          <w:bCs/>
          <w:kern w:val="0"/>
          <w:sz w:val="44"/>
          <w:szCs w:val="44"/>
          <w:lang w:eastAsia="zh-CN"/>
        </w:rPr>
        <w:t>目</w:t>
      </w:r>
      <w:r>
        <w:rPr>
          <w:rFonts w:hint="eastAsia" w:eastAsia="方正小标宋简体"/>
          <w:bCs/>
          <w:kern w:val="0"/>
          <w:sz w:val="44"/>
          <w:szCs w:val="44"/>
        </w:rPr>
        <w:t>）</w:t>
      </w:r>
    </w:p>
    <w:p>
      <w:pPr>
        <w:spacing w:line="620" w:lineRule="exact"/>
        <w:rPr>
          <w:sz w:val="24"/>
        </w:rPr>
      </w:pPr>
      <w:r>
        <w:rPr>
          <w:rFonts w:hint="eastAsia"/>
          <w:bCs/>
          <w:kern w:val="0"/>
          <w:sz w:val="24"/>
        </w:rPr>
        <w:t>预算单位名称：</w:t>
      </w:r>
      <w:r>
        <w:rPr>
          <w:rFonts w:hint="eastAsia"/>
          <w:bCs/>
          <w:kern w:val="0"/>
          <w:sz w:val="24"/>
          <w:lang w:eastAsia="zh-CN"/>
        </w:rPr>
        <w:t>乐至县财政投资评审中心</w:t>
      </w:r>
      <w:r>
        <w:rPr>
          <w:rFonts w:hint="eastAsia"/>
          <w:bCs/>
          <w:kern w:val="0"/>
          <w:sz w:val="24"/>
          <w:lang w:val="en-US" w:eastAsia="zh-CN"/>
        </w:rPr>
        <w:t xml:space="preserve"> </w:t>
      </w:r>
      <w:r>
        <w:rPr>
          <w:rFonts w:hint="eastAsia"/>
          <w:bCs/>
          <w:kern w:val="0"/>
          <w:sz w:val="24"/>
        </w:rPr>
        <w:t>预算单位编码：</w:t>
      </w:r>
      <w:r>
        <w:rPr>
          <w:bCs/>
          <w:kern w:val="0"/>
          <w:sz w:val="24"/>
        </w:rPr>
        <w:t xml:space="preserve"> </w:t>
      </w:r>
      <w:r>
        <w:rPr>
          <w:rFonts w:hint="eastAsia"/>
          <w:bCs/>
          <w:kern w:val="0"/>
          <w:sz w:val="24"/>
          <w:lang w:val="en-US" w:eastAsia="zh-CN"/>
        </w:rPr>
        <w:t>411101</w:t>
      </w:r>
      <w:r>
        <w:rPr>
          <w:bCs/>
          <w:kern w:val="0"/>
          <w:sz w:val="24"/>
        </w:rPr>
        <w:t xml:space="preserve">                 </w:t>
      </w:r>
      <w:r>
        <w:rPr>
          <w:rFonts w:hint="eastAsia"/>
          <w:bCs/>
          <w:kern w:val="0"/>
          <w:sz w:val="24"/>
        </w:rPr>
        <w:t>自评等级：</w:t>
      </w:r>
      <w:r>
        <w:rPr>
          <w:rFonts w:hint="eastAsia"/>
          <w:bCs/>
          <w:kern w:val="0"/>
          <w:sz w:val="24"/>
          <w:lang w:eastAsia="zh-CN"/>
        </w:rPr>
        <w:t>优</w:t>
      </w:r>
    </w:p>
    <w:tbl>
      <w:tblPr>
        <w:tblStyle w:val="17"/>
        <w:tblW w:w="511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61"/>
        <w:gridCol w:w="649"/>
        <w:gridCol w:w="789"/>
        <w:gridCol w:w="1587"/>
        <w:gridCol w:w="3320"/>
        <w:gridCol w:w="656"/>
        <w:gridCol w:w="8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19" w:hRule="atLeast"/>
          <w:tblHeader/>
          <w:jc w:val="center"/>
        </w:trPr>
        <w:tc>
          <w:tcPr>
            <w:tcW w:w="38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79"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2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3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52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8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7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523" w:type="pct"/>
            <w:noWrap/>
            <w:vAlign w:val="center"/>
          </w:tcPr>
          <w:p>
            <w:pPr>
              <w:widowControl/>
              <w:spacing w:line="240" w:lineRule="exact"/>
              <w:jc w:val="left"/>
              <w:rPr>
                <w:rFonts w:hint="eastAsia" w:eastAsia="宋体"/>
                <w:kern w:val="0"/>
                <w:szCs w:val="21"/>
                <w:lang w:eastAsia="zh-CN"/>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132"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负偏离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86"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79"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1"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27"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3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523" w:type="pct"/>
            <w:noWrap/>
            <w:vAlign w:val="center"/>
          </w:tcPr>
          <w:p>
            <w:pPr>
              <w:widowControl/>
              <w:spacing w:line="26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86" w:type="pct"/>
            <w:vMerge w:val="continue"/>
            <w:shd w:val="clear" w:color="auto" w:fill="auto"/>
            <w:noWrap w:val="0"/>
            <w:vAlign w:val="center"/>
          </w:tcPr>
          <w:p>
            <w:pPr>
              <w:widowControl/>
              <w:spacing w:line="260" w:lineRule="exact"/>
              <w:jc w:val="left"/>
              <w:rPr>
                <w:kern w:val="0"/>
                <w:szCs w:val="21"/>
              </w:rPr>
            </w:pPr>
          </w:p>
        </w:tc>
        <w:tc>
          <w:tcPr>
            <w:tcW w:w="379" w:type="pct"/>
            <w:vMerge w:val="continue"/>
            <w:shd w:val="clear" w:color="auto" w:fill="auto"/>
            <w:noWrap w:val="0"/>
            <w:vAlign w:val="center"/>
          </w:tcPr>
          <w:p>
            <w:pPr>
              <w:widowControl/>
              <w:spacing w:line="260" w:lineRule="exact"/>
              <w:jc w:val="left"/>
              <w:rPr>
                <w:kern w:val="0"/>
                <w:szCs w:val="21"/>
              </w:rPr>
            </w:pPr>
          </w:p>
        </w:tc>
        <w:tc>
          <w:tcPr>
            <w:tcW w:w="461"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27"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37"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523" w:type="pct"/>
            <w:noWrap/>
            <w:vAlign w:val="center"/>
          </w:tcPr>
          <w:p>
            <w:pPr>
              <w:widowControl/>
              <w:spacing w:line="26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86" w:type="pct"/>
            <w:vMerge w:val="continue"/>
            <w:shd w:val="clear" w:color="auto" w:fill="auto"/>
            <w:noWrap w:val="0"/>
            <w:vAlign w:val="center"/>
          </w:tcPr>
          <w:p>
            <w:pPr>
              <w:widowControl/>
              <w:spacing w:line="260" w:lineRule="exact"/>
              <w:jc w:val="left"/>
              <w:rPr>
                <w:kern w:val="0"/>
                <w:szCs w:val="21"/>
              </w:rPr>
            </w:pPr>
          </w:p>
        </w:tc>
        <w:tc>
          <w:tcPr>
            <w:tcW w:w="379" w:type="pct"/>
            <w:vMerge w:val="continue"/>
            <w:shd w:val="clear" w:color="auto" w:fill="auto"/>
            <w:noWrap w:val="0"/>
            <w:vAlign w:val="center"/>
          </w:tcPr>
          <w:p>
            <w:pPr>
              <w:widowControl/>
              <w:spacing w:line="260" w:lineRule="exact"/>
              <w:jc w:val="left"/>
              <w:rPr>
                <w:kern w:val="0"/>
                <w:szCs w:val="21"/>
              </w:rPr>
            </w:pPr>
          </w:p>
        </w:tc>
        <w:tc>
          <w:tcPr>
            <w:tcW w:w="461"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2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3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523" w:type="pct"/>
            <w:noWrap/>
            <w:vAlign w:val="center"/>
          </w:tcPr>
          <w:p>
            <w:pPr>
              <w:widowControl/>
              <w:spacing w:line="26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86" w:type="pct"/>
            <w:vMerge w:val="continue"/>
            <w:shd w:val="clear" w:color="auto" w:fill="auto"/>
            <w:noWrap w:val="0"/>
            <w:vAlign w:val="center"/>
          </w:tcPr>
          <w:p>
            <w:pPr>
              <w:widowControl/>
              <w:spacing w:line="260" w:lineRule="exact"/>
              <w:jc w:val="left"/>
              <w:rPr>
                <w:kern w:val="0"/>
                <w:szCs w:val="21"/>
              </w:rPr>
            </w:pPr>
          </w:p>
        </w:tc>
        <w:tc>
          <w:tcPr>
            <w:tcW w:w="379"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1"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27"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3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523" w:type="pct"/>
            <w:noWrap/>
            <w:vAlign w:val="center"/>
          </w:tcPr>
          <w:p>
            <w:pPr>
              <w:widowControl/>
              <w:spacing w:line="26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86" w:type="pct"/>
            <w:vMerge w:val="continue"/>
            <w:shd w:val="clear" w:color="auto" w:fill="auto"/>
            <w:noWrap w:val="0"/>
            <w:vAlign w:val="center"/>
          </w:tcPr>
          <w:p>
            <w:pPr>
              <w:widowControl/>
              <w:spacing w:line="260" w:lineRule="exact"/>
              <w:jc w:val="left"/>
              <w:rPr>
                <w:kern w:val="0"/>
                <w:szCs w:val="21"/>
              </w:rPr>
            </w:pPr>
          </w:p>
        </w:tc>
        <w:tc>
          <w:tcPr>
            <w:tcW w:w="379" w:type="pct"/>
            <w:vMerge w:val="continue"/>
            <w:shd w:val="clear" w:color="auto" w:fill="auto"/>
            <w:noWrap w:val="0"/>
            <w:vAlign w:val="center"/>
          </w:tcPr>
          <w:p>
            <w:pPr>
              <w:widowControl/>
              <w:spacing w:line="260" w:lineRule="exact"/>
              <w:jc w:val="left"/>
              <w:rPr>
                <w:kern w:val="0"/>
                <w:szCs w:val="21"/>
              </w:rPr>
            </w:pPr>
          </w:p>
        </w:tc>
        <w:tc>
          <w:tcPr>
            <w:tcW w:w="461"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27"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37"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523" w:type="pct"/>
            <w:noWrap/>
            <w:vAlign w:val="center"/>
          </w:tcPr>
          <w:p>
            <w:pPr>
              <w:widowControl/>
              <w:spacing w:line="26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86" w:type="pct"/>
            <w:vMerge w:val="continue"/>
            <w:shd w:val="clear" w:color="auto" w:fill="auto"/>
            <w:noWrap w:val="0"/>
            <w:vAlign w:val="center"/>
          </w:tcPr>
          <w:p>
            <w:pPr>
              <w:widowControl/>
              <w:spacing w:line="260" w:lineRule="exact"/>
              <w:jc w:val="left"/>
              <w:rPr>
                <w:kern w:val="0"/>
                <w:szCs w:val="21"/>
              </w:rPr>
            </w:pPr>
          </w:p>
        </w:tc>
        <w:tc>
          <w:tcPr>
            <w:tcW w:w="379" w:type="pct"/>
            <w:vMerge w:val="continue"/>
            <w:shd w:val="clear" w:color="auto" w:fill="auto"/>
            <w:noWrap w:val="0"/>
            <w:vAlign w:val="center"/>
          </w:tcPr>
          <w:p>
            <w:pPr>
              <w:widowControl/>
              <w:spacing w:line="260" w:lineRule="exact"/>
              <w:jc w:val="left"/>
              <w:rPr>
                <w:kern w:val="0"/>
                <w:szCs w:val="21"/>
              </w:rPr>
            </w:pPr>
          </w:p>
        </w:tc>
        <w:tc>
          <w:tcPr>
            <w:tcW w:w="461"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27"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37"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523" w:type="pct"/>
            <w:noWrap/>
            <w:vAlign w:val="center"/>
          </w:tcPr>
          <w:p>
            <w:pPr>
              <w:widowControl/>
              <w:spacing w:line="26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8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7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37"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86"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79"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37"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37" w:type="pct"/>
            <w:vMerge w:val="continue"/>
            <w:noWrap w:val="0"/>
            <w:vAlign w:val="center"/>
          </w:tcPr>
          <w:p>
            <w:pPr>
              <w:widowControl/>
              <w:spacing w:line="240" w:lineRule="exact"/>
              <w:jc w:val="left"/>
              <w:rPr>
                <w:kern w:val="0"/>
                <w:szCs w:val="21"/>
              </w:rPr>
            </w:pP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2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37" w:type="pct"/>
            <w:vMerge w:val="continue"/>
            <w:noWrap w:val="0"/>
            <w:vAlign w:val="center"/>
          </w:tcPr>
          <w:p>
            <w:pPr>
              <w:widowControl/>
              <w:spacing w:line="240" w:lineRule="exact"/>
              <w:jc w:val="left"/>
              <w:rPr>
                <w:kern w:val="0"/>
                <w:szCs w:val="21"/>
              </w:rPr>
            </w:pPr>
          </w:p>
        </w:tc>
        <w:tc>
          <w:tcPr>
            <w:tcW w:w="38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37" w:type="pct"/>
            <w:vMerge w:val="continue"/>
            <w:noWrap w:val="0"/>
            <w:vAlign w:val="center"/>
          </w:tcPr>
          <w:p>
            <w:pPr>
              <w:widowControl/>
              <w:spacing w:line="240" w:lineRule="exact"/>
              <w:jc w:val="left"/>
              <w:rPr>
                <w:kern w:val="0"/>
                <w:szCs w:val="21"/>
              </w:rPr>
            </w:pPr>
          </w:p>
        </w:tc>
        <w:tc>
          <w:tcPr>
            <w:tcW w:w="383"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523" w:type="pct"/>
            <w:noWrap/>
            <w:vAlign w:val="center"/>
          </w:tcPr>
          <w:p>
            <w:pPr>
              <w:widowControl/>
              <w:spacing w:line="240" w:lineRule="exact"/>
              <w:jc w:val="left"/>
              <w:rPr>
                <w:kern w:val="0"/>
                <w:szCs w:val="21"/>
              </w:rPr>
            </w:pPr>
            <w:r>
              <w:rPr>
                <w:rFonts w:hint="eastAsia"/>
                <w:kern w:val="0"/>
                <w:szCs w:val="21"/>
              </w:rPr>
              <w:t>　</w:t>
            </w:r>
            <w:r>
              <w:rPr>
                <w:rFonts w:hint="eastAsia"/>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86" w:type="pct"/>
            <w:vMerge w:val="continue"/>
            <w:shd w:val="clear" w:color="auto" w:fill="auto"/>
            <w:noWrap w:val="0"/>
            <w:vAlign w:val="center"/>
          </w:tcPr>
          <w:p>
            <w:pPr>
              <w:widowControl/>
              <w:spacing w:line="240" w:lineRule="exact"/>
              <w:jc w:val="left"/>
              <w:rPr>
                <w:kern w:val="0"/>
                <w:szCs w:val="21"/>
              </w:rPr>
            </w:pPr>
          </w:p>
        </w:tc>
        <w:tc>
          <w:tcPr>
            <w:tcW w:w="379" w:type="pct"/>
            <w:vMerge w:val="continue"/>
            <w:shd w:val="clear" w:color="auto" w:fill="auto"/>
            <w:noWrap w:val="0"/>
            <w:vAlign w:val="center"/>
          </w:tcPr>
          <w:p>
            <w:pPr>
              <w:widowControl/>
              <w:spacing w:line="240" w:lineRule="exact"/>
              <w:jc w:val="left"/>
              <w:rPr>
                <w:kern w:val="0"/>
                <w:szCs w:val="21"/>
              </w:rPr>
            </w:pPr>
          </w:p>
        </w:tc>
        <w:tc>
          <w:tcPr>
            <w:tcW w:w="461"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2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37"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3" w:type="pct"/>
            <w:noWrap/>
            <w:vAlign w:val="center"/>
          </w:tcPr>
          <w:p>
            <w:pPr>
              <w:widowControl/>
              <w:spacing w:line="240" w:lineRule="exact"/>
              <w:jc w:val="left"/>
              <w:rPr>
                <w:kern w:val="0"/>
                <w:szCs w:val="21"/>
              </w:rPr>
            </w:pPr>
            <w:r>
              <w:rPr>
                <w:rFonts w:hint="eastAsia"/>
                <w:kern w:val="0"/>
                <w:szCs w:val="21"/>
              </w:rPr>
              <w:t>　</w:t>
            </w:r>
          </w:p>
        </w:tc>
        <w:tc>
          <w:tcPr>
            <w:tcW w:w="52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092"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3"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99</w:t>
            </w:r>
          </w:p>
        </w:tc>
        <w:tc>
          <w:tcPr>
            <w:tcW w:w="52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3年度乐至县项目支出绩效目标完成情况表</w:t>
      </w:r>
    </w:p>
    <w:p>
      <w:pPr>
        <w:pStyle w:val="7"/>
        <w:spacing w:line="240" w:lineRule="exact"/>
        <w:rPr>
          <w:rFonts w:ascii="宋体"/>
        </w:rPr>
      </w:pPr>
    </w:p>
    <w:tbl>
      <w:tblPr>
        <w:tblStyle w:val="17"/>
        <w:tblW w:w="7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3"/>
        <w:gridCol w:w="1056"/>
        <w:gridCol w:w="780"/>
        <w:gridCol w:w="2328"/>
        <w:gridCol w:w="786"/>
        <w:gridCol w:w="786"/>
        <w:gridCol w:w="7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6471"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聘请评审工程师工资、保险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780"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3114"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1521"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780" w:type="dxa"/>
            <w:noWrap/>
            <w:vAlign w:val="center"/>
          </w:tcPr>
          <w:p>
            <w:pPr>
              <w:spacing w:line="240" w:lineRule="exact"/>
              <w:jc w:val="center"/>
              <w:rPr>
                <w:szCs w:val="21"/>
              </w:rPr>
            </w:pPr>
            <w:r>
              <w:rPr>
                <w:rFonts w:hint="eastAsia"/>
                <w:color w:val="000000"/>
                <w:kern w:val="0"/>
                <w:szCs w:val="21"/>
              </w:rPr>
              <w:t>□</w:t>
            </w:r>
          </w:p>
        </w:tc>
        <w:tc>
          <w:tcPr>
            <w:tcW w:w="3114" w:type="dxa"/>
            <w:gridSpan w:val="2"/>
            <w:noWrap/>
            <w:vAlign w:val="center"/>
          </w:tcPr>
          <w:p>
            <w:pPr>
              <w:spacing w:line="240" w:lineRule="exact"/>
              <w:jc w:val="center"/>
              <w:rPr>
                <w:szCs w:val="21"/>
              </w:rPr>
            </w:pPr>
            <w:r>
              <w:rPr>
                <w:rFonts w:hint="eastAsia"/>
                <w:color w:val="000000"/>
                <w:kern w:val="0"/>
                <w:szCs w:val="21"/>
              </w:rPr>
              <w:t>□</w:t>
            </w:r>
          </w:p>
        </w:tc>
        <w:tc>
          <w:tcPr>
            <w:tcW w:w="1521" w:type="dxa"/>
            <w:gridSpan w:val="2"/>
            <w:noWrap/>
            <w:vAlign w:val="center"/>
          </w:tcPr>
          <w:p>
            <w:pPr>
              <w:spacing w:line="240" w:lineRule="exact"/>
              <w:jc w:val="center"/>
              <w:rPr>
                <w:szCs w:val="21"/>
              </w:rPr>
            </w:pPr>
            <w:r>
              <w:rPr>
                <w:rFonts w:hint="eastAsia"/>
                <w:color w:val="000000"/>
                <w:kern w:val="0"/>
                <w:szCs w:val="21"/>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950" w:type="dxa"/>
            <w:gridSpan w:val="4"/>
            <w:noWrap/>
            <w:vAlign w:val="center"/>
          </w:tcPr>
          <w:p>
            <w:pPr>
              <w:widowControl/>
              <w:spacing w:line="240" w:lineRule="exact"/>
              <w:jc w:val="center"/>
              <w:rPr>
                <w:color w:val="000000"/>
                <w:kern w:val="0"/>
                <w:szCs w:val="21"/>
              </w:rPr>
            </w:pPr>
            <w:r>
              <w:rPr>
                <w:rFonts w:hint="eastAsia"/>
                <w:color w:val="000000"/>
                <w:kern w:val="0"/>
                <w:szCs w:val="21"/>
                <w:lang w:eastAsia="zh-CN"/>
              </w:rPr>
              <w:t>乐至县财政投资评审中心</w:t>
            </w:r>
            <w:r>
              <w:rPr>
                <w:rFonts w:hint="eastAsia"/>
                <w:color w:val="000000"/>
                <w:kern w:val="0"/>
                <w:szCs w:val="21"/>
              </w:rPr>
              <w:t>　</w:t>
            </w:r>
          </w:p>
        </w:tc>
        <w:tc>
          <w:tcPr>
            <w:tcW w:w="786"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73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411101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80"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2328"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786"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78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735"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78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13.53</w:t>
            </w:r>
          </w:p>
        </w:tc>
        <w:tc>
          <w:tcPr>
            <w:tcW w:w="232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13.53</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78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13.53</w:t>
            </w:r>
          </w:p>
        </w:tc>
        <w:tc>
          <w:tcPr>
            <w:tcW w:w="232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13.53</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78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23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80"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2328"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786"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786"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735"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78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13.53</w:t>
            </w:r>
          </w:p>
        </w:tc>
        <w:tc>
          <w:tcPr>
            <w:tcW w:w="23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78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13.53</w:t>
            </w:r>
          </w:p>
        </w:tc>
        <w:tc>
          <w:tcPr>
            <w:tcW w:w="23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78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23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78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23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78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2328"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3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836"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3114"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152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836"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1:</w:t>
            </w:r>
            <w:r>
              <w:rPr>
                <w:rFonts w:hint="eastAsia"/>
                <w:color w:val="000000"/>
                <w:kern w:val="0"/>
                <w:szCs w:val="21"/>
              </w:rPr>
              <w:t>为进一步提高评审工作效率和质量，根据工作需要，县财政投资评审中心聘用评审工程师3名。</w:t>
            </w:r>
          </w:p>
        </w:tc>
        <w:tc>
          <w:tcPr>
            <w:tcW w:w="3114" w:type="dxa"/>
            <w:gridSpan w:val="2"/>
            <w:noWrap/>
            <w:vAlign w:val="center"/>
          </w:tcPr>
          <w:p>
            <w:pPr>
              <w:widowControl/>
              <w:spacing w:line="240" w:lineRule="exact"/>
              <w:jc w:val="center"/>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1521" w:type="dxa"/>
            <w:gridSpan w:val="2"/>
            <w:noWrap/>
            <w:vAlign w:val="center"/>
          </w:tcPr>
          <w:p>
            <w:pPr>
              <w:widowControl/>
              <w:spacing w:line="240" w:lineRule="exact"/>
              <w:jc w:val="center"/>
              <w:rPr>
                <w:color w:val="000000"/>
                <w:kern w:val="0"/>
                <w:szCs w:val="21"/>
              </w:rPr>
            </w:pPr>
            <w:r>
              <w:rPr>
                <w:rFonts w:hint="eastAsia"/>
                <w:color w:val="000000"/>
                <w:kern w:val="0"/>
                <w:szCs w:val="21"/>
                <w:lang w:eastAsia="zh-CN"/>
              </w:rPr>
              <w:t>无偏离</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836"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2:</w:t>
            </w:r>
            <w:r>
              <w:rPr>
                <w:rFonts w:hint="eastAsia"/>
                <w:color w:val="000000"/>
                <w:kern w:val="0"/>
                <w:szCs w:val="21"/>
              </w:rPr>
              <w:t>………</w:t>
            </w:r>
            <w:r>
              <w:rPr>
                <w:color w:val="000000"/>
                <w:kern w:val="0"/>
                <w:szCs w:val="21"/>
              </w:rPr>
              <w:t>.</w:t>
            </w:r>
          </w:p>
        </w:tc>
        <w:tc>
          <w:tcPr>
            <w:tcW w:w="311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152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836" w:type="dxa"/>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w:t>
            </w:r>
            <w:r>
              <w:rPr>
                <w:color w:val="000000"/>
                <w:kern w:val="0"/>
                <w:szCs w:val="21"/>
              </w:rPr>
              <w:t>.</w:t>
            </w:r>
          </w:p>
        </w:tc>
        <w:tc>
          <w:tcPr>
            <w:tcW w:w="311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152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836"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311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152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836"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3114"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152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83"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056"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780"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2328"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786"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786"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735"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ascii="宋体" w:hAnsi="宋体" w:eastAsia="宋体" w:cs="宋体"/>
                <w:sz w:val="24"/>
                <w:szCs w:val="24"/>
              </w:rPr>
              <w:t>人数</w:t>
            </w:r>
          </w:p>
        </w:tc>
        <w:tc>
          <w:tcPr>
            <w:tcW w:w="78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=3人</w:t>
            </w:r>
          </w:p>
        </w:tc>
        <w:tc>
          <w:tcPr>
            <w:tcW w:w="786"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已完成</w:t>
            </w:r>
          </w:p>
        </w:tc>
        <w:tc>
          <w:tcPr>
            <w:tcW w:w="73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ascii="宋体" w:hAnsi="宋体" w:eastAsia="宋体" w:cs="宋体"/>
                <w:sz w:val="24"/>
                <w:szCs w:val="24"/>
              </w:rPr>
              <w:t>人员到岗情况，履职情况</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定性高</w:t>
            </w:r>
          </w:p>
        </w:tc>
        <w:tc>
          <w:tcPr>
            <w:tcW w:w="786"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已完成</w:t>
            </w:r>
          </w:p>
        </w:tc>
        <w:tc>
          <w:tcPr>
            <w:tcW w:w="735"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78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ascii="宋体" w:hAnsi="宋体" w:eastAsia="宋体" w:cs="宋体"/>
                <w:sz w:val="24"/>
                <w:szCs w:val="24"/>
              </w:rPr>
              <w:t>劳务费</w:t>
            </w:r>
          </w:p>
        </w:tc>
        <w:tc>
          <w:tcPr>
            <w:tcW w:w="78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预算金额</w:t>
            </w:r>
          </w:p>
        </w:tc>
        <w:tc>
          <w:tcPr>
            <w:tcW w:w="786"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已完成</w:t>
            </w:r>
          </w:p>
        </w:tc>
        <w:tc>
          <w:tcPr>
            <w:tcW w:w="735"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105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78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ascii="宋体" w:hAnsi="宋体" w:eastAsia="宋体" w:cs="宋体"/>
                <w:sz w:val="24"/>
                <w:szCs w:val="24"/>
              </w:rPr>
              <w:t>增加我中心评审能力，进一步提高评审工作和质量</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定性高</w:t>
            </w:r>
          </w:p>
        </w:tc>
        <w:tc>
          <w:tcPr>
            <w:tcW w:w="786"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已完成</w:t>
            </w:r>
          </w:p>
        </w:tc>
        <w:tc>
          <w:tcPr>
            <w:tcW w:w="735" w:type="dxa"/>
            <w:noWrap/>
            <w:vAlign w:val="center"/>
          </w:tcPr>
          <w:p>
            <w:pPr>
              <w:widowControl/>
              <w:spacing w:line="240" w:lineRule="exact"/>
              <w:jc w:val="left"/>
              <w:rPr>
                <w:rFonts w:hint="eastAsia" w:ascii="Times New Roman" w:hAnsi="Times New Roman" w:eastAsia="宋体" w:cs="Times New Roman"/>
                <w:color w:val="000000"/>
                <w:kern w:val="0"/>
                <w:sz w:val="21"/>
                <w:szCs w:val="21"/>
                <w:lang w:val="en-US" w:eastAsia="zh-CN" w:bidi="ar-SA"/>
              </w:rPr>
            </w:pPr>
            <w:r>
              <w:rPr>
                <w:rFonts w:hint="eastAsia"/>
                <w:color w:val="000000"/>
                <w:kern w:val="0"/>
                <w:szCs w:val="21"/>
              </w:rPr>
              <w:t>　</w:t>
            </w:r>
            <w:r>
              <w:rPr>
                <w:rFonts w:hint="eastAsia"/>
                <w:color w:val="000000"/>
                <w:kern w:val="0"/>
                <w:szCs w:val="21"/>
                <w:lang w:eastAsia="zh-CN"/>
              </w:rPr>
              <w:t>无偏离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780"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r>
              <w:rPr>
                <w:rFonts w:ascii="宋体" w:hAnsi="宋体" w:eastAsia="宋体" w:cs="宋体"/>
                <w:sz w:val="24"/>
                <w:szCs w:val="24"/>
              </w:rPr>
              <w:t>满意度指标</w:t>
            </w:r>
          </w:p>
        </w:tc>
        <w:tc>
          <w:tcPr>
            <w:tcW w:w="78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ascii="宋体" w:hAnsi="宋体" w:eastAsia="宋体" w:cs="宋体"/>
                <w:sz w:val="24"/>
                <w:szCs w:val="24"/>
              </w:rPr>
              <w:t>≥</w:t>
            </w:r>
            <w:r>
              <w:rPr>
                <w:rFonts w:hint="eastAsia" w:ascii="宋体" w:hAnsi="宋体" w:cs="宋体"/>
                <w:sz w:val="24"/>
                <w:szCs w:val="24"/>
                <w:lang w:val="en-US" w:eastAsia="zh-CN"/>
              </w:rPr>
              <w:t>95%</w:t>
            </w:r>
          </w:p>
        </w:tc>
        <w:tc>
          <w:tcPr>
            <w:tcW w:w="78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98</w:t>
            </w:r>
          </w:p>
        </w:tc>
        <w:tc>
          <w:tcPr>
            <w:tcW w:w="735"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正偏离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noWrap w:val="0"/>
            <w:vAlign w:val="center"/>
          </w:tcPr>
          <w:p>
            <w:pPr>
              <w:widowControl/>
              <w:spacing w:line="240" w:lineRule="exact"/>
              <w:jc w:val="left"/>
              <w:rPr>
                <w:color w:val="000000"/>
                <w:kern w:val="0"/>
                <w:szCs w:val="21"/>
              </w:rPr>
            </w:pPr>
          </w:p>
        </w:tc>
        <w:tc>
          <w:tcPr>
            <w:tcW w:w="1056" w:type="dxa"/>
            <w:vMerge w:val="continue"/>
            <w:noWrap w:val="0"/>
            <w:vAlign w:val="center"/>
          </w:tcPr>
          <w:p>
            <w:pPr>
              <w:widowControl/>
              <w:spacing w:line="240" w:lineRule="exact"/>
              <w:jc w:val="left"/>
              <w:rPr>
                <w:color w:val="000000"/>
                <w:kern w:val="0"/>
                <w:szCs w:val="21"/>
              </w:rPr>
            </w:pPr>
          </w:p>
        </w:tc>
        <w:tc>
          <w:tcPr>
            <w:tcW w:w="780" w:type="dxa"/>
            <w:vMerge w:val="continue"/>
            <w:noWrap w:val="0"/>
            <w:vAlign w:val="center"/>
          </w:tcPr>
          <w:p>
            <w:pPr>
              <w:widowControl/>
              <w:spacing w:line="240" w:lineRule="exact"/>
              <w:jc w:val="left"/>
              <w:rPr>
                <w:color w:val="000000"/>
                <w:kern w:val="0"/>
                <w:szCs w:val="21"/>
              </w:rPr>
            </w:pPr>
          </w:p>
        </w:tc>
        <w:tc>
          <w:tcPr>
            <w:tcW w:w="2328"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83"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1056"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780"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2328"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786"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73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bookmarkStart w:id="118" w:name="_GoBack"/>
      <w:bookmarkEnd w:id="118"/>
    </w:p>
    <w:p>
      <w:pPr>
        <w:rPr>
          <w:rFonts w:hint="eastAsia"/>
        </w:rPr>
      </w:pPr>
    </w:p>
    <w:p>
      <w:pPr>
        <w:pStyle w:val="2"/>
        <w:rPr>
          <w:rFonts w:hint="eastAsia"/>
        </w:rPr>
      </w:pPr>
    </w:p>
    <w:p>
      <w:pPr>
        <w:rPr>
          <w:rFonts w:hint="eastAsia"/>
        </w:rPr>
      </w:pPr>
    </w:p>
    <w:p>
      <w:pPr>
        <w:rPr>
          <w:rFonts w:hint="eastAsia"/>
        </w:rPr>
      </w:pPr>
    </w:p>
    <w:p>
      <w:pPr>
        <w:spacing w:line="600" w:lineRule="exact"/>
        <w:jc w:val="center"/>
        <w:outlineLvl w:val="0"/>
        <w:rPr>
          <w:rFonts w:ascii="仿宋" w:hAnsi="仿宋" w:eastAsia="仿宋"/>
        </w:rPr>
      </w:pPr>
      <w:bookmarkStart w:id="90" w:name="_Toc23142_WPSOffice_Level1"/>
      <w:bookmarkStart w:id="91" w:name="_Toc15396618"/>
      <w:r>
        <w:rPr>
          <w:rFonts w:hint="eastAsia" w:ascii="黑体" w:hAnsi="黑体" w:eastAsia="黑体"/>
          <w:sz w:val="44"/>
          <w:szCs w:val="44"/>
        </w:rPr>
        <w:t>第</w:t>
      </w:r>
      <w:r>
        <w:rPr>
          <w:rStyle w:val="31"/>
          <w:rFonts w:hint="eastAsia" w:ascii="黑体" w:hAnsi="黑体" w:eastAsia="黑体"/>
          <w:b w:val="0"/>
        </w:rPr>
        <w:t>五部分 附表</w:t>
      </w:r>
      <w:bookmarkEnd w:id="87"/>
      <w:bookmarkEnd w:id="90"/>
      <w:bookmarkEnd w:id="91"/>
      <w:bookmarkStart w:id="92" w:name="_Toc15396619"/>
    </w:p>
    <w:p>
      <w:pPr>
        <w:pStyle w:val="4"/>
        <w:rPr>
          <w:rFonts w:ascii="仿宋" w:hAnsi="仿宋" w:eastAsia="仿宋"/>
        </w:rPr>
      </w:pPr>
      <w:bookmarkStart w:id="93" w:name="_Toc9872_WPSOffice_Level2"/>
      <w:r>
        <w:rPr>
          <w:rFonts w:hint="eastAsia" w:ascii="仿宋" w:hAnsi="仿宋" w:eastAsia="仿宋"/>
          <w:b w:val="0"/>
        </w:rPr>
        <w:t>一、收</w:t>
      </w:r>
      <w:r>
        <w:rPr>
          <w:rStyle w:val="32"/>
          <w:rFonts w:hint="eastAsia" w:ascii="仿宋" w:hAnsi="仿宋" w:eastAsia="仿宋"/>
          <w:b w:val="0"/>
          <w:bCs w:val="0"/>
        </w:rPr>
        <w:t>入支出决算总表</w:t>
      </w:r>
      <w:bookmarkEnd w:id="92"/>
      <w:bookmarkEnd w:id="93"/>
    </w:p>
    <w:p>
      <w:pPr>
        <w:pStyle w:val="4"/>
        <w:rPr>
          <w:rFonts w:ascii="仿宋" w:hAnsi="仿宋" w:eastAsia="仿宋"/>
        </w:rPr>
      </w:pPr>
      <w:bookmarkStart w:id="94" w:name="_Toc15614_WPSOffice_Level2"/>
      <w:bookmarkStart w:id="95" w:name="_Toc15396620"/>
      <w:r>
        <w:rPr>
          <w:rFonts w:hint="eastAsia" w:ascii="仿宋" w:hAnsi="仿宋" w:eastAsia="仿宋"/>
          <w:b w:val="0"/>
        </w:rPr>
        <w:t>二、收</w:t>
      </w:r>
      <w:r>
        <w:rPr>
          <w:rStyle w:val="32"/>
          <w:rFonts w:hint="eastAsia" w:ascii="仿宋" w:hAnsi="仿宋" w:eastAsia="仿宋"/>
          <w:b w:val="0"/>
          <w:bCs w:val="0"/>
        </w:rPr>
        <w:t>入决算表</w:t>
      </w:r>
      <w:bookmarkEnd w:id="94"/>
      <w:bookmarkEnd w:id="95"/>
    </w:p>
    <w:p>
      <w:pPr>
        <w:pStyle w:val="4"/>
        <w:rPr>
          <w:rFonts w:ascii="仿宋" w:hAnsi="仿宋" w:eastAsia="仿宋"/>
        </w:rPr>
      </w:pPr>
      <w:bookmarkStart w:id="96" w:name="_Toc15396621"/>
      <w:bookmarkStart w:id="97" w:name="_Toc134_WPSOffice_Level2"/>
      <w:r>
        <w:rPr>
          <w:rStyle w:val="32"/>
          <w:rFonts w:hint="eastAsia" w:ascii="仿宋" w:hAnsi="仿宋" w:eastAsia="仿宋"/>
          <w:b w:val="0"/>
          <w:bCs w:val="0"/>
        </w:rPr>
        <w:t>三、</w:t>
      </w:r>
      <w:r>
        <w:rPr>
          <w:rFonts w:hint="eastAsia" w:ascii="仿宋" w:hAnsi="仿宋" w:eastAsia="仿宋"/>
          <w:b w:val="0"/>
        </w:rPr>
        <w:t>支</w:t>
      </w:r>
      <w:r>
        <w:rPr>
          <w:rStyle w:val="32"/>
          <w:rFonts w:hint="eastAsia" w:ascii="仿宋" w:hAnsi="仿宋" w:eastAsia="仿宋"/>
          <w:b w:val="0"/>
          <w:bCs w:val="0"/>
        </w:rPr>
        <w:t>出决算表</w:t>
      </w:r>
      <w:bookmarkEnd w:id="96"/>
      <w:bookmarkEnd w:id="97"/>
    </w:p>
    <w:p>
      <w:pPr>
        <w:pStyle w:val="4"/>
        <w:rPr>
          <w:rFonts w:ascii="仿宋" w:hAnsi="仿宋" w:eastAsia="仿宋"/>
          <w:b w:val="0"/>
        </w:rPr>
      </w:pPr>
      <w:bookmarkStart w:id="98" w:name="_Toc24999_WPSOffice_Level2"/>
      <w:bookmarkStart w:id="99" w:name="_Toc15396622"/>
      <w:r>
        <w:rPr>
          <w:rStyle w:val="32"/>
          <w:rFonts w:hint="eastAsia" w:ascii="仿宋" w:hAnsi="仿宋" w:eastAsia="仿宋"/>
          <w:b w:val="0"/>
          <w:bCs w:val="0"/>
        </w:rPr>
        <w:t>四、</w:t>
      </w:r>
      <w:r>
        <w:rPr>
          <w:rFonts w:hint="eastAsia" w:ascii="仿宋" w:hAnsi="仿宋" w:eastAsia="仿宋"/>
          <w:b w:val="0"/>
        </w:rPr>
        <w:t>财</w:t>
      </w:r>
      <w:r>
        <w:rPr>
          <w:rStyle w:val="32"/>
          <w:rFonts w:hint="eastAsia" w:ascii="仿宋" w:hAnsi="仿宋" w:eastAsia="仿宋"/>
          <w:b w:val="0"/>
          <w:bCs w:val="0"/>
        </w:rPr>
        <w:t>政拨款收入支出决算总表</w:t>
      </w:r>
      <w:bookmarkEnd w:id="98"/>
      <w:bookmarkEnd w:id="99"/>
    </w:p>
    <w:p>
      <w:pPr>
        <w:pStyle w:val="4"/>
        <w:rPr>
          <w:rStyle w:val="32"/>
          <w:rFonts w:ascii="仿宋" w:hAnsi="仿宋" w:eastAsia="仿宋"/>
          <w:b w:val="0"/>
          <w:bCs w:val="0"/>
        </w:rPr>
      </w:pPr>
      <w:bookmarkStart w:id="100" w:name="_Toc15396623"/>
      <w:bookmarkStart w:id="101" w:name="_Toc14984_WPSOffice_Level2"/>
      <w:r>
        <w:rPr>
          <w:rStyle w:val="32"/>
          <w:rFonts w:hint="eastAsia" w:ascii="仿宋" w:hAnsi="仿宋" w:eastAsia="仿宋"/>
          <w:b w:val="0"/>
          <w:bCs w:val="0"/>
        </w:rPr>
        <w:t>五、</w:t>
      </w:r>
      <w:r>
        <w:rPr>
          <w:rFonts w:hint="eastAsia" w:ascii="仿宋" w:hAnsi="仿宋" w:eastAsia="仿宋"/>
          <w:b w:val="0"/>
        </w:rPr>
        <w:t>财</w:t>
      </w:r>
      <w:r>
        <w:rPr>
          <w:rStyle w:val="32"/>
          <w:rFonts w:hint="eastAsia" w:ascii="仿宋" w:hAnsi="仿宋" w:eastAsia="仿宋"/>
          <w:b w:val="0"/>
          <w:bCs w:val="0"/>
        </w:rPr>
        <w:t>政拨款支出决算明细表</w:t>
      </w:r>
      <w:bookmarkEnd w:id="100"/>
      <w:bookmarkEnd w:id="101"/>
      <w:bookmarkStart w:id="102" w:name="_Toc15396624"/>
    </w:p>
    <w:p>
      <w:pPr>
        <w:pStyle w:val="4"/>
        <w:rPr>
          <w:rFonts w:ascii="仿宋" w:hAnsi="仿宋" w:eastAsia="仿宋"/>
        </w:rPr>
      </w:pPr>
      <w:bookmarkStart w:id="103" w:name="_Toc31942_WPSOffice_Level2"/>
      <w:r>
        <w:rPr>
          <w:rStyle w:val="32"/>
          <w:rFonts w:hint="eastAsia" w:ascii="仿宋" w:hAnsi="仿宋" w:eastAsia="仿宋"/>
          <w:b w:val="0"/>
          <w:bCs w:val="0"/>
        </w:rPr>
        <w:t>六、</w:t>
      </w:r>
      <w:r>
        <w:rPr>
          <w:rFonts w:hint="eastAsia" w:ascii="仿宋" w:hAnsi="仿宋" w:eastAsia="仿宋"/>
          <w:b w:val="0"/>
        </w:rPr>
        <w:t>一</w:t>
      </w:r>
      <w:r>
        <w:rPr>
          <w:rStyle w:val="32"/>
          <w:rFonts w:hint="eastAsia" w:ascii="仿宋" w:hAnsi="仿宋" w:eastAsia="仿宋"/>
          <w:b w:val="0"/>
          <w:bCs w:val="0"/>
        </w:rPr>
        <w:t>般公共预算财政拨款支出决算表</w:t>
      </w:r>
      <w:bookmarkEnd w:id="102"/>
      <w:bookmarkEnd w:id="103"/>
    </w:p>
    <w:p>
      <w:pPr>
        <w:pStyle w:val="4"/>
        <w:rPr>
          <w:rFonts w:ascii="仿宋" w:hAnsi="仿宋" w:eastAsia="仿宋"/>
        </w:rPr>
      </w:pPr>
      <w:bookmarkStart w:id="104" w:name="_Toc15396625"/>
      <w:bookmarkStart w:id="105" w:name="_Toc19031_WPSOffice_Level2"/>
      <w:r>
        <w:rPr>
          <w:rStyle w:val="32"/>
          <w:rFonts w:hint="eastAsia" w:ascii="仿宋" w:hAnsi="仿宋" w:eastAsia="仿宋"/>
          <w:b w:val="0"/>
          <w:bCs w:val="0"/>
        </w:rPr>
        <w:t>七、</w:t>
      </w:r>
      <w:r>
        <w:rPr>
          <w:rFonts w:hint="eastAsia" w:ascii="仿宋" w:hAnsi="仿宋" w:eastAsia="仿宋"/>
          <w:b w:val="0"/>
        </w:rPr>
        <w:t>一</w:t>
      </w:r>
      <w:r>
        <w:rPr>
          <w:rStyle w:val="32"/>
          <w:rFonts w:hint="eastAsia" w:ascii="仿宋" w:hAnsi="仿宋" w:eastAsia="仿宋"/>
          <w:b w:val="0"/>
          <w:bCs w:val="0"/>
        </w:rPr>
        <w:t>般公共预算财政拨款支出决算明细表</w:t>
      </w:r>
      <w:bookmarkEnd w:id="104"/>
      <w:bookmarkEnd w:id="105"/>
    </w:p>
    <w:p>
      <w:pPr>
        <w:pStyle w:val="4"/>
        <w:rPr>
          <w:rFonts w:ascii="仿宋" w:hAnsi="仿宋" w:eastAsia="仿宋"/>
        </w:rPr>
      </w:pPr>
      <w:bookmarkStart w:id="106" w:name="_Toc15396626"/>
      <w:bookmarkStart w:id="107" w:name="_Toc29685_WPSOffice_Level2"/>
      <w:r>
        <w:rPr>
          <w:rStyle w:val="32"/>
          <w:rFonts w:hint="eastAsia" w:ascii="仿宋" w:hAnsi="仿宋" w:eastAsia="仿宋"/>
          <w:b w:val="0"/>
          <w:bCs w:val="0"/>
        </w:rPr>
        <w:t>八、</w:t>
      </w:r>
      <w:r>
        <w:rPr>
          <w:rFonts w:hint="eastAsia" w:ascii="仿宋" w:hAnsi="仿宋" w:eastAsia="仿宋"/>
          <w:b w:val="0"/>
        </w:rPr>
        <w:t>一</w:t>
      </w:r>
      <w:r>
        <w:rPr>
          <w:rStyle w:val="32"/>
          <w:rFonts w:hint="eastAsia" w:ascii="仿宋" w:hAnsi="仿宋" w:eastAsia="仿宋"/>
          <w:b w:val="0"/>
          <w:bCs w:val="0"/>
        </w:rPr>
        <w:t>般公共预算财政拨款基本支出决算表</w:t>
      </w:r>
      <w:bookmarkEnd w:id="106"/>
      <w:bookmarkEnd w:id="107"/>
    </w:p>
    <w:p>
      <w:pPr>
        <w:pStyle w:val="4"/>
        <w:rPr>
          <w:rFonts w:ascii="仿宋" w:hAnsi="仿宋" w:eastAsia="仿宋"/>
        </w:rPr>
      </w:pPr>
      <w:bookmarkStart w:id="108" w:name="_Toc15396627"/>
      <w:bookmarkStart w:id="109" w:name="_Toc4758_WPSOffice_Level2"/>
      <w:r>
        <w:rPr>
          <w:rStyle w:val="32"/>
          <w:rFonts w:hint="eastAsia" w:ascii="仿宋" w:hAnsi="仿宋" w:eastAsia="仿宋"/>
          <w:b w:val="0"/>
          <w:bCs w:val="0"/>
        </w:rPr>
        <w:t>九、</w:t>
      </w:r>
      <w:r>
        <w:rPr>
          <w:rFonts w:hint="eastAsia" w:ascii="仿宋" w:hAnsi="仿宋" w:eastAsia="仿宋"/>
          <w:b w:val="0"/>
        </w:rPr>
        <w:t>一</w:t>
      </w:r>
      <w:r>
        <w:rPr>
          <w:rStyle w:val="32"/>
          <w:rFonts w:hint="eastAsia" w:ascii="仿宋" w:hAnsi="仿宋" w:eastAsia="仿宋"/>
          <w:b w:val="0"/>
          <w:bCs w:val="0"/>
        </w:rPr>
        <w:t>般公共预算财政拨款项目支出决算表</w:t>
      </w:r>
      <w:bookmarkEnd w:id="108"/>
      <w:bookmarkEnd w:id="109"/>
    </w:p>
    <w:p>
      <w:pPr>
        <w:pStyle w:val="4"/>
        <w:rPr>
          <w:rFonts w:ascii="仿宋" w:hAnsi="仿宋" w:eastAsia="仿宋"/>
        </w:rPr>
      </w:pPr>
      <w:bookmarkStart w:id="110" w:name="_Toc15396628"/>
      <w:bookmarkStart w:id="111" w:name="_Toc11508_WPSOffice_Level2"/>
      <w:r>
        <w:rPr>
          <w:rStyle w:val="32"/>
          <w:rFonts w:hint="eastAsia" w:ascii="仿宋" w:hAnsi="仿宋" w:eastAsia="仿宋"/>
          <w:b w:val="0"/>
          <w:bCs w:val="0"/>
        </w:rPr>
        <w:t>十、</w:t>
      </w:r>
      <w:bookmarkEnd w:id="110"/>
      <w:r>
        <w:rPr>
          <w:rFonts w:hint="eastAsia" w:ascii="仿宋" w:hAnsi="仿宋" w:eastAsia="仿宋"/>
          <w:b w:val="0"/>
        </w:rPr>
        <w:t>政</w:t>
      </w:r>
      <w:r>
        <w:rPr>
          <w:rStyle w:val="32"/>
          <w:rFonts w:hint="eastAsia" w:ascii="仿宋" w:hAnsi="仿宋" w:eastAsia="仿宋"/>
          <w:b w:val="0"/>
          <w:bCs w:val="0"/>
        </w:rPr>
        <w:t>府性基金预算财政拨款收入支出决算表</w:t>
      </w:r>
      <w:bookmarkEnd w:id="111"/>
    </w:p>
    <w:p>
      <w:pPr>
        <w:pStyle w:val="4"/>
        <w:rPr>
          <w:rFonts w:ascii="仿宋" w:hAnsi="仿宋" w:eastAsia="仿宋"/>
        </w:rPr>
      </w:pPr>
      <w:bookmarkStart w:id="112" w:name="_Toc15396629"/>
      <w:bookmarkStart w:id="113" w:name="_Toc24839_WPSOffice_Level2"/>
      <w:r>
        <w:rPr>
          <w:rStyle w:val="32"/>
          <w:rFonts w:hint="eastAsia" w:ascii="仿宋" w:hAnsi="仿宋" w:eastAsia="仿宋"/>
          <w:b w:val="0"/>
          <w:bCs w:val="0"/>
        </w:rPr>
        <w:t>十一、</w:t>
      </w:r>
      <w:bookmarkEnd w:id="112"/>
      <w:r>
        <w:rPr>
          <w:rFonts w:hint="eastAsia" w:ascii="仿宋" w:hAnsi="仿宋" w:eastAsia="仿宋"/>
          <w:b w:val="0"/>
        </w:rPr>
        <w:t>国</w:t>
      </w:r>
      <w:r>
        <w:rPr>
          <w:rStyle w:val="32"/>
          <w:rFonts w:hint="eastAsia" w:ascii="仿宋" w:hAnsi="仿宋" w:eastAsia="仿宋"/>
          <w:b w:val="0"/>
          <w:bCs w:val="0"/>
        </w:rPr>
        <w:t>有资本经营预算财政拨款收入支出决算表</w:t>
      </w:r>
      <w:bookmarkEnd w:id="113"/>
    </w:p>
    <w:p>
      <w:pPr>
        <w:pStyle w:val="4"/>
        <w:rPr>
          <w:rFonts w:ascii="仿宋" w:hAnsi="仿宋" w:eastAsia="仿宋"/>
        </w:rPr>
      </w:pPr>
      <w:bookmarkStart w:id="114" w:name="_Toc15396630"/>
      <w:bookmarkStart w:id="115" w:name="_Toc18806_WPSOffice_Level2"/>
      <w:r>
        <w:rPr>
          <w:rStyle w:val="32"/>
          <w:rFonts w:hint="eastAsia" w:ascii="仿宋" w:hAnsi="仿宋" w:eastAsia="仿宋"/>
          <w:b w:val="0"/>
          <w:bCs w:val="0"/>
        </w:rPr>
        <w:t>十二、</w:t>
      </w:r>
      <w:bookmarkEnd w:id="114"/>
      <w:r>
        <w:rPr>
          <w:rStyle w:val="32"/>
          <w:rFonts w:hint="eastAsia" w:ascii="仿宋" w:hAnsi="仿宋" w:eastAsia="仿宋"/>
          <w:b w:val="0"/>
          <w:bCs w:val="0"/>
        </w:rPr>
        <w:t>国有资本经营预算财政拨款支出决算表</w:t>
      </w:r>
      <w:bookmarkEnd w:id="115"/>
    </w:p>
    <w:p>
      <w:pPr>
        <w:pStyle w:val="4"/>
        <w:rPr>
          <w:rFonts w:eastAsia="仿宋"/>
        </w:rPr>
      </w:pPr>
      <w:bookmarkStart w:id="116" w:name="_Toc15396631"/>
      <w:bookmarkStart w:id="117" w:name="_Toc6052_WPSOffice_Level2"/>
      <w:r>
        <w:rPr>
          <w:rStyle w:val="32"/>
          <w:rFonts w:hint="eastAsia" w:ascii="仿宋" w:hAnsi="仿宋" w:eastAsia="仿宋"/>
          <w:b w:val="0"/>
          <w:bCs w:val="0"/>
        </w:rPr>
        <w:t>十三、</w:t>
      </w:r>
      <w:bookmarkEnd w:id="116"/>
      <w:r>
        <w:rPr>
          <w:rStyle w:val="32"/>
          <w:rFonts w:hint="eastAsia" w:ascii="仿宋" w:hAnsi="仿宋" w:eastAsia="仿宋"/>
          <w:b w:val="0"/>
          <w:bCs w:val="0"/>
        </w:rPr>
        <w:t>财政拨款“三公”经费支出决算表</w:t>
      </w:r>
      <w:bookmarkEnd w:id="117"/>
    </w:p>
    <w:sectPr>
      <w:headerReference r:id="rId10" w:type="default"/>
      <w:footerReference r:id="rId11"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A00002BF" w:usb1="68C7FCFB" w:usb2="00000010" w:usb3="00000000" w:csb0="4002009F" w:csb1="DFD7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20"/>
        <w:sz w:val="28"/>
        <w:szCs w:val="28"/>
      </w:rPr>
    </w:pPr>
    <w:r>
      <w:rPr>
        <w:rStyle w:val="20"/>
        <w:sz w:val="28"/>
        <w:szCs w:val="28"/>
      </w:rPr>
      <w:t xml:space="preserve">— </w:t>
    </w:r>
    <w:r>
      <w:rPr>
        <w:rStyle w:val="20"/>
        <w:sz w:val="28"/>
        <w:szCs w:val="28"/>
      </w:rPr>
      <w:fldChar w:fldCharType="begin"/>
    </w:r>
    <w:r>
      <w:rPr>
        <w:rStyle w:val="20"/>
        <w:sz w:val="28"/>
        <w:szCs w:val="28"/>
      </w:rPr>
      <w:instrText xml:space="preserve">PAGE  </w:instrText>
    </w:r>
    <w:r>
      <w:rPr>
        <w:rStyle w:val="20"/>
        <w:sz w:val="28"/>
        <w:szCs w:val="28"/>
      </w:rPr>
      <w:fldChar w:fldCharType="separate"/>
    </w:r>
    <w:r>
      <w:rPr>
        <w:rStyle w:val="20"/>
        <w:sz w:val="28"/>
        <w:szCs w:val="28"/>
      </w:rPr>
      <w:t>13</w:t>
    </w:r>
    <w:r>
      <w:rPr>
        <w:rStyle w:val="20"/>
        <w:sz w:val="28"/>
        <w:szCs w:val="28"/>
      </w:rPr>
      <w:fldChar w:fldCharType="end"/>
    </w:r>
    <w:r>
      <w:rPr>
        <w:rStyle w:val="20"/>
        <w:sz w:val="28"/>
        <w:szCs w:val="28"/>
      </w:rPr>
      <w:t xml:space="preserve"> —</w:t>
    </w:r>
  </w:p>
  <w:p>
    <w:pPr>
      <w:pStyle w:val="1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20"/>
        <w:sz w:val="28"/>
        <w:szCs w:val="28"/>
      </w:rPr>
    </w:pPr>
    <w:r>
      <w:rPr>
        <w:rStyle w:val="20"/>
        <w:sz w:val="28"/>
        <w:szCs w:val="28"/>
      </w:rPr>
      <w:t xml:space="preserve">— </w:t>
    </w:r>
    <w:r>
      <w:rPr>
        <w:rStyle w:val="20"/>
        <w:sz w:val="28"/>
        <w:szCs w:val="28"/>
      </w:rPr>
      <w:fldChar w:fldCharType="begin"/>
    </w:r>
    <w:r>
      <w:rPr>
        <w:rStyle w:val="20"/>
        <w:sz w:val="28"/>
        <w:szCs w:val="28"/>
      </w:rPr>
      <w:instrText xml:space="preserve">PAGE  </w:instrText>
    </w:r>
    <w:r>
      <w:rPr>
        <w:rStyle w:val="20"/>
        <w:sz w:val="28"/>
        <w:szCs w:val="28"/>
      </w:rPr>
      <w:fldChar w:fldCharType="separate"/>
    </w:r>
    <w:r>
      <w:rPr>
        <w:rStyle w:val="20"/>
        <w:sz w:val="28"/>
        <w:szCs w:val="28"/>
      </w:rPr>
      <w:t>12</w:t>
    </w:r>
    <w:r>
      <w:rPr>
        <w:rStyle w:val="20"/>
        <w:sz w:val="28"/>
        <w:szCs w:val="28"/>
      </w:rPr>
      <w:fldChar w:fldCharType="end"/>
    </w:r>
    <w:r>
      <w:rPr>
        <w:rStyle w:val="20"/>
        <w:sz w:val="28"/>
        <w:szCs w:val="28"/>
      </w:rPr>
      <w:t xml:space="preserve"> —</w:t>
    </w:r>
  </w:p>
  <w:p>
    <w:pPr>
      <w:pStyle w:val="11"/>
      <w:ind w:right="360" w:firstLine="360"/>
      <w:jc w:val="center"/>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20"/>
        <w:sz w:val="28"/>
        <w:szCs w:val="28"/>
      </w:rPr>
    </w:pPr>
    <w:r>
      <w:rPr>
        <w:rStyle w:val="20"/>
        <w:sz w:val="28"/>
        <w:szCs w:val="28"/>
      </w:rPr>
      <w:t xml:space="preserve">— </w:t>
    </w:r>
    <w:r>
      <w:rPr>
        <w:rStyle w:val="20"/>
        <w:sz w:val="28"/>
        <w:szCs w:val="28"/>
      </w:rPr>
      <w:fldChar w:fldCharType="begin"/>
    </w:r>
    <w:r>
      <w:rPr>
        <w:rStyle w:val="20"/>
        <w:sz w:val="28"/>
        <w:szCs w:val="28"/>
      </w:rPr>
      <w:instrText xml:space="preserve">PAGE  </w:instrText>
    </w:r>
    <w:r>
      <w:rPr>
        <w:rStyle w:val="20"/>
        <w:sz w:val="28"/>
        <w:szCs w:val="28"/>
      </w:rPr>
      <w:fldChar w:fldCharType="separate"/>
    </w:r>
    <w:r>
      <w:rPr>
        <w:rStyle w:val="20"/>
        <w:sz w:val="28"/>
        <w:szCs w:val="28"/>
      </w:rPr>
      <w:t>13</w:t>
    </w:r>
    <w:r>
      <w:rPr>
        <w:rStyle w:val="20"/>
        <w:sz w:val="28"/>
        <w:szCs w:val="28"/>
      </w:rPr>
      <w:fldChar w:fldCharType="end"/>
    </w:r>
    <w:r>
      <w:rPr>
        <w:rStyle w:val="20"/>
        <w:sz w:val="28"/>
        <w:szCs w:val="28"/>
      </w:rPr>
      <w:t xml:space="preserve"> —</w:t>
    </w:r>
  </w:p>
  <w:p>
    <w:pPr>
      <w:pStyle w:val="11"/>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20"/>
        <w:sz w:val="28"/>
        <w:szCs w:val="28"/>
      </w:rPr>
    </w:pPr>
    <w:r>
      <w:rPr>
        <w:rStyle w:val="20"/>
        <w:sz w:val="28"/>
        <w:szCs w:val="28"/>
      </w:rPr>
      <w:t xml:space="preserve">— </w:t>
    </w:r>
    <w:r>
      <w:rPr>
        <w:rStyle w:val="20"/>
        <w:sz w:val="28"/>
        <w:szCs w:val="28"/>
      </w:rPr>
      <w:fldChar w:fldCharType="begin"/>
    </w:r>
    <w:r>
      <w:rPr>
        <w:rStyle w:val="20"/>
        <w:sz w:val="28"/>
        <w:szCs w:val="28"/>
      </w:rPr>
      <w:instrText xml:space="preserve">PAGE  </w:instrText>
    </w:r>
    <w:r>
      <w:rPr>
        <w:rStyle w:val="20"/>
        <w:sz w:val="28"/>
        <w:szCs w:val="28"/>
      </w:rPr>
      <w:fldChar w:fldCharType="separate"/>
    </w:r>
    <w:r>
      <w:rPr>
        <w:rStyle w:val="20"/>
        <w:sz w:val="28"/>
        <w:szCs w:val="28"/>
      </w:rPr>
      <w:t>12</w:t>
    </w:r>
    <w:r>
      <w:rPr>
        <w:rStyle w:val="20"/>
        <w:sz w:val="28"/>
        <w:szCs w:val="28"/>
      </w:rPr>
      <w:fldChar w:fldCharType="end"/>
    </w:r>
    <w:r>
      <w:rPr>
        <w:rStyle w:val="20"/>
        <w:sz w:val="28"/>
        <w:szCs w:val="28"/>
      </w:rPr>
      <w:t xml:space="preserve"> —</w:t>
    </w:r>
  </w:p>
  <w:p>
    <w:pPr>
      <w:pStyle w:val="11"/>
      <w:ind w:right="360" w:firstLine="360"/>
      <w:jc w:val="center"/>
      <w:rPr>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1371" w:wrap="around" w:vAnchor="text" w:hAnchor="margin" w:xAlign="outside" w:y="9"/>
      <w:jc w:val="center"/>
      <w:rPr>
        <w:rStyle w:val="20"/>
        <w:rFonts w:hint="eastAsia"/>
        <w:sz w:val="28"/>
        <w:szCs w:val="28"/>
      </w:rPr>
    </w:pPr>
    <w:r>
      <w:rPr>
        <w:rStyle w:val="20"/>
        <w:rFonts w:hint="eastAsia"/>
        <w:sz w:val="28"/>
        <w:szCs w:val="28"/>
      </w:rPr>
      <w:t xml:space="preserve">— </w:t>
    </w:r>
    <w:r>
      <w:rPr>
        <w:rStyle w:val="20"/>
        <w:sz w:val="28"/>
        <w:szCs w:val="28"/>
      </w:rPr>
      <w:fldChar w:fldCharType="begin"/>
    </w:r>
    <w:r>
      <w:rPr>
        <w:rStyle w:val="20"/>
        <w:sz w:val="28"/>
        <w:szCs w:val="28"/>
      </w:rPr>
      <w:instrText xml:space="preserve">PAGE  </w:instrText>
    </w:r>
    <w:r>
      <w:rPr>
        <w:rStyle w:val="20"/>
        <w:sz w:val="28"/>
        <w:szCs w:val="28"/>
      </w:rPr>
      <w:fldChar w:fldCharType="separate"/>
    </w:r>
    <w:r>
      <w:rPr>
        <w:rStyle w:val="20"/>
        <w:sz w:val="28"/>
        <w:szCs w:val="28"/>
      </w:rPr>
      <w:t>10</w:t>
    </w:r>
    <w:r>
      <w:rPr>
        <w:rStyle w:val="20"/>
        <w:sz w:val="28"/>
        <w:szCs w:val="28"/>
      </w:rPr>
      <w:fldChar w:fldCharType="end"/>
    </w:r>
    <w:r>
      <w:rPr>
        <w:rStyle w:val="20"/>
        <w:rFonts w:hint="eastAsia"/>
        <w:sz w:val="28"/>
        <w:szCs w:val="28"/>
      </w:rPr>
      <w:t xml:space="preserve"> —</w:t>
    </w:r>
  </w:p>
  <w:p>
    <w:pPr>
      <w:pStyle w:val="11"/>
      <w:ind w:right="360" w:firstLine="360"/>
      <w:jc w:val="center"/>
      <w:rPr>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20"/>
        <w:sz w:val="28"/>
        <w:szCs w:val="28"/>
      </w:rPr>
    </w:pPr>
    <w:r>
      <w:rPr>
        <w:rStyle w:val="20"/>
        <w:sz w:val="28"/>
        <w:szCs w:val="28"/>
      </w:rPr>
      <w:t xml:space="preserve">— </w:t>
    </w:r>
    <w:r>
      <w:rPr>
        <w:rStyle w:val="20"/>
        <w:sz w:val="28"/>
        <w:szCs w:val="28"/>
      </w:rPr>
      <w:fldChar w:fldCharType="begin"/>
    </w:r>
    <w:r>
      <w:rPr>
        <w:rStyle w:val="20"/>
        <w:sz w:val="28"/>
        <w:szCs w:val="28"/>
      </w:rPr>
      <w:instrText xml:space="preserve">PAGE  </w:instrText>
    </w:r>
    <w:r>
      <w:rPr>
        <w:rStyle w:val="20"/>
        <w:sz w:val="28"/>
        <w:szCs w:val="28"/>
      </w:rPr>
      <w:fldChar w:fldCharType="separate"/>
    </w:r>
    <w:r>
      <w:rPr>
        <w:rStyle w:val="20"/>
        <w:sz w:val="28"/>
        <w:szCs w:val="28"/>
      </w:rPr>
      <w:t>13</w:t>
    </w:r>
    <w:r>
      <w:rPr>
        <w:rStyle w:val="20"/>
        <w:sz w:val="28"/>
        <w:szCs w:val="28"/>
      </w:rPr>
      <w:fldChar w:fldCharType="end"/>
    </w:r>
    <w:r>
      <w:rPr>
        <w:rStyle w:val="20"/>
        <w:sz w:val="28"/>
        <w:szCs w:val="28"/>
      </w:rPr>
      <w:t xml:space="preserve"> —</w:t>
    </w:r>
  </w:p>
  <w:p>
    <w:pPr>
      <w:pStyle w:val="11"/>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20"/>
        <w:sz w:val="28"/>
        <w:szCs w:val="28"/>
      </w:rPr>
    </w:pPr>
    <w:r>
      <w:rPr>
        <w:rStyle w:val="20"/>
        <w:sz w:val="28"/>
        <w:szCs w:val="28"/>
      </w:rPr>
      <w:t xml:space="preserve">— </w:t>
    </w:r>
    <w:r>
      <w:rPr>
        <w:rStyle w:val="20"/>
        <w:sz w:val="28"/>
        <w:szCs w:val="28"/>
      </w:rPr>
      <w:fldChar w:fldCharType="begin"/>
    </w:r>
    <w:r>
      <w:rPr>
        <w:rStyle w:val="20"/>
        <w:sz w:val="28"/>
        <w:szCs w:val="28"/>
      </w:rPr>
      <w:instrText xml:space="preserve">PAGE  </w:instrText>
    </w:r>
    <w:r>
      <w:rPr>
        <w:rStyle w:val="20"/>
        <w:sz w:val="28"/>
        <w:szCs w:val="28"/>
      </w:rPr>
      <w:fldChar w:fldCharType="separate"/>
    </w:r>
    <w:r>
      <w:rPr>
        <w:rStyle w:val="20"/>
        <w:sz w:val="28"/>
        <w:szCs w:val="28"/>
      </w:rPr>
      <w:t>12</w:t>
    </w:r>
    <w:r>
      <w:rPr>
        <w:rStyle w:val="20"/>
        <w:sz w:val="28"/>
        <w:szCs w:val="28"/>
      </w:rPr>
      <w:fldChar w:fldCharType="end"/>
    </w:r>
    <w:r>
      <w:rPr>
        <w:rStyle w:val="20"/>
        <w:sz w:val="28"/>
        <w:szCs w:val="28"/>
      </w:rPr>
      <w:t xml:space="preserve"> —</w:t>
    </w:r>
  </w:p>
  <w:p>
    <w:pPr>
      <w:pStyle w:val="11"/>
      <w:ind w:right="360" w:firstLine="360"/>
      <w:jc w:val="center"/>
      <w:rPr>
        <w:sz w:val="28"/>
        <w:szCs w:val="2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E7D0A"/>
    <w:multiLevelType w:val="singleLevel"/>
    <w:tmpl w:val="860E7D0A"/>
    <w:lvl w:ilvl="0" w:tentative="0">
      <w:start w:val="2"/>
      <w:numFmt w:val="chineseCounting"/>
      <w:suff w:val="nothing"/>
      <w:lvlText w:val="（%1）"/>
      <w:lvlJc w:val="left"/>
      <w:rPr>
        <w:rFonts w:hint="eastAsia"/>
      </w:rPr>
    </w:lvl>
  </w:abstractNum>
  <w:abstractNum w:abstractNumId="1">
    <w:nsid w:val="8EF028B9"/>
    <w:multiLevelType w:val="singleLevel"/>
    <w:tmpl w:val="8EF028B9"/>
    <w:lvl w:ilvl="0" w:tentative="0">
      <w:start w:val="2"/>
      <w:numFmt w:val="chineseCounting"/>
      <w:suff w:val="nothing"/>
      <w:lvlText w:val="（%1）"/>
      <w:lvlJc w:val="left"/>
      <w:pPr>
        <w:ind w:left="-13"/>
      </w:pPr>
      <w:rPr>
        <w:rFonts w:hint="eastAsia"/>
      </w:rPr>
    </w:lvl>
  </w:abstractNum>
  <w:abstractNum w:abstractNumId="2">
    <w:nsid w:val="C5729F5D"/>
    <w:multiLevelType w:val="singleLevel"/>
    <w:tmpl w:val="C5729F5D"/>
    <w:lvl w:ilvl="0" w:tentative="0">
      <w:start w:val="2"/>
      <w:numFmt w:val="chineseCounting"/>
      <w:suff w:val="nothing"/>
      <w:lvlText w:val="（%1）"/>
      <w:lvlJc w:val="left"/>
      <w:rPr>
        <w:rFonts w:hint="eastAsia"/>
      </w:rPr>
    </w:lvl>
  </w:abstractNum>
  <w:abstractNum w:abstractNumId="3">
    <w:nsid w:val="CF652CEC"/>
    <w:multiLevelType w:val="singleLevel"/>
    <w:tmpl w:val="CF652CEC"/>
    <w:lvl w:ilvl="0" w:tentative="0">
      <w:start w:val="9"/>
      <w:numFmt w:val="chineseCounting"/>
      <w:suff w:val="nothing"/>
      <w:lvlText w:val="%1、"/>
      <w:lvlJc w:val="left"/>
      <w:rPr>
        <w:rFonts w:hint="eastAsia"/>
      </w:rPr>
    </w:lvl>
  </w:abstractNum>
  <w:abstractNum w:abstractNumId="4">
    <w:nsid w:val="D1D83DBD"/>
    <w:multiLevelType w:val="singleLevel"/>
    <w:tmpl w:val="D1D83DBD"/>
    <w:lvl w:ilvl="0" w:tentative="0">
      <w:start w:val="1"/>
      <w:numFmt w:val="chineseCounting"/>
      <w:suff w:val="nothing"/>
      <w:lvlText w:val="%1、"/>
      <w:lvlJc w:val="left"/>
      <w:rPr>
        <w:rFonts w:hint="eastAsia"/>
      </w:rPr>
    </w:lvl>
  </w:abstractNum>
  <w:abstractNum w:abstractNumId="5">
    <w:nsid w:val="E2FA047D"/>
    <w:multiLevelType w:val="singleLevel"/>
    <w:tmpl w:val="E2FA047D"/>
    <w:lvl w:ilvl="0" w:tentative="0">
      <w:start w:val="3"/>
      <w:numFmt w:val="chineseCounting"/>
      <w:suff w:val="space"/>
      <w:lvlText w:val="第%1部分"/>
      <w:lvlJc w:val="left"/>
      <w:rPr>
        <w:rFonts w:hint="eastAsia"/>
      </w:rPr>
    </w:lvl>
  </w:abstractNum>
  <w:abstractNum w:abstractNumId="6">
    <w:nsid w:val="ECFAA24B"/>
    <w:multiLevelType w:val="singleLevel"/>
    <w:tmpl w:val="ECFAA24B"/>
    <w:lvl w:ilvl="0" w:tentative="0">
      <w:start w:val="1"/>
      <w:numFmt w:val="chineseCounting"/>
      <w:suff w:val="nothing"/>
      <w:lvlText w:val="%1、"/>
      <w:lvlJc w:val="left"/>
      <w:rPr>
        <w:rFonts w:hint="eastAsia"/>
      </w:rPr>
    </w:lvl>
  </w:abstractNum>
  <w:abstractNum w:abstractNumId="7">
    <w:nsid w:val="F4C96CC7"/>
    <w:multiLevelType w:val="singleLevel"/>
    <w:tmpl w:val="F4C96CC7"/>
    <w:lvl w:ilvl="0" w:tentative="0">
      <w:start w:val="2"/>
      <w:numFmt w:val="chineseCounting"/>
      <w:suff w:val="nothing"/>
      <w:lvlText w:val="（%1）"/>
      <w:lvlJc w:val="left"/>
      <w:rPr>
        <w:rFonts w:hint="eastAsia"/>
      </w:rPr>
    </w:lvl>
  </w:abstractNum>
  <w:abstractNum w:abstractNumId="8">
    <w:nsid w:val="F738D608"/>
    <w:multiLevelType w:val="singleLevel"/>
    <w:tmpl w:val="F738D608"/>
    <w:lvl w:ilvl="0" w:tentative="0">
      <w:start w:val="2"/>
      <w:numFmt w:val="decimal"/>
      <w:lvlText w:val="%1."/>
      <w:lvlJc w:val="left"/>
      <w:pPr>
        <w:tabs>
          <w:tab w:val="left" w:pos="312"/>
        </w:tabs>
      </w:pPr>
    </w:lvl>
  </w:abstractNum>
  <w:abstractNum w:abstractNumId="9">
    <w:nsid w:val="0CEE86D9"/>
    <w:multiLevelType w:val="singleLevel"/>
    <w:tmpl w:val="0CEE86D9"/>
    <w:lvl w:ilvl="0" w:tentative="0">
      <w:start w:val="2"/>
      <w:numFmt w:val="decimal"/>
      <w:lvlText w:val="%1."/>
      <w:lvlJc w:val="left"/>
      <w:pPr>
        <w:tabs>
          <w:tab w:val="left" w:pos="312"/>
        </w:tabs>
      </w:pPr>
    </w:lvl>
  </w:abstractNum>
  <w:abstractNum w:abstractNumId="10">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1">
    <w:nsid w:val="4863E358"/>
    <w:multiLevelType w:val="singleLevel"/>
    <w:tmpl w:val="4863E358"/>
    <w:lvl w:ilvl="0" w:tentative="0">
      <w:start w:val="2"/>
      <w:numFmt w:val="decimal"/>
      <w:lvlText w:val="%1."/>
      <w:lvlJc w:val="left"/>
      <w:pPr>
        <w:tabs>
          <w:tab w:val="left" w:pos="312"/>
        </w:tabs>
      </w:pPr>
    </w:lvl>
  </w:abstractNum>
  <w:abstractNum w:abstractNumId="12">
    <w:nsid w:val="5EF73886"/>
    <w:multiLevelType w:val="singleLevel"/>
    <w:tmpl w:val="5EF73886"/>
    <w:lvl w:ilvl="0" w:tentative="0">
      <w:start w:val="2"/>
      <w:numFmt w:val="chineseCounting"/>
      <w:suff w:val="nothing"/>
      <w:lvlText w:val="（%1）"/>
      <w:lvlJc w:val="left"/>
      <w:rPr>
        <w:rFonts w:hint="eastAsia"/>
      </w:rPr>
    </w:lvl>
  </w:abstractNum>
  <w:abstractNum w:abstractNumId="13">
    <w:nsid w:val="7310C496"/>
    <w:multiLevelType w:val="singleLevel"/>
    <w:tmpl w:val="7310C496"/>
    <w:lvl w:ilvl="0" w:tentative="0">
      <w:start w:val="3"/>
      <w:numFmt w:val="decimal"/>
      <w:lvlText w:val="%1."/>
      <w:lvlJc w:val="left"/>
      <w:pPr>
        <w:tabs>
          <w:tab w:val="left" w:pos="312"/>
        </w:tabs>
      </w:pPr>
    </w:lvl>
  </w:abstractNum>
  <w:num w:numId="1">
    <w:abstractNumId w:val="6"/>
  </w:num>
  <w:num w:numId="2">
    <w:abstractNumId w:val="10"/>
  </w:num>
  <w:num w:numId="3">
    <w:abstractNumId w:val="3"/>
  </w:num>
  <w:num w:numId="4">
    <w:abstractNumId w:val="5"/>
  </w:num>
  <w:num w:numId="5">
    <w:abstractNumId w:val="12"/>
  </w:num>
  <w:num w:numId="6">
    <w:abstractNumId w:val="7"/>
  </w:num>
  <w:num w:numId="7">
    <w:abstractNumId w:val="13"/>
  </w:num>
  <w:num w:numId="8">
    <w:abstractNumId w:val="9"/>
  </w:num>
  <w:num w:numId="9">
    <w:abstractNumId w:val="0"/>
  </w:num>
  <w:num w:numId="10">
    <w:abstractNumId w:val="8"/>
  </w:num>
  <w:num w:numId="11">
    <w:abstractNumId w:val="2"/>
  </w:num>
  <w:num w:numId="12">
    <w:abstractNumId w:val="4"/>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66E0107"/>
    <w:rsid w:val="07996F6E"/>
    <w:rsid w:val="09EF5765"/>
    <w:rsid w:val="0A2032A3"/>
    <w:rsid w:val="0BCB0C19"/>
    <w:rsid w:val="0F98263C"/>
    <w:rsid w:val="101860EC"/>
    <w:rsid w:val="10C055FF"/>
    <w:rsid w:val="118107EC"/>
    <w:rsid w:val="13D50BC4"/>
    <w:rsid w:val="16BB723D"/>
    <w:rsid w:val="1BE8440E"/>
    <w:rsid w:val="1D155CEE"/>
    <w:rsid w:val="1FF35744"/>
    <w:rsid w:val="23860B96"/>
    <w:rsid w:val="240371BF"/>
    <w:rsid w:val="29FD04D3"/>
    <w:rsid w:val="2C8A61B5"/>
    <w:rsid w:val="2DF04E50"/>
    <w:rsid w:val="2F040D46"/>
    <w:rsid w:val="319F7F4E"/>
    <w:rsid w:val="3304709D"/>
    <w:rsid w:val="36AA5135"/>
    <w:rsid w:val="376D39B2"/>
    <w:rsid w:val="37E16F03"/>
    <w:rsid w:val="38D469F0"/>
    <w:rsid w:val="3C93299D"/>
    <w:rsid w:val="3D98207C"/>
    <w:rsid w:val="3E78745D"/>
    <w:rsid w:val="44E268DA"/>
    <w:rsid w:val="4A627F82"/>
    <w:rsid w:val="4B0E749A"/>
    <w:rsid w:val="4B4F25DA"/>
    <w:rsid w:val="4BE068DB"/>
    <w:rsid w:val="4D577224"/>
    <w:rsid w:val="4EAB630A"/>
    <w:rsid w:val="4ECE2238"/>
    <w:rsid w:val="537E6D0A"/>
    <w:rsid w:val="54AF0933"/>
    <w:rsid w:val="5AF92295"/>
    <w:rsid w:val="5CD71FC4"/>
    <w:rsid w:val="61756944"/>
    <w:rsid w:val="6A482259"/>
    <w:rsid w:val="6C4A05C8"/>
    <w:rsid w:val="6E7E3605"/>
    <w:rsid w:val="6FF5CC65"/>
    <w:rsid w:val="706305CE"/>
    <w:rsid w:val="715C0E4B"/>
    <w:rsid w:val="71D35DC0"/>
    <w:rsid w:val="72734D90"/>
    <w:rsid w:val="73AD73D5"/>
    <w:rsid w:val="73B6EB34"/>
    <w:rsid w:val="744731E5"/>
    <w:rsid w:val="76E3355F"/>
    <w:rsid w:val="778769C8"/>
    <w:rsid w:val="79EE5BA4"/>
    <w:rsid w:val="7A89433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Calibri" w:hAnsi="Calibri"/>
    </w:rPr>
  </w:style>
  <w:style w:type="paragraph" w:styleId="6">
    <w:name w:val="annotation text"/>
    <w:basedOn w:val="1"/>
    <w:semiHidden/>
    <w:unhideWhenUsed/>
    <w:uiPriority w:val="99"/>
    <w:pPr>
      <w:jc w:val="left"/>
    </w:pPr>
  </w:style>
  <w:style w:type="paragraph" w:styleId="7">
    <w:name w:val="Body Text"/>
    <w:basedOn w:val="1"/>
    <w:next w:val="1"/>
    <w:link w:val="28"/>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0"/>
    <w:pPr>
      <w:widowControl/>
      <w:jc w:val="left"/>
    </w:pPr>
    <w:rPr>
      <w:rFonts w:ascii="宋体" w:hAnsi="宋体" w:cs="宋体"/>
      <w:kern w:val="0"/>
      <w:sz w:val="24"/>
    </w:rPr>
  </w:style>
  <w:style w:type="paragraph" w:styleId="16">
    <w:name w:val="Body Text First Indent 2"/>
    <w:basedOn w:val="8"/>
    <w:unhideWhenUsed/>
    <w:qFormat/>
    <w:uiPriority w:val="99"/>
    <w:pPr>
      <w:ind w:firstLine="420" w:firstLineChars="200"/>
    </w:pPr>
  </w:style>
  <w:style w:type="character" w:styleId="19">
    <w:name w:val="Strong"/>
    <w:basedOn w:val="18"/>
    <w:qFormat/>
    <w:uiPriority w:val="99"/>
    <w:rPr>
      <w:b/>
    </w:rPr>
  </w:style>
  <w:style w:type="character" w:styleId="20">
    <w:name w:val="page number"/>
    <w:basedOn w:val="18"/>
    <w:uiPriority w:val="0"/>
    <w:rPr>
      <w:rFonts w:cs="Times New Roman"/>
    </w:rPr>
  </w:style>
  <w:style w:type="character" w:styleId="21">
    <w:name w:val="Hyperlink"/>
    <w:basedOn w:val="18"/>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8"/>
    <w:semiHidden/>
    <w:qFormat/>
    <w:uiPriority w:val="99"/>
    <w:rPr>
      <w:rFonts w:ascii="Times New Roman" w:hAnsi="Times New Roman"/>
      <w:sz w:val="18"/>
      <w:szCs w:val="18"/>
    </w:rPr>
  </w:style>
  <w:style w:type="character" w:customStyle="1" w:styleId="24">
    <w:name w:val="页眉 字符"/>
    <w:link w:val="12"/>
    <w:semiHidden/>
    <w:qFormat/>
    <w:locked/>
    <w:uiPriority w:val="99"/>
    <w:rPr>
      <w:sz w:val="18"/>
    </w:rPr>
  </w:style>
  <w:style w:type="character" w:customStyle="1" w:styleId="25">
    <w:name w:val="Footer Char"/>
    <w:basedOn w:val="18"/>
    <w:semiHidden/>
    <w:qFormat/>
    <w:uiPriority w:val="99"/>
    <w:rPr>
      <w:rFonts w:ascii="Times New Roman" w:hAnsi="Times New Roman"/>
      <w:sz w:val="18"/>
      <w:szCs w:val="18"/>
    </w:rPr>
  </w:style>
  <w:style w:type="character" w:customStyle="1" w:styleId="26">
    <w:name w:val="页脚 字符"/>
    <w:link w:val="11"/>
    <w:qFormat/>
    <w:locked/>
    <w:uiPriority w:val="99"/>
    <w:rPr>
      <w:sz w:val="18"/>
    </w:rPr>
  </w:style>
  <w:style w:type="character" w:customStyle="1" w:styleId="27">
    <w:name w:val="Body Text Char"/>
    <w:basedOn w:val="18"/>
    <w:semiHidden/>
    <w:qFormat/>
    <w:uiPriority w:val="99"/>
    <w:rPr>
      <w:rFonts w:ascii="Times New Roman" w:hAnsi="Times New Roman"/>
      <w:szCs w:val="24"/>
    </w:rPr>
  </w:style>
  <w:style w:type="character" w:customStyle="1" w:styleId="28">
    <w:name w:val="正文文本 字符"/>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8"/>
    <w:link w:val="3"/>
    <w:qFormat/>
    <w:uiPriority w:val="9"/>
    <w:rPr>
      <w:rFonts w:ascii="Times New Roman" w:hAnsi="Times New Roman"/>
      <w:b/>
      <w:bCs/>
      <w:kern w:val="44"/>
      <w:sz w:val="44"/>
      <w:szCs w:val="44"/>
    </w:rPr>
  </w:style>
  <w:style w:type="character" w:customStyle="1" w:styleId="32">
    <w:name w:val="标题 2 字符"/>
    <w:basedOn w:val="18"/>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8"/>
    <w:link w:val="10"/>
    <w:semiHidden/>
    <w:qFormat/>
    <w:uiPriority w:val="99"/>
    <w:rPr>
      <w:rFonts w:ascii="Times New Roman" w:hAnsi="Times New Roman"/>
      <w:kern w:val="2"/>
      <w:sz w:val="18"/>
      <w:szCs w:val="18"/>
    </w:rPr>
  </w:style>
  <w:style w:type="character" w:customStyle="1" w:styleId="35">
    <w:name w:val="标题 3 字符"/>
    <w:basedOn w:val="18"/>
    <w:link w:val="5"/>
    <w:qFormat/>
    <w:uiPriority w:val="9"/>
    <w:rPr>
      <w:rFonts w:ascii="Times New Roman" w:hAnsi="Times New Roman"/>
      <w:b/>
      <w:bCs/>
      <w:kern w:val="2"/>
      <w:sz w:val="32"/>
      <w:szCs w:val="32"/>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 w:type="paragraph" w:customStyle="1" w:styleId="38">
    <w:name w:val="WPSOffice手动目录 1"/>
    <w:qFormat/>
    <w:uiPriority w:val="0"/>
    <w:pPr>
      <w:ind w:leftChars="0"/>
    </w:pPr>
    <w:rPr>
      <w:rFonts w:asciiTheme="minorHAnsi" w:hAnsiTheme="minorHAnsi" w:eastAsiaTheme="minorEastAsia" w:cstheme="minorBidi"/>
      <w:sz w:val="20"/>
      <w:szCs w:val="20"/>
    </w:rPr>
  </w:style>
  <w:style w:type="paragraph" w:customStyle="1" w:styleId="39">
    <w:name w:val="WPSOffice手动目录 2"/>
    <w:qFormat/>
    <w:uiPriority w:val="0"/>
    <w:pPr>
      <w:ind w:leftChars="200"/>
    </w:pPr>
    <w:rPr>
      <w:rFonts w:asciiTheme="minorHAnsi" w:hAnsiTheme="minorHAnsi" w:eastAsiaTheme="minorEastAsia" w:cstheme="minorBidi"/>
      <w:sz w:val="20"/>
      <w:szCs w:val="20"/>
    </w:rPr>
  </w:style>
  <w:style w:type="paragraph" w:customStyle="1" w:styleId="40">
    <w:name w:val="列出段落1"/>
    <w:basedOn w:val="1"/>
    <w:qFormat/>
    <w:uiPriority w:val="0"/>
    <w:pPr>
      <w:ind w:firstLine="420" w:firstLineChars="200"/>
    </w:pPr>
    <w:rPr>
      <w:rFonts w:ascii="Calibri" w:hAnsi="Calibri" w:eastAsia="宋体" w:cs="Calibri"/>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chart" Target="charts/chart6.xml"/><Relationship Id="rId18" Type="http://schemas.openxmlformats.org/officeDocument/2006/relationships/chart" Target="charts/chart5.xml"/><Relationship Id="rId17" Type="http://schemas.openxmlformats.org/officeDocument/2006/relationships/chart" Target="charts/chart4.xml"/><Relationship Id="rId16" Type="http://schemas.openxmlformats.org/officeDocument/2006/relationships/chart" Target="charts/chart3.xml"/><Relationship Id="rId15" Type="http://schemas.openxmlformats.org/officeDocument/2006/relationships/chart" Target="charts/chart2.xml"/><Relationship Id="rId14" Type="http://schemas.openxmlformats.org/officeDocument/2006/relationships/image" Target="media/image1.png"/><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header" Target="header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021&#24180;&#24037;&#3616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021&#24180;&#24037;&#3616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021&#24180;&#24037;&#3616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2021&#24180;&#24037;&#3616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021&#24180;&#24037;&#3616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strator\Desktop\2021&#24180;&#24037;&#3616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[2021年工资.xlsx]Sheet2!$B$4:$B$5</c:f>
              <c:strCache>
                <c:ptCount val="2"/>
                <c:pt idx="0">
                  <c:v>2022年</c:v>
                </c:pt>
                <c:pt idx="1">
                  <c:v>2023年</c:v>
                </c:pt>
              </c:strCache>
            </c:strRef>
          </c:cat>
          <c:val>
            <c:numRef>
              <c:f>[2021年工资.xlsx]Sheet2!$C$4:$C$5</c:f>
              <c:numCache>
                <c:formatCode>General</c:formatCode>
                <c:ptCount val="2"/>
                <c:pt idx="0">
                  <c:v>2222.5</c:v>
                </c:pt>
                <c:pt idx="1">
                  <c:v>2188.1</c:v>
                </c:pt>
              </c:numCache>
            </c:numRef>
          </c:val>
        </c:ser>
        <c:dLbls>
          <c:showLegendKey val="0"/>
          <c:showVal val="1"/>
          <c:showCatName val="0"/>
          <c:showSerName val="0"/>
          <c:showPercent val="0"/>
          <c:showBubbleSize val="0"/>
        </c:dLbls>
        <c:gapWidth val="219"/>
        <c:overlap val="-27"/>
        <c:axId val="13065357"/>
        <c:axId val="784557557"/>
      </c:barChart>
      <c:catAx>
        <c:axId val="1306535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4557557"/>
        <c:crosses val="autoZero"/>
        <c:auto val="1"/>
        <c:lblAlgn val="ctr"/>
        <c:lblOffset val="100"/>
        <c:noMultiLvlLbl val="0"/>
      </c:catAx>
      <c:valAx>
        <c:axId val="78455755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06535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[2021年工资.xlsx]Sheet2!$B$8:$B$9</c:f>
              <c:strCache>
                <c:ptCount val="2"/>
                <c:pt idx="0">
                  <c:v>基本支出</c:v>
                </c:pt>
                <c:pt idx="1">
                  <c:v>项目支出</c:v>
                </c:pt>
              </c:strCache>
            </c:strRef>
          </c:cat>
          <c:val>
            <c:numRef>
              <c:f>[2021年工资.xlsx]Sheet2!$C$8:$C$9</c:f>
              <c:numCache>
                <c:formatCode>General</c:formatCode>
                <c:ptCount val="2"/>
                <c:pt idx="0">
                  <c:v>738.3</c:v>
                </c:pt>
                <c:pt idx="1">
                  <c:v>355.75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13833333333333"/>
          <c:y val="0.00694444444444444"/>
          <c:w val="0.882"/>
          <c:h val="0.711666666666667"/>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[2021年工资.xlsx]Sheet2!$B$4:$B$5</c:f>
              <c:strCache>
                <c:ptCount val="2"/>
                <c:pt idx="0">
                  <c:v>2022年</c:v>
                </c:pt>
                <c:pt idx="1">
                  <c:v>2023年</c:v>
                </c:pt>
              </c:strCache>
            </c:strRef>
          </c:cat>
          <c:val>
            <c:numRef>
              <c:f>[2021年工资.xlsx]Sheet2!$C$4:$C$5</c:f>
              <c:numCache>
                <c:formatCode>General</c:formatCode>
                <c:ptCount val="2"/>
                <c:pt idx="0">
                  <c:v>2222.5</c:v>
                </c:pt>
                <c:pt idx="1">
                  <c:v>2188.1</c:v>
                </c:pt>
              </c:numCache>
            </c:numRef>
          </c:val>
        </c:ser>
        <c:dLbls>
          <c:showLegendKey val="0"/>
          <c:showVal val="1"/>
          <c:showCatName val="0"/>
          <c:showSerName val="0"/>
          <c:showPercent val="0"/>
          <c:showBubbleSize val="0"/>
        </c:dLbls>
        <c:gapWidth val="219"/>
        <c:overlap val="-27"/>
        <c:axId val="13065357"/>
        <c:axId val="784557557"/>
      </c:barChart>
      <c:catAx>
        <c:axId val="1306535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4557557"/>
        <c:crosses val="autoZero"/>
        <c:auto val="1"/>
        <c:lblAlgn val="ctr"/>
        <c:lblOffset val="100"/>
        <c:noMultiLvlLbl val="0"/>
      </c:catAx>
      <c:valAx>
        <c:axId val="78455755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06535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13833333333333"/>
          <c:y val="0.00694444444444444"/>
          <c:w val="0.882"/>
          <c:h val="0.711666666666667"/>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[2021年工资.xlsx]Sheet2!$B$4:$B$5</c:f>
              <c:strCache>
                <c:ptCount val="2"/>
                <c:pt idx="0">
                  <c:v>2022年</c:v>
                </c:pt>
                <c:pt idx="1">
                  <c:v>2023年</c:v>
                </c:pt>
              </c:strCache>
            </c:strRef>
          </c:cat>
          <c:val>
            <c:numRef>
              <c:f>[2021年工资.xlsx]Sheet2!$C$4:$C$5</c:f>
              <c:numCache>
                <c:formatCode>General</c:formatCode>
                <c:ptCount val="2"/>
                <c:pt idx="0">
                  <c:v>1111.25</c:v>
                </c:pt>
                <c:pt idx="1">
                  <c:v>1094.05</c:v>
                </c:pt>
              </c:numCache>
            </c:numRef>
          </c:val>
        </c:ser>
        <c:dLbls>
          <c:showLegendKey val="0"/>
          <c:showVal val="1"/>
          <c:showCatName val="0"/>
          <c:showSerName val="0"/>
          <c:showPercent val="0"/>
          <c:showBubbleSize val="0"/>
        </c:dLbls>
        <c:gapWidth val="219"/>
        <c:overlap val="-27"/>
        <c:axId val="13065357"/>
        <c:axId val="784557557"/>
      </c:barChart>
      <c:catAx>
        <c:axId val="1306535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4557557"/>
        <c:crosses val="autoZero"/>
        <c:auto val="1"/>
        <c:lblAlgn val="ctr"/>
        <c:lblOffset val="100"/>
        <c:noMultiLvlLbl val="0"/>
      </c:catAx>
      <c:valAx>
        <c:axId val="78455755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06535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[2021年工资.xlsx]Sheet2!$B$13:$B$16</c:f>
              <c:strCache>
                <c:ptCount val="4"/>
                <c:pt idx="0">
                  <c:v>一般公共服务支出</c:v>
                </c:pt>
                <c:pt idx="1">
                  <c:v>社会保障和就业支出</c:v>
                </c:pt>
                <c:pt idx="2">
                  <c:v>卫生健康支出</c:v>
                </c:pt>
                <c:pt idx="3">
                  <c:v>住房保障支出</c:v>
                </c:pt>
              </c:strCache>
            </c:strRef>
          </c:cat>
          <c:val>
            <c:numRef>
              <c:f>[2021年工资.xlsx]Sheet2!$C$13:$C$16</c:f>
              <c:numCache>
                <c:formatCode>General</c:formatCode>
                <c:ptCount val="4"/>
                <c:pt idx="0">
                  <c:v>942.01</c:v>
                </c:pt>
                <c:pt idx="1">
                  <c:v>75.19</c:v>
                </c:pt>
                <c:pt idx="2">
                  <c:v>25.37</c:v>
                </c:pt>
                <c:pt idx="3">
                  <c:v>51.47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[2021年工资.xlsx]Sheet2!$B$19:$B$21</c:f>
              <c:strCache>
                <c:ptCount val="3"/>
                <c:pt idx="0">
                  <c:v>因公出国（境）费支出</c:v>
                </c:pt>
                <c:pt idx="1">
                  <c:v>公务用车购置及运行维护费支出</c:v>
                </c:pt>
                <c:pt idx="2">
                  <c:v>公务接待费支出</c:v>
                </c:pt>
              </c:strCache>
            </c:strRef>
          </c:cat>
          <c:val>
            <c:numRef>
              <c:f>[2021年工资.xlsx]Sheet2!$C$19:$C$21</c:f>
              <c:numCache>
                <c:formatCode>General</c:formatCode>
                <c:ptCount val="3"/>
                <c:pt idx="0">
                  <c:v>0</c:v>
                </c:pt>
                <c:pt idx="1">
                  <c:v>2.5</c:v>
                </c:pt>
                <c:pt idx="2">
                  <c:v>3.27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693889a-56ff-4183-805e-2c9eeaf08c7e}"/>
        <w:style w:val=""/>
        <w:category>
          <w:name w:val="常规"/>
          <w:gallery w:val="placeholder"/>
        </w:category>
        <w:types>
          <w:type w:val="bbPlcHdr"/>
        </w:types>
        <w:behaviors>
          <w:behavior w:val="content"/>
        </w:behaviors>
        <w:description w:val=""/>
        <w:guid w:val="{4693889a-56ff-4183-805e-2c9eeaf08c7e}"/>
      </w:docPartPr>
      <w:docPartBody>
        <w:p>
          <w:r>
            <w:rPr>
              <w:color w:val="808080"/>
            </w:rPr>
            <w:t>单击此处输入文字。</w:t>
          </w:r>
        </w:p>
      </w:docPartBody>
    </w:docPart>
    <w:docPart>
      <w:docPartPr>
        <w:name w:val="{1236087a-8363-4a2c-acf0-2b9b5c651728}"/>
        <w:style w:val=""/>
        <w:category>
          <w:name w:val="常规"/>
          <w:gallery w:val="placeholder"/>
        </w:category>
        <w:types>
          <w:type w:val="bbPlcHdr"/>
        </w:types>
        <w:behaviors>
          <w:behavior w:val="content"/>
        </w:behaviors>
        <w:description w:val=""/>
        <w:guid w:val="{1236087a-8363-4a2c-acf0-2b9b5c651728}"/>
      </w:docPartPr>
      <w:docPartBody>
        <w:p>
          <w:r>
            <w:rPr>
              <w:color w:val="808080"/>
            </w:rPr>
            <w:t>单击此处输入文字。</w:t>
          </w:r>
        </w:p>
      </w:docPartBody>
    </w:docPart>
    <w:docPart>
      <w:docPartPr>
        <w:name w:val="{9e882b5f-810e-45b1-9753-fddd570ecfed}"/>
        <w:style w:val=""/>
        <w:category>
          <w:name w:val="常规"/>
          <w:gallery w:val="placeholder"/>
        </w:category>
        <w:types>
          <w:type w:val="bbPlcHdr"/>
        </w:types>
        <w:behaviors>
          <w:behavior w:val="content"/>
        </w:behaviors>
        <w:description w:val=""/>
        <w:guid w:val="{9e882b5f-810e-45b1-9753-fddd570ecfed}"/>
      </w:docPartPr>
      <w:docPartBody>
        <w:p>
          <w:r>
            <w:rPr>
              <w:color w:val="808080"/>
            </w:rPr>
            <w:t>单击此处输入文字。</w:t>
          </w:r>
        </w:p>
      </w:docPartBody>
    </w:docPart>
    <w:docPart>
      <w:docPartPr>
        <w:name w:val="{42961840-c3da-42fb-8856-741cdd9c08e4}"/>
        <w:style w:val=""/>
        <w:category>
          <w:name w:val="常规"/>
          <w:gallery w:val="placeholder"/>
        </w:category>
        <w:types>
          <w:type w:val="bbPlcHdr"/>
        </w:types>
        <w:behaviors>
          <w:behavior w:val="content"/>
        </w:behaviors>
        <w:description w:val=""/>
        <w:guid w:val="{42961840-c3da-42fb-8856-741cdd9c08e4}"/>
      </w:docPartPr>
      <w:docPartBody>
        <w:p>
          <w:r>
            <w:rPr>
              <w:color w:val="808080"/>
            </w:rPr>
            <w:t>单击此处输入文字。</w:t>
          </w:r>
        </w:p>
      </w:docPartBody>
    </w:docPart>
    <w:docPart>
      <w:docPartPr>
        <w:name w:val="{aacd965d-640e-4977-a1c3-bf5879190f8d}"/>
        <w:style w:val=""/>
        <w:category>
          <w:name w:val="常规"/>
          <w:gallery w:val="placeholder"/>
        </w:category>
        <w:types>
          <w:type w:val="bbPlcHdr"/>
        </w:types>
        <w:behaviors>
          <w:behavior w:val="content"/>
        </w:behaviors>
        <w:description w:val=""/>
        <w:guid w:val="{aacd965d-640e-4977-a1c3-bf5879190f8d}"/>
      </w:docPartPr>
      <w:docPartBody>
        <w:p>
          <w:r>
            <w:rPr>
              <w:color w:val="808080"/>
            </w:rPr>
            <w:t>单击此处输入文字。</w:t>
          </w:r>
        </w:p>
      </w:docPartBody>
    </w:docPart>
    <w:docPart>
      <w:docPartPr>
        <w:name w:val="{b2cc3663-735f-4c09-9d53-fd560b83f860}"/>
        <w:style w:val=""/>
        <w:category>
          <w:name w:val="常规"/>
          <w:gallery w:val="placeholder"/>
        </w:category>
        <w:types>
          <w:type w:val="bbPlcHdr"/>
        </w:types>
        <w:behaviors>
          <w:behavior w:val="content"/>
        </w:behaviors>
        <w:description w:val=""/>
        <w:guid w:val="{b2cc3663-735f-4c09-9d53-fd560b83f860}"/>
      </w:docPartPr>
      <w:docPartBody>
        <w:p>
          <w:r>
            <w:rPr>
              <w:color w:val="808080"/>
            </w:rPr>
            <w:t>单击此处输入文字。</w:t>
          </w:r>
        </w:p>
      </w:docPartBody>
    </w:docPart>
    <w:docPart>
      <w:docPartPr>
        <w:name w:val="{5e267938-358c-47e8-b86c-9a4f9b7809e4}"/>
        <w:style w:val=""/>
        <w:category>
          <w:name w:val="常规"/>
          <w:gallery w:val="placeholder"/>
        </w:category>
        <w:types>
          <w:type w:val="bbPlcHdr"/>
        </w:types>
        <w:behaviors>
          <w:behavior w:val="content"/>
        </w:behaviors>
        <w:description w:val=""/>
        <w:guid w:val="{5e267938-358c-47e8-b86c-9a4f9b7809e4}"/>
      </w:docPartPr>
      <w:docPartBody>
        <w:p>
          <w:r>
            <w:rPr>
              <w:color w:val="808080"/>
            </w:rPr>
            <w:t>单击此处输入文字。</w:t>
          </w:r>
        </w:p>
      </w:docPartBody>
    </w:docPart>
    <w:docPart>
      <w:docPartPr>
        <w:name w:val="{12dc97fa-cbb5-4527-b2c0-e0ad7bee9a0f}"/>
        <w:style w:val=""/>
        <w:category>
          <w:name w:val="常规"/>
          <w:gallery w:val="placeholder"/>
        </w:category>
        <w:types>
          <w:type w:val="bbPlcHdr"/>
        </w:types>
        <w:behaviors>
          <w:behavior w:val="content"/>
        </w:behaviors>
        <w:description w:val=""/>
        <w:guid w:val="{12dc97fa-cbb5-4527-b2c0-e0ad7bee9a0f}"/>
      </w:docPartPr>
      <w:docPartBody>
        <w:p>
          <w:r>
            <w:rPr>
              <w:color w:val="808080"/>
            </w:rPr>
            <w:t>单击此处输入文字。</w:t>
          </w:r>
        </w:p>
      </w:docPartBody>
    </w:docPart>
    <w:docPart>
      <w:docPartPr>
        <w:name w:val="{72cf8caf-3eba-47c6-9d60-aeaaa0158f91}"/>
        <w:style w:val=""/>
        <w:category>
          <w:name w:val="常规"/>
          <w:gallery w:val="placeholder"/>
        </w:category>
        <w:types>
          <w:type w:val="bbPlcHdr"/>
        </w:types>
        <w:behaviors>
          <w:behavior w:val="content"/>
        </w:behaviors>
        <w:description w:val=""/>
        <w:guid w:val="{72cf8caf-3eba-47c6-9d60-aeaaa0158f91}"/>
      </w:docPartPr>
      <w:docPartBody>
        <w:p>
          <w:r>
            <w:rPr>
              <w:color w:val="808080"/>
            </w:rPr>
            <w:t>单击此处输入文字。</w:t>
          </w:r>
        </w:p>
      </w:docPartBody>
    </w:docPart>
    <w:docPart>
      <w:docPartPr>
        <w:name w:val="{4accee12-e89e-43a9-89ba-8a22710cb91b}"/>
        <w:style w:val=""/>
        <w:category>
          <w:name w:val="常规"/>
          <w:gallery w:val="placeholder"/>
        </w:category>
        <w:types>
          <w:type w:val="bbPlcHdr"/>
        </w:types>
        <w:behaviors>
          <w:behavior w:val="content"/>
        </w:behaviors>
        <w:description w:val=""/>
        <w:guid w:val="{4accee12-e89e-43a9-89ba-8a22710cb91b}"/>
      </w:docPartPr>
      <w:docPartBody>
        <w:p>
          <w:r>
            <w:rPr>
              <w:color w:val="808080"/>
            </w:rPr>
            <w:t>单击此处输入文字。</w:t>
          </w:r>
        </w:p>
      </w:docPartBody>
    </w:docPart>
    <w:docPart>
      <w:docPartPr>
        <w:name w:val="{77319846-d251-49eb-b777-3689c487bfb1}"/>
        <w:style w:val=""/>
        <w:category>
          <w:name w:val="常规"/>
          <w:gallery w:val="placeholder"/>
        </w:category>
        <w:types>
          <w:type w:val="bbPlcHdr"/>
        </w:types>
        <w:behaviors>
          <w:behavior w:val="content"/>
        </w:behaviors>
        <w:description w:val=""/>
        <w:guid w:val="{77319846-d251-49eb-b777-3689c487bfb1}"/>
      </w:docPartPr>
      <w:docPartBody>
        <w:p>
          <w:r>
            <w:rPr>
              <w:color w:val="808080"/>
            </w:rPr>
            <w:t>单击此处输入文字。</w:t>
          </w:r>
        </w:p>
      </w:docPartBody>
    </w:docPart>
    <w:docPart>
      <w:docPartPr>
        <w:name w:val="{ba5d8a11-57dd-4137-9495-cb47d5de1a48}"/>
        <w:style w:val=""/>
        <w:category>
          <w:name w:val="常规"/>
          <w:gallery w:val="placeholder"/>
        </w:category>
        <w:types>
          <w:type w:val="bbPlcHdr"/>
        </w:types>
        <w:behaviors>
          <w:behavior w:val="content"/>
        </w:behaviors>
        <w:description w:val=""/>
        <w:guid w:val="{ba5d8a11-57dd-4137-9495-cb47d5de1a48}"/>
      </w:docPartPr>
      <w:docPartBody>
        <w:p>
          <w:r>
            <w:rPr>
              <w:color w:val="808080"/>
            </w:rPr>
            <w:t>单击此处输入文字。</w:t>
          </w:r>
        </w:p>
      </w:docPartBody>
    </w:docPart>
    <w:docPart>
      <w:docPartPr>
        <w:name w:val="{6daae8d8-2500-4d2b-807d-503d8c12bef5}"/>
        <w:style w:val=""/>
        <w:category>
          <w:name w:val="常规"/>
          <w:gallery w:val="placeholder"/>
        </w:category>
        <w:types>
          <w:type w:val="bbPlcHdr"/>
        </w:types>
        <w:behaviors>
          <w:behavior w:val="content"/>
        </w:behaviors>
        <w:description w:val=""/>
        <w:guid w:val="{6daae8d8-2500-4d2b-807d-503d8c12bef5}"/>
      </w:docPartPr>
      <w:docPartBody>
        <w:p>
          <w:r>
            <w:rPr>
              <w:color w:val="808080"/>
            </w:rPr>
            <w:t>单击此处输入文字。</w:t>
          </w:r>
        </w:p>
      </w:docPartBody>
    </w:docPart>
    <w:docPart>
      <w:docPartPr>
        <w:name w:val="{3026548e-6916-48d1-80df-1500fff68aa2}"/>
        <w:style w:val=""/>
        <w:category>
          <w:name w:val="常规"/>
          <w:gallery w:val="placeholder"/>
        </w:category>
        <w:types>
          <w:type w:val="bbPlcHdr"/>
        </w:types>
        <w:behaviors>
          <w:behavior w:val="content"/>
        </w:behaviors>
        <w:description w:val=""/>
        <w:guid w:val="{3026548e-6916-48d1-80df-1500fff68aa2}"/>
      </w:docPartPr>
      <w:docPartBody>
        <w:p>
          <w:r>
            <w:rPr>
              <w:color w:val="808080"/>
            </w:rPr>
            <w:t>单击此处输入文字。</w:t>
          </w:r>
        </w:p>
      </w:docPartBody>
    </w:docPart>
    <w:docPart>
      <w:docPartPr>
        <w:name w:val="{1470151c-a3c8-49c4-a1ac-86877d7cde7f}"/>
        <w:style w:val=""/>
        <w:category>
          <w:name w:val="常规"/>
          <w:gallery w:val="placeholder"/>
        </w:category>
        <w:types>
          <w:type w:val="bbPlcHdr"/>
        </w:types>
        <w:behaviors>
          <w:behavior w:val="content"/>
        </w:behaviors>
        <w:description w:val=""/>
        <w:guid w:val="{1470151c-a3c8-49c4-a1ac-86877d7cde7f}"/>
      </w:docPartPr>
      <w:docPartBody>
        <w:p>
          <w:r>
            <w:rPr>
              <w:color w:val="808080"/>
            </w:rPr>
            <w:t>单击此处输入文字。</w:t>
          </w:r>
        </w:p>
      </w:docPartBody>
    </w:docPart>
    <w:docPart>
      <w:docPartPr>
        <w:name w:val="{7fa4a8a2-e50b-43ae-9c06-fc941ff758e5}"/>
        <w:style w:val=""/>
        <w:category>
          <w:name w:val="常规"/>
          <w:gallery w:val="placeholder"/>
        </w:category>
        <w:types>
          <w:type w:val="bbPlcHdr"/>
        </w:types>
        <w:behaviors>
          <w:behavior w:val="content"/>
        </w:behaviors>
        <w:description w:val=""/>
        <w:guid w:val="{7fa4a8a2-e50b-43ae-9c06-fc941ff758e5}"/>
      </w:docPartPr>
      <w:docPartBody>
        <w:p>
          <w:r>
            <w:rPr>
              <w:color w:val="808080"/>
            </w:rPr>
            <w:t>单击此处输入文字。</w:t>
          </w:r>
        </w:p>
      </w:docPartBody>
    </w:docPart>
    <w:docPart>
      <w:docPartPr>
        <w:name w:val="{5e4176d6-bd7e-4001-999f-4f4d047f5400}"/>
        <w:style w:val=""/>
        <w:category>
          <w:name w:val="常规"/>
          <w:gallery w:val="placeholder"/>
        </w:category>
        <w:types>
          <w:type w:val="bbPlcHdr"/>
        </w:types>
        <w:behaviors>
          <w:behavior w:val="content"/>
        </w:behaviors>
        <w:description w:val=""/>
        <w:guid w:val="{5e4176d6-bd7e-4001-999f-4f4d047f5400}"/>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0</TotalTime>
  <ScaleCrop>false</ScaleCrop>
  <LinksUpToDate>false</LinksUpToDate>
  <CharactersWithSpaces>7955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2024-10-18T02:57:21Z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A683B0ED30724B51AD6C64FBF4887DA3</vt:lpwstr>
  </property>
</Properties>
</file>