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乐至县机关事业单位社会保险局</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关于</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年部门预算</w:t>
      </w:r>
      <w:r>
        <w:rPr>
          <w:rFonts w:hint="eastAsia" w:ascii="方正小标宋简体" w:hAnsi="方正小标宋简体" w:eastAsia="方正小标宋简体" w:cs="方正小标宋简体"/>
          <w:sz w:val="44"/>
          <w:szCs w:val="44"/>
          <w:lang w:val="en-US" w:eastAsia="zh-CN"/>
        </w:rPr>
        <w:t>公开的</w:t>
      </w:r>
      <w:r>
        <w:rPr>
          <w:rFonts w:hint="eastAsia" w:ascii="方正小标宋简体" w:hAnsi="方正小标宋简体" w:eastAsia="方正小标宋简体" w:cs="方正小标宋简体"/>
          <w:sz w:val="44"/>
          <w:szCs w:val="44"/>
        </w:rPr>
        <w:t>说明</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按照预算管理有关规定，目前部门预算的编制实行综合预算制度，即全部收入和支出都反映在预算中。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一、基本职能及主要工作</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（一）基本职能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eastAsia="zh-CN"/>
        </w:rPr>
      </w:pPr>
      <w:bookmarkStart w:id="0" w:name="OLE_LINK6"/>
      <w:bookmarkStart w:id="1" w:name="OLE_LINK5"/>
      <w:r>
        <w:rPr>
          <w:rFonts w:hint="default" w:ascii="Times New Roman" w:hAnsi="Times New Roman" w:eastAsia="仿宋" w:cs="Times New Roman"/>
          <w:sz w:val="32"/>
          <w:szCs w:val="32"/>
          <w:lang w:eastAsia="zh-CN"/>
        </w:rPr>
        <w:t>一是负责社会保险基金的征收、管理、支付业务工作；二是负责机关、事业单位的退休工作，配合有关部门做好退休（职）人员的管理服务工作；三是接受县财政局委托代发省系统外离退休人员生活补贴、丧葬抚恤等相关费用。</w:t>
      </w:r>
    </w:p>
    <w:bookmarkEnd w:id="0"/>
    <w:bookmarkEnd w:id="1"/>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sz w:val="32"/>
          <w:szCs w:val="32"/>
        </w:rPr>
      </w:pPr>
      <w:r>
        <w:rPr>
          <w:rFonts w:hint="default" w:ascii="楷体" w:hAnsi="楷体" w:eastAsia="楷体" w:cs="楷体"/>
          <w:b/>
          <w:bCs/>
          <w:sz w:val="32"/>
          <w:szCs w:val="32"/>
        </w:rPr>
        <w:t>（二）202</w:t>
      </w:r>
      <w:r>
        <w:rPr>
          <w:rFonts w:hint="default" w:ascii="楷体" w:hAnsi="楷体" w:eastAsia="楷体" w:cs="楷体"/>
          <w:b/>
          <w:bCs/>
          <w:sz w:val="32"/>
          <w:szCs w:val="32"/>
          <w:lang w:val="en-US" w:eastAsia="zh-CN"/>
        </w:rPr>
        <w:t>3</w:t>
      </w:r>
      <w:r>
        <w:rPr>
          <w:rFonts w:hint="default" w:ascii="楷体" w:hAnsi="楷体" w:eastAsia="楷体" w:cs="楷体"/>
          <w:b/>
          <w:bCs/>
          <w:sz w:val="32"/>
          <w:szCs w:val="32"/>
        </w:rPr>
        <w:t>年重点工作任务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一是强化基金征收，确保养老金按时足额发放；二是加强基金内部审计稽核，确保基金安全；三是完善各项制度，推进业务工作规范化、科学化管理；四是做好参保单位信息、基础数据采集、审核和报送；五是做好机关事业单位养老保险制度改革政策宣传。</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二、部门概况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乐至县机关事业单位社会保险局是隶属人社系统管理的二级局，</w:t>
      </w:r>
      <w:r>
        <w:rPr>
          <w:rFonts w:hint="default" w:ascii="Times New Roman" w:hAnsi="Times New Roman" w:eastAsia="仿宋" w:cs="Times New Roman"/>
          <w:sz w:val="32"/>
          <w:szCs w:val="32"/>
          <w:lang w:eastAsia="zh-CN"/>
        </w:rPr>
        <w:t>是财政全额拨款的参公单位。</w:t>
      </w:r>
      <w:r>
        <w:rPr>
          <w:rFonts w:hint="default" w:ascii="Times New Roman" w:hAnsi="Times New Roman" w:eastAsia="仿宋" w:cs="Times New Roman"/>
          <w:sz w:val="32"/>
          <w:szCs w:val="32"/>
        </w:rPr>
        <w:t>一级核算，执行事业单位会计制度。内设机构4个，即：办公室、征收信息股、退管股、财会股。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bookmarkStart w:id="2" w:name="OLE_LINK12"/>
      <w:r>
        <w:rPr>
          <w:rFonts w:hint="default" w:ascii="Times New Roman" w:hAnsi="Times New Roman" w:eastAsia="仿宋" w:cs="Times New Roman"/>
          <w:sz w:val="32"/>
          <w:szCs w:val="32"/>
        </w:rPr>
        <w:t>乐至县机关事业单位社会保险局总编制6名，其中：参公编制6名。实有在职人员总数5名，其中：参公人员5名，退休人员3名。</w:t>
      </w:r>
    </w:p>
    <w:bookmarkEnd w:id="2"/>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乐至县机关事业单位社会保险局现有固定资产总额35万元，通用设备固定资产占82.85%，家具、用具占17.14%。单价50万元以上通用设备0台。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三、收支预算总体情况</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sz w:val="32"/>
          <w:szCs w:val="32"/>
        </w:rPr>
      </w:pPr>
      <w:bookmarkStart w:id="3" w:name="OLE_LINK13"/>
      <w:r>
        <w:rPr>
          <w:rFonts w:hint="default" w:ascii="楷体" w:hAnsi="楷体" w:eastAsia="楷体" w:cs="楷体"/>
          <w:b/>
          <w:bCs/>
          <w:sz w:val="32"/>
          <w:szCs w:val="32"/>
        </w:rPr>
        <w:t>（一）收入预算情况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乐至县机关事业单位社会保险局202</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年预算收入总数</w:t>
      </w:r>
      <w:r>
        <w:rPr>
          <w:rFonts w:hint="default" w:ascii="Times New Roman" w:hAnsi="Times New Roman" w:eastAsia="仿宋" w:cs="Times New Roman"/>
          <w:sz w:val="32"/>
          <w:szCs w:val="32"/>
          <w:lang w:val="en-US" w:eastAsia="zh-CN"/>
        </w:rPr>
        <w:t>2319.87</w:t>
      </w:r>
      <w:r>
        <w:rPr>
          <w:rFonts w:hint="default" w:ascii="Times New Roman" w:hAnsi="Times New Roman" w:eastAsia="仿宋" w:cs="Times New Roman"/>
          <w:sz w:val="32"/>
          <w:szCs w:val="32"/>
        </w:rPr>
        <w:t>万元</w:t>
      </w:r>
      <w:r>
        <w:rPr>
          <w:rFonts w:hint="eastAsia" w:eastAsia="仿宋" w:cs="Times New Roman"/>
          <w:sz w:val="32"/>
          <w:szCs w:val="32"/>
          <w:lang w:eastAsia="zh-CN"/>
        </w:rPr>
        <w:t>，</w:t>
      </w:r>
      <w:r>
        <w:rPr>
          <w:rFonts w:hint="default" w:ascii="Times New Roman" w:hAnsi="Times New Roman" w:eastAsia="仿宋" w:cs="Times New Roman"/>
          <w:sz w:val="32"/>
          <w:szCs w:val="32"/>
        </w:rPr>
        <w:t>与202</w:t>
      </w: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年部门预算收入总数</w:t>
      </w:r>
      <w:r>
        <w:rPr>
          <w:rFonts w:hint="default" w:ascii="Times New Roman" w:hAnsi="Times New Roman" w:eastAsia="仿宋" w:cs="Times New Roman"/>
          <w:sz w:val="32"/>
          <w:szCs w:val="32"/>
          <w:lang w:val="en-US" w:eastAsia="zh-CN"/>
        </w:rPr>
        <w:t>1515.11</w:t>
      </w:r>
      <w:r>
        <w:rPr>
          <w:rFonts w:hint="default" w:ascii="Times New Roman" w:hAnsi="Times New Roman" w:eastAsia="仿宋" w:cs="Times New Roman"/>
          <w:sz w:val="32"/>
          <w:szCs w:val="32"/>
        </w:rPr>
        <w:t>万元的预算增加</w:t>
      </w:r>
      <w:r>
        <w:rPr>
          <w:rFonts w:hint="default" w:ascii="Times New Roman" w:hAnsi="Times New Roman" w:eastAsia="仿宋" w:cs="Times New Roman"/>
          <w:sz w:val="32"/>
          <w:szCs w:val="32"/>
          <w:lang w:val="en-US" w:eastAsia="zh-CN"/>
        </w:rPr>
        <w:t>804.76</w:t>
      </w:r>
      <w:r>
        <w:rPr>
          <w:rFonts w:hint="default" w:ascii="Times New Roman" w:hAnsi="Times New Roman" w:eastAsia="仿宋" w:cs="Times New Roman"/>
          <w:sz w:val="32"/>
          <w:szCs w:val="32"/>
        </w:rPr>
        <w:t>万元，增长率</w:t>
      </w:r>
      <w:r>
        <w:rPr>
          <w:rFonts w:hint="default" w:ascii="Times New Roman" w:hAnsi="Times New Roman" w:eastAsia="仿宋" w:cs="Times New Roman"/>
          <w:sz w:val="32"/>
          <w:szCs w:val="32"/>
          <w:lang w:val="en-US" w:eastAsia="zh-CN"/>
        </w:rPr>
        <w:t>53.11</w:t>
      </w:r>
      <w:r>
        <w:rPr>
          <w:rFonts w:hint="default" w:ascii="Times New Roman" w:hAnsi="Times New Roman" w:eastAsia="仿宋" w:cs="Times New Roman"/>
          <w:sz w:val="32"/>
          <w:szCs w:val="32"/>
        </w:rPr>
        <w:t>%</w:t>
      </w:r>
      <w:r>
        <w:rPr>
          <w:rFonts w:hint="eastAsia" w:eastAsia="仿宋" w:cs="Times New Roman"/>
          <w:sz w:val="32"/>
          <w:szCs w:val="32"/>
          <w:lang w:eastAsia="zh-CN"/>
        </w:rPr>
        <w:t>，</w:t>
      </w:r>
      <w:r>
        <w:rPr>
          <w:rFonts w:hint="default" w:ascii="Times New Roman" w:hAnsi="Times New Roman" w:eastAsia="仿宋" w:cs="Times New Roman"/>
          <w:sz w:val="32"/>
          <w:szCs w:val="32"/>
        </w:rPr>
        <w:t>增加原因一是退休人员病故人数增加；二是丧葬抚恤标准提高。其中：一</w:t>
      </w:r>
      <w:r>
        <w:rPr>
          <w:rFonts w:hint="default" w:ascii="Times New Roman" w:hAnsi="Times New Roman" w:eastAsia="仿宋" w:cs="Times New Roman"/>
          <w:sz w:val="32"/>
          <w:szCs w:val="32"/>
          <w:lang w:val="en-US" w:eastAsia="zh-CN"/>
        </w:rPr>
        <w:t>般公共预算拨款收入2319.87万元，占100%</w:t>
      </w:r>
      <w:bookmarkEnd w:id="3"/>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sz w:val="32"/>
          <w:szCs w:val="32"/>
        </w:rPr>
      </w:pPr>
      <w:r>
        <w:rPr>
          <w:rFonts w:hint="default" w:ascii="楷体" w:hAnsi="楷体" w:eastAsia="楷体" w:cs="楷体"/>
          <w:b/>
          <w:bCs/>
          <w:sz w:val="32"/>
          <w:szCs w:val="32"/>
        </w:rPr>
        <w:t>（二）支出预算情况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乐至县机关事业单位社会保险局2024年支出预算</w:t>
      </w:r>
      <w:r>
        <w:rPr>
          <w:rFonts w:hint="default" w:ascii="Times New Roman" w:hAnsi="Times New Roman" w:eastAsia="仿宋" w:cs="Times New Roman"/>
          <w:sz w:val="32"/>
          <w:szCs w:val="32"/>
          <w:lang w:val="en-US" w:eastAsia="zh-CN"/>
        </w:rPr>
        <w:t>2319.87</w:t>
      </w:r>
      <w:r>
        <w:rPr>
          <w:rFonts w:hint="default" w:ascii="Times New Roman" w:hAnsi="Times New Roman" w:eastAsia="仿宋" w:cs="Times New Roman"/>
          <w:sz w:val="32"/>
          <w:szCs w:val="32"/>
        </w:rPr>
        <w:t>万元，较2023年单位预算支出总数</w:t>
      </w:r>
      <w:r>
        <w:rPr>
          <w:rFonts w:hint="default" w:ascii="Times New Roman" w:hAnsi="Times New Roman" w:eastAsia="仿宋" w:cs="Times New Roman"/>
          <w:sz w:val="32"/>
          <w:szCs w:val="32"/>
          <w:lang w:val="en-US" w:eastAsia="zh-CN"/>
        </w:rPr>
        <w:t>1515.11</w:t>
      </w:r>
      <w:r>
        <w:rPr>
          <w:rFonts w:hint="default" w:ascii="Times New Roman" w:hAnsi="Times New Roman" w:eastAsia="仿宋" w:cs="Times New Roman"/>
          <w:sz w:val="32"/>
          <w:szCs w:val="32"/>
        </w:rPr>
        <w:t>万元的预算增加</w:t>
      </w:r>
      <w:r>
        <w:rPr>
          <w:rFonts w:hint="default" w:ascii="Times New Roman" w:hAnsi="Times New Roman" w:eastAsia="仿宋" w:cs="Times New Roman"/>
          <w:sz w:val="32"/>
          <w:szCs w:val="32"/>
          <w:lang w:val="en-US" w:eastAsia="zh-CN"/>
        </w:rPr>
        <w:t>804.76万元，</w:t>
      </w:r>
      <w:r>
        <w:rPr>
          <w:rFonts w:hint="default" w:ascii="Times New Roman" w:hAnsi="Times New Roman" w:eastAsia="仿宋" w:cs="Times New Roman"/>
          <w:sz w:val="32"/>
          <w:szCs w:val="32"/>
        </w:rPr>
        <w:t>增长</w:t>
      </w:r>
      <w:r>
        <w:rPr>
          <w:rFonts w:hint="default" w:ascii="Times New Roman" w:hAnsi="Times New Roman" w:eastAsia="仿宋" w:cs="Times New Roman"/>
          <w:sz w:val="32"/>
          <w:szCs w:val="32"/>
          <w:lang w:val="en-US" w:eastAsia="zh-CN"/>
        </w:rPr>
        <w:t>53.11</w:t>
      </w:r>
      <w:r>
        <w:rPr>
          <w:rFonts w:hint="default" w:ascii="Times New Roman" w:hAnsi="Times New Roman" w:eastAsia="仿宋" w:cs="Times New Roman"/>
          <w:sz w:val="32"/>
          <w:szCs w:val="32"/>
        </w:rPr>
        <w:t>%</w:t>
      </w:r>
      <w:r>
        <w:rPr>
          <w:rFonts w:hint="eastAsia" w:eastAsia="仿宋" w:cs="Times New Roman"/>
          <w:sz w:val="32"/>
          <w:szCs w:val="32"/>
          <w:lang w:eastAsia="zh-CN"/>
        </w:rPr>
        <w:t>，</w:t>
      </w:r>
      <w:r>
        <w:rPr>
          <w:rFonts w:hint="default" w:ascii="Times New Roman" w:hAnsi="Times New Roman" w:eastAsia="仿宋" w:cs="Times New Roman"/>
          <w:sz w:val="32"/>
          <w:szCs w:val="32"/>
        </w:rPr>
        <w:t>增加原因一是退休人员病故人数增加；二是丧葬抚恤标准提高。其中：基本支出</w:t>
      </w:r>
      <w:r>
        <w:rPr>
          <w:rFonts w:hint="default" w:ascii="Times New Roman" w:hAnsi="Times New Roman" w:eastAsia="仿宋" w:cs="Times New Roman"/>
          <w:sz w:val="32"/>
          <w:szCs w:val="32"/>
          <w:lang w:val="en-US" w:eastAsia="zh-CN"/>
        </w:rPr>
        <w:t>73.47</w:t>
      </w:r>
      <w:r>
        <w:rPr>
          <w:rFonts w:hint="default" w:ascii="Times New Roman" w:hAnsi="Times New Roman" w:eastAsia="仿宋" w:cs="Times New Roman"/>
          <w:sz w:val="32"/>
          <w:szCs w:val="32"/>
        </w:rPr>
        <w:t>万元，占</w:t>
      </w:r>
      <w:r>
        <w:rPr>
          <w:rFonts w:hint="default" w:ascii="Times New Roman" w:hAnsi="Times New Roman" w:eastAsia="仿宋" w:cs="Times New Roman"/>
          <w:sz w:val="32"/>
          <w:szCs w:val="32"/>
          <w:lang w:val="en-US" w:eastAsia="zh-CN"/>
        </w:rPr>
        <w:t>3.17</w:t>
      </w:r>
      <w:r>
        <w:rPr>
          <w:rFonts w:hint="default" w:ascii="Times New Roman" w:hAnsi="Times New Roman" w:eastAsia="仿宋" w:cs="Times New Roman"/>
          <w:sz w:val="32"/>
          <w:szCs w:val="32"/>
        </w:rPr>
        <w:t>%；项目支出</w:t>
      </w:r>
      <w:r>
        <w:rPr>
          <w:rFonts w:hint="default" w:ascii="Times New Roman" w:hAnsi="Times New Roman" w:eastAsia="仿宋" w:cs="Times New Roman"/>
          <w:sz w:val="32"/>
          <w:szCs w:val="32"/>
          <w:lang w:val="en-US" w:eastAsia="zh-CN"/>
        </w:rPr>
        <w:t>2246.4</w:t>
      </w:r>
      <w:r>
        <w:rPr>
          <w:rFonts w:hint="default" w:ascii="Times New Roman" w:hAnsi="Times New Roman" w:eastAsia="仿宋" w:cs="Times New Roman"/>
          <w:sz w:val="32"/>
          <w:szCs w:val="32"/>
        </w:rPr>
        <w:t>万元，占</w:t>
      </w:r>
      <w:r>
        <w:rPr>
          <w:rFonts w:hint="default" w:ascii="Times New Roman" w:hAnsi="Times New Roman" w:eastAsia="仿宋" w:cs="Times New Roman"/>
          <w:sz w:val="32"/>
          <w:szCs w:val="32"/>
          <w:lang w:val="en-US" w:eastAsia="zh-CN"/>
        </w:rPr>
        <w:t>96.83</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四、支出预算安排情况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乐至县机关事业单位社会保险局预算安排支出主要用于保障该部门机构正常运转、完成日常工作任务以及承担相关工作。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基本支出，是用于保障乐至县机关事业单位社会保险局正常运转的日常支出，202</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年度一般公共预算基本支出预算</w:t>
      </w:r>
      <w:r>
        <w:rPr>
          <w:rFonts w:hint="default" w:ascii="Times New Roman" w:hAnsi="Times New Roman" w:eastAsia="仿宋" w:cs="Times New Roman"/>
          <w:sz w:val="32"/>
          <w:szCs w:val="32"/>
          <w:lang w:val="en-US" w:eastAsia="zh-CN"/>
        </w:rPr>
        <w:t>73.47</w:t>
      </w:r>
      <w:r>
        <w:rPr>
          <w:rFonts w:hint="default" w:ascii="Times New Roman" w:hAnsi="Times New Roman" w:eastAsia="仿宋" w:cs="Times New Roman"/>
          <w:sz w:val="32"/>
          <w:szCs w:val="32"/>
        </w:rPr>
        <w:t>万元，其中：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人员经费</w:t>
      </w:r>
      <w:r>
        <w:rPr>
          <w:rFonts w:hint="default" w:ascii="Times New Roman" w:hAnsi="Times New Roman" w:eastAsia="仿宋" w:cs="Times New Roman"/>
          <w:sz w:val="32"/>
          <w:szCs w:val="32"/>
          <w:lang w:val="en-US" w:eastAsia="zh-CN"/>
        </w:rPr>
        <w:t>59.04</w:t>
      </w:r>
      <w:r>
        <w:rPr>
          <w:rFonts w:hint="default" w:ascii="Times New Roman" w:hAnsi="Times New Roman" w:eastAsia="仿宋" w:cs="Times New Roman"/>
          <w:sz w:val="32"/>
          <w:szCs w:val="32"/>
        </w:rPr>
        <w:t>万元，主要包括：基本工资、津贴补贴、绩效工资、奖金、机关事业单位基本养老保险缴费、其他社会保障缴费、医疗费、奖励金等。</w:t>
      </w:r>
      <w:r>
        <w:rPr>
          <w:rFonts w:hint="default" w:ascii="Times New Roman" w:hAnsi="Times New Roman" w:eastAsia="仿宋" w:cs="Times New Roman"/>
          <w:sz w:val="32"/>
          <w:szCs w:val="32"/>
        </w:rPr>
        <w:br w:type="textWrapping"/>
      </w:r>
      <w:r>
        <w:rPr>
          <w:rFonts w:hint="default" w:ascii="Times New Roman" w:hAnsi="Times New Roman" w:eastAsia="仿宋" w:cs="Times New Roman"/>
          <w:sz w:val="32"/>
          <w:szCs w:val="32"/>
        </w:rPr>
        <w:t>　　公用经费</w:t>
      </w:r>
      <w:r>
        <w:rPr>
          <w:rFonts w:hint="default" w:ascii="Times New Roman" w:hAnsi="Times New Roman" w:eastAsia="仿宋" w:cs="Times New Roman"/>
          <w:sz w:val="32"/>
          <w:szCs w:val="32"/>
          <w:lang w:val="en-US" w:eastAsia="zh-CN"/>
        </w:rPr>
        <w:t>14.43</w:t>
      </w:r>
      <w:r>
        <w:rPr>
          <w:rFonts w:hint="default" w:ascii="Times New Roman" w:hAnsi="Times New Roman" w:eastAsia="仿宋" w:cs="Times New Roman"/>
          <w:sz w:val="32"/>
          <w:szCs w:val="32"/>
        </w:rPr>
        <w:t>万元，主要包括：办公费、水费、电费、邮电费、差旅费、培训费、公务接待费、劳务费、工会经费、福利费、公务用车运行维护费、其他交通费、其他商品和服务支出。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项目支出，是用于保障乐至县机关事业单位社会保险局为完成特定的行政工作任务，用于专项业务工作的经费支出。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bookmarkStart w:id="4" w:name="OLE_LINK18"/>
      <w:r>
        <w:rPr>
          <w:rFonts w:hint="default" w:ascii="Times New Roman" w:hAnsi="Times New Roman" w:eastAsia="仿宋" w:cs="Times New Roman"/>
          <w:sz w:val="32"/>
          <w:szCs w:val="32"/>
        </w:rPr>
        <w:t>乐至县机关事业单位社会保险局202</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年部门预算一般日常专项总共</w:t>
      </w:r>
      <w:r>
        <w:rPr>
          <w:rFonts w:hint="default" w:ascii="Times New Roman" w:hAnsi="Times New Roman" w:eastAsia="仿宋" w:cs="Times New Roman"/>
          <w:sz w:val="32"/>
          <w:szCs w:val="32"/>
          <w:lang w:val="en-US" w:eastAsia="zh-CN"/>
        </w:rPr>
        <w:t>2246.40</w:t>
      </w:r>
      <w:r>
        <w:rPr>
          <w:rFonts w:hint="default" w:ascii="Times New Roman" w:hAnsi="Times New Roman" w:eastAsia="仿宋" w:cs="Times New Roman"/>
          <w:sz w:val="32"/>
          <w:szCs w:val="32"/>
        </w:rPr>
        <w:t>万元，其中：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1、租赁专线项目</w:t>
      </w:r>
      <w:r>
        <w:rPr>
          <w:rFonts w:hint="default" w:ascii="Times New Roman" w:hAnsi="Times New Roman" w:eastAsia="仿宋" w:cs="Times New Roman"/>
          <w:sz w:val="32"/>
          <w:szCs w:val="32"/>
          <w:lang w:val="en-US" w:eastAsia="zh-CN"/>
        </w:rPr>
        <w:t>2.50</w:t>
      </w:r>
      <w:r>
        <w:rPr>
          <w:rFonts w:hint="default" w:ascii="Times New Roman" w:hAnsi="Times New Roman" w:eastAsia="仿宋" w:cs="Times New Roman"/>
          <w:sz w:val="32"/>
          <w:szCs w:val="32"/>
        </w:rPr>
        <w:t>万元，主要用于养老保险系统专线网络运行和维护等；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2、印刷费项目0.9万元，</w:t>
      </w:r>
      <w:bookmarkStart w:id="5" w:name="OLE_LINK2"/>
      <w:bookmarkStart w:id="6" w:name="OLE_LINK1"/>
      <w:r>
        <w:rPr>
          <w:rFonts w:hint="default" w:ascii="Times New Roman" w:hAnsi="Times New Roman" w:eastAsia="仿宋" w:cs="Times New Roman"/>
          <w:sz w:val="32"/>
          <w:szCs w:val="32"/>
        </w:rPr>
        <w:t>主要用于印刷政策文件汇编及机关养老保险办事指南等；</w:t>
      </w:r>
    </w:p>
    <w:bookmarkEnd w:id="5"/>
    <w:bookmarkEnd w:id="6"/>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3、办公经费项目</w:t>
      </w: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万元，主要用于业务工作的需求；</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、代发机保省统筹外项目</w:t>
      </w:r>
      <w:r>
        <w:rPr>
          <w:rFonts w:hint="default" w:ascii="Times New Roman" w:hAnsi="Times New Roman" w:eastAsia="仿宋" w:cs="Times New Roman"/>
          <w:sz w:val="32"/>
          <w:szCs w:val="32"/>
          <w:lang w:val="en-US" w:eastAsia="zh-CN"/>
        </w:rPr>
        <w:t>240</w:t>
      </w:r>
      <w:r>
        <w:rPr>
          <w:rFonts w:hint="default" w:ascii="Times New Roman" w:hAnsi="Times New Roman" w:eastAsia="仿宋" w:cs="Times New Roman"/>
          <w:sz w:val="32"/>
          <w:szCs w:val="32"/>
        </w:rPr>
        <w:t>万元，主要是用于</w:t>
      </w:r>
      <w:bookmarkStart w:id="7" w:name="OLE_LINK7"/>
      <w:bookmarkStart w:id="8" w:name="OLE_LINK10"/>
      <w:r>
        <w:rPr>
          <w:rFonts w:hint="default" w:ascii="Times New Roman" w:hAnsi="Times New Roman" w:eastAsia="仿宋" w:cs="Times New Roman"/>
          <w:sz w:val="32"/>
          <w:szCs w:val="32"/>
        </w:rPr>
        <w:t>离休人员和退休人员的养老金和补贴；</w:t>
      </w:r>
    </w:p>
    <w:bookmarkEnd w:id="7"/>
    <w:bookmarkEnd w:id="8"/>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、代发丧葬抚恤金</w:t>
      </w:r>
      <w:r>
        <w:rPr>
          <w:rFonts w:hint="default" w:ascii="Times New Roman" w:hAnsi="Times New Roman" w:eastAsia="仿宋" w:cs="Times New Roman"/>
          <w:sz w:val="32"/>
          <w:szCs w:val="32"/>
          <w:lang w:val="en-US" w:eastAsia="zh-CN"/>
        </w:rPr>
        <w:t>2000</w:t>
      </w:r>
      <w:r>
        <w:rPr>
          <w:rFonts w:hint="default" w:ascii="Times New Roman" w:hAnsi="Times New Roman" w:eastAsia="仿宋" w:cs="Times New Roman"/>
          <w:sz w:val="32"/>
          <w:szCs w:val="32"/>
        </w:rPr>
        <w:t>万元，主要用于财政全额拨款的行政事业单位。</w:t>
      </w:r>
    </w:p>
    <w:bookmarkEnd w:id="4"/>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按支出功能分类主要用于以下方面:</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（一）一般公共服务，主要用于我局职工工资、日常工作运转以及为完成特定行政工作任务和事业发展目标而安排的年度项目支出，主要包括：</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bookmarkStart w:id="9" w:name="OLE_LINK16"/>
      <w:bookmarkStart w:id="10" w:name="OLE_LINK17"/>
      <w:r>
        <w:rPr>
          <w:rFonts w:hint="default" w:ascii="Times New Roman" w:hAnsi="Times New Roman" w:eastAsia="仿宋" w:cs="Times New Roman"/>
          <w:sz w:val="32"/>
          <w:szCs w:val="32"/>
        </w:rPr>
        <w:t>（1）</w:t>
      </w:r>
      <w:bookmarkEnd w:id="9"/>
      <w:bookmarkEnd w:id="10"/>
      <w:r>
        <w:rPr>
          <w:rFonts w:hint="default" w:ascii="Times New Roman" w:hAnsi="Times New Roman" w:eastAsia="仿宋" w:cs="Times New Roman"/>
          <w:sz w:val="32"/>
          <w:szCs w:val="32"/>
        </w:rPr>
        <w:t>一般公共服务支出</w:t>
      </w:r>
      <w:r>
        <w:rPr>
          <w:rFonts w:hint="default" w:ascii="Times New Roman" w:hAnsi="Times New Roman" w:eastAsia="仿宋" w:cs="Times New Roman"/>
          <w:sz w:val="32"/>
          <w:szCs w:val="32"/>
          <w:lang w:val="en-US" w:eastAsia="zh-CN"/>
        </w:rPr>
        <w:t>73.47</w:t>
      </w:r>
      <w:r>
        <w:rPr>
          <w:rFonts w:hint="default" w:ascii="Times New Roman" w:hAnsi="Times New Roman" w:eastAsia="仿宋" w:cs="Times New Roman"/>
          <w:sz w:val="32"/>
          <w:szCs w:val="32"/>
        </w:rPr>
        <w:t>万元，主要用于支付在职职工工资、津贴补贴、办公费等日常公用经费。</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（2）项目支出</w:t>
      </w:r>
      <w:r>
        <w:rPr>
          <w:rFonts w:hint="default" w:ascii="Times New Roman" w:hAnsi="Times New Roman" w:eastAsia="仿宋" w:cs="Times New Roman"/>
          <w:sz w:val="32"/>
          <w:szCs w:val="32"/>
          <w:lang w:val="en-US" w:eastAsia="zh-CN"/>
        </w:rPr>
        <w:t>2246.40</w:t>
      </w:r>
      <w:r>
        <w:rPr>
          <w:rFonts w:hint="default" w:ascii="Times New Roman" w:hAnsi="Times New Roman" w:eastAsia="仿宋" w:cs="Times New Roman"/>
          <w:sz w:val="32"/>
          <w:szCs w:val="32"/>
        </w:rPr>
        <w:t>万元，主要用于代发离休人员和退休人员(民师)的养老金和补贴、丧葬抚恤及养老保险政策宣传、</w:t>
      </w:r>
      <w:bookmarkStart w:id="11" w:name="OLE_LINK14"/>
      <w:bookmarkStart w:id="12" w:name="OLE_LINK15"/>
      <w:r>
        <w:rPr>
          <w:rFonts w:hint="default" w:ascii="Times New Roman" w:hAnsi="Times New Roman" w:eastAsia="仿宋" w:cs="Times New Roman"/>
          <w:sz w:val="32"/>
          <w:szCs w:val="32"/>
        </w:rPr>
        <w:t>政策</w:t>
      </w:r>
      <w:bookmarkEnd w:id="11"/>
      <w:bookmarkEnd w:id="12"/>
      <w:r>
        <w:rPr>
          <w:rFonts w:hint="default" w:ascii="Times New Roman" w:hAnsi="Times New Roman" w:eastAsia="仿宋" w:cs="Times New Roman"/>
          <w:sz w:val="32"/>
          <w:szCs w:val="32"/>
        </w:rPr>
        <w:t>培训、会议等。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（二）社会保障缴费</w:t>
      </w:r>
      <w:r>
        <w:rPr>
          <w:rFonts w:hint="default" w:ascii="Times New Roman" w:hAnsi="Times New Roman" w:eastAsia="仿宋" w:cs="Times New Roman"/>
          <w:sz w:val="32"/>
          <w:szCs w:val="32"/>
          <w:lang w:val="en-US" w:eastAsia="zh-CN"/>
        </w:rPr>
        <w:t>6.85</w:t>
      </w:r>
      <w:r>
        <w:rPr>
          <w:rFonts w:hint="default" w:ascii="Times New Roman" w:hAnsi="Times New Roman" w:eastAsia="仿宋" w:cs="Times New Roman"/>
          <w:sz w:val="32"/>
          <w:szCs w:val="32"/>
        </w:rPr>
        <w:t>万元，主要用于缴纳职工机关事业单位基本养老保险费。</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（三）医疗卫生支出</w:t>
      </w:r>
      <w:r>
        <w:rPr>
          <w:rFonts w:hint="default" w:ascii="Times New Roman" w:hAnsi="Times New Roman" w:eastAsia="仿宋" w:cs="Times New Roman"/>
          <w:sz w:val="32"/>
          <w:szCs w:val="32"/>
          <w:lang w:val="en-US" w:eastAsia="zh-CN"/>
        </w:rPr>
        <w:t>3.10</w:t>
      </w:r>
      <w:r>
        <w:rPr>
          <w:rFonts w:hint="default" w:ascii="Times New Roman" w:hAnsi="Times New Roman" w:eastAsia="仿宋" w:cs="Times New Roman"/>
          <w:sz w:val="32"/>
          <w:szCs w:val="32"/>
        </w:rPr>
        <w:t>万元，主要用于按照规定标准为职工缴纳的基本医疗保险及公务员医疗补助。</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（四）住房保障支出5.81万元，主要用于按照规定标准为在职职工缴纳住房公积金。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五、“三公”经费财政拨款预算安排情况说明</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乐至县机关事业单位社会保险局2024年“三公”经费财政拨款预算数</w:t>
      </w:r>
      <w:r>
        <w:rPr>
          <w:rFonts w:hint="default" w:ascii="Times New Roman" w:hAnsi="Times New Roman" w:eastAsia="仿宋" w:cs="Times New Roman"/>
          <w:sz w:val="32"/>
          <w:szCs w:val="32"/>
          <w:lang w:val="en-US" w:eastAsia="zh-CN"/>
        </w:rPr>
        <w:t>0.2</w:t>
      </w:r>
      <w:r>
        <w:rPr>
          <w:rFonts w:hint="default" w:ascii="Times New Roman" w:hAnsi="Times New Roman" w:eastAsia="仿宋" w:cs="Times New Roman"/>
          <w:sz w:val="32"/>
          <w:szCs w:val="32"/>
        </w:rPr>
        <w:t>万元，其中：因公出国（境）经费</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万元，公务接待费</w:t>
      </w:r>
      <w:r>
        <w:rPr>
          <w:rFonts w:hint="default" w:ascii="Times New Roman" w:hAnsi="Times New Roman" w:eastAsia="仿宋" w:cs="Times New Roman"/>
          <w:sz w:val="32"/>
          <w:szCs w:val="32"/>
          <w:lang w:val="en-US" w:eastAsia="zh-CN"/>
        </w:rPr>
        <w:t>0.2</w:t>
      </w:r>
      <w:r>
        <w:rPr>
          <w:rFonts w:hint="default" w:ascii="Times New Roman" w:hAnsi="Times New Roman" w:eastAsia="仿宋" w:cs="Times New Roman"/>
          <w:sz w:val="32"/>
          <w:szCs w:val="32"/>
        </w:rPr>
        <w:t>万元，公务用车购置及运行维护费</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1.因公出国（境）经费与2023年预算持平。</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本年度无安排出国（境）</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人次。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2.公务接待费与2023年预算持平。</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2024年公务接待费计划用于省、市社保局工作检查等。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3.公务用车购置及运行维护费与2023年预算持平。</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乐至县机关事业单位社会保险局现有公务用车</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辆，其中：轿车</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辆，越野车</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辆，多功能乘用车</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辆。公务用车购置费</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万元。公务用车运行维护费</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六、政府采购安排</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乐至县机关事业单位社会保险局在今年预算里无政府采购安排。</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七、重点项目预算的绩效目标等预算绩效情况说明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乐至县机关事业单位社会保险局今年没有重点项目。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bookmarkStart w:id="13" w:name="_Toc15377224"/>
      <w:r>
        <w:rPr>
          <w:rFonts w:hint="default" w:ascii="黑体" w:hAnsi="黑体" w:eastAsia="黑体" w:cs="黑体"/>
          <w:sz w:val="32"/>
          <w:szCs w:val="32"/>
        </w:rPr>
        <w:t>八、国有资产占有使用情况</w:t>
      </w:r>
      <w:bookmarkEnd w:id="13"/>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乐至县机关事业单位社会保险局现有固定资产总额35万元，通用设备固定资产占82.85%，家具、用具占17.14%。单价50万元以上通用设备0台。单价50万元以上通用设备0台，单价100万元以上专用设备0台。截至202</w:t>
      </w:r>
      <w:r>
        <w:rPr>
          <w:rFonts w:hint="eastAsia" w:eastAsia="仿宋" w:cs="Times New Roman"/>
          <w:sz w:val="32"/>
          <w:szCs w:val="32"/>
          <w:lang w:val="en-US" w:eastAsia="zh-CN"/>
        </w:rPr>
        <w:t>3</w:t>
      </w:r>
      <w:r>
        <w:rPr>
          <w:rFonts w:hint="default" w:ascii="Times New Roman" w:hAnsi="Times New Roman" w:eastAsia="仿宋" w:cs="Times New Roman"/>
          <w:sz w:val="32"/>
          <w:szCs w:val="32"/>
        </w:rPr>
        <w:t>年12月31日，乐至县机关事业单位社会保险局共有车辆0辆，其中：主要领导干部用车0辆、机要通信用车0辆</w:t>
      </w:r>
      <w:bookmarkStart w:id="14" w:name="_GoBack"/>
      <w:bookmarkEnd w:id="14"/>
      <w:r>
        <w:rPr>
          <w:rFonts w:hint="default" w:ascii="Times New Roman" w:hAnsi="Times New Roman" w:eastAsia="仿宋" w:cs="Times New Roman"/>
          <w:sz w:val="32"/>
          <w:szCs w:val="32"/>
        </w:rPr>
        <w:t>、应急保障用车0辆、其他用车0辆，单价50万元以上通用设备0台，单价100万元以上专用设备0台。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黑体" w:hAnsi="黑体" w:eastAsia="黑体" w:cs="黑体"/>
          <w:sz w:val="32"/>
          <w:szCs w:val="32"/>
        </w:rPr>
      </w:pPr>
      <w:r>
        <w:rPr>
          <w:rFonts w:hint="default" w:ascii="黑体" w:hAnsi="黑体" w:eastAsia="黑体" w:cs="黑体"/>
          <w:sz w:val="32"/>
          <w:szCs w:val="32"/>
        </w:rPr>
        <w:t>九、名词解释</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1.财政拨款收入：指单位从同级财政部门取得的财政预算资金。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2.事业收入：指事业单位开展专业业务活动及辅助活动取得的收入。如…（二级预算单位事业收入情况）等。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3.经营收入：指事业单位在专业业务活动及其辅助活动之外开展非独立核算经营活动取得的收入。如…（二级预算单位经营收入情况）等。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4.其他收入：指单位取得的除上述收入以外的各项收入。主要是…（收入类型）等。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jc w:val="righ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乐至县机关事业单位社会保险局</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default"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rPr>
                            <w:fldChar w:fldCharType="begin"/>
                          </w:r>
                          <w:r>
                            <w:rPr>
                              <w:rFonts w:hint="eastAsia" w:ascii="华文楷体" w:hAnsi="华文楷体" w:eastAsia="华文楷体" w:cs="华文楷体"/>
                              <w:sz w:val="28"/>
                              <w:szCs w:val="28"/>
                            </w:rPr>
                            <w:instrText xml:space="preserve"> PAGE  \* MERGEFORMAT </w:instrText>
                          </w:r>
                          <w:r>
                            <w:rPr>
                              <w:rFonts w:hint="eastAsia" w:ascii="华文楷体" w:hAnsi="华文楷体" w:eastAsia="华文楷体" w:cs="华文楷体"/>
                              <w:sz w:val="28"/>
                              <w:szCs w:val="28"/>
                            </w:rPr>
                            <w:fldChar w:fldCharType="separate"/>
                          </w:r>
                          <w:r>
                            <w:rPr>
                              <w:rFonts w:hint="eastAsia" w:ascii="华文楷体" w:hAnsi="华文楷体" w:eastAsia="华文楷体" w:cs="华文楷体"/>
                              <w:sz w:val="28"/>
                              <w:szCs w:val="28"/>
                            </w:rPr>
                            <w:t>1</w:t>
                          </w:r>
                          <w:r>
                            <w:rPr>
                              <w:rFonts w:hint="eastAsia" w:ascii="华文楷体" w:hAnsi="华文楷体" w:eastAsia="华文楷体" w:cs="华文楷体"/>
                              <w:sz w:val="28"/>
                              <w:szCs w:val="28"/>
                            </w:rPr>
                            <w:fldChar w:fldCharType="end"/>
                          </w:r>
                          <w:r>
                            <w:rPr>
                              <w:rFonts w:hint="eastAsia" w:ascii="华文楷体" w:hAnsi="华文楷体" w:eastAsia="华文楷体" w:cs="华文楷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rPr>
                      <w:fldChar w:fldCharType="begin"/>
                    </w:r>
                    <w:r>
                      <w:rPr>
                        <w:rFonts w:hint="eastAsia" w:ascii="华文楷体" w:hAnsi="华文楷体" w:eastAsia="华文楷体" w:cs="华文楷体"/>
                        <w:sz w:val="28"/>
                        <w:szCs w:val="28"/>
                      </w:rPr>
                      <w:instrText xml:space="preserve"> PAGE  \* MERGEFORMAT </w:instrText>
                    </w:r>
                    <w:r>
                      <w:rPr>
                        <w:rFonts w:hint="eastAsia" w:ascii="华文楷体" w:hAnsi="华文楷体" w:eastAsia="华文楷体" w:cs="华文楷体"/>
                        <w:sz w:val="28"/>
                        <w:szCs w:val="28"/>
                      </w:rPr>
                      <w:fldChar w:fldCharType="separate"/>
                    </w:r>
                    <w:r>
                      <w:rPr>
                        <w:rFonts w:hint="eastAsia" w:ascii="华文楷体" w:hAnsi="华文楷体" w:eastAsia="华文楷体" w:cs="华文楷体"/>
                        <w:sz w:val="28"/>
                        <w:szCs w:val="28"/>
                      </w:rPr>
                      <w:t>1</w:t>
                    </w:r>
                    <w:r>
                      <w:rPr>
                        <w:rFonts w:hint="eastAsia" w:ascii="华文楷体" w:hAnsi="华文楷体" w:eastAsia="华文楷体" w:cs="华文楷体"/>
                        <w:sz w:val="28"/>
                        <w:szCs w:val="28"/>
                      </w:rPr>
                      <w:fldChar w:fldCharType="end"/>
                    </w:r>
                    <w:r>
                      <w:rPr>
                        <w:rFonts w:hint="eastAsia" w:ascii="华文楷体" w:hAnsi="华文楷体" w:eastAsia="华文楷体" w:cs="华文楷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6315D"/>
    <w:rsid w:val="259E5A25"/>
    <w:rsid w:val="2E957CF5"/>
    <w:rsid w:val="3916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beforeLines="30"/>
    </w:pPr>
    <w:rPr>
      <w:rFonts w:ascii="仿宋_GB2312" w:eastAsia="仿宋_GB2312"/>
      <w:sz w:val="30"/>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2024-05-24T08:40:00Z</dcterms:created>
  <dc:creator>张小莲</dc:creator>
  <cp:lastModifiedBy>Administrator</cp:lastModifiedBy>
  <cp:lastPrinted>2024-05-24T08:46:00Z</cp:lastPrinted>
  <dcterms:modified xsi:type="dcterms:W3CDTF">2024-05-24T09:49:56Z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89AA384C11ED4F69BB277488C1F21FAE</vt:lpwstr>
  </property>
</Properties>
</file>