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</w:rPr>
        <w:t>乐至县</w:t>
      </w:r>
      <w:r>
        <w:rPr>
          <w:rFonts w:hint="eastAsia" w:ascii="黑体" w:hAnsi="黑体" w:eastAsia="黑体" w:cs="黑体"/>
          <w:b w:val="0"/>
          <w:bCs w:val="0"/>
          <w:sz w:val="44"/>
          <w:szCs w:val="44"/>
          <w:lang w:eastAsia="zh-CN"/>
        </w:rPr>
        <w:t>回澜镇人民政府</w:t>
      </w:r>
    </w:p>
    <w:p>
      <w:pPr>
        <w:spacing w:line="580" w:lineRule="exact"/>
        <w:jc w:val="center"/>
        <w:rPr>
          <w:rFonts w:hint="eastAsia" w:ascii="宋体" w:hAnsi="宋体" w:eastAsia="宋体" w:cs="宋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</w:rPr>
        <w:t>202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4</w:t>
      </w:r>
      <w:r>
        <w:rPr>
          <w:rFonts w:hint="eastAsia" w:ascii="黑体" w:hAnsi="黑体" w:eastAsia="黑体" w:cs="黑体"/>
          <w:sz w:val="44"/>
          <w:szCs w:val="44"/>
        </w:rPr>
        <w:t>年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单位</w:t>
      </w:r>
      <w:r>
        <w:rPr>
          <w:rFonts w:hint="eastAsia" w:ascii="黑体" w:hAnsi="黑体" w:eastAsia="黑体" w:cs="黑体"/>
          <w:sz w:val="44"/>
          <w:szCs w:val="44"/>
        </w:rPr>
        <w:t>预算编制说明</w:t>
      </w:r>
    </w:p>
    <w:p>
      <w:pPr>
        <w:spacing w:line="640" w:lineRule="exact"/>
        <w:jc w:val="center"/>
        <w:rPr>
          <w:rFonts w:hint="eastAsia" w:ascii="宋体" w:hAnsi="宋体" w:eastAsia="宋体" w:cs="宋体"/>
          <w:sz w:val="44"/>
          <w:szCs w:val="44"/>
        </w:rPr>
      </w:pPr>
    </w:p>
    <w:p>
      <w:pPr>
        <w:spacing w:line="580" w:lineRule="exact"/>
        <w:ind w:firstLine="640" w:firstLineChars="200"/>
        <w:rPr>
          <w:rFonts w:hint="eastAsia" w:eastAsia="方正黑体简体"/>
          <w:sz w:val="32"/>
          <w:szCs w:val="32"/>
          <w:lang w:val="en-US" w:eastAsia="zh-CN"/>
        </w:rPr>
      </w:pPr>
      <w:r>
        <w:rPr>
          <w:rFonts w:hint="eastAsia" w:eastAsia="方正黑体简体"/>
          <w:sz w:val="32"/>
          <w:szCs w:val="32"/>
          <w:lang w:val="en-US" w:eastAsia="zh-CN"/>
        </w:rPr>
        <w:t>一、单位概况</w:t>
      </w:r>
    </w:p>
    <w:p>
      <w:pPr>
        <w:spacing w:line="580" w:lineRule="exact"/>
        <w:ind w:firstLine="643" w:firstLineChars="200"/>
        <w:rPr>
          <w:rFonts w:hint="default" w:eastAsia="方正楷体简体"/>
          <w:b/>
          <w:sz w:val="32"/>
          <w:szCs w:val="32"/>
          <w:lang w:val="en-US" w:eastAsia="zh-CN"/>
        </w:rPr>
      </w:pPr>
      <w:r>
        <w:rPr>
          <w:rFonts w:hint="eastAsia" w:eastAsia="方正楷体简体"/>
          <w:b/>
          <w:sz w:val="32"/>
          <w:szCs w:val="32"/>
          <w:lang w:eastAsia="zh-CN"/>
        </w:rPr>
        <w:t>（</w:t>
      </w:r>
      <w:r>
        <w:rPr>
          <w:rFonts w:hint="eastAsia" w:eastAsia="方正楷体简体"/>
          <w:b/>
          <w:sz w:val="32"/>
          <w:szCs w:val="32"/>
          <w:lang w:val="en-US" w:eastAsia="zh-CN"/>
        </w:rPr>
        <w:t>一</w:t>
      </w:r>
      <w:r>
        <w:rPr>
          <w:rFonts w:hint="eastAsia" w:eastAsia="方正楷体简体"/>
          <w:b/>
          <w:sz w:val="32"/>
          <w:szCs w:val="32"/>
          <w:lang w:eastAsia="zh-CN"/>
        </w:rPr>
        <w:t>）</w:t>
      </w:r>
      <w:r>
        <w:rPr>
          <w:rFonts w:hint="eastAsia" w:eastAsia="方正楷体简体"/>
          <w:b/>
          <w:sz w:val="32"/>
          <w:szCs w:val="32"/>
          <w:lang w:val="en-US" w:eastAsia="zh-CN"/>
        </w:rPr>
        <w:t>机构设置及人员情况</w:t>
      </w:r>
    </w:p>
    <w:p>
      <w:pPr>
        <w:spacing w:line="580" w:lineRule="exact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乐至县回澜镇人民政府是财政全额拨款的行政单位。单位总编制人数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85</w:t>
      </w:r>
      <w:r>
        <w:rPr>
          <w:rFonts w:hint="eastAsia" w:ascii="宋体" w:hAnsi="宋体" w:eastAsia="宋体" w:cs="宋体"/>
          <w:sz w:val="32"/>
          <w:szCs w:val="32"/>
        </w:rPr>
        <w:t>人，其中：行政编制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48</w:t>
      </w:r>
      <w:r>
        <w:rPr>
          <w:rFonts w:hint="eastAsia" w:ascii="宋体" w:hAnsi="宋体" w:eastAsia="宋体" w:cs="宋体"/>
          <w:sz w:val="32"/>
          <w:szCs w:val="32"/>
        </w:rPr>
        <w:t>人、行政工勤编制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sz w:val="32"/>
          <w:szCs w:val="32"/>
        </w:rPr>
        <w:t>人，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事业编制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37个，其中：</w:t>
      </w:r>
      <w:r>
        <w:rPr>
          <w:rFonts w:hint="eastAsia" w:ascii="宋体" w:hAnsi="宋体" w:eastAsia="宋体" w:cs="宋体"/>
          <w:sz w:val="32"/>
          <w:szCs w:val="32"/>
        </w:rPr>
        <w:t>事业管理岗编制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</w:t>
      </w:r>
      <w:r>
        <w:rPr>
          <w:rFonts w:hint="eastAsia" w:ascii="宋体" w:hAnsi="宋体" w:eastAsia="宋体" w:cs="宋体"/>
          <w:sz w:val="32"/>
          <w:szCs w:val="32"/>
        </w:rPr>
        <w:t>人；实有在职行政人员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44</w:t>
      </w:r>
      <w:r>
        <w:rPr>
          <w:rFonts w:hint="eastAsia" w:ascii="宋体" w:hAnsi="宋体" w:eastAsia="宋体" w:cs="宋体"/>
          <w:sz w:val="32"/>
          <w:szCs w:val="32"/>
        </w:rPr>
        <w:t>人、行政工勤编制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0</w:t>
      </w:r>
      <w:r>
        <w:rPr>
          <w:rFonts w:hint="eastAsia" w:ascii="宋体" w:hAnsi="宋体" w:eastAsia="宋体" w:cs="宋体"/>
          <w:sz w:val="32"/>
          <w:szCs w:val="32"/>
        </w:rPr>
        <w:t>人，事业管理岗人员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</w:t>
      </w:r>
      <w:r>
        <w:rPr>
          <w:rFonts w:hint="eastAsia" w:ascii="宋体" w:hAnsi="宋体" w:eastAsia="宋体" w:cs="宋体"/>
          <w:sz w:val="32"/>
          <w:szCs w:val="32"/>
        </w:rPr>
        <w:t>人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，事业人员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33人</w:t>
      </w:r>
      <w:r>
        <w:rPr>
          <w:rFonts w:hint="eastAsia" w:ascii="宋体" w:hAnsi="宋体" w:eastAsia="宋体" w:cs="宋体"/>
          <w:sz w:val="32"/>
          <w:szCs w:val="32"/>
        </w:rPr>
        <w:t>；退休人员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63</w:t>
      </w:r>
      <w:r>
        <w:rPr>
          <w:rFonts w:hint="eastAsia" w:ascii="宋体" w:hAnsi="宋体" w:eastAsia="宋体" w:cs="宋体"/>
          <w:sz w:val="32"/>
          <w:szCs w:val="32"/>
        </w:rPr>
        <w:t>人。</w:t>
      </w:r>
    </w:p>
    <w:p>
      <w:pPr>
        <w:spacing w:line="580" w:lineRule="exact"/>
        <w:ind w:firstLine="643" w:firstLineChars="200"/>
        <w:rPr>
          <w:rFonts w:eastAsia="方正楷体简体"/>
          <w:b/>
          <w:sz w:val="32"/>
          <w:szCs w:val="32"/>
        </w:rPr>
      </w:pPr>
      <w:r>
        <w:rPr>
          <w:rFonts w:eastAsia="方正楷体简体"/>
          <w:b/>
          <w:sz w:val="32"/>
          <w:szCs w:val="32"/>
        </w:rPr>
        <w:t>（</w:t>
      </w:r>
      <w:r>
        <w:rPr>
          <w:rFonts w:hint="eastAsia" w:eastAsia="方正楷体简体"/>
          <w:b/>
          <w:sz w:val="32"/>
          <w:szCs w:val="32"/>
          <w:lang w:val="en-US" w:eastAsia="zh-CN"/>
        </w:rPr>
        <w:t>二</w:t>
      </w:r>
      <w:r>
        <w:rPr>
          <w:rFonts w:eastAsia="方正楷体简体"/>
          <w:b/>
          <w:sz w:val="32"/>
          <w:szCs w:val="32"/>
        </w:rPr>
        <w:t>）职能简介</w:t>
      </w:r>
    </w:p>
    <w:p>
      <w:pPr>
        <w:spacing w:line="580" w:lineRule="exact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1、执行本级人民代表大会决议以及上级国家行政机关的决定和命令；</w:t>
      </w:r>
    </w:p>
    <w:p>
      <w:pPr>
        <w:spacing w:line="580" w:lineRule="exact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2、执行全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镇</w:t>
      </w:r>
      <w:r>
        <w:rPr>
          <w:rFonts w:hint="eastAsia" w:ascii="宋体" w:hAnsi="宋体" w:eastAsia="宋体" w:cs="宋体"/>
          <w:sz w:val="32"/>
          <w:szCs w:val="32"/>
        </w:rPr>
        <w:t>的社会和经济发展计划、预算，管理本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镇</w:t>
      </w:r>
      <w:r>
        <w:rPr>
          <w:rFonts w:hint="eastAsia" w:ascii="宋体" w:hAnsi="宋体" w:eastAsia="宋体" w:cs="宋体"/>
          <w:sz w:val="32"/>
          <w:szCs w:val="32"/>
        </w:rPr>
        <w:t>内的经济、教育、科技、文化、卫生、体育事业和财政、民政、治安、人民调解、安全生产监督管理、移民开发、计划生育等行政工作；</w:t>
      </w:r>
    </w:p>
    <w:p>
      <w:pPr>
        <w:spacing w:line="580" w:lineRule="exact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3、保护社会主义的全民所有财产和劳动群众集体所有财产，保护公民私人所有的合法财产，维护社会秩序，保障公民的人身权利、民主权利和其他权利；</w:t>
      </w:r>
    </w:p>
    <w:p>
      <w:pPr>
        <w:spacing w:line="580" w:lineRule="exact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4、保护各种经济组织的合法权益；</w:t>
      </w:r>
    </w:p>
    <w:p>
      <w:pPr>
        <w:spacing w:line="580" w:lineRule="exact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5、贯彻执行党和国家的民族宗教政策，保障少数民族的权利和尊重少数民族的风俗习惯，尊重民族宗教信仰；</w:t>
      </w:r>
    </w:p>
    <w:p>
      <w:pPr>
        <w:spacing w:line="580" w:lineRule="exact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6、保障宪法和法律赋予妇女的男女平等、婚姻自由等各项权利；</w:t>
      </w:r>
    </w:p>
    <w:p>
      <w:pPr>
        <w:spacing w:line="580" w:lineRule="exact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7、办理上级人民政府交办的其他事项。</w:t>
      </w:r>
    </w:p>
    <w:p>
      <w:pPr>
        <w:spacing w:line="580" w:lineRule="exact"/>
        <w:ind w:firstLine="640" w:firstLineChars="200"/>
        <w:rPr>
          <w:rFonts w:hint="eastAsia" w:eastAsia="方正黑体简体"/>
          <w:sz w:val="32"/>
          <w:szCs w:val="32"/>
          <w:lang w:val="en-US" w:eastAsia="zh-CN"/>
        </w:rPr>
      </w:pPr>
      <w:r>
        <w:rPr>
          <w:rFonts w:hint="eastAsia" w:eastAsia="方正黑体简体"/>
          <w:sz w:val="32"/>
          <w:szCs w:val="32"/>
          <w:lang w:val="en-US" w:eastAsia="zh-CN"/>
        </w:rPr>
        <w:t>二、2024年重点工作</w:t>
      </w:r>
    </w:p>
    <w:p>
      <w:pPr>
        <w:spacing w:line="580" w:lineRule="exact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（一）抓政治建设，全面构建政治引领</w:t>
      </w:r>
    </w:p>
    <w:p>
      <w:pPr>
        <w:spacing w:line="580" w:lineRule="exact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一是必须强化思想引领。我们将继续深入学习贯彻落实党的二十大、习近平总书记来川视察重要指示精神，通过组织专题学习、培训辅导、宣讲会等形式，在全镇上下迅速兴起学习贯彻热潮，将精神转化为前进的动力，切实抓好乡村振兴、环境保护、安全生产等各项重点工作。二是必须严抓正风肃纪。我们将严格按照县委县政府和镇党委在正风肃纪工作上的要求，坚决克服形式主义、官僚主义，进一步改进工作作风，建设风清气正的政治机关，让群众切身感受到新变化新气象。三是必须强化人才保障。践行新时期好干部标准，继续加强干部教育培训，实现干部队伍科学化、规范化、制度化，打造为群众谋幸福，为回澜谋发展的人才队伍，用正确的政治方向指引实践，用强烈的政治担当履职尽责，全心全意为人民服务。</w:t>
      </w:r>
    </w:p>
    <w:p>
      <w:pPr>
        <w:spacing w:line="580" w:lineRule="exact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（二）抓特色产业，持续推进转型升级</w:t>
      </w:r>
    </w:p>
    <w:p>
      <w:pPr>
        <w:spacing w:line="580" w:lineRule="exact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坚持“无中生有”、“有中生新”，壮大主导产业，加快推动传统产业向现代产业转型升级，提质增效。一是推进特色产业发展。本着先功能，后形象，先盘活和巩固现有资产和产业，后引进发展新产业的原则，推进产业项目建设。在原有蚕桑、黑山羊等稳定成型产业基础上，稳步扩规模、建基地，并大力谋划发展深加工项目，延伸产业链条。二是加强招商引资。解放思想，凝聚全民招商共识，用项目扩投资、增后劲、优结构。提高站位、打开格局、立足全县优势，利用资源招商、产业招商、以商招商、乡贤招商，明确招商主攻方向，压实乡村干部招商引资责任，营造招商引资浓厚氛围。三是优化营商环境。进一步完善便民服务大厅软硬件设施，规范服务流程，不定期开展业务培训，不断提高服务水平。为企业和群众提供纵向到底的审批服务和横向到边的帮办服务，建立健全主动联系企业家制度，积极主动为企业搞好服务，千方百计为投资创业者排忧解难，努力营造公平、开放的营商环境。四是持续壮大村级集体经济。巩固农村集体产权制度改革成果，积极推进村集体资产清理，采取“党支部+合作社+基地+农户”模式，壮大集体经济收入。并积极争取集体经济项目，稳步提升村集体经济发展和资产收益。</w:t>
      </w:r>
    </w:p>
    <w:p>
      <w:pPr>
        <w:spacing w:line="580" w:lineRule="exact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（三）抓乡村建设，全面推进乡村振兴</w:t>
      </w:r>
    </w:p>
    <w:p>
      <w:pPr>
        <w:spacing w:line="580" w:lineRule="exact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 xml:space="preserve">一是实施农村基础设施建设。积极争取上级资金和政策支持，实施农村道路升级改造、农村道路硬化、农村危房改造、村庄绿化等普惠性基础设施项目。统筹推进镇域建设，完善公共服务，做实做好农村改厕、垃圾处理等工作。二是实施人居环境整治提升。坚持绿色发展理念不动摇，进一步规范农村卫生保洁机制，突出抓好河道治理、垃圾禁烧、文明家庭等创建工作，加强畜禽养殖污染治理，加大对污水乱排、垃圾乱倒、农村面源污染等治理力度，统筹推进大气环境、水环境、土壤环境治理。三是实施农村人才培育工程。依托镇农民工服务中心，大力开展农民职业技能培训，培育新型职业农民，提高农民各类就业技能。积极吸引返乡回乡入乡人才，改变农村人才外流状况，为乡村全面振兴注入最具活力的人力资源，推动乡村人才振兴。 </w:t>
      </w:r>
    </w:p>
    <w:p>
      <w:pPr>
        <w:spacing w:line="580" w:lineRule="exact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（四）抓底线防控，有效化解风险隐患</w:t>
      </w:r>
    </w:p>
    <w:p>
      <w:pPr>
        <w:spacing w:line="580" w:lineRule="exact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 xml:space="preserve">一是切实巩固脱贫攻坚成果。认真贯彻落实习近平总书记关于脱贫攻坚工作“四摘四不摘”重要指示，按照“四个纳入、三个把握”要求，严格落实好防返贫监测机制，动态掌握情况，加强对脱贫不稳定户、边缘易致贫户的收入监测，紧盯薄弱环节查漏补缺，及时解困难、上政策，坚持把防止返贫摆在重要位置，确保实现巩固拓展脱贫攻坚成果到有效衔接乡村振兴的平稳过渡。二是切实加强环境资源保护。坚持绿水青山就是金山银山的发展理念，强化镇域内大气、水环境治理，严格落实河长制，持之以恒整治散乱污企业。加大生态建设力度，持续推进国土绿化，深化治污减排降碳，不断完善环境治理长效管理机制。三是切实强化防范化解风险。时刻警醒保持忧患意识和风险意识，加强重点项目建设、道路交通、建筑施工、食品药品、学校商超等公众安全重点领域监管，做好各类隐患排查、矛盾纠纷排查化解，为经济持续健康发展、社会大局和谐稳定提供服务保障。畅通信访渠道，完善接访处访工作流程，认真解决群众合法合理诉求，强化信访问题源头治理，妥善化解信访积案和难点问题。认真学习贯彻中央、省市县关于安全生产工作的重要指示精神，落实各方主体责任，不定期对生产经营单位进行培训，加大宣传力度，增强安全生产意识，抓好“安全生产专项整治三年行动”、“安全生产月”等专项整治活动，定期深入开展安全隐患排查整治，坚决遏制杜绝重大事故发生。 </w:t>
      </w:r>
    </w:p>
    <w:p>
      <w:pPr>
        <w:spacing w:line="580" w:lineRule="exact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（五）完善公共基础服务，持续增强民生福祉</w:t>
      </w:r>
    </w:p>
    <w:p>
      <w:pPr>
        <w:spacing w:line="580" w:lineRule="exact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一是加大社会保障力度。2024年将继续扩大社保覆盖面，组织实施好低保补助、五保供养、医疗救助、临时救助等措施，践行初心、造福人民，确保上级民生政策不折不扣落实。加强对留守儿童、妇女、老人和残疾人的关爱保障。织密就业创业网，以产业拉动就业、创业引领就业、技能培训促进就业，不断满足人民日益增长的美好生活的需要。二是倡导文明和谐新风。充分发挥新时代文明实践站作用，多样化持续开展敬老孝亲、好人好事、致富之星等评选表彰活动，营造讲仁爱、重民本、守诚信、崇正义的社会风尚。进一步深化巩固文明创建成果，提升群众文明素养，争做文明带头人。三是创新社会治理机制。深入开展社会治安综合治理，巩固扫黑除恶专项斗争成果，依法打击各类违法犯罪行为，广泛开展平安创建活动，积极开展宪法、民法典等普法行动，增强人民群众的安全感，全面提升群众的满意度。</w:t>
      </w:r>
    </w:p>
    <w:p>
      <w:pPr>
        <w:spacing w:line="580" w:lineRule="exact"/>
        <w:ind w:firstLine="640" w:firstLineChars="200"/>
        <w:rPr>
          <w:rFonts w:hint="default" w:eastAsia="方正黑体简体"/>
          <w:sz w:val="32"/>
          <w:szCs w:val="32"/>
          <w:lang w:val="en-US" w:eastAsia="zh-CN"/>
        </w:rPr>
      </w:pPr>
      <w:r>
        <w:rPr>
          <w:rFonts w:hint="eastAsia" w:eastAsia="方正黑体简体"/>
          <w:sz w:val="32"/>
          <w:szCs w:val="32"/>
          <w:lang w:val="en-US" w:eastAsia="zh-CN"/>
        </w:rPr>
        <w:t>三、收支预算情况说明</w:t>
      </w:r>
    </w:p>
    <w:p>
      <w:pPr>
        <w:spacing w:line="580" w:lineRule="exact"/>
        <w:ind w:firstLine="643" w:firstLineChars="200"/>
        <w:rPr>
          <w:rFonts w:hint="eastAsia" w:eastAsia="方正楷体简体"/>
          <w:b/>
          <w:sz w:val="32"/>
          <w:szCs w:val="32"/>
        </w:rPr>
      </w:pPr>
      <w:r>
        <w:rPr>
          <w:rFonts w:hint="eastAsia" w:eastAsia="方正楷体简体"/>
          <w:b/>
          <w:sz w:val="32"/>
          <w:szCs w:val="32"/>
        </w:rPr>
        <w:t>（一）收入预算情况</w:t>
      </w:r>
    </w:p>
    <w:p>
      <w:pPr>
        <w:spacing w:line="580" w:lineRule="exact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乐至县回澜镇人民政府</w:t>
      </w:r>
      <w:r>
        <w:rPr>
          <w:rFonts w:hint="eastAsia" w:ascii="宋体" w:hAnsi="宋体" w:eastAsia="宋体" w:cs="宋体"/>
          <w:sz w:val="32"/>
          <w:szCs w:val="32"/>
        </w:rPr>
        <w:t>202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4</w:t>
      </w:r>
      <w:r>
        <w:rPr>
          <w:rFonts w:hint="eastAsia" w:ascii="宋体" w:hAnsi="宋体" w:eastAsia="宋体" w:cs="宋体"/>
          <w:sz w:val="32"/>
          <w:szCs w:val="32"/>
        </w:rPr>
        <w:t>年收入预算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2122.41</w:t>
      </w:r>
      <w:r>
        <w:rPr>
          <w:rFonts w:hint="eastAsia" w:ascii="宋体" w:hAnsi="宋体" w:eastAsia="宋体" w:cs="宋体"/>
          <w:sz w:val="32"/>
          <w:szCs w:val="32"/>
        </w:rPr>
        <w:t>万元，较202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3</w:t>
      </w:r>
      <w:r>
        <w:rPr>
          <w:rFonts w:hint="eastAsia" w:ascii="宋体" w:hAnsi="宋体" w:eastAsia="宋体" w:cs="宋体"/>
          <w:sz w:val="32"/>
          <w:szCs w:val="32"/>
        </w:rPr>
        <w:t>年收入预算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2016.44</w:t>
      </w:r>
      <w:r>
        <w:rPr>
          <w:rFonts w:hint="eastAsia" w:ascii="宋体" w:hAnsi="宋体" w:eastAsia="宋体" w:cs="宋体"/>
          <w:sz w:val="32"/>
          <w:szCs w:val="32"/>
        </w:rPr>
        <w:t>万元，增加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105.97</w:t>
      </w:r>
      <w:r>
        <w:rPr>
          <w:rFonts w:hint="eastAsia" w:ascii="宋体" w:hAnsi="宋体" w:eastAsia="宋体" w:cs="宋体"/>
          <w:sz w:val="32"/>
          <w:szCs w:val="32"/>
        </w:rPr>
        <w:t>万元，增长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5.26</w:t>
      </w:r>
      <w:r>
        <w:rPr>
          <w:rFonts w:hint="eastAsia" w:ascii="宋体" w:hAnsi="宋体" w:eastAsia="宋体" w:cs="宋体"/>
          <w:sz w:val="32"/>
          <w:szCs w:val="32"/>
        </w:rPr>
        <w:t>%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。</w:t>
      </w:r>
      <w:r>
        <w:rPr>
          <w:rFonts w:hint="eastAsia" w:ascii="宋体" w:hAnsi="宋体" w:eastAsia="宋体" w:cs="宋体"/>
          <w:sz w:val="32"/>
          <w:szCs w:val="32"/>
        </w:rPr>
        <w:t>其中：一般公共预算拨款收入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2122.41</w:t>
      </w:r>
      <w:r>
        <w:rPr>
          <w:rFonts w:hint="eastAsia" w:ascii="宋体" w:hAnsi="宋体" w:eastAsia="宋体" w:cs="宋体"/>
          <w:sz w:val="32"/>
          <w:szCs w:val="32"/>
        </w:rPr>
        <w:t>万元，占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100</w:t>
      </w:r>
      <w:r>
        <w:rPr>
          <w:rFonts w:hint="eastAsia" w:ascii="宋体" w:hAnsi="宋体" w:eastAsia="宋体" w:cs="宋体"/>
          <w:sz w:val="32"/>
          <w:szCs w:val="32"/>
        </w:rPr>
        <w:t>%。</w:t>
      </w:r>
    </w:p>
    <w:p>
      <w:pPr>
        <w:spacing w:line="580" w:lineRule="exact"/>
        <w:ind w:firstLine="643" w:firstLineChars="200"/>
        <w:rPr>
          <w:rFonts w:hint="eastAsia" w:eastAsia="方正楷体简体"/>
          <w:b/>
          <w:sz w:val="32"/>
          <w:szCs w:val="32"/>
        </w:rPr>
      </w:pPr>
      <w:r>
        <w:rPr>
          <w:rFonts w:hint="eastAsia" w:eastAsia="方正楷体简体"/>
          <w:b/>
          <w:sz w:val="32"/>
          <w:szCs w:val="32"/>
        </w:rPr>
        <w:t>（二）支出预算情况</w:t>
      </w:r>
    </w:p>
    <w:p>
      <w:pPr>
        <w:spacing w:line="580" w:lineRule="exact"/>
        <w:ind w:firstLine="640" w:firstLineChars="20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乐至县回澜镇人民政府</w:t>
      </w:r>
      <w:r>
        <w:rPr>
          <w:rFonts w:hint="eastAsia" w:ascii="宋体" w:hAnsi="宋体" w:eastAsia="宋体" w:cs="宋体"/>
          <w:sz w:val="32"/>
          <w:szCs w:val="32"/>
        </w:rPr>
        <w:t>202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4</w:t>
      </w:r>
      <w:r>
        <w:rPr>
          <w:rFonts w:hint="eastAsia" w:ascii="宋体" w:hAnsi="宋体" w:eastAsia="宋体" w:cs="宋体"/>
          <w:sz w:val="32"/>
          <w:szCs w:val="32"/>
        </w:rPr>
        <w:t>年收入预算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2122.41</w:t>
      </w:r>
      <w:r>
        <w:rPr>
          <w:rFonts w:hint="eastAsia" w:ascii="宋体" w:hAnsi="宋体" w:eastAsia="宋体" w:cs="宋体"/>
          <w:sz w:val="32"/>
          <w:szCs w:val="32"/>
        </w:rPr>
        <w:t>万元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，较2023年支出预算2016.44万元，增长5.26%。其中：一般公共预算支出2122.41万元，占100%。一般公共服务支出571.82万元；国防支出5.00万元；文化旅游体育与传媒支出203.69万元；社会保障和就业支出151.22万元；卫生健康支出87.14万元；农林水支出997.67万元；交通运输支出3.00万元；灾害防治及应急管理支出1.00万元；住房保障支出101.87万元。</w:t>
      </w:r>
    </w:p>
    <w:p>
      <w:pPr>
        <w:spacing w:line="580" w:lineRule="exact"/>
        <w:ind w:firstLine="643" w:firstLineChars="200"/>
        <w:rPr>
          <w:rFonts w:hint="eastAsia" w:eastAsia="方正楷体简体"/>
          <w:b/>
          <w:sz w:val="32"/>
          <w:szCs w:val="32"/>
        </w:rPr>
      </w:pPr>
      <w:r>
        <w:rPr>
          <w:rFonts w:hint="eastAsia" w:eastAsia="方正楷体简体"/>
          <w:b/>
          <w:sz w:val="32"/>
          <w:szCs w:val="32"/>
          <w:lang w:val="en-US" w:eastAsia="zh-CN"/>
        </w:rPr>
        <w:t>（三）</w:t>
      </w:r>
      <w:r>
        <w:rPr>
          <w:rFonts w:hint="eastAsia" w:eastAsia="方正楷体简体"/>
          <w:b/>
          <w:sz w:val="32"/>
          <w:szCs w:val="32"/>
        </w:rPr>
        <w:t>专项资金说明</w:t>
      </w:r>
    </w:p>
    <w:p>
      <w:pPr>
        <w:spacing w:line="580" w:lineRule="exact"/>
        <w:ind w:firstLine="640" w:firstLineChars="20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2024年单位预算无专项支出。</w:t>
      </w:r>
    </w:p>
    <w:p>
      <w:pPr>
        <w:spacing w:line="580" w:lineRule="exact"/>
        <w:ind w:firstLine="643" w:firstLineChars="200"/>
        <w:rPr>
          <w:rFonts w:hint="eastAsia" w:eastAsia="方正楷体简体"/>
          <w:b/>
          <w:sz w:val="32"/>
          <w:szCs w:val="32"/>
          <w:lang w:val="en-US" w:eastAsia="zh-CN"/>
        </w:rPr>
      </w:pPr>
      <w:r>
        <w:rPr>
          <w:rFonts w:hint="eastAsia" w:eastAsia="方正楷体简体"/>
          <w:b/>
          <w:sz w:val="32"/>
          <w:szCs w:val="32"/>
          <w:lang w:val="en-US" w:eastAsia="zh-CN"/>
        </w:rPr>
        <w:t>（四）“三公”经费财政拨款预算安排情况说明</w:t>
      </w:r>
    </w:p>
    <w:p>
      <w:pPr>
        <w:spacing w:line="580" w:lineRule="exact"/>
        <w:ind w:firstLine="640" w:firstLineChars="20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乐至县回澜镇人民政府2024年“三公”经费财政拨款预算数7万元，其中：因公出国（境）经费0万元，公务接待费7万元，公务用车购置及运行维护费0万元。</w:t>
      </w:r>
    </w:p>
    <w:p>
      <w:pPr>
        <w:spacing w:line="580" w:lineRule="exact"/>
        <w:ind w:firstLine="643" w:firstLineChars="200"/>
        <w:rPr>
          <w:rFonts w:hint="eastAsia" w:eastAsia="方正楷体简体"/>
          <w:b/>
          <w:sz w:val="32"/>
          <w:szCs w:val="32"/>
        </w:rPr>
      </w:pPr>
      <w:r>
        <w:rPr>
          <w:rFonts w:hint="eastAsia" w:eastAsia="方正楷体简体"/>
          <w:b/>
          <w:sz w:val="32"/>
          <w:szCs w:val="32"/>
          <w:lang w:val="en-US" w:eastAsia="zh-CN"/>
        </w:rPr>
        <w:t>1.</w:t>
      </w:r>
      <w:r>
        <w:rPr>
          <w:rFonts w:eastAsia="方正楷体简体"/>
          <w:b/>
          <w:sz w:val="32"/>
          <w:szCs w:val="32"/>
        </w:rPr>
        <w:t>因公出国（境）经费</w:t>
      </w:r>
      <w:r>
        <w:rPr>
          <w:rFonts w:hint="eastAsia" w:eastAsia="方正楷体简体"/>
          <w:b/>
          <w:sz w:val="32"/>
          <w:szCs w:val="32"/>
          <w:lang w:eastAsia="zh-CN"/>
        </w:rPr>
        <w:t>无预算</w:t>
      </w:r>
      <w:r>
        <w:rPr>
          <w:rFonts w:eastAsia="方正楷体简体"/>
          <w:b/>
          <w:sz w:val="32"/>
          <w:szCs w:val="32"/>
        </w:rPr>
        <w:t>。</w:t>
      </w:r>
    </w:p>
    <w:p>
      <w:pPr>
        <w:spacing w:line="580" w:lineRule="exact"/>
        <w:ind w:firstLine="640" w:firstLineChars="20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本年度拟安排出国（境）0人次。</w:t>
      </w:r>
    </w:p>
    <w:p>
      <w:pPr>
        <w:spacing w:line="580" w:lineRule="exact"/>
        <w:ind w:firstLine="643" w:firstLineChars="200"/>
        <w:rPr>
          <w:rFonts w:hint="eastAsia" w:eastAsia="方正楷体简体"/>
          <w:b/>
          <w:sz w:val="32"/>
          <w:szCs w:val="32"/>
        </w:rPr>
      </w:pPr>
      <w:r>
        <w:rPr>
          <w:rFonts w:hint="eastAsia" w:eastAsia="方正楷体简体"/>
          <w:b/>
          <w:sz w:val="32"/>
          <w:szCs w:val="32"/>
          <w:lang w:val="en-US" w:eastAsia="zh-CN"/>
        </w:rPr>
        <w:t>2.</w:t>
      </w:r>
      <w:r>
        <w:rPr>
          <w:rFonts w:eastAsia="方正楷体简体"/>
          <w:b/>
          <w:sz w:val="32"/>
          <w:szCs w:val="32"/>
        </w:rPr>
        <w:t>公务接待费较20</w:t>
      </w:r>
      <w:r>
        <w:rPr>
          <w:rFonts w:hint="eastAsia" w:eastAsia="方正楷体简体"/>
          <w:b/>
          <w:sz w:val="32"/>
          <w:szCs w:val="32"/>
        </w:rPr>
        <w:t>2</w:t>
      </w:r>
      <w:r>
        <w:rPr>
          <w:rFonts w:hint="eastAsia" w:eastAsia="方正楷体简体"/>
          <w:b/>
          <w:sz w:val="32"/>
          <w:szCs w:val="32"/>
          <w:lang w:val="en-US" w:eastAsia="zh-CN"/>
        </w:rPr>
        <w:t>3</w:t>
      </w:r>
      <w:r>
        <w:rPr>
          <w:rFonts w:eastAsia="方正楷体简体"/>
          <w:b/>
          <w:sz w:val="32"/>
          <w:szCs w:val="32"/>
        </w:rPr>
        <w:t>年预算持平。</w:t>
      </w:r>
    </w:p>
    <w:p>
      <w:pPr>
        <w:spacing w:line="360" w:lineRule="auto"/>
        <w:ind w:firstLine="640" w:firstLineChars="200"/>
        <w:rPr>
          <w:rFonts w:hint="eastAsia" w:eastAsia="方正仿宋简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2024</w:t>
      </w:r>
      <w:bookmarkStart w:id="0" w:name="_GoBack"/>
      <w:bookmarkEnd w:id="0"/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年公务接待费计划用于接受检查、工作交流学习等公务接待。 </w:t>
      </w:r>
    </w:p>
    <w:p>
      <w:pPr>
        <w:spacing w:line="580" w:lineRule="exact"/>
        <w:ind w:firstLine="643" w:firstLineChars="200"/>
        <w:rPr>
          <w:rFonts w:eastAsia="方正楷体简体"/>
          <w:b/>
          <w:sz w:val="32"/>
          <w:szCs w:val="32"/>
        </w:rPr>
      </w:pPr>
      <w:r>
        <w:rPr>
          <w:rFonts w:hint="eastAsia" w:eastAsia="方正楷体简体"/>
          <w:b/>
          <w:sz w:val="32"/>
          <w:szCs w:val="32"/>
          <w:lang w:val="en-US" w:eastAsia="zh-CN"/>
        </w:rPr>
        <w:t>3.</w:t>
      </w:r>
      <w:r>
        <w:rPr>
          <w:rFonts w:hint="eastAsia" w:eastAsia="方正楷体简体"/>
          <w:b/>
          <w:sz w:val="32"/>
          <w:szCs w:val="32"/>
        </w:rPr>
        <w:t>公务用车购置及运行维护费</w:t>
      </w:r>
      <w:r>
        <w:rPr>
          <w:rFonts w:hint="eastAsia" w:eastAsia="方正楷体简体"/>
          <w:b/>
          <w:sz w:val="32"/>
          <w:szCs w:val="32"/>
          <w:lang w:eastAsia="zh-CN"/>
        </w:rPr>
        <w:t>无预算</w:t>
      </w:r>
      <w:r>
        <w:rPr>
          <w:rFonts w:hint="eastAsia" w:eastAsia="方正楷体简体"/>
          <w:b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单位无公务用车。</w:t>
      </w:r>
    </w:p>
    <w:sectPr>
      <w:headerReference r:id="rId3" w:type="default"/>
      <w:pgSz w:w="11906" w:h="16838"/>
      <w:pgMar w:top="1701" w:right="1247" w:bottom="1418" w:left="175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84B5F4A-FBEA-4D25-959F-A096EBA84F54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76BA4368-EDBB-45AF-8D01-4228D150B62D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黑体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  <w:embedRegular r:id="rId3" w:fontKey="{BA6AC07E-388D-49C2-9D75-0ABD6F514DD8}"/>
  </w:font>
  <w:font w:name="方正楷体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  <w:embedRegular r:id="rId4" w:fontKey="{CBC560A7-D450-4E14-B452-79EF32F44968}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CA0E2E02-26C1-40D6-8644-49682CEB5708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VhNDFlZjFkOGJhOTc3NGE2NWYwZDNhZDAwMTQ0M2IifQ=="/>
  </w:docVars>
  <w:rsids>
    <w:rsidRoot w:val="5D9925AC"/>
    <w:rsid w:val="061C66E3"/>
    <w:rsid w:val="094C09F5"/>
    <w:rsid w:val="0B8A0BD0"/>
    <w:rsid w:val="0CDD0529"/>
    <w:rsid w:val="10875EC8"/>
    <w:rsid w:val="12C56763"/>
    <w:rsid w:val="190C570E"/>
    <w:rsid w:val="22987F02"/>
    <w:rsid w:val="297C5EC7"/>
    <w:rsid w:val="344A33CC"/>
    <w:rsid w:val="34E92535"/>
    <w:rsid w:val="3733539E"/>
    <w:rsid w:val="3901065F"/>
    <w:rsid w:val="3ED953A4"/>
    <w:rsid w:val="3F421BE7"/>
    <w:rsid w:val="45603B35"/>
    <w:rsid w:val="47220FA8"/>
    <w:rsid w:val="4EE65A09"/>
    <w:rsid w:val="5595061B"/>
    <w:rsid w:val="55A95CBD"/>
    <w:rsid w:val="5D5C28CE"/>
    <w:rsid w:val="5D9925AC"/>
    <w:rsid w:val="60754076"/>
    <w:rsid w:val="6565666F"/>
    <w:rsid w:val="6CA653DF"/>
    <w:rsid w:val="73C54D01"/>
    <w:rsid w:val="79AC4F98"/>
    <w:rsid w:val="7BC02794"/>
    <w:rsid w:val="7F261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834</Words>
  <Characters>1105</Characters>
  <Lines>0</Lines>
  <Paragraphs>0</Paragraphs>
  <TotalTime>1</TotalTime>
  <ScaleCrop>false</ScaleCrop>
  <LinksUpToDate>false</LinksUpToDate>
  <CharactersWithSpaces>1107</CharactersWithSpaces>
  <Application>WPS Office_12.8.2.15005_F1E327BC-269C-435d-A152-05C5408002CA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2022-12-07T01:28:00Z</dcterms:created>
  <dc:creator>Brave</dc:creator>
  <cp:lastModifiedBy>Administrator</cp:lastModifiedBy>
  <cp:lastPrinted>2022-12-07T02:45:00Z</cp:lastPrinted>
  <dcterms:modified xsi:type="dcterms:W3CDTF">2024-06-03T03:05:56Z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2052-12.8.2.15005</vt:lpwstr>
  </property>
  <property fmtid="{D5CDD505-2E9C-101B-9397-08002B2CF9AE}" pid="3" name="ICV">
    <vt:lpwstr>8D2AF2F51FF0466FBDA52D7046864B8A</vt:lpwstr>
  </property>
</Properties>
</file>