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78441"/>
      <w:bookmarkStart w:id="1" w:name="_Toc15377425"/>
      <w:bookmarkStart w:id="2" w:name="_Toc15396597"/>
      <w:bookmarkStart w:id="3" w:name="_Toc15396475"/>
      <w:bookmarkStart w:id="4" w:name="_Toc15377193"/>
      <w:bookmarkStart w:id="5"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lang w:eastAsia="zh-CN"/>
        </w:rPr>
        <w:t>2023</w:t>
      </w:r>
      <w:r>
        <w:rPr>
          <w:rFonts w:hint="eastAsia" w:ascii="方正小标宋简体" w:hAnsi="方正小标宋简体" w:eastAsia="方正小标宋简体" w:cs="方正小标宋简体"/>
          <w:sz w:val="72"/>
          <w:szCs w:val="72"/>
        </w:rPr>
        <w:t>年度</w:t>
      </w:r>
      <w:bookmarkEnd w:id="0"/>
      <w:bookmarkEnd w:id="1"/>
      <w:bookmarkEnd w:id="2"/>
      <w:bookmarkEnd w:id="3"/>
      <w:bookmarkEnd w:id="4"/>
    </w:p>
    <w:p>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bookmarkStart w:id="6" w:name="_Toc15378442"/>
      <w:bookmarkStart w:id="7" w:name="_Toc15377426"/>
      <w:bookmarkStart w:id="8" w:name="_Toc15396476"/>
      <w:bookmarkStart w:id="9" w:name="_Toc15396598"/>
      <w:bookmarkStart w:id="10" w:name="_Toc15377194"/>
      <w:r>
        <w:rPr>
          <w:rFonts w:hint="eastAsia" w:ascii="方正小标宋简体" w:hAnsi="方正小标宋简体" w:eastAsia="方正小标宋简体" w:cs="方正小标宋简体"/>
          <w:sz w:val="72"/>
          <w:szCs w:val="72"/>
        </w:rPr>
        <w:t>四川省</w:t>
      </w:r>
      <w:bookmarkEnd w:id="5"/>
      <w:bookmarkStart w:id="11" w:name="_Toc15306268"/>
      <w:r>
        <w:rPr>
          <w:rFonts w:hint="eastAsia" w:ascii="方正小标宋简体" w:hAnsi="方正小标宋简体" w:eastAsia="方正小标宋简体" w:cs="方正小标宋简体"/>
          <w:sz w:val="72"/>
          <w:szCs w:val="72"/>
          <w:lang w:eastAsia="zh-CN"/>
        </w:rPr>
        <w:t>乐至县信访局</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p>
    <w:p>
      <w:pPr>
        <w:widowControl/>
        <w:jc w:val="both"/>
        <w:rPr>
          <w:rFonts w:ascii="黑体" w:hAnsi="黑体" w:eastAsia="黑体"/>
          <w:sz w:val="48"/>
          <w:szCs w:val="48"/>
        </w:rPr>
      </w:pPr>
      <w:r>
        <w:rPr>
          <w:rFonts w:ascii="方正小标宋简体" w:hAnsi="宋体" w:eastAsia="方正小标宋简体"/>
          <w:sz w:val="36"/>
          <w:szCs w:val="36"/>
        </w:rPr>
        <w:br w:type="page"/>
      </w:r>
      <w:r>
        <w:rPr>
          <w:rFonts w:hint="eastAsia" w:ascii="方正小标宋简体" w:hAnsi="宋体" w:eastAsia="方正小标宋简体"/>
          <w:sz w:val="36"/>
          <w:szCs w:val="36"/>
          <w:lang w:val="en-US" w:eastAsia="zh-CN"/>
        </w:rPr>
        <w:t xml:space="preserve">                   </w:t>
      </w:r>
      <w:r>
        <w:rPr>
          <w:rFonts w:hint="eastAsia" w:ascii="黑体" w:hAnsi="黑体" w:eastAsia="黑体"/>
          <w:sz w:val="48"/>
          <w:szCs w:val="48"/>
        </w:rPr>
        <w:t>目</w:t>
      </w:r>
      <w:r>
        <w:rPr>
          <w:rFonts w:hint="eastAsia" w:ascii="黑体" w:hAnsi="黑体" w:eastAsia="黑体"/>
          <w:sz w:val="48"/>
          <w:szCs w:val="48"/>
          <w:lang w:val="en-US" w:eastAsia="zh-CN"/>
        </w:rPr>
        <w:t xml:space="preserve">   </w:t>
      </w:r>
      <w:r>
        <w:rPr>
          <w:rFonts w:hint="eastAsia" w:ascii="黑体" w:hAnsi="黑体" w:eastAsia="黑体"/>
          <w:sz w:val="48"/>
          <w:szCs w:val="48"/>
        </w:rPr>
        <w:t>录</w:t>
      </w:r>
    </w:p>
    <w:p>
      <w:pPr>
        <w:widowControl/>
        <w:jc w:val="center"/>
        <w:rPr>
          <w:rFonts w:ascii="黑体" w:hAnsi="黑体" w:eastAsia="黑体" w:cstheme="minorBidi"/>
          <w:sz w:val="28"/>
          <w:szCs w:val="28"/>
        </w:rPr>
      </w:pPr>
    </w:p>
    <w:p>
      <w:pPr>
        <w:pStyle w:val="14"/>
      </w:pPr>
      <w:r>
        <w:rPr>
          <w:rFonts w:hint="eastAsia"/>
        </w:rPr>
        <w:t>公开时间：202</w:t>
      </w:r>
      <w:r>
        <w:rPr>
          <w:rFonts w:hint="eastAsia"/>
          <w:lang w:val="en-US" w:eastAsia="zh-CN"/>
        </w:rPr>
        <w:t>4</w:t>
      </w:r>
      <w:r>
        <w:rPr>
          <w:rFonts w:hint="eastAsia"/>
        </w:rPr>
        <w:t>年</w:t>
      </w:r>
      <w:r>
        <w:rPr>
          <w:rFonts w:hint="eastAsia"/>
          <w:lang w:val="en-US" w:eastAsia="zh-CN"/>
        </w:rPr>
        <w:t>8</w:t>
      </w:r>
      <w:r>
        <w:rPr>
          <w:rFonts w:hint="eastAsia"/>
        </w:rPr>
        <w:t>月</w:t>
      </w:r>
      <w:r>
        <w:rPr>
          <w:rFonts w:hint="eastAsia"/>
          <w:lang w:val="en-US" w:eastAsia="zh-CN"/>
        </w:rPr>
        <w:t>29</w:t>
      </w:r>
      <w:r>
        <w:rPr>
          <w:rFonts w:hint="eastAsia"/>
        </w:rPr>
        <w:t>日</w:t>
      </w:r>
    </w:p>
    <w:p/>
    <w:p>
      <w:pPr>
        <w:pStyle w:val="15"/>
        <w:adjustRightInd w:val="0"/>
        <w:snapToGrid w:val="0"/>
        <w:spacing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r>
        <w:rPr>
          <w:rFonts w:hint="eastAsia"/>
          <w:sz w:val="24"/>
          <w:lang w:val="en-US" w:eastAsia="zh-CN"/>
        </w:rPr>
        <w:t>.............................................................................................1</w:t>
      </w:r>
    </w:p>
    <w:p>
      <w:pPr>
        <w:pStyle w:val="15"/>
        <w:adjustRightInd w:val="0"/>
        <w:snapToGrid w:val="0"/>
        <w:spacing w:line="440" w:lineRule="exact"/>
        <w:jc w:val="left"/>
        <w:rPr>
          <w:rFonts w:hint="default" w:ascii="仿宋" w:hAnsi="仿宋" w:eastAsia="宋体"/>
          <w:sz w:val="24"/>
          <w:lang w:val="en-US" w:eastAsia="zh-CN"/>
        </w:rPr>
      </w:pPr>
      <w:r>
        <w:rPr>
          <w:rFonts w:hint="eastAsia"/>
          <w:sz w:val="24"/>
        </w:rPr>
        <w:t>一、部门职责</w:t>
      </w:r>
      <w:r>
        <w:rPr>
          <w:rFonts w:hint="eastAsia"/>
          <w:sz w:val="24"/>
          <w:lang w:val="en-US" w:eastAsia="zh-CN"/>
        </w:rPr>
        <w:t>........................................................................................................1</w:t>
      </w:r>
    </w:p>
    <w:p>
      <w:pPr>
        <w:pStyle w:val="15"/>
        <w:adjustRightInd w:val="0"/>
        <w:snapToGrid w:val="0"/>
        <w:spacing w:line="440" w:lineRule="exact"/>
        <w:jc w:val="left"/>
        <w:rPr>
          <w:rFonts w:hint="default" w:ascii="仿宋" w:hAnsi="仿宋" w:eastAsia="仿宋" w:cstheme="minorBidi"/>
          <w:sz w:val="24"/>
          <w:lang w:val="en-US"/>
        </w:rPr>
      </w:pPr>
      <w:r>
        <w:rPr>
          <w:rFonts w:hint="eastAsia"/>
          <w:sz w:val="24"/>
        </w:rPr>
        <w:t>二、机构设置</w:t>
      </w:r>
      <w:r>
        <w:rPr>
          <w:rFonts w:hint="eastAsia"/>
          <w:sz w:val="24"/>
          <w:lang w:val="en-US" w:eastAsia="zh-CN"/>
        </w:rPr>
        <w:t>........................................................................................................2</w:t>
      </w:r>
    </w:p>
    <w:p>
      <w:pPr>
        <w:pStyle w:val="15"/>
        <w:adjustRightInd w:val="0"/>
        <w:snapToGrid w:val="0"/>
        <w:spacing w:line="440" w:lineRule="exact"/>
        <w:jc w:val="left"/>
        <w:rPr>
          <w:sz w:val="24"/>
          <w:szCs w:val="24"/>
        </w:rPr>
      </w:pPr>
      <w:r>
        <w:rPr>
          <w:rFonts w:hint="eastAsia"/>
          <w:sz w:val="24"/>
        </w:rPr>
        <w:t xml:space="preserve">第二部分 </w:t>
      </w:r>
      <w:r>
        <w:rPr>
          <w:rFonts w:hint="eastAsia"/>
          <w:sz w:val="24"/>
          <w:lang w:eastAsia="zh-CN"/>
        </w:rPr>
        <w:t>2023</w:t>
      </w:r>
      <w:r>
        <w:rPr>
          <w:rFonts w:hint="eastAsia"/>
          <w:sz w:val="24"/>
        </w:rPr>
        <w:t>年度部门决算情况明</w:t>
      </w:r>
      <w:r>
        <w:rPr>
          <w:rFonts w:hint="eastAsia"/>
          <w:sz w:val="24"/>
          <w:lang w:val="en-US" w:eastAsia="zh-CN"/>
        </w:rPr>
        <w:t>.................................................................2</w:t>
      </w:r>
    </w:p>
    <w:p>
      <w:pPr>
        <w:pStyle w:val="15"/>
        <w:adjustRightInd w:val="0"/>
        <w:snapToGrid w:val="0"/>
        <w:spacing w:line="440" w:lineRule="exact"/>
        <w:jc w:val="left"/>
        <w:rPr>
          <w:rFonts w:ascii="仿宋" w:hAnsi="仿宋" w:eastAsia="仿宋" w:cstheme="minorBidi"/>
          <w:sz w:val="24"/>
        </w:rPr>
      </w:pPr>
      <w:r>
        <w:rPr>
          <w:rFonts w:hint="eastAsia"/>
          <w:sz w:val="24"/>
        </w:rPr>
        <w:t>一、收入支出决算总体情况说明</w:t>
      </w:r>
      <w:r>
        <w:rPr>
          <w:rFonts w:hint="eastAsia"/>
          <w:sz w:val="24"/>
          <w:lang w:val="en-US" w:eastAsia="zh-CN"/>
        </w:rPr>
        <w:t>........................................................................2</w:t>
      </w:r>
    </w:p>
    <w:p>
      <w:pPr>
        <w:pStyle w:val="15"/>
        <w:adjustRightInd w:val="0"/>
        <w:snapToGrid w:val="0"/>
        <w:spacing w:line="440" w:lineRule="exact"/>
        <w:jc w:val="left"/>
        <w:rPr>
          <w:rFonts w:ascii="仿宋" w:hAnsi="仿宋" w:eastAsia="仿宋" w:cstheme="minorBidi"/>
          <w:sz w:val="24"/>
        </w:rPr>
      </w:pPr>
      <w:r>
        <w:rPr>
          <w:rFonts w:hint="eastAsia"/>
          <w:sz w:val="24"/>
        </w:rPr>
        <w:t>二、收入决算情况说明</w:t>
      </w:r>
      <w:r>
        <w:rPr>
          <w:rFonts w:hint="eastAsia"/>
          <w:sz w:val="24"/>
          <w:lang w:val="en-US" w:eastAsia="zh-CN"/>
        </w:rPr>
        <w:t>........................................................................................3</w:t>
      </w:r>
    </w:p>
    <w:p>
      <w:pPr>
        <w:pStyle w:val="15"/>
        <w:adjustRightInd w:val="0"/>
        <w:snapToGrid w:val="0"/>
        <w:spacing w:line="440" w:lineRule="exact"/>
        <w:jc w:val="left"/>
        <w:rPr>
          <w:rFonts w:ascii="仿宋" w:hAnsi="仿宋" w:eastAsia="仿宋" w:cstheme="minorBidi"/>
          <w:sz w:val="24"/>
        </w:rPr>
      </w:pPr>
      <w:r>
        <w:rPr>
          <w:rFonts w:hint="eastAsia"/>
          <w:sz w:val="24"/>
        </w:rPr>
        <w:t>三、支出决算情况说明</w:t>
      </w:r>
      <w:r>
        <w:rPr>
          <w:rFonts w:hint="eastAsia"/>
          <w:sz w:val="24"/>
          <w:lang w:val="en-US" w:eastAsia="zh-CN"/>
        </w:rPr>
        <w:t>........................................................................................3</w:t>
      </w:r>
    </w:p>
    <w:p>
      <w:pPr>
        <w:pStyle w:val="15"/>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r>
        <w:rPr>
          <w:rFonts w:hint="eastAsia"/>
          <w:sz w:val="24"/>
          <w:lang w:val="en-US" w:eastAsia="zh-CN"/>
        </w:rPr>
        <w:t>........................................................3</w:t>
      </w:r>
    </w:p>
    <w:p>
      <w:pPr>
        <w:pStyle w:val="15"/>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w:t>
      </w:r>
      <w:r>
        <w:rPr>
          <w:rFonts w:hint="eastAsia"/>
          <w:sz w:val="24"/>
          <w:lang w:eastAsia="zh-CN"/>
        </w:rPr>
        <w:t>说</w:t>
      </w:r>
      <w:r>
        <w:rPr>
          <w:rFonts w:hint="eastAsia"/>
          <w:sz w:val="24"/>
        </w:rPr>
        <w:t>明</w:t>
      </w:r>
      <w:r>
        <w:rPr>
          <w:rFonts w:hint="eastAsia"/>
          <w:sz w:val="24"/>
          <w:lang w:val="en-US" w:eastAsia="zh-CN"/>
        </w:rPr>
        <w:t>................................................4</w:t>
      </w:r>
    </w:p>
    <w:p>
      <w:pPr>
        <w:pStyle w:val="15"/>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r>
        <w:rPr>
          <w:rFonts w:hint="eastAsia"/>
          <w:sz w:val="24"/>
          <w:lang w:val="en-US" w:eastAsia="zh-CN"/>
        </w:rPr>
        <w:t>........................................6</w:t>
      </w:r>
    </w:p>
    <w:p>
      <w:pPr>
        <w:pStyle w:val="15"/>
        <w:adjustRightInd w:val="0"/>
        <w:snapToGrid w:val="0"/>
        <w:spacing w:line="440" w:lineRule="exact"/>
        <w:jc w:val="left"/>
        <w:rPr>
          <w:rFonts w:hint="eastAsia"/>
          <w:sz w:val="24"/>
          <w:lang w:val="en-US" w:eastAsia="zh-CN"/>
        </w:rPr>
      </w:pPr>
      <w:r>
        <w:rPr>
          <w:rFonts w:hint="eastAsia"/>
          <w:sz w:val="24"/>
        </w:rPr>
        <w:t>七、财政拨款“三公”经费支出决算情况说明</w:t>
      </w:r>
      <w:r>
        <w:rPr>
          <w:rFonts w:hint="eastAsia"/>
          <w:sz w:val="24"/>
          <w:lang w:val="en-US" w:eastAsia="zh-CN"/>
        </w:rPr>
        <w:t>.................................................7</w:t>
      </w:r>
    </w:p>
    <w:p>
      <w:pPr>
        <w:pStyle w:val="15"/>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r>
        <w:rPr>
          <w:rFonts w:hint="eastAsia"/>
          <w:sz w:val="24"/>
          <w:lang w:val="en-US" w:eastAsia="zh-CN"/>
        </w:rPr>
        <w:t>.............................................................9</w:t>
      </w:r>
    </w:p>
    <w:p>
      <w:pPr>
        <w:pStyle w:val="15"/>
        <w:adjustRightInd w:val="0"/>
        <w:snapToGrid w:val="0"/>
        <w:spacing w:line="440" w:lineRule="exact"/>
        <w:ind w:left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九、国有资本经营预算支出决算情况说明</w:t>
      </w:r>
      <w:r>
        <w:rPr>
          <w:rFonts w:hint="eastAsia"/>
          <w:sz w:val="24"/>
          <w:lang w:val="en-US" w:eastAsia="zh-CN"/>
        </w:rPr>
        <w:t>.........................................................9</w:t>
      </w:r>
    </w:p>
    <w:p>
      <w:pPr>
        <w:adjustRightInd w:val="0"/>
        <w:snapToGrid w:val="0"/>
        <w:spacing w:line="440" w:lineRule="exact"/>
        <w:ind w:firstLine="420" w:firstLineChars="175"/>
        <w:jc w:val="left"/>
        <w:rPr>
          <w:rFonts w:asciiTheme="minorEastAsia" w:hAnsiTheme="minorEastAsia" w:eastAsiaTheme="minorEastAsia" w:cstheme="minorEastAsia"/>
          <w:sz w:val="24"/>
        </w:rPr>
      </w:pPr>
      <w:r>
        <w:rPr>
          <w:rStyle w:val="21"/>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r>
        <w:rPr>
          <w:rFonts w:hint="eastAsia"/>
          <w:sz w:val="24"/>
          <w:lang w:val="en-US" w:eastAsia="zh-CN"/>
        </w:rPr>
        <w:t>..........................................................................9</w:t>
      </w:r>
    </w:p>
    <w:p>
      <w:pPr>
        <w:pStyle w:val="14"/>
        <w:adjustRightInd w:val="0"/>
        <w:snapToGrid w:val="0"/>
        <w:spacing w:before="0" w:line="440" w:lineRule="exact"/>
        <w:jc w:val="left"/>
        <w:rPr>
          <w:rFonts w:hint="default" w:cstheme="minorBidi"/>
          <w:sz w:val="24"/>
          <w:szCs w:val="24"/>
          <w:lang w:val="en-US"/>
        </w:rPr>
      </w:pPr>
      <w:r>
        <w:rPr>
          <w:rFonts w:hint="eastAsia"/>
          <w:sz w:val="24"/>
        </w:rPr>
        <w:t>第三部分</w:t>
      </w:r>
      <w:r>
        <w:rPr>
          <w:sz w:val="24"/>
        </w:rPr>
        <w:t xml:space="preserve"> </w:t>
      </w:r>
      <w:r>
        <w:rPr>
          <w:rFonts w:hint="eastAsia"/>
          <w:sz w:val="24"/>
        </w:rPr>
        <w:t>名</w:t>
      </w:r>
      <w:r>
        <w:rPr>
          <w:rFonts w:hint="eastAsia"/>
          <w:sz w:val="24"/>
          <w:lang w:eastAsia="zh-CN"/>
        </w:rPr>
        <w:t>词解释</w:t>
      </w:r>
      <w:r>
        <w:rPr>
          <w:rFonts w:hint="eastAsia"/>
          <w:sz w:val="24"/>
        </w:rPr>
        <w:t>释</w:t>
      </w:r>
      <w:r>
        <w:rPr>
          <w:rFonts w:hint="eastAsia"/>
          <w:sz w:val="24"/>
          <w:lang w:val="en-US" w:eastAsia="zh-CN"/>
        </w:rPr>
        <w:t>.................................................11</w:t>
      </w:r>
    </w:p>
    <w:p>
      <w:pPr>
        <w:pStyle w:val="14"/>
        <w:adjustRightInd w:val="0"/>
        <w:snapToGrid w:val="0"/>
        <w:spacing w:before="0" w:line="440" w:lineRule="exact"/>
        <w:jc w:val="left"/>
        <w:rPr>
          <w:rFonts w:hint="default" w:cstheme="minorBidi"/>
          <w:sz w:val="24"/>
          <w:szCs w:val="24"/>
          <w:lang w:val="en-US"/>
        </w:rPr>
      </w:pPr>
      <w:r>
        <w:rPr>
          <w:rFonts w:hint="eastAsia"/>
          <w:sz w:val="24"/>
        </w:rPr>
        <w:t>第四部分</w:t>
      </w:r>
      <w:r>
        <w:rPr>
          <w:sz w:val="24"/>
        </w:rPr>
        <w:t xml:space="preserve"> </w:t>
      </w:r>
      <w:r>
        <w:rPr>
          <w:rFonts w:hint="eastAsia"/>
          <w:sz w:val="24"/>
          <w:lang w:eastAsia="zh-CN"/>
        </w:rPr>
        <w:t>附</w:t>
      </w:r>
      <w:r>
        <w:rPr>
          <w:rFonts w:hint="eastAsia"/>
          <w:sz w:val="24"/>
        </w:rPr>
        <w:t>件</w:t>
      </w:r>
      <w:r>
        <w:rPr>
          <w:rFonts w:hint="eastAsia"/>
          <w:sz w:val="24"/>
          <w:lang w:val="en-US" w:eastAsia="zh-CN"/>
        </w:rPr>
        <w:t>.......................................................14</w:t>
      </w:r>
    </w:p>
    <w:p>
      <w:pPr>
        <w:pStyle w:val="14"/>
        <w:adjustRightInd w:val="0"/>
        <w:snapToGrid w:val="0"/>
        <w:spacing w:before="0" w:line="440" w:lineRule="exact"/>
        <w:jc w:val="left"/>
        <w:rPr>
          <w:rFonts w:hint="default" w:cstheme="minorBidi"/>
          <w:sz w:val="24"/>
          <w:szCs w:val="24"/>
          <w:lang w:val="en-US"/>
        </w:rPr>
      </w:pPr>
      <w:r>
        <w:rPr>
          <w:rFonts w:hint="eastAsia"/>
          <w:sz w:val="24"/>
        </w:rPr>
        <w:t>第五部分</w:t>
      </w:r>
      <w:r>
        <w:rPr>
          <w:sz w:val="24"/>
        </w:rPr>
        <w:t xml:space="preserve"> </w:t>
      </w:r>
      <w:r>
        <w:rPr>
          <w:rFonts w:hint="eastAsia"/>
          <w:sz w:val="24"/>
        </w:rPr>
        <w:t>附表</w:t>
      </w:r>
      <w:r>
        <w:rPr>
          <w:rFonts w:hint="eastAsia"/>
          <w:sz w:val="24"/>
          <w:lang w:val="en-US" w:eastAsia="zh-CN"/>
        </w:rPr>
        <w:t>.......................................................94</w:t>
      </w:r>
      <w:bookmarkStart w:id="71" w:name="_GoBack"/>
      <w:bookmarkEnd w:id="71"/>
    </w:p>
    <w:p>
      <w:pPr>
        <w:pStyle w:val="15"/>
        <w:adjustRightInd w:val="0"/>
        <w:snapToGrid w:val="0"/>
        <w:spacing w:line="440" w:lineRule="exact"/>
        <w:jc w:val="left"/>
        <w:rPr>
          <w:sz w:val="24"/>
        </w:rPr>
      </w:pPr>
      <w:r>
        <w:rPr>
          <w:rFonts w:hint="eastAsia"/>
          <w:sz w:val="24"/>
        </w:rPr>
        <w:t>一、收入支出决算总表</w:t>
      </w:r>
    </w:p>
    <w:p>
      <w:pPr>
        <w:pStyle w:val="15"/>
        <w:adjustRightInd w:val="0"/>
        <w:snapToGrid w:val="0"/>
        <w:spacing w:line="440" w:lineRule="exact"/>
        <w:jc w:val="left"/>
        <w:rPr>
          <w:sz w:val="24"/>
        </w:rPr>
      </w:pPr>
      <w:r>
        <w:rPr>
          <w:rFonts w:hint="eastAsia"/>
          <w:sz w:val="24"/>
        </w:rPr>
        <w:t>二、收入决算表</w:t>
      </w:r>
    </w:p>
    <w:p>
      <w:pPr>
        <w:pStyle w:val="15"/>
        <w:adjustRightInd w:val="0"/>
        <w:snapToGrid w:val="0"/>
        <w:spacing w:line="440" w:lineRule="exact"/>
        <w:jc w:val="left"/>
        <w:rPr>
          <w:sz w:val="24"/>
        </w:rPr>
      </w:pPr>
      <w:r>
        <w:rPr>
          <w:rFonts w:hint="eastAsia"/>
          <w:sz w:val="24"/>
        </w:rPr>
        <w:t>三、支出决算表</w:t>
      </w:r>
    </w:p>
    <w:p>
      <w:pPr>
        <w:pStyle w:val="15"/>
        <w:adjustRightInd w:val="0"/>
        <w:snapToGrid w:val="0"/>
        <w:spacing w:line="440" w:lineRule="exact"/>
        <w:jc w:val="left"/>
        <w:rPr>
          <w:sz w:val="24"/>
        </w:rPr>
      </w:pPr>
      <w:r>
        <w:rPr>
          <w:rFonts w:hint="eastAsia"/>
          <w:sz w:val="24"/>
        </w:rPr>
        <w:t>四、财政拨款收入支出决算总表</w:t>
      </w:r>
    </w:p>
    <w:p>
      <w:pPr>
        <w:pStyle w:val="15"/>
        <w:adjustRightInd w:val="0"/>
        <w:snapToGrid w:val="0"/>
        <w:spacing w:line="440" w:lineRule="exact"/>
        <w:jc w:val="left"/>
        <w:rPr>
          <w:sz w:val="24"/>
        </w:rPr>
      </w:pPr>
      <w:r>
        <w:rPr>
          <w:rFonts w:hint="eastAsia"/>
          <w:sz w:val="24"/>
        </w:rPr>
        <w:t>五、财政拨款支出决算明细表</w:t>
      </w:r>
    </w:p>
    <w:p>
      <w:pPr>
        <w:pStyle w:val="15"/>
        <w:adjustRightInd w:val="0"/>
        <w:snapToGrid w:val="0"/>
        <w:spacing w:line="440" w:lineRule="exact"/>
        <w:jc w:val="left"/>
        <w:rPr>
          <w:sz w:val="24"/>
        </w:rPr>
      </w:pPr>
      <w:r>
        <w:rPr>
          <w:rFonts w:hint="eastAsia"/>
          <w:sz w:val="24"/>
        </w:rPr>
        <w:t>六、一般公共预算财政拨款支出决算表</w:t>
      </w:r>
    </w:p>
    <w:p>
      <w:pPr>
        <w:pStyle w:val="15"/>
        <w:adjustRightInd w:val="0"/>
        <w:snapToGrid w:val="0"/>
        <w:spacing w:line="440" w:lineRule="exact"/>
        <w:jc w:val="left"/>
        <w:rPr>
          <w:sz w:val="24"/>
        </w:rPr>
      </w:pPr>
      <w:r>
        <w:rPr>
          <w:rFonts w:hint="eastAsia"/>
          <w:sz w:val="24"/>
        </w:rPr>
        <w:t>七、一般公共预算财政拨款支出决算明细表</w:t>
      </w:r>
    </w:p>
    <w:p>
      <w:pPr>
        <w:pStyle w:val="15"/>
        <w:adjustRightInd w:val="0"/>
        <w:snapToGrid w:val="0"/>
        <w:spacing w:line="440" w:lineRule="exact"/>
        <w:jc w:val="left"/>
        <w:rPr>
          <w:sz w:val="24"/>
        </w:rPr>
      </w:pPr>
      <w:r>
        <w:rPr>
          <w:rFonts w:hint="eastAsia"/>
          <w:sz w:val="24"/>
        </w:rPr>
        <w:t>八、一般公共预算财政拨款基本支出决算明细表</w:t>
      </w:r>
    </w:p>
    <w:p>
      <w:pPr>
        <w:pStyle w:val="15"/>
        <w:adjustRightInd w:val="0"/>
        <w:snapToGrid w:val="0"/>
        <w:spacing w:line="440" w:lineRule="exact"/>
        <w:jc w:val="left"/>
        <w:rPr>
          <w:sz w:val="24"/>
        </w:rPr>
      </w:pPr>
      <w:r>
        <w:rPr>
          <w:rFonts w:hint="eastAsia"/>
          <w:sz w:val="24"/>
        </w:rPr>
        <w:t>九、一般公共预算财政拨款项目支出决算表</w:t>
      </w:r>
    </w:p>
    <w:p>
      <w:pPr>
        <w:pStyle w:val="15"/>
        <w:adjustRightInd w:val="0"/>
        <w:snapToGrid w:val="0"/>
        <w:spacing w:line="440" w:lineRule="exact"/>
        <w:jc w:val="left"/>
        <w:rPr>
          <w:sz w:val="24"/>
        </w:rPr>
      </w:pPr>
      <w:r>
        <w:rPr>
          <w:rFonts w:hint="eastAsia"/>
          <w:sz w:val="24"/>
        </w:rPr>
        <w:t>十、政府性基金预算财政拨款收入支出决算表</w:t>
      </w:r>
    </w:p>
    <w:p>
      <w:pPr>
        <w:pStyle w:val="15"/>
        <w:adjustRightInd w:val="0"/>
        <w:snapToGrid w:val="0"/>
        <w:spacing w:line="440" w:lineRule="exact"/>
        <w:jc w:val="left"/>
        <w:rPr>
          <w:sz w:val="24"/>
        </w:rPr>
      </w:pPr>
      <w:r>
        <w:rPr>
          <w:rFonts w:hint="eastAsia"/>
          <w:sz w:val="24"/>
        </w:rPr>
        <w:t>十一、国有资本经营预算财政拨款收入支出决算表</w:t>
      </w:r>
    </w:p>
    <w:p>
      <w:pPr>
        <w:pStyle w:val="15"/>
        <w:adjustRightInd w:val="0"/>
        <w:snapToGrid w:val="0"/>
        <w:spacing w:line="440" w:lineRule="exact"/>
        <w:jc w:val="left"/>
        <w:rPr>
          <w:sz w:val="24"/>
        </w:rPr>
      </w:pPr>
      <w:r>
        <w:rPr>
          <w:rFonts w:hint="eastAsia"/>
          <w:sz w:val="24"/>
        </w:rPr>
        <w:t>十二、国有资本经营预算财政拨款支出决算表</w:t>
      </w:r>
    </w:p>
    <w:p>
      <w:pPr>
        <w:pStyle w:val="15"/>
        <w:adjustRightInd w:val="0"/>
        <w:snapToGrid w:val="0"/>
        <w:spacing w:line="440" w:lineRule="exact"/>
        <w:jc w:val="left"/>
        <w:rPr>
          <w:rFonts w:asciiTheme="minorEastAsia" w:hAnsiTheme="minorEastAsia" w:eastAsiaTheme="minorEastAsia" w:cstheme="minorEastAsia"/>
          <w:sz w:val="24"/>
        </w:rPr>
      </w:pPr>
      <w:r>
        <w:rPr>
          <w:rFonts w:hint="eastAsia"/>
          <w:sz w:val="24"/>
        </w:rPr>
        <w:t>十三、财政拨款“三公”经费支出决算表</w:t>
      </w:r>
    </w:p>
    <w:p>
      <w:pPr>
        <w:pStyle w:val="3"/>
        <w:numPr>
          <w:ilvl w:val="0"/>
          <w:numId w:val="1"/>
        </w:numPr>
        <w:jc w:val="center"/>
        <w:sectPr>
          <w:pgSz w:w="11907" w:h="16840"/>
          <w:pgMar w:top="2098" w:right="1474" w:bottom="1928" w:left="1588" w:header="851" w:footer="992" w:gutter="0"/>
          <w:cols w:space="720" w:num="1"/>
          <w:docGrid w:type="lines" w:linePitch="312" w:charSpace="0"/>
        </w:sectPr>
      </w:pPr>
      <w:bookmarkStart w:id="12" w:name="_Toc15396599"/>
      <w:bookmarkStart w:id="13" w:name="_Toc15377196"/>
    </w:p>
    <w:p>
      <w:pPr>
        <w:pStyle w:val="3"/>
        <w:numPr>
          <w:ilvl w:val="0"/>
          <w:numId w:val="1"/>
        </w:numPr>
        <w:jc w:val="center"/>
      </w:pPr>
      <w:r>
        <w:rPr>
          <w:rStyle w:val="31"/>
          <w:rFonts w:hint="eastAsia" w:ascii="黑体" w:hAnsi="黑体" w:eastAsia="黑体"/>
          <w:b w:val="0"/>
          <w:bCs w:val="0"/>
        </w:rPr>
        <w:t>部门概况</w:t>
      </w:r>
      <w:bookmarkEnd w:id="12"/>
      <w:bookmarkEnd w:id="13"/>
    </w:p>
    <w:p>
      <w:pPr>
        <w:pStyle w:val="4"/>
        <w:numPr>
          <w:ilvl w:val="0"/>
          <w:numId w:val="0"/>
        </w:numPr>
        <w:rPr>
          <w:rFonts w:hint="eastAsia" w:ascii="黑体" w:hAnsi="黑体" w:eastAsia="黑体"/>
          <w:b w:val="0"/>
          <w:lang w:eastAsia="zh-CN"/>
        </w:rPr>
      </w:pPr>
    </w:p>
    <w:p>
      <w:pPr>
        <w:pStyle w:val="4"/>
        <w:numPr>
          <w:ilvl w:val="0"/>
          <w:numId w:val="0"/>
        </w:numPr>
        <w:rPr>
          <w:rFonts w:ascii="Times New Roman" w:eastAsia="仿宋"/>
          <w:bCs w:val="0"/>
          <w:i/>
          <w:highlight w:val="yellow"/>
        </w:rPr>
      </w:pPr>
      <w:r>
        <w:rPr>
          <w:rFonts w:hint="eastAsia" w:ascii="黑体" w:hAnsi="黑体" w:eastAsia="黑体"/>
          <w:b w:val="0"/>
          <w:lang w:eastAsia="zh-CN"/>
        </w:rPr>
        <w:t>一、</w:t>
      </w:r>
      <w:r>
        <w:rPr>
          <w:rFonts w:hint="eastAsia" w:ascii="黑体" w:hAnsi="黑体" w:eastAsia="黑体"/>
          <w:b w:val="0"/>
        </w:rPr>
        <w:t>部门职责</w:t>
      </w:r>
    </w:p>
    <w:p>
      <w:pPr>
        <w:keepNext w:val="0"/>
        <w:keepLines w:val="0"/>
        <w:pageBreakBefore w:val="0"/>
        <w:kinsoku/>
        <w:wordWrap/>
        <w:overflowPunct/>
        <w:topLinePunct w:val="0"/>
        <w:autoSpaceDE/>
        <w:autoSpaceDN/>
        <w:bidi w:val="0"/>
        <w:spacing w:line="440" w:lineRule="exact"/>
        <w:ind w:left="0" w:leftChars="0" w:firstLine="640" w:firstLineChars="200"/>
        <w:textAlignment w:val="auto"/>
        <w:rPr>
          <w:rFonts w:hint="eastAsia"/>
        </w:rPr>
      </w:pPr>
      <w:r>
        <w:rPr>
          <w:rFonts w:hint="eastAsia" w:ascii="方正仿宋简体" w:hAnsi="方正仿宋简体" w:eastAsia="方正仿宋简体" w:cs="方正仿宋简体"/>
          <w:sz w:val="32"/>
          <w:szCs w:val="32"/>
        </w:rPr>
        <w:t>乐至县信访局</w:t>
      </w:r>
      <w:r>
        <w:rPr>
          <w:rFonts w:hint="eastAsia" w:ascii="方正仿宋简体" w:hAnsi="方正仿宋简体" w:eastAsia="方正仿宋简体" w:cs="方正仿宋简体"/>
          <w:sz w:val="32"/>
          <w:szCs w:val="32"/>
          <w:lang w:eastAsia="zh-CN"/>
        </w:rPr>
        <w:t>贯彻落实党中央关于信访工作的方针政策和省委、市委、县委的决策部署，在履行职责过程中坚持和加强党对信访工作的集中统一领导</w:t>
      </w:r>
      <w:r>
        <w:rPr>
          <w:rFonts w:hint="eastAsia" w:ascii="方正仿宋简体" w:hAnsi="方正仿宋简体" w:eastAsia="方正仿宋简体" w:cs="方正仿宋简体"/>
          <w:sz w:val="32"/>
          <w:szCs w:val="32"/>
        </w:rPr>
        <w:t>。其主要职责：</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（1）</w:t>
      </w:r>
      <w:r>
        <w:rPr>
          <w:rFonts w:hint="eastAsia" w:ascii="方正仿宋简体" w:hAnsi="方正仿宋简体" w:eastAsia="方正仿宋简体" w:cs="方正仿宋简体"/>
          <w:sz w:val="32"/>
          <w:szCs w:val="32"/>
          <w:lang w:eastAsia="zh-CN"/>
        </w:rPr>
        <w:t>起草有关信访工作的政策、制度，制定信访问题排查化解、风险评估等制度并组织实施，提出改进和加强信访工作的意见和建议。</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15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（2）</w:t>
      </w:r>
      <w:r>
        <w:rPr>
          <w:rFonts w:hint="eastAsia" w:ascii="方正仿宋简体" w:hAnsi="方正仿宋简体" w:eastAsia="方正仿宋简体" w:cs="方正仿宋简体"/>
          <w:sz w:val="32"/>
          <w:szCs w:val="32"/>
          <w:lang w:eastAsia="zh-CN"/>
        </w:rPr>
        <w:t>负责向县委、县政府反映来信来电来访中提出的重要建议、意见和问题，综合研判信访信息，开展社情民意调查研究，提出制定修改完善有关政策和工作的建议。</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15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w:t>
      </w:r>
      <w:r>
        <w:rPr>
          <w:rFonts w:hint="eastAsia" w:ascii="方正仿宋简体" w:hAnsi="方正仿宋简体" w:eastAsia="方正仿宋简体" w:cs="方正仿宋简体"/>
          <w:sz w:val="32"/>
          <w:szCs w:val="32"/>
          <w:lang w:eastAsia="zh-CN"/>
        </w:rPr>
        <w:t>综合协调指导全县信访工作，督促检查各乡镇和县级各部门（单位）信访工作，总结推广各地、各部门信访工作经验，协调信访工作宣传和信息发布。</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（4）</w:t>
      </w:r>
      <w:r>
        <w:rPr>
          <w:rFonts w:hint="eastAsia" w:ascii="方正仿宋简体" w:hAnsi="方正仿宋简体" w:eastAsia="方正仿宋简体" w:cs="方正仿宋简体"/>
          <w:sz w:val="32"/>
          <w:szCs w:val="32"/>
          <w:lang w:eastAsia="zh-CN"/>
        </w:rPr>
        <w:t>负责处理县内外群众、境外人士、法人及其他组织通过信访渠道给县委、县政府及领导同志的来信来电，接待来访</w:t>
      </w:r>
      <w:r>
        <w:rPr>
          <w:rFonts w:hint="eastAsia" w:ascii="方正仿宋简体" w:hAnsi="方正仿宋简体" w:eastAsia="方正仿宋简体" w:cs="方正仿宋简体"/>
          <w:sz w:val="32"/>
          <w:szCs w:val="32"/>
        </w:rPr>
        <w:t>承</w:t>
      </w:r>
      <w:r>
        <w:rPr>
          <w:rFonts w:hint="eastAsia" w:ascii="方正仿宋简体" w:hAnsi="方正仿宋简体" w:eastAsia="方正仿宋简体" w:cs="方正仿宋简体"/>
          <w:sz w:val="32"/>
          <w:szCs w:val="32"/>
          <w:lang w:eastAsia="zh-CN"/>
        </w:rPr>
        <w:t>。</w:t>
      </w:r>
    </w:p>
    <w:p>
      <w:pPr>
        <w:pStyle w:val="2"/>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（5）承担协调处理群众进京和到省委、省政府，市委、</w:t>
      </w:r>
    </w:p>
    <w:p>
      <w:pPr>
        <w:pStyle w:val="2"/>
        <w:ind w:left="0" w:leftChars="0" w:firstLine="0" w:firstLineChars="0"/>
        <w:rPr>
          <w:rFonts w:hint="default"/>
          <w:lang w:val="en-US"/>
        </w:rPr>
      </w:pPr>
      <w:r>
        <w:rPr>
          <w:rFonts w:hint="eastAsia" w:ascii="方正仿宋简体" w:hAnsi="方正仿宋简体" w:eastAsia="方正仿宋简体" w:cs="方正仿宋简体"/>
          <w:sz w:val="32"/>
          <w:szCs w:val="32"/>
          <w:lang w:val="en-US" w:eastAsia="zh-CN"/>
        </w:rPr>
        <w:t>市政府以及县委、县政府的集体上访和非正常上访的责任，综合协调处理跨地区、跨部门的重要信访问题。</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（6）</w:t>
      </w:r>
      <w:r>
        <w:rPr>
          <w:rFonts w:hint="eastAsia" w:ascii="方正仿宋简体" w:hAnsi="方正仿宋简体" w:eastAsia="方正仿宋简体" w:cs="方正仿宋简体"/>
          <w:sz w:val="32"/>
          <w:szCs w:val="32"/>
          <w:lang w:eastAsia="zh-CN"/>
        </w:rPr>
        <w:t>负责落实中央、省、市、县领导批示交办信访事项，县各乡镇、县级各部门（单位）转办、交办信访事项，督促检查重要信访事项的处理和落实。</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（7）</w:t>
      </w:r>
      <w:r>
        <w:rPr>
          <w:rFonts w:hint="eastAsia" w:ascii="方正仿宋简体" w:hAnsi="方正仿宋简体" w:eastAsia="方正仿宋简体" w:cs="方正仿宋简体"/>
          <w:sz w:val="32"/>
          <w:szCs w:val="32"/>
          <w:lang w:eastAsia="zh-CN"/>
        </w:rPr>
        <w:t>建立和完善信访信息汇集分析机制，指导信访信息系统建设和应用。</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（8）</w:t>
      </w:r>
      <w:r>
        <w:rPr>
          <w:rFonts w:hint="eastAsia" w:ascii="方正仿宋简体" w:hAnsi="方正仿宋简体" w:eastAsia="方正仿宋简体" w:cs="方正仿宋简体"/>
          <w:sz w:val="32"/>
          <w:szCs w:val="32"/>
          <w:lang w:eastAsia="zh-CN"/>
        </w:rPr>
        <w:t>承担县信访工作联席会议、县政府信访事项复查复核委员会日常</w:t>
      </w:r>
      <w:r>
        <w:rPr>
          <w:rFonts w:hint="eastAsia" w:ascii="方正仿宋简体" w:hAnsi="方正仿宋简体" w:eastAsia="方正仿宋简体" w:cs="方正仿宋简体"/>
          <w:sz w:val="32"/>
          <w:szCs w:val="32"/>
          <w:lang w:val="en-US" w:eastAsia="zh-CN"/>
        </w:rPr>
        <w:t>工作，督促落实有关事项。</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（9）</w:t>
      </w:r>
      <w:r>
        <w:rPr>
          <w:rFonts w:hint="eastAsia" w:ascii="方正仿宋简体" w:hAnsi="方正仿宋简体" w:eastAsia="方正仿宋简体" w:cs="方正仿宋简体"/>
          <w:sz w:val="32"/>
          <w:szCs w:val="32"/>
          <w:lang w:eastAsia="zh-CN"/>
        </w:rPr>
        <w:t>负责职责范围内的安全生产和职业健康、生态黄精保护、审批服务便民化等工作</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spacing w:line="440" w:lineRule="exact"/>
        <w:ind w:left="0" w:leftChars="0" w:firstLine="480" w:firstLineChars="150"/>
        <w:textAlignment w:val="auto"/>
      </w:pPr>
      <w:r>
        <w:rPr>
          <w:rFonts w:hint="eastAsia" w:ascii="方正仿宋简体" w:hAnsi="方正仿宋简体" w:eastAsia="方正仿宋简体" w:cs="方正仿宋简体"/>
          <w:sz w:val="32"/>
          <w:szCs w:val="32"/>
        </w:rPr>
        <w:t>（10）</w:t>
      </w:r>
      <w:r>
        <w:rPr>
          <w:rFonts w:hint="eastAsia" w:ascii="方正仿宋简体" w:hAnsi="方正仿宋简体" w:eastAsia="方正仿宋简体" w:cs="方正仿宋简体"/>
          <w:sz w:val="32"/>
          <w:szCs w:val="32"/>
          <w:lang w:eastAsia="zh-CN"/>
        </w:rPr>
        <w:t>承办县委、县政府交办的其他任务。</w:t>
      </w:r>
    </w:p>
    <w:p>
      <w:pPr>
        <w:pStyle w:val="4"/>
        <w:rPr>
          <w:rFonts w:hint="eastAsia" w:ascii="仿宋" w:hAnsi="仿宋" w:eastAsia="仿宋"/>
          <w:sz w:val="32"/>
          <w:szCs w:val="32"/>
          <w:lang w:eastAsia="zh-CN"/>
        </w:rPr>
      </w:pPr>
      <w:bookmarkStart w:id="14" w:name="_Toc15377200"/>
      <w:bookmarkStart w:id="15" w:name="_Toc15396601"/>
      <w:r>
        <w:rPr>
          <w:rFonts w:hint="eastAsia" w:ascii="黑体" w:eastAsia="黑体"/>
          <w:b w:val="0"/>
        </w:rPr>
        <w:t>二、</w:t>
      </w:r>
      <w:r>
        <w:rPr>
          <w:rFonts w:hint="eastAsia" w:ascii="黑体" w:hAnsi="黑体" w:eastAsia="黑体"/>
          <w:b w:val="0"/>
        </w:rPr>
        <w:t>机</w:t>
      </w:r>
      <w:r>
        <w:rPr>
          <w:rStyle w:val="32"/>
          <w:rFonts w:hint="eastAsia" w:ascii="黑体" w:hAnsi="黑体" w:eastAsia="黑体"/>
          <w:b w:val="0"/>
          <w:bCs w:val="0"/>
        </w:rPr>
        <w:t>构设置</w:t>
      </w:r>
      <w:bookmarkEnd w:id="14"/>
      <w:bookmarkEnd w:id="15"/>
    </w:p>
    <w:p>
      <w:pPr>
        <w:ind w:firstLine="800" w:firstLineChars="250"/>
        <w:rPr>
          <w:rFonts w:ascii="仿宋" w:hAnsi="仿宋" w:eastAsia="仿宋"/>
          <w:sz w:val="32"/>
          <w:szCs w:val="32"/>
        </w:rPr>
      </w:pPr>
      <w:r>
        <w:rPr>
          <w:rFonts w:hint="eastAsia" w:ascii="仿宋" w:hAnsi="仿宋" w:eastAsia="仿宋"/>
          <w:sz w:val="32"/>
          <w:szCs w:val="32"/>
          <w:lang w:eastAsia="zh-CN"/>
        </w:rPr>
        <w:t>乐至县信访局本级</w:t>
      </w:r>
      <w:r>
        <w:rPr>
          <w:rFonts w:hint="eastAsia" w:ascii="仿宋" w:hAnsi="仿宋" w:eastAsia="仿宋"/>
          <w:sz w:val="32"/>
          <w:szCs w:val="32"/>
        </w:rPr>
        <w:t>下属二级预算单位</w:t>
      </w:r>
      <w:r>
        <w:rPr>
          <w:rFonts w:hint="eastAsia" w:ascii="仿宋" w:hAnsi="仿宋" w:eastAsia="仿宋"/>
          <w:sz w:val="32"/>
          <w:szCs w:val="32"/>
          <w:lang w:val="en-US" w:eastAsia="zh-CN"/>
        </w:rPr>
        <w:t>2</w:t>
      </w:r>
      <w:r>
        <w:rPr>
          <w:rFonts w:hint="eastAsia" w:ascii="仿宋" w:hAnsi="仿宋" w:eastAsia="仿宋"/>
          <w:sz w:val="32"/>
          <w:szCs w:val="32"/>
        </w:rPr>
        <w:t>个，其中行政单位</w:t>
      </w:r>
      <w:r>
        <w:rPr>
          <w:rFonts w:hint="eastAsia" w:ascii="仿宋" w:hAnsi="仿宋" w:eastAsia="仿宋"/>
          <w:sz w:val="32"/>
          <w:szCs w:val="32"/>
          <w:lang w:val="en-US" w:eastAsia="zh-CN"/>
        </w:rPr>
        <w:t>1</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1</w:t>
      </w:r>
      <w:r>
        <w:rPr>
          <w:rFonts w:hint="eastAsia" w:ascii="仿宋" w:hAnsi="仿宋" w:eastAsia="仿宋"/>
          <w:sz w:val="32"/>
          <w:szCs w:val="32"/>
        </w:rPr>
        <w:t>个。纳入</w:t>
      </w:r>
      <w:r>
        <w:rPr>
          <w:rFonts w:hint="eastAsia" w:ascii="仿宋" w:hAnsi="仿宋" w:eastAsia="仿宋"/>
          <w:sz w:val="32"/>
          <w:szCs w:val="32"/>
          <w:lang w:eastAsia="zh-CN"/>
        </w:rPr>
        <w:t>乐至县信访局</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年度部门决算编制范围的二级预算单位包括：</w:t>
      </w:r>
    </w:p>
    <w:p>
      <w:pPr>
        <w:pStyle w:val="7"/>
        <w:numPr>
          <w:ilvl w:val="0"/>
          <w:numId w:val="2"/>
        </w:numPr>
        <w:adjustRightInd w:val="0"/>
        <w:snapToGrid w:val="0"/>
        <w:spacing w:before="93" w:line="600" w:lineRule="exact"/>
        <w:outlineLvl w:val="2"/>
        <w:rPr>
          <w:rFonts w:ascii="仿宋" w:hAnsi="仿宋" w:eastAsia="仿宋"/>
          <w:sz w:val="32"/>
          <w:szCs w:val="32"/>
        </w:rPr>
      </w:pPr>
      <w:bookmarkStart w:id="16" w:name="_Toc15377202"/>
      <w:bookmarkStart w:id="17" w:name="_Toc15377433"/>
      <w:bookmarkStart w:id="18" w:name="_Toc15378449"/>
      <w:bookmarkStart w:id="19" w:name="_Toc15306276"/>
      <w:r>
        <w:rPr>
          <w:rFonts w:hint="eastAsia" w:ascii="仿宋" w:hAnsi="仿宋" w:eastAsia="仿宋"/>
          <w:sz w:val="32"/>
          <w:szCs w:val="32"/>
          <w:lang w:eastAsia="zh-CN"/>
        </w:rPr>
        <w:t>乐至县信访局</w:t>
      </w:r>
      <w:bookmarkEnd w:id="16"/>
      <w:bookmarkEnd w:id="17"/>
      <w:bookmarkEnd w:id="18"/>
      <w:bookmarkEnd w:id="19"/>
    </w:p>
    <w:p>
      <w:pPr>
        <w:pStyle w:val="7"/>
        <w:numPr>
          <w:ilvl w:val="0"/>
          <w:numId w:val="2"/>
        </w:numPr>
        <w:adjustRightInd w:val="0"/>
        <w:snapToGrid w:val="0"/>
        <w:spacing w:before="93" w:line="600" w:lineRule="exact"/>
        <w:ind w:left="1152" w:leftChars="0" w:hanging="480" w:firstLineChars="0"/>
        <w:rPr>
          <w:rFonts w:ascii="仿宋" w:hAnsi="仿宋" w:eastAsia="仿宋"/>
          <w:sz w:val="32"/>
          <w:szCs w:val="32"/>
        </w:rPr>
      </w:pPr>
      <w:r>
        <w:rPr>
          <w:rFonts w:hint="eastAsia" w:ascii="仿宋" w:hAnsi="仿宋" w:eastAsia="仿宋"/>
          <w:sz w:val="32"/>
          <w:szCs w:val="32"/>
          <w:lang w:eastAsia="zh-CN"/>
        </w:rPr>
        <w:t>乐至县群众信访接待中心</w:t>
      </w:r>
    </w:p>
    <w:p>
      <w:pPr>
        <w:pStyle w:val="3"/>
        <w:ind w:right="440"/>
        <w:jc w:val="center"/>
      </w:pPr>
      <w:bookmarkStart w:id="20" w:name="_Toc15396602"/>
      <w:bookmarkStart w:id="21" w:name="_Toc15377204"/>
      <w:r>
        <w:rPr>
          <w:rFonts w:hint="eastAsia" w:ascii="黑体" w:hAnsi="黑体" w:eastAsia="黑体"/>
          <w:b w:val="0"/>
        </w:rPr>
        <w:t xml:space="preserve">第二部分 </w:t>
      </w:r>
      <w:r>
        <w:rPr>
          <w:rFonts w:hint="eastAsia" w:ascii="黑体" w:hAnsi="黑体" w:eastAsia="黑体"/>
          <w:b w:val="0"/>
          <w:lang w:eastAsia="zh-CN"/>
        </w:rPr>
        <w:t>2023</w:t>
      </w:r>
      <w:r>
        <w:rPr>
          <w:rFonts w:hint="eastAsia" w:ascii="黑体" w:hAnsi="黑体" w:eastAsia="黑体"/>
          <w:b w:val="0"/>
        </w:rPr>
        <w:t>年度</w:t>
      </w:r>
      <w:r>
        <w:rPr>
          <w:rStyle w:val="31"/>
          <w:rFonts w:hint="eastAsia" w:ascii="黑体" w:hAnsi="黑体" w:eastAsia="黑体"/>
          <w:b w:val="0"/>
          <w:bCs/>
        </w:rPr>
        <w:t>部门决算情况说明</w:t>
      </w:r>
      <w:bookmarkEnd w:id="20"/>
      <w:bookmarkEnd w:id="21"/>
    </w:p>
    <w:p>
      <w:pPr>
        <w:pStyle w:val="30"/>
        <w:numPr>
          <w:ilvl w:val="0"/>
          <w:numId w:val="3"/>
        </w:numPr>
        <w:spacing w:line="600" w:lineRule="exact"/>
        <w:ind w:firstLineChars="0"/>
        <w:outlineLvl w:val="1"/>
        <w:rPr>
          <w:rStyle w:val="32"/>
          <w:rFonts w:ascii="黑体" w:hAnsi="黑体" w:eastAsia="黑体"/>
          <w:b w:val="0"/>
        </w:rPr>
      </w:pPr>
      <w:bookmarkStart w:id="22" w:name="_Toc15377205"/>
      <w:bookmarkStart w:id="23" w:name="_Toc15396603"/>
      <w:r>
        <w:rPr>
          <w:rFonts w:hint="eastAsia" w:ascii="黑体" w:hAnsi="黑体" w:eastAsia="黑体"/>
          <w:sz w:val="32"/>
          <w:szCs w:val="32"/>
        </w:rPr>
        <w:t>收</w:t>
      </w:r>
      <w:r>
        <w:rPr>
          <w:rStyle w:val="32"/>
          <w:rFonts w:hint="eastAsia" w:ascii="黑体" w:hAnsi="黑体" w:eastAsia="黑体"/>
          <w:b w:val="0"/>
        </w:rPr>
        <w:t>入支出决算总体情况说明</w:t>
      </w:r>
      <w:bookmarkEnd w:id="22"/>
      <w:bookmarkEnd w:id="23"/>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年度收</w:t>
      </w:r>
      <w:r>
        <w:rPr>
          <w:rFonts w:hint="eastAsia" w:ascii="仿宋" w:hAnsi="仿宋" w:eastAsia="仿宋"/>
          <w:sz w:val="32"/>
          <w:szCs w:val="32"/>
          <w:lang w:eastAsia="zh-CN"/>
        </w:rPr>
        <w:t>、</w:t>
      </w:r>
      <w:r>
        <w:rPr>
          <w:rFonts w:hint="eastAsia" w:ascii="仿宋" w:hAnsi="仿宋" w:eastAsia="仿宋"/>
          <w:sz w:val="32"/>
          <w:szCs w:val="32"/>
        </w:rPr>
        <w:t>支总计</w:t>
      </w:r>
      <w:r>
        <w:rPr>
          <w:rFonts w:hint="eastAsia" w:ascii="仿宋_GB2312" w:hAnsi="仿宋" w:eastAsia="仿宋_GB2312"/>
          <w:sz w:val="32"/>
          <w:szCs w:val="32"/>
          <w:lang w:val="en-US" w:eastAsia="zh-CN"/>
        </w:rPr>
        <w:t>374.18</w:t>
      </w:r>
      <w:r>
        <w:rPr>
          <w:rFonts w:hint="eastAsia" w:ascii="仿宋" w:hAnsi="仿宋" w:eastAsia="仿宋"/>
          <w:sz w:val="32"/>
          <w:szCs w:val="32"/>
        </w:rPr>
        <w:t>万元。与</w:t>
      </w:r>
      <w:r>
        <w:rPr>
          <w:rFonts w:hint="eastAsia" w:ascii="仿宋" w:hAnsi="仿宋" w:eastAsia="仿宋"/>
          <w:sz w:val="32"/>
          <w:szCs w:val="32"/>
          <w:lang w:eastAsia="zh-CN"/>
        </w:rPr>
        <w:t>2022年</w:t>
      </w:r>
      <w:r>
        <w:rPr>
          <w:rFonts w:hint="eastAsia" w:ascii="仿宋" w:hAnsi="仿宋" w:eastAsia="仿宋"/>
          <w:sz w:val="32"/>
          <w:szCs w:val="32"/>
        </w:rPr>
        <w:t>相比，收、支总计</w:t>
      </w:r>
      <w:r>
        <w:rPr>
          <w:rFonts w:hint="eastAsia" w:ascii="仿宋" w:hAnsi="仿宋" w:eastAsia="仿宋"/>
          <w:sz w:val="32"/>
          <w:szCs w:val="32"/>
          <w:lang w:eastAsia="zh-CN"/>
        </w:rPr>
        <w:t>均</w:t>
      </w:r>
      <w:r>
        <w:rPr>
          <w:rFonts w:hint="eastAsia" w:ascii="仿宋" w:hAnsi="仿宋" w:eastAsia="仿宋"/>
          <w:sz w:val="32"/>
          <w:szCs w:val="32"/>
        </w:rPr>
        <w:t>增加</w:t>
      </w:r>
      <w:r>
        <w:rPr>
          <w:rFonts w:hint="eastAsia" w:ascii="仿宋" w:hAnsi="仿宋" w:eastAsia="仿宋"/>
          <w:sz w:val="32"/>
          <w:szCs w:val="32"/>
          <w:lang w:val="en-US" w:eastAsia="zh-CN"/>
        </w:rPr>
        <w:t>25.87</w:t>
      </w:r>
      <w:r>
        <w:rPr>
          <w:rFonts w:hint="eastAsia" w:ascii="仿宋" w:hAnsi="仿宋" w:eastAsia="仿宋"/>
          <w:sz w:val="32"/>
          <w:szCs w:val="32"/>
        </w:rPr>
        <w:t>万元，增长</w:t>
      </w:r>
      <w:r>
        <w:rPr>
          <w:rFonts w:hint="eastAsia" w:ascii="仿宋" w:hAnsi="仿宋" w:eastAsia="仿宋"/>
          <w:sz w:val="32"/>
          <w:szCs w:val="32"/>
          <w:lang w:val="en-US" w:eastAsia="zh-CN"/>
        </w:rPr>
        <w:t>7.43</w:t>
      </w:r>
      <w:r>
        <w:rPr>
          <w:rFonts w:ascii="仿宋" w:hAnsi="仿宋" w:eastAsia="仿宋"/>
          <w:sz w:val="32"/>
          <w:szCs w:val="32"/>
        </w:rPr>
        <w:t>%</w:t>
      </w:r>
      <w:r>
        <w:rPr>
          <w:rFonts w:hint="eastAsia" w:ascii="仿宋" w:hAnsi="仿宋" w:eastAsia="仿宋"/>
          <w:sz w:val="32"/>
          <w:szCs w:val="32"/>
        </w:rPr>
        <w:t>。</w:t>
      </w:r>
      <w:r>
        <w:rPr>
          <w:rFonts w:hint="default" w:ascii="Times New Roman" w:hAnsi="Times New Roman" w:eastAsia="方正仿宋简体" w:cs="Times New Roman"/>
          <w:color w:val="000030"/>
          <w:sz w:val="32"/>
          <w:szCs w:val="32"/>
        </w:rPr>
        <w:t>主要原因是202</w:t>
      </w:r>
      <w:r>
        <w:rPr>
          <w:rFonts w:hint="default" w:ascii="Times New Roman" w:hAnsi="Times New Roman" w:eastAsia="方正仿宋简体" w:cs="Times New Roman"/>
          <w:color w:val="000030"/>
          <w:sz w:val="32"/>
          <w:szCs w:val="32"/>
          <w:lang w:val="en-US" w:eastAsia="zh-CN"/>
        </w:rPr>
        <w:t>3</w:t>
      </w:r>
      <w:r>
        <w:rPr>
          <w:rFonts w:hint="default" w:ascii="Times New Roman" w:hAnsi="Times New Roman" w:eastAsia="方正仿宋简体" w:cs="Times New Roman"/>
          <w:color w:val="000030"/>
          <w:sz w:val="32"/>
          <w:szCs w:val="32"/>
        </w:rPr>
        <w:t>年晋级晋档增加人员经费；</w:t>
      </w:r>
      <w:r>
        <w:rPr>
          <w:rFonts w:hint="default" w:ascii="Times New Roman" w:hAnsi="Times New Roman" w:eastAsia="方正仿宋简体" w:cs="Times New Roman"/>
          <w:color w:val="000030"/>
          <w:sz w:val="32"/>
          <w:szCs w:val="32"/>
          <w:lang w:eastAsia="zh-CN"/>
        </w:rPr>
        <w:t>增加成都大运会重要节点</w:t>
      </w:r>
      <w:r>
        <w:rPr>
          <w:rFonts w:hint="default" w:ascii="Times New Roman" w:hAnsi="Times New Roman" w:eastAsia="方正仿宋简体" w:cs="Times New Roman"/>
          <w:color w:val="000030"/>
          <w:sz w:val="32"/>
          <w:szCs w:val="32"/>
        </w:rPr>
        <w:t>，增加项目经费。</w:t>
      </w:r>
    </w:p>
    <w:p>
      <w:pPr>
        <w:rPr>
          <w:rFonts w:hint="eastAsia" w:eastAsia="仿宋"/>
          <w:lang w:eastAsia="zh-CN"/>
        </w:rPr>
      </w:pPr>
      <w:r>
        <w:rPr>
          <w:rFonts w:hint="eastAsia" w:eastAsia="仿宋"/>
          <w:lang w:eastAsia="zh-CN"/>
        </w:rPr>
        <w:drawing>
          <wp:inline distT="0" distB="0" distL="114300" distR="114300">
            <wp:extent cx="3635375" cy="1592580"/>
            <wp:effectExtent l="4445" t="4445" r="17780" b="222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eastAsia="仿宋"/>
          <w:lang w:val="en-US" w:eastAsia="zh-CN"/>
        </w:rPr>
        <w:t xml:space="preserve">   图1</w:t>
      </w:r>
    </w:p>
    <w:p>
      <w:pPr>
        <w:pStyle w:val="30"/>
        <w:numPr>
          <w:ilvl w:val="0"/>
          <w:numId w:val="3"/>
        </w:numPr>
        <w:spacing w:line="600" w:lineRule="exact"/>
        <w:ind w:firstLineChars="0"/>
        <w:outlineLvl w:val="1"/>
        <w:rPr>
          <w:rStyle w:val="32"/>
          <w:rFonts w:ascii="黑体" w:hAnsi="黑体" w:eastAsia="黑体"/>
          <w:b w:val="0"/>
        </w:rPr>
      </w:pPr>
      <w:bookmarkStart w:id="24" w:name="_Toc15377206"/>
      <w:bookmarkStart w:id="25" w:name="_Toc15396604"/>
      <w:r>
        <w:rPr>
          <w:rFonts w:hint="eastAsia" w:ascii="黑体" w:hAnsi="黑体" w:eastAsia="黑体"/>
          <w:sz w:val="32"/>
          <w:szCs w:val="32"/>
        </w:rPr>
        <w:t>收</w:t>
      </w:r>
      <w:r>
        <w:rPr>
          <w:rStyle w:val="32"/>
          <w:rFonts w:hint="eastAsia" w:ascii="黑体" w:hAnsi="黑体" w:eastAsia="黑体"/>
          <w:b w:val="0"/>
        </w:rPr>
        <w:t>入决算情况说明</w:t>
      </w:r>
      <w:bookmarkEnd w:id="24"/>
      <w:bookmarkEnd w:id="25"/>
    </w:p>
    <w:p>
      <w:pPr>
        <w:spacing w:line="600" w:lineRule="exact"/>
        <w:ind w:firstLine="640" w:firstLineChars="200"/>
        <w:outlineLvl w:val="1"/>
        <w:rPr>
          <w:rFonts w:hint="eastAsia"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年本年收入合计</w:t>
      </w:r>
      <w:r>
        <w:rPr>
          <w:rFonts w:hint="eastAsia" w:ascii="仿宋" w:hAnsi="仿宋" w:eastAsia="仿宋"/>
          <w:sz w:val="32"/>
          <w:szCs w:val="32"/>
          <w:lang w:val="en-US" w:eastAsia="zh-CN"/>
        </w:rPr>
        <w:t>374.18</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374.18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w:t>
      </w:r>
    </w:p>
    <w:p>
      <w:pPr>
        <w:pStyle w:val="10"/>
        <w:rPr>
          <w:rFonts w:hint="eastAsia" w:eastAsia="仿宋"/>
          <w:lang w:eastAsia="zh-CN"/>
        </w:rPr>
      </w:pPr>
      <w:r>
        <w:rPr>
          <w:rFonts w:hint="eastAsia" w:eastAsia="仿宋"/>
          <w:lang w:eastAsia="zh-CN"/>
        </w:rPr>
        <w:drawing>
          <wp:inline distT="0" distB="0" distL="114300" distR="114300">
            <wp:extent cx="3789045" cy="1679575"/>
            <wp:effectExtent l="5080" t="5080" r="15875" b="107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eastAsia="仿宋"/>
          <w:lang w:val="en-US" w:eastAsia="zh-CN"/>
        </w:rPr>
        <w:t xml:space="preserve">   图2</w:t>
      </w:r>
    </w:p>
    <w:p>
      <w:pPr>
        <w:pStyle w:val="30"/>
        <w:numPr>
          <w:ilvl w:val="0"/>
          <w:numId w:val="3"/>
        </w:numPr>
        <w:spacing w:line="600" w:lineRule="exact"/>
        <w:ind w:firstLineChars="0"/>
        <w:outlineLvl w:val="1"/>
        <w:rPr>
          <w:rStyle w:val="32"/>
          <w:rFonts w:ascii="黑体" w:hAnsi="黑体" w:eastAsia="黑体"/>
          <w:b w:val="0"/>
        </w:rPr>
      </w:pPr>
      <w:bookmarkStart w:id="26" w:name="_Toc15377207"/>
      <w:bookmarkStart w:id="27" w:name="_Toc15396605"/>
      <w:r>
        <w:rPr>
          <w:rFonts w:hint="eastAsia" w:ascii="黑体" w:hAnsi="黑体" w:eastAsia="黑体"/>
          <w:sz w:val="32"/>
          <w:szCs w:val="32"/>
        </w:rPr>
        <w:t>支</w:t>
      </w:r>
      <w:r>
        <w:rPr>
          <w:rStyle w:val="32"/>
          <w:rFonts w:hint="eastAsia" w:ascii="黑体" w:hAnsi="黑体" w:eastAsia="黑体"/>
          <w:b w:val="0"/>
        </w:rPr>
        <w:t>出决算情况说明</w:t>
      </w:r>
      <w:bookmarkEnd w:id="26"/>
      <w:bookmarkEnd w:id="27"/>
    </w:p>
    <w:p>
      <w:pPr>
        <w:spacing w:line="600" w:lineRule="exact"/>
        <w:ind w:firstLine="640" w:firstLineChars="200"/>
        <w:outlineLvl w:val="1"/>
        <w:rPr>
          <w:rFonts w:hint="eastAsia"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年本年支出合计</w:t>
      </w:r>
      <w:r>
        <w:rPr>
          <w:rFonts w:hint="eastAsia" w:ascii="仿宋" w:hAnsi="仿宋" w:eastAsia="仿宋"/>
          <w:sz w:val="32"/>
          <w:szCs w:val="32"/>
          <w:lang w:val="en-US" w:eastAsia="zh-CN"/>
        </w:rPr>
        <w:t>374.18</w:t>
      </w:r>
      <w:r>
        <w:rPr>
          <w:rFonts w:hint="eastAsia" w:ascii="仿宋" w:hAnsi="仿宋" w:eastAsia="仿宋"/>
          <w:sz w:val="32"/>
          <w:szCs w:val="32"/>
        </w:rPr>
        <w:t>万元，其中：基本支出</w:t>
      </w:r>
      <w:r>
        <w:rPr>
          <w:rFonts w:hint="eastAsia" w:ascii="仿宋" w:hAnsi="仿宋" w:eastAsia="仿宋"/>
          <w:sz w:val="32"/>
          <w:szCs w:val="32"/>
          <w:lang w:val="en-US" w:eastAsia="zh-CN"/>
        </w:rPr>
        <w:t>238.71</w:t>
      </w:r>
      <w:r>
        <w:rPr>
          <w:rFonts w:hint="eastAsia" w:ascii="仿宋" w:hAnsi="仿宋" w:eastAsia="仿宋"/>
          <w:sz w:val="32"/>
          <w:szCs w:val="32"/>
        </w:rPr>
        <w:t>万元，占</w:t>
      </w:r>
      <w:r>
        <w:rPr>
          <w:rFonts w:hint="eastAsia" w:ascii="仿宋" w:hAnsi="仿宋" w:eastAsia="仿宋"/>
          <w:sz w:val="32"/>
          <w:szCs w:val="32"/>
          <w:lang w:val="en-US" w:eastAsia="zh-CN"/>
        </w:rPr>
        <w:t>63.8</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135.47</w:t>
      </w:r>
      <w:r>
        <w:rPr>
          <w:rFonts w:hint="eastAsia" w:ascii="仿宋" w:hAnsi="仿宋" w:eastAsia="仿宋"/>
          <w:sz w:val="32"/>
          <w:szCs w:val="32"/>
        </w:rPr>
        <w:t>万元，占</w:t>
      </w:r>
      <w:r>
        <w:rPr>
          <w:rFonts w:hint="eastAsia" w:ascii="仿宋" w:hAnsi="仿宋" w:eastAsia="仿宋"/>
          <w:sz w:val="32"/>
          <w:szCs w:val="32"/>
          <w:lang w:val="en-US" w:eastAsia="zh-CN"/>
        </w:rPr>
        <w:t>36.2</w:t>
      </w:r>
      <w:r>
        <w:rPr>
          <w:rFonts w:ascii="仿宋" w:hAnsi="仿宋" w:eastAsia="仿宋"/>
          <w:sz w:val="32"/>
          <w:szCs w:val="32"/>
        </w:rPr>
        <w:t>%</w:t>
      </w:r>
      <w:r>
        <w:rPr>
          <w:rFonts w:hint="eastAsia" w:ascii="仿宋" w:hAnsi="仿宋" w:eastAsia="仿宋"/>
          <w:sz w:val="32"/>
          <w:szCs w:val="32"/>
        </w:rPr>
        <w:t>。</w:t>
      </w:r>
    </w:p>
    <w:p>
      <w:pPr>
        <w:rPr>
          <w:rFonts w:ascii="仿宋_GB2312" w:eastAsia="仿宋_GB2312"/>
          <w:sz w:val="32"/>
          <w:szCs w:val="32"/>
        </w:rPr>
      </w:pPr>
      <w:r>
        <w:rPr>
          <w:rFonts w:hint="eastAsia" w:eastAsia="仿宋"/>
          <w:lang w:eastAsia="zh-CN"/>
        </w:rPr>
        <w:drawing>
          <wp:inline distT="0" distB="0" distL="114300" distR="114300">
            <wp:extent cx="3985260" cy="1630680"/>
            <wp:effectExtent l="4445" t="4445" r="10795" b="222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eastAsia="仿宋"/>
          <w:lang w:val="en-US" w:eastAsia="zh-CN"/>
        </w:rPr>
        <w:t xml:space="preserve">   图3</w:t>
      </w:r>
    </w:p>
    <w:p>
      <w:pPr>
        <w:spacing w:line="600" w:lineRule="exact"/>
        <w:ind w:firstLine="640" w:firstLineChars="200"/>
        <w:outlineLvl w:val="1"/>
        <w:rPr>
          <w:rStyle w:val="32"/>
          <w:rFonts w:ascii="黑体" w:hAnsi="黑体" w:eastAsia="黑体"/>
          <w:b w:val="0"/>
        </w:rPr>
      </w:pPr>
      <w:bookmarkStart w:id="28" w:name="_Toc15377208"/>
      <w:bookmarkStart w:id="29" w:name="_Toc15396606"/>
      <w:r>
        <w:rPr>
          <w:rFonts w:hint="eastAsia" w:ascii="黑体" w:hAnsi="黑体" w:eastAsia="黑体"/>
          <w:sz w:val="32"/>
          <w:szCs w:val="32"/>
        </w:rPr>
        <w:t>四、财</w:t>
      </w:r>
      <w:r>
        <w:rPr>
          <w:rStyle w:val="32"/>
          <w:rFonts w:hint="eastAsia" w:ascii="黑体" w:hAnsi="黑体" w:eastAsia="黑体"/>
          <w:b w:val="0"/>
        </w:rPr>
        <w:t>政拨款收入支出决算总体情况说明</w:t>
      </w:r>
      <w:bookmarkEnd w:id="28"/>
      <w:bookmarkEnd w:id="29"/>
    </w:p>
    <w:p>
      <w:pPr>
        <w:spacing w:line="600" w:lineRule="exact"/>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年财政拨款收、支总计</w:t>
      </w:r>
      <w:r>
        <w:rPr>
          <w:rFonts w:hint="eastAsia" w:ascii="仿宋" w:hAnsi="仿宋" w:eastAsia="仿宋"/>
          <w:sz w:val="32"/>
          <w:szCs w:val="32"/>
          <w:lang w:val="en-US" w:eastAsia="zh-CN"/>
        </w:rPr>
        <w:t>374.18</w:t>
      </w:r>
      <w:r>
        <w:rPr>
          <w:rFonts w:hint="eastAsia" w:ascii="仿宋" w:hAnsi="仿宋" w:eastAsia="仿宋"/>
          <w:sz w:val="32"/>
          <w:szCs w:val="32"/>
        </w:rPr>
        <w:t>万元。与</w:t>
      </w:r>
      <w:r>
        <w:rPr>
          <w:rFonts w:hint="eastAsia" w:ascii="仿宋" w:hAnsi="仿宋" w:eastAsia="仿宋"/>
          <w:sz w:val="32"/>
          <w:szCs w:val="32"/>
          <w:lang w:eastAsia="zh-CN"/>
        </w:rPr>
        <w:t>2022年</w:t>
      </w:r>
      <w:r>
        <w:rPr>
          <w:rFonts w:hint="eastAsia" w:ascii="仿宋" w:hAnsi="仿宋" w:eastAsia="仿宋"/>
          <w:sz w:val="32"/>
          <w:szCs w:val="32"/>
        </w:rPr>
        <w:t>相比，财政拨款收、支总计各增加</w:t>
      </w:r>
      <w:r>
        <w:rPr>
          <w:rFonts w:hint="eastAsia" w:ascii="仿宋" w:hAnsi="仿宋" w:eastAsia="仿宋"/>
          <w:sz w:val="32"/>
          <w:szCs w:val="32"/>
          <w:lang w:val="en-US" w:eastAsia="zh-CN"/>
        </w:rPr>
        <w:t>25.87</w:t>
      </w:r>
      <w:r>
        <w:rPr>
          <w:rFonts w:hint="eastAsia" w:ascii="仿宋" w:hAnsi="仿宋" w:eastAsia="仿宋"/>
          <w:sz w:val="32"/>
          <w:szCs w:val="32"/>
        </w:rPr>
        <w:t>万元，增长</w:t>
      </w:r>
      <w:r>
        <w:rPr>
          <w:rFonts w:hint="eastAsia" w:ascii="仿宋" w:hAnsi="仿宋" w:eastAsia="仿宋"/>
          <w:sz w:val="32"/>
          <w:szCs w:val="32"/>
          <w:lang w:val="en-US" w:eastAsia="zh-CN"/>
        </w:rPr>
        <w:t>7.43</w:t>
      </w:r>
      <w:r>
        <w:rPr>
          <w:rFonts w:ascii="仿宋" w:hAnsi="仿宋" w:eastAsia="仿宋"/>
          <w:sz w:val="32"/>
          <w:szCs w:val="32"/>
        </w:rPr>
        <w:t>%</w:t>
      </w:r>
      <w:r>
        <w:rPr>
          <w:rFonts w:hint="eastAsia" w:ascii="仿宋" w:hAnsi="仿宋" w:eastAsia="仿宋"/>
          <w:sz w:val="32"/>
          <w:szCs w:val="32"/>
        </w:rPr>
        <w:t>。</w:t>
      </w:r>
      <w:r>
        <w:rPr>
          <w:rFonts w:hint="default" w:ascii="Times New Roman" w:hAnsi="Times New Roman" w:eastAsia="方正仿宋简体" w:cs="Times New Roman"/>
          <w:color w:val="000030"/>
          <w:sz w:val="32"/>
          <w:szCs w:val="32"/>
        </w:rPr>
        <w:t>主要原因是202</w:t>
      </w:r>
      <w:r>
        <w:rPr>
          <w:rFonts w:hint="default" w:ascii="Times New Roman" w:hAnsi="Times New Roman" w:eastAsia="方正仿宋简体" w:cs="Times New Roman"/>
          <w:color w:val="000030"/>
          <w:sz w:val="32"/>
          <w:szCs w:val="32"/>
          <w:lang w:val="en-US" w:eastAsia="zh-CN"/>
        </w:rPr>
        <w:t>3</w:t>
      </w:r>
      <w:r>
        <w:rPr>
          <w:rFonts w:hint="default" w:ascii="Times New Roman" w:hAnsi="Times New Roman" w:eastAsia="方正仿宋简体" w:cs="Times New Roman"/>
          <w:color w:val="000030"/>
          <w:sz w:val="32"/>
          <w:szCs w:val="32"/>
        </w:rPr>
        <w:t>年晋级晋档增加人员经费；</w:t>
      </w:r>
      <w:r>
        <w:rPr>
          <w:rFonts w:hint="default" w:ascii="Times New Roman" w:hAnsi="Times New Roman" w:eastAsia="方正仿宋简体" w:cs="Times New Roman"/>
          <w:color w:val="000030"/>
          <w:sz w:val="32"/>
          <w:szCs w:val="32"/>
          <w:lang w:eastAsia="zh-CN"/>
        </w:rPr>
        <w:t>增加成都大运会重要节点</w:t>
      </w:r>
      <w:r>
        <w:rPr>
          <w:rFonts w:hint="default" w:ascii="Times New Roman" w:hAnsi="Times New Roman" w:eastAsia="方正仿宋简体" w:cs="Times New Roman"/>
          <w:color w:val="000030"/>
          <w:sz w:val="32"/>
          <w:szCs w:val="32"/>
        </w:rPr>
        <w:t>，增加项目经费。</w:t>
      </w:r>
    </w:p>
    <w:p>
      <w:pPr>
        <w:pStyle w:val="2"/>
        <w:ind w:left="0" w:leftChars="0" w:firstLine="0" w:firstLineChars="0"/>
        <w:rPr>
          <w:rFonts w:hint="eastAsia"/>
        </w:rPr>
      </w:pPr>
    </w:p>
    <w:p>
      <w:pPr>
        <w:pStyle w:val="2"/>
        <w:rPr>
          <w:rFonts w:hint="default" w:eastAsia="仿宋"/>
          <w:lang w:val="en-US" w:eastAsia="zh-CN"/>
        </w:rPr>
      </w:pPr>
      <w:r>
        <w:rPr>
          <w:rFonts w:hint="eastAsia" w:eastAsia="仿宋"/>
          <w:lang w:eastAsia="zh-CN"/>
        </w:rPr>
        <w:drawing>
          <wp:inline distT="0" distB="0" distL="114300" distR="114300">
            <wp:extent cx="4398645" cy="1960245"/>
            <wp:effectExtent l="4445" t="4445" r="16510" b="1651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eastAsia="仿宋"/>
          <w:lang w:val="en-US" w:eastAsia="zh-CN"/>
        </w:rPr>
        <w:t xml:space="preserve">   图4</w:t>
      </w:r>
    </w:p>
    <w:p>
      <w:pPr>
        <w:spacing w:line="600" w:lineRule="exact"/>
        <w:ind w:firstLine="640" w:firstLineChars="200"/>
        <w:outlineLvl w:val="1"/>
        <w:rPr>
          <w:rStyle w:val="32"/>
          <w:rFonts w:ascii="黑体" w:hAnsi="黑体" w:eastAsia="黑体"/>
          <w:b w:val="0"/>
        </w:rPr>
      </w:pPr>
      <w:bookmarkStart w:id="30" w:name="_Toc15377209"/>
      <w:bookmarkStart w:id="31" w:name="_Toc15396607"/>
      <w:r>
        <w:rPr>
          <w:rFonts w:hint="eastAsia" w:ascii="黑体" w:hAnsi="黑体" w:eastAsia="黑体"/>
          <w:sz w:val="32"/>
          <w:szCs w:val="32"/>
        </w:rPr>
        <w:t>五、</w:t>
      </w:r>
      <w:r>
        <w:rPr>
          <w:rFonts w:hint="eastAsia" w:ascii="黑体" w:hAnsi="黑体" w:eastAsia="黑体"/>
          <w:b/>
          <w:sz w:val="32"/>
          <w:szCs w:val="32"/>
        </w:rPr>
        <w:t>一</w:t>
      </w:r>
      <w:r>
        <w:rPr>
          <w:rStyle w:val="32"/>
          <w:rFonts w:hint="eastAsia" w:ascii="黑体" w:hAnsi="黑体" w:eastAsia="黑体"/>
          <w:b w:val="0"/>
        </w:rPr>
        <w:t>般公共预算财政拨款支出决算情况说明</w:t>
      </w:r>
      <w:bookmarkEnd w:id="30"/>
      <w:bookmarkEnd w:id="31"/>
    </w:p>
    <w:p>
      <w:pPr>
        <w:spacing w:line="600" w:lineRule="exact"/>
        <w:ind w:firstLine="643" w:firstLineChars="200"/>
        <w:outlineLvl w:val="2"/>
        <w:rPr>
          <w:rFonts w:ascii="仿宋" w:hAnsi="仿宋" w:eastAsia="仿宋"/>
          <w:b/>
          <w:sz w:val="32"/>
          <w:szCs w:val="32"/>
        </w:rPr>
      </w:pPr>
      <w:bookmarkStart w:id="32" w:name="_Toc15377210"/>
      <w:r>
        <w:rPr>
          <w:rFonts w:hint="eastAsia" w:ascii="仿宋" w:hAnsi="仿宋" w:eastAsia="仿宋"/>
          <w:b/>
          <w:sz w:val="32"/>
          <w:szCs w:val="32"/>
        </w:rPr>
        <w:t>（一）一般公共预算财政拨款支出决算总体情况</w:t>
      </w:r>
      <w:bookmarkEnd w:id="32"/>
    </w:p>
    <w:p>
      <w:pPr>
        <w:spacing w:line="600" w:lineRule="exact"/>
        <w:ind w:firstLine="640" w:firstLineChars="200"/>
        <w:rPr>
          <w:rFonts w:hint="eastAsia"/>
        </w:rPr>
      </w:pPr>
      <w:r>
        <w:rPr>
          <w:rFonts w:hint="eastAsia" w:ascii="仿宋" w:hAnsi="仿宋" w:eastAsia="仿宋"/>
          <w:sz w:val="32"/>
          <w:szCs w:val="32"/>
          <w:lang w:eastAsia="zh-CN"/>
        </w:rPr>
        <w:t>2023</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374.18</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。与</w:t>
      </w:r>
      <w:r>
        <w:rPr>
          <w:rFonts w:hint="eastAsia" w:ascii="仿宋" w:hAnsi="仿宋" w:eastAsia="仿宋"/>
          <w:sz w:val="32"/>
          <w:szCs w:val="32"/>
          <w:lang w:eastAsia="zh-CN"/>
        </w:rPr>
        <w:t>2022年</w:t>
      </w:r>
      <w:r>
        <w:rPr>
          <w:rFonts w:hint="eastAsia" w:ascii="仿宋" w:hAnsi="仿宋" w:eastAsia="仿宋"/>
          <w:sz w:val="32"/>
          <w:szCs w:val="32"/>
        </w:rPr>
        <w:t>相比，一般公共预算财政拨款支出增加</w:t>
      </w:r>
      <w:r>
        <w:rPr>
          <w:rFonts w:hint="eastAsia" w:ascii="仿宋" w:hAnsi="仿宋" w:eastAsia="仿宋"/>
          <w:sz w:val="32"/>
          <w:szCs w:val="32"/>
          <w:lang w:val="en-US" w:eastAsia="zh-CN"/>
        </w:rPr>
        <w:t>25.87</w:t>
      </w:r>
      <w:r>
        <w:rPr>
          <w:rFonts w:hint="eastAsia" w:ascii="仿宋" w:hAnsi="仿宋" w:eastAsia="仿宋"/>
          <w:sz w:val="32"/>
          <w:szCs w:val="32"/>
        </w:rPr>
        <w:t>万元，增长</w:t>
      </w:r>
      <w:r>
        <w:rPr>
          <w:rFonts w:hint="eastAsia" w:ascii="仿宋" w:hAnsi="仿宋" w:eastAsia="仿宋"/>
          <w:sz w:val="32"/>
          <w:szCs w:val="32"/>
          <w:lang w:val="en-US" w:eastAsia="zh-CN"/>
        </w:rPr>
        <w:t>7.43</w:t>
      </w:r>
      <w:r>
        <w:rPr>
          <w:rFonts w:ascii="仿宋" w:hAnsi="仿宋" w:eastAsia="仿宋"/>
          <w:sz w:val="32"/>
          <w:szCs w:val="32"/>
        </w:rPr>
        <w:t>%</w:t>
      </w:r>
      <w:r>
        <w:rPr>
          <w:rFonts w:hint="eastAsia" w:ascii="仿宋" w:hAnsi="仿宋" w:eastAsia="仿宋"/>
          <w:sz w:val="32"/>
          <w:szCs w:val="32"/>
        </w:rPr>
        <w:t>。</w:t>
      </w:r>
      <w:r>
        <w:rPr>
          <w:rFonts w:hint="default" w:ascii="Times New Roman" w:hAnsi="Times New Roman" w:eastAsia="方正仿宋简体" w:cs="Times New Roman"/>
          <w:color w:val="000030"/>
          <w:sz w:val="32"/>
          <w:szCs w:val="32"/>
        </w:rPr>
        <w:t>主要原因是202</w:t>
      </w:r>
      <w:r>
        <w:rPr>
          <w:rFonts w:hint="default" w:ascii="Times New Roman" w:hAnsi="Times New Roman" w:eastAsia="方正仿宋简体" w:cs="Times New Roman"/>
          <w:color w:val="000030"/>
          <w:sz w:val="32"/>
          <w:szCs w:val="32"/>
          <w:lang w:val="en-US" w:eastAsia="zh-CN"/>
        </w:rPr>
        <w:t>3</w:t>
      </w:r>
      <w:r>
        <w:rPr>
          <w:rFonts w:hint="default" w:ascii="Times New Roman" w:hAnsi="Times New Roman" w:eastAsia="方正仿宋简体" w:cs="Times New Roman"/>
          <w:color w:val="000030"/>
          <w:sz w:val="32"/>
          <w:szCs w:val="32"/>
        </w:rPr>
        <w:t>年晋级晋档增加人员经费；</w:t>
      </w:r>
      <w:r>
        <w:rPr>
          <w:rFonts w:hint="default" w:ascii="Times New Roman" w:hAnsi="Times New Roman" w:eastAsia="方正仿宋简体" w:cs="Times New Roman"/>
          <w:color w:val="000030"/>
          <w:sz w:val="32"/>
          <w:szCs w:val="32"/>
          <w:lang w:eastAsia="zh-CN"/>
        </w:rPr>
        <w:t>增加成都大运会重要节点</w:t>
      </w:r>
      <w:r>
        <w:rPr>
          <w:rFonts w:hint="default" w:ascii="Times New Roman" w:hAnsi="Times New Roman" w:eastAsia="方正仿宋简体" w:cs="Times New Roman"/>
          <w:color w:val="000030"/>
          <w:sz w:val="32"/>
          <w:szCs w:val="32"/>
        </w:rPr>
        <w:t>，增加项目经费。</w:t>
      </w:r>
    </w:p>
    <w:p>
      <w:pPr>
        <w:pStyle w:val="10"/>
        <w:rPr>
          <w:rFonts w:hint="default" w:eastAsia="仿宋"/>
          <w:lang w:val="en-US" w:eastAsia="zh-CN"/>
        </w:rPr>
      </w:pPr>
      <w:r>
        <w:rPr>
          <w:rFonts w:hint="eastAsia" w:ascii="仿宋" w:hAnsi="仿宋" w:eastAsia="仿宋"/>
          <w:sz w:val="32"/>
          <w:szCs w:val="32"/>
          <w:lang w:val="en-US" w:eastAsia="zh-CN"/>
        </w:rPr>
        <w:t>一般公共预算财政拨款支出决算变动情况</w:t>
      </w:r>
    </w:p>
    <w:p>
      <w:pPr>
        <w:pStyle w:val="10"/>
        <w:rPr>
          <w:rFonts w:hint="eastAsia" w:eastAsia="宋体"/>
          <w:lang w:eastAsia="zh-CN"/>
        </w:rPr>
      </w:pPr>
      <w:r>
        <w:rPr>
          <w:rFonts w:hint="eastAsia" w:eastAsia="宋体"/>
          <w:lang w:eastAsia="zh-CN"/>
        </w:rPr>
        <w:drawing>
          <wp:inline distT="0" distB="0" distL="114300" distR="114300">
            <wp:extent cx="3422650" cy="1882775"/>
            <wp:effectExtent l="4445" t="4445" r="20955" b="1778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lang w:val="en-US" w:eastAsia="zh-CN"/>
        </w:rPr>
        <w:t xml:space="preserve">   图5</w:t>
      </w:r>
    </w:p>
    <w:p>
      <w:pPr>
        <w:spacing w:line="600" w:lineRule="exact"/>
        <w:ind w:firstLine="643" w:firstLineChars="200"/>
        <w:outlineLvl w:val="2"/>
        <w:rPr>
          <w:rFonts w:ascii="仿宋" w:hAnsi="仿宋" w:eastAsia="仿宋"/>
          <w:b/>
          <w:sz w:val="32"/>
          <w:szCs w:val="32"/>
        </w:rPr>
      </w:pPr>
      <w:bookmarkStart w:id="33" w:name="_Toc15377211"/>
      <w:r>
        <w:rPr>
          <w:rFonts w:hint="eastAsia" w:ascii="仿宋" w:hAnsi="仿宋" w:eastAsia="仿宋"/>
          <w:b/>
          <w:sz w:val="32"/>
          <w:szCs w:val="32"/>
        </w:rPr>
        <w:t>（二）一般公共预算财政拨款支出决算结构情况</w:t>
      </w:r>
      <w:bookmarkEnd w:id="33"/>
    </w:p>
    <w:p>
      <w:pPr>
        <w:spacing w:line="600" w:lineRule="exact"/>
        <w:ind w:firstLine="640"/>
        <w:rPr>
          <w:rFonts w:hint="eastAsia"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374.18</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326.61</w:t>
      </w:r>
      <w:r>
        <w:rPr>
          <w:rFonts w:hint="eastAsia" w:ascii="仿宋" w:hAnsi="仿宋" w:eastAsia="仿宋"/>
          <w:sz w:val="32"/>
          <w:szCs w:val="32"/>
        </w:rPr>
        <w:t>万元，占</w:t>
      </w:r>
      <w:r>
        <w:rPr>
          <w:rFonts w:hint="eastAsia" w:ascii="仿宋" w:hAnsi="仿宋" w:eastAsia="仿宋"/>
          <w:sz w:val="32"/>
          <w:szCs w:val="32"/>
          <w:lang w:val="en-US" w:eastAsia="zh-CN"/>
        </w:rPr>
        <w:t>87.28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20.84</w:t>
      </w:r>
      <w:r>
        <w:rPr>
          <w:rFonts w:hint="eastAsia" w:ascii="仿宋" w:hAnsi="仿宋" w:eastAsia="仿宋"/>
          <w:sz w:val="32"/>
          <w:szCs w:val="32"/>
        </w:rPr>
        <w:t>万元，占</w:t>
      </w:r>
      <w:r>
        <w:rPr>
          <w:rFonts w:hint="eastAsia" w:ascii="仿宋" w:hAnsi="仿宋" w:eastAsia="仿宋"/>
          <w:sz w:val="32"/>
          <w:szCs w:val="32"/>
          <w:lang w:val="en-US" w:eastAsia="zh-CN"/>
        </w:rPr>
        <w:t>5.57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8.48</w:t>
      </w:r>
      <w:r>
        <w:rPr>
          <w:rFonts w:hint="eastAsia" w:ascii="仿宋" w:hAnsi="仿宋" w:eastAsia="仿宋"/>
          <w:sz w:val="32"/>
          <w:szCs w:val="32"/>
        </w:rPr>
        <w:t>万元，占</w:t>
      </w:r>
      <w:r>
        <w:rPr>
          <w:rFonts w:hint="eastAsia" w:ascii="仿宋" w:hAnsi="仿宋" w:eastAsia="仿宋"/>
          <w:sz w:val="32"/>
          <w:szCs w:val="32"/>
          <w:lang w:val="en-US" w:eastAsia="zh-CN"/>
        </w:rPr>
        <w:t>2.27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18.25</w:t>
      </w:r>
      <w:r>
        <w:rPr>
          <w:rFonts w:hint="eastAsia" w:ascii="仿宋" w:hAnsi="仿宋" w:eastAsia="仿宋"/>
          <w:sz w:val="32"/>
          <w:szCs w:val="32"/>
        </w:rPr>
        <w:t>万元，占</w:t>
      </w:r>
      <w:r>
        <w:rPr>
          <w:rFonts w:hint="eastAsia" w:ascii="仿宋" w:hAnsi="仿宋" w:eastAsia="仿宋"/>
          <w:sz w:val="32"/>
          <w:szCs w:val="32"/>
          <w:lang w:val="en-US" w:eastAsia="zh-CN"/>
        </w:rPr>
        <w:t>4.88</w:t>
      </w:r>
      <w:r>
        <w:rPr>
          <w:rFonts w:ascii="仿宋" w:hAnsi="仿宋" w:eastAsia="仿宋"/>
          <w:sz w:val="32"/>
          <w:szCs w:val="32"/>
        </w:rPr>
        <w:t>%</w:t>
      </w:r>
      <w:r>
        <w:rPr>
          <w:rFonts w:hint="eastAsia" w:ascii="仿宋" w:hAnsi="仿宋" w:eastAsia="仿宋"/>
          <w:sz w:val="32"/>
          <w:szCs w:val="32"/>
        </w:rPr>
        <w:t>。</w:t>
      </w:r>
    </w:p>
    <w:p>
      <w:pPr>
        <w:pStyle w:val="10"/>
        <w:rPr>
          <w:rFonts w:hint="default" w:eastAsia="仿宋"/>
          <w:lang w:val="en-US" w:eastAsia="zh-CN"/>
        </w:rPr>
      </w:pPr>
      <w:r>
        <w:rPr>
          <w:rFonts w:hint="eastAsia" w:eastAsia="仿宋"/>
          <w:lang w:eastAsia="zh-CN"/>
        </w:rPr>
        <w:drawing>
          <wp:inline distT="0" distB="0" distL="114300" distR="114300">
            <wp:extent cx="3916045" cy="1997710"/>
            <wp:effectExtent l="4445" t="4445" r="22860" b="1714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eastAsia="仿宋"/>
          <w:lang w:val="en-US" w:eastAsia="zh-CN"/>
        </w:rPr>
        <w:t xml:space="preserve">   图6</w:t>
      </w:r>
    </w:p>
    <w:p>
      <w:pPr>
        <w:spacing w:line="600" w:lineRule="exact"/>
        <w:ind w:firstLine="643" w:firstLineChars="200"/>
        <w:outlineLvl w:val="2"/>
        <w:rPr>
          <w:rFonts w:ascii="仿宋" w:hAnsi="仿宋" w:eastAsia="仿宋"/>
          <w:b/>
          <w:sz w:val="32"/>
          <w:szCs w:val="32"/>
        </w:rPr>
      </w:pPr>
      <w:bookmarkStart w:id="34" w:name="_Toc15377212"/>
      <w:r>
        <w:rPr>
          <w:rFonts w:hint="eastAsia" w:ascii="仿宋" w:hAnsi="仿宋" w:eastAsia="仿宋"/>
          <w:b/>
          <w:sz w:val="32"/>
          <w:szCs w:val="32"/>
        </w:rPr>
        <w:t>（三）一般公共预算财政拨款支出决算具体情况</w:t>
      </w:r>
      <w:bookmarkEnd w:id="34"/>
    </w:p>
    <w:p>
      <w:pPr>
        <w:spacing w:line="600" w:lineRule="exact"/>
        <w:ind w:firstLine="643" w:firstLineChars="200"/>
        <w:outlineLvl w:val="2"/>
        <w:rPr>
          <w:rFonts w:ascii="仿宋" w:hAnsi="仿宋" w:eastAsia="仿宋"/>
          <w:sz w:val="32"/>
          <w:szCs w:val="32"/>
        </w:rPr>
      </w:pPr>
      <w:bookmarkStart w:id="35" w:name="_Toc15378460"/>
      <w:bookmarkStart w:id="36" w:name="_Toc15377444"/>
      <w:bookmarkStart w:id="37" w:name="_Toc15377213"/>
      <w:r>
        <w:rPr>
          <w:rFonts w:hint="eastAsia" w:ascii="仿宋" w:hAnsi="仿宋" w:eastAsia="仿宋"/>
          <w:b/>
          <w:sz w:val="32"/>
          <w:szCs w:val="32"/>
          <w:lang w:eastAsia="zh-CN"/>
        </w:rPr>
        <w:t>2023</w:t>
      </w:r>
      <w:r>
        <w:rPr>
          <w:rFonts w:hint="eastAsia" w:ascii="仿宋" w:hAnsi="仿宋" w:eastAsia="仿宋"/>
          <w:b/>
          <w:sz w:val="32"/>
          <w:szCs w:val="32"/>
        </w:rPr>
        <w:t>年一般公共预算支出决算数为</w:t>
      </w:r>
      <w:r>
        <w:rPr>
          <w:rFonts w:hint="eastAsia" w:ascii="仿宋" w:hAnsi="仿宋" w:eastAsia="仿宋"/>
          <w:b/>
          <w:sz w:val="32"/>
          <w:szCs w:val="32"/>
          <w:lang w:val="en-US" w:eastAsia="zh-CN"/>
        </w:rPr>
        <w:t>374.18万元</w:t>
      </w:r>
      <w:r>
        <w:rPr>
          <w:rFonts w:hint="eastAsia" w:ascii="仿宋" w:hAnsi="仿宋" w:eastAsia="仿宋"/>
          <w:sz w:val="32"/>
          <w:szCs w:val="32"/>
        </w:rPr>
        <w:t>，</w:t>
      </w:r>
      <w:r>
        <w:rPr>
          <w:rStyle w:val="20"/>
          <w:rFonts w:hint="eastAsia" w:ascii="仿宋" w:hAnsi="仿宋" w:eastAsia="仿宋"/>
          <w:bCs/>
          <w:sz w:val="32"/>
          <w:szCs w:val="32"/>
        </w:rPr>
        <w:t>完成预算</w:t>
      </w:r>
      <w:r>
        <w:rPr>
          <w:rStyle w:val="20"/>
          <w:rFonts w:hint="eastAsia" w:ascii="仿宋" w:hAnsi="仿宋" w:eastAsia="仿宋"/>
          <w:bCs/>
          <w:sz w:val="32"/>
          <w:szCs w:val="32"/>
          <w:lang w:val="en-US" w:eastAsia="zh-CN"/>
        </w:rPr>
        <w:t>100</w:t>
      </w:r>
      <w:r>
        <w:rPr>
          <w:rStyle w:val="20"/>
          <w:rFonts w:ascii="仿宋" w:hAnsi="仿宋" w:eastAsia="仿宋"/>
          <w:bCs/>
          <w:sz w:val="32"/>
          <w:szCs w:val="32"/>
        </w:rPr>
        <w:t>%</w:t>
      </w:r>
      <w:r>
        <w:rPr>
          <w:rStyle w:val="20"/>
          <w:rFonts w:hint="eastAsia" w:ascii="仿宋" w:hAnsi="仿宋" w:eastAsia="仿宋"/>
          <w:bCs/>
          <w:sz w:val="32"/>
          <w:szCs w:val="32"/>
        </w:rPr>
        <w:t>。其中：</w:t>
      </w:r>
      <w:bookmarkEnd w:id="35"/>
      <w:bookmarkEnd w:id="36"/>
      <w:bookmarkEnd w:id="37"/>
    </w:p>
    <w:p>
      <w:pPr>
        <w:numPr>
          <w:ilvl w:val="0"/>
          <w:numId w:val="0"/>
        </w:numPr>
        <w:spacing w:line="600" w:lineRule="exact"/>
        <w:ind w:firstLine="643" w:firstLineChars="200"/>
        <w:rPr>
          <w:rStyle w:val="20"/>
          <w:rFonts w:hint="eastAsia" w:ascii="仿宋" w:hAnsi="仿宋" w:eastAsia="仿宋"/>
          <w:bCs/>
          <w:sz w:val="32"/>
          <w:szCs w:val="32"/>
        </w:rPr>
      </w:pPr>
      <w:r>
        <w:rPr>
          <w:rStyle w:val="20"/>
          <w:rFonts w:hint="eastAsia" w:ascii="仿宋" w:hAnsi="仿宋" w:eastAsia="仿宋"/>
          <w:bCs/>
          <w:sz w:val="32"/>
          <w:szCs w:val="32"/>
          <w:lang w:val="en-US" w:eastAsia="zh-CN"/>
        </w:rPr>
        <w:t>1.</w:t>
      </w:r>
      <w:r>
        <w:rPr>
          <w:rStyle w:val="20"/>
          <w:rFonts w:hint="eastAsia" w:ascii="仿宋" w:hAnsi="仿宋" w:eastAsia="仿宋"/>
          <w:bCs/>
          <w:sz w:val="32"/>
          <w:szCs w:val="32"/>
        </w:rPr>
        <w:t>一般公共服务（</w:t>
      </w:r>
      <w:r>
        <w:rPr>
          <w:rStyle w:val="20"/>
          <w:rFonts w:hint="eastAsia" w:ascii="仿宋" w:hAnsi="仿宋" w:eastAsia="仿宋"/>
          <w:bCs/>
          <w:sz w:val="32"/>
          <w:szCs w:val="32"/>
          <w:lang w:val="en-US" w:eastAsia="zh-CN"/>
        </w:rPr>
        <w:t>201</w:t>
      </w:r>
      <w:r>
        <w:rPr>
          <w:rStyle w:val="20"/>
          <w:rFonts w:hint="eastAsia" w:ascii="仿宋" w:hAnsi="仿宋" w:eastAsia="仿宋"/>
          <w:bCs/>
          <w:sz w:val="32"/>
          <w:szCs w:val="32"/>
        </w:rPr>
        <w:t>）</w:t>
      </w:r>
    </w:p>
    <w:p>
      <w:pPr>
        <w:numPr>
          <w:ilvl w:val="0"/>
          <w:numId w:val="0"/>
        </w:numPr>
        <w:spacing w:line="600" w:lineRule="exact"/>
        <w:ind w:firstLine="643" w:firstLineChars="200"/>
        <w:rPr>
          <w:rStyle w:val="20"/>
          <w:rFonts w:hint="eastAsia" w:ascii="仿宋" w:hAnsi="仿宋" w:eastAsia="仿宋"/>
          <w:bCs/>
          <w:sz w:val="32"/>
          <w:szCs w:val="32"/>
        </w:rPr>
      </w:pPr>
      <w:r>
        <w:rPr>
          <w:rStyle w:val="20"/>
          <w:rFonts w:hint="eastAsia" w:ascii="仿宋" w:hAnsi="仿宋" w:eastAsia="仿宋"/>
          <w:bCs/>
          <w:sz w:val="32"/>
          <w:szCs w:val="32"/>
          <w:lang w:eastAsia="zh-CN"/>
        </w:rPr>
        <w:t>（</w:t>
      </w:r>
      <w:r>
        <w:rPr>
          <w:rStyle w:val="20"/>
          <w:rFonts w:hint="eastAsia" w:ascii="仿宋" w:hAnsi="仿宋" w:eastAsia="仿宋"/>
          <w:bCs/>
          <w:sz w:val="32"/>
          <w:szCs w:val="32"/>
          <w:lang w:val="en-US" w:eastAsia="zh-CN"/>
        </w:rPr>
        <w:t>1</w:t>
      </w:r>
      <w:r>
        <w:rPr>
          <w:rStyle w:val="20"/>
          <w:rFonts w:hint="eastAsia" w:ascii="仿宋" w:hAnsi="仿宋" w:eastAsia="仿宋"/>
          <w:bCs/>
          <w:sz w:val="32"/>
          <w:szCs w:val="32"/>
          <w:lang w:eastAsia="zh-CN"/>
        </w:rPr>
        <w:t>）政府办公厅（室）及相关机构事务</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20103</w:t>
      </w:r>
      <w:r>
        <w:rPr>
          <w:rStyle w:val="20"/>
          <w:rFonts w:hint="eastAsia" w:ascii="仿宋" w:hAnsi="仿宋" w:eastAsia="仿宋"/>
          <w:bCs/>
          <w:sz w:val="32"/>
          <w:szCs w:val="32"/>
        </w:rPr>
        <w:t>）</w:t>
      </w:r>
    </w:p>
    <w:p>
      <w:pPr>
        <w:numPr>
          <w:ilvl w:val="0"/>
          <w:numId w:val="0"/>
        </w:numPr>
        <w:spacing w:line="600" w:lineRule="exact"/>
        <w:ind w:firstLine="643" w:firstLineChars="200"/>
        <w:rPr>
          <w:rStyle w:val="20"/>
          <w:rFonts w:hint="eastAsia" w:ascii="仿宋" w:hAnsi="仿宋" w:eastAsia="仿宋"/>
          <w:b w:val="0"/>
          <w:bCs/>
          <w:sz w:val="32"/>
          <w:szCs w:val="32"/>
        </w:rPr>
      </w:pPr>
      <w:r>
        <w:rPr>
          <w:rStyle w:val="20"/>
          <w:rFonts w:hint="eastAsia" w:ascii="仿宋" w:hAnsi="仿宋" w:eastAsia="仿宋"/>
          <w:bCs/>
          <w:sz w:val="32"/>
          <w:szCs w:val="32"/>
          <w:lang w:eastAsia="zh-CN"/>
        </w:rPr>
        <w:t>行政运行</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2010301</w:t>
      </w:r>
      <w:r>
        <w:rPr>
          <w:rStyle w:val="20"/>
          <w:rFonts w:hint="eastAsia" w:ascii="仿宋" w:hAnsi="仿宋" w:eastAsia="仿宋"/>
          <w:bCs/>
          <w:sz w:val="32"/>
          <w:szCs w:val="32"/>
        </w:rPr>
        <w:t>）</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156.37</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pStyle w:val="2"/>
        <w:rPr>
          <w:rStyle w:val="20"/>
          <w:rFonts w:hint="eastAsia" w:ascii="仿宋" w:hAnsi="仿宋" w:eastAsia="仿宋"/>
          <w:b w:val="0"/>
          <w:bCs/>
          <w:sz w:val="32"/>
          <w:szCs w:val="32"/>
          <w:lang w:eastAsia="zh-CN"/>
        </w:rPr>
      </w:pPr>
      <w:r>
        <w:rPr>
          <w:rStyle w:val="20"/>
          <w:rFonts w:hint="eastAsia" w:ascii="仿宋" w:hAnsi="仿宋" w:eastAsia="仿宋"/>
          <w:b w:val="0"/>
          <w:bCs/>
          <w:sz w:val="32"/>
          <w:szCs w:val="32"/>
          <w:lang w:eastAsia="zh-CN"/>
        </w:rPr>
        <w:t>信访事务</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2010308</w:t>
      </w:r>
      <w:r>
        <w:rPr>
          <w:rStyle w:val="20"/>
          <w:rFonts w:hint="eastAsia" w:ascii="仿宋" w:hAnsi="仿宋" w:eastAsia="仿宋"/>
          <w:bCs/>
          <w:sz w:val="32"/>
          <w:szCs w:val="32"/>
        </w:rPr>
        <w:t>）</w:t>
      </w:r>
      <w:r>
        <w:rPr>
          <w:rStyle w:val="20"/>
          <w:rFonts w:hint="eastAsia" w:ascii="仿宋" w:hAnsi="仿宋" w:eastAsia="仿宋"/>
          <w:b w:val="0"/>
          <w:bCs/>
          <w:sz w:val="32"/>
          <w:szCs w:val="32"/>
          <w:lang w:eastAsia="zh-CN"/>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135.47</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lang w:eastAsia="zh-CN"/>
        </w:rPr>
        <w:t>。</w:t>
      </w:r>
    </w:p>
    <w:p>
      <w:pPr>
        <w:rPr>
          <w:rFonts w:hint="eastAsia" w:eastAsia="仿宋"/>
          <w:lang w:val="en-US" w:eastAsia="zh-CN"/>
        </w:rPr>
      </w:pPr>
      <w:r>
        <w:rPr>
          <w:rStyle w:val="20"/>
          <w:rFonts w:hint="eastAsia" w:ascii="仿宋" w:hAnsi="仿宋" w:eastAsia="仿宋"/>
          <w:b w:val="0"/>
          <w:bCs/>
          <w:sz w:val="32"/>
          <w:szCs w:val="32"/>
          <w:lang w:val="en-US" w:eastAsia="zh-CN"/>
        </w:rPr>
        <w:t xml:space="preserve">   事业运行</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2010350</w:t>
      </w:r>
      <w:r>
        <w:rPr>
          <w:rStyle w:val="20"/>
          <w:rFonts w:hint="eastAsia" w:ascii="仿宋" w:hAnsi="仿宋" w:eastAsia="仿宋"/>
          <w:bCs/>
          <w:sz w:val="32"/>
          <w:szCs w:val="32"/>
        </w:rPr>
        <w:t>）</w:t>
      </w:r>
      <w:r>
        <w:rPr>
          <w:rStyle w:val="20"/>
          <w:rFonts w:hint="eastAsia" w:ascii="仿宋" w:hAnsi="仿宋" w:eastAsia="仿宋"/>
          <w:b w:val="0"/>
          <w:bCs/>
          <w:sz w:val="32"/>
          <w:szCs w:val="32"/>
          <w:lang w:val="en-US" w:eastAsia="zh-CN"/>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34.77</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lang w:eastAsia="zh-CN"/>
        </w:rPr>
        <w:t>。</w:t>
      </w:r>
    </w:p>
    <w:p>
      <w:pPr>
        <w:numPr>
          <w:ilvl w:val="0"/>
          <w:numId w:val="0"/>
        </w:numPr>
        <w:spacing w:line="600" w:lineRule="exact"/>
        <w:ind w:leftChars="200" w:firstLine="321" w:firstLineChars="100"/>
        <w:rPr>
          <w:rStyle w:val="20"/>
          <w:rFonts w:hint="eastAsia" w:ascii="仿宋" w:hAnsi="仿宋" w:eastAsia="仿宋"/>
          <w:bCs/>
          <w:sz w:val="32"/>
          <w:szCs w:val="32"/>
        </w:rPr>
      </w:pPr>
      <w:r>
        <w:rPr>
          <w:rStyle w:val="20"/>
          <w:rFonts w:hint="eastAsia" w:ascii="仿宋" w:hAnsi="仿宋" w:eastAsia="仿宋"/>
          <w:bCs/>
          <w:sz w:val="32"/>
          <w:szCs w:val="32"/>
          <w:lang w:val="en-US" w:eastAsia="zh-CN"/>
        </w:rPr>
        <w:t>2.</w:t>
      </w:r>
      <w:r>
        <w:rPr>
          <w:rStyle w:val="20"/>
          <w:rFonts w:hint="eastAsia" w:ascii="仿宋" w:hAnsi="仿宋" w:eastAsia="仿宋"/>
          <w:bCs/>
          <w:sz w:val="32"/>
          <w:szCs w:val="32"/>
        </w:rPr>
        <w:t>社会保障和就业（</w:t>
      </w:r>
      <w:r>
        <w:rPr>
          <w:rStyle w:val="20"/>
          <w:rFonts w:hint="eastAsia" w:ascii="仿宋" w:hAnsi="仿宋" w:eastAsia="仿宋"/>
          <w:bCs/>
          <w:sz w:val="32"/>
          <w:szCs w:val="32"/>
          <w:lang w:val="en-US" w:eastAsia="zh-CN"/>
        </w:rPr>
        <w:t>208</w:t>
      </w:r>
      <w:r>
        <w:rPr>
          <w:rStyle w:val="20"/>
          <w:rFonts w:hint="eastAsia" w:ascii="仿宋" w:hAnsi="仿宋" w:eastAsia="仿宋"/>
          <w:bCs/>
          <w:sz w:val="32"/>
          <w:szCs w:val="32"/>
        </w:rPr>
        <w:t>）</w:t>
      </w:r>
    </w:p>
    <w:p>
      <w:pPr>
        <w:numPr>
          <w:ilvl w:val="0"/>
          <w:numId w:val="0"/>
        </w:numPr>
        <w:spacing w:line="600" w:lineRule="exact"/>
        <w:ind w:firstLine="643" w:firstLineChars="200"/>
        <w:rPr>
          <w:rStyle w:val="20"/>
          <w:rFonts w:hint="eastAsia" w:ascii="仿宋" w:hAnsi="仿宋" w:eastAsia="仿宋"/>
          <w:bCs/>
          <w:sz w:val="32"/>
          <w:szCs w:val="32"/>
        </w:rPr>
      </w:pPr>
      <w:r>
        <w:rPr>
          <w:rStyle w:val="20"/>
          <w:rFonts w:hint="eastAsia" w:ascii="仿宋" w:hAnsi="仿宋" w:eastAsia="仿宋"/>
          <w:bCs/>
          <w:sz w:val="32"/>
          <w:szCs w:val="32"/>
          <w:lang w:eastAsia="zh-CN"/>
        </w:rPr>
        <w:t>（</w:t>
      </w:r>
      <w:r>
        <w:rPr>
          <w:rStyle w:val="20"/>
          <w:rFonts w:hint="eastAsia" w:ascii="仿宋" w:hAnsi="仿宋" w:eastAsia="仿宋"/>
          <w:bCs/>
          <w:sz w:val="32"/>
          <w:szCs w:val="32"/>
          <w:lang w:val="en-US" w:eastAsia="zh-CN"/>
        </w:rPr>
        <w:t>1</w:t>
      </w:r>
      <w:r>
        <w:rPr>
          <w:rStyle w:val="20"/>
          <w:rFonts w:hint="eastAsia" w:ascii="仿宋" w:hAnsi="仿宋" w:eastAsia="仿宋"/>
          <w:bCs/>
          <w:sz w:val="32"/>
          <w:szCs w:val="32"/>
          <w:lang w:eastAsia="zh-CN"/>
        </w:rPr>
        <w:t>）行政机关事业单位养老支出</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20805</w:t>
      </w:r>
      <w:r>
        <w:rPr>
          <w:rStyle w:val="20"/>
          <w:rFonts w:hint="eastAsia" w:ascii="仿宋" w:hAnsi="仿宋" w:eastAsia="仿宋"/>
          <w:bCs/>
          <w:sz w:val="32"/>
          <w:szCs w:val="32"/>
        </w:rPr>
        <w:t>）</w:t>
      </w:r>
    </w:p>
    <w:p>
      <w:pPr>
        <w:numPr>
          <w:ilvl w:val="0"/>
          <w:numId w:val="0"/>
        </w:numPr>
        <w:spacing w:line="600" w:lineRule="exact"/>
        <w:ind w:firstLine="643" w:firstLineChars="200"/>
        <w:rPr>
          <w:rFonts w:ascii="仿宋" w:hAnsi="仿宋" w:eastAsia="仿宋"/>
          <w:b/>
          <w:sz w:val="32"/>
          <w:szCs w:val="32"/>
        </w:rPr>
      </w:pPr>
      <w:r>
        <w:rPr>
          <w:rStyle w:val="20"/>
          <w:rFonts w:hint="eastAsia" w:ascii="仿宋" w:hAnsi="仿宋" w:eastAsia="仿宋"/>
          <w:bCs/>
          <w:sz w:val="32"/>
          <w:szCs w:val="32"/>
          <w:lang w:eastAsia="zh-CN"/>
        </w:rPr>
        <w:t>机关事业单位基本养老保险缴费支出</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2080505</w:t>
      </w:r>
      <w:r>
        <w:rPr>
          <w:rStyle w:val="20"/>
          <w:rFonts w:hint="eastAsia" w:ascii="仿宋" w:hAnsi="仿宋" w:eastAsia="仿宋"/>
          <w:bCs/>
          <w:sz w:val="32"/>
          <w:szCs w:val="32"/>
        </w:rPr>
        <w:t>）</w:t>
      </w:r>
      <w:r>
        <w:rPr>
          <w:rStyle w:val="20"/>
          <w:rFonts w:ascii="仿宋" w:hAnsi="仿宋" w:eastAsia="仿宋"/>
          <w:bCs/>
          <w:sz w:val="32"/>
          <w:szCs w:val="32"/>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20.84</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numPr>
          <w:ilvl w:val="0"/>
          <w:numId w:val="0"/>
        </w:numPr>
        <w:spacing w:line="600" w:lineRule="exact"/>
        <w:ind w:leftChars="200"/>
        <w:rPr>
          <w:rStyle w:val="20"/>
          <w:rFonts w:hint="eastAsia" w:ascii="仿宋" w:hAnsi="仿宋" w:eastAsia="仿宋"/>
          <w:bCs/>
          <w:sz w:val="32"/>
          <w:szCs w:val="32"/>
        </w:rPr>
      </w:pPr>
      <w:r>
        <w:rPr>
          <w:rFonts w:hint="eastAsia" w:ascii="仿宋" w:hAnsi="仿宋" w:eastAsia="仿宋"/>
          <w:b/>
          <w:bCs/>
          <w:sz w:val="32"/>
          <w:szCs w:val="32"/>
          <w:lang w:val="en-US" w:eastAsia="zh-CN"/>
        </w:rPr>
        <w:t>3.</w:t>
      </w:r>
      <w:r>
        <w:rPr>
          <w:rFonts w:hint="eastAsia" w:ascii="仿宋" w:hAnsi="仿宋" w:eastAsia="仿宋"/>
          <w:b/>
          <w:bCs/>
          <w:sz w:val="32"/>
          <w:szCs w:val="32"/>
        </w:rPr>
        <w:t>卫生健康</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210</w:t>
      </w:r>
      <w:r>
        <w:rPr>
          <w:rStyle w:val="20"/>
          <w:rFonts w:hint="eastAsia" w:ascii="仿宋" w:hAnsi="仿宋" w:eastAsia="仿宋"/>
          <w:bCs/>
          <w:sz w:val="32"/>
          <w:szCs w:val="32"/>
        </w:rPr>
        <w:t>）</w:t>
      </w:r>
    </w:p>
    <w:p>
      <w:pPr>
        <w:numPr>
          <w:ilvl w:val="0"/>
          <w:numId w:val="0"/>
        </w:numPr>
        <w:spacing w:line="600" w:lineRule="exact"/>
        <w:ind w:leftChars="200"/>
        <w:rPr>
          <w:rStyle w:val="20"/>
          <w:rFonts w:hint="eastAsia" w:ascii="仿宋" w:hAnsi="仿宋" w:eastAsia="仿宋"/>
          <w:bCs/>
          <w:sz w:val="32"/>
          <w:szCs w:val="32"/>
        </w:rPr>
      </w:pPr>
      <w:r>
        <w:rPr>
          <w:rStyle w:val="20"/>
          <w:rFonts w:hint="eastAsia" w:ascii="仿宋" w:hAnsi="仿宋" w:eastAsia="仿宋"/>
          <w:bCs/>
          <w:sz w:val="32"/>
          <w:szCs w:val="32"/>
          <w:lang w:eastAsia="zh-CN"/>
        </w:rPr>
        <w:t>（</w:t>
      </w:r>
      <w:r>
        <w:rPr>
          <w:rStyle w:val="20"/>
          <w:rFonts w:hint="eastAsia" w:ascii="仿宋" w:hAnsi="仿宋" w:eastAsia="仿宋"/>
          <w:bCs/>
          <w:sz w:val="32"/>
          <w:szCs w:val="32"/>
          <w:lang w:val="en-US" w:eastAsia="zh-CN"/>
        </w:rPr>
        <w:t>1</w:t>
      </w:r>
      <w:r>
        <w:rPr>
          <w:rStyle w:val="20"/>
          <w:rFonts w:hint="eastAsia" w:ascii="仿宋" w:hAnsi="仿宋" w:eastAsia="仿宋"/>
          <w:bCs/>
          <w:sz w:val="32"/>
          <w:szCs w:val="32"/>
          <w:lang w:eastAsia="zh-CN"/>
        </w:rPr>
        <w:t>）行政事业单位医疗</w:t>
      </w:r>
      <w:r>
        <w:rPr>
          <w:rStyle w:val="20"/>
          <w:rFonts w:hint="eastAsia" w:ascii="仿宋" w:hAnsi="仿宋" w:eastAsia="仿宋"/>
          <w:bCs/>
          <w:sz w:val="32"/>
          <w:szCs w:val="32"/>
        </w:rPr>
        <w:t>（</w:t>
      </w:r>
      <w:r>
        <w:rPr>
          <w:rStyle w:val="20"/>
          <w:rFonts w:hint="eastAsia" w:ascii="仿宋" w:hAnsi="仿宋" w:eastAsia="仿宋"/>
          <w:bCs/>
          <w:sz w:val="32"/>
          <w:szCs w:val="32"/>
          <w:lang w:val="en-US" w:eastAsia="zh-CN"/>
        </w:rPr>
        <w:t>21011</w:t>
      </w:r>
      <w:r>
        <w:rPr>
          <w:rStyle w:val="20"/>
          <w:rFonts w:hint="eastAsia" w:ascii="仿宋" w:hAnsi="仿宋" w:eastAsia="仿宋"/>
          <w:bCs/>
          <w:sz w:val="32"/>
          <w:szCs w:val="32"/>
        </w:rPr>
        <w:t>）</w:t>
      </w:r>
    </w:p>
    <w:p>
      <w:pPr>
        <w:numPr>
          <w:ilvl w:val="0"/>
          <w:numId w:val="0"/>
        </w:numPr>
        <w:spacing w:line="600" w:lineRule="exact"/>
        <w:ind w:firstLine="643" w:firstLineChars="200"/>
        <w:rPr>
          <w:rFonts w:ascii="仿宋" w:hAnsi="仿宋" w:eastAsia="仿宋"/>
          <w:b/>
          <w:sz w:val="32"/>
          <w:szCs w:val="32"/>
        </w:rPr>
      </w:pPr>
      <w:r>
        <w:rPr>
          <w:rStyle w:val="20"/>
          <w:rFonts w:hint="eastAsia" w:ascii="仿宋" w:hAnsi="仿宋" w:eastAsia="仿宋"/>
          <w:bCs/>
          <w:sz w:val="32"/>
          <w:szCs w:val="32"/>
          <w:lang w:eastAsia="zh-CN"/>
        </w:rPr>
        <w:t>行政单位医疗</w:t>
      </w:r>
      <w:r>
        <w:rPr>
          <w:rStyle w:val="20"/>
          <w:rFonts w:hint="eastAsia" w:ascii="仿宋" w:hAnsi="仿宋" w:eastAsia="仿宋"/>
          <w:b w:val="0"/>
          <w:bCs/>
          <w:sz w:val="32"/>
          <w:szCs w:val="32"/>
          <w:lang w:eastAsia="zh-CN"/>
        </w:rPr>
        <w:t>（</w:t>
      </w:r>
      <w:r>
        <w:rPr>
          <w:rStyle w:val="20"/>
          <w:rFonts w:hint="eastAsia" w:ascii="仿宋" w:hAnsi="仿宋" w:eastAsia="仿宋"/>
          <w:b w:val="0"/>
          <w:bCs/>
          <w:sz w:val="32"/>
          <w:szCs w:val="32"/>
          <w:lang w:val="en-US" w:eastAsia="zh-CN"/>
        </w:rPr>
        <w:t>2101101</w:t>
      </w:r>
      <w:r>
        <w:rPr>
          <w:rStyle w:val="20"/>
          <w:rFonts w:hint="eastAsia" w:ascii="仿宋" w:hAnsi="仿宋" w:eastAsia="仿宋"/>
          <w:b w:val="0"/>
          <w:bCs/>
          <w:sz w:val="32"/>
          <w:szCs w:val="32"/>
          <w:lang w:eastAsia="zh-CN"/>
        </w:rPr>
        <w:t>）</w:t>
      </w:r>
      <w:r>
        <w:rPr>
          <w:rStyle w:val="20"/>
          <w:rFonts w:ascii="仿宋" w:hAnsi="仿宋" w:eastAsia="仿宋"/>
          <w:bCs/>
          <w:sz w:val="32"/>
          <w:szCs w:val="32"/>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6.14</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spacing w:line="600" w:lineRule="exact"/>
        <w:ind w:firstLine="643" w:firstLineChars="200"/>
        <w:rPr>
          <w:rStyle w:val="20"/>
          <w:rFonts w:hint="eastAsia" w:ascii="仿宋" w:hAnsi="仿宋" w:eastAsia="仿宋"/>
          <w:b w:val="0"/>
          <w:bCs/>
          <w:sz w:val="32"/>
          <w:szCs w:val="32"/>
          <w:lang w:eastAsia="zh-CN"/>
        </w:rPr>
      </w:pPr>
      <w:r>
        <w:rPr>
          <w:rStyle w:val="20"/>
          <w:rFonts w:hint="eastAsia" w:ascii="仿宋" w:hAnsi="仿宋" w:eastAsia="仿宋"/>
          <w:bCs/>
          <w:sz w:val="32"/>
          <w:szCs w:val="32"/>
          <w:lang w:eastAsia="zh-CN"/>
        </w:rPr>
        <w:t>事业单位医疗</w:t>
      </w:r>
      <w:r>
        <w:rPr>
          <w:rStyle w:val="20"/>
          <w:rFonts w:hint="eastAsia" w:ascii="仿宋" w:hAnsi="仿宋" w:eastAsia="仿宋"/>
          <w:bCs/>
          <w:sz w:val="32"/>
          <w:szCs w:val="32"/>
        </w:rPr>
        <w:t>（</w:t>
      </w:r>
      <w:r>
        <w:rPr>
          <w:rStyle w:val="20"/>
          <w:rFonts w:hint="eastAsia" w:ascii="仿宋" w:hAnsi="仿宋" w:eastAsia="仿宋"/>
          <w:b w:val="0"/>
          <w:bCs/>
          <w:sz w:val="32"/>
          <w:szCs w:val="32"/>
          <w:lang w:val="en-US" w:eastAsia="zh-CN"/>
        </w:rPr>
        <w:t>2101102</w:t>
      </w:r>
      <w:r>
        <w:rPr>
          <w:rStyle w:val="20"/>
          <w:rFonts w:hint="eastAsia" w:ascii="仿宋" w:hAnsi="仿宋" w:eastAsia="仿宋"/>
          <w:bCs/>
          <w:sz w:val="32"/>
          <w:szCs w:val="32"/>
        </w:rPr>
        <w:t>）</w:t>
      </w:r>
      <w:r>
        <w:rPr>
          <w:rStyle w:val="20"/>
          <w:rFonts w:ascii="仿宋" w:hAnsi="仿宋" w:eastAsia="仿宋"/>
          <w:bCs/>
          <w:sz w:val="32"/>
          <w:szCs w:val="32"/>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1.68</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lang w:eastAsia="zh-CN"/>
        </w:rPr>
        <w:t>。</w:t>
      </w:r>
    </w:p>
    <w:p>
      <w:pPr>
        <w:spacing w:line="600" w:lineRule="exact"/>
        <w:ind w:firstLine="643" w:firstLineChars="200"/>
        <w:rPr>
          <w:rStyle w:val="20"/>
          <w:rFonts w:hint="eastAsia" w:ascii="仿宋" w:hAnsi="仿宋" w:eastAsia="仿宋"/>
          <w:b w:val="0"/>
          <w:bCs/>
          <w:sz w:val="32"/>
          <w:szCs w:val="32"/>
          <w:lang w:eastAsia="zh-CN"/>
        </w:rPr>
      </w:pPr>
      <w:r>
        <w:rPr>
          <w:rStyle w:val="20"/>
          <w:rFonts w:hint="eastAsia" w:ascii="仿宋" w:hAnsi="仿宋" w:eastAsia="仿宋" w:cstheme="minorBidi"/>
          <w:bCs/>
          <w:sz w:val="32"/>
          <w:szCs w:val="32"/>
          <w:lang w:eastAsia="zh-CN"/>
        </w:rPr>
        <w:t>公务员医疗补助（</w:t>
      </w:r>
      <w:r>
        <w:rPr>
          <w:rStyle w:val="20"/>
          <w:rFonts w:hint="eastAsia" w:ascii="仿宋" w:hAnsi="仿宋" w:eastAsia="仿宋" w:cstheme="minorBidi"/>
          <w:bCs/>
          <w:sz w:val="32"/>
          <w:szCs w:val="32"/>
          <w:lang w:val="en-US" w:eastAsia="zh-CN"/>
        </w:rPr>
        <w:t>2101103</w:t>
      </w:r>
      <w:r>
        <w:rPr>
          <w:rStyle w:val="20"/>
          <w:rFonts w:hint="eastAsia" w:ascii="仿宋" w:hAnsi="仿宋" w:eastAsia="仿宋" w:cstheme="minorBidi"/>
          <w:bCs/>
          <w:sz w:val="32"/>
          <w:szCs w:val="32"/>
          <w:lang w:eastAsia="zh-CN"/>
        </w:rPr>
        <w:t>）</w:t>
      </w:r>
      <w:r>
        <w:rPr>
          <w:rStyle w:val="20"/>
          <w:rFonts w:hint="eastAsia" w:ascii="仿宋" w:hAnsi="仿宋" w:eastAsia="仿宋"/>
          <w:b w:val="0"/>
          <w:bCs/>
          <w:sz w:val="32"/>
          <w:szCs w:val="32"/>
          <w:lang w:eastAsia="zh-CN"/>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0.67</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lang w:eastAsia="zh-CN"/>
        </w:rPr>
        <w:t>。</w:t>
      </w:r>
    </w:p>
    <w:p>
      <w:pPr>
        <w:spacing w:line="600" w:lineRule="exact"/>
        <w:ind w:firstLine="643" w:firstLineChars="200"/>
        <w:rPr>
          <w:rStyle w:val="20"/>
          <w:rFonts w:hint="eastAsia" w:ascii="仿宋" w:hAnsi="仿宋" w:eastAsia="仿宋" w:cstheme="minorBidi"/>
          <w:bCs/>
          <w:sz w:val="32"/>
          <w:szCs w:val="32"/>
          <w:lang w:eastAsia="zh-CN"/>
        </w:rPr>
      </w:pPr>
      <w:r>
        <w:rPr>
          <w:rStyle w:val="20"/>
          <w:rFonts w:hint="eastAsia" w:ascii="仿宋" w:hAnsi="仿宋" w:eastAsia="仿宋" w:cstheme="minorBidi"/>
          <w:bCs/>
          <w:sz w:val="32"/>
          <w:szCs w:val="32"/>
          <w:lang w:val="en-US" w:eastAsia="zh-CN"/>
        </w:rPr>
        <w:t>4.</w:t>
      </w:r>
      <w:r>
        <w:rPr>
          <w:rStyle w:val="20"/>
          <w:rFonts w:hint="eastAsia" w:ascii="仿宋" w:hAnsi="仿宋" w:eastAsia="仿宋" w:cstheme="minorBidi"/>
          <w:bCs/>
          <w:sz w:val="32"/>
          <w:szCs w:val="32"/>
          <w:lang w:eastAsia="zh-CN"/>
        </w:rPr>
        <w:t>住房保障支出（</w:t>
      </w:r>
      <w:r>
        <w:rPr>
          <w:rStyle w:val="20"/>
          <w:rFonts w:hint="eastAsia" w:ascii="仿宋" w:hAnsi="仿宋" w:eastAsia="仿宋" w:cstheme="minorBidi"/>
          <w:bCs/>
          <w:sz w:val="32"/>
          <w:szCs w:val="32"/>
          <w:lang w:val="en-US" w:eastAsia="zh-CN"/>
        </w:rPr>
        <w:t>221</w:t>
      </w:r>
      <w:r>
        <w:rPr>
          <w:rStyle w:val="20"/>
          <w:rFonts w:hint="eastAsia" w:ascii="仿宋" w:hAnsi="仿宋" w:eastAsia="仿宋" w:cstheme="minorBidi"/>
          <w:bCs/>
          <w:sz w:val="32"/>
          <w:szCs w:val="32"/>
          <w:lang w:eastAsia="zh-CN"/>
        </w:rPr>
        <w:t>）</w:t>
      </w:r>
    </w:p>
    <w:p>
      <w:pPr>
        <w:spacing w:line="600" w:lineRule="exact"/>
        <w:ind w:firstLine="643" w:firstLineChars="200"/>
        <w:rPr>
          <w:rStyle w:val="20"/>
          <w:rFonts w:hint="eastAsia" w:ascii="仿宋" w:hAnsi="仿宋" w:eastAsia="仿宋" w:cstheme="minorBidi"/>
          <w:bCs/>
          <w:sz w:val="32"/>
          <w:szCs w:val="32"/>
          <w:lang w:eastAsia="zh-CN"/>
        </w:rPr>
      </w:pPr>
      <w:r>
        <w:rPr>
          <w:rStyle w:val="20"/>
          <w:rFonts w:hint="eastAsia" w:ascii="仿宋" w:hAnsi="仿宋" w:eastAsia="仿宋" w:cstheme="minorBidi"/>
          <w:bCs/>
          <w:sz w:val="32"/>
          <w:szCs w:val="32"/>
          <w:lang w:eastAsia="zh-CN"/>
        </w:rPr>
        <w:t>（</w:t>
      </w:r>
      <w:r>
        <w:rPr>
          <w:rStyle w:val="20"/>
          <w:rFonts w:hint="eastAsia" w:ascii="仿宋" w:hAnsi="仿宋" w:eastAsia="仿宋" w:cstheme="minorBidi"/>
          <w:bCs/>
          <w:sz w:val="32"/>
          <w:szCs w:val="32"/>
          <w:lang w:val="en-US" w:eastAsia="zh-CN"/>
        </w:rPr>
        <w:t>1</w:t>
      </w:r>
      <w:r>
        <w:rPr>
          <w:rStyle w:val="20"/>
          <w:rFonts w:hint="eastAsia" w:ascii="仿宋" w:hAnsi="仿宋" w:eastAsia="仿宋" w:cstheme="minorBidi"/>
          <w:bCs/>
          <w:sz w:val="32"/>
          <w:szCs w:val="32"/>
          <w:lang w:eastAsia="zh-CN"/>
        </w:rPr>
        <w:t>）住房改革支出（</w:t>
      </w:r>
      <w:r>
        <w:rPr>
          <w:rStyle w:val="20"/>
          <w:rFonts w:hint="eastAsia" w:ascii="仿宋" w:hAnsi="仿宋" w:eastAsia="仿宋" w:cstheme="minorBidi"/>
          <w:bCs/>
          <w:sz w:val="32"/>
          <w:szCs w:val="32"/>
          <w:lang w:val="en-US" w:eastAsia="zh-CN"/>
        </w:rPr>
        <w:t>22102</w:t>
      </w:r>
      <w:r>
        <w:rPr>
          <w:rStyle w:val="20"/>
          <w:rFonts w:hint="eastAsia" w:ascii="仿宋" w:hAnsi="仿宋" w:eastAsia="仿宋" w:cstheme="minorBidi"/>
          <w:bCs/>
          <w:sz w:val="32"/>
          <w:szCs w:val="32"/>
          <w:lang w:eastAsia="zh-CN"/>
        </w:rPr>
        <w:t>）</w:t>
      </w:r>
    </w:p>
    <w:p>
      <w:pPr>
        <w:spacing w:line="600" w:lineRule="exact"/>
        <w:ind w:firstLine="643" w:firstLineChars="200"/>
        <w:rPr>
          <w:rFonts w:ascii="仿宋" w:hAnsi="仿宋" w:eastAsia="仿宋"/>
          <w:b/>
          <w:sz w:val="32"/>
          <w:szCs w:val="32"/>
        </w:rPr>
      </w:pPr>
      <w:r>
        <w:rPr>
          <w:rStyle w:val="20"/>
          <w:rFonts w:hint="eastAsia" w:ascii="仿宋" w:hAnsi="仿宋" w:eastAsia="仿宋" w:cstheme="minorBidi"/>
          <w:bCs/>
          <w:sz w:val="32"/>
          <w:szCs w:val="32"/>
          <w:lang w:eastAsia="zh-CN"/>
        </w:rPr>
        <w:t>住房公积金（</w:t>
      </w:r>
      <w:r>
        <w:rPr>
          <w:rStyle w:val="20"/>
          <w:rFonts w:hint="eastAsia" w:ascii="仿宋" w:hAnsi="仿宋" w:eastAsia="仿宋" w:cstheme="minorBidi"/>
          <w:bCs/>
          <w:sz w:val="32"/>
          <w:szCs w:val="32"/>
          <w:lang w:val="en-US" w:eastAsia="zh-CN"/>
        </w:rPr>
        <w:t>2210201</w:t>
      </w:r>
      <w:r>
        <w:rPr>
          <w:rStyle w:val="20"/>
          <w:rFonts w:hint="eastAsia" w:ascii="仿宋" w:hAnsi="仿宋" w:eastAsia="仿宋" w:cstheme="minorBidi"/>
          <w:bCs/>
          <w:sz w:val="32"/>
          <w:szCs w:val="32"/>
          <w:lang w:eastAsia="zh-CN"/>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18.25</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lang w:eastAsia="zh-CN"/>
        </w:rPr>
        <w:t>。</w:t>
      </w:r>
    </w:p>
    <w:p>
      <w:pPr>
        <w:tabs>
          <w:tab w:val="right" w:pos="8306"/>
        </w:tabs>
        <w:spacing w:line="600" w:lineRule="exact"/>
        <w:ind w:firstLine="640"/>
        <w:outlineLvl w:val="1"/>
        <w:rPr>
          <w:rStyle w:val="32"/>
        </w:rPr>
      </w:pPr>
      <w:bookmarkStart w:id="38" w:name="_Toc15396608"/>
      <w:bookmarkStart w:id="39"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2"/>
          <w:rFonts w:hint="eastAsia" w:ascii="黑体" w:hAnsi="黑体" w:eastAsia="黑体"/>
          <w:b w:val="0"/>
        </w:rPr>
        <w:t>般公共预算财政拨款基本支出决算情况说明</w:t>
      </w:r>
      <w:bookmarkEnd w:id="38"/>
      <w:bookmarkEnd w:id="39"/>
      <w:r>
        <w:rPr>
          <w:rStyle w:val="32"/>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年一般公共预算财政拨款基本支出</w:t>
      </w:r>
      <w:r>
        <w:rPr>
          <w:rFonts w:hint="eastAsia" w:ascii="仿宋" w:hAnsi="仿宋" w:eastAsia="仿宋"/>
          <w:sz w:val="32"/>
          <w:szCs w:val="32"/>
          <w:lang w:val="en-US" w:eastAsia="zh-CN"/>
        </w:rPr>
        <w:t>238.71</w:t>
      </w:r>
      <w:r>
        <w:rPr>
          <w:rFonts w:hint="eastAsia" w:ascii="仿宋" w:hAnsi="仿宋" w:eastAsia="仿宋"/>
          <w:sz w:val="32"/>
          <w:szCs w:val="32"/>
        </w:rPr>
        <w:t>万元，其中：</w:t>
      </w:r>
    </w:p>
    <w:p>
      <w:pPr>
        <w:spacing w:line="600" w:lineRule="exact"/>
        <w:ind w:firstLine="645"/>
        <w:rPr>
          <w:rFonts w:ascii="仿宋" w:hAnsi="仿宋" w:eastAsia="仿宋"/>
          <w:b/>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206.54</w:t>
      </w:r>
      <w:r>
        <w:rPr>
          <w:rFonts w:hint="eastAsia" w:ascii="仿宋" w:hAnsi="仿宋" w:eastAsia="仿宋"/>
          <w:sz w:val="32"/>
          <w:szCs w:val="32"/>
        </w:rPr>
        <w:t>万元，主要包括：基本工资、津贴补贴、奖金、绩效工资、机关事业单位基本养老保险缴费、其他社会保障缴费、其他工资福利支出、奖励金、住房公积金、其他对个人和家庭的补助支出等。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lang w:val="en-US" w:eastAsia="zh-CN"/>
        </w:rPr>
        <w:t xml:space="preserve">    </w:t>
      </w:r>
      <w:r>
        <w:rPr>
          <w:rFonts w:hint="eastAsia" w:ascii="仿宋" w:hAnsi="仿宋" w:eastAsia="仿宋"/>
          <w:sz w:val="32"/>
          <w:szCs w:val="32"/>
        </w:rPr>
        <w:t>公用经费</w:t>
      </w:r>
      <w:r>
        <w:rPr>
          <w:rFonts w:hint="eastAsia" w:ascii="仿宋" w:hAnsi="仿宋" w:eastAsia="仿宋"/>
          <w:sz w:val="32"/>
          <w:szCs w:val="32"/>
          <w:lang w:val="en-US" w:eastAsia="zh-CN"/>
        </w:rPr>
        <w:t>32.17</w:t>
      </w:r>
      <w:r>
        <w:rPr>
          <w:rFonts w:hint="eastAsia" w:ascii="仿宋" w:hAnsi="仿宋" w:eastAsia="仿宋"/>
          <w:sz w:val="32"/>
          <w:szCs w:val="32"/>
        </w:rPr>
        <w:t>万元，主要包括：办公费、印刷费、邮电费、差旅费、维修（护）费、公务接待费、工会经费、福利费、公务用车运行维护费、其他交通费、其他商品和服务支出等。</w:t>
      </w:r>
    </w:p>
    <w:p>
      <w:pPr>
        <w:spacing w:line="600" w:lineRule="exact"/>
        <w:ind w:firstLine="640"/>
        <w:outlineLvl w:val="1"/>
        <w:rPr>
          <w:rStyle w:val="32"/>
          <w:rFonts w:ascii="黑体" w:hAnsi="黑体" w:eastAsia="黑体"/>
          <w:b w:val="0"/>
        </w:rPr>
      </w:pPr>
      <w:bookmarkStart w:id="40" w:name="_Toc15396609"/>
      <w:bookmarkStart w:id="41" w:name="_Toc15377215"/>
      <w:r>
        <w:rPr>
          <w:rFonts w:hint="eastAsia" w:ascii="黑体" w:eastAsia="黑体"/>
          <w:sz w:val="32"/>
          <w:szCs w:val="32"/>
        </w:rPr>
        <w:t>七、</w:t>
      </w:r>
      <w:r>
        <w:rPr>
          <w:rStyle w:val="32"/>
          <w:rFonts w:hint="eastAsia" w:ascii="黑体" w:hAnsi="黑体" w:eastAsia="黑体"/>
          <w:b w:val="0"/>
        </w:rPr>
        <w:t>财政拨款</w:t>
      </w:r>
      <w:r>
        <w:rPr>
          <w:rStyle w:val="32"/>
          <w:rFonts w:hint="eastAsia" w:ascii="黑体" w:hAnsi="黑体" w:eastAsia="黑体"/>
        </w:rPr>
        <w:t>“</w:t>
      </w:r>
      <w:r>
        <w:rPr>
          <w:rStyle w:val="32"/>
          <w:rFonts w:hint="eastAsia" w:ascii="黑体" w:hAnsi="黑体" w:eastAsia="黑体"/>
          <w:b w:val="0"/>
        </w:rPr>
        <w:t>三公”经费支出决算情况说明</w:t>
      </w:r>
      <w:bookmarkEnd w:id="40"/>
      <w:bookmarkEnd w:id="41"/>
    </w:p>
    <w:p>
      <w:pPr>
        <w:spacing w:line="600" w:lineRule="exact"/>
        <w:ind w:firstLine="640"/>
        <w:outlineLvl w:val="2"/>
        <w:rPr>
          <w:rFonts w:ascii="仿宋" w:hAnsi="仿宋" w:eastAsia="仿宋"/>
          <w:b/>
          <w:sz w:val="32"/>
          <w:szCs w:val="32"/>
        </w:rPr>
      </w:pPr>
      <w:bookmarkStart w:id="42" w:name="_Toc15377216"/>
      <w:r>
        <w:rPr>
          <w:rFonts w:hint="eastAsia" w:ascii="仿宋" w:hAnsi="仿宋" w:eastAsia="仿宋"/>
          <w:b/>
          <w:sz w:val="32"/>
          <w:szCs w:val="32"/>
        </w:rPr>
        <w:t>（一）“三公”经费财政拨款支出决算总体情况说明</w:t>
      </w:r>
      <w:bookmarkEnd w:id="42"/>
    </w:p>
    <w:p>
      <w:pPr>
        <w:spacing w:line="600" w:lineRule="exact"/>
        <w:ind w:firstLine="64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年“三公”经费财政拨款支出决算为</w:t>
      </w:r>
      <w:r>
        <w:rPr>
          <w:rFonts w:hint="eastAsia" w:ascii="仿宋" w:hAnsi="仿宋" w:eastAsia="仿宋"/>
          <w:sz w:val="32"/>
          <w:szCs w:val="32"/>
          <w:lang w:val="en-US" w:eastAsia="zh-CN"/>
        </w:rPr>
        <w:t>3</w:t>
      </w:r>
      <w:r>
        <w:rPr>
          <w:rFonts w:hint="eastAsia" w:ascii="仿宋" w:hAnsi="仿宋" w:eastAsia="仿宋"/>
          <w:sz w:val="32"/>
          <w:szCs w:val="32"/>
        </w:rPr>
        <w:t>万元，完成预算</w:t>
      </w:r>
      <w:r>
        <w:rPr>
          <w:rFonts w:hint="eastAsia" w:ascii="仿宋" w:hAnsi="仿宋" w:eastAsia="仿宋"/>
          <w:sz w:val="32"/>
          <w:szCs w:val="32"/>
          <w:lang w:val="en-US" w:eastAsia="zh-CN"/>
        </w:rPr>
        <w:t>85.71</w:t>
      </w:r>
      <w:r>
        <w:rPr>
          <w:rFonts w:ascii="仿宋" w:hAnsi="仿宋" w:eastAsia="仿宋"/>
          <w:sz w:val="32"/>
          <w:szCs w:val="32"/>
        </w:rPr>
        <w:t>%</w:t>
      </w:r>
      <w:r>
        <w:rPr>
          <w:rFonts w:hint="eastAsia" w:ascii="仿宋" w:hAnsi="仿宋" w:eastAsia="仿宋"/>
          <w:sz w:val="32"/>
          <w:szCs w:val="32"/>
        </w:rPr>
        <w:t>，较上年</w:t>
      </w:r>
      <w:r>
        <w:rPr>
          <w:rFonts w:hint="eastAsia" w:ascii="仿宋" w:hAnsi="仿宋" w:eastAsia="仿宋"/>
          <w:sz w:val="32"/>
          <w:szCs w:val="32"/>
          <w:lang w:eastAsia="zh-CN"/>
        </w:rPr>
        <w:t>持平</w:t>
      </w:r>
      <w:r>
        <w:rPr>
          <w:rFonts w:hint="eastAsia" w:ascii="仿宋" w:hAnsi="仿宋" w:eastAsia="仿宋"/>
          <w:sz w:val="32"/>
          <w:szCs w:val="32"/>
        </w:rPr>
        <w:t>。决算数小于预算数的主要原因是</w:t>
      </w:r>
      <w:r>
        <w:rPr>
          <w:rFonts w:hint="eastAsia" w:ascii="仿宋" w:hAnsi="仿宋" w:eastAsia="仿宋"/>
          <w:sz w:val="32"/>
          <w:szCs w:val="32"/>
          <w:lang w:eastAsia="zh-CN"/>
        </w:rPr>
        <w:t>认真落实中央八项规定，严格控制三公经费开支</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bookmarkStart w:id="43" w:name="_Toc15377217"/>
      <w:r>
        <w:rPr>
          <w:rFonts w:hint="eastAsia" w:ascii="仿宋" w:hAnsi="仿宋" w:eastAsia="仿宋"/>
          <w:b/>
          <w:sz w:val="32"/>
          <w:szCs w:val="32"/>
        </w:rPr>
        <w:t>（二）“三公”经费财政拨款支出决算具体情况说明</w:t>
      </w:r>
      <w:bookmarkEnd w:id="43"/>
    </w:p>
    <w:p>
      <w:pPr>
        <w:spacing w:line="600" w:lineRule="exact"/>
        <w:ind w:firstLine="640"/>
        <w:rPr>
          <w:rFonts w:hint="eastAsia"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2.5</w:t>
      </w:r>
      <w:r>
        <w:rPr>
          <w:rFonts w:hint="eastAsia" w:ascii="仿宋" w:hAnsi="仿宋" w:eastAsia="仿宋"/>
          <w:sz w:val="32"/>
          <w:szCs w:val="32"/>
        </w:rPr>
        <w:t>万元，占</w:t>
      </w:r>
      <w:r>
        <w:rPr>
          <w:rFonts w:hint="eastAsia" w:ascii="仿宋" w:hAnsi="仿宋" w:eastAsia="仿宋"/>
          <w:sz w:val="32"/>
          <w:szCs w:val="32"/>
          <w:lang w:val="en-US" w:eastAsia="zh-CN"/>
        </w:rPr>
        <w:t>83.33</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0.5</w:t>
      </w:r>
      <w:r>
        <w:rPr>
          <w:rFonts w:hint="eastAsia" w:ascii="仿宋" w:hAnsi="仿宋" w:eastAsia="仿宋"/>
          <w:sz w:val="32"/>
          <w:szCs w:val="32"/>
        </w:rPr>
        <w:t>万元，占</w:t>
      </w:r>
      <w:r>
        <w:rPr>
          <w:rFonts w:hint="eastAsia" w:ascii="仿宋" w:hAnsi="仿宋" w:eastAsia="仿宋"/>
          <w:sz w:val="32"/>
          <w:szCs w:val="32"/>
          <w:lang w:val="en-US" w:eastAsia="zh-CN"/>
        </w:rPr>
        <w:t>16.67</w:t>
      </w:r>
      <w:r>
        <w:rPr>
          <w:rFonts w:ascii="仿宋" w:hAnsi="仿宋" w:eastAsia="仿宋"/>
          <w:sz w:val="32"/>
          <w:szCs w:val="32"/>
        </w:rPr>
        <w:t>%</w:t>
      </w:r>
      <w:r>
        <w:rPr>
          <w:rFonts w:hint="eastAsia" w:ascii="仿宋" w:hAnsi="仿宋" w:eastAsia="仿宋"/>
          <w:sz w:val="32"/>
          <w:szCs w:val="32"/>
        </w:rPr>
        <w:t>。具体情况如下：</w:t>
      </w:r>
    </w:p>
    <w:p>
      <w:pPr>
        <w:pStyle w:val="10"/>
        <w:rPr>
          <w:rFonts w:hint="default" w:eastAsia="仿宋"/>
          <w:lang w:val="en-US" w:eastAsia="zh-CN"/>
        </w:rPr>
      </w:pPr>
      <w:r>
        <w:rPr>
          <w:rFonts w:hint="eastAsia" w:eastAsia="仿宋"/>
          <w:lang w:eastAsia="zh-CN"/>
        </w:rPr>
        <w:drawing>
          <wp:inline distT="0" distB="0" distL="114300" distR="114300">
            <wp:extent cx="3321050" cy="1972310"/>
            <wp:effectExtent l="5080" t="4445" r="7620" b="2349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eastAsia="仿宋"/>
          <w:lang w:val="en-US" w:eastAsia="zh-CN"/>
        </w:rPr>
        <w:t xml:space="preserve">   图7</w:t>
      </w:r>
    </w:p>
    <w:p>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0</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人。因公出国（境）支出决算比</w:t>
      </w:r>
      <w:r>
        <w:rPr>
          <w:rFonts w:hint="eastAsia" w:ascii="仿宋_GB2312" w:eastAsia="仿宋_GB2312"/>
          <w:sz w:val="32"/>
          <w:szCs w:val="32"/>
          <w:lang w:eastAsia="zh-CN"/>
        </w:rPr>
        <w:t>2022年</w:t>
      </w:r>
      <w:r>
        <w:rPr>
          <w:rFonts w:hint="eastAsia" w:ascii="仿宋_GB2312" w:eastAsia="仿宋_GB2312"/>
          <w:sz w:val="32"/>
          <w:szCs w:val="32"/>
        </w:rPr>
        <w:t>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2.5</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公务用车购置及运行维护费支出决算</w:t>
      </w:r>
      <w:r>
        <w:rPr>
          <w:rFonts w:hint="eastAsia" w:ascii="仿宋_GB2312" w:eastAsia="仿宋_GB2312"/>
          <w:sz w:val="32"/>
          <w:szCs w:val="32"/>
          <w:lang w:eastAsia="zh-CN"/>
        </w:rPr>
        <w:t>与2022年持平</w:t>
      </w:r>
      <w:r>
        <w:rPr>
          <w:rFonts w:hint="eastAsia" w:ascii="仿宋_GB2312" w:eastAsia="仿宋_GB2312"/>
          <w:sz w:val="32"/>
          <w:szCs w:val="32"/>
        </w:rPr>
        <w:t>。</w:t>
      </w:r>
    </w:p>
    <w:p>
      <w:pPr>
        <w:spacing w:line="600" w:lineRule="exact"/>
        <w:ind w:firstLine="640"/>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hint="eastAsia" w:ascii="仿宋_GB2312" w:eastAsia="仿宋_GB2312"/>
          <w:sz w:val="32"/>
          <w:szCs w:val="32"/>
          <w:lang w:eastAsia="zh-CN"/>
        </w:rPr>
        <w:t>2023</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1</w:t>
      </w:r>
      <w:r>
        <w:rPr>
          <w:rFonts w:hint="eastAsia" w:ascii="仿宋_GB2312" w:eastAsia="仿宋_GB2312"/>
          <w:sz w:val="32"/>
          <w:szCs w:val="32"/>
        </w:rPr>
        <w:t>辆，其中：轿车</w:t>
      </w:r>
      <w:r>
        <w:rPr>
          <w:rFonts w:hint="eastAsia" w:ascii="仿宋_GB2312" w:eastAsia="仿宋_GB2312"/>
          <w:sz w:val="32"/>
          <w:szCs w:val="32"/>
          <w:lang w:val="en-US" w:eastAsia="zh-CN"/>
        </w:rPr>
        <w:t>1</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2.5</w:t>
      </w:r>
      <w:r>
        <w:rPr>
          <w:rFonts w:hint="eastAsia" w:ascii="仿宋_GB2312" w:eastAsia="仿宋_GB2312"/>
          <w:sz w:val="32"/>
          <w:szCs w:val="32"/>
        </w:rPr>
        <w:t>万元。主要用于</w:t>
      </w:r>
      <w:r>
        <w:rPr>
          <w:rFonts w:hint="eastAsia" w:ascii="宋体" w:hAnsi="宋体" w:eastAsia="方正仿宋简体" w:cs="方正仿宋简体"/>
          <w:color w:val="000000"/>
          <w:sz w:val="33"/>
          <w:szCs w:val="33"/>
        </w:rPr>
        <w:t>到省、市开会、处访，到乡镇督查和开展其他业务工作</w:t>
      </w:r>
      <w:r>
        <w:rPr>
          <w:rFonts w:hint="eastAsia" w:ascii="仿宋_GB2312" w:eastAsia="仿宋_GB2312"/>
          <w:sz w:val="32"/>
          <w:szCs w:val="32"/>
        </w:rPr>
        <w:t>等所需的公务用车燃料费、维修费、过路过桥费、保险费等支出。</w:t>
      </w:r>
    </w:p>
    <w:p>
      <w:pPr>
        <w:spacing w:line="600" w:lineRule="exact"/>
        <w:ind w:firstLine="640"/>
        <w:rPr>
          <w:rFonts w:ascii="仿宋" w:hAnsi="仿宋" w:eastAsia="仿宋"/>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0.5</w:t>
      </w:r>
      <w:r>
        <w:rPr>
          <w:rFonts w:hint="eastAsia" w:ascii="仿宋_GB2312" w:eastAsia="仿宋_GB2312"/>
          <w:sz w:val="32"/>
          <w:szCs w:val="32"/>
        </w:rPr>
        <w:t>万元，</w:t>
      </w:r>
      <w:r>
        <w:rPr>
          <w:rStyle w:val="20"/>
          <w:rFonts w:hint="eastAsia" w:ascii="仿宋" w:hAnsi="仿宋" w:eastAsia="仿宋"/>
          <w:b w:val="0"/>
          <w:bCs/>
          <w:sz w:val="32"/>
          <w:szCs w:val="32"/>
        </w:rPr>
        <w:t>完成预</w:t>
      </w:r>
      <w:r>
        <w:rPr>
          <w:rStyle w:val="20"/>
          <w:rFonts w:hint="eastAsia" w:ascii="仿宋" w:hAnsi="仿宋" w:eastAsia="仿宋"/>
          <w:b w:val="0"/>
          <w:bCs/>
          <w:color w:val="auto"/>
          <w:sz w:val="32"/>
          <w:szCs w:val="32"/>
        </w:rPr>
        <w:t>算</w:t>
      </w:r>
      <w:r>
        <w:rPr>
          <w:rStyle w:val="20"/>
          <w:rFonts w:hint="eastAsia" w:ascii="仿宋" w:hAnsi="仿宋" w:eastAsia="仿宋"/>
          <w:b w:val="0"/>
          <w:bCs/>
          <w:color w:val="auto"/>
          <w:sz w:val="32"/>
          <w:szCs w:val="32"/>
          <w:lang w:val="en-US" w:eastAsia="zh-CN"/>
        </w:rPr>
        <w:t>50</w:t>
      </w:r>
      <w:r>
        <w:rPr>
          <w:rStyle w:val="20"/>
          <w:rFonts w:ascii="仿宋" w:hAnsi="仿宋" w:eastAsia="仿宋"/>
          <w:b w:val="0"/>
          <w:bCs/>
          <w:color w:val="auto"/>
          <w:sz w:val="32"/>
          <w:szCs w:val="32"/>
        </w:rPr>
        <w:t>%</w:t>
      </w:r>
      <w:r>
        <w:rPr>
          <w:rStyle w:val="20"/>
          <w:rFonts w:hint="eastAsia" w:ascii="仿宋" w:hAnsi="仿宋" w:eastAsia="仿宋"/>
          <w:b w:val="0"/>
          <w:bCs/>
          <w:color w:val="auto"/>
          <w:sz w:val="32"/>
          <w:szCs w:val="32"/>
        </w:rPr>
        <w:t>。</w:t>
      </w:r>
      <w:r>
        <w:rPr>
          <w:rFonts w:hint="eastAsia" w:ascii="仿宋_GB2312" w:eastAsia="仿宋_GB2312"/>
          <w:color w:val="auto"/>
          <w:sz w:val="32"/>
          <w:szCs w:val="32"/>
        </w:rPr>
        <w:t>公务接待费支出决算</w:t>
      </w:r>
      <w:r>
        <w:rPr>
          <w:rFonts w:hint="eastAsia" w:ascii="仿宋_GB2312" w:eastAsia="仿宋_GB2312"/>
          <w:color w:val="auto"/>
          <w:sz w:val="32"/>
          <w:szCs w:val="32"/>
          <w:lang w:eastAsia="zh-CN"/>
        </w:rPr>
        <w:t>与2022年基本持平</w:t>
      </w:r>
      <w:r>
        <w:rPr>
          <w:rFonts w:hint="eastAsia" w:ascii="仿宋_GB2312" w:eastAsia="仿宋_GB2312"/>
          <w:color w:val="auto"/>
          <w:sz w:val="32"/>
          <w:szCs w:val="32"/>
        </w:rPr>
        <w:t>。主要原因是</w:t>
      </w:r>
      <w:r>
        <w:rPr>
          <w:rFonts w:hint="eastAsia" w:ascii="仿宋" w:hAnsi="仿宋" w:eastAsia="仿宋"/>
          <w:color w:val="auto"/>
          <w:sz w:val="32"/>
          <w:szCs w:val="32"/>
          <w:lang w:eastAsia="zh-CN"/>
        </w:rPr>
        <w:t>认真落实</w:t>
      </w:r>
      <w:r>
        <w:rPr>
          <w:rFonts w:hint="eastAsia" w:ascii="仿宋" w:hAnsi="仿宋" w:eastAsia="仿宋"/>
          <w:sz w:val="32"/>
          <w:szCs w:val="32"/>
          <w:lang w:eastAsia="zh-CN"/>
        </w:rPr>
        <w:t>中央八项规定，严格控制三公经费开支</w:t>
      </w:r>
      <w:r>
        <w:rPr>
          <w:rFonts w:hint="eastAsia" w:ascii="仿宋" w:hAnsi="仿宋" w:eastAsia="仿宋"/>
          <w:sz w:val="32"/>
          <w:szCs w:val="32"/>
        </w:rPr>
        <w:t>。</w:t>
      </w:r>
    </w:p>
    <w:p>
      <w:pPr>
        <w:spacing w:line="600" w:lineRule="exact"/>
        <w:rPr>
          <w:rFonts w:ascii="仿宋_GB2312" w:eastAsia="仿宋_GB2312"/>
          <w:sz w:val="32"/>
          <w:szCs w:val="32"/>
        </w:rPr>
      </w:pPr>
      <w:r>
        <w:rPr>
          <w:rFonts w:hint="eastAsia" w:ascii="仿宋_GB2312" w:eastAsia="仿宋_GB2312"/>
          <w:sz w:val="32"/>
          <w:szCs w:val="32"/>
        </w:rPr>
        <w:t>其中：</w:t>
      </w:r>
    </w:p>
    <w:p>
      <w:pPr>
        <w:spacing w:line="600" w:lineRule="exact"/>
        <w:ind w:firstLine="640"/>
        <w:rPr>
          <w:rFonts w:ascii="仿宋_GB2312" w:eastAsia="仿宋_GB2312"/>
          <w:color w:val="auto"/>
          <w:sz w:val="32"/>
          <w:szCs w:val="32"/>
        </w:rPr>
      </w:pPr>
      <w:r>
        <w:rPr>
          <w:rFonts w:hint="eastAsia" w:ascii="仿宋" w:hAnsi="仿宋" w:eastAsia="仿宋"/>
          <w:b/>
          <w:sz w:val="32"/>
          <w:szCs w:val="32"/>
        </w:rPr>
        <w:t>国内公务接待支出</w:t>
      </w:r>
      <w:r>
        <w:rPr>
          <w:rFonts w:hint="eastAsia" w:ascii="仿宋" w:hAnsi="仿宋" w:eastAsia="仿宋"/>
          <w:sz w:val="32"/>
          <w:szCs w:val="32"/>
          <w:lang w:val="en-US" w:eastAsia="zh-CN"/>
        </w:rPr>
        <w:t>0.5</w:t>
      </w:r>
      <w:r>
        <w:rPr>
          <w:rFonts w:hint="eastAsia" w:ascii="仿宋_GB2312" w:eastAsia="仿宋_GB2312"/>
          <w:sz w:val="32"/>
          <w:szCs w:val="32"/>
        </w:rPr>
        <w:t>万元，主要用于</w:t>
      </w:r>
      <w:r>
        <w:rPr>
          <w:rFonts w:hint="eastAsia" w:ascii="Times New Roman" w:hAnsi="Times New Roman" w:eastAsia="仿宋_GB2312" w:cs="Times New Roman"/>
          <w:color w:val="000000"/>
          <w:sz w:val="32"/>
          <w:szCs w:val="32"/>
        </w:rPr>
        <w:t>上级检查、考察调研</w:t>
      </w:r>
      <w:r>
        <w:rPr>
          <w:rFonts w:hint="eastAsia" w:ascii="Times New Roman" w:hAnsi="Times New Roman" w:eastAsia="仿宋_GB2312" w:cs="Times New Roman"/>
          <w:color w:val="000000"/>
          <w:sz w:val="32"/>
          <w:szCs w:val="32"/>
          <w:lang w:eastAsia="zh-CN"/>
        </w:rPr>
        <w:t>等执行公务的用餐费</w:t>
      </w:r>
      <w:r>
        <w:rPr>
          <w:rFonts w:hint="eastAsia" w:ascii="仿宋_GB2312" w:eastAsia="仿宋_GB2312"/>
          <w:sz w:val="32"/>
          <w:szCs w:val="32"/>
        </w:rPr>
        <w:t>。国内</w:t>
      </w:r>
      <w:r>
        <w:rPr>
          <w:rFonts w:hint="eastAsia" w:ascii="仿宋_GB2312" w:eastAsia="仿宋_GB2312"/>
          <w:color w:val="auto"/>
          <w:sz w:val="32"/>
          <w:szCs w:val="32"/>
        </w:rPr>
        <w:t>公务接待</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批次，</w:t>
      </w:r>
      <w:r>
        <w:rPr>
          <w:rFonts w:hint="eastAsia" w:ascii="仿宋_GB2312" w:eastAsia="仿宋_GB2312"/>
          <w:color w:val="auto"/>
          <w:sz w:val="32"/>
          <w:szCs w:val="32"/>
          <w:lang w:val="en-US" w:eastAsia="zh-CN"/>
        </w:rPr>
        <w:t>55</w:t>
      </w:r>
      <w:r>
        <w:rPr>
          <w:rFonts w:hint="eastAsia" w:ascii="仿宋_GB2312" w:eastAsia="仿宋_GB2312"/>
          <w:color w:val="auto"/>
          <w:sz w:val="32"/>
          <w:szCs w:val="32"/>
        </w:rPr>
        <w:t>人次，共计支出</w:t>
      </w:r>
      <w:r>
        <w:rPr>
          <w:rFonts w:hint="eastAsia" w:ascii="仿宋_GB2312" w:eastAsia="仿宋_GB2312"/>
          <w:color w:val="auto"/>
          <w:sz w:val="32"/>
          <w:szCs w:val="32"/>
          <w:lang w:val="en-US" w:eastAsia="zh-CN"/>
        </w:rPr>
        <w:t>0.5</w:t>
      </w:r>
      <w:r>
        <w:rPr>
          <w:rFonts w:hint="eastAsia" w:ascii="仿宋_GB2312" w:eastAsia="仿宋_GB2312"/>
          <w:color w:val="auto"/>
          <w:sz w:val="32"/>
          <w:szCs w:val="32"/>
        </w:rPr>
        <w:t>万元，具体内容包括：</w:t>
      </w:r>
      <w:r>
        <w:rPr>
          <w:rFonts w:hint="eastAsia" w:ascii="仿宋_GB2312" w:eastAsia="仿宋_GB2312"/>
          <w:color w:val="auto"/>
          <w:sz w:val="32"/>
          <w:szCs w:val="32"/>
          <w:lang w:eastAsia="zh-CN"/>
        </w:rPr>
        <w:t>接待市督查组</w:t>
      </w:r>
      <w:r>
        <w:rPr>
          <w:rFonts w:hint="eastAsia" w:ascii="仿宋_GB2312" w:eastAsia="仿宋_GB2312"/>
          <w:color w:val="auto"/>
          <w:sz w:val="32"/>
          <w:szCs w:val="32"/>
          <w:lang w:val="en-US" w:eastAsia="zh-CN"/>
        </w:rPr>
        <w:t>、大运会期间督查等</w:t>
      </w:r>
      <w:r>
        <w:rPr>
          <w:rFonts w:hint="eastAsia" w:ascii="仿宋_GB2312" w:eastAsia="仿宋_GB2312"/>
          <w:color w:val="auto"/>
          <w:sz w:val="32"/>
          <w:szCs w:val="32"/>
        </w:rPr>
        <w:t>。</w:t>
      </w:r>
    </w:p>
    <w:p>
      <w:pPr>
        <w:spacing w:line="600" w:lineRule="exact"/>
        <w:ind w:firstLine="643" w:firstLineChars="200"/>
        <w:rPr>
          <w:rFonts w:ascii="仿宋_GB2312" w:eastAsia="仿宋_GB2312"/>
          <w:color w:val="auto"/>
          <w:sz w:val="32"/>
          <w:szCs w:val="32"/>
        </w:rPr>
      </w:pPr>
      <w:r>
        <w:rPr>
          <w:rFonts w:hint="eastAsia" w:ascii="仿宋" w:hAnsi="仿宋" w:eastAsia="仿宋"/>
          <w:b/>
          <w:color w:val="auto"/>
          <w:sz w:val="32"/>
          <w:szCs w:val="32"/>
        </w:rPr>
        <w:t>外事接待支出</w:t>
      </w:r>
      <w:r>
        <w:rPr>
          <w:rFonts w:hint="eastAsia" w:ascii="仿宋" w:hAnsi="仿宋" w:eastAsia="仿宋"/>
          <w:color w:val="auto"/>
          <w:sz w:val="32"/>
          <w:szCs w:val="32"/>
          <w:lang w:val="en-US" w:eastAsia="zh-CN"/>
        </w:rPr>
        <w:t>0</w:t>
      </w:r>
      <w:r>
        <w:rPr>
          <w:rFonts w:hint="eastAsia" w:ascii="仿宋_GB2312" w:eastAsia="仿宋_GB2312"/>
          <w:color w:val="auto"/>
          <w:sz w:val="32"/>
          <w:szCs w:val="32"/>
        </w:rPr>
        <w:t>万元。外事接待</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批次，</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人次，共计支出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p>
    <w:p>
      <w:pPr>
        <w:spacing w:line="600" w:lineRule="exact"/>
        <w:ind w:firstLine="640"/>
        <w:outlineLvl w:val="1"/>
        <w:rPr>
          <w:rStyle w:val="32"/>
          <w:rFonts w:ascii="黑体" w:hAnsi="黑体" w:eastAsia="黑体"/>
          <w:color w:val="auto"/>
        </w:rPr>
      </w:pPr>
      <w:bookmarkStart w:id="44" w:name="_Toc15377218"/>
      <w:bookmarkStart w:id="45" w:name="_Toc15396610"/>
      <w:r>
        <w:rPr>
          <w:rFonts w:hint="eastAsia" w:ascii="黑体" w:eastAsia="黑体"/>
          <w:color w:val="auto"/>
          <w:sz w:val="32"/>
          <w:szCs w:val="32"/>
        </w:rPr>
        <w:t>八、</w:t>
      </w:r>
      <w:r>
        <w:rPr>
          <w:rStyle w:val="32"/>
          <w:rFonts w:hint="eastAsia" w:ascii="黑体" w:hAnsi="黑体" w:eastAsia="黑体"/>
          <w:b w:val="0"/>
          <w:color w:val="auto"/>
        </w:rPr>
        <w:t>政府性基金预算支出决算情况说明</w:t>
      </w:r>
      <w:bookmarkEnd w:id="44"/>
      <w:bookmarkEnd w:id="45"/>
    </w:p>
    <w:p>
      <w:pPr>
        <w:spacing w:line="600" w:lineRule="exact"/>
        <w:ind w:firstLine="640"/>
        <w:rPr>
          <w:rFonts w:ascii="仿宋_GB2312" w:eastAsia="仿宋_GB2312"/>
          <w:color w:val="auto"/>
          <w:sz w:val="32"/>
          <w:szCs w:val="32"/>
        </w:rPr>
      </w:pPr>
      <w:r>
        <w:rPr>
          <w:rFonts w:hint="eastAsia" w:ascii="仿宋_GB2312" w:eastAsia="仿宋_GB2312"/>
          <w:color w:val="auto"/>
          <w:sz w:val="32"/>
          <w:szCs w:val="32"/>
          <w:lang w:eastAsia="zh-CN"/>
        </w:rPr>
        <w:t>2023</w:t>
      </w:r>
      <w:r>
        <w:rPr>
          <w:rFonts w:hint="eastAsia" w:ascii="仿宋_GB2312" w:eastAsia="仿宋_GB2312"/>
          <w:color w:val="auto"/>
          <w:sz w:val="32"/>
          <w:szCs w:val="32"/>
        </w:rPr>
        <w:t>年政府性基金预算财政拨款支出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p>
    <w:p>
      <w:pPr>
        <w:numPr>
          <w:ilvl w:val="0"/>
          <w:numId w:val="4"/>
        </w:numPr>
        <w:spacing w:line="600" w:lineRule="exact"/>
        <w:ind w:firstLine="640"/>
        <w:outlineLvl w:val="1"/>
        <w:rPr>
          <w:rStyle w:val="32"/>
          <w:rFonts w:ascii="黑体" w:hAnsi="黑体" w:eastAsia="黑体"/>
          <w:b w:val="0"/>
          <w:color w:val="auto"/>
        </w:rPr>
      </w:pPr>
      <w:bookmarkStart w:id="46" w:name="_Toc15396611"/>
      <w:bookmarkStart w:id="47" w:name="_Toc15377219"/>
      <w:r>
        <w:rPr>
          <w:rStyle w:val="32"/>
          <w:rFonts w:hint="eastAsia" w:ascii="黑体" w:hAnsi="黑体" w:eastAsia="黑体"/>
          <w:b w:val="0"/>
          <w:color w:val="auto"/>
        </w:rPr>
        <w:t>国有资本经营预算支出决算情况说明</w:t>
      </w:r>
      <w:bookmarkEnd w:id="46"/>
      <w:bookmarkEnd w:id="47"/>
    </w:p>
    <w:p>
      <w:pPr>
        <w:spacing w:line="600" w:lineRule="exact"/>
        <w:ind w:firstLine="640"/>
        <w:rPr>
          <w:rFonts w:ascii="方正小标宋简体" w:hAnsi="方正小标宋简体" w:eastAsia="方正小标宋简体" w:cs="方正小标宋简体"/>
          <w:color w:val="auto"/>
          <w:sz w:val="44"/>
          <w:szCs w:val="44"/>
        </w:rPr>
      </w:pPr>
      <w:r>
        <w:rPr>
          <w:rFonts w:hint="eastAsia" w:ascii="仿宋_GB2312" w:eastAsia="仿宋_GB2312"/>
          <w:color w:val="auto"/>
          <w:sz w:val="32"/>
          <w:szCs w:val="32"/>
          <w:lang w:eastAsia="zh-CN"/>
        </w:rPr>
        <w:t>2023</w:t>
      </w:r>
      <w:r>
        <w:rPr>
          <w:rFonts w:hint="eastAsia" w:ascii="仿宋_GB2312" w:eastAsia="仿宋_GB2312"/>
          <w:color w:val="auto"/>
          <w:sz w:val="32"/>
          <w:szCs w:val="32"/>
        </w:rPr>
        <w:t>年国有资本经营预算财政拨款支出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p>
    <w:p>
      <w:pPr>
        <w:numPr>
          <w:ilvl w:val="0"/>
          <w:numId w:val="4"/>
        </w:numPr>
        <w:spacing w:line="600" w:lineRule="exact"/>
        <w:ind w:firstLine="640"/>
        <w:outlineLvl w:val="1"/>
        <w:rPr>
          <w:rStyle w:val="32"/>
          <w:rFonts w:ascii="黑体" w:hAnsi="黑体" w:eastAsia="黑体"/>
          <w:b w:val="0"/>
          <w:color w:val="auto"/>
        </w:rPr>
      </w:pPr>
      <w:bookmarkStart w:id="48" w:name="_Toc15396612"/>
      <w:bookmarkStart w:id="49" w:name="_Toc15377221"/>
      <w:r>
        <w:rPr>
          <w:rStyle w:val="32"/>
          <w:rFonts w:hint="eastAsia" w:ascii="黑体" w:hAnsi="黑体" w:eastAsia="黑体"/>
          <w:b w:val="0"/>
          <w:color w:val="auto"/>
        </w:rPr>
        <w:t>其他重要事项的情况说明</w:t>
      </w:r>
      <w:bookmarkEnd w:id="48"/>
      <w:bookmarkEnd w:id="49"/>
    </w:p>
    <w:p>
      <w:pPr>
        <w:spacing w:line="600" w:lineRule="exact"/>
        <w:ind w:firstLine="643" w:firstLineChars="200"/>
        <w:outlineLvl w:val="2"/>
        <w:rPr>
          <w:rFonts w:ascii="仿宋" w:hAnsi="仿宋" w:eastAsia="仿宋"/>
          <w:color w:val="auto"/>
          <w:sz w:val="32"/>
          <w:szCs w:val="32"/>
        </w:rPr>
      </w:pPr>
      <w:bookmarkStart w:id="50" w:name="_Toc15377222"/>
      <w:r>
        <w:rPr>
          <w:rFonts w:hint="eastAsia" w:ascii="仿宋" w:hAnsi="仿宋" w:eastAsia="仿宋"/>
          <w:b/>
          <w:color w:val="auto"/>
          <w:sz w:val="32"/>
          <w:szCs w:val="32"/>
        </w:rPr>
        <w:t>（一）机关运行经费支出情况</w:t>
      </w:r>
      <w:bookmarkEnd w:id="50"/>
    </w:p>
    <w:p>
      <w:pPr>
        <w:spacing w:line="60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eastAsia="zh-CN"/>
        </w:rPr>
        <w:t>2023</w:t>
      </w:r>
      <w:r>
        <w:rPr>
          <w:rFonts w:hint="eastAsia" w:ascii="仿宋_GB2312" w:eastAsia="仿宋_GB2312"/>
          <w:color w:val="auto"/>
          <w:sz w:val="32"/>
          <w:szCs w:val="32"/>
        </w:rPr>
        <w:t>年，</w:t>
      </w:r>
      <w:r>
        <w:rPr>
          <w:rFonts w:hint="eastAsia" w:ascii="仿宋_GB2312" w:eastAsia="仿宋_GB2312"/>
          <w:color w:val="auto"/>
          <w:sz w:val="32"/>
          <w:szCs w:val="32"/>
          <w:lang w:eastAsia="zh-CN"/>
        </w:rPr>
        <w:t>乐至县信访局</w:t>
      </w:r>
      <w:r>
        <w:rPr>
          <w:rFonts w:hint="eastAsia" w:ascii="仿宋_GB2312" w:eastAsia="仿宋_GB2312"/>
          <w:color w:val="auto"/>
          <w:sz w:val="32"/>
          <w:szCs w:val="32"/>
        </w:rPr>
        <w:t>机关运行经费支出</w:t>
      </w:r>
      <w:r>
        <w:rPr>
          <w:rFonts w:hint="eastAsia" w:ascii="仿宋_GB2312" w:eastAsia="仿宋_GB2312"/>
          <w:color w:val="auto"/>
          <w:sz w:val="32"/>
          <w:szCs w:val="32"/>
          <w:lang w:val="en-US" w:eastAsia="zh-CN"/>
        </w:rPr>
        <w:t>32.17</w:t>
      </w:r>
      <w:r>
        <w:rPr>
          <w:rFonts w:hint="eastAsia" w:ascii="仿宋_GB2312" w:eastAsia="仿宋_GB2312"/>
          <w:color w:val="auto"/>
          <w:sz w:val="32"/>
          <w:szCs w:val="32"/>
        </w:rPr>
        <w:t>万元，比</w:t>
      </w:r>
      <w:r>
        <w:rPr>
          <w:rFonts w:hint="eastAsia" w:ascii="仿宋_GB2312" w:eastAsia="仿宋_GB2312"/>
          <w:color w:val="auto"/>
          <w:sz w:val="32"/>
          <w:szCs w:val="32"/>
          <w:lang w:eastAsia="zh-CN"/>
        </w:rPr>
        <w:t>2022年</w:t>
      </w:r>
      <w:r>
        <w:rPr>
          <w:rFonts w:hint="eastAsia" w:ascii="仿宋_GB2312" w:eastAsia="仿宋_GB2312"/>
          <w:color w:val="auto"/>
          <w:sz w:val="32"/>
          <w:szCs w:val="32"/>
        </w:rPr>
        <w:t>增加</w:t>
      </w:r>
      <w:r>
        <w:rPr>
          <w:rFonts w:hint="eastAsia" w:ascii="仿宋_GB2312" w:eastAsia="仿宋_GB2312"/>
          <w:color w:val="auto"/>
          <w:sz w:val="32"/>
          <w:szCs w:val="32"/>
          <w:lang w:val="en-US" w:eastAsia="zh-CN"/>
        </w:rPr>
        <w:t>7.03</w:t>
      </w:r>
      <w:r>
        <w:rPr>
          <w:rFonts w:hint="eastAsia" w:ascii="仿宋_GB2312" w:eastAsia="仿宋_GB2312"/>
          <w:color w:val="auto"/>
          <w:sz w:val="32"/>
          <w:szCs w:val="32"/>
        </w:rPr>
        <w:t>万元，增长</w:t>
      </w:r>
      <w:r>
        <w:rPr>
          <w:rFonts w:hint="eastAsia" w:ascii="仿宋_GB2312" w:eastAsia="仿宋_GB2312"/>
          <w:color w:val="auto"/>
          <w:sz w:val="32"/>
          <w:szCs w:val="32"/>
          <w:lang w:val="en-US" w:eastAsia="zh-CN"/>
        </w:rPr>
        <w:t>27.96</w:t>
      </w:r>
      <w:r>
        <w:rPr>
          <w:rFonts w:ascii="仿宋_GB2312" w:eastAsia="仿宋_GB2312"/>
          <w:color w:val="auto"/>
          <w:sz w:val="32"/>
          <w:szCs w:val="32"/>
        </w:rPr>
        <w:t>%</w:t>
      </w:r>
      <w:r>
        <w:rPr>
          <w:rFonts w:hint="eastAsia" w:ascii="仿宋_GB2312" w:eastAsia="仿宋_GB2312"/>
          <w:color w:val="auto"/>
          <w:sz w:val="32"/>
          <w:szCs w:val="32"/>
        </w:rPr>
        <w:t>。主要原因是</w:t>
      </w:r>
      <w:r>
        <w:rPr>
          <w:rFonts w:hint="eastAsia" w:ascii="仿宋_GB2312" w:eastAsia="仿宋_GB2312"/>
          <w:color w:val="auto"/>
          <w:sz w:val="32"/>
          <w:szCs w:val="32"/>
          <w:lang w:eastAsia="zh-CN"/>
        </w:rPr>
        <w:t>增加其他交通费用</w:t>
      </w:r>
      <w:r>
        <w:rPr>
          <w:rFonts w:hint="eastAsia" w:ascii="仿宋_GB2312" w:eastAsia="仿宋_GB2312"/>
          <w:color w:val="auto"/>
          <w:sz w:val="32"/>
          <w:szCs w:val="32"/>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rPr>
      </w:pPr>
      <w:bookmarkStart w:id="51" w:name="_Toc15377223"/>
      <w:r>
        <w:rPr>
          <w:rFonts w:hint="eastAsia" w:ascii="仿宋" w:hAnsi="仿宋" w:eastAsia="仿宋"/>
          <w:b/>
          <w:color w:val="auto"/>
          <w:sz w:val="32"/>
          <w:szCs w:val="32"/>
        </w:rPr>
        <w:t>（二）政府采购支出情况</w:t>
      </w:r>
      <w:bookmarkEnd w:id="51"/>
    </w:p>
    <w:p>
      <w:pPr>
        <w:spacing w:line="60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eastAsia="zh-CN"/>
        </w:rPr>
        <w:t>2023</w:t>
      </w:r>
      <w:r>
        <w:rPr>
          <w:rFonts w:hint="eastAsia" w:ascii="仿宋_GB2312" w:eastAsia="仿宋_GB2312"/>
          <w:color w:val="auto"/>
          <w:sz w:val="32"/>
          <w:szCs w:val="32"/>
        </w:rPr>
        <w:t>年，</w:t>
      </w:r>
      <w:r>
        <w:rPr>
          <w:rFonts w:hint="eastAsia" w:ascii="仿宋_GB2312" w:eastAsia="仿宋_GB2312"/>
          <w:color w:val="auto"/>
          <w:sz w:val="32"/>
          <w:szCs w:val="32"/>
          <w:lang w:eastAsia="zh-CN"/>
        </w:rPr>
        <w:t>乐至县信访局</w:t>
      </w:r>
      <w:r>
        <w:rPr>
          <w:rFonts w:hint="eastAsia" w:ascii="仿宋_GB2312" w:eastAsia="仿宋_GB2312"/>
          <w:color w:val="auto"/>
          <w:sz w:val="32"/>
          <w:szCs w:val="32"/>
        </w:rPr>
        <w:t>政府采购支出总额</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万元，其中：政府采购货物支出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万元、政府采购工程支出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万元、政府采购服务支出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万元。授予中小企业合同金额</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万元，占政府采购支出总额的</w:t>
      </w:r>
      <w:r>
        <w:rPr>
          <w:rFonts w:hint="eastAsia" w:ascii="仿宋_GB2312" w:eastAsia="仿宋_GB2312"/>
          <w:color w:val="auto"/>
          <w:sz w:val="32"/>
          <w:szCs w:val="32"/>
          <w:lang w:val="en-US" w:eastAsia="zh-CN"/>
        </w:rPr>
        <w:t>0</w:t>
      </w:r>
      <w:r>
        <w:rPr>
          <w:rFonts w:ascii="仿宋_GB2312" w:eastAsia="仿宋_GB2312"/>
          <w:color w:val="auto"/>
          <w:sz w:val="32"/>
          <w:szCs w:val="32"/>
        </w:rPr>
        <w:t>%</w:t>
      </w:r>
      <w:r>
        <w:rPr>
          <w:rFonts w:hint="eastAsia" w:ascii="仿宋_GB2312" w:eastAsia="仿宋_GB2312"/>
          <w:color w:val="auto"/>
          <w:sz w:val="32"/>
          <w:szCs w:val="32"/>
        </w:rPr>
        <w:t>，其中：授予小微企业合同金额</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万元，占政府采购支出总额的</w:t>
      </w:r>
      <w:r>
        <w:rPr>
          <w:rFonts w:hint="eastAsia" w:ascii="仿宋_GB2312" w:eastAsia="仿宋_GB2312"/>
          <w:color w:val="auto"/>
          <w:sz w:val="32"/>
          <w:szCs w:val="32"/>
          <w:lang w:val="en-US" w:eastAsia="zh-CN"/>
        </w:rPr>
        <w:t>0</w:t>
      </w:r>
      <w:r>
        <w:rPr>
          <w:rFonts w:ascii="仿宋_GB2312" w:eastAsia="仿宋_GB2312"/>
          <w:color w:val="auto"/>
          <w:sz w:val="32"/>
          <w:szCs w:val="32"/>
        </w:rPr>
        <w:t>%</w:t>
      </w:r>
      <w:r>
        <w:rPr>
          <w:rFonts w:hint="eastAsia" w:ascii="仿宋_GB2312" w:eastAsia="仿宋_GB2312"/>
          <w:color w:val="auto"/>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52" w:name="_Toc15377224"/>
      <w:r>
        <w:rPr>
          <w:rFonts w:hint="eastAsia" w:ascii="仿宋" w:hAnsi="仿宋" w:eastAsia="仿宋"/>
          <w:b/>
          <w:sz w:val="32"/>
          <w:szCs w:val="32"/>
        </w:rPr>
        <w:t>（三）国有资产占有使用情况</w:t>
      </w:r>
      <w:bookmarkEnd w:id="52"/>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eastAsia="zh-CN"/>
        </w:rPr>
        <w:t>2023</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乐至县信访局</w:t>
      </w:r>
      <w:r>
        <w:rPr>
          <w:rFonts w:hint="eastAsia" w:ascii="仿宋_GB2312" w:eastAsia="仿宋_GB2312"/>
          <w:sz w:val="32"/>
          <w:szCs w:val="32"/>
        </w:rPr>
        <w:t>共有车辆</w:t>
      </w:r>
      <w:r>
        <w:rPr>
          <w:rFonts w:hint="eastAsia" w:ascii="仿宋_GB2312" w:eastAsia="仿宋_GB2312"/>
          <w:sz w:val="32"/>
          <w:szCs w:val="32"/>
          <w:lang w:val="en-US" w:eastAsia="zh-CN"/>
        </w:rPr>
        <w:t>1</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1</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辆，其他用车主要是用于</w:t>
      </w:r>
      <w:r>
        <w:rPr>
          <w:rFonts w:hint="eastAsia" w:ascii="宋体" w:hAnsi="宋体" w:eastAsia="方正仿宋简体" w:cs="方正仿宋简体"/>
          <w:color w:val="000000"/>
          <w:sz w:val="33"/>
          <w:szCs w:val="33"/>
        </w:rPr>
        <w:t>到省、市开会、处访，到乡镇督查和开展其他业务工作</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w:t>
      </w:r>
      <w:r>
        <w:rPr>
          <w:rFonts w:hint="eastAsia" w:ascii="仿宋_GB2312" w:hAnsi="仿宋_GB2312" w:eastAsia="仿宋_GB2312" w:cs="仿宋_GB2312"/>
          <w:sz w:val="32"/>
          <w:szCs w:val="32"/>
          <w:lang w:eastAsia="zh-CN"/>
        </w:rPr>
        <w:t>2023</w:t>
      </w:r>
      <w:r>
        <w:rPr>
          <w:rFonts w:hint="eastAsia" w:ascii="仿宋_GB2312" w:hAnsi="仿宋_GB2312" w:eastAsia="仿宋_GB2312" w:cs="仿宋_GB2312"/>
          <w:sz w:val="32"/>
          <w:szCs w:val="32"/>
        </w:rPr>
        <w:t>年度预算编制阶段，组织对重大敏感政治活动处访工作经费项目（项目名称）等</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个项目开展绩效监控。</w:t>
      </w:r>
    </w:p>
    <w:p>
      <w:pPr>
        <w:widowControl/>
        <w:ind w:firstLine="640" w:firstLineChars="200"/>
        <w:jc w:val="left"/>
        <w:rPr>
          <w:rFonts w:ascii="仿宋_GB2312" w:eastAsia="仿宋_GB2312"/>
          <w:b/>
          <w:sz w:val="32"/>
          <w:szCs w:val="32"/>
        </w:rPr>
      </w:pPr>
      <w:r>
        <w:rPr>
          <w:rFonts w:hint="eastAsia" w:ascii="仿宋_GB2312" w:hAnsi="仿宋_GB2312" w:eastAsia="仿宋_GB2312" w:cs="仿宋_GB2312"/>
          <w:sz w:val="32"/>
          <w:szCs w:val="32"/>
        </w:rPr>
        <w:t>组织对</w:t>
      </w:r>
      <w:r>
        <w:rPr>
          <w:rFonts w:hint="eastAsia" w:ascii="仿宋_GB2312" w:hAnsi="仿宋_GB2312" w:eastAsia="仿宋_GB2312" w:cs="仿宋_GB2312"/>
          <w:sz w:val="32"/>
          <w:szCs w:val="32"/>
          <w:lang w:eastAsia="zh-CN"/>
        </w:rPr>
        <w:t>2023</w:t>
      </w:r>
      <w:r>
        <w:rPr>
          <w:rFonts w:hint="eastAsia" w:ascii="仿宋_GB2312" w:hAnsi="仿宋_GB2312" w:eastAsia="仿宋_GB2312" w:cs="仿宋_GB2312"/>
          <w:sz w:val="32"/>
          <w:szCs w:val="32"/>
        </w:rPr>
        <w:t>年度一般公共预算全面开展绩效自评，形成</w:t>
      </w:r>
      <w:r>
        <w:rPr>
          <w:rFonts w:hint="eastAsia" w:ascii="仿宋_GB2312" w:hAnsi="仿宋_GB2312" w:eastAsia="仿宋_GB2312" w:cs="仿宋_GB2312"/>
          <w:sz w:val="32"/>
          <w:szCs w:val="32"/>
          <w:lang w:eastAsia="zh-CN"/>
        </w:rPr>
        <w:t>乐至县信访局</w:t>
      </w:r>
      <w:r>
        <w:rPr>
          <w:rFonts w:hint="eastAsia" w:ascii="仿宋_GB2312" w:hAnsi="仿宋_GB2312" w:eastAsia="仿宋_GB2312" w:cs="仿宋_GB2312"/>
          <w:sz w:val="32"/>
          <w:szCs w:val="32"/>
        </w:rPr>
        <w:t>部门整体（含部门预算项目）绩效自评报告、</w:t>
      </w:r>
      <w:r>
        <w:rPr>
          <w:rFonts w:hint="eastAsia" w:ascii="仿宋_GB2312" w:hAnsi="仿宋_GB2312" w:eastAsia="仿宋_GB2312" w:cs="仿宋_GB2312"/>
          <w:sz w:val="32"/>
          <w:szCs w:val="32"/>
          <w:lang w:eastAsia="zh-CN"/>
        </w:rPr>
        <w:t>乐至县信访局部门项目</w:t>
      </w:r>
      <w:r>
        <w:rPr>
          <w:rFonts w:hint="eastAsia" w:ascii="仿宋_GB2312" w:hAnsi="仿宋_GB2312" w:eastAsia="仿宋_GB2312" w:cs="仿宋_GB2312"/>
          <w:sz w:val="32"/>
          <w:szCs w:val="32"/>
        </w:rPr>
        <w:t>绩效自评报告等专项预算项目绩效自评报告，其中，</w:t>
      </w:r>
      <w:r>
        <w:rPr>
          <w:rFonts w:hint="eastAsia" w:ascii="仿宋_GB2312" w:hAnsi="仿宋_GB2312" w:eastAsia="仿宋_GB2312" w:cs="仿宋_GB2312"/>
          <w:sz w:val="32"/>
          <w:szCs w:val="32"/>
          <w:lang w:eastAsia="zh-CN"/>
        </w:rPr>
        <w:t>乐至县信访局</w:t>
      </w:r>
      <w:r>
        <w:rPr>
          <w:rFonts w:hint="eastAsia" w:ascii="仿宋_GB2312" w:hAnsi="仿宋_GB2312" w:eastAsia="仿宋_GB2312" w:cs="仿宋_GB2312"/>
          <w:sz w:val="32"/>
          <w:szCs w:val="32"/>
        </w:rPr>
        <w:t>部门整体（含部门预算项目）绩效自评得分为</w:t>
      </w:r>
      <w:r>
        <w:rPr>
          <w:rFonts w:hint="eastAsia" w:ascii="仿宋_GB2312" w:hAnsi="仿宋_GB2312" w:eastAsia="仿宋_GB2312" w:cs="仿宋_GB2312"/>
          <w:sz w:val="32"/>
          <w:szCs w:val="32"/>
          <w:lang w:val="en-US" w:eastAsia="zh-CN"/>
        </w:rPr>
        <w:t>94</w:t>
      </w:r>
      <w:r>
        <w:rPr>
          <w:rFonts w:hint="eastAsia" w:ascii="仿宋_GB2312" w:hAnsi="仿宋_GB2312" w:eastAsia="仿宋_GB2312" w:cs="仿宋_GB2312"/>
          <w:sz w:val="32"/>
          <w:szCs w:val="32"/>
        </w:rPr>
        <w:t>分，绩效自评综述：</w:t>
      </w:r>
      <w:r>
        <w:rPr>
          <w:rFonts w:hint="eastAsia" w:ascii="方正仿宋简体" w:hAnsi="方正仿宋简体" w:eastAsia="方正仿宋简体" w:cs="方正仿宋简体"/>
          <w:kern w:val="2"/>
          <w:sz w:val="32"/>
          <w:szCs w:val="32"/>
          <w:lang w:val="en-US" w:eastAsia="zh-CN" w:bidi="ar-SA"/>
        </w:rPr>
        <w:t>在2023年度部门整体绩效自评工作中，我局认真筹划，严密组织，以严谨、务实的态度，不折不扣的落实县委、县政府和县财政局的相关要求，认真收集整理评价资料，全面真实反映年度部门整体经费使用管理情况，对照县信访局2023年部门整体支出绩效自评体系评分表，我局自评分94分，自评结果为“优”</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乐至县信访局</w:t>
      </w:r>
      <w:r>
        <w:rPr>
          <w:rFonts w:hint="eastAsia" w:ascii="仿宋_GB2312" w:hAnsi="仿宋_GB2312" w:eastAsia="仿宋_GB2312" w:cs="仿宋_GB2312"/>
          <w:sz w:val="32"/>
          <w:szCs w:val="32"/>
        </w:rPr>
        <w:t>专项预算项目绩效自评得分为</w:t>
      </w:r>
      <w:r>
        <w:rPr>
          <w:rFonts w:hint="eastAsia" w:ascii="仿宋_GB2312" w:hAnsi="仿宋_GB2312" w:eastAsia="仿宋_GB2312" w:cs="仿宋_GB2312"/>
          <w:sz w:val="32"/>
          <w:szCs w:val="32"/>
          <w:lang w:val="en-US" w:eastAsia="zh-CN"/>
        </w:rPr>
        <w:t>94</w:t>
      </w:r>
      <w:r>
        <w:rPr>
          <w:rFonts w:hint="eastAsia" w:ascii="仿宋_GB2312" w:hAnsi="仿宋_GB2312" w:eastAsia="仿宋_GB2312" w:cs="仿宋_GB2312"/>
          <w:sz w:val="32"/>
          <w:szCs w:val="32"/>
        </w:rPr>
        <w:t>分，绩效自评综述：</w:t>
      </w:r>
      <w:r>
        <w:rPr>
          <w:rFonts w:hint="eastAsia" w:ascii="方正仿宋简体" w:hAnsi="方正仿宋简体" w:eastAsia="方正仿宋简体" w:cs="方正仿宋简体"/>
          <w:kern w:val="2"/>
          <w:sz w:val="32"/>
          <w:szCs w:val="32"/>
          <w:lang w:val="en-US" w:eastAsia="zh-CN" w:bidi="ar-SA"/>
        </w:rPr>
        <w:t>在2023年度项目绩效自评工作中，我局认真筹划，严密组织，以严谨、务实的态度，不折不扣的落实县委、县政府和县财政局的相关要求，认真收集整理评价资料，全面真实反映年度项目经费使用管理情况，对照县信访局2023年项目支出绩效自评体系评分表，我局自评分94分，自评结果为“优”</w:t>
      </w:r>
      <w:r>
        <w:rPr>
          <w:rFonts w:hint="eastAsia" w:ascii="仿宋_GB2312" w:hAnsi="仿宋_GB2312" w:eastAsia="仿宋_GB2312" w:cs="仿宋_GB2312"/>
          <w:sz w:val="32"/>
          <w:szCs w:val="32"/>
        </w:rPr>
        <w:t>。绩效自评报告详见附件。</w:t>
      </w:r>
    </w:p>
    <w:p>
      <w:pPr>
        <w:pStyle w:val="7"/>
        <w:spacing w:before="93"/>
      </w:pPr>
    </w:p>
    <w:p>
      <w:pPr>
        <w:numPr>
          <w:ilvl w:val="0"/>
          <w:numId w:val="5"/>
        </w:numPr>
        <w:spacing w:line="600" w:lineRule="exact"/>
        <w:ind w:firstLine="660" w:firstLineChars="150"/>
        <w:jc w:val="center"/>
        <w:outlineLvl w:val="0"/>
        <w:rPr>
          <w:rStyle w:val="31"/>
          <w:rFonts w:ascii="黑体" w:hAnsi="黑体" w:eastAsia="黑体"/>
          <w:b w:val="0"/>
        </w:rPr>
      </w:pPr>
      <w:bookmarkStart w:id="53" w:name="_Toc15396613"/>
      <w:bookmarkStart w:id="54" w:name="_Toc15377225"/>
      <w:r>
        <w:rPr>
          <w:rFonts w:hint="eastAsia" w:ascii="黑体" w:hAnsi="黑体" w:eastAsia="黑体"/>
          <w:sz w:val="44"/>
          <w:szCs w:val="44"/>
        </w:rPr>
        <w:t>名</w:t>
      </w:r>
      <w:r>
        <w:rPr>
          <w:rStyle w:val="31"/>
          <w:rFonts w:hint="eastAsia" w:ascii="黑体" w:hAnsi="黑体" w:eastAsia="黑体"/>
          <w:b w:val="0"/>
        </w:rPr>
        <w:t>词解释</w:t>
      </w:r>
      <w:bookmarkEnd w:id="53"/>
      <w:bookmarkEnd w:id="54"/>
    </w:p>
    <w:p>
      <w:pPr>
        <w:spacing w:line="600" w:lineRule="exact"/>
        <w:jc w:val="left"/>
        <w:rPr>
          <w:rFonts w:ascii="宋体"/>
          <w:b/>
          <w:sz w:val="44"/>
          <w:szCs w:val="44"/>
        </w:rPr>
      </w:pP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9"/>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numPr>
          <w:ilvl w:val="0"/>
          <w:numId w:val="0"/>
        </w:num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9.一般公共服务（201）政府办公厅（室）及相关机构事务（20103）：行政运行（2010301）、信访事务（2010308）、事业运行（2010350）：指行政单位用于保障机构正常运行，开展财政管理活动的支出。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10.社会保障和就业（208）行政机关事业单位养老支出（20805）机关事业单位基本养老保险缴费支出（2080505）：指行政事业单位基本养老保险和职业年金等的支出。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11.卫生健康（210）行政事业单位医疗（21011）：行政单位医疗（2101101）、事业单位医疗（2101102）、公务员医疗补助（2101103）：指行政事业单位医疗类的支出。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12.住房保障支出（221）住房改革支出（22102）住房公积金（2210201）指按照国家政策规定用于住房改革方面的支出。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14</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15</w:t>
      </w:r>
      <w:r>
        <w:rPr>
          <w:rFonts w:ascii="仿宋_GB2312" w:eastAsia="仿宋_GB2312"/>
          <w:color w:val="auto"/>
          <w:sz w:val="32"/>
          <w:szCs w:val="32"/>
        </w:rPr>
        <w:t>.</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16</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31"/>
          <w:rFonts w:ascii="黑体" w:hAnsi="黑体" w:eastAsia="黑体"/>
          <w:b w:val="0"/>
        </w:rPr>
      </w:pPr>
      <w:bookmarkStart w:id="55" w:name="_Toc15377226"/>
      <w:r>
        <w:rPr>
          <w:rFonts w:ascii="宋体"/>
          <w:b/>
          <w:sz w:val="44"/>
          <w:szCs w:val="44"/>
        </w:rPr>
        <w:br w:type="page"/>
      </w:r>
      <w:bookmarkStart w:id="56" w:name="_Toc15396614"/>
      <w:r>
        <w:rPr>
          <w:rFonts w:hint="eastAsia" w:ascii="黑体" w:hAnsi="黑体" w:eastAsia="黑体"/>
          <w:sz w:val="44"/>
          <w:szCs w:val="44"/>
        </w:rPr>
        <w:t>第</w:t>
      </w:r>
      <w:r>
        <w:rPr>
          <w:rStyle w:val="31"/>
          <w:rFonts w:hint="eastAsia" w:ascii="黑体" w:hAnsi="黑体" w:eastAsia="黑体"/>
          <w:b w:val="0"/>
        </w:rPr>
        <w:t>四部分 附件</w:t>
      </w:r>
      <w:bookmarkEnd w:id="56"/>
    </w:p>
    <w:p>
      <w:pPr>
        <w:spacing w:line="572" w:lineRule="exact"/>
        <w:jc w:val="left"/>
        <w:outlineLvl w:val="0"/>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1</w:t>
      </w:r>
    </w:p>
    <w:p>
      <w:pPr>
        <w:keepNext w:val="0"/>
        <w:keepLines w:val="0"/>
        <w:pageBreakBefore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sz w:val="44"/>
          <w:szCs w:val="44"/>
          <w:lang w:eastAsia="zh-CN"/>
        </w:rPr>
        <w:t>乐至县信访局</w:t>
      </w:r>
    </w:p>
    <w:p>
      <w:pPr>
        <w:keepNext w:val="0"/>
        <w:keepLines w:val="0"/>
        <w:pageBreakBefore w:val="0"/>
        <w:kinsoku/>
        <w:wordWrap/>
        <w:overflowPunct/>
        <w:topLinePunct w:val="0"/>
        <w:autoSpaceDE/>
        <w:autoSpaceDN/>
        <w:bidi w:val="0"/>
        <w:adjustRightInd/>
        <w:snapToGrid/>
        <w:spacing w:line="590" w:lineRule="exact"/>
        <w:ind w:firstLine="1320" w:firstLineChars="30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202</w:t>
      </w:r>
      <w:r>
        <w:rPr>
          <w:rFonts w:hint="eastAsia" w:ascii="方正小标宋简体" w:hAnsi="方正小标宋简体" w:eastAsia="方正小标宋简体" w:cs="方正小标宋简体"/>
          <w:color w:val="auto"/>
          <w:sz w:val="44"/>
          <w:szCs w:val="44"/>
          <w:lang w:val="en-US" w:eastAsia="zh-CN"/>
        </w:rPr>
        <w:t>3</w:t>
      </w:r>
      <w:r>
        <w:rPr>
          <w:rFonts w:hint="eastAsia" w:ascii="方正小标宋简体" w:hAnsi="方正小标宋简体" w:eastAsia="方正小标宋简体" w:cs="方正小标宋简体"/>
          <w:color w:val="auto"/>
          <w:sz w:val="44"/>
          <w:szCs w:val="44"/>
        </w:rPr>
        <w:t>年度部门整体支出绩效</w:t>
      </w:r>
    </w:p>
    <w:p>
      <w:pPr>
        <w:keepNext w:val="0"/>
        <w:keepLines w:val="0"/>
        <w:pageBreakBefore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 xml:space="preserve">     </w:t>
      </w:r>
      <w:r>
        <w:rPr>
          <w:rFonts w:hint="eastAsia" w:ascii="方正小标宋简体" w:hAnsi="方正小标宋简体" w:eastAsia="方正小标宋简体" w:cs="方正小标宋简体"/>
          <w:color w:val="auto"/>
          <w:sz w:val="44"/>
          <w:szCs w:val="44"/>
        </w:rPr>
        <w:t>自</w:t>
      </w:r>
      <w:r>
        <w:rPr>
          <w:rFonts w:hint="eastAsia" w:ascii="方正小标宋简体" w:hAnsi="方正小标宋简体" w:eastAsia="方正小标宋简体" w:cs="方正小标宋简体"/>
          <w:color w:val="auto"/>
          <w:sz w:val="44"/>
          <w:szCs w:val="44"/>
          <w:lang w:val="en-US" w:eastAsia="zh-CN"/>
        </w:rPr>
        <w:t xml:space="preserve"> </w:t>
      </w:r>
      <w:r>
        <w:rPr>
          <w:rFonts w:hint="eastAsia" w:ascii="方正小标宋简体" w:hAnsi="方正小标宋简体" w:eastAsia="方正小标宋简体" w:cs="方正小标宋简体"/>
          <w:color w:val="auto"/>
          <w:sz w:val="44"/>
          <w:szCs w:val="44"/>
        </w:rPr>
        <w:t>评</w:t>
      </w:r>
      <w:r>
        <w:rPr>
          <w:rFonts w:hint="eastAsia" w:ascii="方正小标宋简体" w:hAnsi="方正小标宋简体" w:eastAsia="方正小标宋简体" w:cs="方正小标宋简体"/>
          <w:color w:val="auto"/>
          <w:sz w:val="44"/>
          <w:szCs w:val="44"/>
          <w:lang w:val="en-US" w:eastAsia="zh-CN"/>
        </w:rPr>
        <w:t xml:space="preserve"> </w:t>
      </w:r>
      <w:r>
        <w:rPr>
          <w:rFonts w:hint="eastAsia" w:ascii="方正小标宋简体" w:hAnsi="方正小标宋简体" w:eastAsia="方正小标宋简体" w:cs="方正小标宋简体"/>
          <w:color w:val="auto"/>
          <w:sz w:val="44"/>
          <w:szCs w:val="44"/>
        </w:rPr>
        <w:t>报</w:t>
      </w:r>
      <w:r>
        <w:rPr>
          <w:rFonts w:hint="eastAsia" w:ascii="方正小标宋简体" w:hAnsi="方正小标宋简体" w:eastAsia="方正小标宋简体" w:cs="方正小标宋简体"/>
          <w:color w:val="auto"/>
          <w:sz w:val="44"/>
          <w:szCs w:val="44"/>
          <w:lang w:val="en-US" w:eastAsia="zh-CN"/>
        </w:rPr>
        <w:t xml:space="preserve"> </w:t>
      </w:r>
      <w:r>
        <w:rPr>
          <w:rFonts w:hint="eastAsia" w:ascii="方正小标宋简体" w:hAnsi="方正小标宋简体" w:eastAsia="方正小标宋简体" w:cs="方正小标宋简体"/>
          <w:color w:val="auto"/>
          <w:sz w:val="44"/>
          <w:szCs w:val="44"/>
        </w:rPr>
        <w:t>告</w:t>
      </w:r>
      <w:r>
        <w:rPr>
          <w:rFonts w:hint="eastAsia" w:ascii="方正小标宋简体" w:hAnsi="方正小标宋简体" w:eastAsia="方正小标宋简体" w:cs="方正小标宋简体"/>
          <w:color w:val="auto"/>
          <w:sz w:val="44"/>
          <w:szCs w:val="44"/>
          <w:lang w:val="en-US" w:eastAsia="zh-CN"/>
        </w:rPr>
        <w:t xml:space="preserve"> </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仿宋简体" w:cs="Times New Roman"/>
          <w:color w:val="auto"/>
          <w:sz w:val="32"/>
          <w:szCs w:val="32"/>
        </w:rPr>
      </w:pPr>
    </w:p>
    <w:p>
      <w:pPr>
        <w:keepNext w:val="0"/>
        <w:keepLines w:val="0"/>
        <w:pageBreakBefore w:val="0"/>
        <w:kinsoku/>
        <w:wordWrap/>
        <w:overflowPunct/>
        <w:topLinePunct w:val="0"/>
        <w:autoSpaceDE/>
        <w:autoSpaceDN/>
        <w:bidi w:val="0"/>
        <w:adjustRightInd/>
        <w:snapToGrid/>
        <w:spacing w:line="590" w:lineRule="exact"/>
        <w:jc w:val="center"/>
        <w:textAlignment w:val="auto"/>
        <w:rPr>
          <w:rFonts w:hint="default" w:ascii="Times New Roman" w:hAnsi="Times New Roman" w:eastAsia="方正小标宋简体" w:cs="Times New Roman"/>
          <w:bCs/>
          <w:color w:val="auto"/>
          <w:kern w:val="0"/>
          <w:sz w:val="32"/>
          <w:szCs w:val="32"/>
        </w:rPr>
      </w:pPr>
      <w:r>
        <w:rPr>
          <w:rFonts w:hint="default" w:ascii="Times New Roman" w:hAnsi="Times New Roman" w:eastAsia="方正黑体简体" w:cs="Times New Roman"/>
          <w:color w:val="auto"/>
          <w:sz w:val="32"/>
          <w:szCs w:val="32"/>
        </w:rPr>
        <w:t>前    言</w:t>
      </w:r>
    </w:p>
    <w:p>
      <w:pPr>
        <w:keepNext w:val="0"/>
        <w:keepLines w:val="0"/>
        <w:pageBreakBefore w:val="0"/>
        <w:kinsoku/>
        <w:wordWrap/>
        <w:overflowPunct/>
        <w:topLinePunct w:val="0"/>
        <w:autoSpaceDE/>
        <w:autoSpaceDN/>
        <w:bidi w:val="0"/>
        <w:adjustRightInd/>
        <w:snapToGrid/>
        <w:spacing w:line="590" w:lineRule="exact"/>
        <w:ind w:left="0" w:leftChars="0" w:firstLine="640" w:firstLineChars="200"/>
        <w:textAlignment w:val="auto"/>
        <w:rPr>
          <w:rFonts w:hint="default" w:ascii="Times New Roman" w:hAnsi="Times New Roman" w:eastAsia="方正黑体简体" w:cs="Times New Roman"/>
          <w:color w:val="auto"/>
          <w:sz w:val="32"/>
          <w:szCs w:val="32"/>
        </w:rPr>
      </w:pPr>
      <w:r>
        <w:rPr>
          <w:rFonts w:hint="default" w:ascii="Times New Roman" w:hAnsi="Times New Roman" w:eastAsia="方正黑体简体" w:cs="Times New Roman"/>
          <w:color w:val="auto"/>
          <w:sz w:val="32"/>
          <w:szCs w:val="32"/>
        </w:rPr>
        <w:t>一、单位概况</w:t>
      </w:r>
    </w:p>
    <w:p>
      <w:pPr>
        <w:keepNext w:val="0"/>
        <w:keepLines w:val="0"/>
        <w:pageBreakBefore w:val="0"/>
        <w:kinsoku/>
        <w:wordWrap/>
        <w:overflowPunct/>
        <w:topLinePunct w:val="0"/>
        <w:autoSpaceDE/>
        <w:autoSpaceDN/>
        <w:bidi w:val="0"/>
        <w:adjustRightInd/>
        <w:snapToGrid/>
        <w:spacing w:line="590" w:lineRule="exact"/>
        <w:ind w:left="0" w:leftChars="0" w:firstLine="643" w:firstLineChars="200"/>
        <w:textAlignment w:val="auto"/>
        <w:rPr>
          <w:rFonts w:hint="default" w:ascii="Times New Roman" w:hAnsi="Times New Roman" w:eastAsia="方正楷体简体" w:cs="Times New Roman"/>
          <w:b/>
          <w:color w:val="auto"/>
          <w:sz w:val="32"/>
          <w:szCs w:val="32"/>
        </w:rPr>
      </w:pPr>
      <w:r>
        <w:rPr>
          <w:rFonts w:hint="default" w:ascii="Times New Roman" w:hAnsi="Times New Roman" w:eastAsia="方正楷体简体" w:cs="Times New Roman"/>
          <w:b/>
          <w:color w:val="auto"/>
          <w:sz w:val="32"/>
          <w:szCs w:val="32"/>
        </w:rPr>
        <w:t>（一）机构组成</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rPr>
        <w:t>乐至县信访局</w:t>
      </w:r>
      <w:r>
        <w:rPr>
          <w:rFonts w:hint="default" w:ascii="Times New Roman" w:hAnsi="Times New Roman" w:eastAsia="方正仿宋简体" w:cs="Times New Roman"/>
          <w:color w:val="auto"/>
          <w:sz w:val="32"/>
          <w:szCs w:val="32"/>
          <w:lang w:eastAsia="zh-CN"/>
        </w:rPr>
        <w:t>是乐至县人民政府工作部门，为正科级。有独立机构编制</w:t>
      </w:r>
      <w:r>
        <w:rPr>
          <w:rFonts w:hint="default" w:ascii="Times New Roman" w:hAnsi="Times New Roman" w:eastAsia="方正仿宋简体" w:cs="Times New Roman"/>
          <w:color w:val="auto"/>
          <w:sz w:val="32"/>
          <w:szCs w:val="32"/>
          <w:lang w:val="en-US" w:eastAsia="zh-CN"/>
        </w:rPr>
        <w:t>2个，其中政府机关单位1个，财政全</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楷体简体" w:cs="Times New Roman"/>
          <w:b/>
          <w:color w:val="auto"/>
          <w:sz w:val="32"/>
          <w:szCs w:val="32"/>
        </w:rPr>
      </w:pPr>
      <w:r>
        <w:rPr>
          <w:rFonts w:hint="default" w:ascii="Times New Roman" w:hAnsi="Times New Roman" w:eastAsia="方正仿宋简体" w:cs="Times New Roman"/>
          <w:color w:val="auto"/>
          <w:sz w:val="32"/>
          <w:szCs w:val="32"/>
          <w:lang w:val="en-US" w:eastAsia="zh-CN"/>
        </w:rPr>
        <w:t>额拨款事业单位1个，独立核算机构1个，是政府机关单位。</w:t>
      </w:r>
      <w:r>
        <w:rPr>
          <w:rFonts w:hint="default" w:ascii="Times New Roman" w:hAnsi="Times New Roman" w:eastAsia="方正仿宋简体" w:cs="Times New Roman"/>
          <w:color w:val="auto"/>
          <w:sz w:val="32"/>
          <w:szCs w:val="32"/>
          <w:lang w:eastAsia="zh-CN"/>
        </w:rPr>
        <w:t>人员</w:t>
      </w:r>
      <w:r>
        <w:rPr>
          <w:rFonts w:hint="default" w:ascii="Times New Roman" w:hAnsi="Times New Roman" w:eastAsia="方正仿宋简体" w:cs="Times New Roman"/>
          <w:color w:val="auto"/>
          <w:sz w:val="32"/>
          <w:szCs w:val="32"/>
        </w:rPr>
        <w:t>编制14名，其中：行政编制11名，事业编制3名。</w:t>
      </w:r>
    </w:p>
    <w:p>
      <w:pPr>
        <w:keepNext w:val="0"/>
        <w:keepLines w:val="0"/>
        <w:pageBreakBefore w:val="0"/>
        <w:numPr>
          <w:ilvl w:val="0"/>
          <w:numId w:val="6"/>
        </w:numPr>
        <w:kinsoku/>
        <w:wordWrap/>
        <w:overflowPunct/>
        <w:topLinePunct w:val="0"/>
        <w:autoSpaceDE/>
        <w:autoSpaceDN/>
        <w:bidi w:val="0"/>
        <w:adjustRightInd/>
        <w:snapToGrid/>
        <w:spacing w:line="590" w:lineRule="exact"/>
        <w:ind w:left="0" w:leftChars="0" w:firstLine="643" w:firstLineChars="200"/>
        <w:textAlignment w:val="auto"/>
        <w:rPr>
          <w:rFonts w:hint="default" w:ascii="Times New Roman" w:hAnsi="Times New Roman" w:eastAsia="方正楷体简体" w:cs="Times New Roman"/>
          <w:b/>
          <w:color w:val="auto"/>
          <w:sz w:val="32"/>
          <w:szCs w:val="32"/>
        </w:rPr>
      </w:pPr>
      <w:r>
        <w:rPr>
          <w:rFonts w:hint="default" w:ascii="Times New Roman" w:hAnsi="Times New Roman" w:eastAsia="方正楷体简体" w:cs="Times New Roman"/>
          <w:b/>
          <w:color w:val="auto"/>
          <w:sz w:val="32"/>
          <w:szCs w:val="32"/>
        </w:rPr>
        <w:t>机构职能</w:t>
      </w:r>
    </w:p>
    <w:p>
      <w:pPr>
        <w:keepNext w:val="0"/>
        <w:keepLines w:val="0"/>
        <w:pageBreakBefore w:val="0"/>
        <w:kinsoku/>
        <w:wordWrap/>
        <w:overflowPunct/>
        <w:topLinePunct w:val="0"/>
        <w:autoSpaceDE/>
        <w:autoSpaceDN/>
        <w:bidi w:val="0"/>
        <w:adjustRightInd/>
        <w:snapToGrid/>
        <w:spacing w:line="590" w:lineRule="exact"/>
        <w:ind w:left="0" w:leftChars="0" w:firstLine="640" w:firstLineChars="200"/>
        <w:textAlignment w:val="auto"/>
        <w:rPr>
          <w:rFonts w:hint="default" w:ascii="Times New Roman" w:hAnsi="Times New Roman" w:cs="Times New Roman"/>
          <w:color w:val="auto"/>
          <w:sz w:val="32"/>
          <w:szCs w:val="32"/>
        </w:rPr>
      </w:pPr>
      <w:r>
        <w:rPr>
          <w:rFonts w:hint="default" w:ascii="Times New Roman" w:hAnsi="Times New Roman" w:eastAsia="方正仿宋简体" w:cs="Times New Roman"/>
          <w:color w:val="auto"/>
          <w:sz w:val="32"/>
          <w:szCs w:val="32"/>
        </w:rPr>
        <w:t>乐至县信访局</w:t>
      </w:r>
      <w:r>
        <w:rPr>
          <w:rFonts w:hint="default" w:ascii="Times New Roman" w:hAnsi="Times New Roman" w:eastAsia="方正仿宋简体" w:cs="Times New Roman"/>
          <w:color w:val="auto"/>
          <w:sz w:val="32"/>
          <w:szCs w:val="32"/>
          <w:lang w:eastAsia="zh-CN"/>
        </w:rPr>
        <w:t>贯彻落实党中央关于信访工作的方针政策和省委、市委、县委的决策部署，在履行职责过程中坚持和加强党对信访工作的集中统一领导</w:t>
      </w:r>
      <w:r>
        <w:rPr>
          <w:rFonts w:hint="default" w:ascii="Times New Roman" w:hAnsi="Times New Roman" w:eastAsia="方正仿宋简体" w:cs="Times New Roman"/>
          <w:color w:val="auto"/>
          <w:sz w:val="32"/>
          <w:szCs w:val="32"/>
        </w:rPr>
        <w:t>。其主要职责：</w:t>
      </w:r>
    </w:p>
    <w:p>
      <w:pPr>
        <w:keepNext w:val="0"/>
        <w:keepLines w:val="0"/>
        <w:pageBreakBefore w:val="0"/>
        <w:kinsoku/>
        <w:wordWrap/>
        <w:overflowPunct/>
        <w:topLinePunct w:val="0"/>
        <w:autoSpaceDE/>
        <w:autoSpaceDN/>
        <w:bidi w:val="0"/>
        <w:adjustRightInd/>
        <w:snapToGrid/>
        <w:spacing w:line="590" w:lineRule="exact"/>
        <w:ind w:left="0" w:leftChars="0" w:firstLine="480" w:firstLineChars="150"/>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（1）</w:t>
      </w:r>
      <w:r>
        <w:rPr>
          <w:rFonts w:hint="default" w:ascii="Times New Roman" w:hAnsi="Times New Roman" w:eastAsia="方正仿宋简体" w:cs="Times New Roman"/>
          <w:color w:val="auto"/>
          <w:sz w:val="32"/>
          <w:szCs w:val="32"/>
          <w:lang w:eastAsia="zh-CN"/>
        </w:rPr>
        <w:t>起草有关信访工作的政策、制度，制定信访问题排查化解、风险评估等制度并组织实施，提出改进和加强信访工作的意见和建议。</w:t>
      </w:r>
    </w:p>
    <w:p>
      <w:pPr>
        <w:keepNext w:val="0"/>
        <w:keepLines w:val="0"/>
        <w:pageBreakBefore w:val="0"/>
        <w:widowControl w:val="0"/>
        <w:kinsoku/>
        <w:wordWrap/>
        <w:overflowPunct/>
        <w:topLinePunct w:val="0"/>
        <w:autoSpaceDE/>
        <w:autoSpaceDN/>
        <w:bidi w:val="0"/>
        <w:adjustRightInd/>
        <w:snapToGrid/>
        <w:spacing w:line="590" w:lineRule="exact"/>
        <w:ind w:left="0" w:leftChars="0" w:firstLine="480" w:firstLineChars="150"/>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（2）</w:t>
      </w:r>
      <w:r>
        <w:rPr>
          <w:rFonts w:hint="default" w:ascii="Times New Roman" w:hAnsi="Times New Roman" w:eastAsia="方正仿宋简体" w:cs="Times New Roman"/>
          <w:color w:val="auto"/>
          <w:sz w:val="32"/>
          <w:szCs w:val="32"/>
          <w:lang w:eastAsia="zh-CN"/>
        </w:rPr>
        <w:t>负责向县委、县政府反映来信来电来访中提出的重要建议、意见和问题，综合研判信访信息，开展社情民意调查研究，提出制定修改完善有关政策和工作的建议。</w:t>
      </w:r>
    </w:p>
    <w:p>
      <w:pPr>
        <w:keepNext w:val="0"/>
        <w:keepLines w:val="0"/>
        <w:pageBreakBefore w:val="0"/>
        <w:widowControl w:val="0"/>
        <w:kinsoku/>
        <w:wordWrap/>
        <w:overflowPunct/>
        <w:topLinePunct w:val="0"/>
        <w:autoSpaceDE/>
        <w:autoSpaceDN/>
        <w:bidi w:val="0"/>
        <w:adjustRightInd/>
        <w:snapToGrid/>
        <w:spacing w:line="590" w:lineRule="exact"/>
        <w:ind w:left="0" w:leftChars="0" w:firstLine="480" w:firstLineChars="15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（3）</w:t>
      </w:r>
      <w:r>
        <w:rPr>
          <w:rFonts w:hint="default" w:ascii="Times New Roman" w:hAnsi="Times New Roman" w:eastAsia="方正仿宋简体" w:cs="Times New Roman"/>
          <w:color w:val="auto"/>
          <w:sz w:val="32"/>
          <w:szCs w:val="32"/>
          <w:lang w:eastAsia="zh-CN"/>
        </w:rPr>
        <w:t>综合协调指导全县信访工作，督促检查各乡镇和县级各部门（单位）信访工作，总结推广各地、各部门信访工作经验，协调信访工作宣传和信息发布。</w:t>
      </w:r>
    </w:p>
    <w:p>
      <w:pPr>
        <w:keepNext w:val="0"/>
        <w:keepLines w:val="0"/>
        <w:pageBreakBefore w:val="0"/>
        <w:kinsoku/>
        <w:wordWrap/>
        <w:overflowPunct/>
        <w:topLinePunct w:val="0"/>
        <w:autoSpaceDE/>
        <w:autoSpaceDN/>
        <w:bidi w:val="0"/>
        <w:adjustRightInd/>
        <w:snapToGrid/>
        <w:spacing w:line="590" w:lineRule="exact"/>
        <w:ind w:left="0" w:leftChars="0" w:firstLine="480" w:firstLineChars="150"/>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（4）</w:t>
      </w:r>
      <w:r>
        <w:rPr>
          <w:rFonts w:hint="default" w:ascii="Times New Roman" w:hAnsi="Times New Roman" w:eastAsia="方正仿宋简体" w:cs="Times New Roman"/>
          <w:color w:val="auto"/>
          <w:sz w:val="32"/>
          <w:szCs w:val="32"/>
          <w:lang w:eastAsia="zh-CN"/>
        </w:rPr>
        <w:t>负责处理县内外群众、境外人士、法人及其他组织通过信访渠道给县委、县政府及领导同志的来信来电，接待来访</w:t>
      </w:r>
      <w:r>
        <w:rPr>
          <w:rFonts w:hint="default" w:ascii="Times New Roman" w:hAnsi="Times New Roman" w:eastAsia="方正仿宋简体" w:cs="Times New Roman"/>
          <w:color w:val="auto"/>
          <w:sz w:val="32"/>
          <w:szCs w:val="32"/>
        </w:rPr>
        <w:t>承</w:t>
      </w:r>
      <w:r>
        <w:rPr>
          <w:rFonts w:hint="default" w:ascii="Times New Roman" w:hAnsi="Times New Roman" w:eastAsia="方正仿宋简体" w:cs="Times New Roman"/>
          <w:color w:val="auto"/>
          <w:sz w:val="32"/>
          <w:szCs w:val="32"/>
          <w:lang w:eastAsia="zh-CN"/>
        </w:rPr>
        <w:t>。</w:t>
      </w:r>
    </w:p>
    <w:p>
      <w:pPr>
        <w:pStyle w:val="2"/>
        <w:keepNext w:val="0"/>
        <w:keepLines w:val="0"/>
        <w:pageBreakBefore w:val="0"/>
        <w:kinsoku/>
        <w:wordWrap/>
        <w:overflowPunct/>
        <w:topLinePunct w:val="0"/>
        <w:autoSpaceDE/>
        <w:autoSpaceDN/>
        <w:bidi w:val="0"/>
        <w:adjustRightInd/>
        <w:snapToGrid/>
        <w:spacing w:line="590" w:lineRule="exact"/>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lang w:val="en-US" w:eastAsia="zh-CN"/>
        </w:rPr>
        <w:t>（5）承担协调处理群众进京和到省委、省政府，市委、市政</w:t>
      </w:r>
    </w:p>
    <w:p>
      <w:pPr>
        <w:pStyle w:val="2"/>
        <w:keepNext w:val="0"/>
        <w:keepLines w:val="0"/>
        <w:pageBreakBefore w:val="0"/>
        <w:kinsoku/>
        <w:wordWrap/>
        <w:overflowPunct/>
        <w:topLinePunct w:val="0"/>
        <w:autoSpaceDE/>
        <w:autoSpaceDN/>
        <w:bidi w:val="0"/>
        <w:adjustRightInd/>
        <w:snapToGrid/>
        <w:spacing w:line="590" w:lineRule="exact"/>
        <w:ind w:left="0" w:leftChars="0" w:firstLine="0" w:firstLineChars="0"/>
        <w:textAlignment w:val="auto"/>
        <w:rPr>
          <w:rFonts w:hint="default" w:ascii="Times New Roman" w:hAnsi="Times New Roman" w:cs="Times New Roman"/>
          <w:color w:val="auto"/>
          <w:sz w:val="32"/>
          <w:szCs w:val="32"/>
          <w:lang w:val="en-US"/>
        </w:rPr>
      </w:pPr>
      <w:r>
        <w:rPr>
          <w:rFonts w:hint="default" w:ascii="Times New Roman" w:hAnsi="Times New Roman" w:eastAsia="方正仿宋简体" w:cs="Times New Roman"/>
          <w:color w:val="auto"/>
          <w:sz w:val="32"/>
          <w:szCs w:val="32"/>
          <w:lang w:val="en-US" w:eastAsia="zh-CN"/>
        </w:rPr>
        <w:t>府以及县委、县政府的集体上访和非正常上访的责任，综合协调处理跨地区、跨部门的重要信访问题。</w:t>
      </w:r>
    </w:p>
    <w:p>
      <w:pPr>
        <w:keepNext w:val="0"/>
        <w:keepLines w:val="0"/>
        <w:pageBreakBefore w:val="0"/>
        <w:kinsoku/>
        <w:wordWrap/>
        <w:overflowPunct/>
        <w:topLinePunct w:val="0"/>
        <w:autoSpaceDE/>
        <w:autoSpaceDN/>
        <w:bidi w:val="0"/>
        <w:adjustRightInd/>
        <w:snapToGrid/>
        <w:spacing w:line="590" w:lineRule="exact"/>
        <w:ind w:left="0" w:leftChars="0" w:firstLine="480" w:firstLineChars="15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（6）</w:t>
      </w:r>
      <w:r>
        <w:rPr>
          <w:rFonts w:hint="default" w:ascii="Times New Roman" w:hAnsi="Times New Roman" w:eastAsia="方正仿宋简体" w:cs="Times New Roman"/>
          <w:color w:val="auto"/>
          <w:sz w:val="32"/>
          <w:szCs w:val="32"/>
          <w:lang w:eastAsia="zh-CN"/>
        </w:rPr>
        <w:t>负责落实中央、省、市、县领导批示交办信访事项，县各乡镇、县级各部门（单位）转办、交办信访事项，督促检查重要信访事项的处理和落实。</w:t>
      </w:r>
    </w:p>
    <w:p>
      <w:pPr>
        <w:keepNext w:val="0"/>
        <w:keepLines w:val="0"/>
        <w:pageBreakBefore w:val="0"/>
        <w:kinsoku/>
        <w:wordWrap/>
        <w:overflowPunct/>
        <w:topLinePunct w:val="0"/>
        <w:autoSpaceDE/>
        <w:autoSpaceDN/>
        <w:bidi w:val="0"/>
        <w:adjustRightInd/>
        <w:snapToGrid/>
        <w:spacing w:line="590" w:lineRule="exact"/>
        <w:ind w:left="0" w:leftChars="0" w:firstLine="480" w:firstLineChars="150"/>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（7）</w:t>
      </w:r>
      <w:r>
        <w:rPr>
          <w:rFonts w:hint="default" w:ascii="Times New Roman" w:hAnsi="Times New Roman" w:eastAsia="方正仿宋简体" w:cs="Times New Roman"/>
          <w:color w:val="auto"/>
          <w:sz w:val="32"/>
          <w:szCs w:val="32"/>
          <w:lang w:eastAsia="zh-CN"/>
        </w:rPr>
        <w:t>建立和完善信访信息汇集分析机制，指导信访信息系统建设和应用。</w:t>
      </w:r>
    </w:p>
    <w:p>
      <w:pPr>
        <w:keepNext w:val="0"/>
        <w:keepLines w:val="0"/>
        <w:pageBreakBefore w:val="0"/>
        <w:kinsoku/>
        <w:wordWrap/>
        <w:overflowPunct/>
        <w:topLinePunct w:val="0"/>
        <w:autoSpaceDE/>
        <w:autoSpaceDN/>
        <w:bidi w:val="0"/>
        <w:adjustRightInd/>
        <w:snapToGrid/>
        <w:spacing w:line="590" w:lineRule="exact"/>
        <w:ind w:left="0" w:leftChars="0" w:firstLine="480" w:firstLineChars="150"/>
        <w:textAlignment w:val="auto"/>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color w:val="auto"/>
          <w:sz w:val="32"/>
          <w:szCs w:val="32"/>
        </w:rPr>
        <w:t>（8）</w:t>
      </w:r>
      <w:r>
        <w:rPr>
          <w:rFonts w:hint="default" w:ascii="Times New Roman" w:hAnsi="Times New Roman" w:eastAsia="方正仿宋简体" w:cs="Times New Roman"/>
          <w:color w:val="auto"/>
          <w:sz w:val="32"/>
          <w:szCs w:val="32"/>
          <w:lang w:eastAsia="zh-CN"/>
        </w:rPr>
        <w:t>承担县信访工作联席会议、县政府信访事项复查复核委员会日常</w:t>
      </w:r>
      <w:r>
        <w:rPr>
          <w:rFonts w:hint="default" w:ascii="Times New Roman" w:hAnsi="Times New Roman" w:eastAsia="方正仿宋简体" w:cs="Times New Roman"/>
          <w:color w:val="auto"/>
          <w:sz w:val="32"/>
          <w:szCs w:val="32"/>
          <w:lang w:val="en-US" w:eastAsia="zh-CN"/>
        </w:rPr>
        <w:t>工作，督促落实有关事项。</w:t>
      </w:r>
    </w:p>
    <w:p>
      <w:pPr>
        <w:keepNext w:val="0"/>
        <w:keepLines w:val="0"/>
        <w:pageBreakBefore w:val="0"/>
        <w:kinsoku/>
        <w:wordWrap/>
        <w:overflowPunct/>
        <w:topLinePunct w:val="0"/>
        <w:autoSpaceDE/>
        <w:autoSpaceDN/>
        <w:bidi w:val="0"/>
        <w:adjustRightInd/>
        <w:snapToGrid/>
        <w:spacing w:line="590" w:lineRule="exact"/>
        <w:ind w:left="0" w:leftChars="0" w:firstLine="480" w:firstLineChars="15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（9）</w:t>
      </w:r>
      <w:r>
        <w:rPr>
          <w:rFonts w:hint="default" w:ascii="Times New Roman" w:hAnsi="Times New Roman" w:eastAsia="方正仿宋简体" w:cs="Times New Roman"/>
          <w:color w:val="auto"/>
          <w:sz w:val="32"/>
          <w:szCs w:val="32"/>
          <w:lang w:eastAsia="zh-CN"/>
        </w:rPr>
        <w:t>负责职责范围内的安全生产和职业健康、生态黄精保护、审批服务便民化等工作</w:t>
      </w:r>
      <w:r>
        <w:rPr>
          <w:rFonts w:hint="default" w:ascii="Times New Roman" w:hAnsi="Times New Roman" w:eastAsia="方正仿宋简体" w:cs="Times New Roman"/>
          <w:color w:val="auto"/>
          <w:sz w:val="32"/>
          <w:szCs w:val="32"/>
        </w:rPr>
        <w:t>。</w:t>
      </w:r>
    </w:p>
    <w:p>
      <w:pPr>
        <w:keepNext w:val="0"/>
        <w:keepLines w:val="0"/>
        <w:pageBreakBefore w:val="0"/>
        <w:kinsoku/>
        <w:wordWrap/>
        <w:overflowPunct/>
        <w:topLinePunct w:val="0"/>
        <w:autoSpaceDE/>
        <w:autoSpaceDN/>
        <w:bidi w:val="0"/>
        <w:adjustRightInd/>
        <w:snapToGrid/>
        <w:spacing w:line="590" w:lineRule="exact"/>
        <w:ind w:left="0" w:leftChars="0" w:firstLine="480" w:firstLineChars="150"/>
        <w:textAlignment w:val="auto"/>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（10）</w:t>
      </w:r>
      <w:r>
        <w:rPr>
          <w:rFonts w:hint="default" w:ascii="Times New Roman" w:hAnsi="Times New Roman" w:eastAsia="方正仿宋简体" w:cs="Times New Roman"/>
          <w:color w:val="auto"/>
          <w:sz w:val="32"/>
          <w:szCs w:val="32"/>
          <w:lang w:eastAsia="zh-CN"/>
        </w:rPr>
        <w:t>承办县委、县政府交办的其他任务。</w:t>
      </w:r>
    </w:p>
    <w:p>
      <w:pPr>
        <w:keepNext w:val="0"/>
        <w:keepLines w:val="0"/>
        <w:pageBreakBefore w:val="0"/>
        <w:numPr>
          <w:ilvl w:val="0"/>
          <w:numId w:val="6"/>
        </w:numPr>
        <w:kinsoku/>
        <w:wordWrap/>
        <w:overflowPunct/>
        <w:topLinePunct w:val="0"/>
        <w:autoSpaceDE/>
        <w:autoSpaceDN/>
        <w:bidi w:val="0"/>
        <w:adjustRightInd/>
        <w:snapToGrid/>
        <w:spacing w:line="590" w:lineRule="exact"/>
        <w:ind w:left="0" w:leftChars="0" w:firstLine="643" w:firstLineChars="200"/>
        <w:textAlignment w:val="auto"/>
        <w:rPr>
          <w:rFonts w:hint="default" w:ascii="Times New Roman" w:hAnsi="Times New Roman" w:eastAsia="方正楷体简体" w:cs="Times New Roman"/>
          <w:b/>
          <w:color w:val="auto"/>
          <w:sz w:val="32"/>
          <w:szCs w:val="32"/>
        </w:rPr>
      </w:pPr>
      <w:r>
        <w:rPr>
          <w:rFonts w:hint="default" w:ascii="Times New Roman" w:hAnsi="Times New Roman" w:eastAsia="方正楷体简体" w:cs="Times New Roman"/>
          <w:b/>
          <w:color w:val="auto"/>
          <w:sz w:val="32"/>
          <w:szCs w:val="32"/>
        </w:rPr>
        <w:t>人员概况</w:t>
      </w:r>
    </w:p>
    <w:p>
      <w:pPr>
        <w:keepNext w:val="0"/>
        <w:keepLines w:val="0"/>
        <w:pageBreakBefore w:val="0"/>
        <w:kinsoku/>
        <w:wordWrap/>
        <w:overflowPunct/>
        <w:topLinePunct w:val="0"/>
        <w:autoSpaceDE/>
        <w:autoSpaceDN/>
        <w:bidi w:val="0"/>
        <w:adjustRightInd/>
        <w:snapToGrid/>
        <w:spacing w:line="590" w:lineRule="exact"/>
        <w:ind w:left="0" w:leftChars="0"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截止202</w:t>
      </w:r>
      <w:r>
        <w:rPr>
          <w:rFonts w:hint="default" w:ascii="Times New Roman" w:hAnsi="Times New Roman" w:eastAsia="方正仿宋简体" w:cs="Times New Roman"/>
          <w:color w:val="auto"/>
          <w:sz w:val="32"/>
          <w:szCs w:val="32"/>
          <w:lang w:val="en-US" w:eastAsia="zh-CN"/>
        </w:rPr>
        <w:t>3</w:t>
      </w:r>
      <w:r>
        <w:rPr>
          <w:rFonts w:hint="default" w:ascii="Times New Roman" w:hAnsi="Times New Roman" w:eastAsia="方正仿宋简体" w:cs="Times New Roman"/>
          <w:color w:val="auto"/>
          <w:sz w:val="32"/>
          <w:szCs w:val="32"/>
        </w:rPr>
        <w:t>年底，实有人数1</w:t>
      </w:r>
      <w:r>
        <w:rPr>
          <w:rFonts w:hint="default" w:ascii="Times New Roman" w:hAnsi="Times New Roman" w:eastAsia="方正仿宋简体" w:cs="Times New Roman"/>
          <w:color w:val="auto"/>
          <w:sz w:val="32"/>
          <w:szCs w:val="32"/>
          <w:lang w:val="en-US" w:eastAsia="zh-CN"/>
        </w:rPr>
        <w:t>3</w:t>
      </w:r>
      <w:r>
        <w:rPr>
          <w:rFonts w:hint="default" w:ascii="Times New Roman" w:hAnsi="Times New Roman" w:eastAsia="方正仿宋简体" w:cs="Times New Roman"/>
          <w:color w:val="auto"/>
          <w:sz w:val="32"/>
          <w:szCs w:val="32"/>
        </w:rPr>
        <w:t>人，其中：行政编制10人，行政空编1名，事业编制3人。</w:t>
      </w:r>
    </w:p>
    <w:p>
      <w:pPr>
        <w:keepNext w:val="0"/>
        <w:keepLines w:val="0"/>
        <w:pageBreakBefore w:val="0"/>
        <w:kinsoku/>
        <w:wordWrap/>
        <w:overflowPunct/>
        <w:topLinePunct w:val="0"/>
        <w:autoSpaceDE/>
        <w:autoSpaceDN/>
        <w:bidi w:val="0"/>
        <w:adjustRightInd/>
        <w:snapToGrid/>
        <w:spacing w:line="590" w:lineRule="exact"/>
        <w:ind w:left="0" w:leftChars="0" w:firstLine="640" w:firstLineChars="200"/>
        <w:textAlignment w:val="auto"/>
        <w:rPr>
          <w:rFonts w:hint="default" w:ascii="Times New Roman" w:hAnsi="Times New Roman" w:eastAsia="方正黑体简体" w:cs="Times New Roman"/>
          <w:color w:val="auto"/>
          <w:sz w:val="32"/>
          <w:szCs w:val="32"/>
        </w:rPr>
      </w:pPr>
      <w:r>
        <w:rPr>
          <w:rFonts w:hint="default" w:ascii="Times New Roman" w:hAnsi="Times New Roman" w:eastAsia="方正黑体简体" w:cs="Times New Roman"/>
          <w:color w:val="auto"/>
          <w:sz w:val="32"/>
          <w:szCs w:val="32"/>
        </w:rPr>
        <w:t>二、部门财政资金收支情况</w:t>
      </w:r>
    </w:p>
    <w:p>
      <w:pPr>
        <w:keepNext w:val="0"/>
        <w:keepLines w:val="0"/>
        <w:pageBreakBefore w:val="0"/>
        <w:kinsoku/>
        <w:wordWrap/>
        <w:overflowPunct/>
        <w:topLinePunct w:val="0"/>
        <w:autoSpaceDE/>
        <w:autoSpaceDN/>
        <w:bidi w:val="0"/>
        <w:adjustRightInd/>
        <w:snapToGrid/>
        <w:spacing w:line="590" w:lineRule="exact"/>
        <w:ind w:left="0" w:leftChars="0" w:firstLine="643"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楷体简体" w:cs="Times New Roman"/>
          <w:b/>
          <w:color w:val="auto"/>
          <w:sz w:val="32"/>
          <w:szCs w:val="32"/>
        </w:rPr>
        <w:t>（一）部门财政资金收入情况</w:t>
      </w:r>
    </w:p>
    <w:p>
      <w:pPr>
        <w:keepNext w:val="0"/>
        <w:keepLines w:val="0"/>
        <w:pageBreakBefore w:val="0"/>
        <w:kinsoku/>
        <w:wordWrap/>
        <w:overflowPunct/>
        <w:topLinePunct w:val="0"/>
        <w:autoSpaceDE/>
        <w:autoSpaceDN/>
        <w:bidi w:val="0"/>
        <w:adjustRightInd/>
        <w:snapToGrid/>
        <w:spacing w:line="590" w:lineRule="exact"/>
        <w:ind w:firstLine="640" w:firstLineChars="200"/>
        <w:jc w:val="left"/>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202</w:t>
      </w:r>
      <w:r>
        <w:rPr>
          <w:rFonts w:hint="default" w:ascii="Times New Roman" w:hAnsi="Times New Roman" w:eastAsia="方正仿宋简体" w:cs="Times New Roman"/>
          <w:color w:val="auto"/>
          <w:sz w:val="32"/>
          <w:szCs w:val="32"/>
          <w:lang w:val="en-US" w:eastAsia="zh-CN"/>
        </w:rPr>
        <w:t>3</w:t>
      </w:r>
      <w:r>
        <w:rPr>
          <w:rFonts w:hint="default" w:ascii="Times New Roman" w:hAnsi="Times New Roman" w:eastAsia="方正仿宋简体" w:cs="Times New Roman"/>
          <w:color w:val="auto"/>
          <w:sz w:val="32"/>
          <w:szCs w:val="32"/>
        </w:rPr>
        <w:t>年财政拨款收入</w:t>
      </w:r>
      <w:r>
        <w:rPr>
          <w:rFonts w:hint="default" w:ascii="Times New Roman" w:hAnsi="Times New Roman" w:eastAsia="方正仿宋简体" w:cs="Times New Roman"/>
          <w:sz w:val="32"/>
          <w:szCs w:val="32"/>
          <w:lang w:val="en-US" w:eastAsia="zh-CN"/>
        </w:rPr>
        <w:t>374.18万元</w:t>
      </w:r>
      <w:r>
        <w:rPr>
          <w:rFonts w:hint="default" w:ascii="Times New Roman" w:hAnsi="Times New Roman" w:eastAsia="方正仿宋简体" w:cs="Times New Roman"/>
          <w:color w:val="auto"/>
          <w:sz w:val="32"/>
          <w:szCs w:val="32"/>
        </w:rPr>
        <w:t>，占收入的100%，与202</w:t>
      </w:r>
      <w:r>
        <w:rPr>
          <w:rFonts w:hint="eastAsia" w:eastAsia="方正仿宋简体" w:cs="Times New Roman"/>
          <w:color w:val="auto"/>
          <w:sz w:val="32"/>
          <w:szCs w:val="32"/>
          <w:lang w:val="en-US" w:eastAsia="zh-CN"/>
        </w:rPr>
        <w:t>2</w:t>
      </w:r>
      <w:r>
        <w:rPr>
          <w:rFonts w:hint="default" w:ascii="Times New Roman" w:hAnsi="Times New Roman" w:eastAsia="方正仿宋简体" w:cs="Times New Roman"/>
          <w:color w:val="auto"/>
          <w:sz w:val="32"/>
          <w:szCs w:val="32"/>
        </w:rPr>
        <w:t>年</w:t>
      </w:r>
      <w:r>
        <w:rPr>
          <w:rFonts w:hint="default" w:ascii="Times New Roman" w:hAnsi="Times New Roman" w:eastAsia="方正仿宋简体" w:cs="Times New Roman"/>
          <w:color w:val="auto"/>
          <w:sz w:val="32"/>
          <w:szCs w:val="32"/>
          <w:lang w:val="en-US" w:eastAsia="zh-CN"/>
        </w:rPr>
        <w:t>348.31</w:t>
      </w:r>
      <w:r>
        <w:rPr>
          <w:rFonts w:hint="default" w:ascii="Times New Roman" w:hAnsi="Times New Roman" w:eastAsia="方正仿宋简体" w:cs="Times New Roman"/>
          <w:color w:val="auto"/>
          <w:sz w:val="32"/>
          <w:szCs w:val="32"/>
        </w:rPr>
        <w:t>万元相比上升</w:t>
      </w:r>
      <w:r>
        <w:rPr>
          <w:rFonts w:hint="default" w:ascii="Times New Roman" w:hAnsi="Times New Roman" w:eastAsia="方正仿宋简体" w:cs="Times New Roman"/>
          <w:sz w:val="32"/>
          <w:szCs w:val="32"/>
          <w:lang w:val="en-US" w:eastAsia="zh-CN"/>
        </w:rPr>
        <w:t>7.43</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color w:val="auto"/>
          <w:sz w:val="32"/>
          <w:szCs w:val="32"/>
        </w:rPr>
        <w:t>，</w:t>
      </w:r>
      <w:r>
        <w:rPr>
          <w:rFonts w:hint="default" w:ascii="Times New Roman" w:hAnsi="Times New Roman" w:eastAsia="方正仿宋简体" w:cs="Times New Roman"/>
          <w:sz w:val="32"/>
          <w:szCs w:val="32"/>
        </w:rPr>
        <w:t>主要原因是202</w:t>
      </w:r>
      <w:r>
        <w:rPr>
          <w:rFonts w:hint="default"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lang w:eastAsia="zh-CN"/>
        </w:rPr>
        <w:t>增加成都大运会，</w:t>
      </w:r>
      <w:r>
        <w:rPr>
          <w:rFonts w:hint="default" w:ascii="Times New Roman" w:hAnsi="Times New Roman" w:eastAsia="方正仿宋简体" w:cs="Times New Roman"/>
          <w:sz w:val="32"/>
          <w:szCs w:val="32"/>
        </w:rPr>
        <w:t>增加项目经费；晋级晋档增加人员经费。</w:t>
      </w:r>
    </w:p>
    <w:p>
      <w:pPr>
        <w:keepNext w:val="0"/>
        <w:keepLines w:val="0"/>
        <w:pageBreakBefore w:val="0"/>
        <w:numPr>
          <w:ilvl w:val="0"/>
          <w:numId w:val="7"/>
        </w:numPr>
        <w:kinsoku/>
        <w:wordWrap/>
        <w:overflowPunct/>
        <w:topLinePunct w:val="0"/>
        <w:autoSpaceDE/>
        <w:autoSpaceDN/>
        <w:bidi w:val="0"/>
        <w:adjustRightInd/>
        <w:snapToGrid/>
        <w:spacing w:line="590" w:lineRule="exact"/>
        <w:ind w:left="0" w:leftChars="0" w:firstLine="643" w:firstLineChars="200"/>
        <w:textAlignment w:val="auto"/>
        <w:rPr>
          <w:rFonts w:hint="default" w:ascii="Times New Roman" w:hAnsi="Times New Roman" w:eastAsia="方正楷体简体" w:cs="Times New Roman"/>
          <w:b/>
          <w:color w:val="auto"/>
          <w:sz w:val="32"/>
          <w:szCs w:val="32"/>
        </w:rPr>
      </w:pPr>
      <w:r>
        <w:rPr>
          <w:rFonts w:hint="default" w:ascii="Times New Roman" w:hAnsi="Times New Roman" w:eastAsia="方正楷体简体" w:cs="Times New Roman"/>
          <w:b/>
          <w:color w:val="auto"/>
          <w:sz w:val="32"/>
          <w:szCs w:val="32"/>
        </w:rPr>
        <w:t>部门财政资金支出情况</w:t>
      </w:r>
    </w:p>
    <w:p>
      <w:pPr>
        <w:keepNext w:val="0"/>
        <w:keepLines w:val="0"/>
        <w:pageBreakBefore w:val="0"/>
        <w:kinsoku/>
        <w:wordWrap/>
        <w:overflowPunct/>
        <w:topLinePunct w:val="0"/>
        <w:autoSpaceDE/>
        <w:autoSpaceDN/>
        <w:bidi w:val="0"/>
        <w:adjustRightInd/>
        <w:snapToGrid/>
        <w:spacing w:line="590" w:lineRule="exact"/>
        <w:ind w:firstLine="640" w:firstLineChars="200"/>
        <w:jc w:val="left"/>
        <w:textAlignment w:val="auto"/>
        <w:rPr>
          <w:rFonts w:hint="default" w:ascii="Times New Roman" w:hAnsi="Times New Roman" w:eastAsia="仿宋" w:cs="Times New Roman"/>
          <w:sz w:val="30"/>
          <w:szCs w:val="30"/>
          <w:lang w:val="en-US" w:eastAsia="zh-CN"/>
        </w:rPr>
      </w:pPr>
      <w:r>
        <w:rPr>
          <w:rFonts w:hint="default" w:ascii="Times New Roman" w:hAnsi="Times New Roman" w:eastAsia="方正仿宋简体" w:cs="Times New Roman"/>
          <w:sz w:val="32"/>
          <w:szCs w:val="32"/>
        </w:rPr>
        <w:t>202</w:t>
      </w:r>
      <w:r>
        <w:rPr>
          <w:rFonts w:hint="default"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rPr>
        <w:t>年信访局本年支出合计</w:t>
      </w:r>
      <w:r>
        <w:rPr>
          <w:rFonts w:hint="default" w:ascii="Times New Roman" w:hAnsi="Times New Roman" w:eastAsia="方正仿宋简体" w:cs="Times New Roman"/>
          <w:sz w:val="32"/>
          <w:szCs w:val="32"/>
          <w:lang w:val="en-US" w:eastAsia="zh-CN"/>
        </w:rPr>
        <w:t>376.18万元，</w:t>
      </w:r>
      <w:r>
        <w:rPr>
          <w:rFonts w:hint="default" w:ascii="Times New Roman" w:hAnsi="Times New Roman" w:eastAsia="方正仿宋简体" w:cs="Times New Roman"/>
          <w:sz w:val="32"/>
          <w:szCs w:val="32"/>
        </w:rPr>
        <w:t>与202</w:t>
      </w:r>
      <w:r>
        <w:rPr>
          <w:rFonts w:hint="default"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rPr>
        <w:t>年本年支出合计350.05万元相比增加了</w:t>
      </w:r>
      <w:r>
        <w:rPr>
          <w:rFonts w:hint="default" w:ascii="Times New Roman" w:hAnsi="Times New Roman" w:eastAsia="方正仿宋简体" w:cs="Times New Roman"/>
          <w:sz w:val="32"/>
          <w:szCs w:val="32"/>
          <w:lang w:val="en-US" w:eastAsia="zh-CN"/>
        </w:rPr>
        <w:t>8.91</w:t>
      </w:r>
      <w:r>
        <w:rPr>
          <w:rFonts w:hint="default" w:ascii="Times New Roman" w:hAnsi="Times New Roman" w:eastAsia="方正仿宋简体" w:cs="Times New Roman"/>
          <w:sz w:val="32"/>
          <w:szCs w:val="32"/>
        </w:rPr>
        <w:t>%，其中：</w:t>
      </w:r>
      <w:r>
        <w:rPr>
          <w:rFonts w:hint="default" w:ascii="Times New Roman" w:hAnsi="Times New Roman" w:eastAsia="方正仿宋简体" w:cs="Times New Roman"/>
          <w:color w:val="000030"/>
          <w:sz w:val="32"/>
          <w:szCs w:val="32"/>
        </w:rPr>
        <w:t>工资和福利费用14</w:t>
      </w:r>
      <w:r>
        <w:rPr>
          <w:rFonts w:hint="default" w:ascii="Times New Roman" w:hAnsi="Times New Roman" w:eastAsia="方正仿宋简体" w:cs="Times New Roman"/>
          <w:color w:val="000030"/>
          <w:sz w:val="32"/>
          <w:szCs w:val="32"/>
          <w:lang w:val="en-US" w:eastAsia="zh-CN"/>
        </w:rPr>
        <w:t>8.06</w:t>
      </w:r>
      <w:r>
        <w:rPr>
          <w:rFonts w:hint="default" w:ascii="Times New Roman" w:hAnsi="Times New Roman" w:eastAsia="方正仿宋简体" w:cs="Times New Roman"/>
          <w:color w:val="000030"/>
          <w:sz w:val="32"/>
          <w:szCs w:val="32"/>
        </w:rPr>
        <w:t>万元，占</w:t>
      </w:r>
      <w:r>
        <w:rPr>
          <w:rFonts w:hint="default" w:ascii="Times New Roman" w:hAnsi="Times New Roman" w:eastAsia="方正仿宋简体" w:cs="Times New Roman"/>
          <w:color w:val="000030"/>
          <w:sz w:val="32"/>
          <w:szCs w:val="32"/>
          <w:lang w:val="en-US" w:eastAsia="zh-CN"/>
        </w:rPr>
        <w:t>39.36</w:t>
      </w:r>
      <w:r>
        <w:rPr>
          <w:rFonts w:hint="default" w:ascii="Times New Roman" w:hAnsi="Times New Roman" w:eastAsia="方正仿宋简体" w:cs="Times New Roman"/>
          <w:color w:val="000030"/>
          <w:sz w:val="32"/>
          <w:szCs w:val="32"/>
        </w:rPr>
        <w:t>%，与202</w:t>
      </w:r>
      <w:r>
        <w:rPr>
          <w:rFonts w:hint="default" w:ascii="Times New Roman" w:hAnsi="Times New Roman" w:eastAsia="方正仿宋简体" w:cs="Times New Roman"/>
          <w:color w:val="000030"/>
          <w:sz w:val="32"/>
          <w:szCs w:val="32"/>
          <w:lang w:val="en-US" w:eastAsia="zh-CN"/>
        </w:rPr>
        <w:t>2</w:t>
      </w:r>
      <w:r>
        <w:rPr>
          <w:rFonts w:hint="default" w:ascii="Times New Roman" w:hAnsi="Times New Roman" w:eastAsia="方正仿宋简体" w:cs="Times New Roman"/>
          <w:color w:val="000030"/>
          <w:sz w:val="32"/>
          <w:szCs w:val="32"/>
        </w:rPr>
        <w:t>年</w:t>
      </w:r>
      <w:r>
        <w:rPr>
          <w:rFonts w:hint="default" w:ascii="Times New Roman" w:hAnsi="Times New Roman" w:eastAsia="方正仿宋简体" w:cs="Times New Roman"/>
          <w:color w:val="000030"/>
          <w:sz w:val="32"/>
          <w:szCs w:val="32"/>
          <w:lang w:val="en-US" w:eastAsia="zh-CN"/>
        </w:rPr>
        <w:t>147.9</w:t>
      </w:r>
      <w:r>
        <w:rPr>
          <w:rFonts w:hint="default" w:ascii="Times New Roman" w:hAnsi="Times New Roman" w:eastAsia="方正仿宋简体" w:cs="Times New Roman"/>
          <w:color w:val="000030"/>
          <w:sz w:val="32"/>
          <w:szCs w:val="32"/>
        </w:rPr>
        <w:t>万元相比，环比</w:t>
      </w:r>
      <w:r>
        <w:rPr>
          <w:rFonts w:hint="default" w:ascii="Times New Roman" w:hAnsi="Times New Roman" w:eastAsia="方正仿宋简体" w:cs="Times New Roman"/>
          <w:color w:val="000030"/>
          <w:sz w:val="32"/>
          <w:szCs w:val="32"/>
          <w:lang w:eastAsia="zh-CN"/>
        </w:rPr>
        <w:t>基本持平</w:t>
      </w:r>
      <w:r>
        <w:rPr>
          <w:rFonts w:hint="default" w:ascii="Times New Roman" w:hAnsi="Times New Roman" w:eastAsia="方正仿宋简体" w:cs="Times New Roman"/>
          <w:color w:val="000030"/>
          <w:sz w:val="32"/>
          <w:szCs w:val="32"/>
        </w:rPr>
        <w:t>；商品和服务费用</w:t>
      </w:r>
      <w:r>
        <w:rPr>
          <w:rFonts w:hint="default" w:ascii="Times New Roman" w:hAnsi="Times New Roman" w:eastAsia="方正仿宋简体" w:cs="Times New Roman"/>
          <w:color w:val="000030"/>
          <w:sz w:val="32"/>
          <w:szCs w:val="32"/>
          <w:lang w:val="en-US" w:eastAsia="zh-CN"/>
        </w:rPr>
        <w:t>167.64</w:t>
      </w:r>
      <w:r>
        <w:rPr>
          <w:rFonts w:hint="default" w:ascii="Times New Roman" w:hAnsi="Times New Roman" w:eastAsia="方正仿宋简体" w:cs="Times New Roman"/>
          <w:color w:val="000030"/>
          <w:sz w:val="32"/>
          <w:szCs w:val="32"/>
        </w:rPr>
        <w:t>元，占</w:t>
      </w:r>
      <w:r>
        <w:rPr>
          <w:rFonts w:hint="default" w:ascii="Times New Roman" w:hAnsi="Times New Roman" w:eastAsia="方正仿宋简体" w:cs="Times New Roman"/>
          <w:color w:val="000030"/>
          <w:sz w:val="32"/>
          <w:szCs w:val="32"/>
          <w:lang w:val="en-US" w:eastAsia="zh-CN"/>
        </w:rPr>
        <w:t>44.56</w:t>
      </w:r>
      <w:r>
        <w:rPr>
          <w:rFonts w:hint="default" w:ascii="Times New Roman" w:hAnsi="Times New Roman" w:eastAsia="方正仿宋简体" w:cs="Times New Roman"/>
          <w:color w:val="000030"/>
          <w:sz w:val="32"/>
          <w:szCs w:val="32"/>
        </w:rPr>
        <w:t>%，与202</w:t>
      </w:r>
      <w:r>
        <w:rPr>
          <w:rFonts w:hint="default" w:ascii="Times New Roman" w:hAnsi="Times New Roman" w:eastAsia="方正仿宋简体" w:cs="Times New Roman"/>
          <w:color w:val="000030"/>
          <w:sz w:val="32"/>
          <w:szCs w:val="32"/>
          <w:lang w:val="en-US" w:eastAsia="zh-CN"/>
        </w:rPr>
        <w:t>2</w:t>
      </w:r>
      <w:r>
        <w:rPr>
          <w:rFonts w:hint="default" w:ascii="Times New Roman" w:hAnsi="Times New Roman" w:eastAsia="方正仿宋简体" w:cs="Times New Roman"/>
          <w:color w:val="000030"/>
          <w:sz w:val="32"/>
          <w:szCs w:val="32"/>
        </w:rPr>
        <w:t>年</w:t>
      </w:r>
      <w:r>
        <w:rPr>
          <w:rFonts w:hint="default" w:ascii="Times New Roman" w:hAnsi="Times New Roman" w:eastAsia="方正仿宋简体" w:cs="Times New Roman"/>
          <w:color w:val="000030"/>
          <w:sz w:val="32"/>
          <w:szCs w:val="32"/>
          <w:lang w:val="en-US" w:eastAsia="zh-CN"/>
        </w:rPr>
        <w:t>153.84</w:t>
      </w:r>
      <w:r>
        <w:rPr>
          <w:rFonts w:hint="default" w:ascii="Times New Roman" w:hAnsi="Times New Roman" w:eastAsia="方正仿宋简体" w:cs="Times New Roman"/>
          <w:color w:val="000030"/>
          <w:sz w:val="32"/>
          <w:szCs w:val="32"/>
        </w:rPr>
        <w:t>万元相比，环比增长</w:t>
      </w:r>
      <w:r>
        <w:rPr>
          <w:rFonts w:hint="default" w:ascii="Times New Roman" w:hAnsi="Times New Roman" w:eastAsia="方正仿宋简体" w:cs="Times New Roman"/>
          <w:color w:val="000030"/>
          <w:sz w:val="32"/>
          <w:szCs w:val="32"/>
          <w:lang w:val="en-US" w:eastAsia="zh-CN"/>
        </w:rPr>
        <w:t>8.97</w:t>
      </w:r>
      <w:r>
        <w:rPr>
          <w:rFonts w:hint="default" w:ascii="Times New Roman" w:hAnsi="Times New Roman" w:eastAsia="方正仿宋简体" w:cs="Times New Roman"/>
          <w:color w:val="000030"/>
          <w:sz w:val="32"/>
          <w:szCs w:val="32"/>
        </w:rPr>
        <w:t>%，主要原因是</w:t>
      </w:r>
      <w:r>
        <w:rPr>
          <w:rFonts w:hint="default" w:ascii="Times New Roman" w:hAnsi="Times New Roman" w:eastAsia="方正仿宋简体" w:cs="Times New Roman"/>
          <w:color w:val="000030"/>
          <w:sz w:val="32"/>
          <w:szCs w:val="32"/>
          <w:lang w:eastAsia="zh-CN"/>
        </w:rPr>
        <w:t>成都大运会</w:t>
      </w:r>
      <w:r>
        <w:rPr>
          <w:rFonts w:hint="default" w:ascii="Times New Roman" w:hAnsi="Times New Roman" w:eastAsia="方正仿宋简体" w:cs="Times New Roman"/>
          <w:color w:val="000030"/>
          <w:sz w:val="32"/>
          <w:szCs w:val="32"/>
        </w:rPr>
        <w:t>敏感节点增加项目经费；对家庭和个人的补助费用</w:t>
      </w:r>
      <w:r>
        <w:rPr>
          <w:rFonts w:hint="default" w:ascii="Times New Roman" w:hAnsi="Times New Roman" w:eastAsia="方正仿宋简体" w:cs="Times New Roman"/>
          <w:color w:val="000030"/>
          <w:sz w:val="32"/>
          <w:szCs w:val="32"/>
          <w:lang w:val="en-US" w:eastAsia="zh-CN"/>
        </w:rPr>
        <w:t>58.48</w:t>
      </w:r>
      <w:r>
        <w:rPr>
          <w:rFonts w:hint="default" w:ascii="Times New Roman" w:hAnsi="Times New Roman" w:eastAsia="方正仿宋简体" w:cs="Times New Roman"/>
          <w:color w:val="000030"/>
          <w:sz w:val="32"/>
          <w:szCs w:val="32"/>
        </w:rPr>
        <w:t>万元，占</w:t>
      </w:r>
      <w:r>
        <w:rPr>
          <w:rFonts w:hint="default" w:ascii="Times New Roman" w:hAnsi="Times New Roman" w:eastAsia="方正仿宋简体" w:cs="Times New Roman"/>
          <w:color w:val="000030"/>
          <w:sz w:val="32"/>
          <w:szCs w:val="32"/>
          <w:lang w:val="en-US" w:eastAsia="zh-CN"/>
        </w:rPr>
        <w:t>15.55</w:t>
      </w:r>
      <w:r>
        <w:rPr>
          <w:rFonts w:hint="default" w:ascii="Times New Roman" w:hAnsi="Times New Roman" w:eastAsia="方正仿宋简体" w:cs="Times New Roman"/>
          <w:color w:val="000030"/>
          <w:sz w:val="32"/>
          <w:szCs w:val="32"/>
        </w:rPr>
        <w:t>%，与202</w:t>
      </w:r>
      <w:r>
        <w:rPr>
          <w:rFonts w:hint="default" w:ascii="Times New Roman" w:hAnsi="Times New Roman" w:eastAsia="方正仿宋简体" w:cs="Times New Roman"/>
          <w:color w:val="000030"/>
          <w:sz w:val="32"/>
          <w:szCs w:val="32"/>
          <w:lang w:val="en-US" w:eastAsia="zh-CN"/>
        </w:rPr>
        <w:t>2</w:t>
      </w:r>
      <w:r>
        <w:rPr>
          <w:rFonts w:hint="default" w:ascii="Times New Roman" w:hAnsi="Times New Roman" w:eastAsia="方正仿宋简体" w:cs="Times New Roman"/>
          <w:color w:val="000030"/>
          <w:sz w:val="32"/>
          <w:szCs w:val="32"/>
        </w:rPr>
        <w:t>年</w:t>
      </w:r>
      <w:r>
        <w:rPr>
          <w:rFonts w:hint="default" w:ascii="Times New Roman" w:hAnsi="Times New Roman" w:eastAsia="方正仿宋简体" w:cs="Times New Roman"/>
          <w:color w:val="000030"/>
          <w:sz w:val="32"/>
          <w:szCs w:val="32"/>
          <w:lang w:val="en-US" w:eastAsia="zh-CN"/>
        </w:rPr>
        <w:t>46.57</w:t>
      </w:r>
      <w:r>
        <w:rPr>
          <w:rFonts w:hint="default" w:ascii="Times New Roman" w:hAnsi="Times New Roman" w:eastAsia="方正仿宋简体" w:cs="Times New Roman"/>
          <w:color w:val="000030"/>
          <w:sz w:val="32"/>
          <w:szCs w:val="32"/>
        </w:rPr>
        <w:t>万元相比，环比增长</w:t>
      </w:r>
      <w:r>
        <w:rPr>
          <w:rFonts w:hint="default" w:ascii="Times New Roman" w:hAnsi="Times New Roman" w:eastAsia="方正仿宋简体" w:cs="Times New Roman"/>
          <w:color w:val="000030"/>
          <w:sz w:val="32"/>
          <w:szCs w:val="32"/>
          <w:lang w:val="en-US" w:eastAsia="zh-CN"/>
        </w:rPr>
        <w:t>25.57</w:t>
      </w:r>
      <w:r>
        <w:rPr>
          <w:rFonts w:hint="default" w:ascii="Times New Roman" w:hAnsi="Times New Roman" w:eastAsia="方正仿宋简体" w:cs="Times New Roman"/>
          <w:color w:val="000030"/>
          <w:sz w:val="32"/>
          <w:szCs w:val="32"/>
        </w:rPr>
        <w:t>%，</w:t>
      </w:r>
      <w:r>
        <w:rPr>
          <w:rFonts w:hint="eastAsia" w:eastAsia="方正仿宋简体" w:cs="Times New Roman"/>
          <w:color w:val="000030"/>
          <w:sz w:val="32"/>
          <w:szCs w:val="32"/>
          <w:lang w:eastAsia="zh-CN"/>
        </w:rPr>
        <w:t>主要原因是</w:t>
      </w:r>
      <w:r>
        <w:rPr>
          <w:rFonts w:hint="eastAsia" w:eastAsia="方正仿宋简体" w:cs="Times New Roman"/>
          <w:color w:val="000030"/>
          <w:sz w:val="32"/>
          <w:szCs w:val="32"/>
          <w:lang w:val="en-US" w:eastAsia="zh-CN"/>
        </w:rPr>
        <w:t>2023年增加</w:t>
      </w:r>
      <w:r>
        <w:rPr>
          <w:rFonts w:hint="default" w:ascii="Times New Roman" w:hAnsi="Times New Roman" w:eastAsia="方正仿宋简体" w:cs="Times New Roman"/>
          <w:color w:val="000030"/>
          <w:sz w:val="32"/>
          <w:szCs w:val="32"/>
          <w:lang w:eastAsia="zh-CN"/>
        </w:rPr>
        <w:t>退休职工一次性补贴</w:t>
      </w:r>
      <w:r>
        <w:rPr>
          <w:rFonts w:hint="eastAsia" w:eastAsia="方正仿宋简体" w:cs="Times New Roman"/>
          <w:color w:val="000030"/>
          <w:sz w:val="32"/>
          <w:szCs w:val="32"/>
          <w:lang w:eastAsia="zh-CN"/>
        </w:rPr>
        <w:t>费用</w:t>
      </w:r>
      <w:r>
        <w:rPr>
          <w:rFonts w:hint="default" w:ascii="Times New Roman" w:hAnsi="Times New Roman" w:eastAsia="方正仿宋简体" w:cs="Times New Roman"/>
          <w:color w:val="000030"/>
          <w:sz w:val="32"/>
          <w:szCs w:val="32"/>
        </w:rPr>
        <w:t>；固定资产累计折旧费用</w:t>
      </w:r>
      <w:r>
        <w:rPr>
          <w:rFonts w:hint="default" w:ascii="Times New Roman" w:hAnsi="Times New Roman" w:eastAsia="方正仿宋简体" w:cs="Times New Roman"/>
          <w:color w:val="000030"/>
          <w:sz w:val="32"/>
          <w:szCs w:val="32"/>
          <w:lang w:val="en-US" w:eastAsia="zh-CN"/>
        </w:rPr>
        <w:t>2</w:t>
      </w:r>
      <w:r>
        <w:rPr>
          <w:rFonts w:hint="default" w:ascii="Times New Roman" w:hAnsi="Times New Roman" w:eastAsia="方正仿宋简体" w:cs="Times New Roman"/>
          <w:color w:val="000030"/>
          <w:sz w:val="32"/>
          <w:szCs w:val="32"/>
        </w:rPr>
        <w:t>万元，占0.5</w:t>
      </w:r>
      <w:r>
        <w:rPr>
          <w:rFonts w:hint="default" w:ascii="Times New Roman" w:hAnsi="Times New Roman" w:eastAsia="方正仿宋简体" w:cs="Times New Roman"/>
          <w:color w:val="000030"/>
          <w:sz w:val="32"/>
          <w:szCs w:val="32"/>
          <w:lang w:val="en-US" w:eastAsia="zh-CN"/>
        </w:rPr>
        <w:t>3</w:t>
      </w:r>
      <w:r>
        <w:rPr>
          <w:rFonts w:hint="default" w:ascii="Times New Roman" w:hAnsi="Times New Roman" w:eastAsia="方正仿宋简体" w:cs="Times New Roman"/>
          <w:color w:val="000030"/>
          <w:sz w:val="32"/>
          <w:szCs w:val="32"/>
        </w:rPr>
        <w:t>%。</w:t>
      </w:r>
    </w:p>
    <w:p>
      <w:pPr>
        <w:keepNext w:val="0"/>
        <w:keepLines w:val="0"/>
        <w:pageBreakBefore w:val="0"/>
        <w:kinsoku/>
        <w:wordWrap/>
        <w:overflowPunct/>
        <w:topLinePunct w:val="0"/>
        <w:autoSpaceDE/>
        <w:autoSpaceDN/>
        <w:bidi w:val="0"/>
        <w:adjustRightInd/>
        <w:snapToGrid/>
        <w:spacing w:line="590" w:lineRule="exact"/>
        <w:ind w:firstLine="480" w:firstLineChars="15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202</w:t>
      </w:r>
      <w:r>
        <w:rPr>
          <w:rFonts w:hint="default"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rPr>
        <w:t>年收入与费用基本持平</w:t>
      </w:r>
      <w:r>
        <w:rPr>
          <w:rFonts w:hint="eastAsia" w:eastAsia="方正仿宋简体" w:cs="Times New Roman"/>
          <w:sz w:val="32"/>
          <w:szCs w:val="32"/>
          <w:lang w:eastAsia="zh-CN"/>
        </w:rPr>
        <w:t>，</w:t>
      </w:r>
      <w:r>
        <w:rPr>
          <w:rFonts w:hint="default" w:ascii="Times New Roman" w:hAnsi="Times New Roman" w:eastAsia="仿宋" w:cs="Times New Roman"/>
          <w:sz w:val="30"/>
          <w:szCs w:val="24"/>
        </w:rPr>
        <w:t>差异为</w:t>
      </w:r>
      <w:r>
        <w:rPr>
          <w:rFonts w:hint="eastAsia" w:eastAsia="仿宋" w:cs="Times New Roman"/>
          <w:sz w:val="30"/>
          <w:szCs w:val="24"/>
          <w:lang w:val="en-US" w:eastAsia="zh-CN"/>
        </w:rPr>
        <w:t>2023年</w:t>
      </w:r>
      <w:r>
        <w:rPr>
          <w:rFonts w:hint="eastAsia" w:eastAsia="仿宋" w:cs="Times New Roman"/>
          <w:sz w:val="30"/>
          <w:szCs w:val="24"/>
          <w:lang w:eastAsia="zh-CN"/>
        </w:rPr>
        <w:t>固定资产</w:t>
      </w:r>
      <w:r>
        <w:rPr>
          <w:rFonts w:hint="default" w:ascii="Times New Roman" w:hAnsi="Times New Roman" w:eastAsia="仿宋" w:cs="Times New Roman"/>
          <w:sz w:val="30"/>
          <w:szCs w:val="24"/>
        </w:rPr>
        <w:t>折旧费</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snapToGrid/>
        <w:spacing w:line="590" w:lineRule="exact"/>
        <w:ind w:left="0" w:leftChars="0" w:firstLine="640" w:firstLineChars="200"/>
        <w:textAlignment w:val="auto"/>
        <w:rPr>
          <w:rFonts w:hint="default" w:ascii="Times New Roman" w:hAnsi="Times New Roman" w:eastAsia="方正黑体简体" w:cs="Times New Roman"/>
          <w:color w:val="auto"/>
          <w:sz w:val="32"/>
          <w:szCs w:val="32"/>
        </w:rPr>
      </w:pPr>
      <w:r>
        <w:rPr>
          <w:rFonts w:hint="default" w:ascii="Times New Roman" w:hAnsi="Times New Roman" w:eastAsia="方正黑体简体" w:cs="Times New Roman"/>
          <w:color w:val="auto"/>
          <w:sz w:val="32"/>
          <w:szCs w:val="32"/>
        </w:rPr>
        <w:t>三、评价工作开展情况</w:t>
      </w:r>
    </w:p>
    <w:p>
      <w:pPr>
        <w:keepNext w:val="0"/>
        <w:keepLines w:val="0"/>
        <w:pageBreakBefore w:val="0"/>
        <w:kinsoku/>
        <w:wordWrap/>
        <w:overflowPunct/>
        <w:topLinePunct w:val="0"/>
        <w:autoSpaceDE/>
        <w:autoSpaceDN/>
        <w:bidi w:val="0"/>
        <w:adjustRightInd/>
        <w:snapToGrid/>
        <w:spacing w:line="590" w:lineRule="exact"/>
        <w:ind w:left="0" w:leftChars="0" w:firstLine="643" w:firstLineChars="200"/>
        <w:textAlignment w:val="auto"/>
        <w:rPr>
          <w:rFonts w:hint="default" w:ascii="Times New Roman" w:hAnsi="Times New Roman" w:eastAsia="方正楷体简体" w:cs="Times New Roman"/>
          <w:b/>
          <w:color w:val="auto"/>
          <w:sz w:val="32"/>
          <w:szCs w:val="32"/>
        </w:rPr>
      </w:pPr>
      <w:r>
        <w:rPr>
          <w:rFonts w:hint="default" w:ascii="Times New Roman" w:hAnsi="Times New Roman" w:eastAsia="方正楷体简体" w:cs="Times New Roman"/>
          <w:b/>
          <w:color w:val="auto"/>
          <w:sz w:val="32"/>
          <w:szCs w:val="32"/>
        </w:rPr>
        <w:t>（一）自评工作组织领导</w:t>
      </w:r>
    </w:p>
    <w:p>
      <w:pPr>
        <w:pStyle w:val="10"/>
        <w:keepNext w:val="0"/>
        <w:keepLines w:val="0"/>
        <w:pageBreakBefore w:val="0"/>
        <w:kinsoku/>
        <w:wordWrap/>
        <w:overflowPunct/>
        <w:topLinePunct w:val="0"/>
        <w:autoSpaceDE/>
        <w:autoSpaceDN/>
        <w:bidi w:val="0"/>
        <w:adjustRightInd/>
        <w:snapToGrid/>
        <w:spacing w:line="590" w:lineRule="exact"/>
        <w:ind w:leftChars="100"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kern w:val="2"/>
          <w:sz w:val="32"/>
          <w:szCs w:val="32"/>
          <w:lang w:val="en-US" w:eastAsia="zh-CN" w:bidi="ar-SA"/>
        </w:rPr>
        <w:t>我局高度重视绩效评价工作，成立了以局长为组长，分管副局为副组长，办公室、网信股、督查督办股、接待中心工作人员为成员的绩效评价领导小组，明确绩效工作评价责任，进一步强化各股室对财政预算支出的管理意识。收集、整理资料，客观分析，实事求是，形成报告。报送部门整体、项目支出绩效自评报告。总结提高，配合县财政局开展绩效评价工作并按要求公开绩效自评情况。</w:t>
      </w:r>
    </w:p>
    <w:p>
      <w:pPr>
        <w:keepNext w:val="0"/>
        <w:keepLines w:val="0"/>
        <w:pageBreakBefore w:val="0"/>
        <w:kinsoku/>
        <w:wordWrap/>
        <w:overflowPunct/>
        <w:topLinePunct w:val="0"/>
        <w:autoSpaceDE/>
        <w:autoSpaceDN/>
        <w:bidi w:val="0"/>
        <w:adjustRightInd/>
        <w:snapToGrid/>
        <w:spacing w:line="590" w:lineRule="exact"/>
        <w:ind w:left="0" w:leftChars="0" w:firstLine="643" w:firstLineChars="200"/>
        <w:textAlignment w:val="auto"/>
        <w:rPr>
          <w:rFonts w:hint="default" w:ascii="Times New Roman" w:hAnsi="Times New Roman" w:eastAsia="方正楷体简体" w:cs="Times New Roman"/>
          <w:b/>
          <w:color w:val="auto"/>
          <w:sz w:val="32"/>
          <w:szCs w:val="32"/>
        </w:rPr>
      </w:pPr>
      <w:r>
        <w:rPr>
          <w:rFonts w:hint="default" w:ascii="Times New Roman" w:hAnsi="Times New Roman" w:eastAsia="方正楷体简体" w:cs="Times New Roman"/>
          <w:b/>
          <w:color w:val="auto"/>
          <w:sz w:val="32"/>
          <w:szCs w:val="32"/>
        </w:rPr>
        <w:t>（二）自评方式、方法、重点等</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90" w:lineRule="exact"/>
        <w:ind w:left="0" w:leftChars="0" w:right="0" w:firstLine="648"/>
        <w:jc w:val="left"/>
        <w:textAlignment w:val="auto"/>
        <w:rPr>
          <w:rFonts w:hint="default" w:ascii="Times New Roman" w:hAnsi="Times New Roman" w:eastAsia="方正仿宋简体" w:cs="Times New Roman"/>
          <w:i w:val="0"/>
          <w:iCs w:val="0"/>
          <w:caps w:val="0"/>
          <w:color w:val="auto"/>
          <w:spacing w:val="0"/>
          <w:sz w:val="32"/>
          <w:szCs w:val="32"/>
        </w:rPr>
      </w:pPr>
      <w:r>
        <w:rPr>
          <w:rStyle w:val="20"/>
          <w:rFonts w:hint="default" w:ascii="Times New Roman" w:hAnsi="Times New Roman" w:eastAsia="方正楷体简体" w:cs="Times New Roman"/>
          <w:b w:val="0"/>
          <w:bCs/>
          <w:i w:val="0"/>
          <w:iCs w:val="0"/>
          <w:caps w:val="0"/>
          <w:color w:val="auto"/>
          <w:spacing w:val="0"/>
          <w:sz w:val="32"/>
          <w:szCs w:val="32"/>
          <w:shd w:val="clear" w:color="auto" w:fill="FFFFFF"/>
          <w:lang w:val="en-US" w:eastAsia="zh-CN"/>
        </w:rPr>
        <w:t>1.成立</w:t>
      </w:r>
      <w:r>
        <w:rPr>
          <w:rStyle w:val="20"/>
          <w:rFonts w:hint="default" w:ascii="Times New Roman" w:hAnsi="Times New Roman" w:eastAsia="方正楷体简体" w:cs="Times New Roman"/>
          <w:b w:val="0"/>
          <w:bCs/>
          <w:i w:val="0"/>
          <w:iCs w:val="0"/>
          <w:caps w:val="0"/>
          <w:color w:val="auto"/>
          <w:spacing w:val="0"/>
          <w:sz w:val="32"/>
          <w:szCs w:val="32"/>
          <w:shd w:val="clear" w:color="auto" w:fill="FFFFFF"/>
          <w:lang w:eastAsia="zh-CN"/>
        </w:rPr>
        <w:t>评价领导小组。</w:t>
      </w:r>
      <w:r>
        <w:rPr>
          <w:rFonts w:hint="default" w:ascii="Times New Roman" w:hAnsi="Times New Roman" w:eastAsia="方正仿宋简体" w:cs="Times New Roman"/>
          <w:i w:val="0"/>
          <w:iCs w:val="0"/>
          <w:caps w:val="0"/>
          <w:color w:val="auto"/>
          <w:spacing w:val="0"/>
          <w:sz w:val="32"/>
          <w:szCs w:val="32"/>
          <w:shd w:val="clear" w:color="auto" w:fill="FFFFFF"/>
          <w:lang w:eastAsia="zh-CN"/>
        </w:rPr>
        <w:t>为加强局整体支出绩效评价工作，我局成立了评价工作领导小组，负责本次绩效评价的具体工作。工作组构成如下：组长：局长；副组长：分管副局长</w:t>
      </w:r>
      <w:r>
        <w:rPr>
          <w:rFonts w:hint="default" w:ascii="Times New Roman" w:hAnsi="Times New Roman" w:eastAsia="方正仿宋简体" w:cs="Times New Roman"/>
          <w:i w:val="0"/>
          <w:iCs w:val="0"/>
          <w:caps w:val="0"/>
          <w:color w:val="auto"/>
          <w:spacing w:val="0"/>
          <w:sz w:val="32"/>
          <w:szCs w:val="32"/>
          <w:shd w:val="clear" w:color="auto" w:fill="FFFFFF"/>
          <w:lang w:val="en-US"/>
        </w:rPr>
        <w:t>;</w:t>
      </w:r>
      <w:r>
        <w:rPr>
          <w:rFonts w:hint="default" w:ascii="Times New Roman" w:hAnsi="Times New Roman" w:eastAsia="方正仿宋简体" w:cs="Times New Roman"/>
          <w:i w:val="0"/>
          <w:iCs w:val="0"/>
          <w:caps w:val="0"/>
          <w:color w:val="auto"/>
          <w:spacing w:val="0"/>
          <w:sz w:val="32"/>
          <w:szCs w:val="32"/>
          <w:shd w:val="clear" w:color="auto" w:fill="FFFFFF"/>
          <w:lang w:eastAsia="zh-CN"/>
        </w:rPr>
        <w:t>成员：办公室主任、督查督办股股长、网信股股长、来访接待股股长，来访接待股组织和协调项目支出绩效自评和整体支出绩效自评工作。</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90" w:lineRule="exact"/>
        <w:ind w:left="0" w:leftChars="0" w:right="0" w:firstLine="648"/>
        <w:jc w:val="left"/>
        <w:textAlignment w:val="auto"/>
        <w:rPr>
          <w:rFonts w:hint="default" w:ascii="Times New Roman" w:hAnsi="Times New Roman" w:eastAsia="方正仿宋简体" w:cs="Times New Roman"/>
          <w:i w:val="0"/>
          <w:iCs w:val="0"/>
          <w:caps w:val="0"/>
          <w:color w:val="auto"/>
          <w:spacing w:val="0"/>
          <w:sz w:val="32"/>
          <w:szCs w:val="32"/>
        </w:rPr>
      </w:pPr>
      <w:r>
        <w:rPr>
          <w:rStyle w:val="20"/>
          <w:rFonts w:hint="default" w:ascii="Times New Roman" w:hAnsi="Times New Roman" w:eastAsia="方正楷体简体" w:cs="Times New Roman"/>
          <w:b w:val="0"/>
          <w:bCs/>
          <w:i w:val="0"/>
          <w:iCs w:val="0"/>
          <w:caps w:val="0"/>
          <w:color w:val="auto"/>
          <w:spacing w:val="0"/>
          <w:sz w:val="32"/>
          <w:szCs w:val="32"/>
          <w:shd w:val="clear" w:color="auto" w:fill="FFFFFF"/>
          <w:lang w:val="en-US" w:eastAsia="zh-CN"/>
        </w:rPr>
        <w:t>2.</w:t>
      </w:r>
      <w:r>
        <w:rPr>
          <w:rStyle w:val="20"/>
          <w:rFonts w:hint="default" w:ascii="Times New Roman" w:hAnsi="Times New Roman" w:eastAsia="方正楷体简体" w:cs="Times New Roman"/>
          <w:b w:val="0"/>
          <w:bCs/>
          <w:i w:val="0"/>
          <w:iCs w:val="0"/>
          <w:caps w:val="0"/>
          <w:color w:val="auto"/>
          <w:spacing w:val="0"/>
          <w:sz w:val="32"/>
          <w:szCs w:val="32"/>
          <w:shd w:val="clear" w:color="auto" w:fill="FFFFFF"/>
          <w:lang w:eastAsia="zh-CN"/>
        </w:rPr>
        <w:t>自评方式、方法。</w:t>
      </w:r>
      <w:r>
        <w:rPr>
          <w:rFonts w:hint="default" w:ascii="Times New Roman" w:hAnsi="Times New Roman" w:eastAsia="方正仿宋简体" w:cs="Times New Roman"/>
          <w:i w:val="0"/>
          <w:iCs w:val="0"/>
          <w:caps w:val="0"/>
          <w:color w:val="auto"/>
          <w:spacing w:val="0"/>
          <w:sz w:val="32"/>
          <w:szCs w:val="32"/>
          <w:shd w:val="clear" w:color="auto" w:fill="FFFFFF"/>
          <w:lang w:eastAsia="zh-CN"/>
        </w:rPr>
        <w:t>我局采取的评价方法是通过开展部门支出管理综合评价，促进部门从整体上提升预算绩效管理工作水平，提高财政资金使用效益，保障单位更好地履行职责。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90" w:lineRule="exact"/>
        <w:ind w:left="0" w:leftChars="0" w:right="0" w:firstLine="648"/>
        <w:jc w:val="left"/>
        <w:textAlignment w:val="auto"/>
        <w:rPr>
          <w:rFonts w:hint="default" w:ascii="Times New Roman" w:hAnsi="Times New Roman" w:eastAsia="方正仿宋简体" w:cs="Times New Roman"/>
          <w:i w:val="0"/>
          <w:iCs w:val="0"/>
          <w:caps w:val="0"/>
          <w:color w:val="auto"/>
          <w:spacing w:val="0"/>
          <w:sz w:val="32"/>
          <w:szCs w:val="32"/>
        </w:rPr>
      </w:pPr>
      <w:r>
        <w:rPr>
          <w:rStyle w:val="20"/>
          <w:rFonts w:hint="default" w:ascii="Times New Roman" w:hAnsi="Times New Roman" w:eastAsia="方正楷体简体" w:cs="Times New Roman"/>
          <w:b w:val="0"/>
          <w:bCs/>
          <w:i w:val="0"/>
          <w:iCs w:val="0"/>
          <w:caps w:val="0"/>
          <w:color w:val="auto"/>
          <w:spacing w:val="0"/>
          <w:sz w:val="32"/>
          <w:szCs w:val="32"/>
          <w:shd w:val="clear" w:color="auto" w:fill="FFFFFF"/>
          <w:lang w:val="en-US" w:eastAsia="zh-CN"/>
        </w:rPr>
        <w:t>3.</w:t>
      </w:r>
      <w:r>
        <w:rPr>
          <w:rStyle w:val="20"/>
          <w:rFonts w:hint="default" w:ascii="Times New Roman" w:hAnsi="Times New Roman" w:eastAsia="方正楷体简体" w:cs="Times New Roman"/>
          <w:b w:val="0"/>
          <w:bCs/>
          <w:i w:val="0"/>
          <w:iCs w:val="0"/>
          <w:caps w:val="0"/>
          <w:color w:val="auto"/>
          <w:spacing w:val="0"/>
          <w:sz w:val="32"/>
          <w:szCs w:val="32"/>
          <w:shd w:val="clear" w:color="auto" w:fill="FFFFFF"/>
          <w:lang w:eastAsia="zh-CN"/>
        </w:rPr>
        <w:t>自评注重材料报送时间及质量。</w:t>
      </w:r>
      <w:r>
        <w:rPr>
          <w:rFonts w:hint="default" w:ascii="Times New Roman" w:hAnsi="Times New Roman" w:eastAsia="方正仿宋简体" w:cs="Times New Roman"/>
          <w:i w:val="0"/>
          <w:iCs w:val="0"/>
          <w:caps w:val="0"/>
          <w:color w:val="auto"/>
          <w:spacing w:val="0"/>
          <w:sz w:val="32"/>
          <w:szCs w:val="32"/>
          <w:shd w:val="clear" w:color="auto" w:fill="FFFFFF"/>
          <w:lang w:eastAsia="zh-CN"/>
        </w:rPr>
        <w:t>我局通过资料收集、绩效评价、工作总结及撰写报告等几个阶段，认真、准确填写自评数据表，形成详实的自评报告，按时完成自评工作。我单位对所报送自评材料真实性、完整性、一致性、规范性负责。</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90" w:lineRule="exact"/>
        <w:ind w:left="0" w:leftChars="0" w:right="0" w:firstLine="634"/>
        <w:textAlignment w:val="auto"/>
        <w:rPr>
          <w:rFonts w:hint="default" w:ascii="Times New Roman" w:hAnsi="Times New Roman" w:eastAsia="方正仿宋简体" w:cs="Times New Roman"/>
          <w:color w:val="auto"/>
          <w:sz w:val="32"/>
          <w:szCs w:val="32"/>
        </w:rPr>
      </w:pPr>
      <w:r>
        <w:rPr>
          <w:rStyle w:val="20"/>
          <w:rFonts w:hint="default" w:ascii="Times New Roman" w:hAnsi="Times New Roman" w:eastAsia="方正楷体简体" w:cs="Times New Roman"/>
          <w:b w:val="0"/>
          <w:bCs/>
          <w:i w:val="0"/>
          <w:iCs w:val="0"/>
          <w:caps w:val="0"/>
          <w:color w:val="auto"/>
          <w:spacing w:val="0"/>
          <w:sz w:val="32"/>
          <w:szCs w:val="32"/>
          <w:shd w:val="clear" w:color="auto" w:fill="FFFFFF"/>
          <w:lang w:val="en-US" w:eastAsia="zh-CN"/>
        </w:rPr>
        <w:t>4.</w:t>
      </w:r>
      <w:r>
        <w:rPr>
          <w:rStyle w:val="20"/>
          <w:rFonts w:hint="default" w:ascii="Times New Roman" w:hAnsi="Times New Roman" w:eastAsia="方正楷体简体" w:cs="Times New Roman"/>
          <w:b w:val="0"/>
          <w:bCs/>
          <w:i w:val="0"/>
          <w:iCs w:val="0"/>
          <w:caps w:val="0"/>
          <w:color w:val="auto"/>
          <w:spacing w:val="0"/>
          <w:sz w:val="32"/>
          <w:szCs w:val="32"/>
          <w:shd w:val="clear" w:color="auto" w:fill="FFFFFF"/>
          <w:lang w:eastAsia="zh-CN"/>
        </w:rPr>
        <w:t>自评材料报送及公开一致情况。</w:t>
      </w:r>
      <w:r>
        <w:rPr>
          <w:rFonts w:hint="default" w:ascii="Times New Roman" w:hAnsi="Times New Roman" w:eastAsia="方正仿宋简体" w:cs="Times New Roman"/>
          <w:i w:val="0"/>
          <w:iCs w:val="0"/>
          <w:caps w:val="0"/>
          <w:color w:val="auto"/>
          <w:spacing w:val="0"/>
          <w:sz w:val="32"/>
          <w:szCs w:val="32"/>
          <w:shd w:val="clear" w:color="auto" w:fill="FFFFFF"/>
          <w:lang w:eastAsia="zh-CN"/>
        </w:rPr>
        <w:t>我单位所报送的自评报告、数据表、评分表与公开的决算数据一致。</w:t>
      </w:r>
    </w:p>
    <w:p>
      <w:pPr>
        <w:keepNext w:val="0"/>
        <w:keepLines w:val="0"/>
        <w:pageBreakBefore w:val="0"/>
        <w:kinsoku/>
        <w:wordWrap/>
        <w:overflowPunct/>
        <w:topLinePunct w:val="0"/>
        <w:autoSpaceDE/>
        <w:autoSpaceDN/>
        <w:bidi w:val="0"/>
        <w:adjustRightInd/>
        <w:snapToGrid/>
        <w:spacing w:line="590" w:lineRule="exact"/>
        <w:ind w:left="0" w:leftChars="0" w:firstLine="640" w:firstLineChars="200"/>
        <w:textAlignment w:val="auto"/>
        <w:rPr>
          <w:rFonts w:hint="default" w:ascii="Times New Roman" w:hAnsi="Times New Roman" w:eastAsia="方正黑体简体" w:cs="Times New Roman"/>
          <w:color w:val="auto"/>
          <w:sz w:val="32"/>
          <w:szCs w:val="32"/>
        </w:rPr>
      </w:pPr>
      <w:r>
        <w:rPr>
          <w:rFonts w:hint="default" w:ascii="Times New Roman" w:hAnsi="Times New Roman" w:eastAsia="方正黑体简体" w:cs="Times New Roman"/>
          <w:color w:val="auto"/>
          <w:sz w:val="32"/>
          <w:szCs w:val="32"/>
        </w:rPr>
        <w:t>四、评价结论</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90" w:lineRule="exact"/>
        <w:ind w:left="0" w:leftChars="0" w:right="0" w:firstLine="634"/>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eastAsia="zh-CN"/>
        </w:rPr>
        <w:t>我局今年开展了部门整体支出绩效自评。根据年初设定的绩效目标，部门整体支出绩效自评得分为</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94</w:t>
      </w:r>
      <w:r>
        <w:rPr>
          <w:rFonts w:hint="default" w:ascii="Times New Roman" w:hAnsi="Times New Roman" w:eastAsia="方正仿宋简体" w:cs="Times New Roman"/>
          <w:i w:val="0"/>
          <w:iCs w:val="0"/>
          <w:caps w:val="0"/>
          <w:color w:val="auto"/>
          <w:spacing w:val="0"/>
          <w:sz w:val="32"/>
          <w:szCs w:val="32"/>
          <w:shd w:val="clear" w:color="auto" w:fill="FFFFFF"/>
          <w:lang w:eastAsia="zh-CN"/>
        </w:rPr>
        <w:t>体支出目标实现程度及绩效如下：</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90" w:lineRule="exact"/>
        <w:ind w:left="0" w:leftChars="0" w:right="0" w:firstLine="634"/>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shd w:val="clear" w:color="auto" w:fill="FFFFFF"/>
          <w:lang w:val="en-US"/>
        </w:rPr>
        <w:t>20</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2</w:t>
      </w:r>
      <w:r>
        <w:rPr>
          <w:rFonts w:hint="eastAsia" w:eastAsia="方正仿宋简体" w:cs="Times New Roman"/>
          <w:i w:val="0"/>
          <w:iCs w:val="0"/>
          <w:caps w:val="0"/>
          <w:color w:val="auto"/>
          <w:spacing w:val="0"/>
          <w:sz w:val="32"/>
          <w:szCs w:val="32"/>
          <w:shd w:val="clear" w:color="auto" w:fill="FFFFFF"/>
          <w:lang w:val="en-US" w:eastAsia="zh-CN"/>
        </w:rPr>
        <w:t>3</w:t>
      </w:r>
      <w:r>
        <w:rPr>
          <w:rFonts w:hint="default" w:ascii="Times New Roman" w:hAnsi="Times New Roman" w:eastAsia="方正仿宋简体" w:cs="Times New Roman"/>
          <w:i w:val="0"/>
          <w:iCs w:val="0"/>
          <w:caps w:val="0"/>
          <w:color w:val="auto"/>
          <w:spacing w:val="0"/>
          <w:sz w:val="32"/>
          <w:szCs w:val="32"/>
          <w:shd w:val="clear" w:color="auto" w:fill="FFFFFF"/>
          <w:lang w:eastAsia="zh-CN"/>
        </w:rPr>
        <w:t>年，在县委、县政府的正确领导下，在上级信访部门的指导下，我局主动作为，攻坚克难，在防范社会风险、化解矛盾纠纷、维护社会稳定上持续发力，切实维护群众合法权益和社会大局和谐稳定。</w:t>
      </w:r>
    </w:p>
    <w:p>
      <w:pPr>
        <w:keepNext w:val="0"/>
        <w:keepLines w:val="0"/>
        <w:pageBreakBefore w:val="0"/>
        <w:numPr>
          <w:ilvl w:val="0"/>
          <w:numId w:val="8"/>
        </w:numPr>
        <w:kinsoku/>
        <w:wordWrap/>
        <w:overflowPunct/>
        <w:topLinePunct w:val="0"/>
        <w:autoSpaceDE/>
        <w:autoSpaceDN/>
        <w:bidi w:val="0"/>
        <w:adjustRightInd/>
        <w:snapToGrid/>
        <w:spacing w:line="590" w:lineRule="exact"/>
        <w:ind w:left="0" w:leftChars="0" w:firstLine="640" w:firstLineChars="200"/>
        <w:textAlignment w:val="auto"/>
        <w:rPr>
          <w:rFonts w:hint="default" w:ascii="Times New Roman" w:hAnsi="Times New Roman" w:cs="Times New Roman"/>
          <w:color w:val="auto"/>
          <w:sz w:val="32"/>
          <w:szCs w:val="32"/>
        </w:rPr>
      </w:pPr>
      <w:r>
        <w:rPr>
          <w:rFonts w:hint="default" w:ascii="Times New Roman" w:hAnsi="Times New Roman" w:eastAsia="方正黑体简体" w:cs="Times New Roman"/>
          <w:color w:val="auto"/>
          <w:sz w:val="32"/>
          <w:szCs w:val="32"/>
        </w:rPr>
        <w:t>绩效分析</w:t>
      </w:r>
    </w:p>
    <w:p>
      <w:pPr>
        <w:keepNext w:val="0"/>
        <w:keepLines w:val="0"/>
        <w:pageBreakBefore w:val="0"/>
        <w:kinsoku/>
        <w:wordWrap/>
        <w:overflowPunct/>
        <w:topLinePunct w:val="0"/>
        <w:autoSpaceDE/>
        <w:autoSpaceDN/>
        <w:bidi w:val="0"/>
        <w:adjustRightInd/>
        <w:snapToGrid/>
        <w:spacing w:line="590" w:lineRule="exact"/>
        <w:ind w:left="0" w:leftChars="0" w:firstLine="643" w:firstLineChars="200"/>
        <w:textAlignment w:val="auto"/>
        <w:rPr>
          <w:rFonts w:hint="default" w:ascii="Times New Roman" w:hAnsi="Times New Roman" w:eastAsia="方正楷体简体" w:cs="Times New Roman"/>
          <w:b/>
          <w:color w:val="auto"/>
          <w:sz w:val="32"/>
          <w:szCs w:val="32"/>
        </w:rPr>
      </w:pPr>
      <w:r>
        <w:rPr>
          <w:rFonts w:hint="default" w:ascii="Times New Roman" w:hAnsi="Times New Roman" w:eastAsia="方正楷体简体" w:cs="Times New Roman"/>
          <w:b/>
          <w:color w:val="auto"/>
          <w:sz w:val="32"/>
          <w:szCs w:val="32"/>
        </w:rPr>
        <w:t>（一）指标分析</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90" w:lineRule="exact"/>
        <w:ind w:left="0" w:leftChars="0" w:right="0" w:firstLine="634"/>
        <w:jc w:val="left"/>
        <w:textAlignment w:val="auto"/>
        <w:rPr>
          <w:rFonts w:hint="default" w:ascii="Times New Roman" w:hAnsi="Times New Roman" w:eastAsia="方正仿宋简体" w:cs="Times New Roman"/>
          <w:i w:val="0"/>
          <w:iCs w:val="0"/>
          <w:caps w:val="0"/>
          <w:color w:val="auto"/>
          <w:spacing w:val="0"/>
          <w:sz w:val="32"/>
          <w:szCs w:val="32"/>
          <w:shd w:val="clear" w:color="auto" w:fill="FFFFFF"/>
          <w:lang w:val="en-US" w:eastAsia="zh-CN"/>
        </w:rPr>
      </w:pPr>
      <w:r>
        <w:rPr>
          <w:rFonts w:hint="default" w:ascii="Times New Roman" w:hAnsi="Times New Roman" w:eastAsia="方正楷体简体" w:cs="Times New Roman"/>
          <w:i w:val="0"/>
          <w:iCs w:val="0"/>
          <w:caps w:val="0"/>
          <w:color w:val="auto"/>
          <w:spacing w:val="0"/>
          <w:sz w:val="32"/>
          <w:szCs w:val="32"/>
          <w:shd w:val="clear" w:color="auto" w:fill="FFFFFF"/>
          <w:lang w:eastAsia="zh-CN"/>
        </w:rPr>
        <w:t>1</w:t>
      </w:r>
      <w:r>
        <w:rPr>
          <w:rFonts w:hint="default" w:ascii="Times New Roman" w:hAnsi="Times New Roman" w:eastAsia="方正楷体简体" w:cs="Times New Roman"/>
          <w:i w:val="0"/>
          <w:iCs w:val="0"/>
          <w:caps w:val="0"/>
          <w:color w:val="auto"/>
          <w:spacing w:val="0"/>
          <w:sz w:val="32"/>
          <w:szCs w:val="32"/>
          <w:shd w:val="clear" w:color="auto" w:fill="FFFFFF"/>
          <w:lang w:val="en-US" w:eastAsia="zh-CN"/>
        </w:rPr>
        <w:t>.</w:t>
      </w:r>
      <w:r>
        <w:rPr>
          <w:rFonts w:hint="default" w:ascii="Times New Roman" w:hAnsi="Times New Roman" w:eastAsia="方正楷体简体" w:cs="Times New Roman"/>
          <w:i w:val="0"/>
          <w:iCs w:val="0"/>
          <w:caps w:val="0"/>
          <w:color w:val="auto"/>
          <w:spacing w:val="0"/>
          <w:sz w:val="32"/>
          <w:szCs w:val="32"/>
          <w:shd w:val="clear" w:color="auto" w:fill="FFFFFF"/>
          <w:lang w:eastAsia="zh-CN"/>
        </w:rPr>
        <w:t>投入得</w:t>
      </w:r>
      <w:r>
        <w:rPr>
          <w:rFonts w:hint="default" w:ascii="Times New Roman" w:hAnsi="Times New Roman" w:eastAsia="方正楷体简体" w:cs="Times New Roman"/>
          <w:i w:val="0"/>
          <w:iCs w:val="0"/>
          <w:caps w:val="0"/>
          <w:color w:val="auto"/>
          <w:spacing w:val="0"/>
          <w:sz w:val="32"/>
          <w:szCs w:val="32"/>
          <w:shd w:val="clear" w:color="auto" w:fill="FFFFFF"/>
          <w:lang w:val="en-US" w:eastAsia="zh-CN"/>
        </w:rPr>
        <w:t>20分。</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主要为：</w:t>
      </w:r>
      <w:r>
        <w:rPr>
          <w:rFonts w:hint="default" w:ascii="Times New Roman" w:hAnsi="Times New Roman" w:eastAsia="方正仿宋简体" w:cs="Times New Roman"/>
          <w:i w:val="0"/>
          <w:iCs w:val="0"/>
          <w:caps w:val="0"/>
          <w:color w:val="auto"/>
          <w:spacing w:val="0"/>
          <w:sz w:val="32"/>
          <w:szCs w:val="32"/>
          <w:shd w:val="clear" w:color="auto" w:fill="FFFFFF"/>
          <w:lang w:eastAsia="zh-CN"/>
        </w:rPr>
        <w:t>目标设定较好得5分。我局设立的整体绩效目绩效目标合理，绩效指标明确，整体绩效目标依据充分，符合客观实际，整体绩效目标所设定的绩效指标清晰、细化、可衡量。预算配置控制较好得</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1</w:t>
      </w:r>
      <w:r>
        <w:rPr>
          <w:rFonts w:hint="default" w:ascii="Times New Roman" w:hAnsi="Times New Roman" w:eastAsia="方正仿宋简体" w:cs="Times New Roman"/>
          <w:i w:val="0"/>
          <w:iCs w:val="0"/>
          <w:caps w:val="0"/>
          <w:color w:val="auto"/>
          <w:spacing w:val="0"/>
          <w:sz w:val="32"/>
          <w:szCs w:val="32"/>
          <w:shd w:val="clear" w:color="auto" w:fill="FFFFFF"/>
          <w:lang w:eastAsia="zh-CN"/>
        </w:rPr>
        <w:t>5分。主要为：在职人员控制率（在职</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13</w:t>
      </w:r>
      <w:r>
        <w:rPr>
          <w:rFonts w:hint="default" w:ascii="Times New Roman" w:hAnsi="Times New Roman" w:eastAsia="方正仿宋简体" w:cs="Times New Roman"/>
          <w:i w:val="0"/>
          <w:iCs w:val="0"/>
          <w:caps w:val="0"/>
          <w:color w:val="auto"/>
          <w:spacing w:val="0"/>
          <w:sz w:val="32"/>
          <w:szCs w:val="32"/>
          <w:shd w:val="clear" w:color="auto" w:fill="FFFFFF"/>
          <w:lang w:eastAsia="zh-CN"/>
        </w:rPr>
        <w:t>人/编制1</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4</w:t>
      </w:r>
      <w:r>
        <w:rPr>
          <w:rFonts w:hint="default" w:ascii="Times New Roman" w:hAnsi="Times New Roman" w:eastAsia="方正仿宋简体" w:cs="Times New Roman"/>
          <w:i w:val="0"/>
          <w:iCs w:val="0"/>
          <w:caps w:val="0"/>
          <w:color w:val="auto"/>
          <w:spacing w:val="0"/>
          <w:sz w:val="32"/>
          <w:szCs w:val="32"/>
          <w:shd w:val="clear" w:color="auto" w:fill="FFFFFF"/>
          <w:lang w:eastAsia="zh-CN"/>
        </w:rPr>
        <w:t>人*100%=</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92.9</w:t>
      </w:r>
      <w:r>
        <w:rPr>
          <w:rFonts w:hint="default" w:ascii="Times New Roman" w:hAnsi="Times New Roman" w:eastAsia="方正仿宋简体" w:cs="Times New Roman"/>
          <w:i w:val="0"/>
          <w:iCs w:val="0"/>
          <w:caps w:val="0"/>
          <w:color w:val="auto"/>
          <w:spacing w:val="0"/>
          <w:sz w:val="32"/>
          <w:szCs w:val="32"/>
          <w:shd w:val="clear" w:color="auto" w:fill="FFFFFF"/>
          <w:lang w:eastAsia="zh-CN"/>
        </w:rPr>
        <w:t>%）为</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92.9</w:t>
      </w:r>
      <w:r>
        <w:rPr>
          <w:rFonts w:hint="default" w:ascii="Times New Roman" w:hAnsi="Times New Roman" w:eastAsia="方正仿宋简体" w:cs="Times New Roman"/>
          <w:i w:val="0"/>
          <w:iCs w:val="0"/>
          <w:caps w:val="0"/>
          <w:color w:val="auto"/>
          <w:spacing w:val="0"/>
          <w:sz w:val="32"/>
          <w:szCs w:val="32"/>
          <w:shd w:val="clear" w:color="auto" w:fill="FFFFFF"/>
          <w:lang w:eastAsia="zh-CN"/>
        </w:rPr>
        <w:t>%，小于</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1得5分；</w:t>
      </w:r>
      <w:r>
        <w:rPr>
          <w:rFonts w:hint="default" w:ascii="Times New Roman" w:hAnsi="Times New Roman" w:eastAsia="方正仿宋简体" w:cs="Times New Roman"/>
          <w:i w:val="0"/>
          <w:iCs w:val="0"/>
          <w:caps w:val="0"/>
          <w:color w:val="auto"/>
          <w:spacing w:val="0"/>
          <w:sz w:val="32"/>
          <w:szCs w:val="32"/>
          <w:shd w:val="clear" w:color="auto" w:fill="FFFFFF"/>
          <w:lang w:eastAsia="zh-CN"/>
        </w:rPr>
        <w:t>“三公经费”变动率</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:（本年2.98-上年</w:t>
      </w:r>
      <w:r>
        <w:rPr>
          <w:rFonts w:hint="eastAsia" w:eastAsia="方正仿宋简体" w:cs="Times New Roman"/>
          <w:i w:val="0"/>
          <w:iCs w:val="0"/>
          <w:caps w:val="0"/>
          <w:color w:val="auto"/>
          <w:spacing w:val="0"/>
          <w:sz w:val="32"/>
          <w:szCs w:val="32"/>
          <w:shd w:val="clear" w:color="auto" w:fill="FFFFFF"/>
          <w:lang w:val="en-US" w:eastAsia="zh-CN"/>
        </w:rPr>
        <w:t>2.98</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）/上年</w:t>
      </w:r>
      <w:r>
        <w:rPr>
          <w:rFonts w:hint="eastAsia" w:eastAsia="方正仿宋简体" w:cs="Times New Roman"/>
          <w:i w:val="0"/>
          <w:iCs w:val="0"/>
          <w:caps w:val="0"/>
          <w:color w:val="auto"/>
          <w:spacing w:val="0"/>
          <w:sz w:val="32"/>
          <w:szCs w:val="32"/>
          <w:shd w:val="clear" w:color="auto" w:fill="FFFFFF"/>
          <w:lang w:val="en-US" w:eastAsia="zh-CN"/>
        </w:rPr>
        <w:t>2.98</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*100%=</w:t>
      </w:r>
      <w:r>
        <w:rPr>
          <w:rFonts w:hint="eastAsia" w:eastAsia="方正仿宋简体" w:cs="Times New Roman"/>
          <w:i w:val="0"/>
          <w:iCs w:val="0"/>
          <w:caps w:val="0"/>
          <w:color w:val="auto"/>
          <w:spacing w:val="0"/>
          <w:sz w:val="32"/>
          <w:szCs w:val="32"/>
          <w:shd w:val="clear" w:color="auto" w:fill="FFFFFF"/>
          <w:lang w:val="en-US" w:eastAsia="zh-CN"/>
        </w:rPr>
        <w:t>0</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w:t>
      </w:r>
      <w:r>
        <w:rPr>
          <w:rFonts w:hint="eastAsia" w:eastAsia="方正仿宋简体" w:cs="Times New Roman"/>
          <w:i w:val="0"/>
          <w:iCs w:val="0"/>
          <w:caps w:val="0"/>
          <w:color w:val="auto"/>
          <w:spacing w:val="0"/>
          <w:sz w:val="32"/>
          <w:szCs w:val="32"/>
          <w:shd w:val="clear" w:color="auto" w:fill="FFFFFF"/>
          <w:lang w:val="en-US" w:eastAsia="zh-CN"/>
        </w:rPr>
        <w:t>持平</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得5分；重点支出安排率=（重点项目支出信访事务</w:t>
      </w:r>
      <w:r>
        <w:rPr>
          <w:rFonts w:hint="eastAsia" w:eastAsia="方正仿宋简体" w:cs="Times New Roman"/>
          <w:i w:val="0"/>
          <w:iCs w:val="0"/>
          <w:caps w:val="0"/>
          <w:color w:val="auto"/>
          <w:spacing w:val="0"/>
          <w:sz w:val="32"/>
          <w:szCs w:val="32"/>
          <w:shd w:val="clear" w:color="auto" w:fill="FFFFFF"/>
          <w:lang w:val="en-US" w:eastAsia="zh-CN"/>
        </w:rPr>
        <w:t>135.47</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万元/项目总支出信访事务</w:t>
      </w:r>
      <w:r>
        <w:rPr>
          <w:rFonts w:hint="eastAsia" w:eastAsia="方正仿宋简体" w:cs="Times New Roman"/>
          <w:i w:val="0"/>
          <w:iCs w:val="0"/>
          <w:caps w:val="0"/>
          <w:color w:val="auto"/>
          <w:spacing w:val="0"/>
          <w:sz w:val="32"/>
          <w:szCs w:val="32"/>
          <w:shd w:val="clear" w:color="auto" w:fill="FFFFFF"/>
          <w:lang w:val="en-US" w:eastAsia="zh-CN"/>
        </w:rPr>
        <w:t>135.47</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万元）×100%=100%，得五分。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90" w:lineRule="exact"/>
        <w:ind w:left="0" w:leftChars="0" w:right="0" w:firstLine="634"/>
        <w:jc w:val="left"/>
        <w:textAlignment w:val="auto"/>
        <w:rPr>
          <w:rFonts w:hint="default" w:ascii="Times New Roman" w:hAnsi="Times New Roman" w:eastAsia="方正仿宋简体" w:cs="Times New Roman"/>
          <w:i w:val="0"/>
          <w:iCs w:val="0"/>
          <w:caps w:val="0"/>
          <w:color w:val="auto"/>
          <w:spacing w:val="0"/>
          <w:sz w:val="32"/>
          <w:szCs w:val="32"/>
          <w:shd w:val="clear" w:color="auto" w:fill="FFFFFF"/>
          <w:lang w:val="en-US" w:eastAsia="zh-CN"/>
        </w:rPr>
      </w:pPr>
      <w:r>
        <w:rPr>
          <w:rFonts w:hint="default" w:ascii="Times New Roman" w:hAnsi="Times New Roman" w:eastAsia="方正楷体简体" w:cs="Times New Roman"/>
          <w:i w:val="0"/>
          <w:iCs w:val="0"/>
          <w:caps w:val="0"/>
          <w:color w:val="auto"/>
          <w:spacing w:val="0"/>
          <w:sz w:val="32"/>
          <w:szCs w:val="32"/>
          <w:shd w:val="clear" w:color="auto" w:fill="FFFFFF"/>
          <w:lang w:val="en-US" w:eastAsia="zh-CN"/>
        </w:rPr>
        <w:t>2.</w:t>
      </w:r>
      <w:r>
        <w:rPr>
          <w:rFonts w:hint="default" w:ascii="Times New Roman" w:hAnsi="Times New Roman" w:eastAsia="方正楷体简体" w:cs="Times New Roman"/>
          <w:i w:val="0"/>
          <w:iCs w:val="0"/>
          <w:caps w:val="0"/>
          <w:color w:val="auto"/>
          <w:spacing w:val="0"/>
          <w:sz w:val="32"/>
          <w:szCs w:val="32"/>
          <w:shd w:val="clear" w:color="auto" w:fill="FFFFFF"/>
          <w:lang w:eastAsia="zh-CN"/>
        </w:rPr>
        <w:t>过程得</w:t>
      </w:r>
      <w:r>
        <w:rPr>
          <w:rFonts w:hint="default" w:ascii="Times New Roman" w:hAnsi="Times New Roman" w:eastAsia="方正楷体简体" w:cs="Times New Roman"/>
          <w:i w:val="0"/>
          <w:iCs w:val="0"/>
          <w:caps w:val="0"/>
          <w:color w:val="auto"/>
          <w:spacing w:val="0"/>
          <w:sz w:val="32"/>
          <w:szCs w:val="32"/>
          <w:shd w:val="clear" w:color="auto" w:fill="FFFFFF"/>
          <w:lang w:val="en-US" w:eastAsia="zh-CN"/>
        </w:rPr>
        <w:t>24.9分。</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主要为：预算完成率=（预算完成数</w:t>
      </w:r>
      <w:r>
        <w:rPr>
          <w:rFonts w:hint="default" w:ascii="Times New Roman" w:hAnsi="Times New Roman" w:eastAsia="方正仿宋简体" w:cs="Times New Roman"/>
          <w:color w:val="auto"/>
          <w:sz w:val="32"/>
          <w:szCs w:val="32"/>
          <w:lang w:val="en-US" w:eastAsia="zh-CN"/>
        </w:rPr>
        <w:t>374.18</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万元/预算数</w:t>
      </w:r>
      <w:r>
        <w:rPr>
          <w:rFonts w:hint="default" w:ascii="Times New Roman" w:hAnsi="Times New Roman" w:eastAsia="方正仿宋简体" w:cs="Times New Roman"/>
          <w:color w:val="auto"/>
          <w:sz w:val="32"/>
          <w:szCs w:val="32"/>
          <w:lang w:val="en-US" w:eastAsia="zh-CN"/>
        </w:rPr>
        <w:t>374.18</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万元）×100%=100%得4分；预算调整得0分；完成年终支付进度得2分；结转结余率0%低于5个百分点得2分。“三公经费”控制率=（“三公经费”实际支出数2.98万/“三公经费”预算安排数</w:t>
      </w:r>
      <w:r>
        <w:rPr>
          <w:rFonts w:hint="eastAsia" w:eastAsia="方正仿宋简体" w:cs="Times New Roman"/>
          <w:i w:val="0"/>
          <w:iCs w:val="0"/>
          <w:caps w:val="0"/>
          <w:color w:val="auto"/>
          <w:spacing w:val="0"/>
          <w:sz w:val="32"/>
          <w:szCs w:val="32"/>
          <w:shd w:val="clear" w:color="auto" w:fill="FFFFFF"/>
          <w:lang w:val="en-US" w:eastAsia="zh-CN"/>
        </w:rPr>
        <w:t>3.5</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万）×100%=</w:t>
      </w:r>
      <w:r>
        <w:rPr>
          <w:rFonts w:hint="eastAsia" w:eastAsia="方正仿宋简体" w:cs="Times New Roman"/>
          <w:i w:val="0"/>
          <w:iCs w:val="0"/>
          <w:caps w:val="0"/>
          <w:color w:val="auto"/>
          <w:spacing w:val="0"/>
          <w:sz w:val="32"/>
          <w:szCs w:val="32"/>
          <w:shd w:val="clear" w:color="auto" w:fill="FFFFFF"/>
          <w:lang w:val="en-US" w:eastAsia="zh-CN"/>
        </w:rPr>
        <w:t>85.14</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得0分；严格遵守政府采购规定得4分；完善健全了财务管理制度得2分；预算资金符合相关的预算财务管理制度的规定得1分；按照政府信息公开有关规定公开相关预决算信息得1分；完善了基础信息得1分；严格按照资产管理办法管理固定资产得5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90" w:lineRule="exact"/>
        <w:ind w:left="0" w:leftChars="0" w:right="0" w:firstLine="634"/>
        <w:jc w:val="left"/>
        <w:textAlignment w:val="auto"/>
        <w:rPr>
          <w:rFonts w:hint="default" w:ascii="Times New Roman" w:hAnsi="Times New Roman" w:eastAsia="方正仿宋简体" w:cs="Times New Roman"/>
          <w:i w:val="0"/>
          <w:iCs w:val="0"/>
          <w:caps w:val="0"/>
          <w:color w:val="auto"/>
          <w:spacing w:val="0"/>
          <w:sz w:val="32"/>
          <w:szCs w:val="32"/>
          <w:shd w:val="clear" w:color="auto" w:fill="FFFFFF"/>
          <w:lang w:val="en-US" w:eastAsia="zh-CN"/>
        </w:rPr>
      </w:pPr>
      <w:r>
        <w:rPr>
          <w:rFonts w:hint="default" w:ascii="Times New Roman" w:hAnsi="Times New Roman" w:eastAsia="方正楷体简体" w:cs="Times New Roman"/>
          <w:i w:val="0"/>
          <w:iCs w:val="0"/>
          <w:caps w:val="0"/>
          <w:color w:val="auto"/>
          <w:spacing w:val="0"/>
          <w:sz w:val="32"/>
          <w:szCs w:val="32"/>
          <w:shd w:val="clear" w:color="auto" w:fill="FFFFFF"/>
          <w:lang w:val="en-US" w:eastAsia="zh-CN"/>
        </w:rPr>
        <w:t>3.产出得30分。</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主要为：完成及时得4分；质量达标得8分；重点工作及时办结得10分。</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90" w:lineRule="exact"/>
        <w:ind w:left="0" w:leftChars="0" w:right="0" w:firstLine="634"/>
        <w:jc w:val="left"/>
        <w:textAlignment w:val="auto"/>
        <w:rPr>
          <w:rFonts w:hint="default" w:ascii="Times New Roman" w:hAnsi="Times New Roman" w:eastAsia="方正仿宋简体" w:cs="Times New Roman"/>
          <w:i w:val="0"/>
          <w:iCs w:val="0"/>
          <w:caps w:val="0"/>
          <w:color w:val="auto"/>
          <w:spacing w:val="0"/>
          <w:sz w:val="32"/>
          <w:szCs w:val="32"/>
          <w:shd w:val="clear" w:color="auto" w:fill="FFFFFF"/>
          <w:lang w:val="en-US" w:eastAsia="zh-CN"/>
        </w:rPr>
      </w:pPr>
      <w:r>
        <w:rPr>
          <w:rFonts w:hint="default" w:ascii="Times New Roman" w:hAnsi="Times New Roman" w:eastAsia="方正楷体简体" w:cs="Times New Roman"/>
          <w:i w:val="0"/>
          <w:iCs w:val="0"/>
          <w:caps w:val="0"/>
          <w:color w:val="auto"/>
          <w:spacing w:val="0"/>
          <w:sz w:val="32"/>
          <w:szCs w:val="32"/>
          <w:shd w:val="clear" w:color="auto" w:fill="FFFFFF"/>
          <w:lang w:val="en-US" w:eastAsia="zh-CN"/>
        </w:rPr>
        <w:t>4.效果得20分。</w:t>
      </w:r>
      <w:r>
        <w:rPr>
          <w:rFonts w:hint="default" w:ascii="Times New Roman" w:hAnsi="Times New Roman" w:eastAsia="方正仿宋简体" w:cs="Times New Roman"/>
          <w:i w:val="0"/>
          <w:iCs w:val="0"/>
          <w:caps w:val="0"/>
          <w:color w:val="auto"/>
          <w:spacing w:val="0"/>
          <w:sz w:val="32"/>
          <w:szCs w:val="32"/>
          <w:shd w:val="clear" w:color="auto" w:fill="FFFFFF"/>
          <w:lang w:val="en-US" w:eastAsia="zh-CN"/>
        </w:rPr>
        <w:t>主要为：提高了信访办理质量，提高了社会稳定性；降低了上访量，让信访数据多跑路、上访群众少跑腿得20分。</w:t>
      </w:r>
    </w:p>
    <w:p>
      <w:pPr>
        <w:keepNext w:val="0"/>
        <w:keepLines w:val="0"/>
        <w:pageBreakBefore w:val="0"/>
        <w:kinsoku/>
        <w:wordWrap/>
        <w:overflowPunct/>
        <w:topLinePunct w:val="0"/>
        <w:autoSpaceDE/>
        <w:autoSpaceDN/>
        <w:bidi w:val="0"/>
        <w:adjustRightInd/>
        <w:snapToGrid/>
        <w:spacing w:line="590" w:lineRule="exact"/>
        <w:ind w:left="0" w:leftChars="0" w:firstLine="643" w:firstLineChars="200"/>
        <w:textAlignment w:val="auto"/>
        <w:rPr>
          <w:rFonts w:hint="default" w:ascii="Times New Roman" w:hAnsi="Times New Roman" w:eastAsia="方正楷体简体" w:cs="Times New Roman"/>
          <w:b/>
          <w:color w:val="auto"/>
          <w:sz w:val="32"/>
          <w:szCs w:val="32"/>
        </w:rPr>
      </w:pPr>
      <w:r>
        <w:rPr>
          <w:rFonts w:hint="default" w:ascii="Times New Roman" w:hAnsi="Times New Roman" w:eastAsia="方正楷体简体" w:cs="Times New Roman"/>
          <w:b/>
          <w:color w:val="auto"/>
          <w:sz w:val="32"/>
          <w:szCs w:val="32"/>
        </w:rPr>
        <w:t>（二）综合绩效分析</w:t>
      </w:r>
    </w:p>
    <w:p>
      <w:pPr>
        <w:keepNext w:val="0"/>
        <w:keepLines w:val="0"/>
        <w:pageBreakBefore w:val="0"/>
        <w:kinsoku/>
        <w:wordWrap/>
        <w:overflowPunct/>
        <w:topLinePunct w:val="0"/>
        <w:autoSpaceDE/>
        <w:autoSpaceDN/>
        <w:bidi w:val="0"/>
        <w:adjustRightInd/>
        <w:snapToGrid/>
        <w:spacing w:line="590" w:lineRule="exact"/>
        <w:ind w:left="0" w:leftChars="0" w:firstLine="640" w:firstLineChars="200"/>
        <w:jc w:val="left"/>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楷体简体" w:cs="Times New Roman"/>
          <w:b w:val="0"/>
          <w:bCs/>
          <w:color w:val="auto"/>
          <w:sz w:val="32"/>
          <w:szCs w:val="32"/>
        </w:rPr>
        <w:t>1</w:t>
      </w:r>
      <w:r>
        <w:rPr>
          <w:rFonts w:hint="default" w:ascii="Times New Roman" w:hAnsi="Times New Roman" w:eastAsia="方正楷体简体" w:cs="Times New Roman"/>
          <w:b w:val="0"/>
          <w:bCs/>
          <w:color w:val="auto"/>
          <w:sz w:val="32"/>
          <w:szCs w:val="32"/>
          <w:lang w:val="en-US" w:eastAsia="zh-CN"/>
        </w:rPr>
        <w:t>.</w:t>
      </w:r>
      <w:r>
        <w:rPr>
          <w:rFonts w:hint="default" w:ascii="Times New Roman" w:hAnsi="Times New Roman" w:eastAsia="方正楷体简体" w:cs="Times New Roman"/>
          <w:b w:val="0"/>
          <w:bCs/>
          <w:color w:val="auto"/>
          <w:sz w:val="32"/>
          <w:szCs w:val="32"/>
        </w:rPr>
        <w:t>部门职能履行情况。</w:t>
      </w:r>
      <w:r>
        <w:rPr>
          <w:rFonts w:hint="default" w:ascii="Times New Roman" w:hAnsi="Times New Roman" w:eastAsia="方正仿宋简体" w:cs="Times New Roman"/>
          <w:i w:val="0"/>
          <w:iCs w:val="0"/>
          <w:caps w:val="0"/>
          <w:color w:val="auto"/>
          <w:spacing w:val="0"/>
          <w:kern w:val="0"/>
          <w:sz w:val="32"/>
          <w:szCs w:val="32"/>
          <w:shd w:val="clear" w:color="auto" w:fill="FFFFFF"/>
          <w:lang w:val="en-US" w:eastAsia="zh-CN" w:bidi="ar"/>
        </w:rPr>
        <w:t>我局严格遵守各项财经纪律，加强单位财务管理工作，严格按照预算管理有关规定，目前部门预算的编制实行综合预算制度，即全部收入和支出都反映在预算中，确保财务收支平衡，保障了日常工作运转的需要，加强了信访案件协调化解力度，维护了信访秩序和群众合法权益，达到群众基本满意。</w:t>
      </w:r>
    </w:p>
    <w:p>
      <w:pPr>
        <w:keepNext w:val="0"/>
        <w:keepLines w:val="0"/>
        <w:pageBreakBefore w:val="0"/>
        <w:kinsoku/>
        <w:wordWrap/>
        <w:overflowPunct/>
        <w:topLinePunct w:val="0"/>
        <w:autoSpaceDE/>
        <w:autoSpaceDN/>
        <w:bidi w:val="0"/>
        <w:adjustRightInd/>
        <w:snapToGrid/>
        <w:spacing w:line="590" w:lineRule="exact"/>
        <w:ind w:left="0" w:leftChars="0" w:firstLine="640" w:firstLineChars="200"/>
        <w:jc w:val="left"/>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楷体简体" w:cs="Times New Roman"/>
          <w:b w:val="0"/>
          <w:bCs/>
          <w:color w:val="auto"/>
          <w:sz w:val="32"/>
          <w:szCs w:val="32"/>
        </w:rPr>
        <w:t>2</w:t>
      </w:r>
      <w:r>
        <w:rPr>
          <w:rFonts w:hint="default" w:ascii="Times New Roman" w:hAnsi="Times New Roman" w:eastAsia="方正楷体简体" w:cs="Times New Roman"/>
          <w:b w:val="0"/>
          <w:bCs/>
          <w:color w:val="auto"/>
          <w:sz w:val="32"/>
          <w:szCs w:val="32"/>
          <w:lang w:val="en-US" w:eastAsia="zh-CN"/>
        </w:rPr>
        <w:t>.</w:t>
      </w:r>
      <w:r>
        <w:rPr>
          <w:rFonts w:hint="default" w:ascii="Times New Roman" w:hAnsi="Times New Roman" w:eastAsia="方正楷体简体" w:cs="Times New Roman"/>
          <w:b w:val="0"/>
          <w:bCs/>
          <w:color w:val="auto"/>
          <w:sz w:val="32"/>
          <w:szCs w:val="32"/>
        </w:rPr>
        <w:t>部门履职有效性。</w:t>
      </w:r>
      <w:r>
        <w:rPr>
          <w:rFonts w:hint="default" w:ascii="Times New Roman" w:hAnsi="Times New Roman" w:eastAsia="方正仿宋简体" w:cs="Times New Roman"/>
          <w:i w:val="0"/>
          <w:iCs w:val="0"/>
          <w:caps w:val="0"/>
          <w:color w:val="auto"/>
          <w:spacing w:val="0"/>
          <w:sz w:val="32"/>
          <w:szCs w:val="32"/>
          <w:lang w:eastAsia="zh-CN"/>
        </w:rPr>
        <w:t>一是</w:t>
      </w:r>
      <w:r>
        <w:rPr>
          <w:rFonts w:hint="default" w:ascii="Times New Roman" w:hAnsi="Times New Roman" w:eastAsia="方正仿宋简体" w:cs="Times New Roman"/>
          <w:i w:val="0"/>
          <w:iCs w:val="0"/>
          <w:caps w:val="0"/>
          <w:color w:val="auto"/>
          <w:spacing w:val="0"/>
          <w:sz w:val="32"/>
          <w:szCs w:val="32"/>
        </w:rPr>
        <w:t>根据相关制度，结合实际，制定了收支管理、政府采购、资产管理、合同管理等制度</w:t>
      </w:r>
      <w:r>
        <w:rPr>
          <w:rFonts w:hint="default" w:ascii="Times New Roman" w:hAnsi="Times New Roman" w:eastAsia="方正仿宋简体" w:cs="Times New Roman"/>
          <w:i w:val="0"/>
          <w:iCs w:val="0"/>
          <w:caps w:val="0"/>
          <w:color w:val="auto"/>
          <w:spacing w:val="0"/>
          <w:sz w:val="32"/>
          <w:szCs w:val="32"/>
          <w:lang w:eastAsia="zh-CN"/>
        </w:rPr>
        <w:t>；二是</w:t>
      </w:r>
      <w:r>
        <w:rPr>
          <w:rFonts w:hint="default" w:ascii="Times New Roman" w:hAnsi="Times New Roman" w:eastAsia="方正仿宋简体" w:cs="Times New Roman"/>
          <w:i w:val="0"/>
          <w:iCs w:val="0"/>
          <w:caps w:val="0"/>
          <w:color w:val="auto"/>
          <w:spacing w:val="0"/>
          <w:sz w:val="32"/>
          <w:szCs w:val="32"/>
        </w:rPr>
        <w:t>为建立健全预算管理体制，强化预算的分配和监督职能，维护预算的严肃性，保证资金的合理使用和正常运行，促进</w:t>
      </w:r>
      <w:r>
        <w:rPr>
          <w:rFonts w:hint="default" w:ascii="Times New Roman" w:hAnsi="Times New Roman" w:eastAsia="方正仿宋简体" w:cs="Times New Roman"/>
          <w:i w:val="0"/>
          <w:iCs w:val="0"/>
          <w:caps w:val="0"/>
          <w:color w:val="auto"/>
          <w:spacing w:val="0"/>
          <w:sz w:val="32"/>
          <w:szCs w:val="32"/>
          <w:lang w:eastAsia="zh-CN"/>
        </w:rPr>
        <w:t>中心工作</w:t>
      </w:r>
      <w:r>
        <w:rPr>
          <w:rFonts w:hint="default" w:ascii="Times New Roman" w:hAnsi="Times New Roman" w:eastAsia="方正仿宋简体" w:cs="Times New Roman"/>
          <w:i w:val="0"/>
          <w:iCs w:val="0"/>
          <w:caps w:val="0"/>
          <w:color w:val="auto"/>
          <w:spacing w:val="0"/>
          <w:sz w:val="32"/>
          <w:szCs w:val="32"/>
        </w:rPr>
        <w:t>的稳定发展，制定了预算管理制度</w:t>
      </w:r>
      <w:r>
        <w:rPr>
          <w:rFonts w:hint="default" w:ascii="Times New Roman" w:hAnsi="Times New Roman" w:eastAsia="方正仿宋简体" w:cs="Times New Roman"/>
          <w:i w:val="0"/>
          <w:iCs w:val="0"/>
          <w:caps w:val="0"/>
          <w:color w:val="auto"/>
          <w:spacing w:val="0"/>
          <w:sz w:val="32"/>
          <w:szCs w:val="32"/>
          <w:lang w:eastAsia="zh-CN"/>
        </w:rPr>
        <w:t>，</w:t>
      </w:r>
      <w:r>
        <w:rPr>
          <w:rFonts w:hint="default" w:ascii="Times New Roman" w:hAnsi="Times New Roman" w:eastAsia="方正仿宋简体" w:cs="Times New Roman"/>
          <w:i w:val="0"/>
          <w:iCs w:val="0"/>
          <w:caps w:val="0"/>
          <w:color w:val="auto"/>
          <w:spacing w:val="0"/>
          <w:sz w:val="32"/>
          <w:szCs w:val="32"/>
        </w:rPr>
        <w:t>通过明确划分权责，建立问责机制，保障了有序的管理，防范了财务风险</w:t>
      </w:r>
      <w:r>
        <w:rPr>
          <w:rFonts w:hint="default" w:ascii="Times New Roman" w:hAnsi="Times New Roman" w:eastAsia="方正仿宋简体" w:cs="Times New Roman"/>
          <w:i w:val="0"/>
          <w:iCs w:val="0"/>
          <w:caps w:val="0"/>
          <w:color w:val="auto"/>
          <w:spacing w:val="0"/>
          <w:sz w:val="32"/>
          <w:szCs w:val="32"/>
          <w:lang w:eastAsia="zh-CN"/>
        </w:rPr>
        <w:t>；三是</w:t>
      </w:r>
      <w:r>
        <w:rPr>
          <w:rFonts w:hint="default" w:ascii="Times New Roman" w:hAnsi="Times New Roman" w:eastAsia="方正仿宋简体" w:cs="Times New Roman"/>
          <w:i w:val="0"/>
          <w:iCs w:val="0"/>
          <w:caps w:val="0"/>
          <w:color w:val="auto"/>
          <w:spacing w:val="0"/>
          <w:sz w:val="32"/>
          <w:szCs w:val="32"/>
        </w:rPr>
        <w:t>认真贯彻落实中央、省、市</w:t>
      </w:r>
      <w:r>
        <w:rPr>
          <w:rFonts w:hint="default" w:ascii="Times New Roman" w:hAnsi="Times New Roman" w:eastAsia="方正仿宋简体" w:cs="Times New Roman"/>
          <w:i w:val="0"/>
          <w:iCs w:val="0"/>
          <w:caps w:val="0"/>
          <w:color w:val="auto"/>
          <w:spacing w:val="0"/>
          <w:sz w:val="32"/>
          <w:szCs w:val="32"/>
          <w:lang w:eastAsia="zh-CN"/>
        </w:rPr>
        <w:t>、县</w:t>
      </w:r>
      <w:r>
        <w:rPr>
          <w:rFonts w:hint="default" w:ascii="Times New Roman" w:hAnsi="Times New Roman" w:eastAsia="方正仿宋简体" w:cs="Times New Roman"/>
          <w:i w:val="0"/>
          <w:iCs w:val="0"/>
          <w:caps w:val="0"/>
          <w:color w:val="auto"/>
          <w:spacing w:val="0"/>
          <w:sz w:val="32"/>
          <w:szCs w:val="32"/>
        </w:rPr>
        <w:t>关于信访工作的决策部署，全面加强政治建设，深入推进信访工作制度改革，不断巩固工作机制，努力夯实基层基础，积极推进阳光信访、责任信访、法治信访建设，为</w:t>
      </w:r>
      <w:r>
        <w:rPr>
          <w:rFonts w:hint="default" w:ascii="Times New Roman" w:hAnsi="Times New Roman" w:eastAsia="方正仿宋简体" w:cs="Times New Roman"/>
          <w:i w:val="0"/>
          <w:iCs w:val="0"/>
          <w:caps w:val="0"/>
          <w:color w:val="auto"/>
          <w:spacing w:val="0"/>
          <w:sz w:val="32"/>
          <w:szCs w:val="32"/>
          <w:lang w:eastAsia="zh-CN"/>
        </w:rPr>
        <w:t>乐至县经济发展</w:t>
      </w:r>
      <w:r>
        <w:rPr>
          <w:rFonts w:hint="default" w:ascii="Times New Roman" w:hAnsi="Times New Roman" w:eastAsia="方正仿宋简体" w:cs="Times New Roman"/>
          <w:i w:val="0"/>
          <w:iCs w:val="0"/>
          <w:caps w:val="0"/>
          <w:color w:val="auto"/>
          <w:spacing w:val="0"/>
          <w:sz w:val="32"/>
          <w:szCs w:val="32"/>
        </w:rPr>
        <w:t>营造了和谐稳定的社会环境。</w:t>
      </w:r>
    </w:p>
    <w:p>
      <w:pPr>
        <w:keepNext w:val="0"/>
        <w:keepLines w:val="0"/>
        <w:pageBreakBefore w:val="0"/>
        <w:kinsoku/>
        <w:wordWrap/>
        <w:overflowPunct/>
        <w:topLinePunct w:val="0"/>
        <w:autoSpaceDE/>
        <w:autoSpaceDN/>
        <w:bidi w:val="0"/>
        <w:adjustRightInd/>
        <w:snapToGrid/>
        <w:spacing w:line="590" w:lineRule="exact"/>
        <w:ind w:left="0" w:leftChars="0" w:firstLine="640" w:firstLineChars="200"/>
        <w:jc w:val="left"/>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楷体简体" w:cs="Times New Roman"/>
          <w:b w:val="0"/>
          <w:bCs/>
          <w:color w:val="auto"/>
          <w:sz w:val="32"/>
          <w:szCs w:val="32"/>
        </w:rPr>
        <w:t>3</w:t>
      </w:r>
      <w:r>
        <w:rPr>
          <w:rFonts w:hint="default" w:ascii="Times New Roman" w:hAnsi="Times New Roman" w:eastAsia="方正楷体简体" w:cs="Times New Roman"/>
          <w:b w:val="0"/>
          <w:bCs/>
          <w:color w:val="auto"/>
          <w:sz w:val="32"/>
          <w:szCs w:val="32"/>
          <w:lang w:val="en-US" w:eastAsia="zh-CN"/>
        </w:rPr>
        <w:t>.</w:t>
      </w:r>
      <w:r>
        <w:rPr>
          <w:rFonts w:hint="default" w:ascii="Times New Roman" w:hAnsi="Times New Roman" w:eastAsia="方正楷体简体" w:cs="Times New Roman"/>
          <w:b w:val="0"/>
          <w:bCs/>
          <w:color w:val="auto"/>
          <w:sz w:val="32"/>
          <w:szCs w:val="32"/>
        </w:rPr>
        <w:t>部门职能实现程度。</w:t>
      </w:r>
      <w:r>
        <w:rPr>
          <w:rFonts w:hint="default" w:ascii="Times New Roman" w:hAnsi="Times New Roman" w:eastAsia="方正仿宋简体" w:cs="Times New Roman"/>
          <w:i w:val="0"/>
          <w:iCs w:val="0"/>
          <w:caps w:val="0"/>
          <w:color w:val="auto"/>
          <w:spacing w:val="0"/>
          <w:sz w:val="32"/>
          <w:szCs w:val="32"/>
        </w:rPr>
        <w:t>信访工作紧紧围绕“营造安全稳定社会环境”这一核心任务，强力推进信访积案化解，有效实现“去存量、控增量、严防极端恶性事件”工作目标。深入推进“最多访一次”改革，认真办理初信初访，严格落实首接首办责任，对群众信访事项马上办、简易办，依法及时就地解决群众诉求，最大限度减少重复访，提高信访工作效率和公信力。持之以恒转变作风，强化底线思维，加强信访干部培训，切实保障群众的合法权益，不断提升群众的获得感和幸福感。</w:t>
      </w:r>
    </w:p>
    <w:p>
      <w:pPr>
        <w:keepNext w:val="0"/>
        <w:keepLines w:val="0"/>
        <w:pageBreakBefore w:val="0"/>
        <w:kinsoku/>
        <w:wordWrap/>
        <w:overflowPunct/>
        <w:topLinePunct w:val="0"/>
        <w:autoSpaceDE/>
        <w:autoSpaceDN/>
        <w:bidi w:val="0"/>
        <w:adjustRightInd/>
        <w:snapToGrid/>
        <w:spacing w:line="590" w:lineRule="exact"/>
        <w:ind w:left="0" w:leftChars="0" w:firstLine="640" w:firstLineChars="200"/>
        <w:textAlignment w:val="auto"/>
        <w:rPr>
          <w:rFonts w:hint="default" w:ascii="Times New Roman" w:hAnsi="Times New Roman" w:eastAsia="方正黑体简体" w:cs="Times New Roman"/>
          <w:color w:val="auto"/>
          <w:sz w:val="32"/>
          <w:szCs w:val="32"/>
        </w:rPr>
      </w:pPr>
      <w:r>
        <w:rPr>
          <w:rFonts w:hint="default" w:ascii="Times New Roman" w:hAnsi="Times New Roman" w:eastAsia="方正黑体简体" w:cs="Times New Roman"/>
          <w:color w:val="auto"/>
          <w:sz w:val="32"/>
          <w:szCs w:val="32"/>
        </w:rPr>
        <w:t>六、问题分析</w:t>
      </w:r>
    </w:p>
    <w:p>
      <w:pPr>
        <w:keepNext w:val="0"/>
        <w:keepLines w:val="0"/>
        <w:pageBreakBefore w:val="0"/>
        <w:kinsoku/>
        <w:wordWrap/>
        <w:overflowPunct/>
        <w:topLinePunct w:val="0"/>
        <w:autoSpaceDE/>
        <w:autoSpaceDN/>
        <w:bidi w:val="0"/>
        <w:adjustRightInd/>
        <w:snapToGrid/>
        <w:spacing w:line="590" w:lineRule="exact"/>
        <w:ind w:left="0" w:leftChars="0" w:firstLine="640" w:firstLineChars="200"/>
        <w:jc w:val="left"/>
        <w:textAlignment w:val="auto"/>
        <w:rPr>
          <w:rFonts w:hint="default" w:ascii="Times New Roman" w:hAnsi="Times New Roman" w:eastAsia="方正仿宋简体" w:cs="Times New Roman"/>
          <w:i w:val="0"/>
          <w:iCs w:val="0"/>
          <w:caps w:val="0"/>
          <w:color w:val="auto"/>
          <w:spacing w:val="0"/>
          <w:sz w:val="32"/>
          <w:szCs w:val="32"/>
        </w:rPr>
      </w:pPr>
      <w:r>
        <w:rPr>
          <w:rFonts w:hint="default" w:ascii="Times New Roman" w:hAnsi="Times New Roman" w:eastAsia="方正仿宋简体" w:cs="Times New Roman"/>
          <w:i w:val="0"/>
          <w:iCs w:val="0"/>
          <w:caps w:val="0"/>
          <w:color w:val="auto"/>
          <w:spacing w:val="0"/>
          <w:sz w:val="32"/>
          <w:szCs w:val="32"/>
        </w:rPr>
        <w:t>由于机构设置少，单位职能和业务相对单一，执行项目预算绩效管理时，相应的绩效指标设计不到位，难以科学把控。导致预算绩效管理不能达到预期效果，影响预算绩效管理的实施效率。</w:t>
      </w:r>
    </w:p>
    <w:p>
      <w:pPr>
        <w:keepNext w:val="0"/>
        <w:keepLines w:val="0"/>
        <w:pageBreakBefore w:val="0"/>
        <w:kinsoku/>
        <w:wordWrap/>
        <w:overflowPunct/>
        <w:topLinePunct w:val="0"/>
        <w:autoSpaceDE/>
        <w:autoSpaceDN/>
        <w:bidi w:val="0"/>
        <w:adjustRightInd/>
        <w:snapToGrid/>
        <w:spacing w:line="590" w:lineRule="exact"/>
        <w:ind w:left="0" w:leftChars="0" w:firstLine="640" w:firstLineChars="200"/>
        <w:textAlignment w:val="auto"/>
        <w:rPr>
          <w:rFonts w:hint="default" w:ascii="Times New Roman" w:hAnsi="Times New Roman" w:eastAsia="方正黑体简体" w:cs="Times New Roman"/>
          <w:color w:val="auto"/>
          <w:sz w:val="32"/>
          <w:szCs w:val="32"/>
        </w:rPr>
      </w:pPr>
      <w:r>
        <w:rPr>
          <w:rFonts w:hint="default" w:ascii="Times New Roman" w:hAnsi="Times New Roman" w:eastAsia="方正黑体简体" w:cs="Times New Roman"/>
          <w:color w:val="auto"/>
          <w:sz w:val="32"/>
          <w:szCs w:val="32"/>
        </w:rPr>
        <w:t>七、建议</w:t>
      </w:r>
    </w:p>
    <w:p>
      <w:pPr>
        <w:pStyle w:val="7"/>
        <w:keepNext w:val="0"/>
        <w:keepLines w:val="0"/>
        <w:pageBreakBefore w:val="0"/>
        <w:kinsoku/>
        <w:wordWrap/>
        <w:overflowPunct/>
        <w:topLinePunct w:val="0"/>
        <w:autoSpaceDE/>
        <w:autoSpaceDN/>
        <w:bidi w:val="0"/>
        <w:adjustRightInd/>
        <w:snapToGrid/>
        <w:spacing w:line="590" w:lineRule="exact"/>
        <w:ind w:left="0" w:leftChars="0" w:firstLine="643"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楷体简体" w:cs="Times New Roman"/>
          <w:b/>
          <w:bCs/>
          <w:i w:val="0"/>
          <w:iCs w:val="0"/>
          <w:caps w:val="0"/>
          <w:color w:val="auto"/>
          <w:spacing w:val="0"/>
          <w:sz w:val="32"/>
          <w:szCs w:val="32"/>
        </w:rPr>
        <w:t>一是</w:t>
      </w:r>
      <w:r>
        <w:rPr>
          <w:rFonts w:hint="default" w:ascii="Times New Roman" w:hAnsi="Times New Roman" w:eastAsia="方正仿宋简体" w:cs="Times New Roman"/>
          <w:i w:val="0"/>
          <w:iCs w:val="0"/>
          <w:caps w:val="0"/>
          <w:color w:val="auto"/>
          <w:spacing w:val="0"/>
          <w:sz w:val="32"/>
          <w:szCs w:val="32"/>
        </w:rPr>
        <w:t>进一步提升预算管理的科学性，增强大局意识，提高预算编制合理性。</w:t>
      </w:r>
      <w:r>
        <w:rPr>
          <w:rFonts w:hint="default" w:ascii="Times New Roman" w:hAnsi="Times New Roman" w:eastAsia="方正楷体简体" w:cs="Times New Roman"/>
          <w:b/>
          <w:bCs/>
          <w:i w:val="0"/>
          <w:iCs w:val="0"/>
          <w:caps w:val="0"/>
          <w:color w:val="auto"/>
          <w:spacing w:val="0"/>
          <w:sz w:val="32"/>
          <w:szCs w:val="32"/>
        </w:rPr>
        <w:t>二是</w:t>
      </w:r>
      <w:r>
        <w:rPr>
          <w:rFonts w:hint="default" w:ascii="Times New Roman" w:hAnsi="Times New Roman" w:eastAsia="方正仿宋简体" w:cs="Times New Roman"/>
          <w:i w:val="0"/>
          <w:iCs w:val="0"/>
          <w:caps w:val="0"/>
          <w:color w:val="auto"/>
          <w:spacing w:val="0"/>
          <w:sz w:val="32"/>
          <w:szCs w:val="32"/>
        </w:rPr>
        <w:t>明确各收支流程步骤上的关键控制措施，防范支出业务活动的相关风险，确保支出管理规范有序。</w:t>
      </w:r>
      <w:r>
        <w:rPr>
          <w:rFonts w:hint="default" w:ascii="Times New Roman" w:hAnsi="Times New Roman" w:eastAsia="方正楷体简体" w:cs="Times New Roman"/>
          <w:b/>
          <w:bCs/>
          <w:i w:val="0"/>
          <w:iCs w:val="0"/>
          <w:caps w:val="0"/>
          <w:color w:val="auto"/>
          <w:spacing w:val="0"/>
          <w:sz w:val="32"/>
          <w:szCs w:val="32"/>
        </w:rPr>
        <w:t>三是</w:t>
      </w:r>
      <w:r>
        <w:rPr>
          <w:rFonts w:hint="default" w:ascii="Times New Roman" w:hAnsi="Times New Roman" w:eastAsia="方正仿宋简体" w:cs="Times New Roman"/>
          <w:i w:val="0"/>
          <w:iCs w:val="0"/>
          <w:caps w:val="0"/>
          <w:color w:val="auto"/>
          <w:spacing w:val="0"/>
          <w:sz w:val="32"/>
          <w:szCs w:val="32"/>
        </w:rPr>
        <w:t>做好固定资产管理、使用、清查，防止资产流失，确保各项资产安全，防止被挪用、转移、侵占、毁损及被低价出售。正确反映资产的价值，确保核算真实、准确、完整。建议对单位项目负责人及预算管理人员加强业务培训，提高预算绩效管理政策理解和综合协调能力。</w:t>
      </w:r>
    </w:p>
    <w:p>
      <w:pPr>
        <w:keepNext w:val="0"/>
        <w:keepLines w:val="0"/>
        <w:pageBreakBefore w:val="0"/>
        <w:kinsoku/>
        <w:wordWrap/>
        <w:overflowPunct/>
        <w:topLinePunct w:val="0"/>
        <w:autoSpaceDE/>
        <w:autoSpaceDN/>
        <w:bidi w:val="0"/>
        <w:adjustRightInd/>
        <w:snapToGrid/>
        <w:spacing w:line="590" w:lineRule="exact"/>
        <w:textAlignment w:val="auto"/>
        <w:rPr>
          <w:rFonts w:hint="default" w:ascii="Times New Roman" w:hAnsi="Times New Roman" w:eastAsia="方正仿宋简体" w:cs="Times New Roman"/>
          <w:i w:val="0"/>
          <w:iCs w:val="0"/>
          <w:caps w:val="0"/>
          <w:color w:val="auto"/>
          <w:spacing w:val="0"/>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line="590" w:lineRule="exact"/>
        <w:jc w:val="center"/>
        <w:textAlignment w:val="auto"/>
        <w:rPr>
          <w:rFonts w:hint="default" w:ascii="Times New Roman" w:hAnsi="Times New Roman" w:eastAsia="方正仿宋简体" w:cs="Times New Roman"/>
          <w:i w:val="0"/>
          <w:iCs w:val="0"/>
          <w:caps w:val="0"/>
          <w:color w:val="auto"/>
          <w:spacing w:val="0"/>
          <w:kern w:val="2"/>
          <w:sz w:val="32"/>
          <w:szCs w:val="32"/>
          <w:lang w:val="en-US" w:eastAsia="zh-CN" w:bidi="ar-SA"/>
        </w:rPr>
      </w:pPr>
      <w:r>
        <w:rPr>
          <w:rFonts w:hint="default" w:ascii="Times New Roman" w:hAnsi="Times New Roman" w:eastAsia="方正仿宋简体" w:cs="Times New Roman"/>
          <w:i w:val="0"/>
          <w:iCs w:val="0"/>
          <w:caps w:val="0"/>
          <w:color w:val="auto"/>
          <w:spacing w:val="0"/>
          <w:kern w:val="2"/>
          <w:sz w:val="32"/>
          <w:szCs w:val="32"/>
          <w:lang w:val="en-US" w:eastAsia="zh-CN" w:bidi="ar-SA"/>
        </w:rPr>
        <w:t>附件1</w:t>
      </w:r>
      <w:r>
        <w:rPr>
          <w:rFonts w:hint="eastAsia" w:ascii="Times New Roman" w:hAnsi="Times New Roman" w:eastAsia="方正仿宋简体" w:cs="Times New Roman"/>
          <w:i w:val="0"/>
          <w:iCs w:val="0"/>
          <w:caps w:val="0"/>
          <w:color w:val="auto"/>
          <w:spacing w:val="0"/>
          <w:kern w:val="2"/>
          <w:sz w:val="32"/>
          <w:szCs w:val="32"/>
          <w:lang w:val="en-US" w:eastAsia="zh-CN" w:bidi="ar-SA"/>
        </w:rPr>
        <w:t>-1</w:t>
      </w:r>
      <w:r>
        <w:rPr>
          <w:rFonts w:hint="default" w:ascii="Times New Roman" w:hAnsi="Times New Roman" w:eastAsia="方正仿宋简体" w:cs="Times New Roman"/>
          <w:i w:val="0"/>
          <w:iCs w:val="0"/>
          <w:caps w:val="0"/>
          <w:color w:val="auto"/>
          <w:spacing w:val="0"/>
          <w:kern w:val="2"/>
          <w:sz w:val="32"/>
          <w:szCs w:val="32"/>
          <w:lang w:val="en-US" w:eastAsia="zh-CN" w:bidi="ar-SA"/>
        </w:rPr>
        <w:t>：202</w:t>
      </w:r>
      <w:r>
        <w:rPr>
          <w:rFonts w:hint="eastAsia" w:eastAsia="方正仿宋简体" w:cs="Times New Roman"/>
          <w:i w:val="0"/>
          <w:iCs w:val="0"/>
          <w:caps w:val="0"/>
          <w:color w:val="auto"/>
          <w:spacing w:val="0"/>
          <w:kern w:val="2"/>
          <w:sz w:val="32"/>
          <w:szCs w:val="32"/>
          <w:lang w:val="en-US" w:eastAsia="zh-CN" w:bidi="ar-SA"/>
        </w:rPr>
        <w:t>3</w:t>
      </w:r>
      <w:r>
        <w:rPr>
          <w:rFonts w:hint="default" w:ascii="Times New Roman" w:hAnsi="Times New Roman" w:eastAsia="方正仿宋简体" w:cs="Times New Roman"/>
          <w:i w:val="0"/>
          <w:iCs w:val="0"/>
          <w:caps w:val="0"/>
          <w:color w:val="auto"/>
          <w:spacing w:val="0"/>
          <w:kern w:val="2"/>
          <w:sz w:val="32"/>
          <w:szCs w:val="32"/>
          <w:lang w:val="en-US" w:eastAsia="zh-CN" w:bidi="ar-SA"/>
        </w:rPr>
        <w:t>年度乐至县部门整体支出绩效自评计分表</w:t>
      </w:r>
    </w:p>
    <w:p>
      <w:pPr>
        <w:keepNext w:val="0"/>
        <w:keepLines w:val="0"/>
        <w:pageBreakBefore w:val="0"/>
        <w:kinsoku/>
        <w:wordWrap/>
        <w:overflowPunct/>
        <w:topLinePunct w:val="0"/>
        <w:autoSpaceDE/>
        <w:autoSpaceDN/>
        <w:bidi w:val="0"/>
        <w:adjustRightInd/>
        <w:snapToGrid/>
        <w:spacing w:line="590" w:lineRule="exact"/>
        <w:jc w:val="center"/>
        <w:textAlignment w:val="auto"/>
        <w:rPr>
          <w:rFonts w:hint="default" w:ascii="Times New Roman" w:hAnsi="Times New Roman" w:eastAsia="方正仿宋简体" w:cs="Times New Roman"/>
          <w:i w:val="0"/>
          <w:iCs w:val="0"/>
          <w:caps w:val="0"/>
          <w:color w:val="auto"/>
          <w:spacing w:val="0"/>
          <w:kern w:val="2"/>
          <w:sz w:val="32"/>
          <w:szCs w:val="32"/>
          <w:lang w:val="en-US" w:eastAsia="zh-CN" w:bidi="ar-SA"/>
        </w:rPr>
      </w:pPr>
      <w:r>
        <w:rPr>
          <w:rFonts w:hint="default" w:ascii="Times New Roman" w:hAnsi="Times New Roman" w:eastAsia="方正仿宋简体" w:cs="Times New Roman"/>
          <w:i w:val="0"/>
          <w:iCs w:val="0"/>
          <w:caps w:val="0"/>
          <w:color w:val="auto"/>
          <w:spacing w:val="0"/>
          <w:kern w:val="2"/>
          <w:sz w:val="32"/>
          <w:szCs w:val="32"/>
          <w:lang w:val="en-US" w:eastAsia="zh-CN" w:bidi="ar-SA"/>
        </w:rPr>
        <w:t xml:space="preserve">        2</w:t>
      </w:r>
      <w:r>
        <w:rPr>
          <w:rFonts w:hint="eastAsia" w:ascii="Times New Roman" w:hAnsi="Times New Roman" w:eastAsia="方正仿宋简体" w:cs="Times New Roman"/>
          <w:i w:val="0"/>
          <w:iCs w:val="0"/>
          <w:caps w:val="0"/>
          <w:color w:val="auto"/>
          <w:spacing w:val="0"/>
          <w:kern w:val="2"/>
          <w:sz w:val="32"/>
          <w:szCs w:val="32"/>
          <w:lang w:val="en-US" w:eastAsia="zh-CN" w:bidi="ar-SA"/>
        </w:rPr>
        <w:t>-2</w:t>
      </w:r>
      <w:r>
        <w:rPr>
          <w:rFonts w:hint="default" w:ascii="Times New Roman" w:hAnsi="Times New Roman" w:eastAsia="方正仿宋简体" w:cs="Times New Roman"/>
          <w:i w:val="0"/>
          <w:iCs w:val="0"/>
          <w:caps w:val="0"/>
          <w:color w:val="auto"/>
          <w:spacing w:val="0"/>
          <w:kern w:val="2"/>
          <w:sz w:val="32"/>
          <w:szCs w:val="32"/>
          <w:lang w:val="en-US" w:eastAsia="zh-CN" w:bidi="ar-SA"/>
        </w:rPr>
        <w:t>：202</w:t>
      </w:r>
      <w:r>
        <w:rPr>
          <w:rFonts w:hint="eastAsia" w:eastAsia="方正仿宋简体" w:cs="Times New Roman"/>
          <w:i w:val="0"/>
          <w:iCs w:val="0"/>
          <w:caps w:val="0"/>
          <w:color w:val="auto"/>
          <w:spacing w:val="0"/>
          <w:kern w:val="2"/>
          <w:sz w:val="32"/>
          <w:szCs w:val="32"/>
          <w:lang w:val="en-US" w:eastAsia="zh-CN" w:bidi="ar-SA"/>
        </w:rPr>
        <w:t>3</w:t>
      </w:r>
      <w:r>
        <w:rPr>
          <w:rFonts w:hint="default" w:ascii="Times New Roman" w:hAnsi="Times New Roman" w:eastAsia="方正仿宋简体" w:cs="Times New Roman"/>
          <w:i w:val="0"/>
          <w:iCs w:val="0"/>
          <w:caps w:val="0"/>
          <w:color w:val="auto"/>
          <w:spacing w:val="0"/>
          <w:kern w:val="2"/>
          <w:sz w:val="32"/>
          <w:szCs w:val="32"/>
          <w:lang w:val="en-US" w:eastAsia="zh-CN" w:bidi="ar-SA"/>
        </w:rPr>
        <w:t>年度乐至县部门整体支出绩效目标完成情况表</w:t>
      </w:r>
    </w:p>
    <w:p>
      <w:pPr>
        <w:keepNext w:val="0"/>
        <w:keepLines w:val="0"/>
        <w:pageBreakBefore w:val="0"/>
        <w:kinsoku/>
        <w:wordWrap/>
        <w:overflowPunct/>
        <w:topLinePunct w:val="0"/>
        <w:autoSpaceDE/>
        <w:autoSpaceDN/>
        <w:bidi w:val="0"/>
        <w:adjustRightInd/>
        <w:snapToGrid/>
        <w:spacing w:line="590" w:lineRule="exact"/>
        <w:textAlignment w:val="auto"/>
        <w:rPr>
          <w:rFonts w:hint="default" w:ascii="Times New Roman" w:hAnsi="Times New Roman" w:cs="Times New Roman"/>
          <w:sz w:val="32"/>
          <w:szCs w:val="32"/>
          <w:lang w:val="en-US" w:eastAsia="zh-CN"/>
        </w:rPr>
      </w:pPr>
    </w:p>
    <w:p>
      <w:pPr>
        <w:pStyle w:val="2"/>
        <w:keepNext w:val="0"/>
        <w:keepLines w:val="0"/>
        <w:pageBreakBefore w:val="0"/>
        <w:kinsoku/>
        <w:wordWrap/>
        <w:overflowPunct/>
        <w:topLinePunct w:val="0"/>
        <w:autoSpaceDE/>
        <w:autoSpaceDN/>
        <w:bidi w:val="0"/>
        <w:adjustRightInd/>
        <w:snapToGrid/>
        <w:spacing w:line="590" w:lineRule="exact"/>
        <w:textAlignment w:val="auto"/>
        <w:rPr>
          <w:rFonts w:hint="default" w:ascii="Times New Roman" w:hAnsi="Times New Roman"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jc w:val="center"/>
        <w:textAlignment w:val="auto"/>
        <w:rPr>
          <w:rFonts w:hint="default" w:ascii="Times New Roman" w:hAnsi="Times New Roman" w:eastAsia="方正仿宋简体" w:cs="Times New Roman"/>
          <w:i w:val="0"/>
          <w:iCs w:val="0"/>
          <w:caps w:val="0"/>
          <w:color w:val="auto"/>
          <w:spacing w:val="0"/>
          <w:kern w:val="2"/>
          <w:sz w:val="32"/>
          <w:szCs w:val="32"/>
          <w:lang w:val="en-US" w:eastAsia="zh-CN" w:bidi="ar-SA"/>
        </w:rPr>
      </w:pPr>
      <w:r>
        <w:rPr>
          <w:rFonts w:hint="default" w:ascii="Times New Roman" w:hAnsi="Times New Roman" w:eastAsia="方正仿宋简体" w:cs="Times New Roman"/>
          <w:i w:val="0"/>
          <w:iCs w:val="0"/>
          <w:caps w:val="0"/>
          <w:color w:val="auto"/>
          <w:spacing w:val="0"/>
          <w:kern w:val="2"/>
          <w:sz w:val="32"/>
          <w:szCs w:val="32"/>
          <w:lang w:val="en-US" w:eastAsia="zh-CN" w:bidi="ar-SA"/>
        </w:rPr>
        <w:t xml:space="preserve">                            乐至县信访局</w:t>
      </w:r>
    </w:p>
    <w:p>
      <w:pPr>
        <w:keepNext w:val="0"/>
        <w:keepLines w:val="0"/>
        <w:pageBreakBefore w:val="0"/>
        <w:kinsoku/>
        <w:wordWrap/>
        <w:overflowPunct/>
        <w:topLinePunct w:val="0"/>
        <w:autoSpaceDE/>
        <w:autoSpaceDN/>
        <w:bidi w:val="0"/>
        <w:adjustRightInd/>
        <w:snapToGrid/>
        <w:spacing w:line="590" w:lineRule="exact"/>
        <w:ind w:firstLine="5440" w:firstLineChars="1700"/>
        <w:textAlignment w:val="auto"/>
        <w:rPr>
          <w:rFonts w:hint="default" w:ascii="Times New Roman" w:hAnsi="Times New Roman" w:cs="Times New Roman"/>
          <w:sz w:val="32"/>
          <w:szCs w:val="32"/>
          <w:lang w:val="en-US" w:eastAsia="zh-CN"/>
        </w:rPr>
        <w:sectPr>
          <w:footerReference r:id="rId3" w:type="default"/>
          <w:pgSz w:w="11907" w:h="16840"/>
          <w:pgMar w:top="2098" w:right="1531" w:bottom="1984" w:left="1531" w:header="851" w:footer="992" w:gutter="0"/>
          <w:pgNumType w:fmt="numberInDash" w:start="1"/>
          <w:cols w:space="720" w:num="1"/>
          <w:docGrid w:type="lines" w:linePitch="312" w:charSpace="0"/>
        </w:sectPr>
      </w:pPr>
      <w:r>
        <w:rPr>
          <w:rFonts w:hint="default" w:ascii="Times New Roman" w:hAnsi="Times New Roman" w:eastAsia="方正仿宋简体" w:cs="Times New Roman"/>
          <w:i w:val="0"/>
          <w:iCs w:val="0"/>
          <w:caps w:val="0"/>
          <w:color w:val="auto"/>
          <w:spacing w:val="0"/>
          <w:kern w:val="2"/>
          <w:sz w:val="32"/>
          <w:szCs w:val="32"/>
          <w:lang w:val="en-US" w:eastAsia="zh-CN" w:bidi="ar-SA"/>
        </w:rPr>
        <w:t>202</w:t>
      </w:r>
      <w:r>
        <w:rPr>
          <w:rFonts w:hint="eastAsia" w:eastAsia="方正仿宋简体" w:cs="Times New Roman"/>
          <w:i w:val="0"/>
          <w:iCs w:val="0"/>
          <w:caps w:val="0"/>
          <w:color w:val="auto"/>
          <w:spacing w:val="0"/>
          <w:kern w:val="2"/>
          <w:sz w:val="32"/>
          <w:szCs w:val="32"/>
          <w:lang w:val="en-US" w:eastAsia="zh-CN" w:bidi="ar-SA"/>
        </w:rPr>
        <w:t>4</w:t>
      </w:r>
      <w:r>
        <w:rPr>
          <w:rFonts w:hint="default" w:ascii="Times New Roman" w:hAnsi="Times New Roman" w:eastAsia="方正仿宋简体" w:cs="Times New Roman"/>
          <w:i w:val="0"/>
          <w:iCs w:val="0"/>
          <w:caps w:val="0"/>
          <w:color w:val="auto"/>
          <w:spacing w:val="0"/>
          <w:kern w:val="2"/>
          <w:sz w:val="32"/>
          <w:szCs w:val="32"/>
          <w:lang w:val="en-US" w:eastAsia="zh-CN" w:bidi="ar-SA"/>
        </w:rPr>
        <w:t>年</w:t>
      </w:r>
      <w:r>
        <w:rPr>
          <w:rFonts w:hint="eastAsia" w:eastAsia="方正仿宋简体" w:cs="Times New Roman"/>
          <w:i w:val="0"/>
          <w:iCs w:val="0"/>
          <w:caps w:val="0"/>
          <w:color w:val="auto"/>
          <w:spacing w:val="0"/>
          <w:kern w:val="2"/>
          <w:sz w:val="32"/>
          <w:szCs w:val="32"/>
          <w:lang w:val="en-US" w:eastAsia="zh-CN" w:bidi="ar-SA"/>
        </w:rPr>
        <w:t>7</w:t>
      </w:r>
      <w:r>
        <w:rPr>
          <w:rFonts w:hint="default" w:ascii="Times New Roman" w:hAnsi="Times New Roman" w:eastAsia="方正仿宋简体" w:cs="Times New Roman"/>
          <w:i w:val="0"/>
          <w:iCs w:val="0"/>
          <w:caps w:val="0"/>
          <w:color w:val="auto"/>
          <w:spacing w:val="0"/>
          <w:kern w:val="2"/>
          <w:sz w:val="32"/>
          <w:szCs w:val="32"/>
          <w:lang w:val="en-US" w:eastAsia="zh-CN" w:bidi="ar-SA"/>
        </w:rPr>
        <w:t>月</w:t>
      </w:r>
      <w:r>
        <w:rPr>
          <w:rFonts w:hint="eastAsia" w:eastAsia="方正仿宋简体" w:cs="Times New Roman"/>
          <w:i w:val="0"/>
          <w:iCs w:val="0"/>
          <w:caps w:val="0"/>
          <w:color w:val="auto"/>
          <w:spacing w:val="0"/>
          <w:kern w:val="2"/>
          <w:sz w:val="32"/>
          <w:szCs w:val="32"/>
          <w:lang w:val="en-US" w:eastAsia="zh-CN" w:bidi="ar-SA"/>
        </w:rPr>
        <w:t>11</w:t>
      </w:r>
      <w:r>
        <w:rPr>
          <w:rFonts w:hint="default" w:ascii="Times New Roman" w:hAnsi="Times New Roman" w:eastAsia="方正仿宋简体" w:cs="Times New Roman"/>
          <w:i w:val="0"/>
          <w:iCs w:val="0"/>
          <w:caps w:val="0"/>
          <w:color w:val="auto"/>
          <w:spacing w:val="0"/>
          <w:kern w:val="2"/>
          <w:sz w:val="32"/>
          <w:szCs w:val="32"/>
          <w:lang w:val="en-US" w:eastAsia="zh-CN" w:bidi="ar-SA"/>
        </w:rPr>
        <w:t>日</w:t>
      </w:r>
    </w:p>
    <w:p>
      <w:pPr>
        <w:spacing w:line="620" w:lineRule="exact"/>
        <w:jc w:val="left"/>
        <w:rPr>
          <w:rFonts w:hint="default" w:ascii="Times New Roman" w:hAnsi="Times New Roman" w:eastAsia="方正黑体简体" w:cs="Times New Roman"/>
          <w:bCs/>
          <w:color w:val="auto"/>
          <w:kern w:val="0"/>
          <w:sz w:val="32"/>
          <w:szCs w:val="32"/>
          <w:lang w:val="en-US" w:eastAsia="zh-CN"/>
        </w:rPr>
      </w:pPr>
      <w:r>
        <w:rPr>
          <w:rFonts w:hint="default" w:ascii="Times New Roman" w:hAnsi="Times New Roman" w:eastAsia="方正黑体简体" w:cs="Times New Roman"/>
          <w:bCs/>
          <w:color w:val="auto"/>
          <w:kern w:val="0"/>
          <w:sz w:val="32"/>
          <w:szCs w:val="32"/>
        </w:rPr>
        <w:t>附件1</w:t>
      </w:r>
      <w:r>
        <w:rPr>
          <w:rFonts w:hint="eastAsia" w:ascii="Times New Roman" w:hAnsi="Times New Roman" w:eastAsia="方正黑体简体" w:cs="Times New Roman"/>
          <w:bCs/>
          <w:color w:val="auto"/>
          <w:kern w:val="0"/>
          <w:sz w:val="32"/>
          <w:szCs w:val="32"/>
          <w:lang w:val="en-US" w:eastAsia="zh-CN"/>
        </w:rPr>
        <w:t>-1</w:t>
      </w:r>
    </w:p>
    <w:p>
      <w:pPr>
        <w:spacing w:line="620" w:lineRule="exact"/>
        <w:jc w:val="center"/>
        <w:rPr>
          <w:rFonts w:hint="default" w:ascii="Times New Roman" w:hAnsi="Times New Roman" w:eastAsia="方正小标宋简体" w:cs="Times New Roman"/>
          <w:color w:val="auto"/>
          <w:w w:val="90"/>
          <w:kern w:val="0"/>
          <w:sz w:val="32"/>
          <w:szCs w:val="32"/>
        </w:rPr>
      </w:pPr>
      <w:r>
        <w:rPr>
          <w:rFonts w:hint="default" w:ascii="Times New Roman" w:hAnsi="Times New Roman" w:eastAsia="方正小标宋简体" w:cs="Times New Roman"/>
          <w:bCs/>
          <w:color w:val="auto"/>
          <w:w w:val="90"/>
          <w:kern w:val="0"/>
          <w:sz w:val="32"/>
          <w:szCs w:val="32"/>
        </w:rPr>
        <w:t>2022年度乐至县部门整体支出绩效自评计分表</w:t>
      </w:r>
    </w:p>
    <w:p>
      <w:pPr>
        <w:spacing w:line="620" w:lineRule="exact"/>
        <w:rPr>
          <w:rFonts w:hint="default" w:ascii="Times New Roman" w:hAnsi="Times New Roman" w:eastAsia="宋体" w:cs="Times New Roman"/>
          <w:color w:val="auto"/>
          <w:kern w:val="0"/>
          <w:sz w:val="24"/>
          <w:szCs w:val="24"/>
          <w:lang w:eastAsia="zh-CN"/>
        </w:rPr>
      </w:pPr>
      <w:r>
        <w:rPr>
          <w:rFonts w:hint="default" w:ascii="Times New Roman" w:hAnsi="Times New Roman" w:cs="Times New Roman"/>
          <w:color w:val="auto"/>
          <w:kern w:val="0"/>
          <w:sz w:val="24"/>
          <w:szCs w:val="24"/>
        </w:rPr>
        <w:t>单位名称：</w:t>
      </w:r>
      <w:r>
        <w:rPr>
          <w:rFonts w:hint="default" w:ascii="Times New Roman" w:hAnsi="Times New Roman" w:cs="Times New Roman"/>
          <w:color w:val="auto"/>
          <w:kern w:val="0"/>
          <w:sz w:val="24"/>
          <w:szCs w:val="24"/>
          <w:lang w:eastAsia="zh-CN"/>
        </w:rPr>
        <w:t>乐至县信访局</w:t>
      </w:r>
      <w:r>
        <w:rPr>
          <w:rFonts w:hint="default" w:ascii="Times New Roman" w:hAnsi="Times New Roman" w:cs="Times New Roman"/>
          <w:color w:val="auto"/>
          <w:kern w:val="0"/>
          <w:sz w:val="24"/>
          <w:szCs w:val="24"/>
          <w:lang w:val="en-US" w:eastAsia="zh-CN"/>
        </w:rPr>
        <w:t xml:space="preserve">   </w:t>
      </w:r>
      <w:r>
        <w:rPr>
          <w:rFonts w:hint="default" w:ascii="Times New Roman" w:hAnsi="Times New Roman" w:cs="Times New Roman"/>
          <w:color w:val="auto"/>
          <w:kern w:val="0"/>
          <w:sz w:val="24"/>
          <w:szCs w:val="24"/>
        </w:rPr>
        <w:t xml:space="preserve">  预算单位编码：</w:t>
      </w:r>
      <w:r>
        <w:rPr>
          <w:rFonts w:hint="default" w:ascii="Times New Roman" w:hAnsi="Times New Roman" w:cs="Times New Roman"/>
          <w:color w:val="auto"/>
          <w:kern w:val="0"/>
          <w:sz w:val="24"/>
          <w:szCs w:val="24"/>
          <w:lang w:val="en-US" w:eastAsia="zh-CN"/>
        </w:rPr>
        <w:t>111001</w:t>
      </w:r>
      <w:r>
        <w:rPr>
          <w:rFonts w:hint="default" w:ascii="Times New Roman" w:hAnsi="Times New Roman" w:cs="Times New Roman"/>
          <w:color w:val="auto"/>
          <w:kern w:val="0"/>
          <w:sz w:val="24"/>
          <w:szCs w:val="24"/>
        </w:rPr>
        <w:t xml:space="preserve"> </w:t>
      </w:r>
      <w:r>
        <w:rPr>
          <w:rFonts w:hint="default" w:ascii="Times New Roman" w:hAnsi="Times New Roman" w:cs="Times New Roman"/>
          <w:color w:val="auto"/>
          <w:kern w:val="0"/>
          <w:sz w:val="24"/>
          <w:szCs w:val="24"/>
          <w:lang w:val="en-US" w:eastAsia="zh-CN"/>
        </w:rPr>
        <w:t xml:space="preserve">  </w:t>
      </w:r>
      <w:r>
        <w:rPr>
          <w:rFonts w:hint="default" w:ascii="Times New Roman" w:hAnsi="Times New Roman" w:cs="Times New Roman"/>
          <w:color w:val="auto"/>
          <w:kern w:val="0"/>
          <w:sz w:val="24"/>
          <w:szCs w:val="24"/>
        </w:rPr>
        <w:t xml:space="preserve">  自评等级：</w:t>
      </w:r>
      <w:r>
        <w:rPr>
          <w:rFonts w:hint="default" w:ascii="Times New Roman" w:hAnsi="Times New Roman" w:cs="Times New Roman"/>
          <w:color w:val="auto"/>
          <w:kern w:val="0"/>
          <w:sz w:val="24"/>
          <w:szCs w:val="24"/>
          <w:lang w:eastAsia="zh-CN"/>
        </w:rPr>
        <w:t>优</w:t>
      </w:r>
    </w:p>
    <w:tbl>
      <w:tblPr>
        <w:tblStyle w:val="18"/>
        <w:tblW w:w="5329" w:type="pct"/>
        <w:jc w:val="center"/>
        <w:tblLayout w:type="fixed"/>
        <w:tblCellMar>
          <w:top w:w="0" w:type="dxa"/>
          <w:left w:w="28" w:type="dxa"/>
          <w:bottom w:w="0" w:type="dxa"/>
          <w:right w:w="28" w:type="dxa"/>
        </w:tblCellMar>
      </w:tblPr>
      <w:tblGrid>
        <w:gridCol w:w="1472"/>
        <w:gridCol w:w="474"/>
        <w:gridCol w:w="475"/>
        <w:gridCol w:w="1252"/>
        <w:gridCol w:w="2184"/>
        <w:gridCol w:w="516"/>
        <w:gridCol w:w="3114"/>
      </w:tblGrid>
      <w:tr>
        <w:tblPrEx>
          <w:tblCellMar>
            <w:top w:w="0" w:type="dxa"/>
            <w:left w:w="28" w:type="dxa"/>
            <w:bottom w:w="0" w:type="dxa"/>
            <w:right w:w="28" w:type="dxa"/>
          </w:tblCellMar>
        </w:tblPrEx>
        <w:trPr>
          <w:trHeight w:val="518" w:hRule="atLeast"/>
          <w:tblHeader/>
          <w:jc w:val="center"/>
        </w:trPr>
        <w:tc>
          <w:tcPr>
            <w:tcW w:w="775" w:type="pct"/>
            <w:tcBorders>
              <w:top w:val="single" w:color="auto" w:sz="12" w:space="0"/>
              <w:left w:val="single" w:color="auto" w:sz="12" w:space="0"/>
              <w:bottom w:val="single" w:color="auto" w:sz="4" w:space="0"/>
              <w:right w:val="single" w:color="auto" w:sz="4" w:space="0"/>
            </w:tcBorders>
            <w:noWrap w:val="0"/>
            <w:vAlign w:val="center"/>
          </w:tcPr>
          <w:p>
            <w:pPr>
              <w:spacing w:line="240" w:lineRule="exact"/>
              <w:jc w:val="center"/>
              <w:rPr>
                <w:rFonts w:hint="default" w:ascii="Times New Roman" w:hAnsi="Times New Roman" w:eastAsia="方正黑体简体" w:cs="Times New Roman"/>
                <w:color w:val="auto"/>
                <w:sz w:val="21"/>
                <w:szCs w:val="21"/>
              </w:rPr>
            </w:pPr>
            <w:r>
              <w:rPr>
                <w:rFonts w:hint="default" w:ascii="Times New Roman" w:hAnsi="Times New Roman" w:eastAsia="方正黑体简体" w:cs="Times New Roman"/>
                <w:color w:val="auto"/>
                <w:sz w:val="21"/>
                <w:szCs w:val="21"/>
              </w:rPr>
              <w:t>一级指标</w:t>
            </w:r>
          </w:p>
        </w:tc>
        <w:tc>
          <w:tcPr>
            <w:tcW w:w="249"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方正黑体简体" w:cs="Times New Roman"/>
                <w:color w:val="auto"/>
                <w:sz w:val="21"/>
                <w:szCs w:val="21"/>
              </w:rPr>
            </w:pPr>
            <w:r>
              <w:rPr>
                <w:rFonts w:hint="default" w:ascii="Times New Roman" w:hAnsi="Times New Roman" w:eastAsia="方正黑体简体" w:cs="Times New Roman"/>
                <w:color w:val="auto"/>
                <w:sz w:val="21"/>
                <w:szCs w:val="21"/>
              </w:rPr>
              <w:t>二级指标</w:t>
            </w:r>
          </w:p>
        </w:tc>
        <w:tc>
          <w:tcPr>
            <w:tcW w:w="250"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方正黑体简体" w:cs="Times New Roman"/>
                <w:color w:val="auto"/>
                <w:sz w:val="21"/>
                <w:szCs w:val="21"/>
              </w:rPr>
            </w:pPr>
            <w:r>
              <w:rPr>
                <w:rFonts w:hint="default" w:ascii="Times New Roman" w:hAnsi="Times New Roman" w:eastAsia="方正黑体简体" w:cs="Times New Roman"/>
                <w:color w:val="auto"/>
                <w:sz w:val="21"/>
                <w:szCs w:val="21"/>
              </w:rPr>
              <w:t>三级指标</w:t>
            </w:r>
          </w:p>
        </w:tc>
        <w:tc>
          <w:tcPr>
            <w:tcW w:w="659"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方正黑体简体" w:cs="Times New Roman"/>
                <w:color w:val="auto"/>
                <w:sz w:val="21"/>
                <w:szCs w:val="21"/>
              </w:rPr>
            </w:pPr>
            <w:r>
              <w:rPr>
                <w:rFonts w:hint="default" w:ascii="Times New Roman" w:hAnsi="Times New Roman" w:eastAsia="方正黑体简体" w:cs="Times New Roman"/>
                <w:color w:val="auto"/>
                <w:sz w:val="21"/>
                <w:szCs w:val="21"/>
              </w:rPr>
              <w:t>指标解释</w:t>
            </w:r>
          </w:p>
        </w:tc>
        <w:tc>
          <w:tcPr>
            <w:tcW w:w="1151"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方正黑体简体" w:cs="Times New Roman"/>
                <w:color w:val="auto"/>
                <w:sz w:val="21"/>
                <w:szCs w:val="21"/>
              </w:rPr>
            </w:pPr>
            <w:r>
              <w:rPr>
                <w:rFonts w:hint="default" w:ascii="Times New Roman" w:hAnsi="Times New Roman" w:eastAsia="方正黑体简体" w:cs="Times New Roman"/>
                <w:color w:val="auto"/>
                <w:sz w:val="21"/>
                <w:szCs w:val="21"/>
              </w:rPr>
              <w:t>指标说明(评价计分标准）</w:t>
            </w:r>
          </w:p>
        </w:tc>
        <w:tc>
          <w:tcPr>
            <w:tcW w:w="271"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方正黑体简体" w:cs="Times New Roman"/>
                <w:color w:val="auto"/>
                <w:sz w:val="21"/>
                <w:szCs w:val="21"/>
              </w:rPr>
            </w:pPr>
            <w:r>
              <w:rPr>
                <w:rFonts w:hint="default" w:ascii="Times New Roman" w:hAnsi="Times New Roman" w:eastAsia="方正黑体简体" w:cs="Times New Roman"/>
                <w:color w:val="auto"/>
                <w:sz w:val="21"/>
                <w:szCs w:val="21"/>
              </w:rPr>
              <w:t>自评</w:t>
            </w:r>
          </w:p>
          <w:p>
            <w:pPr>
              <w:spacing w:line="240" w:lineRule="exact"/>
              <w:jc w:val="center"/>
              <w:rPr>
                <w:rFonts w:hint="default" w:ascii="Times New Roman" w:hAnsi="Times New Roman" w:eastAsia="方正黑体简体" w:cs="Times New Roman"/>
                <w:color w:val="auto"/>
                <w:sz w:val="21"/>
                <w:szCs w:val="21"/>
              </w:rPr>
            </w:pPr>
            <w:r>
              <w:rPr>
                <w:rFonts w:hint="default" w:ascii="Times New Roman" w:hAnsi="Times New Roman" w:eastAsia="方正黑体简体" w:cs="Times New Roman"/>
                <w:color w:val="auto"/>
                <w:sz w:val="21"/>
                <w:szCs w:val="21"/>
              </w:rPr>
              <w:t>分数</w:t>
            </w:r>
          </w:p>
        </w:tc>
        <w:tc>
          <w:tcPr>
            <w:tcW w:w="1641" w:type="pct"/>
            <w:tcBorders>
              <w:top w:val="single" w:color="auto" w:sz="12" w:space="0"/>
              <w:left w:val="nil"/>
              <w:bottom w:val="single" w:color="auto" w:sz="4" w:space="0"/>
              <w:right w:val="single" w:color="auto" w:sz="12" w:space="0"/>
            </w:tcBorders>
            <w:noWrap w:val="0"/>
            <w:vAlign w:val="center"/>
          </w:tcPr>
          <w:p>
            <w:pPr>
              <w:spacing w:line="240" w:lineRule="exact"/>
              <w:jc w:val="center"/>
              <w:rPr>
                <w:rFonts w:hint="default" w:ascii="Times New Roman" w:hAnsi="Times New Roman" w:eastAsia="方正黑体简体" w:cs="Times New Roman"/>
                <w:color w:val="auto"/>
                <w:sz w:val="21"/>
                <w:szCs w:val="21"/>
              </w:rPr>
            </w:pPr>
            <w:r>
              <w:rPr>
                <w:rFonts w:hint="default" w:ascii="Times New Roman" w:hAnsi="Times New Roman" w:eastAsia="方正黑体简体" w:cs="Times New Roman"/>
                <w:color w:val="auto"/>
                <w:sz w:val="21"/>
                <w:szCs w:val="21"/>
              </w:rPr>
              <w:t>自评</w:t>
            </w:r>
          </w:p>
          <w:p>
            <w:pPr>
              <w:spacing w:line="240" w:lineRule="exact"/>
              <w:jc w:val="center"/>
              <w:rPr>
                <w:rFonts w:hint="default" w:ascii="Times New Roman" w:hAnsi="Times New Roman" w:eastAsia="方正黑体简体" w:cs="Times New Roman"/>
                <w:color w:val="auto"/>
                <w:sz w:val="21"/>
                <w:szCs w:val="21"/>
              </w:rPr>
            </w:pPr>
            <w:r>
              <w:rPr>
                <w:rFonts w:hint="default" w:ascii="Times New Roman" w:hAnsi="Times New Roman" w:eastAsia="方正黑体简体" w:cs="Times New Roman"/>
                <w:color w:val="auto"/>
                <w:sz w:val="21"/>
                <w:szCs w:val="21"/>
              </w:rPr>
              <w:t>依据及说明</w:t>
            </w:r>
          </w:p>
        </w:tc>
      </w:tr>
      <w:tr>
        <w:tblPrEx>
          <w:tblCellMar>
            <w:top w:w="0" w:type="dxa"/>
            <w:left w:w="28" w:type="dxa"/>
            <w:bottom w:w="0" w:type="dxa"/>
            <w:right w:w="28" w:type="dxa"/>
          </w:tblCellMar>
        </w:tblPrEx>
        <w:trPr>
          <w:trHeight w:val="1330" w:hRule="atLeast"/>
          <w:jc w:val="center"/>
        </w:trPr>
        <w:tc>
          <w:tcPr>
            <w:tcW w:w="775" w:type="pct"/>
            <w:vMerge w:val="restart"/>
            <w:tcBorders>
              <w:top w:val="nil"/>
              <w:left w:val="single" w:color="auto" w:sz="12" w:space="0"/>
              <w:bottom w:val="single" w:color="000000" w:sz="4" w:space="0"/>
              <w:right w:val="single" w:color="auto" w:sz="4" w:space="0"/>
            </w:tcBorders>
            <w:noWrap/>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投入（20分）</w:t>
            </w:r>
          </w:p>
        </w:tc>
        <w:tc>
          <w:tcPr>
            <w:tcW w:w="249"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目标设定（5分）</w:t>
            </w:r>
          </w:p>
        </w:tc>
        <w:tc>
          <w:tcPr>
            <w:tcW w:w="250" w:type="pct"/>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绩效目标合理性（2分）</w:t>
            </w:r>
          </w:p>
        </w:tc>
        <w:tc>
          <w:tcPr>
            <w:tcW w:w="659"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部门（单位）所设立的整体绩效目标依据是否充分，是否符合客观实际，用以反映和考核部门（单位）整体绩效目标与部门履职、年度工作任务的相符性情况。</w:t>
            </w:r>
          </w:p>
        </w:tc>
        <w:tc>
          <w:tcPr>
            <w:tcW w:w="1151"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①是否符合国家法律法规、国民经济和社会发展总体规划；(1分）</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②是否符合部门“三定”方案确定的职责；（0.5分）</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③是否符合部门制定的中长期实施规划。（0.5分）</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2</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“三定”方案</w:t>
            </w:r>
          </w:p>
        </w:tc>
      </w:tr>
      <w:tr>
        <w:tblPrEx>
          <w:tblCellMar>
            <w:top w:w="0" w:type="dxa"/>
            <w:left w:w="28" w:type="dxa"/>
            <w:bottom w:w="0" w:type="dxa"/>
            <w:right w:w="28" w:type="dxa"/>
          </w:tblCellMar>
        </w:tblPrEx>
        <w:trPr>
          <w:trHeight w:val="1447" w:hRule="atLeast"/>
          <w:jc w:val="center"/>
        </w:trPr>
        <w:tc>
          <w:tcPr>
            <w:tcW w:w="775"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49"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绩效指标明确性（3分）</w:t>
            </w:r>
          </w:p>
        </w:tc>
        <w:tc>
          <w:tcPr>
            <w:tcW w:w="659"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部门（单位）依据整体绩效目标所设定的绩效指标是否清晰、细化、可衡量，用以反映和考核部门（单位）整体绩效目标的明细化情况。</w:t>
            </w:r>
          </w:p>
        </w:tc>
        <w:tc>
          <w:tcPr>
            <w:tcW w:w="1151"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①是否将部门整体的绩效目标细化分解为具体的工作任务；（1分）</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②是否通过清晰、可衡量的指标值予以体现;(0.5分）    ③是否与部门年度的任务数或计划数相对应；（0.5分）</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④是否与本年度部门预算资金相匹配。（1分）</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3</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年初预算文件</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乐财预【</w:t>
            </w:r>
            <w:r>
              <w:rPr>
                <w:rFonts w:hint="default" w:ascii="Times New Roman" w:hAnsi="Times New Roman" w:cs="Times New Roman"/>
                <w:color w:val="auto"/>
                <w:sz w:val="21"/>
                <w:szCs w:val="21"/>
                <w:lang w:val="en-US" w:eastAsia="zh-CN"/>
              </w:rPr>
              <w:t>202</w:t>
            </w:r>
            <w:r>
              <w:rPr>
                <w:rFonts w:hint="eastAsia" w:cs="Times New Roman"/>
                <w:color w:val="auto"/>
                <w:sz w:val="21"/>
                <w:szCs w:val="21"/>
                <w:lang w:val="en-US" w:eastAsia="zh-CN"/>
              </w:rPr>
              <w:t>3</w:t>
            </w:r>
            <w:r>
              <w:rPr>
                <w:rFonts w:hint="default" w:ascii="Times New Roman" w:hAnsi="Times New Roman" w:cs="Times New Roman"/>
                <w:color w:val="auto"/>
                <w:sz w:val="21"/>
                <w:szCs w:val="21"/>
                <w:lang w:eastAsia="zh-CN"/>
              </w:rPr>
              <w:t>】</w:t>
            </w:r>
            <w:r>
              <w:rPr>
                <w:rFonts w:hint="eastAsia" w:cs="Times New Roman"/>
                <w:color w:val="auto"/>
                <w:sz w:val="21"/>
                <w:szCs w:val="21"/>
                <w:lang w:val="en-US" w:eastAsia="zh-CN"/>
              </w:rPr>
              <w:t>4</w:t>
            </w:r>
            <w:r>
              <w:rPr>
                <w:rFonts w:hint="default" w:ascii="Times New Roman" w:hAnsi="Times New Roman" w:cs="Times New Roman"/>
                <w:color w:val="auto"/>
                <w:sz w:val="21"/>
                <w:szCs w:val="21"/>
                <w:lang w:val="en-US" w:eastAsia="zh-CN"/>
              </w:rPr>
              <w:t>号</w:t>
            </w:r>
          </w:p>
        </w:tc>
      </w:tr>
      <w:tr>
        <w:tblPrEx>
          <w:tblCellMar>
            <w:top w:w="0" w:type="dxa"/>
            <w:left w:w="28" w:type="dxa"/>
            <w:bottom w:w="0" w:type="dxa"/>
            <w:right w:w="28" w:type="dxa"/>
          </w:tblCellMar>
        </w:tblPrEx>
        <w:trPr>
          <w:trHeight w:val="1200" w:hRule="atLeast"/>
          <w:jc w:val="center"/>
        </w:trPr>
        <w:tc>
          <w:tcPr>
            <w:tcW w:w="775"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49" w:type="pct"/>
            <w:vMerge w:val="restart"/>
            <w:tcBorders>
              <w:top w:val="nil"/>
              <w:left w:val="single" w:color="auto" w:sz="4" w:space="0"/>
              <w:bottom w:val="single" w:color="000000"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预算配置（15分）</w:t>
            </w:r>
          </w:p>
        </w:tc>
        <w:tc>
          <w:tcPr>
            <w:tcW w:w="250" w:type="pct"/>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在职人员控制率（5分）</w:t>
            </w:r>
          </w:p>
        </w:tc>
        <w:tc>
          <w:tcPr>
            <w:tcW w:w="659"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部门（单位）本年度实际在职人员数与编制数的比率，用以反映和考核部门（单位）对人员成本的控制程度。</w:t>
            </w:r>
          </w:p>
        </w:tc>
        <w:tc>
          <w:tcPr>
            <w:tcW w:w="1151"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在职人员控制率=（在职人员数/编制数）×100%。（小于或等于1计5分，否则按比例计分）</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在职人员数：部门（单位）实际在职人数，以财政部确定的部门决算编制口径为准。</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编制数：机构编制部门核定批复的部门（单位）的人员编制数。</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5</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在职人员控制</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eastAsia="zh-CN"/>
              </w:rPr>
              <w:t>率</w:t>
            </w:r>
            <w:r>
              <w:rPr>
                <w:rFonts w:hint="default" w:ascii="Times New Roman" w:hAnsi="Times New Roman" w:cs="Times New Roman"/>
                <w:color w:val="auto"/>
                <w:sz w:val="21"/>
                <w:szCs w:val="21"/>
                <w:lang w:val="en-US" w:eastAsia="zh-CN"/>
              </w:rPr>
              <w:t>=13/14*100%=92.86%</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（小于1）</w:t>
            </w:r>
          </w:p>
        </w:tc>
      </w:tr>
      <w:tr>
        <w:tblPrEx>
          <w:tblCellMar>
            <w:top w:w="0" w:type="dxa"/>
            <w:left w:w="28" w:type="dxa"/>
            <w:bottom w:w="0" w:type="dxa"/>
            <w:right w:w="28" w:type="dxa"/>
          </w:tblCellMar>
        </w:tblPrEx>
        <w:trPr>
          <w:trHeight w:val="1259" w:hRule="atLeast"/>
          <w:jc w:val="center"/>
        </w:trPr>
        <w:tc>
          <w:tcPr>
            <w:tcW w:w="775"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49"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“三公经费”变动率（5分）</w:t>
            </w:r>
          </w:p>
        </w:tc>
        <w:tc>
          <w:tcPr>
            <w:tcW w:w="659"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部门（单位）本年度“三公经费”预算数与上年度“三公经费”预算数的变动比率，用以反映和考核部门（单位）对控制重点行政成本的努力程度。</w:t>
            </w:r>
          </w:p>
        </w:tc>
        <w:tc>
          <w:tcPr>
            <w:tcW w:w="1151"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“三公经费”变动率=[（本年度“三公经费”总额-上年度“三公经费”总额）/上年度“三公经费”总额]×100%。（下降的计5分，增加的按比例扣减）</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“三公经费”：年度预算安排的因公出国（境）费、公务车辆购置及运行费和公务招待费。</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5</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“三公经费”变动率</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=(2.98-</w:t>
            </w:r>
            <w:r>
              <w:rPr>
                <w:rFonts w:hint="eastAsia" w:ascii="Times New Roman" w:hAnsi="Times New Roman" w:cs="Times New Roman"/>
                <w:color w:val="auto"/>
                <w:sz w:val="21"/>
                <w:szCs w:val="21"/>
                <w:lang w:val="en-US" w:eastAsia="zh-CN"/>
              </w:rPr>
              <w:t>2.98</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2.98</w:t>
            </w:r>
            <w:r>
              <w:rPr>
                <w:rFonts w:hint="default" w:ascii="Times New Roman" w:hAnsi="Times New Roman" w:cs="Times New Roman"/>
                <w:color w:val="auto"/>
                <w:sz w:val="21"/>
                <w:szCs w:val="21"/>
                <w:lang w:val="en-US" w:eastAsia="zh-CN"/>
              </w:rP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0</w:t>
            </w:r>
            <w:r>
              <w:rPr>
                <w:rFonts w:hint="default" w:ascii="Times New Roman" w:hAnsi="Times New Roman" w:cs="Times New Roman"/>
                <w:color w:val="auto"/>
                <w:sz w:val="21"/>
                <w:szCs w:val="21"/>
                <w:lang w:val="en-US" w:eastAsia="zh-CN"/>
              </w:rPr>
              <w:t>%</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持平</w:t>
            </w:r>
            <w:r>
              <w:rPr>
                <w:rFonts w:hint="default" w:ascii="Times New Roman" w:hAnsi="Times New Roman" w:cs="Times New Roman"/>
                <w:color w:val="auto"/>
                <w:sz w:val="21"/>
                <w:szCs w:val="21"/>
                <w:lang w:val="en-US" w:eastAsia="zh-CN"/>
              </w:rPr>
              <w:t>)</w:t>
            </w:r>
          </w:p>
        </w:tc>
      </w:tr>
      <w:tr>
        <w:tblPrEx>
          <w:tblCellMar>
            <w:top w:w="0" w:type="dxa"/>
            <w:left w:w="28" w:type="dxa"/>
            <w:bottom w:w="0" w:type="dxa"/>
            <w:right w:w="28" w:type="dxa"/>
          </w:tblCellMar>
        </w:tblPrEx>
        <w:trPr>
          <w:trHeight w:val="1534" w:hRule="atLeast"/>
          <w:jc w:val="center"/>
        </w:trPr>
        <w:tc>
          <w:tcPr>
            <w:tcW w:w="775"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49"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重点支出安排率（5分）</w:t>
            </w:r>
          </w:p>
        </w:tc>
        <w:tc>
          <w:tcPr>
            <w:tcW w:w="659"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部门（单位）本年度预算安排的重点项目支出与部门项目总支出的比率，用以反映和考核部门（单位）对履行主要职责或完成重点任务的保障程度。</w:t>
            </w:r>
          </w:p>
        </w:tc>
        <w:tc>
          <w:tcPr>
            <w:tcW w:w="1151"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重点支出安排率=（重点项目支出/项目总支出）×100%。（实际得分=支出安排率*5分）</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重点项目支出：部门（单位）年度预算安排的，与本部门履职和发展密切相关、具有明显社会和经济影响、党委政府关心或社会比较关注的项目支出总额。</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项目总支出：部门（单位）年度预算安排的项目支出总额。</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5</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重点支出安排率</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w:t>
            </w:r>
            <w:r>
              <w:rPr>
                <w:rFonts w:hint="eastAsia" w:ascii="Times New Roman" w:hAnsi="Times New Roman" w:cs="Times New Roman"/>
                <w:color w:val="auto"/>
                <w:sz w:val="21"/>
                <w:szCs w:val="21"/>
                <w:lang w:val="en-US" w:eastAsia="zh-CN"/>
              </w:rPr>
              <w:t>135.47</w:t>
            </w:r>
            <w:r>
              <w:rPr>
                <w:rFonts w:hint="default" w:ascii="Times New Roman" w:hAnsi="Times New Roman" w:cs="Times New Roman"/>
                <w:color w:val="auto"/>
                <w:sz w:val="21"/>
                <w:szCs w:val="21"/>
              </w:rPr>
              <w:t>/</w:t>
            </w:r>
            <w:r>
              <w:rPr>
                <w:rFonts w:hint="eastAsia" w:ascii="Times New Roman" w:hAnsi="Times New Roman" w:cs="Times New Roman"/>
                <w:color w:val="auto"/>
                <w:sz w:val="21"/>
                <w:szCs w:val="21"/>
                <w:lang w:val="en-US" w:eastAsia="zh-CN"/>
              </w:rPr>
              <w:t>135.47</w:t>
            </w:r>
            <w:r>
              <w:rPr>
                <w:rFonts w:hint="default" w:ascii="Times New Roman" w:hAnsi="Times New Roman" w:cs="Times New Roman"/>
                <w:color w:val="auto"/>
                <w:sz w:val="21"/>
                <w:szCs w:val="21"/>
              </w:rP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（实际得分=100%*5=5）</w:t>
            </w:r>
          </w:p>
        </w:tc>
      </w:tr>
      <w:tr>
        <w:tblPrEx>
          <w:tblCellMar>
            <w:top w:w="0" w:type="dxa"/>
            <w:left w:w="28" w:type="dxa"/>
            <w:bottom w:w="0" w:type="dxa"/>
            <w:right w:w="28" w:type="dxa"/>
          </w:tblCellMar>
        </w:tblPrEx>
        <w:trPr>
          <w:trHeight w:val="1330" w:hRule="atLeast"/>
          <w:jc w:val="center"/>
        </w:trPr>
        <w:tc>
          <w:tcPr>
            <w:tcW w:w="775" w:type="pct"/>
            <w:vMerge w:val="restart"/>
            <w:tcBorders>
              <w:top w:val="nil"/>
              <w:left w:val="single" w:color="auto" w:sz="12" w:space="0"/>
              <w:right w:val="single" w:color="auto" w:sz="4" w:space="0"/>
            </w:tcBorders>
            <w:shd w:val="clear" w:color="auto" w:fill="auto"/>
            <w:noWrap/>
            <w:vAlign w:val="center"/>
          </w:tcPr>
          <w:p>
            <w:pPr>
              <w:spacing w:line="2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过程（30分）</w:t>
            </w:r>
          </w:p>
        </w:tc>
        <w:tc>
          <w:tcPr>
            <w:tcW w:w="249" w:type="pct"/>
            <w:vMerge w:val="restart"/>
            <w:tcBorders>
              <w:top w:val="nil"/>
              <w:left w:val="single" w:color="auto" w:sz="4" w:space="0"/>
              <w:right w:val="single" w:color="auto" w:sz="4" w:space="0"/>
            </w:tcBorders>
            <w:shd w:val="clear" w:color="auto" w:fill="auto"/>
            <w:noWrap w:val="0"/>
            <w:vAlign w:val="center"/>
          </w:tcPr>
          <w:p>
            <w:pPr>
              <w:spacing w:line="2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预算执行（20分）</w:t>
            </w:r>
          </w:p>
        </w:tc>
        <w:tc>
          <w:tcPr>
            <w:tcW w:w="250" w:type="pct"/>
            <w:tcBorders>
              <w:top w:val="nil"/>
              <w:left w:val="nil"/>
              <w:bottom w:val="single" w:color="auto" w:sz="4" w:space="0"/>
              <w:right w:val="single" w:color="auto" w:sz="4" w:space="0"/>
            </w:tcBorders>
            <w:noWrap w:val="0"/>
            <w:vAlign w:val="center"/>
          </w:tcPr>
          <w:p>
            <w:pPr>
              <w:spacing w:line="2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预算完成率（4分）</w:t>
            </w:r>
          </w:p>
        </w:tc>
        <w:tc>
          <w:tcPr>
            <w:tcW w:w="659" w:type="pct"/>
            <w:tcBorders>
              <w:top w:val="nil"/>
              <w:left w:val="nil"/>
              <w:bottom w:val="single" w:color="auto" w:sz="4" w:space="0"/>
              <w:right w:val="single" w:color="auto" w:sz="4" w:space="0"/>
            </w:tcBorders>
            <w:noWrap w:val="0"/>
            <w:vAlign w:val="center"/>
          </w:tcPr>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部门（单位）本年度预算完成数与预算数的比率，用以反映和考核部门（单位）预算完成程度。</w:t>
            </w:r>
          </w:p>
        </w:tc>
        <w:tc>
          <w:tcPr>
            <w:tcW w:w="1151" w:type="pct"/>
            <w:tcBorders>
              <w:top w:val="nil"/>
              <w:left w:val="nil"/>
              <w:bottom w:val="single" w:color="auto" w:sz="4" w:space="0"/>
              <w:right w:val="single" w:color="auto" w:sz="4" w:space="0"/>
            </w:tcBorders>
            <w:noWrap w:val="0"/>
            <w:vAlign w:val="center"/>
          </w:tcPr>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预算完成率=（预算完成数/预算数）×100%。（完成年初预算计4分，未完成年初按比例扣减）</w:t>
            </w:r>
          </w:p>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预算完成数：部门（单位）本年度实际完成的预算数。</w:t>
            </w:r>
          </w:p>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预算数：财政部门批复的本年度部门（单位）预算数。</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4</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预算完成率</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374.18</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374.18</w:t>
            </w:r>
            <w:r>
              <w:rPr>
                <w:rFonts w:hint="default" w:ascii="Times New Roman" w:hAnsi="Times New Roman" w:cs="Times New Roman"/>
                <w:color w:val="auto"/>
                <w:sz w:val="21"/>
                <w:szCs w:val="21"/>
                <w:lang w:val="en-US" w:eastAsia="zh-CN"/>
              </w:rP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（完成年初预算）</w:t>
            </w:r>
          </w:p>
        </w:tc>
      </w:tr>
      <w:tr>
        <w:tblPrEx>
          <w:tblCellMar>
            <w:top w:w="0" w:type="dxa"/>
            <w:left w:w="28" w:type="dxa"/>
            <w:bottom w:w="0" w:type="dxa"/>
            <w:right w:w="28" w:type="dxa"/>
          </w:tblCellMar>
        </w:tblPrEx>
        <w:trPr>
          <w:trHeight w:val="1459" w:hRule="atLeast"/>
          <w:jc w:val="center"/>
        </w:trPr>
        <w:tc>
          <w:tcPr>
            <w:tcW w:w="775" w:type="pct"/>
            <w:vMerge w:val="continue"/>
            <w:tcBorders>
              <w:left w:val="single" w:color="auto" w:sz="12" w:space="0"/>
              <w:right w:val="single" w:color="auto" w:sz="4" w:space="0"/>
            </w:tcBorders>
            <w:shd w:val="clear" w:color="auto" w:fill="auto"/>
            <w:noWrap w:val="0"/>
            <w:vAlign w:val="center"/>
          </w:tcPr>
          <w:p>
            <w:pPr>
              <w:spacing w:line="260" w:lineRule="exact"/>
              <w:jc w:val="center"/>
              <w:rPr>
                <w:rFonts w:hint="default" w:ascii="Times New Roman" w:hAnsi="Times New Roman" w:cs="Times New Roman"/>
                <w:color w:val="auto"/>
                <w:sz w:val="21"/>
                <w:szCs w:val="21"/>
              </w:rPr>
            </w:pPr>
          </w:p>
        </w:tc>
        <w:tc>
          <w:tcPr>
            <w:tcW w:w="249" w:type="pct"/>
            <w:vMerge w:val="continue"/>
            <w:tcBorders>
              <w:left w:val="single" w:color="auto" w:sz="4" w:space="0"/>
              <w:right w:val="single" w:color="auto" w:sz="4" w:space="0"/>
            </w:tcBorders>
            <w:shd w:val="clear" w:color="auto" w:fill="auto"/>
            <w:noWrap w:val="0"/>
            <w:vAlign w:val="center"/>
          </w:tcPr>
          <w:p>
            <w:pPr>
              <w:spacing w:line="26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预算调整率（2分）</w:t>
            </w:r>
          </w:p>
        </w:tc>
        <w:tc>
          <w:tcPr>
            <w:tcW w:w="659" w:type="pct"/>
            <w:tcBorders>
              <w:top w:val="nil"/>
              <w:left w:val="nil"/>
              <w:bottom w:val="single" w:color="auto" w:sz="4" w:space="0"/>
              <w:right w:val="single" w:color="auto" w:sz="4" w:space="0"/>
            </w:tcBorders>
            <w:noWrap w:val="0"/>
            <w:vAlign w:val="center"/>
          </w:tcPr>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部门（单位）本年度预算调整数与预算数的比率，用以反映和考核部门（单位）预算的调整程度。</w:t>
            </w:r>
          </w:p>
        </w:tc>
        <w:tc>
          <w:tcPr>
            <w:tcW w:w="1151" w:type="pct"/>
            <w:tcBorders>
              <w:top w:val="nil"/>
              <w:left w:val="nil"/>
              <w:bottom w:val="single" w:color="auto" w:sz="4" w:space="0"/>
              <w:right w:val="single" w:color="auto" w:sz="4" w:space="0"/>
            </w:tcBorders>
            <w:noWrap w:val="0"/>
            <w:vAlign w:val="center"/>
          </w:tcPr>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预算调整率=（预算调整数/预算数）×100%。（未调整的计2分，调整了的除特殊原因外按比例扣减）</w:t>
            </w:r>
          </w:p>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预算调整数：部门（单位）在本年度内涉及预算的追加、追减或结构调整的资金总和（因落实国家政策、发生不可抗力、上级部门或本级党委政府临时交办而产生的调整除外）。</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0</w:t>
            </w:r>
          </w:p>
        </w:tc>
        <w:tc>
          <w:tcPr>
            <w:tcW w:w="1641" w:type="pct"/>
            <w:tcBorders>
              <w:top w:val="nil"/>
              <w:left w:val="nil"/>
              <w:bottom w:val="single" w:color="auto" w:sz="4" w:space="0"/>
              <w:right w:val="single" w:color="auto" w:sz="12" w:space="0"/>
            </w:tcBorders>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　预算调整率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w:t>
            </w:r>
            <w:r>
              <w:rPr>
                <w:rFonts w:hint="eastAsia" w:cs="Times New Roman"/>
                <w:color w:val="auto"/>
                <w:kern w:val="0"/>
                <w:sz w:val="21"/>
                <w:szCs w:val="21"/>
                <w:lang w:val="en-US" w:eastAsia="zh-CN"/>
              </w:rPr>
              <w:t>374.18</w:t>
            </w:r>
            <w:r>
              <w:rPr>
                <w:rFonts w:hint="default" w:ascii="Times New Roman" w:hAnsi="Times New Roman" w:eastAsia="宋体" w:cs="Times New Roman"/>
                <w:color w:val="auto"/>
                <w:kern w:val="0"/>
                <w:sz w:val="21"/>
                <w:szCs w:val="21"/>
                <w:lang w:val="en-US" w:eastAsia="zh-CN"/>
              </w:rPr>
              <w:t>万</w:t>
            </w:r>
            <w:r>
              <w:rPr>
                <w:rFonts w:hint="default" w:ascii="Times New Roman" w:hAnsi="Times New Roman" w:eastAsia="宋体" w:cs="Times New Roman"/>
                <w:color w:val="auto"/>
                <w:kern w:val="0"/>
                <w:sz w:val="21"/>
                <w:szCs w:val="21"/>
              </w:rPr>
              <w:t>/</w:t>
            </w:r>
            <w:r>
              <w:rPr>
                <w:rFonts w:hint="eastAsia" w:cs="Times New Roman"/>
                <w:color w:val="auto"/>
                <w:kern w:val="0"/>
                <w:sz w:val="21"/>
                <w:szCs w:val="21"/>
                <w:lang w:val="en-US" w:eastAsia="zh-CN"/>
              </w:rPr>
              <w:t>213.61</w:t>
            </w:r>
            <w:r>
              <w:rPr>
                <w:rFonts w:hint="default" w:ascii="Times New Roman" w:hAnsi="Times New Roman" w:eastAsia="宋体" w:cs="Times New Roman"/>
                <w:color w:val="auto"/>
                <w:kern w:val="0"/>
                <w:sz w:val="21"/>
                <w:szCs w:val="21"/>
                <w:lang w:val="en-US" w:eastAsia="zh-CN"/>
              </w:rPr>
              <w:t>万</w:t>
            </w:r>
            <w:r>
              <w:rPr>
                <w:rFonts w:hint="default" w:ascii="Times New Roman" w:hAnsi="Times New Roman" w:eastAsia="宋体" w:cs="Times New Roman"/>
                <w:color w:val="auto"/>
                <w:kern w:val="0"/>
                <w:sz w:val="21"/>
                <w:szCs w:val="21"/>
              </w:rPr>
              <w:t>）×100%</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0"/>
                <w:sz w:val="21"/>
                <w:szCs w:val="21"/>
                <w:lang w:val="en-US" w:eastAsia="zh-CN"/>
              </w:rPr>
              <w:t>=</w:t>
            </w:r>
            <w:r>
              <w:rPr>
                <w:rFonts w:hint="eastAsia" w:cs="Times New Roman"/>
                <w:color w:val="auto"/>
                <w:kern w:val="0"/>
                <w:sz w:val="21"/>
                <w:szCs w:val="21"/>
                <w:lang w:val="en-US" w:eastAsia="zh-CN"/>
              </w:rPr>
              <w:t>175.17</w:t>
            </w:r>
            <w:r>
              <w:rPr>
                <w:rFonts w:hint="default" w:ascii="Times New Roman" w:hAnsi="Times New Roman" w:cs="Times New Roman"/>
                <w:color w:val="auto"/>
                <w:kern w:val="0"/>
                <w:sz w:val="21"/>
                <w:szCs w:val="21"/>
                <w:lang w:val="en-US" w:eastAsia="zh-CN"/>
              </w:rPr>
              <w:t>%</w:t>
            </w:r>
          </w:p>
        </w:tc>
      </w:tr>
      <w:tr>
        <w:tblPrEx>
          <w:tblCellMar>
            <w:top w:w="0" w:type="dxa"/>
            <w:left w:w="28" w:type="dxa"/>
            <w:bottom w:w="0" w:type="dxa"/>
            <w:right w:w="28" w:type="dxa"/>
          </w:tblCellMar>
        </w:tblPrEx>
        <w:trPr>
          <w:trHeight w:val="1800" w:hRule="atLeast"/>
          <w:jc w:val="center"/>
        </w:trPr>
        <w:tc>
          <w:tcPr>
            <w:tcW w:w="775" w:type="pct"/>
            <w:vMerge w:val="continue"/>
            <w:tcBorders>
              <w:left w:val="single" w:color="auto" w:sz="12" w:space="0"/>
              <w:right w:val="single" w:color="auto" w:sz="4" w:space="0"/>
            </w:tcBorders>
            <w:shd w:val="clear" w:color="auto" w:fill="auto"/>
            <w:noWrap w:val="0"/>
            <w:vAlign w:val="center"/>
          </w:tcPr>
          <w:p>
            <w:pPr>
              <w:spacing w:line="260" w:lineRule="exact"/>
              <w:jc w:val="center"/>
              <w:rPr>
                <w:rFonts w:hint="default" w:ascii="Times New Roman" w:hAnsi="Times New Roman" w:cs="Times New Roman"/>
                <w:color w:val="auto"/>
                <w:sz w:val="21"/>
                <w:szCs w:val="21"/>
              </w:rPr>
            </w:pPr>
          </w:p>
        </w:tc>
        <w:tc>
          <w:tcPr>
            <w:tcW w:w="249" w:type="pct"/>
            <w:vMerge w:val="continue"/>
            <w:tcBorders>
              <w:left w:val="single" w:color="auto" w:sz="4" w:space="0"/>
              <w:right w:val="single" w:color="auto" w:sz="4" w:space="0"/>
            </w:tcBorders>
            <w:shd w:val="clear" w:color="auto" w:fill="auto"/>
            <w:noWrap w:val="0"/>
            <w:vAlign w:val="center"/>
          </w:tcPr>
          <w:p>
            <w:pPr>
              <w:spacing w:line="26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支付进度率（2分）</w:t>
            </w:r>
          </w:p>
        </w:tc>
        <w:tc>
          <w:tcPr>
            <w:tcW w:w="659" w:type="pct"/>
            <w:tcBorders>
              <w:top w:val="nil"/>
              <w:left w:val="nil"/>
              <w:bottom w:val="single" w:color="auto" w:sz="4" w:space="0"/>
              <w:right w:val="single" w:color="auto" w:sz="4" w:space="0"/>
            </w:tcBorders>
            <w:noWrap w:val="0"/>
            <w:vAlign w:val="center"/>
          </w:tcPr>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部门（单位）实际支付进度与既定支付进度的比率，用以反映和考核部门（单位）预算执行的及时性和均衡性程度。</w:t>
            </w:r>
          </w:p>
        </w:tc>
        <w:tc>
          <w:tcPr>
            <w:tcW w:w="1151" w:type="pct"/>
            <w:tcBorders>
              <w:top w:val="nil"/>
              <w:left w:val="nil"/>
              <w:bottom w:val="single" w:color="auto" w:sz="4" w:space="0"/>
              <w:right w:val="single" w:color="auto" w:sz="4" w:space="0"/>
            </w:tcBorders>
            <w:noWrap w:val="0"/>
            <w:vAlign w:val="center"/>
          </w:tcPr>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支付进度率=（实际支付进度/既定支付进度）×100%。完成年终进度的计1分，按季度完成预算进度的计1分。</w:t>
            </w:r>
          </w:p>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实际支付进度：部门（单位）在某一时点的支出预算执行总数与年度支出预算数的比率。</w:t>
            </w:r>
          </w:p>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既定支付进度：由部门（单位）在申报部门整体绩效目标时，参照序时支付进度、前三年支付进度、同级部门平均支付进度水平等确定的，在某一时点应达到的支付进度（比率）。</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2</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年终支付进度率和季度</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支付进度完成率均为</w:t>
            </w:r>
            <w:r>
              <w:rPr>
                <w:rFonts w:hint="default" w:ascii="Times New Roman" w:hAnsi="Times New Roman" w:cs="Times New Roman"/>
                <w:color w:val="auto"/>
                <w:sz w:val="21"/>
                <w:szCs w:val="21"/>
                <w:lang w:val="en-US" w:eastAsia="zh-CN"/>
              </w:rPr>
              <w:t>100%。</w:t>
            </w:r>
          </w:p>
        </w:tc>
      </w:tr>
      <w:tr>
        <w:tblPrEx>
          <w:tblCellMar>
            <w:top w:w="0" w:type="dxa"/>
            <w:left w:w="28" w:type="dxa"/>
            <w:bottom w:w="0" w:type="dxa"/>
            <w:right w:w="28" w:type="dxa"/>
          </w:tblCellMar>
        </w:tblPrEx>
        <w:trPr>
          <w:trHeight w:val="1035" w:hRule="atLeast"/>
          <w:jc w:val="center"/>
        </w:trPr>
        <w:tc>
          <w:tcPr>
            <w:tcW w:w="775" w:type="pct"/>
            <w:vMerge w:val="continue"/>
            <w:tcBorders>
              <w:left w:val="single" w:color="auto" w:sz="12" w:space="0"/>
              <w:right w:val="single" w:color="auto" w:sz="4" w:space="0"/>
            </w:tcBorders>
            <w:shd w:val="clear" w:color="auto" w:fill="auto"/>
            <w:noWrap w:val="0"/>
            <w:vAlign w:val="center"/>
          </w:tcPr>
          <w:p>
            <w:pPr>
              <w:spacing w:line="260" w:lineRule="exact"/>
              <w:jc w:val="center"/>
              <w:rPr>
                <w:rFonts w:hint="default" w:ascii="Times New Roman" w:hAnsi="Times New Roman" w:cs="Times New Roman"/>
                <w:color w:val="auto"/>
                <w:sz w:val="21"/>
                <w:szCs w:val="21"/>
              </w:rPr>
            </w:pPr>
          </w:p>
        </w:tc>
        <w:tc>
          <w:tcPr>
            <w:tcW w:w="249" w:type="pct"/>
            <w:vMerge w:val="continue"/>
            <w:tcBorders>
              <w:left w:val="single" w:color="auto" w:sz="4" w:space="0"/>
              <w:right w:val="single" w:color="auto" w:sz="4" w:space="0"/>
            </w:tcBorders>
            <w:shd w:val="clear" w:color="auto" w:fill="auto"/>
            <w:noWrap w:val="0"/>
            <w:vAlign w:val="center"/>
          </w:tcPr>
          <w:p>
            <w:pPr>
              <w:spacing w:line="26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结转结余率（2分）</w:t>
            </w:r>
          </w:p>
        </w:tc>
        <w:tc>
          <w:tcPr>
            <w:tcW w:w="659" w:type="pct"/>
            <w:tcBorders>
              <w:top w:val="nil"/>
              <w:left w:val="nil"/>
              <w:bottom w:val="single" w:color="auto" w:sz="4" w:space="0"/>
              <w:right w:val="single" w:color="auto" w:sz="4" w:space="0"/>
            </w:tcBorders>
            <w:noWrap w:val="0"/>
            <w:vAlign w:val="center"/>
          </w:tcPr>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部门（单位）本年度结转结余总额与支出预算数的比率，用以反映和考核部门（单位）对本年度结转结余资金的实际控制程度。</w:t>
            </w:r>
          </w:p>
        </w:tc>
        <w:tc>
          <w:tcPr>
            <w:tcW w:w="1151" w:type="pct"/>
            <w:tcBorders>
              <w:top w:val="nil"/>
              <w:left w:val="nil"/>
              <w:bottom w:val="single" w:color="auto" w:sz="4" w:space="0"/>
              <w:right w:val="single" w:color="auto" w:sz="4" w:space="0"/>
            </w:tcBorders>
            <w:noWrap w:val="0"/>
            <w:vAlign w:val="center"/>
          </w:tcPr>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结转结余率=结转结余总额/支出预算数×100%。低于5%的计1分，每超过5个百分点扣1分，扣完为止。</w:t>
            </w:r>
          </w:p>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结转结余总额：部门（单位）本年度的结转资金与结余资金之和（以决算数为准）。</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1</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结转结余率</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=0/</w:t>
            </w:r>
            <w:r>
              <w:rPr>
                <w:rFonts w:hint="eastAsia" w:ascii="Times New Roman" w:hAnsi="Times New Roman" w:cs="Times New Roman"/>
                <w:color w:val="auto"/>
                <w:sz w:val="21"/>
                <w:szCs w:val="21"/>
                <w:lang w:val="en-US" w:eastAsia="zh-CN"/>
              </w:rPr>
              <w:t>374.18</w:t>
            </w:r>
            <w:r>
              <w:rPr>
                <w:rFonts w:hint="default" w:ascii="Times New Roman" w:hAnsi="Times New Roman" w:cs="Times New Roman"/>
                <w:color w:val="auto"/>
                <w:sz w:val="21"/>
                <w:szCs w:val="21"/>
                <w:lang w:val="en-US" w:eastAsia="zh-CN"/>
              </w:rPr>
              <w:t>*100%=0%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（低于5%）</w:t>
            </w:r>
          </w:p>
        </w:tc>
      </w:tr>
      <w:tr>
        <w:tblPrEx>
          <w:tblCellMar>
            <w:top w:w="0" w:type="dxa"/>
            <w:left w:w="28" w:type="dxa"/>
            <w:bottom w:w="0" w:type="dxa"/>
            <w:right w:w="28" w:type="dxa"/>
          </w:tblCellMar>
        </w:tblPrEx>
        <w:trPr>
          <w:trHeight w:val="1247" w:hRule="atLeast"/>
          <w:jc w:val="center"/>
        </w:trPr>
        <w:tc>
          <w:tcPr>
            <w:tcW w:w="775" w:type="pct"/>
            <w:vMerge w:val="continue"/>
            <w:tcBorders>
              <w:left w:val="single" w:color="auto" w:sz="12" w:space="0"/>
              <w:bottom w:val="single" w:color="000000" w:sz="4" w:space="0"/>
              <w:right w:val="single" w:color="auto" w:sz="4" w:space="0"/>
            </w:tcBorders>
            <w:shd w:val="clear" w:color="auto" w:fill="auto"/>
            <w:noWrap w:val="0"/>
            <w:vAlign w:val="center"/>
          </w:tcPr>
          <w:p>
            <w:pPr>
              <w:spacing w:line="260" w:lineRule="exact"/>
              <w:jc w:val="center"/>
              <w:rPr>
                <w:rFonts w:hint="default" w:ascii="Times New Roman" w:hAnsi="Times New Roman" w:cs="Times New Roman"/>
                <w:color w:val="auto"/>
                <w:sz w:val="21"/>
                <w:szCs w:val="21"/>
              </w:rPr>
            </w:pPr>
          </w:p>
        </w:tc>
        <w:tc>
          <w:tcPr>
            <w:tcW w:w="249" w:type="pct"/>
            <w:vMerge w:val="continue"/>
            <w:tcBorders>
              <w:left w:val="single" w:color="auto" w:sz="4" w:space="0"/>
              <w:bottom w:val="single" w:color="000000" w:sz="4" w:space="0"/>
              <w:right w:val="single" w:color="auto" w:sz="4" w:space="0"/>
            </w:tcBorders>
            <w:shd w:val="clear" w:color="auto" w:fill="auto"/>
            <w:noWrap w:val="0"/>
            <w:vAlign w:val="center"/>
          </w:tcPr>
          <w:p>
            <w:pPr>
              <w:spacing w:line="26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结转结余变动率（2分）</w:t>
            </w:r>
          </w:p>
        </w:tc>
        <w:tc>
          <w:tcPr>
            <w:tcW w:w="659" w:type="pct"/>
            <w:tcBorders>
              <w:top w:val="nil"/>
              <w:left w:val="nil"/>
              <w:bottom w:val="single" w:color="auto" w:sz="4" w:space="0"/>
              <w:right w:val="single" w:color="auto" w:sz="4" w:space="0"/>
            </w:tcBorders>
            <w:noWrap w:val="0"/>
            <w:vAlign w:val="center"/>
          </w:tcPr>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部门（单位）本年度结转结余资金总额与上年度结转结余资金总额的变动比率，用以反映和考核部门（单位）对控制结转结余资金的努力程度。</w:t>
            </w:r>
          </w:p>
        </w:tc>
        <w:tc>
          <w:tcPr>
            <w:tcW w:w="1151" w:type="pct"/>
            <w:tcBorders>
              <w:top w:val="nil"/>
              <w:left w:val="nil"/>
              <w:bottom w:val="single" w:color="auto" w:sz="4" w:space="0"/>
              <w:right w:val="single" w:color="auto" w:sz="4" w:space="0"/>
            </w:tcBorders>
            <w:noWrap w:val="0"/>
            <w:vAlign w:val="center"/>
          </w:tcPr>
          <w:p>
            <w:pPr>
              <w:spacing w:line="26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结转结余变动率=[（本年度累计结转结余资金总额-上年度累计结转结余资金总额）/上年度累计结转结余资金总额]×100%。（低于15%的计2分，每超过5个百分点扣1分，扣完为止）</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2</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结转结余变动率</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=（0-0）/0*100%</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（低于15%）</w:t>
            </w:r>
          </w:p>
        </w:tc>
      </w:tr>
      <w:tr>
        <w:tblPrEx>
          <w:tblCellMar>
            <w:top w:w="0" w:type="dxa"/>
            <w:left w:w="28" w:type="dxa"/>
            <w:bottom w:w="0" w:type="dxa"/>
            <w:right w:w="28" w:type="dxa"/>
          </w:tblCellMar>
        </w:tblPrEx>
        <w:trPr>
          <w:trHeight w:val="1242" w:hRule="atLeast"/>
          <w:jc w:val="center"/>
        </w:trPr>
        <w:tc>
          <w:tcPr>
            <w:tcW w:w="775" w:type="pct"/>
            <w:vMerge w:val="restart"/>
            <w:tcBorders>
              <w:top w:val="nil"/>
              <w:left w:val="single" w:color="auto" w:sz="12" w:space="0"/>
              <w:right w:val="single" w:color="auto" w:sz="4" w:space="0"/>
            </w:tcBorders>
            <w:shd w:val="clear" w:color="auto" w:fill="auto"/>
            <w:noWrap w:val="0"/>
            <w:vAlign w:val="center"/>
          </w:tcPr>
          <w:p>
            <w:pPr>
              <w:spacing w:line="2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过程（30分）</w:t>
            </w:r>
          </w:p>
        </w:tc>
        <w:tc>
          <w:tcPr>
            <w:tcW w:w="249" w:type="pct"/>
            <w:vMerge w:val="restart"/>
            <w:tcBorders>
              <w:top w:val="nil"/>
              <w:left w:val="single" w:color="auto" w:sz="4" w:space="0"/>
              <w:right w:val="single" w:color="auto" w:sz="4" w:space="0"/>
            </w:tcBorders>
            <w:shd w:val="clear" w:color="auto" w:fill="auto"/>
            <w:noWrap w:val="0"/>
            <w:vAlign w:val="center"/>
          </w:tcPr>
          <w:p>
            <w:pPr>
              <w:spacing w:line="2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预算执行（20分）</w:t>
            </w:r>
          </w:p>
        </w:tc>
        <w:tc>
          <w:tcPr>
            <w:tcW w:w="250" w:type="pct"/>
            <w:tcBorders>
              <w:top w:val="nil"/>
              <w:left w:val="nil"/>
              <w:bottom w:val="single" w:color="auto" w:sz="4" w:space="0"/>
              <w:right w:val="single" w:color="auto" w:sz="4" w:space="0"/>
            </w:tcBorders>
            <w:noWrap w:val="0"/>
            <w:vAlign w:val="center"/>
          </w:tcPr>
          <w:p>
            <w:pPr>
              <w:spacing w:line="28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公用经费控制率（2分）</w:t>
            </w:r>
          </w:p>
        </w:tc>
        <w:tc>
          <w:tcPr>
            <w:tcW w:w="659" w:type="pct"/>
            <w:tcBorders>
              <w:top w:val="nil"/>
              <w:left w:val="nil"/>
              <w:bottom w:val="single" w:color="auto" w:sz="4" w:space="0"/>
              <w:right w:val="single" w:color="auto" w:sz="4" w:space="0"/>
            </w:tcBorders>
            <w:noWrap w:val="0"/>
            <w:vAlign w:val="center"/>
          </w:tcPr>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部门（单位）本年度实际支出的公用经费总额与预算安排的公用经费总额的比率，用以反映和考核部门（单位）对机构运转成本的实际控制程度。</w:t>
            </w:r>
          </w:p>
        </w:tc>
        <w:tc>
          <w:tcPr>
            <w:tcW w:w="1151" w:type="pct"/>
            <w:tcBorders>
              <w:top w:val="nil"/>
              <w:left w:val="nil"/>
              <w:bottom w:val="single" w:color="auto" w:sz="4" w:space="0"/>
              <w:right w:val="single" w:color="auto" w:sz="4" w:space="0"/>
            </w:tcBorders>
            <w:noWrap w:val="0"/>
            <w:vAlign w:val="center"/>
          </w:tcPr>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公用经费控制率=（实际支出公用经费总额/预算安排公用经费总额）×100%。（为100%的计2分，每超过1个百分点扣0.1分，扣完为止）</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cs="Times New Roman"/>
                <w:color w:val="auto"/>
                <w:sz w:val="21"/>
                <w:szCs w:val="21"/>
                <w:lang w:val="en-US" w:eastAsia="zh-CN"/>
              </w:rPr>
              <w:t>0</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公用经费控制率</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32.17</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23.9</w:t>
            </w:r>
            <w:r>
              <w:rPr>
                <w:rFonts w:hint="default" w:ascii="Times New Roman" w:hAnsi="Times New Roman" w:cs="Times New Roman"/>
                <w:color w:val="auto"/>
                <w:sz w:val="21"/>
                <w:szCs w:val="21"/>
                <w:lang w:val="en-US" w:eastAsia="zh-CN"/>
              </w:rP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134.6</w:t>
            </w:r>
            <w:r>
              <w:rPr>
                <w:rFonts w:hint="default" w:ascii="Times New Roman" w:hAnsi="Times New Roman" w:cs="Times New Roman"/>
                <w:color w:val="auto"/>
                <w:sz w:val="21"/>
                <w:szCs w:val="21"/>
                <w:lang w:val="en-US" w:eastAsia="zh-CN"/>
              </w:rPr>
              <w:t>%</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(公用经费控制率</w:t>
            </w:r>
            <w:r>
              <w:rPr>
                <w:rFonts w:hint="eastAsia" w:ascii="Times New Roman" w:hAnsi="Times New Roman" w:cs="Times New Roman"/>
                <w:color w:val="auto"/>
                <w:sz w:val="21"/>
                <w:szCs w:val="21"/>
                <w:lang w:val="en-US" w:eastAsia="zh-CN"/>
              </w:rPr>
              <w:t>134.6</w:t>
            </w:r>
            <w:r>
              <w:rPr>
                <w:rFonts w:hint="default" w:ascii="Times New Roman" w:hAnsi="Times New Roman" w:cs="Times New Roman"/>
                <w:color w:val="auto"/>
                <w:sz w:val="21"/>
                <w:szCs w:val="21"/>
                <w:lang w:val="en-US" w:eastAsia="zh-CN"/>
              </w:rPr>
              <w:t>%)</w:t>
            </w:r>
          </w:p>
        </w:tc>
      </w:tr>
      <w:tr>
        <w:tblPrEx>
          <w:tblCellMar>
            <w:top w:w="0" w:type="dxa"/>
            <w:left w:w="28" w:type="dxa"/>
            <w:bottom w:w="0" w:type="dxa"/>
            <w:right w:w="28" w:type="dxa"/>
          </w:tblCellMar>
        </w:tblPrEx>
        <w:trPr>
          <w:trHeight w:val="1172" w:hRule="atLeast"/>
          <w:jc w:val="center"/>
        </w:trPr>
        <w:tc>
          <w:tcPr>
            <w:tcW w:w="775" w:type="pct"/>
            <w:vMerge w:val="continue"/>
            <w:tcBorders>
              <w:left w:val="single" w:color="auto" w:sz="12" w:space="0"/>
              <w:right w:val="single" w:color="auto" w:sz="4" w:space="0"/>
            </w:tcBorders>
            <w:shd w:val="clear" w:color="auto" w:fill="auto"/>
            <w:noWrap w:val="0"/>
            <w:vAlign w:val="center"/>
          </w:tcPr>
          <w:p>
            <w:pPr>
              <w:spacing w:line="280" w:lineRule="exact"/>
              <w:jc w:val="center"/>
              <w:rPr>
                <w:rFonts w:hint="default" w:ascii="Times New Roman" w:hAnsi="Times New Roman" w:cs="Times New Roman"/>
                <w:color w:val="auto"/>
                <w:sz w:val="21"/>
                <w:szCs w:val="21"/>
              </w:rPr>
            </w:pPr>
          </w:p>
        </w:tc>
        <w:tc>
          <w:tcPr>
            <w:tcW w:w="249" w:type="pct"/>
            <w:vMerge w:val="continue"/>
            <w:tcBorders>
              <w:left w:val="single" w:color="auto" w:sz="4" w:space="0"/>
              <w:right w:val="single" w:color="auto" w:sz="4" w:space="0"/>
            </w:tcBorders>
            <w:shd w:val="clear" w:color="auto" w:fill="auto"/>
            <w:noWrap w:val="0"/>
            <w:vAlign w:val="center"/>
          </w:tcPr>
          <w:p>
            <w:pPr>
              <w:spacing w:line="28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8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“三公经费”控制率（2分）</w:t>
            </w:r>
          </w:p>
        </w:tc>
        <w:tc>
          <w:tcPr>
            <w:tcW w:w="659" w:type="pct"/>
            <w:tcBorders>
              <w:top w:val="nil"/>
              <w:left w:val="nil"/>
              <w:bottom w:val="single" w:color="auto" w:sz="4" w:space="0"/>
              <w:right w:val="single" w:color="auto" w:sz="4" w:space="0"/>
            </w:tcBorders>
            <w:noWrap w:val="0"/>
            <w:vAlign w:val="center"/>
          </w:tcPr>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部门（单位）本年度“三公经费”实际支出数与预算安排数的比率，用以反映和考核部门（单位）对“三公经费”的实际控制程度。</w:t>
            </w:r>
          </w:p>
        </w:tc>
        <w:tc>
          <w:tcPr>
            <w:tcW w:w="1151" w:type="pct"/>
            <w:tcBorders>
              <w:top w:val="nil"/>
              <w:left w:val="nil"/>
              <w:bottom w:val="single" w:color="auto" w:sz="4" w:space="0"/>
              <w:right w:val="single" w:color="auto" w:sz="4" w:space="0"/>
            </w:tcBorders>
            <w:noWrap w:val="0"/>
            <w:vAlign w:val="center"/>
          </w:tcPr>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“三公经费”控制率=（“三公经费”实际支出数/“三公经费”预算安排数）×100%。（为100%的计2分，每超过1个百分点扣0.5分，扣完为止）</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cs="Times New Roman"/>
                <w:color w:val="auto"/>
                <w:sz w:val="21"/>
                <w:szCs w:val="21"/>
                <w:lang w:val="en-US" w:eastAsia="zh-CN"/>
              </w:rPr>
              <w:t>0</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“三公经费”控制率</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=2.98/</w:t>
            </w:r>
            <w:r>
              <w:rPr>
                <w:rFonts w:hint="eastAsia" w:ascii="Times New Roman" w:hAnsi="Times New Roman" w:cs="Times New Roman"/>
                <w:color w:val="auto"/>
                <w:sz w:val="21"/>
                <w:szCs w:val="21"/>
                <w:lang w:val="en-US" w:eastAsia="zh-CN"/>
              </w:rPr>
              <w:t>3.5</w:t>
            </w:r>
            <w:r>
              <w:rPr>
                <w:rFonts w:hint="default" w:ascii="Times New Roman" w:hAnsi="Times New Roman" w:cs="Times New Roman"/>
                <w:color w:val="auto"/>
                <w:sz w:val="21"/>
                <w:szCs w:val="21"/>
                <w:lang w:val="en-US" w:eastAsia="zh-CN"/>
              </w:rPr>
              <w:t>*100%=</w:t>
            </w:r>
            <w:r>
              <w:rPr>
                <w:rFonts w:hint="eastAsia" w:ascii="Times New Roman" w:hAnsi="Times New Roman" w:cs="Times New Roman"/>
                <w:color w:val="auto"/>
                <w:sz w:val="21"/>
                <w:szCs w:val="21"/>
                <w:lang w:val="en-US" w:eastAsia="zh-CN"/>
              </w:rPr>
              <w:t>85.14</w:t>
            </w:r>
            <w:r>
              <w:rPr>
                <w:rFonts w:hint="default" w:ascii="Times New Roman" w:hAnsi="Times New Roman" w:cs="Times New Roman"/>
                <w:color w:val="auto"/>
                <w:sz w:val="21"/>
                <w:szCs w:val="21"/>
                <w:lang w:val="en-US" w:eastAsia="zh-CN"/>
              </w:rPr>
              <w:t>%</w:t>
            </w:r>
          </w:p>
        </w:tc>
      </w:tr>
      <w:tr>
        <w:tblPrEx>
          <w:tblCellMar>
            <w:top w:w="0" w:type="dxa"/>
            <w:left w:w="28" w:type="dxa"/>
            <w:bottom w:w="0" w:type="dxa"/>
            <w:right w:w="28" w:type="dxa"/>
          </w:tblCellMar>
        </w:tblPrEx>
        <w:trPr>
          <w:trHeight w:val="1500" w:hRule="atLeast"/>
          <w:jc w:val="center"/>
        </w:trPr>
        <w:tc>
          <w:tcPr>
            <w:tcW w:w="775" w:type="pct"/>
            <w:vMerge w:val="continue"/>
            <w:tcBorders>
              <w:left w:val="single" w:color="auto" w:sz="12" w:space="0"/>
              <w:right w:val="single" w:color="auto" w:sz="4" w:space="0"/>
            </w:tcBorders>
            <w:shd w:val="clear" w:color="auto" w:fill="auto"/>
            <w:noWrap w:val="0"/>
            <w:vAlign w:val="center"/>
          </w:tcPr>
          <w:p>
            <w:pPr>
              <w:spacing w:line="280" w:lineRule="exact"/>
              <w:jc w:val="center"/>
              <w:rPr>
                <w:rFonts w:hint="default" w:ascii="Times New Roman" w:hAnsi="Times New Roman" w:cs="Times New Roman"/>
                <w:color w:val="auto"/>
                <w:sz w:val="21"/>
                <w:szCs w:val="21"/>
              </w:rPr>
            </w:pPr>
          </w:p>
        </w:tc>
        <w:tc>
          <w:tcPr>
            <w:tcW w:w="249" w:type="pct"/>
            <w:vMerge w:val="continue"/>
            <w:tcBorders>
              <w:left w:val="single" w:color="auto" w:sz="4" w:space="0"/>
              <w:bottom w:val="single" w:color="000000" w:sz="4" w:space="0"/>
              <w:right w:val="single" w:color="auto" w:sz="4" w:space="0"/>
            </w:tcBorders>
            <w:shd w:val="clear" w:color="auto" w:fill="auto"/>
            <w:noWrap w:val="0"/>
            <w:vAlign w:val="center"/>
          </w:tcPr>
          <w:p>
            <w:pPr>
              <w:spacing w:line="28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8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政府采购执行率（4分）</w:t>
            </w:r>
          </w:p>
        </w:tc>
        <w:tc>
          <w:tcPr>
            <w:tcW w:w="659" w:type="pct"/>
            <w:tcBorders>
              <w:top w:val="nil"/>
              <w:left w:val="nil"/>
              <w:bottom w:val="single" w:color="auto" w:sz="4" w:space="0"/>
              <w:right w:val="single" w:color="auto" w:sz="4" w:space="0"/>
            </w:tcBorders>
            <w:noWrap w:val="0"/>
            <w:vAlign w:val="center"/>
          </w:tcPr>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部门（单位）本年度实际政府采购金额与年初政府采购预算的比率，用以反映和考核部门（单位）政府采购预算执行情况。</w:t>
            </w:r>
          </w:p>
        </w:tc>
        <w:tc>
          <w:tcPr>
            <w:tcW w:w="1151" w:type="pct"/>
            <w:tcBorders>
              <w:top w:val="nil"/>
              <w:left w:val="nil"/>
              <w:bottom w:val="single" w:color="auto" w:sz="4" w:space="0"/>
              <w:right w:val="single" w:color="auto" w:sz="4" w:space="0"/>
            </w:tcBorders>
            <w:noWrap w:val="0"/>
            <w:vAlign w:val="center"/>
          </w:tcPr>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政府采购执行率=（实际政府采购金额/政府采购预算数）×100%。（为100%的计2分，每低于1个百分点扣0.5分，扣完为止）</w:t>
            </w:r>
          </w:p>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政府采购预算：采购机关根据事业发展计划和行政任务编制的、并经过规定程序批准的年度政府采购计划。</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4</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执行率=1.54/1.54=100%</w:t>
            </w:r>
            <w:r>
              <w:rPr>
                <w:rFonts w:hint="default" w:ascii="Times New Roman" w:hAnsi="Times New Roman" w:cs="Times New Roman"/>
                <w:color w:val="auto"/>
                <w:sz w:val="21"/>
                <w:szCs w:val="21"/>
                <w:lang w:val="en-US" w:eastAsia="zh-CN"/>
              </w:rPr>
              <w:t>，</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严格遵守政府采购规定。</w:t>
            </w:r>
          </w:p>
        </w:tc>
      </w:tr>
      <w:tr>
        <w:tblPrEx>
          <w:tblCellMar>
            <w:top w:w="0" w:type="dxa"/>
            <w:left w:w="28" w:type="dxa"/>
            <w:bottom w:w="0" w:type="dxa"/>
            <w:right w:w="28" w:type="dxa"/>
          </w:tblCellMar>
        </w:tblPrEx>
        <w:trPr>
          <w:trHeight w:val="1635" w:hRule="atLeast"/>
          <w:jc w:val="center"/>
        </w:trPr>
        <w:tc>
          <w:tcPr>
            <w:tcW w:w="775" w:type="pct"/>
            <w:vMerge w:val="continue"/>
            <w:tcBorders>
              <w:left w:val="single" w:color="auto" w:sz="12" w:space="0"/>
              <w:right w:val="single" w:color="auto" w:sz="4" w:space="0"/>
            </w:tcBorders>
            <w:shd w:val="clear" w:color="auto" w:fill="auto"/>
            <w:noWrap w:val="0"/>
            <w:vAlign w:val="center"/>
          </w:tcPr>
          <w:p>
            <w:pPr>
              <w:spacing w:line="280" w:lineRule="exact"/>
              <w:jc w:val="center"/>
              <w:rPr>
                <w:rFonts w:hint="default" w:ascii="Times New Roman" w:hAnsi="Times New Roman" w:cs="Times New Roman"/>
                <w:color w:val="auto"/>
                <w:sz w:val="21"/>
                <w:szCs w:val="21"/>
              </w:rPr>
            </w:pPr>
          </w:p>
        </w:tc>
        <w:tc>
          <w:tcPr>
            <w:tcW w:w="249" w:type="pct"/>
            <w:vMerge w:val="restart"/>
            <w:tcBorders>
              <w:top w:val="nil"/>
              <w:left w:val="single" w:color="auto" w:sz="4" w:space="0"/>
              <w:right w:val="single" w:color="auto" w:sz="4" w:space="0"/>
            </w:tcBorders>
            <w:shd w:val="clear" w:color="auto" w:fill="auto"/>
            <w:noWrap w:val="0"/>
            <w:vAlign w:val="center"/>
          </w:tcPr>
          <w:p>
            <w:pPr>
              <w:spacing w:line="28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预算管理（5分）</w:t>
            </w:r>
          </w:p>
        </w:tc>
        <w:tc>
          <w:tcPr>
            <w:tcW w:w="250" w:type="pct"/>
            <w:tcBorders>
              <w:top w:val="nil"/>
              <w:left w:val="nil"/>
              <w:bottom w:val="single" w:color="auto" w:sz="4" w:space="0"/>
              <w:right w:val="single" w:color="auto" w:sz="4" w:space="0"/>
            </w:tcBorders>
            <w:noWrap w:val="0"/>
            <w:vAlign w:val="center"/>
          </w:tcPr>
          <w:p>
            <w:pPr>
              <w:spacing w:line="28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管理制度健全性（2分）</w:t>
            </w:r>
          </w:p>
        </w:tc>
        <w:tc>
          <w:tcPr>
            <w:tcW w:w="659" w:type="pct"/>
            <w:tcBorders>
              <w:top w:val="nil"/>
              <w:left w:val="nil"/>
              <w:bottom w:val="single" w:color="auto" w:sz="4" w:space="0"/>
              <w:right w:val="single" w:color="auto" w:sz="4" w:space="0"/>
            </w:tcBorders>
            <w:noWrap w:val="0"/>
            <w:vAlign w:val="center"/>
          </w:tcPr>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部门（单位）为加强预算管理、规范财务行为而制定的管理制度是否健全完整，用以反映和考核部门（单位）预算管理制度对完成主要职责或促进事业发展的保障情况。</w:t>
            </w:r>
          </w:p>
        </w:tc>
        <w:tc>
          <w:tcPr>
            <w:tcW w:w="1151" w:type="pct"/>
            <w:tcBorders>
              <w:top w:val="nil"/>
              <w:left w:val="nil"/>
              <w:bottom w:val="single" w:color="auto" w:sz="4" w:space="0"/>
              <w:right w:val="single" w:color="auto" w:sz="4" w:space="0"/>
            </w:tcBorders>
            <w:noWrap w:val="0"/>
            <w:vAlign w:val="center"/>
          </w:tcPr>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①是否已制定或具有预算资金管理办法、内部财务管理制度、会计核算制度等管理制度；（1分）</w:t>
            </w:r>
          </w:p>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②相关管理制度是否合法、合规、完整；（0.5分）</w:t>
            </w:r>
          </w:p>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③相关管理制度是否得到有效执行。（0.5分）</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2</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已制定合法、合规、完整的预算</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资金管理办法、内部财务管理</w:t>
            </w:r>
          </w:p>
          <w:p>
            <w:pPr>
              <w:pStyle w:val="10"/>
              <w:keepNext w:val="0"/>
              <w:keepLines w:val="0"/>
              <w:pageBreakBefore w:val="0"/>
              <w:kinsoku/>
              <w:wordWrap/>
              <w:overflowPunct/>
              <w:topLinePunct w:val="0"/>
              <w:autoSpaceDE/>
              <w:autoSpaceDN/>
              <w:bidi w:val="0"/>
              <w:spacing w:line="240" w:lineRule="auto"/>
              <w:ind w:leftChars="100"/>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制度、会计核算制度等管理</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制度，并得到有效执行。</w:t>
            </w:r>
          </w:p>
        </w:tc>
      </w:tr>
      <w:tr>
        <w:tblPrEx>
          <w:tblCellMar>
            <w:top w:w="0" w:type="dxa"/>
            <w:left w:w="28" w:type="dxa"/>
            <w:bottom w:w="0" w:type="dxa"/>
            <w:right w:w="28" w:type="dxa"/>
          </w:tblCellMar>
        </w:tblPrEx>
        <w:trPr>
          <w:trHeight w:val="2334" w:hRule="atLeast"/>
          <w:jc w:val="center"/>
        </w:trPr>
        <w:tc>
          <w:tcPr>
            <w:tcW w:w="775" w:type="pct"/>
            <w:vMerge w:val="continue"/>
            <w:tcBorders>
              <w:left w:val="single" w:color="auto" w:sz="12" w:space="0"/>
              <w:bottom w:val="single" w:color="000000" w:sz="4" w:space="0"/>
              <w:right w:val="single" w:color="auto" w:sz="4" w:space="0"/>
            </w:tcBorders>
            <w:shd w:val="clear" w:color="auto" w:fill="auto"/>
            <w:noWrap w:val="0"/>
            <w:vAlign w:val="center"/>
          </w:tcPr>
          <w:p>
            <w:pPr>
              <w:spacing w:line="280" w:lineRule="exact"/>
              <w:jc w:val="center"/>
              <w:rPr>
                <w:rFonts w:hint="default" w:ascii="Times New Roman" w:hAnsi="Times New Roman" w:cs="Times New Roman"/>
                <w:color w:val="auto"/>
                <w:sz w:val="21"/>
                <w:szCs w:val="21"/>
              </w:rPr>
            </w:pPr>
          </w:p>
        </w:tc>
        <w:tc>
          <w:tcPr>
            <w:tcW w:w="249" w:type="pct"/>
            <w:vMerge w:val="continue"/>
            <w:tcBorders>
              <w:left w:val="single" w:color="auto" w:sz="4" w:space="0"/>
              <w:bottom w:val="single" w:color="auto" w:sz="4" w:space="0"/>
              <w:right w:val="single" w:color="auto" w:sz="4" w:space="0"/>
            </w:tcBorders>
            <w:shd w:val="clear" w:color="auto" w:fill="auto"/>
            <w:noWrap w:val="0"/>
            <w:vAlign w:val="center"/>
          </w:tcPr>
          <w:p>
            <w:pPr>
              <w:spacing w:line="28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8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资金使用合规性（1分）</w:t>
            </w:r>
          </w:p>
        </w:tc>
        <w:tc>
          <w:tcPr>
            <w:tcW w:w="659" w:type="pct"/>
            <w:tcBorders>
              <w:top w:val="nil"/>
              <w:left w:val="nil"/>
              <w:bottom w:val="single" w:color="auto" w:sz="4" w:space="0"/>
              <w:right w:val="single" w:color="auto" w:sz="4" w:space="0"/>
            </w:tcBorders>
            <w:noWrap w:val="0"/>
            <w:vAlign w:val="center"/>
          </w:tcPr>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部门（单位）使用预算资金是否符合相关的预算财务管理制度的规定，用以反映和考核部门（单位）预算资金的规范运行情况。</w:t>
            </w:r>
          </w:p>
        </w:tc>
        <w:tc>
          <w:tcPr>
            <w:tcW w:w="1151" w:type="pct"/>
            <w:tcBorders>
              <w:top w:val="nil"/>
              <w:left w:val="nil"/>
              <w:bottom w:val="single" w:color="auto" w:sz="4" w:space="0"/>
              <w:right w:val="single" w:color="auto" w:sz="4" w:space="0"/>
            </w:tcBorders>
            <w:noWrap w:val="0"/>
            <w:vAlign w:val="center"/>
          </w:tcPr>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①是否符合国家财经法规和财务管理制度规定以及有关专项资金管理办法的规定；（0.2分）</w:t>
            </w:r>
          </w:p>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②资金的拨付是否有完整的审批程序和手续；（0.2分）</w:t>
            </w:r>
          </w:p>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③项目的重大开支是否经过评估论证；（0.2分）</w:t>
            </w:r>
          </w:p>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④是否符合部门预算批复的用途；（0.2分）</w:t>
            </w:r>
          </w:p>
          <w:p>
            <w:pPr>
              <w:spacing w:line="2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⑤是否存在截留、挤占、挪用、虚列支出等情况。（0.2分）</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1</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严格遵守财务相关规定</w:t>
            </w:r>
          </w:p>
        </w:tc>
      </w:tr>
      <w:tr>
        <w:tblPrEx>
          <w:tblCellMar>
            <w:top w:w="0" w:type="dxa"/>
            <w:left w:w="28" w:type="dxa"/>
            <w:bottom w:w="0" w:type="dxa"/>
            <w:right w:w="28" w:type="dxa"/>
          </w:tblCellMar>
        </w:tblPrEx>
        <w:trPr>
          <w:trHeight w:val="1644" w:hRule="atLeast"/>
          <w:jc w:val="center"/>
        </w:trPr>
        <w:tc>
          <w:tcPr>
            <w:tcW w:w="775" w:type="pct"/>
            <w:vMerge w:val="restart"/>
            <w:tcBorders>
              <w:top w:val="nil"/>
              <w:left w:val="single" w:color="auto" w:sz="12" w:space="0"/>
              <w:right w:val="single" w:color="auto" w:sz="4" w:space="0"/>
            </w:tcBorders>
            <w:shd w:val="clear" w:color="auto" w:fill="auto"/>
            <w:noWrap w:val="0"/>
            <w:vAlign w:val="center"/>
          </w:tcPr>
          <w:p>
            <w:pPr>
              <w:spacing w:line="2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过程（30分）</w:t>
            </w:r>
          </w:p>
        </w:tc>
        <w:tc>
          <w:tcPr>
            <w:tcW w:w="249" w:type="pct"/>
            <w:vMerge w:val="restart"/>
            <w:tcBorders>
              <w:top w:val="nil"/>
              <w:left w:val="single" w:color="auto" w:sz="4" w:space="0"/>
              <w:right w:val="single" w:color="auto" w:sz="4" w:space="0"/>
            </w:tcBorders>
            <w:shd w:val="clear" w:color="auto" w:fill="auto"/>
            <w:noWrap w:val="0"/>
            <w:vAlign w:val="center"/>
          </w:tcPr>
          <w:p>
            <w:pPr>
              <w:spacing w:line="28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预算管理（5分）</w:t>
            </w:r>
          </w:p>
        </w:tc>
        <w:tc>
          <w:tcPr>
            <w:tcW w:w="250" w:type="pct"/>
            <w:tcBorders>
              <w:top w:val="nil"/>
              <w:left w:val="nil"/>
              <w:bottom w:val="single" w:color="auto" w:sz="4" w:space="0"/>
              <w:right w:val="single" w:color="auto" w:sz="4" w:space="0"/>
            </w:tcBorders>
            <w:noWrap w:val="0"/>
            <w:vAlign w:val="center"/>
          </w:tcPr>
          <w:p>
            <w:pPr>
              <w:spacing w:line="35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预决算信息公开性（1分）</w:t>
            </w:r>
          </w:p>
        </w:tc>
        <w:tc>
          <w:tcPr>
            <w:tcW w:w="659" w:type="pct"/>
            <w:tcBorders>
              <w:top w:val="nil"/>
              <w:left w:val="nil"/>
              <w:bottom w:val="single" w:color="auto" w:sz="4" w:space="0"/>
              <w:right w:val="single" w:color="auto" w:sz="4" w:space="0"/>
            </w:tcBorders>
            <w:noWrap w:val="0"/>
            <w:vAlign w:val="center"/>
          </w:tcPr>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部门（单位）是否按照政府信息公开有关规定公开相关预决算信息，用以反映和考核部门（单位）预决算管理的公开透明情况。</w:t>
            </w:r>
          </w:p>
        </w:tc>
        <w:tc>
          <w:tcPr>
            <w:tcW w:w="1151" w:type="pct"/>
            <w:tcBorders>
              <w:top w:val="nil"/>
              <w:left w:val="nil"/>
              <w:bottom w:val="single" w:color="auto" w:sz="4" w:space="0"/>
              <w:right w:val="single" w:color="auto" w:sz="4" w:space="0"/>
            </w:tcBorders>
            <w:noWrap w:val="0"/>
            <w:vAlign w:val="center"/>
          </w:tcPr>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①是否按规定内容公开预决算信息；（0.5分）</w:t>
            </w:r>
          </w:p>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②是否按规定时限公开预决算信息。（0.5分）</w:t>
            </w:r>
          </w:p>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预决算信息是指与部门预算、执行、决算、监督、绩效等管理相关的信息。</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1</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按规定及时在政务网</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进行预决算公开。</w:t>
            </w:r>
          </w:p>
        </w:tc>
      </w:tr>
      <w:tr>
        <w:tblPrEx>
          <w:tblCellMar>
            <w:top w:w="0" w:type="dxa"/>
            <w:left w:w="28" w:type="dxa"/>
            <w:bottom w:w="0" w:type="dxa"/>
            <w:right w:w="28" w:type="dxa"/>
          </w:tblCellMar>
        </w:tblPrEx>
        <w:trPr>
          <w:trHeight w:val="453" w:hRule="atLeast"/>
          <w:jc w:val="center"/>
        </w:trPr>
        <w:tc>
          <w:tcPr>
            <w:tcW w:w="775" w:type="pct"/>
            <w:vMerge w:val="continue"/>
            <w:tcBorders>
              <w:left w:val="single" w:color="auto" w:sz="12" w:space="0"/>
              <w:right w:val="single" w:color="auto" w:sz="4" w:space="0"/>
            </w:tcBorders>
            <w:shd w:val="clear" w:color="auto" w:fill="auto"/>
            <w:noWrap w:val="0"/>
            <w:vAlign w:val="center"/>
          </w:tcPr>
          <w:p>
            <w:pPr>
              <w:spacing w:line="350" w:lineRule="exact"/>
              <w:jc w:val="center"/>
              <w:rPr>
                <w:rFonts w:hint="default" w:ascii="Times New Roman" w:hAnsi="Times New Roman" w:cs="Times New Roman"/>
                <w:color w:val="auto"/>
                <w:sz w:val="21"/>
                <w:szCs w:val="21"/>
              </w:rPr>
            </w:pPr>
          </w:p>
        </w:tc>
        <w:tc>
          <w:tcPr>
            <w:tcW w:w="249" w:type="pct"/>
            <w:vMerge w:val="continue"/>
            <w:tcBorders>
              <w:left w:val="single" w:color="auto" w:sz="4" w:space="0"/>
              <w:bottom w:val="single" w:color="auto" w:sz="4" w:space="0"/>
              <w:right w:val="single" w:color="auto" w:sz="4" w:space="0"/>
            </w:tcBorders>
            <w:shd w:val="clear" w:color="auto" w:fill="auto"/>
            <w:noWrap w:val="0"/>
            <w:vAlign w:val="center"/>
          </w:tcPr>
          <w:p>
            <w:pPr>
              <w:spacing w:line="35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35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基础信息完善性（1分）</w:t>
            </w:r>
          </w:p>
        </w:tc>
        <w:tc>
          <w:tcPr>
            <w:tcW w:w="659" w:type="pct"/>
            <w:tcBorders>
              <w:top w:val="nil"/>
              <w:left w:val="nil"/>
              <w:bottom w:val="single" w:color="auto" w:sz="4" w:space="0"/>
              <w:right w:val="single" w:color="auto" w:sz="4" w:space="0"/>
            </w:tcBorders>
            <w:noWrap w:val="0"/>
            <w:vAlign w:val="center"/>
          </w:tcPr>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部门（单位）基础信息是否完善，用以反映和考核基础信息对预算管理工作的支撑情况。</w:t>
            </w:r>
          </w:p>
        </w:tc>
        <w:tc>
          <w:tcPr>
            <w:tcW w:w="1151" w:type="pct"/>
            <w:tcBorders>
              <w:top w:val="nil"/>
              <w:left w:val="nil"/>
              <w:bottom w:val="single" w:color="auto" w:sz="4" w:space="0"/>
              <w:right w:val="single" w:color="auto" w:sz="4" w:space="0"/>
            </w:tcBorders>
            <w:noWrap w:val="0"/>
            <w:vAlign w:val="center"/>
          </w:tcPr>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①基础数据信息和会计信息资料是否真实；（0.4分）</w:t>
            </w:r>
          </w:p>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②基础数据信息和会计信息资料是否完整；（0.3分）</w:t>
            </w:r>
          </w:p>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③基础数据信息和会计信息资料是否准确。（0.3分）</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1</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基础信息已完善。</w:t>
            </w:r>
          </w:p>
        </w:tc>
      </w:tr>
      <w:tr>
        <w:tblPrEx>
          <w:tblCellMar>
            <w:top w:w="0" w:type="dxa"/>
            <w:left w:w="28" w:type="dxa"/>
            <w:bottom w:w="0" w:type="dxa"/>
            <w:right w:w="28" w:type="dxa"/>
          </w:tblCellMar>
        </w:tblPrEx>
        <w:trPr>
          <w:trHeight w:val="1012" w:hRule="atLeast"/>
          <w:jc w:val="center"/>
        </w:trPr>
        <w:tc>
          <w:tcPr>
            <w:tcW w:w="775" w:type="pct"/>
            <w:vMerge w:val="continue"/>
            <w:tcBorders>
              <w:left w:val="single" w:color="auto" w:sz="12" w:space="0"/>
              <w:right w:val="single" w:color="auto" w:sz="4" w:space="0"/>
            </w:tcBorders>
            <w:shd w:val="clear" w:color="auto" w:fill="auto"/>
            <w:noWrap w:val="0"/>
            <w:vAlign w:val="center"/>
          </w:tcPr>
          <w:p>
            <w:pPr>
              <w:spacing w:line="350" w:lineRule="exact"/>
              <w:jc w:val="center"/>
              <w:rPr>
                <w:rFonts w:hint="default" w:ascii="Times New Roman" w:hAnsi="Times New Roman" w:cs="Times New Roman"/>
                <w:color w:val="auto"/>
                <w:sz w:val="21"/>
                <w:szCs w:val="21"/>
              </w:rPr>
            </w:pPr>
          </w:p>
        </w:tc>
        <w:tc>
          <w:tcPr>
            <w:tcW w:w="249" w:type="pct"/>
            <w:vMerge w:val="restart"/>
            <w:tcBorders>
              <w:top w:val="nil"/>
              <w:left w:val="single" w:color="auto" w:sz="4" w:space="0"/>
              <w:bottom w:val="single" w:color="auto" w:sz="4" w:space="0"/>
              <w:right w:val="single" w:color="auto" w:sz="4" w:space="0"/>
            </w:tcBorders>
            <w:noWrap w:val="0"/>
            <w:vAlign w:val="center"/>
          </w:tcPr>
          <w:p>
            <w:pPr>
              <w:spacing w:line="35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资产管理（5分）</w:t>
            </w:r>
          </w:p>
        </w:tc>
        <w:tc>
          <w:tcPr>
            <w:tcW w:w="250" w:type="pct"/>
            <w:tcBorders>
              <w:top w:val="nil"/>
              <w:left w:val="nil"/>
              <w:bottom w:val="single" w:color="auto" w:sz="4" w:space="0"/>
              <w:right w:val="single" w:color="auto" w:sz="4" w:space="0"/>
            </w:tcBorders>
            <w:noWrap w:val="0"/>
            <w:vAlign w:val="center"/>
          </w:tcPr>
          <w:p>
            <w:pPr>
              <w:spacing w:line="35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管理制度健全性（2分）</w:t>
            </w:r>
          </w:p>
        </w:tc>
        <w:tc>
          <w:tcPr>
            <w:tcW w:w="659" w:type="pct"/>
            <w:tcBorders>
              <w:top w:val="nil"/>
              <w:left w:val="nil"/>
              <w:bottom w:val="single" w:color="auto" w:sz="4" w:space="0"/>
              <w:right w:val="single" w:color="auto" w:sz="4" w:space="0"/>
            </w:tcBorders>
            <w:noWrap w:val="0"/>
            <w:vAlign w:val="center"/>
          </w:tcPr>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部门（单位）为加强资产管理、规范资产管理行为而制定的管理制度是否健全完整，用以反映和考核部门（单位）资产管理制度对完成主要职责或促进社会发展的保障情况。</w:t>
            </w:r>
          </w:p>
        </w:tc>
        <w:tc>
          <w:tcPr>
            <w:tcW w:w="1151" w:type="pct"/>
            <w:tcBorders>
              <w:top w:val="nil"/>
              <w:left w:val="nil"/>
              <w:bottom w:val="single" w:color="auto" w:sz="4" w:space="0"/>
              <w:right w:val="single" w:color="auto" w:sz="4" w:space="0"/>
            </w:tcBorders>
            <w:noWrap w:val="0"/>
            <w:vAlign w:val="center"/>
          </w:tcPr>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①是否已制定或具有资产管理制度；（1分）</w:t>
            </w:r>
          </w:p>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②相关资金管理制度是否合法、合规、完整；（0.5分）</w:t>
            </w:r>
          </w:p>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③相关资产管理制度是否得到有效执行。（0.5分）</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2</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管理制度健全。</w:t>
            </w:r>
          </w:p>
        </w:tc>
      </w:tr>
      <w:tr>
        <w:tblPrEx>
          <w:tblCellMar>
            <w:top w:w="0" w:type="dxa"/>
            <w:left w:w="28" w:type="dxa"/>
            <w:bottom w:w="0" w:type="dxa"/>
            <w:right w:w="28" w:type="dxa"/>
          </w:tblCellMar>
        </w:tblPrEx>
        <w:trPr>
          <w:trHeight w:val="660" w:hRule="atLeast"/>
          <w:jc w:val="center"/>
        </w:trPr>
        <w:tc>
          <w:tcPr>
            <w:tcW w:w="775" w:type="pct"/>
            <w:vMerge w:val="continue"/>
            <w:tcBorders>
              <w:left w:val="single" w:color="auto" w:sz="12" w:space="0"/>
              <w:right w:val="single" w:color="auto" w:sz="4" w:space="0"/>
            </w:tcBorders>
            <w:shd w:val="clear" w:color="auto" w:fill="auto"/>
            <w:noWrap w:val="0"/>
            <w:vAlign w:val="center"/>
          </w:tcPr>
          <w:p>
            <w:pPr>
              <w:spacing w:line="350" w:lineRule="exact"/>
              <w:jc w:val="center"/>
              <w:rPr>
                <w:rFonts w:hint="default" w:ascii="Times New Roman" w:hAnsi="Times New Roman" w:cs="Times New Roman"/>
                <w:color w:val="auto"/>
                <w:sz w:val="21"/>
                <w:szCs w:val="21"/>
              </w:rPr>
            </w:pPr>
          </w:p>
        </w:tc>
        <w:tc>
          <w:tcPr>
            <w:tcW w:w="249" w:type="pct"/>
            <w:vMerge w:val="continue"/>
            <w:tcBorders>
              <w:top w:val="nil"/>
              <w:left w:val="single" w:color="auto" w:sz="4" w:space="0"/>
              <w:bottom w:val="single" w:color="auto" w:sz="4" w:space="0"/>
              <w:right w:val="single" w:color="auto" w:sz="4" w:space="0"/>
            </w:tcBorders>
            <w:noWrap w:val="0"/>
            <w:vAlign w:val="center"/>
          </w:tcPr>
          <w:p>
            <w:pPr>
              <w:spacing w:line="35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35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资产管理安全性（2分）</w:t>
            </w:r>
          </w:p>
        </w:tc>
        <w:tc>
          <w:tcPr>
            <w:tcW w:w="659" w:type="pct"/>
            <w:tcBorders>
              <w:top w:val="nil"/>
              <w:left w:val="nil"/>
              <w:bottom w:val="single" w:color="auto" w:sz="4" w:space="0"/>
              <w:right w:val="single" w:color="auto" w:sz="4" w:space="0"/>
            </w:tcBorders>
            <w:noWrap w:val="0"/>
            <w:vAlign w:val="center"/>
          </w:tcPr>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部门（单位）的资产是否保存完整、使用合规、配置合理、处置规范、收入及时足额上缴，用以反映和考核部门（单位）资产安全运行情况。</w:t>
            </w:r>
          </w:p>
        </w:tc>
        <w:tc>
          <w:tcPr>
            <w:tcW w:w="1151" w:type="pct"/>
            <w:tcBorders>
              <w:top w:val="nil"/>
              <w:left w:val="nil"/>
              <w:bottom w:val="single" w:color="auto" w:sz="4" w:space="0"/>
              <w:right w:val="single" w:color="auto" w:sz="4" w:space="0"/>
            </w:tcBorders>
            <w:noWrap w:val="0"/>
            <w:vAlign w:val="center"/>
          </w:tcPr>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①资产保存是否完整；（0.4分）</w:t>
            </w:r>
          </w:p>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②资产配置是否合理；（0.4分）</w:t>
            </w:r>
          </w:p>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③资产处置是否规范；（0.4分）</w:t>
            </w:r>
          </w:p>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④资产账务管理是否合规，是否帐实相符；（0.4分）</w:t>
            </w:r>
          </w:p>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⑤资产是否有偿使用及处置收入及时足额上缴。（0.4分）</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2</w:t>
            </w:r>
          </w:p>
        </w:tc>
        <w:tc>
          <w:tcPr>
            <w:tcW w:w="1641" w:type="pct"/>
            <w:tcBorders>
              <w:top w:val="nil"/>
              <w:left w:val="nil"/>
              <w:bottom w:val="single" w:color="auto" w:sz="4" w:space="0"/>
              <w:right w:val="single" w:color="auto" w:sz="12" w:space="0"/>
            </w:tcBorders>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ascii="Times New Roman" w:hAnsi="Times New Roman" w:eastAsia="宋体" w:cs="Times New Roman"/>
                <w:color w:val="auto"/>
                <w:kern w:val="0"/>
                <w:sz w:val="21"/>
                <w:szCs w:val="21"/>
                <w:lang w:eastAsia="zh-CN"/>
              </w:rPr>
            </w:pPr>
            <w:r>
              <w:rPr>
                <w:rFonts w:hint="default" w:ascii="Times New Roman" w:hAnsi="Times New Roman" w:eastAsia="宋体" w:cs="Times New Roman"/>
                <w:color w:val="auto"/>
                <w:kern w:val="0"/>
                <w:sz w:val="21"/>
                <w:szCs w:val="21"/>
                <w:lang w:eastAsia="zh-CN"/>
              </w:rPr>
              <w:t>严格按照资产管理办法</w:t>
            </w:r>
          </w:p>
          <w:p>
            <w:pPr>
              <w:keepNext w:val="0"/>
              <w:keepLines w:val="0"/>
              <w:pageBreakBefore w:val="0"/>
              <w:kinsoku/>
              <w:wordWrap/>
              <w:overflowPunct/>
              <w:topLinePunct w:val="0"/>
              <w:autoSpaceDE/>
              <w:autoSpaceDN/>
              <w:bidi w:val="0"/>
              <w:spacing w:line="240" w:lineRule="auto"/>
              <w:ind w:left="0" w:leftChars="0"/>
              <w:jc w:val="both"/>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0"/>
                <w:sz w:val="21"/>
                <w:szCs w:val="21"/>
                <w:lang w:eastAsia="zh-CN"/>
              </w:rPr>
              <w:t>管理固定资产</w:t>
            </w:r>
          </w:p>
        </w:tc>
      </w:tr>
      <w:tr>
        <w:tblPrEx>
          <w:tblCellMar>
            <w:top w:w="0" w:type="dxa"/>
            <w:left w:w="28" w:type="dxa"/>
            <w:bottom w:w="0" w:type="dxa"/>
            <w:right w:w="28" w:type="dxa"/>
          </w:tblCellMar>
        </w:tblPrEx>
        <w:trPr>
          <w:trHeight w:val="1326" w:hRule="atLeast"/>
          <w:jc w:val="center"/>
        </w:trPr>
        <w:tc>
          <w:tcPr>
            <w:tcW w:w="775" w:type="pct"/>
            <w:vMerge w:val="continue"/>
            <w:tcBorders>
              <w:left w:val="single" w:color="auto" w:sz="12" w:space="0"/>
              <w:bottom w:val="single" w:color="000000" w:sz="4" w:space="0"/>
              <w:right w:val="single" w:color="auto" w:sz="4" w:space="0"/>
            </w:tcBorders>
            <w:shd w:val="clear" w:color="auto" w:fill="auto"/>
            <w:noWrap w:val="0"/>
            <w:vAlign w:val="center"/>
          </w:tcPr>
          <w:p>
            <w:pPr>
              <w:spacing w:line="350" w:lineRule="exact"/>
              <w:jc w:val="center"/>
              <w:rPr>
                <w:rFonts w:hint="default" w:ascii="Times New Roman" w:hAnsi="Times New Roman" w:cs="Times New Roman"/>
                <w:color w:val="auto"/>
                <w:sz w:val="21"/>
                <w:szCs w:val="21"/>
              </w:rPr>
            </w:pPr>
          </w:p>
        </w:tc>
        <w:tc>
          <w:tcPr>
            <w:tcW w:w="249" w:type="pct"/>
            <w:vMerge w:val="continue"/>
            <w:tcBorders>
              <w:top w:val="nil"/>
              <w:left w:val="single" w:color="auto" w:sz="4" w:space="0"/>
              <w:bottom w:val="single" w:color="auto" w:sz="4" w:space="0"/>
              <w:right w:val="single" w:color="auto" w:sz="4" w:space="0"/>
            </w:tcBorders>
            <w:noWrap w:val="0"/>
            <w:vAlign w:val="center"/>
          </w:tcPr>
          <w:p>
            <w:pPr>
              <w:spacing w:line="35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35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固定资产利用率（1分）</w:t>
            </w:r>
          </w:p>
        </w:tc>
        <w:tc>
          <w:tcPr>
            <w:tcW w:w="659" w:type="pct"/>
            <w:tcBorders>
              <w:top w:val="nil"/>
              <w:left w:val="nil"/>
              <w:bottom w:val="single" w:color="auto" w:sz="4" w:space="0"/>
              <w:right w:val="single" w:color="auto" w:sz="4" w:space="0"/>
            </w:tcBorders>
            <w:noWrap w:val="0"/>
            <w:vAlign w:val="center"/>
          </w:tcPr>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部门（单位）实际在用固定资产总额与所有固定资产总额的比率，用以反映和考核部门（单位）固定资产使用效率程度。</w:t>
            </w:r>
          </w:p>
        </w:tc>
        <w:tc>
          <w:tcPr>
            <w:tcW w:w="1151" w:type="pct"/>
            <w:tcBorders>
              <w:top w:val="nil"/>
              <w:left w:val="nil"/>
              <w:bottom w:val="single" w:color="auto" w:sz="4" w:space="0"/>
              <w:right w:val="single" w:color="auto" w:sz="4" w:space="0"/>
            </w:tcBorders>
            <w:noWrap w:val="0"/>
            <w:vAlign w:val="center"/>
          </w:tcPr>
          <w:p>
            <w:pPr>
              <w:spacing w:line="35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固定资产利用率=（实际在用固定资产总额/所有固定资产总额）×100%。（利用率为100%的计1分，每降1个百分点扣0.1分，扣完为止）</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1</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0"/>
                <w:sz w:val="21"/>
                <w:szCs w:val="21"/>
              </w:rPr>
              <w:t>固定资产利用率</w:t>
            </w:r>
            <w:r>
              <w:rPr>
                <w:rFonts w:hint="default" w:ascii="Times New Roman" w:hAnsi="Times New Roman" w:eastAsia="宋体" w:cs="Times New Roman"/>
                <w:color w:val="auto"/>
                <w:kern w:val="0"/>
                <w:sz w:val="21"/>
                <w:szCs w:val="21"/>
                <w:lang w:eastAsia="zh-CN"/>
              </w:rPr>
              <w:t>达</w:t>
            </w:r>
            <w:r>
              <w:rPr>
                <w:rFonts w:hint="default" w:ascii="Times New Roman" w:hAnsi="Times New Roman" w:eastAsia="宋体" w:cs="Times New Roman"/>
                <w:color w:val="auto"/>
                <w:kern w:val="0"/>
                <w:sz w:val="21"/>
                <w:szCs w:val="21"/>
                <w:lang w:val="en-US" w:eastAsia="zh-CN"/>
              </w:rPr>
              <w:t>100%</w:t>
            </w:r>
          </w:p>
        </w:tc>
      </w:tr>
      <w:tr>
        <w:tblPrEx>
          <w:tblCellMar>
            <w:top w:w="0" w:type="dxa"/>
            <w:left w:w="28" w:type="dxa"/>
            <w:bottom w:w="0" w:type="dxa"/>
            <w:right w:w="28" w:type="dxa"/>
          </w:tblCellMar>
        </w:tblPrEx>
        <w:trPr>
          <w:trHeight w:val="621" w:hRule="atLeast"/>
          <w:jc w:val="center"/>
        </w:trPr>
        <w:tc>
          <w:tcPr>
            <w:tcW w:w="775" w:type="pct"/>
            <w:vMerge w:val="restart"/>
            <w:tcBorders>
              <w:top w:val="nil"/>
              <w:left w:val="single" w:color="auto" w:sz="12" w:space="0"/>
              <w:bottom w:val="single" w:color="auto" w:sz="4" w:space="0"/>
              <w:right w:val="single" w:color="auto" w:sz="4" w:space="0"/>
            </w:tcBorders>
            <w:noWrap/>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产 出（30分）</w:t>
            </w:r>
          </w:p>
        </w:tc>
        <w:tc>
          <w:tcPr>
            <w:tcW w:w="249"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职责履行（30分）</w:t>
            </w:r>
          </w:p>
        </w:tc>
        <w:tc>
          <w:tcPr>
            <w:tcW w:w="250" w:type="pct"/>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实际完成率（8分）</w:t>
            </w:r>
          </w:p>
        </w:tc>
        <w:tc>
          <w:tcPr>
            <w:tcW w:w="659"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部门（单位）履行职责而实际完成工作数与计划工作数的比率，用以反映和考核部门（单位）履职工作任务目标的实现程度。</w:t>
            </w:r>
          </w:p>
        </w:tc>
        <w:tc>
          <w:tcPr>
            <w:tcW w:w="1151"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实际完成率=（实际完成工作数/计划工作数）×100%。（实际得分=实际工作完成率*8分）</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实际完成工作数：一定时期（年度或规划期）内部门（单位）实际完成工作任务的数量。</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计划工作数：部门（单位）整体绩效目标确定的一定时期（年度或规划期）内预计完成工作任务的数量。</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8</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完成计划工作数。</w:t>
            </w:r>
          </w:p>
        </w:tc>
      </w:tr>
      <w:tr>
        <w:tblPrEx>
          <w:tblCellMar>
            <w:top w:w="0" w:type="dxa"/>
            <w:left w:w="28" w:type="dxa"/>
            <w:bottom w:w="0" w:type="dxa"/>
            <w:right w:w="28" w:type="dxa"/>
          </w:tblCellMar>
        </w:tblPrEx>
        <w:trPr>
          <w:trHeight w:val="1359" w:hRule="atLeast"/>
          <w:jc w:val="center"/>
        </w:trPr>
        <w:tc>
          <w:tcPr>
            <w:tcW w:w="775"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49"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完成及时率（4分）</w:t>
            </w:r>
          </w:p>
        </w:tc>
        <w:tc>
          <w:tcPr>
            <w:tcW w:w="659"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部门（单位）在规定时限内及时完成的实际工作数与计划工作数的比率,用以反映和考核部门履职时效目标的实现程度。</w:t>
            </w:r>
          </w:p>
        </w:tc>
        <w:tc>
          <w:tcPr>
            <w:tcW w:w="1151"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完成及时率=（及时完成实际工作数/计划工作数）×100%。（1--4季度各得1分）</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及时完成实际工作数：部门（单位）按照整体绩效目标确定的时限实际完成的工作任务数量。</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4</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完成及时率</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=（及时完成实际工作数/计</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划工作数）×100%。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（完成及时率</w:t>
            </w:r>
            <w:r>
              <w:rPr>
                <w:rFonts w:hint="default" w:ascii="Times New Roman" w:hAnsi="Times New Roman" w:cs="Times New Roman"/>
                <w:color w:val="auto"/>
                <w:sz w:val="21"/>
                <w:szCs w:val="21"/>
                <w:lang w:val="en-US" w:eastAsia="zh-CN"/>
              </w:rPr>
              <w:t>100%</w:t>
            </w:r>
            <w:r>
              <w:rPr>
                <w:rFonts w:hint="default" w:ascii="Times New Roman" w:hAnsi="Times New Roman" w:cs="Times New Roman"/>
                <w:color w:val="auto"/>
                <w:sz w:val="21"/>
                <w:szCs w:val="21"/>
                <w:lang w:eastAsia="zh-CN"/>
              </w:rPr>
              <w:t>）</w:t>
            </w:r>
          </w:p>
        </w:tc>
      </w:tr>
      <w:tr>
        <w:tblPrEx>
          <w:tblCellMar>
            <w:top w:w="0" w:type="dxa"/>
            <w:left w:w="28" w:type="dxa"/>
            <w:bottom w:w="0" w:type="dxa"/>
            <w:right w:w="28" w:type="dxa"/>
          </w:tblCellMar>
        </w:tblPrEx>
        <w:trPr>
          <w:trHeight w:val="1778" w:hRule="atLeast"/>
          <w:jc w:val="center"/>
        </w:trPr>
        <w:tc>
          <w:tcPr>
            <w:tcW w:w="775"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49"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质量达标率（8分）</w:t>
            </w:r>
          </w:p>
        </w:tc>
        <w:tc>
          <w:tcPr>
            <w:tcW w:w="659"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达到质量标准（绩效标准值）的实际工作数与计划工作数的比率,用以反映和考核部门履职质量目标的实现程度。</w:t>
            </w:r>
          </w:p>
        </w:tc>
        <w:tc>
          <w:tcPr>
            <w:tcW w:w="1151"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质量达标率=（质量达标实际工作数/计划工作数）×100%。（实际得分=达标率*8分）</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质量达标实际工作数：一定时期（年度或规划期）内部门（单位）实际完成工作数中达到部门绩效目标要求（绩效标准值）的工作任务数量。</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8</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质量达标率</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=（质量达标实际工作数/计划</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工作数）×100%。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（质量达标率</w:t>
            </w:r>
            <w:r>
              <w:rPr>
                <w:rFonts w:hint="default" w:ascii="Times New Roman" w:hAnsi="Times New Roman" w:cs="Times New Roman"/>
                <w:color w:val="auto"/>
                <w:sz w:val="21"/>
                <w:szCs w:val="21"/>
                <w:lang w:val="en-US" w:eastAsia="zh-CN"/>
              </w:rPr>
              <w:t>100%</w:t>
            </w:r>
            <w:r>
              <w:rPr>
                <w:rFonts w:hint="default" w:ascii="Times New Roman" w:hAnsi="Times New Roman" w:cs="Times New Roman"/>
                <w:color w:val="auto"/>
                <w:sz w:val="21"/>
                <w:szCs w:val="21"/>
                <w:lang w:eastAsia="zh-CN"/>
              </w:rPr>
              <w:t>）</w:t>
            </w:r>
          </w:p>
        </w:tc>
      </w:tr>
      <w:tr>
        <w:tblPrEx>
          <w:tblCellMar>
            <w:top w:w="0" w:type="dxa"/>
            <w:left w:w="28" w:type="dxa"/>
            <w:bottom w:w="0" w:type="dxa"/>
            <w:right w:w="28" w:type="dxa"/>
          </w:tblCellMar>
        </w:tblPrEx>
        <w:trPr>
          <w:trHeight w:val="1464" w:hRule="atLeast"/>
          <w:jc w:val="center"/>
        </w:trPr>
        <w:tc>
          <w:tcPr>
            <w:tcW w:w="775"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49"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50" w:type="pct"/>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重点工作办结率（10分）</w:t>
            </w:r>
          </w:p>
        </w:tc>
        <w:tc>
          <w:tcPr>
            <w:tcW w:w="659"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部门（单位）年度重点工作实际完成数与交办或下达数的比率，用以反映部门（单位）对重点工作的办理落实程度。</w:t>
            </w:r>
          </w:p>
        </w:tc>
        <w:tc>
          <w:tcPr>
            <w:tcW w:w="1151" w:type="pct"/>
            <w:tcBorders>
              <w:top w:val="nil"/>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重点工作办结率=（重点工作实际完成数/交办或下达数）×100%。（实际得分=办结率*10分）</w:t>
            </w:r>
          </w:p>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重点工作是指党委、政府、人大、相关部门交办或下达的工作任务。</w:t>
            </w:r>
          </w:p>
        </w:tc>
        <w:tc>
          <w:tcPr>
            <w:tcW w:w="271" w:type="pct"/>
            <w:tcBorders>
              <w:top w:val="nil"/>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10</w:t>
            </w:r>
          </w:p>
        </w:tc>
        <w:tc>
          <w:tcPr>
            <w:tcW w:w="1641" w:type="pct"/>
            <w:tcBorders>
              <w:top w:val="nil"/>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重点工作办结率</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=（重点工作实际完成数/交</w:t>
            </w:r>
          </w:p>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办或下达数）×100%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（重点工作办结率</w:t>
            </w:r>
            <w:r>
              <w:rPr>
                <w:rFonts w:hint="default" w:ascii="Times New Roman" w:hAnsi="Times New Roman" w:cs="Times New Roman"/>
                <w:color w:val="auto"/>
                <w:sz w:val="21"/>
                <w:szCs w:val="21"/>
                <w:lang w:val="en-US" w:eastAsia="zh-CN"/>
              </w:rPr>
              <w:t>100%</w:t>
            </w:r>
            <w:r>
              <w:rPr>
                <w:rFonts w:hint="default" w:ascii="Times New Roman" w:hAnsi="Times New Roman" w:cs="Times New Roman"/>
                <w:color w:val="auto"/>
                <w:sz w:val="21"/>
                <w:szCs w:val="21"/>
                <w:lang w:eastAsia="zh-CN"/>
              </w:rPr>
              <w:t>）</w:t>
            </w:r>
          </w:p>
        </w:tc>
      </w:tr>
      <w:tr>
        <w:tblPrEx>
          <w:tblCellMar>
            <w:top w:w="0" w:type="dxa"/>
            <w:left w:w="28" w:type="dxa"/>
            <w:bottom w:w="0" w:type="dxa"/>
            <w:right w:w="28" w:type="dxa"/>
          </w:tblCellMar>
        </w:tblPrEx>
        <w:trPr>
          <w:trHeight w:val="776" w:hRule="atLeast"/>
          <w:jc w:val="center"/>
        </w:trPr>
        <w:tc>
          <w:tcPr>
            <w:tcW w:w="775" w:type="pct"/>
            <w:vMerge w:val="restart"/>
            <w:tcBorders>
              <w:top w:val="single" w:color="auto" w:sz="4" w:space="0"/>
              <w:left w:val="single" w:color="auto" w:sz="12" w:space="0"/>
              <w:bottom w:val="single" w:color="auto" w:sz="4" w:space="0"/>
              <w:right w:val="single" w:color="auto" w:sz="4" w:space="0"/>
            </w:tcBorders>
            <w:noWrap/>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效 果（20分）</w:t>
            </w:r>
          </w:p>
        </w:tc>
        <w:tc>
          <w:tcPr>
            <w:tcW w:w="249"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履职效益（20分）</w:t>
            </w:r>
          </w:p>
        </w:tc>
        <w:tc>
          <w:tcPr>
            <w:tcW w:w="250" w:type="pct"/>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经济效益（5分）</w:t>
            </w:r>
          </w:p>
        </w:tc>
        <w:tc>
          <w:tcPr>
            <w:tcW w:w="659" w:type="pct"/>
            <w:tcBorders>
              <w:top w:val="single" w:color="auto" w:sz="4" w:space="0"/>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部门（单位）履行职责对经济发展所带来的直接或间接影响。</w:t>
            </w:r>
          </w:p>
        </w:tc>
        <w:tc>
          <w:tcPr>
            <w:tcW w:w="1151"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此三项指标为部门整体支出绩效评价指标的共性要素，各单位按照部门整体支出绩效目标实现程度为依据。（按经济效益实现程度*5、社会效益实现程度*5、生态效益实现程度*5计算实际得分）</w:t>
            </w:r>
          </w:p>
        </w:tc>
        <w:tc>
          <w:tcPr>
            <w:tcW w:w="271" w:type="pct"/>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5</w:t>
            </w:r>
          </w:p>
        </w:tc>
        <w:tc>
          <w:tcPr>
            <w:tcW w:w="1641" w:type="pct"/>
            <w:tcBorders>
              <w:top w:val="single" w:color="auto" w:sz="4" w:space="0"/>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维护社会和谐稳定，促进经济稳定</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发展。</w:t>
            </w:r>
          </w:p>
        </w:tc>
      </w:tr>
      <w:tr>
        <w:tblPrEx>
          <w:tblCellMar>
            <w:top w:w="0" w:type="dxa"/>
            <w:left w:w="28" w:type="dxa"/>
            <w:bottom w:w="0" w:type="dxa"/>
            <w:right w:w="28" w:type="dxa"/>
          </w:tblCellMar>
        </w:tblPrEx>
        <w:trPr>
          <w:trHeight w:val="876" w:hRule="atLeast"/>
          <w:jc w:val="center"/>
        </w:trPr>
        <w:tc>
          <w:tcPr>
            <w:tcW w:w="775"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49"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50" w:type="pct"/>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社会效益（5分）</w:t>
            </w:r>
          </w:p>
        </w:tc>
        <w:tc>
          <w:tcPr>
            <w:tcW w:w="659" w:type="pct"/>
            <w:tcBorders>
              <w:top w:val="single" w:color="auto" w:sz="4" w:space="0"/>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部门（单位）履行职责对社会发展所带来的直接或间接影响。</w:t>
            </w:r>
          </w:p>
        </w:tc>
        <w:tc>
          <w:tcPr>
            <w:tcW w:w="1151"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p>
        </w:tc>
        <w:tc>
          <w:tcPr>
            <w:tcW w:w="271" w:type="pct"/>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5</w:t>
            </w:r>
          </w:p>
        </w:tc>
        <w:tc>
          <w:tcPr>
            <w:tcW w:w="1641" w:type="pct"/>
            <w:tcBorders>
              <w:top w:val="single" w:color="auto" w:sz="4" w:space="0"/>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维护社会和谐稳定。</w:t>
            </w:r>
          </w:p>
        </w:tc>
      </w:tr>
      <w:tr>
        <w:tblPrEx>
          <w:tblCellMar>
            <w:top w:w="0" w:type="dxa"/>
            <w:left w:w="28" w:type="dxa"/>
            <w:bottom w:w="0" w:type="dxa"/>
            <w:right w:w="28" w:type="dxa"/>
          </w:tblCellMar>
        </w:tblPrEx>
        <w:trPr>
          <w:trHeight w:val="777" w:hRule="atLeast"/>
          <w:jc w:val="center"/>
        </w:trPr>
        <w:tc>
          <w:tcPr>
            <w:tcW w:w="775"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49"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50" w:type="pct"/>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生态效益（5分）</w:t>
            </w:r>
          </w:p>
        </w:tc>
        <w:tc>
          <w:tcPr>
            <w:tcW w:w="659" w:type="pct"/>
            <w:tcBorders>
              <w:top w:val="single" w:color="auto" w:sz="4" w:space="0"/>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部门（单位）履行职责对生态环境所带来的直接或间接影响。</w:t>
            </w:r>
          </w:p>
        </w:tc>
        <w:tc>
          <w:tcPr>
            <w:tcW w:w="1151"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p>
        </w:tc>
        <w:tc>
          <w:tcPr>
            <w:tcW w:w="271" w:type="pct"/>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5</w:t>
            </w:r>
          </w:p>
        </w:tc>
        <w:tc>
          <w:tcPr>
            <w:tcW w:w="1641" w:type="pct"/>
            <w:tcBorders>
              <w:top w:val="single" w:color="auto" w:sz="4" w:space="0"/>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维护社会和谐稳定。</w:t>
            </w:r>
          </w:p>
        </w:tc>
      </w:tr>
      <w:tr>
        <w:tblPrEx>
          <w:tblCellMar>
            <w:top w:w="0" w:type="dxa"/>
            <w:left w:w="28" w:type="dxa"/>
            <w:bottom w:w="0" w:type="dxa"/>
            <w:right w:w="28" w:type="dxa"/>
          </w:tblCellMar>
        </w:tblPrEx>
        <w:trPr>
          <w:trHeight w:val="1323" w:hRule="atLeast"/>
          <w:jc w:val="center"/>
        </w:trPr>
        <w:tc>
          <w:tcPr>
            <w:tcW w:w="775"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49"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p>
        </w:tc>
        <w:tc>
          <w:tcPr>
            <w:tcW w:w="250" w:type="pct"/>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社会公众或服务对象满意度（5分）</w:t>
            </w:r>
          </w:p>
        </w:tc>
        <w:tc>
          <w:tcPr>
            <w:tcW w:w="659" w:type="pct"/>
            <w:tcBorders>
              <w:top w:val="single" w:color="auto" w:sz="4" w:space="0"/>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社会公众或部门（单位）的服务对象对部门履职效果的满意程度。</w:t>
            </w:r>
          </w:p>
        </w:tc>
        <w:tc>
          <w:tcPr>
            <w:tcW w:w="1151" w:type="pct"/>
            <w:tcBorders>
              <w:top w:val="single" w:color="auto" w:sz="4" w:space="0"/>
              <w:left w:val="nil"/>
              <w:bottom w:val="single" w:color="auto" w:sz="4" w:space="0"/>
              <w:right w:val="single" w:color="auto" w:sz="4" w:space="0"/>
            </w:tcBorders>
            <w:noWrap w:val="0"/>
            <w:vAlign w:val="center"/>
          </w:tcPr>
          <w:p>
            <w:pPr>
              <w:spacing w:line="2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社会公众或服务对象是指部门（单位）履行职责而影响到的部门、群体或个人。一般采取社会调查的方式。（按收到的服务对象的满意率计算得分）</w:t>
            </w:r>
          </w:p>
        </w:tc>
        <w:tc>
          <w:tcPr>
            <w:tcW w:w="271" w:type="pct"/>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val="en-US" w:eastAsia="zh-CN"/>
              </w:rPr>
              <w:t>5</w:t>
            </w:r>
          </w:p>
        </w:tc>
        <w:tc>
          <w:tcPr>
            <w:tcW w:w="1641" w:type="pct"/>
            <w:tcBorders>
              <w:top w:val="single" w:color="auto" w:sz="4" w:space="0"/>
              <w:left w:val="nil"/>
              <w:bottom w:val="single" w:color="auto" w:sz="4" w:space="0"/>
              <w:right w:val="single" w:color="auto" w:sz="12" w:space="0"/>
            </w:tcBorders>
            <w:noWrap/>
            <w:vAlign w:val="center"/>
          </w:tcPr>
          <w:p>
            <w:pPr>
              <w:keepNext w:val="0"/>
              <w:keepLines w:val="0"/>
              <w:pageBreakBefore w:val="0"/>
              <w:kinsoku/>
              <w:wordWrap/>
              <w:overflowPunct/>
              <w:topLinePunct w:val="0"/>
              <w:autoSpaceDE/>
              <w:autoSpaceDN/>
              <w:bidi w:val="0"/>
              <w:spacing w:line="240" w:lineRule="auto"/>
              <w:ind w:left="0" w:lef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lang w:eastAsia="zh-CN"/>
              </w:rPr>
              <w:t>群众基本满意。</w:t>
            </w:r>
          </w:p>
        </w:tc>
      </w:tr>
      <w:tr>
        <w:tblPrEx>
          <w:tblCellMar>
            <w:top w:w="0" w:type="dxa"/>
            <w:left w:w="28" w:type="dxa"/>
            <w:bottom w:w="0" w:type="dxa"/>
            <w:right w:w="28" w:type="dxa"/>
          </w:tblCellMar>
        </w:tblPrEx>
        <w:trPr>
          <w:trHeight w:val="584" w:hRule="atLeast"/>
          <w:jc w:val="center"/>
        </w:trPr>
        <w:tc>
          <w:tcPr>
            <w:tcW w:w="3086" w:type="pct"/>
            <w:gridSpan w:val="5"/>
            <w:tcBorders>
              <w:top w:val="single" w:color="auto" w:sz="4" w:space="0"/>
              <w:left w:val="single" w:color="auto" w:sz="12" w:space="0"/>
              <w:bottom w:val="single" w:color="auto" w:sz="12" w:space="0"/>
              <w:right w:val="single" w:color="auto" w:sz="4" w:space="0"/>
            </w:tcBorders>
            <w:noWrap w:val="0"/>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      计</w:t>
            </w:r>
          </w:p>
        </w:tc>
        <w:tc>
          <w:tcPr>
            <w:tcW w:w="271" w:type="pct"/>
            <w:tcBorders>
              <w:top w:val="single" w:color="auto" w:sz="4" w:space="0"/>
              <w:left w:val="nil"/>
              <w:bottom w:val="single" w:color="auto" w:sz="12" w:space="0"/>
              <w:right w:val="single" w:color="auto" w:sz="4" w:space="0"/>
            </w:tcBorders>
            <w:noWrap/>
            <w:vAlign w:val="center"/>
          </w:tcPr>
          <w:p>
            <w:pPr>
              <w:spacing w:line="240" w:lineRule="exact"/>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94</w:t>
            </w:r>
          </w:p>
        </w:tc>
        <w:tc>
          <w:tcPr>
            <w:tcW w:w="1641" w:type="pct"/>
            <w:tcBorders>
              <w:top w:val="single" w:color="auto" w:sz="4" w:space="0"/>
              <w:left w:val="nil"/>
              <w:bottom w:val="single" w:color="auto" w:sz="12" w:space="0"/>
              <w:right w:val="single" w:color="auto" w:sz="12" w:space="0"/>
            </w:tcBorders>
            <w:noWrap/>
            <w:vAlign w:val="center"/>
          </w:tcPr>
          <w:p>
            <w:pPr>
              <w:spacing w:line="240" w:lineRule="exact"/>
              <w:jc w:val="center"/>
              <w:rPr>
                <w:rFonts w:hint="default" w:ascii="Times New Roman" w:hAnsi="Times New Roman" w:cs="Times New Roman"/>
                <w:color w:val="auto"/>
                <w:sz w:val="21"/>
                <w:szCs w:val="21"/>
              </w:rPr>
            </w:pPr>
          </w:p>
        </w:tc>
      </w:tr>
    </w:tbl>
    <w:p>
      <w:pPr>
        <w:pStyle w:val="7"/>
        <w:spacing w:line="20" w:lineRule="exact"/>
        <w:rPr>
          <w:rFonts w:hint="default" w:ascii="Times New Roman" w:hAnsi="Times New Roman" w:cs="Times New Roman"/>
          <w:color w:val="auto"/>
          <w:sz w:val="21"/>
          <w:szCs w:val="21"/>
        </w:rPr>
      </w:pPr>
    </w:p>
    <w:p>
      <w:pPr>
        <w:spacing w:line="620" w:lineRule="exact"/>
        <w:jc w:val="left"/>
        <w:rPr>
          <w:rFonts w:hint="default" w:ascii="Times New Roman" w:hAnsi="Times New Roman" w:eastAsia="方正黑体简体" w:cs="Times New Roman"/>
          <w:color w:val="auto"/>
          <w:kern w:val="0"/>
          <w:sz w:val="21"/>
          <w:szCs w:val="21"/>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hint="default" w:ascii="Times New Roman" w:hAnsi="Times New Roman" w:eastAsia="方正黑体简体" w:cs="Times New Roman"/>
          <w:color w:val="auto"/>
          <w:kern w:val="0"/>
          <w:sz w:val="21"/>
          <w:szCs w:val="21"/>
        </w:rPr>
      </w:pPr>
      <w:r>
        <w:rPr>
          <w:rFonts w:hint="default" w:ascii="Times New Roman" w:hAnsi="Times New Roman" w:eastAsia="方正黑体简体" w:cs="Times New Roman"/>
          <w:color w:val="auto"/>
          <w:kern w:val="0"/>
          <w:sz w:val="21"/>
          <w:szCs w:val="21"/>
        </w:rPr>
        <w:t>附件</w:t>
      </w:r>
      <w:r>
        <w:rPr>
          <w:rFonts w:hint="eastAsia" w:ascii="Times New Roman" w:hAnsi="Times New Roman" w:eastAsia="方正黑体简体" w:cs="Times New Roman"/>
          <w:color w:val="auto"/>
          <w:kern w:val="0"/>
          <w:sz w:val="21"/>
          <w:szCs w:val="21"/>
          <w:lang w:val="en-US" w:eastAsia="zh-CN"/>
        </w:rPr>
        <w:t>1-</w:t>
      </w:r>
      <w:r>
        <w:rPr>
          <w:rFonts w:hint="default" w:ascii="Times New Roman" w:hAnsi="Times New Roman" w:eastAsia="方正黑体简体" w:cs="Times New Roman"/>
          <w:color w:val="auto"/>
          <w:kern w:val="0"/>
          <w:sz w:val="21"/>
          <w:szCs w:val="21"/>
        </w:rPr>
        <w:t>2</w:t>
      </w:r>
    </w:p>
    <w:p>
      <w:pPr>
        <w:spacing w:line="620" w:lineRule="exact"/>
        <w:jc w:val="center"/>
        <w:rPr>
          <w:rFonts w:hint="default" w:ascii="Times New Roman" w:hAnsi="Times New Roman" w:eastAsia="方正小标宋简体" w:cs="Times New Roman"/>
          <w:color w:val="auto"/>
          <w:w w:val="90"/>
          <w:kern w:val="0"/>
          <w:sz w:val="21"/>
          <w:szCs w:val="21"/>
        </w:rPr>
      </w:pPr>
      <w:r>
        <w:rPr>
          <w:rFonts w:hint="default" w:ascii="Times New Roman" w:hAnsi="Times New Roman" w:eastAsia="方正小标宋简体" w:cs="Times New Roman"/>
          <w:color w:val="auto"/>
          <w:w w:val="90"/>
          <w:kern w:val="0"/>
          <w:sz w:val="21"/>
          <w:szCs w:val="21"/>
        </w:rPr>
        <w:t>202</w:t>
      </w:r>
      <w:r>
        <w:rPr>
          <w:rFonts w:hint="eastAsia" w:eastAsia="方正小标宋简体" w:cs="Times New Roman"/>
          <w:color w:val="auto"/>
          <w:w w:val="90"/>
          <w:kern w:val="0"/>
          <w:sz w:val="21"/>
          <w:szCs w:val="21"/>
          <w:lang w:val="en-US" w:eastAsia="zh-CN"/>
        </w:rPr>
        <w:t>3</w:t>
      </w:r>
      <w:r>
        <w:rPr>
          <w:rFonts w:hint="default" w:ascii="Times New Roman" w:hAnsi="Times New Roman" w:eastAsia="方正小标宋简体" w:cs="Times New Roman"/>
          <w:color w:val="auto"/>
          <w:w w:val="90"/>
          <w:kern w:val="0"/>
          <w:sz w:val="21"/>
          <w:szCs w:val="21"/>
        </w:rPr>
        <w:t>年度乐至县部门整体支出绩效目标完成情况表</w:t>
      </w:r>
    </w:p>
    <w:p>
      <w:pPr>
        <w:pStyle w:val="7"/>
        <w:rPr>
          <w:rFonts w:hint="default" w:ascii="Times New Roman" w:hAnsi="Times New Roman" w:cs="Times New Roman"/>
          <w:color w:val="auto"/>
          <w:sz w:val="21"/>
          <w:szCs w:val="21"/>
        </w:rPr>
      </w:pPr>
    </w:p>
    <w:tbl>
      <w:tblPr>
        <w:tblStyle w:val="18"/>
        <w:tblW w:w="983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87"/>
        <w:gridCol w:w="1218"/>
        <w:gridCol w:w="1257"/>
        <w:gridCol w:w="1400"/>
        <w:gridCol w:w="1895"/>
        <w:gridCol w:w="1531"/>
        <w:gridCol w:w="17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8" w:hRule="atLeast"/>
          <w:jc w:val="center"/>
        </w:trPr>
        <w:tc>
          <w:tcPr>
            <w:tcW w:w="787" w:type="dxa"/>
            <w:tcBorders>
              <w:top w:val="single" w:color="auto" w:sz="12" w:space="0"/>
            </w:tcBorders>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部门（单位）名称</w:t>
            </w:r>
          </w:p>
        </w:tc>
        <w:tc>
          <w:tcPr>
            <w:tcW w:w="5770" w:type="dxa"/>
            <w:gridSpan w:val="4"/>
            <w:tcBorders>
              <w:top w:val="single" w:color="auto" w:sz="12" w:space="0"/>
            </w:tcBorders>
            <w:noWrap/>
            <w:vAlign w:val="center"/>
          </w:tcPr>
          <w:p>
            <w:pPr>
              <w:widowControl/>
              <w:spacing w:line="290" w:lineRule="exact"/>
              <w:jc w:val="center"/>
              <w:rPr>
                <w:rFonts w:hint="default" w:ascii="Times New Roman" w:hAnsi="Times New Roman" w:eastAsia="宋体" w:cs="Times New Roman"/>
                <w:color w:val="auto"/>
                <w:kern w:val="0"/>
                <w:sz w:val="21"/>
                <w:szCs w:val="21"/>
                <w:lang w:eastAsia="zh-CN"/>
              </w:rPr>
            </w:pPr>
            <w:r>
              <w:rPr>
                <w:rFonts w:hint="default" w:ascii="Times New Roman" w:hAnsi="Times New Roman" w:cs="Times New Roman"/>
                <w:color w:val="auto"/>
                <w:kern w:val="0"/>
                <w:sz w:val="21"/>
                <w:szCs w:val="21"/>
                <w:lang w:eastAsia="zh-CN"/>
              </w:rPr>
              <w:t>乐至县信访局</w:t>
            </w:r>
          </w:p>
        </w:tc>
        <w:tc>
          <w:tcPr>
            <w:tcW w:w="1531" w:type="dxa"/>
            <w:tcBorders>
              <w:top w:val="single" w:color="auto" w:sz="12" w:space="0"/>
            </w:tcBorders>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预算单位编码</w:t>
            </w:r>
          </w:p>
        </w:tc>
        <w:tc>
          <w:tcPr>
            <w:tcW w:w="1742" w:type="dxa"/>
            <w:tcBorders>
              <w:top w:val="single" w:color="auto" w:sz="12" w:space="0"/>
            </w:tcBorders>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111001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85" w:hRule="atLeast"/>
          <w:jc w:val="center"/>
        </w:trPr>
        <w:tc>
          <w:tcPr>
            <w:tcW w:w="787" w:type="dxa"/>
            <w:vMerge w:val="restart"/>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预算执行情况</w:t>
            </w:r>
          </w:p>
        </w:tc>
        <w:tc>
          <w:tcPr>
            <w:tcW w:w="1218"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项目</w:t>
            </w:r>
          </w:p>
        </w:tc>
        <w:tc>
          <w:tcPr>
            <w:tcW w:w="1257"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预算额(万元)</w:t>
            </w:r>
          </w:p>
        </w:tc>
        <w:tc>
          <w:tcPr>
            <w:tcW w:w="1400"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执行额(万元)</w:t>
            </w:r>
          </w:p>
        </w:tc>
        <w:tc>
          <w:tcPr>
            <w:tcW w:w="1895"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当年结转结余额(万元)</w:t>
            </w:r>
          </w:p>
        </w:tc>
        <w:tc>
          <w:tcPr>
            <w:tcW w:w="1531"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结转结余率%</w:t>
            </w:r>
          </w:p>
        </w:tc>
        <w:tc>
          <w:tcPr>
            <w:tcW w:w="1742"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结转结余变动率%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1" w:hRule="atLeast"/>
          <w:jc w:val="center"/>
        </w:trPr>
        <w:tc>
          <w:tcPr>
            <w:tcW w:w="787" w:type="dxa"/>
            <w:vMerge w:val="continue"/>
            <w:noWrap w:val="0"/>
            <w:vAlign w:val="center"/>
          </w:tcPr>
          <w:p>
            <w:pPr>
              <w:widowControl/>
              <w:spacing w:line="290" w:lineRule="exact"/>
              <w:jc w:val="left"/>
              <w:rPr>
                <w:rFonts w:hint="default" w:ascii="Times New Roman" w:hAnsi="Times New Roman" w:cs="Times New Roman"/>
                <w:color w:val="auto"/>
                <w:kern w:val="0"/>
                <w:sz w:val="21"/>
                <w:szCs w:val="21"/>
              </w:rPr>
            </w:pPr>
          </w:p>
        </w:tc>
        <w:tc>
          <w:tcPr>
            <w:tcW w:w="1218"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合计</w:t>
            </w:r>
          </w:p>
        </w:tc>
        <w:tc>
          <w:tcPr>
            <w:tcW w:w="1257"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374.18</w:t>
            </w:r>
          </w:p>
        </w:tc>
        <w:tc>
          <w:tcPr>
            <w:tcW w:w="1400"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374.18</w:t>
            </w:r>
          </w:p>
        </w:tc>
        <w:tc>
          <w:tcPr>
            <w:tcW w:w="1895" w:type="dxa"/>
            <w:noWrap/>
            <w:vAlign w:val="center"/>
          </w:tcPr>
          <w:p>
            <w:pPr>
              <w:widowControl/>
              <w:spacing w:line="290" w:lineRule="exact"/>
              <w:jc w:val="left"/>
              <w:rPr>
                <w:rFonts w:hint="default" w:ascii="Times New Roman" w:hAnsi="Times New Roman" w:eastAsia="宋体" w:cs="Times New Roman"/>
                <w:color w:val="auto"/>
                <w:kern w:val="0"/>
                <w:sz w:val="21"/>
                <w:szCs w:val="21"/>
                <w:lang w:eastAsia="zh-CN"/>
              </w:rPr>
            </w:pPr>
            <w:r>
              <w:rPr>
                <w:rFonts w:hint="default" w:ascii="Times New Roman" w:hAnsi="Times New Roman" w:cs="Times New Roman"/>
                <w:color w:val="auto"/>
                <w:kern w:val="0"/>
                <w:sz w:val="21"/>
                <w:szCs w:val="21"/>
                <w:lang w:val="en-US" w:eastAsia="zh-CN"/>
              </w:rPr>
              <w:t>0</w:t>
            </w:r>
          </w:p>
        </w:tc>
        <w:tc>
          <w:tcPr>
            <w:tcW w:w="1531"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w:t>
            </w:r>
          </w:p>
        </w:tc>
        <w:tc>
          <w:tcPr>
            <w:tcW w:w="1742"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atLeast"/>
          <w:jc w:val="center"/>
        </w:trPr>
        <w:tc>
          <w:tcPr>
            <w:tcW w:w="787" w:type="dxa"/>
            <w:vMerge w:val="continue"/>
            <w:noWrap w:val="0"/>
            <w:vAlign w:val="center"/>
          </w:tcPr>
          <w:p>
            <w:pPr>
              <w:widowControl/>
              <w:spacing w:line="290" w:lineRule="exact"/>
              <w:jc w:val="left"/>
              <w:rPr>
                <w:rFonts w:hint="default" w:ascii="Times New Roman" w:hAnsi="Times New Roman" w:cs="Times New Roman"/>
                <w:color w:val="auto"/>
                <w:kern w:val="0"/>
                <w:sz w:val="21"/>
                <w:szCs w:val="21"/>
              </w:rPr>
            </w:pPr>
          </w:p>
        </w:tc>
        <w:tc>
          <w:tcPr>
            <w:tcW w:w="1218"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基本支出</w:t>
            </w:r>
          </w:p>
        </w:tc>
        <w:tc>
          <w:tcPr>
            <w:tcW w:w="1257"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238.71</w:t>
            </w:r>
          </w:p>
        </w:tc>
        <w:tc>
          <w:tcPr>
            <w:tcW w:w="1400"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238.71</w:t>
            </w:r>
          </w:p>
        </w:tc>
        <w:tc>
          <w:tcPr>
            <w:tcW w:w="1895"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w:t>
            </w:r>
          </w:p>
        </w:tc>
        <w:tc>
          <w:tcPr>
            <w:tcW w:w="1531"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0%</w:t>
            </w:r>
          </w:p>
        </w:tc>
        <w:tc>
          <w:tcPr>
            <w:tcW w:w="1742"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 w:hRule="atLeast"/>
          <w:jc w:val="center"/>
        </w:trPr>
        <w:tc>
          <w:tcPr>
            <w:tcW w:w="787" w:type="dxa"/>
            <w:vMerge w:val="continue"/>
            <w:noWrap w:val="0"/>
            <w:vAlign w:val="center"/>
          </w:tcPr>
          <w:p>
            <w:pPr>
              <w:widowControl/>
              <w:spacing w:line="290" w:lineRule="exact"/>
              <w:jc w:val="left"/>
              <w:rPr>
                <w:rFonts w:hint="default" w:ascii="Times New Roman" w:hAnsi="Times New Roman" w:cs="Times New Roman"/>
                <w:color w:val="auto"/>
                <w:kern w:val="0"/>
                <w:sz w:val="21"/>
                <w:szCs w:val="21"/>
              </w:rPr>
            </w:pPr>
          </w:p>
        </w:tc>
        <w:tc>
          <w:tcPr>
            <w:tcW w:w="1218"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政策和项目支出</w:t>
            </w:r>
          </w:p>
        </w:tc>
        <w:tc>
          <w:tcPr>
            <w:tcW w:w="1257"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135.47</w:t>
            </w:r>
          </w:p>
        </w:tc>
        <w:tc>
          <w:tcPr>
            <w:tcW w:w="1400"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135.47</w:t>
            </w:r>
          </w:p>
        </w:tc>
        <w:tc>
          <w:tcPr>
            <w:tcW w:w="1895"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w:t>
            </w:r>
          </w:p>
        </w:tc>
        <w:tc>
          <w:tcPr>
            <w:tcW w:w="1531"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w:t>
            </w:r>
          </w:p>
        </w:tc>
        <w:tc>
          <w:tcPr>
            <w:tcW w:w="1742"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4" w:hRule="atLeast"/>
          <w:jc w:val="center"/>
        </w:trPr>
        <w:tc>
          <w:tcPr>
            <w:tcW w:w="787" w:type="dxa"/>
            <w:vMerge w:val="restart"/>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预算</w:t>
            </w:r>
          </w:p>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结构</w:t>
            </w:r>
          </w:p>
        </w:tc>
        <w:tc>
          <w:tcPr>
            <w:tcW w:w="1218"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项目</w:t>
            </w:r>
          </w:p>
        </w:tc>
        <w:tc>
          <w:tcPr>
            <w:tcW w:w="1257"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合计</w:t>
            </w:r>
          </w:p>
        </w:tc>
        <w:tc>
          <w:tcPr>
            <w:tcW w:w="1400"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一般公共预算安排</w:t>
            </w:r>
          </w:p>
        </w:tc>
        <w:tc>
          <w:tcPr>
            <w:tcW w:w="1895"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政府性基金预算安排</w:t>
            </w:r>
          </w:p>
        </w:tc>
        <w:tc>
          <w:tcPr>
            <w:tcW w:w="1531"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国有资本经营预算安排</w:t>
            </w:r>
          </w:p>
        </w:tc>
        <w:tc>
          <w:tcPr>
            <w:tcW w:w="1742"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787" w:type="dxa"/>
            <w:vMerge w:val="continue"/>
            <w:noWrap w:val="0"/>
            <w:vAlign w:val="center"/>
          </w:tcPr>
          <w:p>
            <w:pPr>
              <w:widowControl/>
              <w:spacing w:line="290" w:lineRule="exact"/>
              <w:jc w:val="left"/>
              <w:rPr>
                <w:rFonts w:hint="default" w:ascii="Times New Roman" w:hAnsi="Times New Roman" w:cs="Times New Roman"/>
                <w:color w:val="auto"/>
                <w:kern w:val="0"/>
                <w:sz w:val="21"/>
                <w:szCs w:val="21"/>
              </w:rPr>
            </w:pPr>
          </w:p>
        </w:tc>
        <w:tc>
          <w:tcPr>
            <w:tcW w:w="1218"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预算额(万元)</w:t>
            </w:r>
          </w:p>
        </w:tc>
        <w:tc>
          <w:tcPr>
            <w:tcW w:w="1257"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374.18</w:t>
            </w:r>
          </w:p>
        </w:tc>
        <w:tc>
          <w:tcPr>
            <w:tcW w:w="1400"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374.18</w:t>
            </w:r>
          </w:p>
        </w:tc>
        <w:tc>
          <w:tcPr>
            <w:tcW w:w="1895"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531"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742"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787" w:type="dxa"/>
            <w:vMerge w:val="continue"/>
            <w:noWrap w:val="0"/>
            <w:vAlign w:val="center"/>
          </w:tcPr>
          <w:p>
            <w:pPr>
              <w:widowControl/>
              <w:spacing w:line="290" w:lineRule="exact"/>
              <w:jc w:val="left"/>
              <w:rPr>
                <w:rFonts w:hint="default" w:ascii="Times New Roman" w:hAnsi="Times New Roman" w:cs="Times New Roman"/>
                <w:color w:val="auto"/>
                <w:kern w:val="0"/>
                <w:sz w:val="21"/>
                <w:szCs w:val="21"/>
              </w:rPr>
            </w:pPr>
          </w:p>
        </w:tc>
        <w:tc>
          <w:tcPr>
            <w:tcW w:w="1218"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执行额(万元)</w:t>
            </w:r>
          </w:p>
        </w:tc>
        <w:tc>
          <w:tcPr>
            <w:tcW w:w="1257"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374.18</w:t>
            </w:r>
          </w:p>
        </w:tc>
        <w:tc>
          <w:tcPr>
            <w:tcW w:w="1400"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374.18</w:t>
            </w:r>
          </w:p>
        </w:tc>
        <w:tc>
          <w:tcPr>
            <w:tcW w:w="1895"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531"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742"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787" w:type="dxa"/>
            <w:vMerge w:val="continue"/>
            <w:noWrap w:val="0"/>
            <w:vAlign w:val="center"/>
          </w:tcPr>
          <w:p>
            <w:pPr>
              <w:widowControl/>
              <w:spacing w:line="290" w:lineRule="exact"/>
              <w:jc w:val="left"/>
              <w:rPr>
                <w:rFonts w:hint="default" w:ascii="Times New Roman" w:hAnsi="Times New Roman" w:cs="Times New Roman"/>
                <w:color w:val="auto"/>
                <w:kern w:val="0"/>
                <w:sz w:val="21"/>
                <w:szCs w:val="21"/>
              </w:rPr>
            </w:pPr>
          </w:p>
        </w:tc>
        <w:tc>
          <w:tcPr>
            <w:tcW w:w="1218" w:type="dxa"/>
            <w:noWrap/>
            <w:vAlign w:val="center"/>
          </w:tcPr>
          <w:p>
            <w:pPr>
              <w:widowControl/>
              <w:spacing w:line="290" w:lineRule="exact"/>
              <w:jc w:val="center"/>
              <w:rPr>
                <w:rFonts w:hint="default" w:ascii="Times New Roman" w:hAnsi="Times New Roman" w:cs="Times New Roman"/>
                <w:color w:val="auto"/>
                <w:spacing w:val="-20"/>
                <w:kern w:val="0"/>
                <w:sz w:val="21"/>
                <w:szCs w:val="21"/>
              </w:rPr>
            </w:pPr>
            <w:r>
              <w:rPr>
                <w:rFonts w:hint="default" w:ascii="Times New Roman" w:hAnsi="Times New Roman" w:cs="Times New Roman"/>
                <w:color w:val="auto"/>
                <w:spacing w:val="-20"/>
                <w:kern w:val="0"/>
                <w:sz w:val="21"/>
                <w:szCs w:val="21"/>
              </w:rPr>
              <w:t>当年结转结余额</w:t>
            </w:r>
            <w:r>
              <w:rPr>
                <w:rFonts w:hint="default" w:ascii="Times New Roman" w:hAnsi="Times New Roman" w:cs="Times New Roman"/>
                <w:color w:val="auto"/>
                <w:kern w:val="0"/>
                <w:sz w:val="21"/>
                <w:szCs w:val="21"/>
              </w:rPr>
              <w:t>(万元)</w:t>
            </w:r>
          </w:p>
        </w:tc>
        <w:tc>
          <w:tcPr>
            <w:tcW w:w="1257"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rPr>
              <w:t>　</w:t>
            </w:r>
            <w:r>
              <w:rPr>
                <w:rFonts w:hint="default" w:ascii="Times New Roman" w:hAnsi="Times New Roman" w:cs="Times New Roman"/>
                <w:color w:val="auto"/>
                <w:kern w:val="0"/>
                <w:sz w:val="21"/>
                <w:szCs w:val="21"/>
                <w:lang w:val="en-US" w:eastAsia="zh-CN"/>
              </w:rPr>
              <w:t>0</w:t>
            </w:r>
          </w:p>
        </w:tc>
        <w:tc>
          <w:tcPr>
            <w:tcW w:w="1400"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rPr>
              <w:t>　</w:t>
            </w:r>
            <w:r>
              <w:rPr>
                <w:rFonts w:hint="default" w:ascii="Times New Roman" w:hAnsi="Times New Roman" w:cs="Times New Roman"/>
                <w:color w:val="auto"/>
                <w:kern w:val="0"/>
                <w:sz w:val="21"/>
                <w:szCs w:val="21"/>
                <w:lang w:val="en-US" w:eastAsia="zh-CN"/>
              </w:rPr>
              <w:t>0</w:t>
            </w:r>
          </w:p>
        </w:tc>
        <w:tc>
          <w:tcPr>
            <w:tcW w:w="1895"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531"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742"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787" w:type="dxa"/>
            <w:vMerge w:val="continue"/>
            <w:noWrap w:val="0"/>
            <w:vAlign w:val="center"/>
          </w:tcPr>
          <w:p>
            <w:pPr>
              <w:widowControl/>
              <w:spacing w:line="290" w:lineRule="exact"/>
              <w:jc w:val="left"/>
              <w:rPr>
                <w:rFonts w:hint="default" w:ascii="Times New Roman" w:hAnsi="Times New Roman" w:cs="Times New Roman"/>
                <w:color w:val="auto"/>
                <w:kern w:val="0"/>
                <w:sz w:val="21"/>
                <w:szCs w:val="21"/>
              </w:rPr>
            </w:pPr>
          </w:p>
        </w:tc>
        <w:tc>
          <w:tcPr>
            <w:tcW w:w="1218"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结转结余率%</w:t>
            </w:r>
          </w:p>
        </w:tc>
        <w:tc>
          <w:tcPr>
            <w:tcW w:w="1257"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rPr>
              <w:t>　</w:t>
            </w:r>
            <w:r>
              <w:rPr>
                <w:rFonts w:hint="default" w:ascii="Times New Roman" w:hAnsi="Times New Roman" w:cs="Times New Roman"/>
                <w:color w:val="auto"/>
                <w:kern w:val="0"/>
                <w:sz w:val="21"/>
                <w:szCs w:val="21"/>
                <w:lang w:val="en-US" w:eastAsia="zh-CN"/>
              </w:rPr>
              <w:t>0%</w:t>
            </w:r>
          </w:p>
        </w:tc>
        <w:tc>
          <w:tcPr>
            <w:tcW w:w="1400"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rPr>
              <w:t>　</w:t>
            </w:r>
            <w:r>
              <w:rPr>
                <w:rFonts w:hint="default" w:ascii="Times New Roman" w:hAnsi="Times New Roman" w:cs="Times New Roman"/>
                <w:color w:val="auto"/>
                <w:kern w:val="0"/>
                <w:sz w:val="21"/>
                <w:szCs w:val="21"/>
                <w:lang w:val="en-US" w:eastAsia="zh-CN"/>
              </w:rPr>
              <w:t>0%</w:t>
            </w:r>
          </w:p>
        </w:tc>
        <w:tc>
          <w:tcPr>
            <w:tcW w:w="1895"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531"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742"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787" w:type="dxa"/>
            <w:vMerge w:val="continue"/>
            <w:noWrap w:val="0"/>
            <w:vAlign w:val="center"/>
          </w:tcPr>
          <w:p>
            <w:pPr>
              <w:widowControl/>
              <w:spacing w:line="290" w:lineRule="exact"/>
              <w:jc w:val="left"/>
              <w:rPr>
                <w:rFonts w:hint="default" w:ascii="Times New Roman" w:hAnsi="Times New Roman" w:cs="Times New Roman"/>
                <w:color w:val="auto"/>
                <w:kern w:val="0"/>
                <w:sz w:val="21"/>
                <w:szCs w:val="21"/>
              </w:rPr>
            </w:pPr>
          </w:p>
        </w:tc>
        <w:tc>
          <w:tcPr>
            <w:tcW w:w="1218" w:type="dxa"/>
            <w:noWrap/>
            <w:vAlign w:val="center"/>
          </w:tcPr>
          <w:p>
            <w:pPr>
              <w:widowControl/>
              <w:spacing w:line="29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结转结余变动率%</w:t>
            </w:r>
          </w:p>
        </w:tc>
        <w:tc>
          <w:tcPr>
            <w:tcW w:w="1257"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rPr>
              <w:t>　</w:t>
            </w:r>
            <w:r>
              <w:rPr>
                <w:rFonts w:hint="default" w:ascii="Times New Roman" w:hAnsi="Times New Roman" w:cs="Times New Roman"/>
                <w:color w:val="auto"/>
                <w:kern w:val="0"/>
                <w:sz w:val="21"/>
                <w:szCs w:val="21"/>
                <w:lang w:val="en-US" w:eastAsia="zh-CN"/>
              </w:rPr>
              <w:t>0%</w:t>
            </w:r>
          </w:p>
        </w:tc>
        <w:tc>
          <w:tcPr>
            <w:tcW w:w="1400" w:type="dxa"/>
            <w:noWrap/>
            <w:vAlign w:val="center"/>
          </w:tcPr>
          <w:p>
            <w:pPr>
              <w:widowControl/>
              <w:spacing w:line="290" w:lineRule="exact"/>
              <w:jc w:val="left"/>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rPr>
              <w:t>　</w:t>
            </w:r>
            <w:r>
              <w:rPr>
                <w:rFonts w:hint="default" w:ascii="Times New Roman" w:hAnsi="Times New Roman" w:cs="Times New Roman"/>
                <w:color w:val="auto"/>
                <w:kern w:val="0"/>
                <w:sz w:val="21"/>
                <w:szCs w:val="21"/>
                <w:lang w:val="en-US" w:eastAsia="zh-CN"/>
              </w:rPr>
              <w:t>0%</w:t>
            </w:r>
          </w:p>
        </w:tc>
        <w:tc>
          <w:tcPr>
            <w:tcW w:w="1895"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531"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742" w:type="dxa"/>
            <w:noWrap/>
            <w:vAlign w:val="center"/>
          </w:tcPr>
          <w:p>
            <w:pPr>
              <w:widowControl/>
              <w:spacing w:line="29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5" w:hRule="atLeast"/>
          <w:jc w:val="center"/>
        </w:trPr>
        <w:tc>
          <w:tcPr>
            <w:tcW w:w="787" w:type="dxa"/>
            <w:vMerge w:val="restart"/>
            <w:noWrap/>
            <w:vAlign w:val="center"/>
          </w:tcPr>
          <w:p>
            <w:pPr>
              <w:widowControl/>
              <w:spacing w:line="40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年度总体目标</w:t>
            </w:r>
          </w:p>
        </w:tc>
        <w:tc>
          <w:tcPr>
            <w:tcW w:w="2475" w:type="dxa"/>
            <w:gridSpan w:val="2"/>
            <w:noWrap/>
            <w:vAlign w:val="center"/>
          </w:tcPr>
          <w:p>
            <w:pPr>
              <w:widowControl/>
              <w:spacing w:line="40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预算总体目标</w:t>
            </w:r>
          </w:p>
        </w:tc>
        <w:tc>
          <w:tcPr>
            <w:tcW w:w="3295" w:type="dxa"/>
            <w:gridSpan w:val="2"/>
            <w:noWrap/>
            <w:vAlign w:val="center"/>
          </w:tcPr>
          <w:p>
            <w:pPr>
              <w:widowControl/>
              <w:spacing w:line="40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预算总体目标执行结果</w:t>
            </w:r>
          </w:p>
        </w:tc>
        <w:tc>
          <w:tcPr>
            <w:tcW w:w="3273" w:type="dxa"/>
            <w:gridSpan w:val="2"/>
            <w:noWrap/>
            <w:vAlign w:val="center"/>
          </w:tcPr>
          <w:p>
            <w:pPr>
              <w:widowControl/>
              <w:spacing w:line="40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预算总体目标与预算总体目标</w:t>
            </w:r>
          </w:p>
          <w:p>
            <w:pPr>
              <w:widowControl/>
              <w:spacing w:line="40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400" w:lineRule="exact"/>
              <w:jc w:val="left"/>
              <w:rPr>
                <w:rFonts w:hint="default" w:ascii="Times New Roman" w:hAnsi="Times New Roman" w:cs="Times New Roman"/>
                <w:color w:val="auto"/>
                <w:kern w:val="0"/>
                <w:sz w:val="21"/>
                <w:szCs w:val="21"/>
              </w:rPr>
            </w:pPr>
          </w:p>
        </w:tc>
        <w:tc>
          <w:tcPr>
            <w:tcW w:w="2475"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rPr>
              <w:t>目标1:</w:t>
            </w:r>
            <w:r>
              <w:rPr>
                <w:rFonts w:hint="default" w:ascii="Times New Roman" w:hAnsi="Times New Roman" w:cs="Times New Roman"/>
                <w:color w:val="auto"/>
                <w:kern w:val="0"/>
                <w:sz w:val="21"/>
                <w:szCs w:val="21"/>
                <w:lang w:eastAsia="zh-CN"/>
              </w:rPr>
              <w:t>及时有效化解群众各类矛盾纠纷，做好治重化积工作。</w:t>
            </w:r>
          </w:p>
        </w:tc>
        <w:tc>
          <w:tcPr>
            <w:tcW w:w="3295"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rPr>
              <w:t>　</w:t>
            </w:r>
            <w:r>
              <w:rPr>
                <w:rFonts w:hint="default" w:ascii="Times New Roman" w:hAnsi="Times New Roman" w:cs="Times New Roman"/>
                <w:color w:val="auto"/>
                <w:kern w:val="0"/>
                <w:sz w:val="21"/>
                <w:szCs w:val="21"/>
                <w:lang w:eastAsia="zh-CN"/>
              </w:rPr>
              <w:t>基本完成</w:t>
            </w:r>
          </w:p>
        </w:tc>
        <w:tc>
          <w:tcPr>
            <w:tcW w:w="3273"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both"/>
              <w:textAlignment w:val="auto"/>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bidi="ar-SA"/>
              </w:rPr>
              <w:t>202</w:t>
            </w:r>
            <w:r>
              <w:rPr>
                <w:rFonts w:hint="eastAsia" w:cs="Times New Roman"/>
                <w:color w:val="auto"/>
                <w:kern w:val="0"/>
                <w:sz w:val="21"/>
                <w:szCs w:val="21"/>
                <w:lang w:val="en-US" w:eastAsia="zh-CN" w:bidi="ar-SA"/>
              </w:rPr>
              <w:t>3</w:t>
            </w:r>
            <w:r>
              <w:rPr>
                <w:rFonts w:hint="default" w:ascii="Times New Roman" w:hAnsi="Times New Roman" w:cs="Times New Roman"/>
                <w:color w:val="auto"/>
                <w:kern w:val="0"/>
                <w:sz w:val="21"/>
                <w:szCs w:val="21"/>
                <w:lang w:val="en-US" w:eastAsia="zh-CN" w:bidi="ar-SA"/>
              </w:rPr>
              <w:t>年中央交办治重化积案件</w:t>
            </w:r>
            <w:r>
              <w:rPr>
                <w:rFonts w:hint="eastAsia" w:cs="Times New Roman"/>
                <w:color w:val="auto"/>
                <w:kern w:val="0"/>
                <w:sz w:val="21"/>
                <w:szCs w:val="21"/>
                <w:lang w:val="en-US" w:eastAsia="zh-CN" w:bidi="ar-SA"/>
              </w:rPr>
              <w:t>2</w:t>
            </w:r>
            <w:r>
              <w:rPr>
                <w:rFonts w:hint="default" w:ascii="Times New Roman" w:hAnsi="Times New Roman" w:cs="Times New Roman"/>
                <w:color w:val="auto"/>
                <w:kern w:val="0"/>
                <w:sz w:val="21"/>
                <w:szCs w:val="21"/>
                <w:lang w:val="en-US" w:eastAsia="zh-CN" w:bidi="ar-SA"/>
              </w:rPr>
              <w:t>件，到202</w:t>
            </w:r>
            <w:r>
              <w:rPr>
                <w:rFonts w:hint="eastAsia" w:cs="Times New Roman"/>
                <w:color w:val="auto"/>
                <w:kern w:val="0"/>
                <w:sz w:val="21"/>
                <w:szCs w:val="21"/>
                <w:lang w:val="en-US" w:eastAsia="zh-CN" w:bidi="ar-SA"/>
              </w:rPr>
              <w:t>3</w:t>
            </w:r>
            <w:r>
              <w:rPr>
                <w:rFonts w:hint="default" w:ascii="Times New Roman" w:hAnsi="Times New Roman" w:cs="Times New Roman"/>
                <w:color w:val="auto"/>
                <w:kern w:val="0"/>
                <w:sz w:val="21"/>
                <w:szCs w:val="21"/>
                <w:lang w:val="en-US" w:eastAsia="zh-CN" w:bidi="ar-SA"/>
              </w:rPr>
              <w:t>年底全部上报化解。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400" w:lineRule="exact"/>
              <w:jc w:val="left"/>
              <w:rPr>
                <w:rFonts w:hint="default" w:ascii="Times New Roman" w:hAnsi="Times New Roman" w:cs="Times New Roman"/>
                <w:color w:val="auto"/>
                <w:kern w:val="0"/>
                <w:sz w:val="21"/>
                <w:szCs w:val="21"/>
              </w:rPr>
            </w:pPr>
          </w:p>
        </w:tc>
        <w:tc>
          <w:tcPr>
            <w:tcW w:w="2475"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rPr>
              <w:t>目标2:</w:t>
            </w:r>
            <w:r>
              <w:rPr>
                <w:rFonts w:hint="default" w:ascii="Times New Roman" w:hAnsi="Times New Roman" w:cs="Times New Roman"/>
                <w:color w:val="auto"/>
                <w:kern w:val="0"/>
                <w:sz w:val="21"/>
                <w:szCs w:val="21"/>
                <w:lang w:eastAsia="zh-CN"/>
              </w:rPr>
              <w:t>防止信访上行，控总量，防增量，确保重要敏感节点</w:t>
            </w:r>
            <w:r>
              <w:rPr>
                <w:rFonts w:hint="default" w:ascii="Times New Roman" w:hAnsi="Times New Roman" w:cs="Times New Roman"/>
                <w:color w:val="auto"/>
                <w:kern w:val="0"/>
                <w:sz w:val="21"/>
                <w:szCs w:val="21"/>
                <w:lang w:val="en-US" w:eastAsia="zh-CN"/>
              </w:rPr>
              <w:t>零到省零进京。</w:t>
            </w:r>
          </w:p>
        </w:tc>
        <w:tc>
          <w:tcPr>
            <w:tcW w:w="3295"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rPr>
              <w:t>　</w:t>
            </w:r>
            <w:r>
              <w:rPr>
                <w:rFonts w:hint="default" w:ascii="Times New Roman" w:hAnsi="Times New Roman" w:cs="Times New Roman"/>
                <w:color w:val="auto"/>
                <w:kern w:val="0"/>
                <w:sz w:val="21"/>
                <w:szCs w:val="21"/>
                <w:lang w:eastAsia="zh-CN"/>
              </w:rPr>
              <w:t>基本完成</w:t>
            </w:r>
          </w:p>
        </w:tc>
        <w:tc>
          <w:tcPr>
            <w:tcW w:w="3273"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rPr>
              <w:t>202</w:t>
            </w:r>
            <w:r>
              <w:rPr>
                <w:rFonts w:hint="eastAsia" w:cs="Times New Roman"/>
                <w:color w:val="auto"/>
                <w:kern w:val="0"/>
                <w:sz w:val="21"/>
                <w:szCs w:val="21"/>
                <w:lang w:val="en-US" w:eastAsia="zh-CN"/>
              </w:rPr>
              <w:t>3</w:t>
            </w:r>
            <w:r>
              <w:rPr>
                <w:rFonts w:hint="default" w:ascii="Times New Roman" w:hAnsi="Times New Roman" w:cs="Times New Roman"/>
                <w:color w:val="auto"/>
                <w:kern w:val="0"/>
                <w:sz w:val="21"/>
                <w:szCs w:val="21"/>
                <w:lang w:val="en-US" w:eastAsia="zh-CN"/>
              </w:rPr>
              <w:t>年进京走访</w:t>
            </w:r>
            <w:r>
              <w:rPr>
                <w:rFonts w:hint="eastAsia" w:cs="Times New Roman"/>
                <w:color w:val="auto"/>
                <w:kern w:val="0"/>
                <w:sz w:val="21"/>
                <w:szCs w:val="21"/>
                <w:lang w:val="en-US" w:eastAsia="zh-CN"/>
              </w:rPr>
              <w:t>5</w:t>
            </w:r>
            <w:r>
              <w:rPr>
                <w:rFonts w:hint="default" w:ascii="Times New Roman" w:hAnsi="Times New Roman" w:cs="Times New Roman"/>
                <w:color w:val="auto"/>
                <w:kern w:val="0"/>
                <w:sz w:val="21"/>
                <w:szCs w:val="21"/>
                <w:lang w:val="en-US" w:eastAsia="zh-CN"/>
              </w:rPr>
              <w:t>批</w:t>
            </w:r>
            <w:r>
              <w:rPr>
                <w:rFonts w:hint="eastAsia" w:cs="Times New Roman"/>
                <w:color w:val="auto"/>
                <w:kern w:val="0"/>
                <w:sz w:val="21"/>
                <w:szCs w:val="21"/>
                <w:lang w:val="en-US" w:eastAsia="zh-CN"/>
              </w:rPr>
              <w:t>5</w:t>
            </w:r>
            <w:r>
              <w:rPr>
                <w:rFonts w:hint="default" w:ascii="Times New Roman" w:hAnsi="Times New Roman" w:cs="Times New Roman"/>
                <w:color w:val="auto"/>
                <w:kern w:val="0"/>
                <w:sz w:val="21"/>
                <w:szCs w:val="21"/>
                <w:lang w:val="en-US" w:eastAsia="zh-CN"/>
              </w:rPr>
              <w:t>人次，到省走访</w:t>
            </w:r>
            <w:r>
              <w:rPr>
                <w:rFonts w:hint="eastAsia" w:cs="Times New Roman"/>
                <w:color w:val="auto"/>
                <w:kern w:val="0"/>
                <w:sz w:val="21"/>
                <w:szCs w:val="21"/>
                <w:lang w:val="en-US" w:eastAsia="zh-CN"/>
              </w:rPr>
              <w:t>54</w:t>
            </w:r>
            <w:r>
              <w:rPr>
                <w:rFonts w:hint="default" w:ascii="Times New Roman" w:hAnsi="Times New Roman" w:cs="Times New Roman"/>
                <w:color w:val="auto"/>
                <w:kern w:val="0"/>
                <w:sz w:val="21"/>
                <w:szCs w:val="21"/>
                <w:lang w:val="en-US" w:eastAsia="zh-CN"/>
              </w:rPr>
              <w:t>批</w:t>
            </w:r>
            <w:r>
              <w:rPr>
                <w:rFonts w:hint="eastAsia" w:cs="Times New Roman"/>
                <w:color w:val="auto"/>
                <w:kern w:val="0"/>
                <w:sz w:val="21"/>
                <w:szCs w:val="21"/>
                <w:lang w:val="en-US" w:eastAsia="zh-CN"/>
              </w:rPr>
              <w:t>62</w:t>
            </w:r>
            <w:r>
              <w:rPr>
                <w:rFonts w:hint="default" w:ascii="Times New Roman" w:hAnsi="Times New Roman" w:cs="Times New Roman"/>
                <w:color w:val="auto"/>
                <w:kern w:val="0"/>
                <w:sz w:val="21"/>
                <w:szCs w:val="21"/>
                <w:lang w:val="en-US" w:eastAsia="zh-CN"/>
              </w:rPr>
              <w:t>人次。重要敏感节点无人员走访登记。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787" w:type="dxa"/>
            <w:vMerge w:val="continue"/>
            <w:noWrap w:val="0"/>
            <w:vAlign w:val="center"/>
          </w:tcPr>
          <w:p>
            <w:pPr>
              <w:widowControl/>
              <w:spacing w:line="400" w:lineRule="exact"/>
              <w:jc w:val="left"/>
              <w:rPr>
                <w:rFonts w:hint="default" w:ascii="Times New Roman" w:hAnsi="Times New Roman" w:cs="Times New Roman"/>
                <w:color w:val="auto"/>
                <w:kern w:val="0"/>
                <w:sz w:val="21"/>
                <w:szCs w:val="21"/>
              </w:rPr>
            </w:pPr>
          </w:p>
        </w:tc>
        <w:tc>
          <w:tcPr>
            <w:tcW w:w="2475"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rPr>
              <w:t>目标3:</w:t>
            </w:r>
            <w:r>
              <w:rPr>
                <w:rFonts w:hint="default" w:ascii="Times New Roman" w:hAnsi="Times New Roman" w:eastAsia="宋体" w:cs="Times New Roman"/>
                <w:color w:val="auto"/>
                <w:kern w:val="0"/>
                <w:sz w:val="21"/>
                <w:szCs w:val="21"/>
              </w:rPr>
              <w:t>进一步促进党和人民群众的血肉联系，提高了人民群众满意度。</w:t>
            </w:r>
          </w:p>
        </w:tc>
        <w:tc>
          <w:tcPr>
            <w:tcW w:w="3295"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eastAsia="zh-CN"/>
              </w:rPr>
              <w:t>已完成</w:t>
            </w:r>
            <w:r>
              <w:rPr>
                <w:rFonts w:hint="default" w:ascii="Times New Roman" w:hAnsi="Times New Roman" w:cs="Times New Roman"/>
                <w:color w:val="auto"/>
                <w:kern w:val="0"/>
                <w:sz w:val="21"/>
                <w:szCs w:val="21"/>
              </w:rPr>
              <w:t>　</w:t>
            </w:r>
          </w:p>
        </w:tc>
        <w:tc>
          <w:tcPr>
            <w:tcW w:w="3273" w:type="dxa"/>
            <w:gridSpan w:val="2"/>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lang w:val="en-US" w:eastAsia="zh-CN" w:bidi="ar-SA"/>
              </w:rPr>
              <w:t>群众满意率</w:t>
            </w:r>
            <w:r>
              <w:rPr>
                <w:rFonts w:hint="default" w:ascii="Times New Roman" w:hAnsi="Times New Roman" w:eastAsia="宋体" w:cs="Times New Roman"/>
                <w:color w:val="auto"/>
                <w:kern w:val="0"/>
                <w:sz w:val="21"/>
                <w:szCs w:val="21"/>
                <w:lang w:val="en-US" w:eastAsia="zh-CN" w:bidi="ar-SA"/>
              </w:rPr>
              <w:t>≧</w:t>
            </w:r>
            <w:r>
              <w:rPr>
                <w:rFonts w:hint="default" w:ascii="Times New Roman" w:hAnsi="Times New Roman" w:cs="Times New Roman"/>
                <w:color w:val="auto"/>
                <w:kern w:val="0"/>
                <w:sz w:val="21"/>
                <w:szCs w:val="21"/>
                <w:lang w:val="en-US" w:eastAsia="zh-CN" w:bidi="ar-SA"/>
              </w:rPr>
              <w:t>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atLeast"/>
          <w:jc w:val="center"/>
        </w:trPr>
        <w:tc>
          <w:tcPr>
            <w:tcW w:w="787"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年度绩效指标</w:t>
            </w:r>
          </w:p>
        </w:tc>
        <w:tc>
          <w:tcPr>
            <w:tcW w:w="1218" w:type="dxa"/>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一级指标</w:t>
            </w:r>
          </w:p>
        </w:tc>
        <w:tc>
          <w:tcPr>
            <w:tcW w:w="1257" w:type="dxa"/>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二级指标</w:t>
            </w:r>
          </w:p>
        </w:tc>
        <w:tc>
          <w:tcPr>
            <w:tcW w:w="1400" w:type="dxa"/>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三级指标</w:t>
            </w:r>
          </w:p>
        </w:tc>
        <w:tc>
          <w:tcPr>
            <w:tcW w:w="1895" w:type="dxa"/>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预算指标值(包含数字及文字描述)</w:t>
            </w:r>
          </w:p>
        </w:tc>
        <w:tc>
          <w:tcPr>
            <w:tcW w:w="1531" w:type="dxa"/>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预算指标值执行结果(包含数字及文字描述)</w:t>
            </w:r>
          </w:p>
        </w:tc>
        <w:tc>
          <w:tcPr>
            <w:tcW w:w="1742" w:type="dxa"/>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完成</w:t>
            </w:r>
          </w:p>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指标</w:t>
            </w:r>
          </w:p>
        </w:tc>
        <w:tc>
          <w:tcPr>
            <w:tcW w:w="1257"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数量</w:t>
            </w:r>
          </w:p>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指标</w:t>
            </w: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指标1:</w:t>
            </w:r>
            <w:r>
              <w:rPr>
                <w:rFonts w:hint="default" w:ascii="Times New Roman" w:hAnsi="Times New Roman" w:eastAsia="宋体" w:cs="Times New Roman"/>
                <w:color w:val="auto"/>
                <w:kern w:val="0"/>
                <w:sz w:val="21"/>
                <w:szCs w:val="21"/>
                <w:lang w:eastAsia="zh-CN"/>
              </w:rPr>
              <w:t>制发相关文件</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eastAsia="zh-CN"/>
              </w:rPr>
              <w:t>制发</w:t>
            </w:r>
            <w:r>
              <w:rPr>
                <w:rFonts w:hint="default" w:ascii="Times New Roman" w:hAnsi="Times New Roman" w:eastAsia="宋体" w:cs="Times New Roman"/>
                <w:color w:val="auto"/>
                <w:kern w:val="0"/>
                <w:sz w:val="21"/>
                <w:szCs w:val="21"/>
              </w:rPr>
              <w:t>《关于做好202</w:t>
            </w:r>
            <w:r>
              <w:rPr>
                <w:rFonts w:hint="eastAsia" w:cs="Times New Roman"/>
                <w:color w:val="auto"/>
                <w:kern w:val="0"/>
                <w:sz w:val="21"/>
                <w:szCs w:val="21"/>
                <w:lang w:val="en-US" w:eastAsia="zh-CN"/>
              </w:rPr>
              <w:t>3</w:t>
            </w:r>
            <w:r>
              <w:rPr>
                <w:rFonts w:hint="default" w:ascii="Times New Roman" w:hAnsi="Times New Roman" w:eastAsia="宋体" w:cs="Times New Roman"/>
                <w:color w:val="auto"/>
                <w:kern w:val="0"/>
                <w:sz w:val="21"/>
                <w:szCs w:val="21"/>
              </w:rPr>
              <w:t>年党政领导干部接访工作的通知》</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1个</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指标2:</w:t>
            </w:r>
            <w:r>
              <w:rPr>
                <w:rFonts w:hint="default" w:ascii="Times New Roman" w:hAnsi="Times New Roman" w:eastAsia="宋体" w:cs="Times New Roman"/>
                <w:color w:val="auto"/>
                <w:kern w:val="0"/>
                <w:sz w:val="21"/>
                <w:szCs w:val="21"/>
                <w:lang w:eastAsia="zh-CN"/>
              </w:rPr>
              <w:t>开展专题活动</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开展专题学习宣传活动、业务培训活动</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12次</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w:t>
            </w:r>
            <w:r>
              <w:rPr>
                <w:rFonts w:hint="default" w:ascii="Times New Roman" w:hAnsi="Times New Roman" w:eastAsia="宋体" w:cs="Times New Roman"/>
                <w:color w:val="auto"/>
                <w:kern w:val="0"/>
                <w:sz w:val="21"/>
                <w:szCs w:val="21"/>
                <w:lang w:val="en-US" w:eastAsia="zh-CN"/>
              </w:rPr>
              <w:t>3</w:t>
            </w: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color w:val="auto"/>
                <w:kern w:val="0"/>
                <w:sz w:val="21"/>
                <w:szCs w:val="21"/>
                <w:lang w:eastAsia="zh-CN"/>
              </w:rPr>
              <w:t>化解信访积案难案</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bidi="ar-SA"/>
              </w:rPr>
              <w:t>202</w:t>
            </w:r>
            <w:r>
              <w:rPr>
                <w:rFonts w:hint="eastAsia" w:cs="Times New Roman"/>
                <w:color w:val="auto"/>
                <w:kern w:val="0"/>
                <w:sz w:val="21"/>
                <w:szCs w:val="21"/>
                <w:lang w:val="en-US" w:eastAsia="zh-CN" w:bidi="ar-SA"/>
              </w:rPr>
              <w:t>3</w:t>
            </w:r>
            <w:r>
              <w:rPr>
                <w:rFonts w:hint="default" w:ascii="Times New Roman" w:hAnsi="Times New Roman" w:cs="Times New Roman"/>
                <w:color w:val="auto"/>
                <w:kern w:val="0"/>
                <w:sz w:val="21"/>
                <w:szCs w:val="21"/>
                <w:lang w:val="en-US" w:eastAsia="zh-CN" w:bidi="ar-SA"/>
              </w:rPr>
              <w:t>年中央交办治重化积案件</w:t>
            </w:r>
            <w:r>
              <w:rPr>
                <w:rFonts w:hint="eastAsia" w:cs="Times New Roman"/>
                <w:color w:val="auto"/>
                <w:kern w:val="0"/>
                <w:sz w:val="21"/>
                <w:szCs w:val="21"/>
                <w:lang w:val="en-US" w:eastAsia="zh-CN" w:bidi="ar-SA"/>
              </w:rPr>
              <w:t>2</w:t>
            </w:r>
            <w:r>
              <w:rPr>
                <w:rFonts w:hint="default" w:ascii="Times New Roman" w:hAnsi="Times New Roman" w:cs="Times New Roman"/>
                <w:color w:val="auto"/>
                <w:kern w:val="0"/>
                <w:sz w:val="21"/>
                <w:szCs w:val="21"/>
                <w:lang w:val="en-US" w:eastAsia="zh-CN" w:bidi="ar-SA"/>
              </w:rPr>
              <w:t>件,其他信访积案难案</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both"/>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w:t>
            </w:r>
            <w:r>
              <w:rPr>
                <w:rFonts w:hint="default" w:ascii="Times New Roman" w:hAnsi="Times New Roman" w:cs="Times New Roman"/>
                <w:color w:val="auto"/>
                <w:kern w:val="0"/>
                <w:sz w:val="21"/>
                <w:szCs w:val="21"/>
                <w:lang w:val="en-US" w:eastAsia="zh-CN"/>
              </w:rPr>
              <w:t>100</w:t>
            </w:r>
            <w:r>
              <w:rPr>
                <w:rFonts w:hint="default" w:ascii="Times New Roman" w:hAnsi="Times New Roman" w:eastAsia="宋体" w:cs="Times New Roman"/>
                <w:color w:val="auto"/>
                <w:kern w:val="0"/>
                <w:sz w:val="21"/>
                <w:szCs w:val="21"/>
                <w:lang w:val="en-US" w:eastAsia="zh-CN"/>
              </w:rPr>
              <w:t>件</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w:t>
            </w:r>
            <w:r>
              <w:rPr>
                <w:rFonts w:hint="default" w:ascii="Times New Roman" w:hAnsi="Times New Roman" w:cs="Times New Roman"/>
                <w:color w:val="auto"/>
                <w:kern w:val="0"/>
                <w:sz w:val="21"/>
                <w:szCs w:val="21"/>
                <w:lang w:val="en-US" w:eastAsia="zh-CN"/>
              </w:rPr>
              <w:t>4</w:t>
            </w: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color w:val="auto"/>
                <w:kern w:val="0"/>
                <w:sz w:val="21"/>
                <w:szCs w:val="21"/>
                <w:lang w:eastAsia="zh-CN"/>
              </w:rPr>
              <w:t>开展</w:t>
            </w:r>
            <w:r>
              <w:rPr>
                <w:rFonts w:hint="default" w:ascii="Times New Roman" w:hAnsi="Times New Roman" w:cs="Times New Roman"/>
                <w:color w:val="auto"/>
                <w:kern w:val="0"/>
                <w:sz w:val="21"/>
                <w:szCs w:val="21"/>
                <w:lang w:eastAsia="zh-CN"/>
              </w:rPr>
              <w:t>信访</w:t>
            </w:r>
            <w:r>
              <w:rPr>
                <w:rFonts w:hint="default" w:ascii="Times New Roman" w:hAnsi="Times New Roman" w:eastAsia="宋体" w:cs="Times New Roman"/>
                <w:color w:val="auto"/>
                <w:kern w:val="0"/>
                <w:sz w:val="21"/>
                <w:szCs w:val="21"/>
                <w:lang w:eastAsia="zh-CN"/>
              </w:rPr>
              <w:t>专项督查</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深入基层开展带案调研、专题调研等调查研究</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both"/>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w:t>
            </w:r>
            <w:r>
              <w:rPr>
                <w:rFonts w:hint="default" w:ascii="Times New Roman" w:hAnsi="Times New Roman" w:cs="Times New Roman"/>
                <w:color w:val="auto"/>
                <w:kern w:val="0"/>
                <w:sz w:val="21"/>
                <w:szCs w:val="21"/>
                <w:lang w:val="en-US" w:eastAsia="zh-CN"/>
              </w:rPr>
              <w:t>40</w:t>
            </w:r>
            <w:r>
              <w:rPr>
                <w:rFonts w:hint="default" w:ascii="Times New Roman" w:hAnsi="Times New Roman" w:eastAsia="宋体" w:cs="Times New Roman"/>
                <w:color w:val="auto"/>
                <w:kern w:val="0"/>
                <w:sz w:val="21"/>
                <w:szCs w:val="21"/>
                <w:lang w:val="en-US" w:eastAsia="zh-CN"/>
              </w:rPr>
              <w:t>次</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w:t>
            </w:r>
            <w:r>
              <w:rPr>
                <w:rFonts w:hint="default" w:ascii="Times New Roman" w:hAnsi="Times New Roman" w:cs="Times New Roman"/>
                <w:color w:val="auto"/>
                <w:kern w:val="0"/>
                <w:sz w:val="21"/>
                <w:szCs w:val="21"/>
                <w:lang w:val="en-US" w:eastAsia="zh-CN"/>
              </w:rPr>
              <w:t>5</w:t>
            </w:r>
            <w:r>
              <w:rPr>
                <w:rFonts w:hint="default" w:ascii="Times New Roman" w:hAnsi="Times New Roman" w:eastAsia="宋体" w:cs="Times New Roman"/>
                <w:color w:val="auto"/>
                <w:kern w:val="0"/>
                <w:sz w:val="21"/>
                <w:szCs w:val="21"/>
              </w:rPr>
              <w:t>:</w:t>
            </w:r>
            <w:r>
              <w:rPr>
                <w:rFonts w:hint="default" w:ascii="Times New Roman" w:hAnsi="Times New Roman" w:cs="Times New Roman"/>
                <w:color w:val="auto"/>
                <w:kern w:val="0"/>
                <w:sz w:val="21"/>
                <w:szCs w:val="21"/>
                <w:lang w:eastAsia="zh-CN"/>
              </w:rPr>
              <w:t>重要敏感节点</w:t>
            </w:r>
            <w:r>
              <w:rPr>
                <w:rFonts w:hint="default" w:ascii="Times New Roman" w:hAnsi="Times New Roman" w:eastAsia="宋体" w:cs="Times New Roman"/>
                <w:color w:val="auto"/>
                <w:kern w:val="0"/>
                <w:sz w:val="21"/>
                <w:szCs w:val="21"/>
                <w:lang w:eastAsia="zh-CN"/>
              </w:rPr>
              <w:t>开展矛盾纠纷排查</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开展矛盾纠纷摸排行动</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both"/>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w:t>
            </w:r>
            <w:r>
              <w:rPr>
                <w:rFonts w:hint="eastAsia" w:cs="Times New Roman"/>
                <w:color w:val="auto"/>
                <w:kern w:val="0"/>
                <w:sz w:val="21"/>
                <w:szCs w:val="21"/>
                <w:lang w:val="en-US" w:eastAsia="zh-CN"/>
              </w:rPr>
              <w:t>6</w:t>
            </w:r>
            <w:r>
              <w:rPr>
                <w:rFonts w:hint="default" w:ascii="Times New Roman" w:hAnsi="Times New Roman" w:eastAsia="宋体" w:cs="Times New Roman"/>
                <w:color w:val="auto"/>
                <w:kern w:val="0"/>
                <w:sz w:val="21"/>
                <w:szCs w:val="21"/>
                <w:lang w:val="en-US" w:eastAsia="zh-CN"/>
              </w:rPr>
              <w:t>次</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质量</w:t>
            </w:r>
          </w:p>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指标</w:t>
            </w: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指标1:</w:t>
            </w:r>
            <w:r>
              <w:rPr>
                <w:rFonts w:hint="default" w:ascii="Times New Roman" w:hAnsi="Times New Roman" w:eastAsia="宋体" w:cs="Times New Roman"/>
                <w:color w:val="auto"/>
                <w:kern w:val="0"/>
                <w:sz w:val="21"/>
                <w:szCs w:val="21"/>
                <w:lang w:eastAsia="zh-CN"/>
              </w:rPr>
              <w:t>规范办理流程</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对来访、来信、网上投诉按时、规范办理</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99%</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指标2:</w:t>
            </w:r>
            <w:r>
              <w:rPr>
                <w:rFonts w:hint="default" w:ascii="Times New Roman" w:hAnsi="Times New Roman" w:eastAsia="宋体" w:cs="Times New Roman"/>
                <w:color w:val="auto"/>
                <w:kern w:val="0"/>
                <w:sz w:val="21"/>
                <w:szCs w:val="21"/>
                <w:lang w:eastAsia="zh-CN"/>
              </w:rPr>
              <w:t>提高按期办结率</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对来访、来信、网上投诉信访事件按期办结</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99%</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w:t>
            </w:r>
            <w:r>
              <w:rPr>
                <w:rFonts w:hint="default" w:ascii="Times New Roman" w:hAnsi="Times New Roman" w:eastAsia="宋体" w:cs="Times New Roman"/>
                <w:color w:val="auto"/>
                <w:kern w:val="0"/>
                <w:sz w:val="21"/>
                <w:szCs w:val="21"/>
                <w:lang w:val="en-US" w:eastAsia="zh-CN"/>
              </w:rPr>
              <w:t>3</w:t>
            </w: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color w:val="auto"/>
                <w:kern w:val="0"/>
                <w:sz w:val="21"/>
                <w:szCs w:val="21"/>
                <w:lang w:eastAsia="zh-CN"/>
              </w:rPr>
              <w:t>提高群众满意率</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信访基础业务满意度评价参评率达标</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lang w:val="en-US" w:eastAsia="zh-CN"/>
              </w:rPr>
              <w:t>98%</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w:t>
            </w:r>
            <w:r>
              <w:rPr>
                <w:rFonts w:hint="default" w:ascii="Times New Roman" w:hAnsi="Times New Roman" w:eastAsia="宋体" w:cs="Times New Roman"/>
                <w:color w:val="auto"/>
                <w:kern w:val="0"/>
                <w:sz w:val="21"/>
                <w:szCs w:val="21"/>
                <w:lang w:val="en-US" w:eastAsia="zh-CN"/>
              </w:rPr>
              <w:t>4</w:t>
            </w:r>
            <w:r>
              <w:rPr>
                <w:rFonts w:hint="default" w:ascii="Times New Roman" w:hAnsi="Times New Roman" w:eastAsia="宋体" w:cs="Times New Roman"/>
                <w:color w:val="auto"/>
                <w:kern w:val="0"/>
                <w:sz w:val="21"/>
                <w:szCs w:val="21"/>
              </w:rPr>
              <w:t>:</w:t>
            </w:r>
            <w:r>
              <w:rPr>
                <w:rFonts w:hint="default" w:ascii="Times New Roman" w:hAnsi="Times New Roman" w:cs="Times New Roman"/>
                <w:color w:val="auto"/>
                <w:kern w:val="0"/>
                <w:sz w:val="21"/>
                <w:szCs w:val="21"/>
                <w:lang w:eastAsia="zh-CN"/>
              </w:rPr>
              <w:t>畅通</w:t>
            </w:r>
            <w:r>
              <w:rPr>
                <w:rFonts w:hint="default" w:ascii="Times New Roman" w:hAnsi="Times New Roman" w:eastAsia="宋体" w:cs="Times New Roman"/>
                <w:color w:val="auto"/>
                <w:kern w:val="0"/>
                <w:sz w:val="21"/>
                <w:szCs w:val="21"/>
                <w:lang w:eastAsia="zh-CN"/>
              </w:rPr>
              <w:t>信息渠道</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不发生访情信息迟报、误报、漏报、瞒报的情形</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0起</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w:t>
            </w:r>
            <w:r>
              <w:rPr>
                <w:rFonts w:hint="default" w:ascii="Times New Roman" w:hAnsi="Times New Roman" w:eastAsia="宋体" w:cs="Times New Roman"/>
                <w:color w:val="auto"/>
                <w:kern w:val="0"/>
                <w:sz w:val="21"/>
                <w:szCs w:val="21"/>
                <w:lang w:val="en-US" w:eastAsia="zh-CN"/>
              </w:rPr>
              <w:t>5</w:t>
            </w: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color w:val="auto"/>
                <w:kern w:val="0"/>
                <w:sz w:val="21"/>
                <w:szCs w:val="21"/>
                <w:lang w:eastAsia="zh-CN"/>
              </w:rPr>
              <w:t>确保</w:t>
            </w:r>
            <w:r>
              <w:rPr>
                <w:rFonts w:hint="default" w:ascii="Times New Roman" w:hAnsi="Times New Roman" w:cs="Times New Roman"/>
                <w:color w:val="auto"/>
                <w:kern w:val="0"/>
                <w:sz w:val="21"/>
                <w:szCs w:val="21"/>
                <w:lang w:eastAsia="zh-CN"/>
              </w:rPr>
              <w:t>重点</w:t>
            </w:r>
            <w:r>
              <w:rPr>
                <w:rFonts w:hint="default" w:ascii="Times New Roman" w:hAnsi="Times New Roman" w:eastAsia="宋体" w:cs="Times New Roman"/>
                <w:color w:val="auto"/>
                <w:kern w:val="0"/>
                <w:sz w:val="21"/>
                <w:szCs w:val="21"/>
                <w:lang w:eastAsia="zh-CN"/>
              </w:rPr>
              <w:t>人员吸附在当地</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不发生赴省进京集访，且不服从调度组织接劝返工作的事件</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0起</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w:t>
            </w:r>
            <w:r>
              <w:rPr>
                <w:rFonts w:hint="default" w:ascii="Times New Roman" w:hAnsi="Times New Roman" w:eastAsia="宋体" w:cs="Times New Roman"/>
                <w:color w:val="auto"/>
                <w:kern w:val="0"/>
                <w:sz w:val="21"/>
                <w:szCs w:val="21"/>
                <w:lang w:val="en-US" w:eastAsia="zh-CN"/>
              </w:rPr>
              <w:t>6</w:t>
            </w: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color w:val="auto"/>
                <w:kern w:val="0"/>
                <w:sz w:val="21"/>
                <w:szCs w:val="21"/>
                <w:lang w:eastAsia="zh-CN"/>
              </w:rPr>
              <w:t>确保社会稳定</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不发生重特大群体性事件</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0起</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w:t>
            </w:r>
            <w:r>
              <w:rPr>
                <w:rFonts w:hint="default" w:ascii="Times New Roman" w:hAnsi="Times New Roman" w:eastAsia="宋体" w:cs="Times New Roman"/>
                <w:color w:val="auto"/>
                <w:kern w:val="0"/>
                <w:sz w:val="21"/>
                <w:szCs w:val="21"/>
                <w:lang w:val="en-US" w:eastAsia="zh-CN"/>
              </w:rPr>
              <w:t>7</w:t>
            </w: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color w:val="auto"/>
                <w:kern w:val="0"/>
                <w:sz w:val="21"/>
                <w:szCs w:val="21"/>
                <w:lang w:eastAsia="zh-CN"/>
              </w:rPr>
              <w:t>确保社会稳定</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不发生非访、滋事和负面舆情</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0起</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时效</w:t>
            </w:r>
          </w:p>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指标</w:t>
            </w: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指标1:</w:t>
            </w:r>
            <w:r>
              <w:rPr>
                <w:rFonts w:hint="default" w:ascii="Times New Roman" w:hAnsi="Times New Roman" w:eastAsia="宋体" w:cs="Times New Roman"/>
                <w:color w:val="auto"/>
                <w:kern w:val="0"/>
                <w:sz w:val="21"/>
                <w:szCs w:val="21"/>
                <w:lang w:eastAsia="zh-CN"/>
              </w:rPr>
              <w:t>制发相关文件</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eastAsia="zh-CN"/>
              </w:rPr>
              <w:t>制发</w:t>
            </w:r>
            <w:r>
              <w:rPr>
                <w:rFonts w:hint="default" w:ascii="Times New Roman" w:hAnsi="Times New Roman" w:eastAsia="宋体" w:cs="Times New Roman"/>
                <w:color w:val="auto"/>
                <w:kern w:val="0"/>
                <w:sz w:val="21"/>
                <w:szCs w:val="21"/>
              </w:rPr>
              <w:t>《关于做好202</w:t>
            </w:r>
            <w:r>
              <w:rPr>
                <w:rFonts w:hint="eastAsia" w:cs="Times New Roman"/>
                <w:color w:val="auto"/>
                <w:kern w:val="0"/>
                <w:sz w:val="21"/>
                <w:szCs w:val="21"/>
                <w:lang w:val="en-US" w:eastAsia="zh-CN"/>
              </w:rPr>
              <w:t>3</w:t>
            </w:r>
            <w:r>
              <w:rPr>
                <w:rFonts w:hint="default" w:ascii="Times New Roman" w:hAnsi="Times New Roman" w:eastAsia="宋体" w:cs="Times New Roman"/>
                <w:color w:val="auto"/>
                <w:kern w:val="0"/>
                <w:sz w:val="21"/>
                <w:szCs w:val="21"/>
              </w:rPr>
              <w:t>年党政领导干部接访工作的通知》</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1个</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指标2:</w:t>
            </w:r>
            <w:r>
              <w:rPr>
                <w:rFonts w:hint="default" w:ascii="Times New Roman" w:hAnsi="Times New Roman" w:eastAsia="宋体" w:cs="Times New Roman"/>
                <w:color w:val="auto"/>
                <w:kern w:val="0"/>
                <w:sz w:val="21"/>
                <w:szCs w:val="21"/>
                <w:lang w:eastAsia="zh-CN"/>
              </w:rPr>
              <w:t>化解信访积案难案</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化解</w:t>
            </w:r>
            <w:r>
              <w:rPr>
                <w:rFonts w:hint="default" w:ascii="Times New Roman" w:hAnsi="Times New Roman" w:eastAsia="宋体" w:cs="Times New Roman"/>
                <w:color w:val="auto"/>
                <w:kern w:val="0"/>
                <w:sz w:val="21"/>
                <w:szCs w:val="21"/>
                <w:lang w:eastAsia="zh-CN"/>
              </w:rPr>
              <w:t>处置“三张清单”中突出信访问题</w:t>
            </w:r>
            <w:r>
              <w:rPr>
                <w:rFonts w:hint="default" w:ascii="Times New Roman" w:hAnsi="Times New Roman" w:cs="Times New Roman"/>
                <w:color w:val="auto"/>
                <w:kern w:val="0"/>
                <w:sz w:val="21"/>
                <w:szCs w:val="21"/>
                <w:lang w:eastAsia="zh-CN"/>
              </w:rPr>
              <w:t>、中央省市交办</w:t>
            </w:r>
            <w:r>
              <w:rPr>
                <w:rFonts w:hint="default" w:ascii="Times New Roman" w:hAnsi="Times New Roman" w:eastAsia="宋体" w:cs="Times New Roman"/>
                <w:color w:val="auto"/>
                <w:kern w:val="0"/>
                <w:sz w:val="21"/>
                <w:szCs w:val="21"/>
                <w:lang w:eastAsia="zh-CN"/>
              </w:rPr>
              <w:t>“治重化</w:t>
            </w:r>
            <w:r>
              <w:rPr>
                <w:rFonts w:hint="default" w:ascii="Times New Roman" w:hAnsi="Times New Roman" w:cs="Times New Roman"/>
                <w:color w:val="auto"/>
                <w:kern w:val="0"/>
                <w:sz w:val="21"/>
                <w:szCs w:val="21"/>
                <w:lang w:eastAsia="zh-CN"/>
              </w:rPr>
              <w:t>积</w:t>
            </w:r>
            <w:r>
              <w:rPr>
                <w:rFonts w:hint="default" w:ascii="Times New Roman" w:hAnsi="Times New Roman" w:eastAsia="宋体" w:cs="Times New Roman"/>
                <w:color w:val="auto"/>
                <w:kern w:val="0"/>
                <w:sz w:val="21"/>
                <w:szCs w:val="21"/>
                <w:lang w:eastAsia="zh-CN"/>
              </w:rPr>
              <w:t>”专项活动</w:t>
            </w:r>
            <w:r>
              <w:rPr>
                <w:rFonts w:hint="default" w:ascii="Times New Roman" w:hAnsi="Times New Roman" w:cs="Times New Roman"/>
                <w:color w:val="auto"/>
                <w:kern w:val="0"/>
                <w:sz w:val="21"/>
                <w:szCs w:val="21"/>
                <w:lang w:eastAsia="zh-CN"/>
              </w:rPr>
              <w:t>信访问题和其他信访问题</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eastAsia" w:cs="Times New Roman"/>
                <w:color w:val="auto"/>
                <w:kern w:val="0"/>
                <w:sz w:val="21"/>
                <w:szCs w:val="21"/>
                <w:lang w:val="en-US" w:eastAsia="zh-CN"/>
              </w:rPr>
              <w:t>421</w:t>
            </w:r>
            <w:r>
              <w:rPr>
                <w:rFonts w:hint="default" w:ascii="Times New Roman" w:hAnsi="Times New Roman" w:eastAsia="宋体" w:cs="Times New Roman"/>
                <w:color w:val="auto"/>
                <w:kern w:val="0"/>
                <w:sz w:val="21"/>
                <w:szCs w:val="21"/>
                <w:lang w:val="en-US" w:eastAsia="zh-CN"/>
              </w:rPr>
              <w:t>件</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成本</w:t>
            </w:r>
          </w:p>
          <w:p>
            <w:pPr>
              <w:widowControl/>
              <w:spacing w:line="230" w:lineRule="exact"/>
              <w:jc w:val="center"/>
              <w:rPr>
                <w:rFonts w:hint="default" w:ascii="Times New Roman" w:hAnsi="Times New Roman" w:cs="Times New Roman"/>
                <w:color w:val="auto"/>
                <w:kern w:val="0"/>
                <w:sz w:val="21"/>
                <w:szCs w:val="21"/>
              </w:rPr>
            </w:pPr>
          </w:p>
          <w:p>
            <w:pPr>
              <w:widowControl/>
              <w:spacing w:line="230" w:lineRule="exact"/>
              <w:jc w:val="center"/>
              <w:rPr>
                <w:rFonts w:hint="default" w:ascii="Times New Roman" w:hAnsi="Times New Roman" w:cs="Times New Roman"/>
                <w:color w:val="auto"/>
                <w:kern w:val="0"/>
                <w:sz w:val="21"/>
                <w:szCs w:val="21"/>
              </w:rPr>
            </w:pPr>
          </w:p>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指标</w:t>
            </w: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指标1:</w:t>
            </w:r>
            <w:r>
              <w:rPr>
                <w:rFonts w:hint="default" w:ascii="Times New Roman" w:hAnsi="Times New Roman" w:eastAsia="宋体" w:cs="Times New Roman"/>
                <w:color w:val="auto"/>
                <w:kern w:val="0"/>
                <w:sz w:val="21"/>
                <w:szCs w:val="21"/>
                <w:lang w:eastAsia="zh-CN"/>
              </w:rPr>
              <w:t>确保经费保障</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1-12月驻京</w:t>
            </w:r>
            <w:r>
              <w:rPr>
                <w:rFonts w:hint="default" w:ascii="Times New Roman" w:hAnsi="Times New Roman" w:eastAsia="宋体" w:cs="Times New Roman"/>
                <w:color w:val="auto"/>
                <w:kern w:val="0"/>
                <w:sz w:val="21"/>
                <w:szCs w:val="21"/>
                <w:lang w:eastAsia="zh-CN"/>
              </w:rPr>
              <w:t>联络处访</w:t>
            </w:r>
            <w:r>
              <w:rPr>
                <w:rFonts w:hint="default" w:ascii="Times New Roman" w:hAnsi="Times New Roman" w:eastAsia="宋体" w:cs="Times New Roman"/>
                <w:color w:val="auto"/>
                <w:kern w:val="0"/>
                <w:sz w:val="21"/>
                <w:szCs w:val="21"/>
              </w:rPr>
              <w:t>经费</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20万</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指标2:</w:t>
            </w:r>
            <w:r>
              <w:rPr>
                <w:rFonts w:hint="default" w:ascii="Times New Roman" w:hAnsi="Times New Roman" w:eastAsia="宋体" w:cs="Times New Roman"/>
                <w:color w:val="auto"/>
                <w:kern w:val="0"/>
                <w:sz w:val="21"/>
                <w:szCs w:val="21"/>
                <w:lang w:eastAsia="zh-CN"/>
              </w:rPr>
              <w:t>确保经费保障</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全国、省、市两会</w:t>
            </w:r>
            <w:r>
              <w:rPr>
                <w:rFonts w:hint="default" w:ascii="Times New Roman" w:hAnsi="Times New Roman" w:eastAsia="宋体" w:cs="Times New Roman"/>
                <w:color w:val="auto"/>
                <w:kern w:val="0"/>
                <w:sz w:val="21"/>
                <w:szCs w:val="21"/>
                <w:lang w:eastAsia="zh-CN"/>
              </w:rPr>
              <w:t>等重要敏感节点期间</w:t>
            </w:r>
            <w:r>
              <w:rPr>
                <w:rFonts w:hint="default" w:ascii="Times New Roman" w:hAnsi="Times New Roman" w:eastAsia="宋体" w:cs="Times New Roman"/>
                <w:color w:val="auto"/>
                <w:kern w:val="0"/>
                <w:sz w:val="21"/>
                <w:szCs w:val="21"/>
              </w:rPr>
              <w:t>信访维稳经费</w:t>
            </w:r>
            <w:r>
              <w:rPr>
                <w:rFonts w:hint="default" w:ascii="Times New Roman" w:hAnsi="Times New Roman" w:cs="Times New Roman"/>
                <w:color w:val="auto"/>
                <w:kern w:val="0"/>
                <w:sz w:val="21"/>
                <w:szCs w:val="21"/>
                <w:lang w:eastAsia="zh-CN"/>
              </w:rPr>
              <w:t>及重点人员生活困难补助经费</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lang w:val="en-US" w:eastAsia="zh-CN"/>
              </w:rPr>
              <w:t>1</w:t>
            </w:r>
            <w:r>
              <w:rPr>
                <w:rFonts w:hint="eastAsia" w:cs="Times New Roman"/>
                <w:color w:val="auto"/>
                <w:kern w:val="0"/>
                <w:sz w:val="21"/>
                <w:szCs w:val="21"/>
                <w:lang w:val="en-US" w:eastAsia="zh-CN"/>
              </w:rPr>
              <w:t>13</w:t>
            </w:r>
            <w:r>
              <w:rPr>
                <w:rFonts w:hint="default" w:ascii="Times New Roman" w:hAnsi="Times New Roman" w:eastAsia="宋体" w:cs="Times New Roman"/>
                <w:color w:val="auto"/>
                <w:kern w:val="0"/>
                <w:sz w:val="21"/>
                <w:szCs w:val="21"/>
                <w:lang w:val="en-US" w:eastAsia="zh-CN"/>
              </w:rPr>
              <w:t>万</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指标</w:t>
            </w:r>
            <w:r>
              <w:rPr>
                <w:rFonts w:hint="default" w:ascii="Times New Roman" w:hAnsi="Times New Roman" w:cs="Times New Roman"/>
                <w:color w:val="auto"/>
                <w:kern w:val="0"/>
                <w:sz w:val="21"/>
                <w:szCs w:val="21"/>
                <w:lang w:val="en-US" w:eastAsia="zh-CN"/>
              </w:rPr>
              <w:t>3</w:t>
            </w: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color w:val="auto"/>
                <w:kern w:val="0"/>
                <w:sz w:val="21"/>
                <w:szCs w:val="21"/>
                <w:lang w:eastAsia="zh-CN"/>
              </w:rPr>
              <w:t>确保经费保障</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eastAsia" w:ascii="Times New Roman" w:hAnsi="Times New Roman" w:eastAsia="宋体" w:cs="Times New Roman"/>
                <w:color w:val="auto"/>
                <w:kern w:val="0"/>
                <w:sz w:val="21"/>
                <w:szCs w:val="21"/>
                <w:lang w:val="en-US" w:eastAsia="zh-CN"/>
              </w:rPr>
            </w:pPr>
            <w:r>
              <w:rPr>
                <w:rFonts w:hint="eastAsia" w:cs="Times New Roman"/>
                <w:color w:val="auto"/>
                <w:kern w:val="0"/>
                <w:sz w:val="21"/>
                <w:szCs w:val="21"/>
                <w:lang w:val="en-US" w:eastAsia="zh-CN"/>
              </w:rPr>
              <w:t>创建全国信访工作信访示范县工作经费</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lang w:val="en-US" w:eastAsia="zh-CN"/>
              </w:rPr>
            </w:pPr>
            <w:r>
              <w:rPr>
                <w:rFonts w:hint="eastAsia" w:cs="Times New Roman"/>
                <w:color w:val="auto"/>
                <w:kern w:val="0"/>
                <w:sz w:val="21"/>
                <w:szCs w:val="21"/>
                <w:lang w:val="en-US" w:eastAsia="zh-CN"/>
              </w:rPr>
              <w:t>3</w:t>
            </w:r>
            <w:r>
              <w:rPr>
                <w:rFonts w:hint="default" w:ascii="Times New Roman" w:hAnsi="Times New Roman" w:cs="Times New Roman"/>
                <w:color w:val="auto"/>
                <w:kern w:val="0"/>
                <w:sz w:val="21"/>
                <w:szCs w:val="21"/>
                <w:lang w:val="en-US" w:eastAsia="zh-CN"/>
              </w:rPr>
              <w:t>万元</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5"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w:t>
            </w:r>
            <w:r>
              <w:rPr>
                <w:rFonts w:hint="default" w:ascii="Times New Roman" w:hAnsi="Times New Roman" w:cs="Times New Roman"/>
                <w:color w:val="auto"/>
                <w:kern w:val="0"/>
                <w:sz w:val="21"/>
                <w:szCs w:val="21"/>
                <w:lang w:val="en-US" w:eastAsia="zh-CN"/>
              </w:rPr>
              <w:t>4</w:t>
            </w:r>
            <w:r>
              <w:rPr>
                <w:rFonts w:hint="default" w:ascii="Times New Roman" w:hAnsi="Times New Roman" w:eastAsia="宋体" w:cs="Times New Roman"/>
                <w:color w:val="auto"/>
                <w:kern w:val="0"/>
                <w:sz w:val="21"/>
                <w:szCs w:val="21"/>
              </w:rPr>
              <w:t>:</w:t>
            </w:r>
            <w:r>
              <w:rPr>
                <w:rFonts w:hint="default" w:ascii="Times New Roman" w:hAnsi="Times New Roman" w:eastAsia="宋体" w:cs="Times New Roman"/>
                <w:color w:val="auto"/>
                <w:kern w:val="0"/>
                <w:sz w:val="21"/>
                <w:szCs w:val="21"/>
                <w:lang w:eastAsia="zh-CN"/>
              </w:rPr>
              <w:t>确保经费保障</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eastAsia="宋体" w:cs="Times New Roman"/>
                <w:color w:val="auto"/>
                <w:kern w:val="0"/>
                <w:sz w:val="21"/>
                <w:szCs w:val="21"/>
                <w:lang w:eastAsia="zh-CN"/>
              </w:rPr>
            </w:pPr>
            <w:r>
              <w:rPr>
                <w:rFonts w:hint="default" w:ascii="Times New Roman" w:hAnsi="Times New Roman" w:cs="Times New Roman"/>
                <w:color w:val="auto"/>
                <w:kern w:val="0"/>
                <w:sz w:val="21"/>
                <w:szCs w:val="21"/>
                <w:lang w:eastAsia="zh-CN"/>
              </w:rPr>
              <w:t>基本支出</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center"/>
              <w:textAlignment w:val="auto"/>
              <w:rPr>
                <w:rFonts w:hint="default" w:ascii="Times New Roman" w:hAnsi="Times New Roman" w:cs="Times New Roman"/>
                <w:color w:val="auto"/>
                <w:kern w:val="0"/>
                <w:sz w:val="21"/>
                <w:szCs w:val="21"/>
              </w:rPr>
            </w:pPr>
            <w:r>
              <w:rPr>
                <w:rFonts w:hint="eastAsia" w:cs="Times New Roman"/>
                <w:color w:val="auto"/>
                <w:kern w:val="0"/>
                <w:sz w:val="21"/>
                <w:szCs w:val="21"/>
                <w:lang w:val="en-US" w:eastAsia="zh-CN"/>
              </w:rPr>
              <w:t>238.71</w:t>
            </w:r>
            <w:r>
              <w:rPr>
                <w:rFonts w:hint="default" w:ascii="Times New Roman" w:hAnsi="Times New Roman" w:eastAsia="宋体" w:cs="Times New Roman"/>
                <w:color w:val="auto"/>
                <w:kern w:val="0"/>
                <w:sz w:val="21"/>
                <w:szCs w:val="21"/>
                <w:lang w:val="en-US" w:eastAsia="zh-CN"/>
              </w:rPr>
              <w:t>万</w:t>
            </w:r>
            <w:r>
              <w:rPr>
                <w:rFonts w:hint="eastAsia" w:cs="Times New Roman"/>
                <w:color w:val="auto"/>
                <w:kern w:val="0"/>
                <w:sz w:val="21"/>
                <w:szCs w:val="21"/>
                <w:lang w:val="en-US" w:eastAsia="zh-CN"/>
              </w:rPr>
              <w:t>元</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效益</w:t>
            </w:r>
          </w:p>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指标</w:t>
            </w:r>
          </w:p>
        </w:tc>
        <w:tc>
          <w:tcPr>
            <w:tcW w:w="1257"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经济效益指标</w:t>
            </w: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指标1:</w:t>
            </w:r>
            <w:r>
              <w:rPr>
                <w:rFonts w:hint="default" w:ascii="Times New Roman" w:hAnsi="Times New Roman" w:eastAsia="宋体" w:cs="Times New Roman"/>
                <w:color w:val="auto"/>
                <w:kern w:val="0"/>
                <w:sz w:val="21"/>
                <w:szCs w:val="21"/>
                <w:lang w:eastAsia="zh-CN"/>
              </w:rPr>
              <w:t>提升群众满意率</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eastAsia="zh-CN"/>
              </w:rPr>
              <w:t>提高信访工作人员的工作热情</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bidi="ar-SA"/>
              </w:rPr>
              <w:t>评价满意</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指标2:</w:t>
            </w:r>
            <w:r>
              <w:rPr>
                <w:rFonts w:hint="default" w:ascii="Times New Roman" w:hAnsi="Times New Roman" w:eastAsia="宋体" w:cs="Times New Roman"/>
                <w:color w:val="auto"/>
                <w:kern w:val="0"/>
                <w:sz w:val="21"/>
                <w:szCs w:val="21"/>
                <w:lang w:eastAsia="zh-CN"/>
              </w:rPr>
              <w:t>提升群众满意率</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eastAsia="zh-CN"/>
              </w:rPr>
              <w:t>提高信访问题办理质量</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bidi="ar-SA"/>
              </w:rPr>
              <w:t>评价满意</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社会效益指标</w:t>
            </w: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指标1:</w:t>
            </w:r>
            <w:r>
              <w:rPr>
                <w:rFonts w:hint="default" w:ascii="Times New Roman" w:hAnsi="Times New Roman" w:eastAsia="宋体" w:cs="Times New Roman"/>
                <w:color w:val="auto"/>
                <w:kern w:val="0"/>
                <w:sz w:val="21"/>
                <w:szCs w:val="21"/>
                <w:lang w:eastAsia="zh-CN"/>
              </w:rPr>
              <w:t>确保问题发现在早</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eastAsia="zh-CN"/>
              </w:rPr>
              <w:t>减少矛盾纠纷、及时化解处理信访问题</w:t>
            </w:r>
            <w:r>
              <w:rPr>
                <w:rFonts w:hint="default" w:ascii="Times New Roman" w:hAnsi="Times New Roman" w:eastAsia="宋体" w:cs="Times New Roman"/>
                <w:color w:val="auto"/>
                <w:kern w:val="0"/>
                <w:sz w:val="21"/>
                <w:szCs w:val="21"/>
                <w:lang w:val="en-US" w:eastAsia="zh-CN"/>
              </w:rPr>
              <w:t xml:space="preserve">  </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逐步减少</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指标2:</w:t>
            </w:r>
            <w:r>
              <w:rPr>
                <w:rFonts w:hint="default" w:ascii="Times New Roman" w:hAnsi="Times New Roman" w:eastAsia="宋体" w:cs="Times New Roman"/>
                <w:color w:val="auto"/>
                <w:kern w:val="0"/>
                <w:sz w:val="21"/>
                <w:szCs w:val="21"/>
                <w:lang w:eastAsia="zh-CN"/>
              </w:rPr>
              <w:t>维护社会稳定</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eastAsia="zh-CN"/>
              </w:rPr>
              <w:t>维护乐至县社会和谐稳定</w:t>
            </w:r>
            <w:r>
              <w:rPr>
                <w:rFonts w:hint="default" w:ascii="Times New Roman" w:hAnsi="Times New Roman" w:eastAsia="宋体" w:cs="Times New Roman"/>
                <w:color w:val="auto"/>
                <w:kern w:val="0"/>
                <w:sz w:val="21"/>
                <w:szCs w:val="21"/>
                <w:lang w:val="en-US" w:eastAsia="zh-CN"/>
              </w:rPr>
              <w:t xml:space="preserve"> </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bidi="ar-SA"/>
              </w:rPr>
              <w:t>评价满意</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生态效益指标</w:t>
            </w: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指标1:</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指标2:</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可持续影响指标</w:t>
            </w: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指标1:</w:t>
            </w:r>
            <w:r>
              <w:rPr>
                <w:rFonts w:hint="default" w:ascii="Times New Roman" w:hAnsi="Times New Roman" w:eastAsia="宋体" w:cs="Times New Roman"/>
                <w:color w:val="auto"/>
                <w:kern w:val="0"/>
                <w:sz w:val="21"/>
                <w:szCs w:val="21"/>
                <w:lang w:eastAsia="zh-CN"/>
              </w:rPr>
              <w:t>控增量</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eastAsia="zh-CN"/>
              </w:rPr>
              <w:t>重复上访率持续减少</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持续减少</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指标2:</w:t>
            </w:r>
            <w:r>
              <w:rPr>
                <w:rFonts w:hint="default" w:ascii="Times New Roman" w:hAnsi="Times New Roman" w:eastAsia="宋体" w:cs="Times New Roman"/>
                <w:color w:val="auto"/>
                <w:kern w:val="0"/>
                <w:sz w:val="21"/>
                <w:szCs w:val="21"/>
                <w:lang w:eastAsia="zh-CN"/>
              </w:rPr>
              <w:t>确保人员吸附在当地</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越级上访率控制到位，逐步减少</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val="en-US" w:eastAsia="zh-CN"/>
              </w:rPr>
              <w:t>逐步减少</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满意度</w:t>
            </w:r>
          </w:p>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指标</w:t>
            </w:r>
          </w:p>
        </w:tc>
        <w:tc>
          <w:tcPr>
            <w:tcW w:w="1257" w:type="dxa"/>
            <w:vMerge w:val="restart"/>
            <w:noWrap/>
            <w:vAlign w:val="center"/>
          </w:tcPr>
          <w:p>
            <w:pPr>
              <w:widowControl/>
              <w:spacing w:line="23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满意度指标</w:t>
            </w: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指标1:</w:t>
            </w:r>
            <w:r>
              <w:rPr>
                <w:rFonts w:hint="default" w:ascii="Times New Roman" w:hAnsi="Times New Roman" w:eastAsia="宋体" w:cs="Times New Roman"/>
                <w:color w:val="auto"/>
                <w:kern w:val="0"/>
                <w:sz w:val="21"/>
                <w:szCs w:val="21"/>
                <w:lang w:eastAsia="zh-CN"/>
              </w:rPr>
              <w:t>提升群众满意率</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eastAsia="zh-CN"/>
              </w:rPr>
              <w:t>对信访机构满意</w:t>
            </w:r>
            <w:r>
              <w:rPr>
                <w:rFonts w:hint="default" w:ascii="Times New Roman" w:hAnsi="Times New Roman" w:cs="Times New Roman"/>
                <w:color w:val="auto"/>
                <w:kern w:val="0"/>
                <w:sz w:val="21"/>
                <w:szCs w:val="21"/>
                <w:lang w:eastAsia="zh-CN"/>
              </w:rPr>
              <w:t>率</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jc w:val="left"/>
              <w:textAlignment w:val="auto"/>
              <w:rPr>
                <w:rFonts w:hint="default" w:ascii="Times New Roman" w:hAnsi="Times New Roman" w:cs="Times New Roman"/>
                <w:color w:val="auto"/>
                <w:kern w:val="0"/>
                <w:sz w:val="21"/>
                <w:szCs w:val="21"/>
                <w:lang w:val="en-US"/>
              </w:rPr>
            </w:pPr>
            <w:r>
              <w:rPr>
                <w:rFonts w:hint="default" w:ascii="Times New Roman" w:hAnsi="Times New Roman" w:cs="Times New Roman"/>
                <w:color w:val="auto"/>
                <w:kern w:val="0"/>
                <w:sz w:val="21"/>
                <w:szCs w:val="21"/>
                <w:lang w:val="en-US" w:eastAsia="zh-CN" w:bidi="ar-SA"/>
              </w:rPr>
              <w:t>100%</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指标2:</w:t>
            </w:r>
            <w:r>
              <w:rPr>
                <w:rFonts w:hint="default" w:ascii="Times New Roman" w:hAnsi="Times New Roman" w:eastAsia="宋体" w:cs="Times New Roman"/>
                <w:color w:val="auto"/>
                <w:kern w:val="0"/>
                <w:sz w:val="21"/>
                <w:szCs w:val="21"/>
                <w:lang w:eastAsia="zh-CN"/>
              </w:rPr>
              <w:t>提升群众满意率</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lang w:eastAsia="zh-CN"/>
              </w:rPr>
              <w:t>对责任部门满意度</w:t>
            </w:r>
            <w:r>
              <w:rPr>
                <w:rFonts w:hint="default" w:ascii="Times New Roman" w:hAnsi="Times New Roman" w:cs="Times New Roman"/>
                <w:color w:val="auto"/>
                <w:kern w:val="0"/>
                <w:sz w:val="21"/>
                <w:szCs w:val="21"/>
                <w:lang w:eastAsia="zh-CN"/>
              </w:rPr>
              <w:t>率</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jc w:val="left"/>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rPr>
              <w:t>≧</w:t>
            </w:r>
            <w:r>
              <w:rPr>
                <w:rFonts w:hint="default" w:ascii="Times New Roman" w:hAnsi="Times New Roman" w:cs="Times New Roman"/>
                <w:color w:val="auto"/>
                <w:kern w:val="0"/>
                <w:sz w:val="21"/>
                <w:szCs w:val="21"/>
                <w:lang w:val="en-US" w:eastAsia="zh-CN"/>
              </w:rPr>
              <w:t>97%</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78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18"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257" w:type="dxa"/>
            <w:vMerge w:val="continue"/>
            <w:noWrap w:val="0"/>
            <w:vAlign w:val="center"/>
          </w:tcPr>
          <w:p>
            <w:pPr>
              <w:widowControl/>
              <w:spacing w:line="230" w:lineRule="exact"/>
              <w:jc w:val="left"/>
              <w:rPr>
                <w:rFonts w:hint="default" w:ascii="Times New Roman" w:hAnsi="Times New Roman" w:cs="Times New Roman"/>
                <w:color w:val="auto"/>
                <w:kern w:val="0"/>
                <w:sz w:val="21"/>
                <w:szCs w:val="21"/>
              </w:rPr>
            </w:pPr>
          </w:p>
        </w:tc>
        <w:tc>
          <w:tcPr>
            <w:tcW w:w="1400"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指标</w:t>
            </w:r>
            <w:r>
              <w:rPr>
                <w:rFonts w:hint="default" w:ascii="Times New Roman" w:hAnsi="Times New Roman" w:eastAsia="宋体" w:cs="Times New Roman"/>
                <w:color w:val="auto"/>
                <w:kern w:val="0"/>
                <w:sz w:val="21"/>
                <w:szCs w:val="21"/>
                <w:lang w:val="en-US" w:eastAsia="zh-CN"/>
              </w:rPr>
              <w:t>3</w:t>
            </w:r>
            <w:r>
              <w:rPr>
                <w:rFonts w:hint="default" w:ascii="Times New Roman" w:hAnsi="Times New Roman" w:eastAsia="宋体" w:cs="Times New Roman"/>
                <w:color w:val="auto"/>
                <w:kern w:val="0"/>
                <w:sz w:val="21"/>
                <w:szCs w:val="21"/>
              </w:rPr>
              <w:t>:</w:t>
            </w:r>
            <w:r>
              <w:rPr>
                <w:rFonts w:hint="default" w:ascii="Times New Roman" w:hAnsi="Times New Roman" w:cs="Times New Roman"/>
                <w:color w:val="auto"/>
                <w:kern w:val="0"/>
                <w:sz w:val="21"/>
                <w:szCs w:val="21"/>
                <w:lang w:eastAsia="zh-CN"/>
              </w:rPr>
              <w:t>社会满意度评价</w:t>
            </w:r>
          </w:p>
        </w:tc>
        <w:tc>
          <w:tcPr>
            <w:tcW w:w="1895"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lang w:eastAsia="zh-CN"/>
              </w:rPr>
              <w:t>密切联系群众部门满意度率</w:t>
            </w:r>
          </w:p>
        </w:tc>
        <w:tc>
          <w:tcPr>
            <w:tcW w:w="1531" w:type="dxa"/>
            <w:noWrap/>
            <w:vAlign w:val="center"/>
          </w:tcPr>
          <w:p>
            <w:pPr>
              <w:keepNext w:val="0"/>
              <w:keepLines w:val="0"/>
              <w:pageBreakBefore w:val="0"/>
              <w:widowControl/>
              <w:kinsoku/>
              <w:wordWrap/>
              <w:overflowPunct/>
              <w:topLinePunct w:val="0"/>
              <w:autoSpaceDE/>
              <w:autoSpaceDN/>
              <w:bidi w:val="0"/>
              <w:spacing w:line="440" w:lineRule="exact"/>
              <w:jc w:val="left"/>
              <w:textAlignment w:val="auto"/>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0"/>
                <w:sz w:val="21"/>
                <w:szCs w:val="21"/>
              </w:rPr>
              <w:t>≧</w:t>
            </w:r>
            <w:r>
              <w:rPr>
                <w:rFonts w:hint="default" w:ascii="Times New Roman" w:hAnsi="Times New Roman" w:cs="Times New Roman"/>
                <w:color w:val="auto"/>
                <w:kern w:val="0"/>
                <w:sz w:val="21"/>
                <w:szCs w:val="21"/>
                <w:lang w:val="en-US" w:eastAsia="zh-CN"/>
              </w:rPr>
              <w:t>95%</w:t>
            </w:r>
          </w:p>
        </w:tc>
        <w:tc>
          <w:tcPr>
            <w:tcW w:w="1742" w:type="dxa"/>
            <w:noWrap/>
            <w:vAlign w:val="center"/>
          </w:tcPr>
          <w:p>
            <w:pPr>
              <w:keepNext w:val="0"/>
              <w:keepLines w:val="0"/>
              <w:pageBreakBefore w:val="0"/>
              <w:widowControl/>
              <w:kinsoku/>
              <w:wordWrap/>
              <w:overflowPunct/>
              <w:topLinePunct w:val="0"/>
              <w:autoSpaceDE/>
              <w:autoSpaceDN/>
              <w:bidi w:val="0"/>
              <w:spacing w:line="440" w:lineRule="exact"/>
              <w:ind w:left="0" w:leftChars="0"/>
              <w:jc w:val="left"/>
              <w:textAlignment w:val="auto"/>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 w:hRule="atLeast"/>
          <w:jc w:val="center"/>
        </w:trPr>
        <w:tc>
          <w:tcPr>
            <w:tcW w:w="787" w:type="dxa"/>
            <w:vMerge w:val="continue"/>
            <w:tcBorders>
              <w:bottom w:val="single" w:color="auto" w:sz="12" w:space="0"/>
            </w:tcBorders>
            <w:noWrap w:val="0"/>
            <w:vAlign w:val="center"/>
          </w:tcPr>
          <w:p>
            <w:pPr>
              <w:widowControl/>
              <w:spacing w:line="240" w:lineRule="exact"/>
              <w:jc w:val="left"/>
              <w:rPr>
                <w:rFonts w:hint="default" w:ascii="Times New Roman" w:hAnsi="Times New Roman" w:cs="Times New Roman"/>
                <w:color w:val="auto"/>
                <w:kern w:val="0"/>
                <w:sz w:val="21"/>
                <w:szCs w:val="21"/>
              </w:rPr>
            </w:pPr>
          </w:p>
        </w:tc>
        <w:tc>
          <w:tcPr>
            <w:tcW w:w="1218" w:type="dxa"/>
            <w:vMerge w:val="continue"/>
            <w:tcBorders>
              <w:bottom w:val="single" w:color="auto" w:sz="12" w:space="0"/>
            </w:tcBorders>
            <w:noWrap w:val="0"/>
            <w:vAlign w:val="center"/>
          </w:tcPr>
          <w:p>
            <w:pPr>
              <w:widowControl/>
              <w:spacing w:line="240" w:lineRule="exact"/>
              <w:jc w:val="left"/>
              <w:rPr>
                <w:rFonts w:hint="default" w:ascii="Times New Roman" w:hAnsi="Times New Roman" w:cs="Times New Roman"/>
                <w:color w:val="auto"/>
                <w:kern w:val="0"/>
                <w:sz w:val="21"/>
                <w:szCs w:val="21"/>
              </w:rPr>
            </w:pPr>
          </w:p>
        </w:tc>
        <w:tc>
          <w:tcPr>
            <w:tcW w:w="1257" w:type="dxa"/>
            <w:tcBorders>
              <w:bottom w:val="single" w:color="auto" w:sz="12" w:space="0"/>
            </w:tcBorders>
            <w:noWrap/>
            <w:vAlign w:val="center"/>
          </w:tcPr>
          <w:p>
            <w:pPr>
              <w:widowControl/>
              <w:spacing w:line="24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w:t>
            </w:r>
          </w:p>
        </w:tc>
        <w:tc>
          <w:tcPr>
            <w:tcW w:w="1400" w:type="dxa"/>
            <w:tcBorders>
              <w:bottom w:val="single" w:color="auto" w:sz="12" w:space="0"/>
            </w:tcBorders>
            <w:noWrap/>
            <w:vAlign w:val="center"/>
          </w:tcPr>
          <w:p>
            <w:pPr>
              <w:widowControl/>
              <w:spacing w:line="24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895" w:type="dxa"/>
            <w:tcBorders>
              <w:bottom w:val="single" w:color="auto" w:sz="12" w:space="0"/>
            </w:tcBorders>
            <w:noWrap/>
            <w:vAlign w:val="center"/>
          </w:tcPr>
          <w:p>
            <w:pPr>
              <w:widowControl/>
              <w:spacing w:line="24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531" w:type="dxa"/>
            <w:tcBorders>
              <w:bottom w:val="single" w:color="auto" w:sz="12" w:space="0"/>
            </w:tcBorders>
            <w:noWrap/>
            <w:vAlign w:val="center"/>
          </w:tcPr>
          <w:p>
            <w:pPr>
              <w:widowControl/>
              <w:spacing w:line="24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1742" w:type="dxa"/>
            <w:tcBorders>
              <w:bottom w:val="single" w:color="auto" w:sz="12" w:space="0"/>
            </w:tcBorders>
            <w:noWrap/>
            <w:vAlign w:val="center"/>
          </w:tcPr>
          <w:p>
            <w:pPr>
              <w:widowControl/>
              <w:spacing w:line="240" w:lineRule="exact"/>
              <w:jc w:val="lef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bl>
    <w:p>
      <w:pPr>
        <w:spacing w:line="620" w:lineRule="exact"/>
        <w:jc w:val="left"/>
        <w:rPr>
          <w:rFonts w:ascii="??????" w:hAnsi="宋体" w:eastAsia="Times New Roman"/>
          <w:color w:val="auto"/>
          <w:kern w:val="0"/>
          <w:sz w:val="33"/>
          <w:szCs w:val="33"/>
        </w:rPr>
        <w:sectPr>
          <w:footerReference r:id="rId4" w:type="default"/>
          <w:pgSz w:w="11907" w:h="16840"/>
          <w:pgMar w:top="2098" w:right="1474" w:bottom="1928" w:left="1588" w:header="851" w:footer="992" w:gutter="0"/>
          <w:pgNumType w:fmt="numberInDash"/>
          <w:cols w:space="720" w:num="1"/>
          <w:docGrid w:type="lines" w:linePitch="312" w:charSpace="0"/>
        </w:sectPr>
      </w:pPr>
    </w:p>
    <w:p>
      <w:pPr>
        <w:keepNext w:val="0"/>
        <w:keepLines w:val="0"/>
        <w:pageBreakBefore w:val="0"/>
        <w:kinsoku/>
        <w:wordWrap/>
        <w:overflowPunct/>
        <w:topLinePunct w:val="0"/>
        <w:autoSpaceDE/>
        <w:autoSpaceDN/>
        <w:bidi w:val="0"/>
        <w:spacing w:line="590" w:lineRule="exact"/>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eastAsia="zh-CN"/>
        </w:rPr>
        <w:t>附件</w:t>
      </w:r>
      <w:r>
        <w:rPr>
          <w:rFonts w:hint="eastAsia" w:ascii="方正仿宋简体" w:hAnsi="方正仿宋简体" w:eastAsia="方正仿宋简体" w:cs="方正仿宋简体"/>
          <w:sz w:val="32"/>
          <w:szCs w:val="32"/>
          <w:lang w:val="en-US" w:eastAsia="zh-CN"/>
        </w:rPr>
        <w:t>2</w:t>
      </w:r>
    </w:p>
    <w:p>
      <w:pPr>
        <w:keepNext w:val="0"/>
        <w:keepLines w:val="0"/>
        <w:pageBreakBefore w:val="0"/>
        <w:kinsoku/>
        <w:wordWrap/>
        <w:overflowPunct/>
        <w:topLinePunct w:val="0"/>
        <w:autoSpaceDE/>
        <w:autoSpaceDN/>
        <w:bidi w:val="0"/>
        <w:spacing w:line="590" w:lineRule="exact"/>
        <w:jc w:val="center"/>
        <w:textAlignment w:val="auto"/>
        <w:rPr>
          <w:rFonts w:hint="eastAsia" w:eastAsia="方正小标宋简体"/>
          <w:sz w:val="44"/>
          <w:szCs w:val="44"/>
          <w:lang w:eastAsia="zh-CN"/>
        </w:rPr>
      </w:pPr>
      <w:r>
        <w:rPr>
          <w:rFonts w:hint="eastAsia" w:eastAsia="方正小标宋简体"/>
          <w:sz w:val="44"/>
          <w:szCs w:val="44"/>
          <w:lang w:eastAsia="zh-CN"/>
        </w:rPr>
        <w:t>乐至县信访局</w:t>
      </w:r>
    </w:p>
    <w:p>
      <w:pPr>
        <w:keepNext w:val="0"/>
        <w:keepLines w:val="0"/>
        <w:pageBreakBefore w:val="0"/>
        <w:kinsoku/>
        <w:wordWrap/>
        <w:overflowPunct/>
        <w:topLinePunct w:val="0"/>
        <w:autoSpaceDE/>
        <w:autoSpaceDN/>
        <w:bidi w:val="0"/>
        <w:spacing w:line="590" w:lineRule="exact"/>
        <w:jc w:val="center"/>
        <w:textAlignment w:val="auto"/>
        <w:rPr>
          <w:rFonts w:eastAsia="方正小标宋简体"/>
          <w:sz w:val="44"/>
          <w:szCs w:val="44"/>
        </w:rPr>
      </w:pPr>
      <w:r>
        <w:rPr>
          <w:rFonts w:hint="eastAsia" w:eastAsia="方正小标宋简体"/>
          <w:sz w:val="44"/>
          <w:szCs w:val="44"/>
          <w:lang w:eastAsia="zh-CN"/>
        </w:rPr>
        <w:t>2023年</w:t>
      </w:r>
      <w:r>
        <w:rPr>
          <w:rFonts w:hint="eastAsia" w:eastAsia="方正小标宋简体"/>
          <w:sz w:val="44"/>
          <w:szCs w:val="44"/>
        </w:rPr>
        <w:t>项目支出绩效自评报告</w:t>
      </w:r>
    </w:p>
    <w:p>
      <w:pPr>
        <w:keepNext w:val="0"/>
        <w:keepLines w:val="0"/>
        <w:pageBreakBefore w:val="0"/>
        <w:kinsoku/>
        <w:wordWrap/>
        <w:overflowPunct/>
        <w:topLinePunct w:val="0"/>
        <w:autoSpaceDE/>
        <w:autoSpaceDN/>
        <w:bidi w:val="0"/>
        <w:spacing w:line="590" w:lineRule="exact"/>
        <w:jc w:val="center"/>
        <w:textAlignment w:val="auto"/>
        <w:rPr>
          <w:rFonts w:eastAsia="方正楷体简体"/>
          <w:b/>
          <w:sz w:val="32"/>
          <w:szCs w:val="32"/>
        </w:rPr>
      </w:pPr>
      <w:r>
        <w:rPr>
          <w:rFonts w:hint="eastAsia" w:eastAsia="方正楷体简体"/>
          <w:b/>
          <w:sz w:val="32"/>
          <w:szCs w:val="32"/>
        </w:rPr>
        <w:t>（禁毒重点整治驻外处访工作经费）</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p>
    <w:p>
      <w:pPr>
        <w:keepNext w:val="0"/>
        <w:keepLines w:val="0"/>
        <w:pageBreakBefore w:val="0"/>
        <w:kinsoku/>
        <w:wordWrap/>
        <w:overflowPunct/>
        <w:topLinePunct w:val="0"/>
        <w:autoSpaceDE/>
        <w:autoSpaceDN/>
        <w:bidi w:val="0"/>
        <w:spacing w:line="590" w:lineRule="exact"/>
        <w:jc w:val="center"/>
        <w:textAlignment w:val="auto"/>
        <w:rPr>
          <w:rFonts w:hint="eastAsia"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黑体简体"/>
          <w:sz w:val="32"/>
          <w:szCs w:val="32"/>
        </w:rPr>
      </w:pPr>
      <w:r>
        <w:rPr>
          <w:rFonts w:hint="eastAsia" w:eastAsia="方正黑体简体"/>
          <w:sz w:val="32"/>
          <w:szCs w:val="32"/>
        </w:rPr>
        <w:t>一、项目基本情况</w:t>
      </w:r>
    </w:p>
    <w:p>
      <w:pPr>
        <w:keepNext w:val="0"/>
        <w:keepLines w:val="0"/>
        <w:pageBreakBefore w:val="0"/>
        <w:kinsoku/>
        <w:wordWrap/>
        <w:overflowPunct/>
        <w:topLinePunct w:val="0"/>
        <w:autoSpaceDE/>
        <w:autoSpaceDN/>
        <w:bidi w:val="0"/>
        <w:spacing w:line="590" w:lineRule="exact"/>
        <w:ind w:firstLine="643" w:firstLineChars="200"/>
        <w:textAlignment w:val="auto"/>
        <w:rPr>
          <w:rFonts w:eastAsia="方正楷体简体"/>
          <w:b/>
          <w:sz w:val="32"/>
          <w:szCs w:val="32"/>
        </w:rPr>
      </w:pPr>
      <w:r>
        <w:rPr>
          <w:rFonts w:hint="eastAsia" w:eastAsia="方正楷体简体"/>
          <w:b/>
          <w:sz w:val="32"/>
          <w:szCs w:val="32"/>
        </w:rPr>
        <w:t>（一）概况</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keepNext w:val="0"/>
        <w:keepLines w:val="0"/>
        <w:pageBreakBefore w:val="0"/>
        <w:kinsoku/>
        <w:wordWrap/>
        <w:overflowPunct/>
        <w:topLinePunct w:val="0"/>
        <w:autoSpaceDE/>
        <w:autoSpaceDN/>
        <w:bidi w:val="0"/>
        <w:adjustRightInd w:val="0"/>
        <w:snapToGrid w:val="0"/>
        <w:spacing w:line="590" w:lineRule="exact"/>
        <w:ind w:firstLine="640" w:firstLineChars="200"/>
        <w:textAlignment w:val="auto"/>
        <w:rPr>
          <w:rFonts w:hint="eastAsia" w:eastAsia="方正仿宋简体"/>
          <w:sz w:val="32"/>
          <w:szCs w:val="32"/>
        </w:rPr>
      </w:pPr>
      <w:r>
        <w:rPr>
          <w:rFonts w:hint="eastAsia" w:ascii="Times New Roman" w:hAnsi="Times New Roman" w:eastAsia="方正仿宋简体" w:cs="Times New Roman"/>
          <w:kern w:val="2"/>
          <w:sz w:val="32"/>
          <w:szCs w:val="32"/>
          <w:lang w:val="en-US" w:eastAsia="zh-CN" w:bidi="ar-SA"/>
        </w:rPr>
        <w:t>深入推进禁毒人民战争，依法严厉打击和惩治毒品违法犯罪，提升跨区域联侦联办联控联治能力，切实加强乐至籍外流涉毒人员管控和信访维稳工作，持续巩固提升全县禁毒重点整治成效</w:t>
      </w:r>
      <w:r>
        <w:rPr>
          <w:rFonts w:hint="eastAsia" w:eastAsia="方正仿宋简体"/>
          <w:sz w:val="32"/>
          <w:szCs w:val="32"/>
        </w:rPr>
        <w:t>。</w:t>
      </w:r>
    </w:p>
    <w:p>
      <w:pPr>
        <w:keepNext w:val="0"/>
        <w:keepLines w:val="0"/>
        <w:pageBreakBefore w:val="0"/>
        <w:numPr>
          <w:ilvl w:val="0"/>
          <w:numId w:val="9"/>
        </w:numPr>
        <w:kinsoku/>
        <w:wordWrap/>
        <w:overflowPunct/>
        <w:topLinePunct w:val="0"/>
        <w:autoSpaceDE/>
        <w:autoSpaceDN/>
        <w:bidi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预算资金来源及使用情况</w:t>
      </w:r>
    </w:p>
    <w:p>
      <w:pPr>
        <w:keepNext w:val="0"/>
        <w:keepLines w:val="0"/>
        <w:pageBreakBefore w:val="0"/>
        <w:numPr>
          <w:ilvl w:val="0"/>
          <w:numId w:val="0"/>
        </w:numPr>
        <w:kinsoku/>
        <w:wordWrap/>
        <w:overflowPunct/>
        <w:topLinePunct w:val="0"/>
        <w:autoSpaceDE/>
        <w:autoSpaceDN/>
        <w:bidi w:val="0"/>
        <w:adjustRightInd w:val="0"/>
        <w:snapToGrid w:val="0"/>
        <w:spacing w:line="590" w:lineRule="exact"/>
        <w:ind w:firstLine="640" w:firstLineChars="200"/>
        <w:textAlignment w:val="auto"/>
        <w:rPr>
          <w:rFonts w:hint="default"/>
          <w:lang w:val="en-US"/>
        </w:rPr>
      </w:pPr>
      <w:r>
        <w:rPr>
          <w:rFonts w:hint="eastAsia" w:ascii="仿宋_GB2312" w:hAnsi="宋体" w:eastAsia="仿宋_GB2312"/>
          <w:sz w:val="32"/>
          <w:szCs w:val="32"/>
          <w:lang w:eastAsia="zh-CN"/>
        </w:rPr>
        <w:t>资金为县级财政资金。</w:t>
      </w:r>
      <w:r>
        <w:rPr>
          <w:rFonts w:hint="eastAsia" w:ascii="仿宋_GB2312" w:hAnsi="宋体" w:eastAsia="仿宋_GB2312"/>
          <w:sz w:val="32"/>
          <w:szCs w:val="32"/>
          <w:lang w:val="en-US" w:eastAsia="zh-CN"/>
        </w:rPr>
        <w:t>2023年县信访局项目支出预算100万，其中</w:t>
      </w:r>
      <w:r>
        <w:rPr>
          <w:rFonts w:hint="eastAsia" w:ascii="仿宋_GB2312" w:hAnsi="宋体" w:eastAsia="仿宋_GB2312"/>
          <w:sz w:val="32"/>
          <w:szCs w:val="32"/>
          <w:lang w:eastAsia="zh-CN"/>
        </w:rPr>
        <w:t>禁毒重点整治驻外处访工作经费</w:t>
      </w:r>
      <w:r>
        <w:rPr>
          <w:rFonts w:hint="eastAsia" w:ascii="仿宋_GB2312" w:hAnsi="宋体" w:eastAsia="仿宋_GB2312"/>
          <w:sz w:val="32"/>
          <w:szCs w:val="32"/>
          <w:lang w:val="en-US" w:eastAsia="zh-CN"/>
        </w:rPr>
        <w:t>10万元，截止2023年底，该项目资金已完成预算100%。</w:t>
      </w:r>
    </w:p>
    <w:p>
      <w:pPr>
        <w:keepNext w:val="0"/>
        <w:keepLines w:val="0"/>
        <w:pageBreakBefore w:val="0"/>
        <w:numPr>
          <w:ilvl w:val="0"/>
          <w:numId w:val="9"/>
        </w:numPr>
        <w:kinsoku/>
        <w:wordWrap/>
        <w:overflowPunct/>
        <w:topLinePunct w:val="0"/>
        <w:autoSpaceDE/>
        <w:autoSpaceDN/>
        <w:bidi w:val="0"/>
        <w:spacing w:line="590" w:lineRule="exact"/>
        <w:ind w:left="0" w:leftChars="0" w:firstLine="640" w:firstLineChars="200"/>
        <w:textAlignment w:val="auto"/>
        <w:rPr>
          <w:rFonts w:hint="eastAsia" w:eastAsia="方正仿宋简体"/>
          <w:sz w:val="32"/>
          <w:szCs w:val="32"/>
        </w:rPr>
      </w:pPr>
      <w:r>
        <w:rPr>
          <w:rFonts w:hint="eastAsia" w:eastAsia="方正仿宋简体"/>
          <w:sz w:val="32"/>
          <w:szCs w:val="32"/>
        </w:rPr>
        <w:t>实施情况（项目完成情况）</w:t>
      </w:r>
    </w:p>
    <w:p>
      <w:pPr>
        <w:keepNext w:val="0"/>
        <w:keepLines w:val="0"/>
        <w:pageBreakBefore w:val="0"/>
        <w:kinsoku/>
        <w:wordWrap/>
        <w:overflowPunct/>
        <w:topLinePunct w:val="0"/>
        <w:autoSpaceDE/>
        <w:autoSpaceDN/>
        <w:bidi w:val="0"/>
        <w:snapToGrid w:val="0"/>
        <w:spacing w:line="590" w:lineRule="exact"/>
        <w:ind w:left="0" w:leftChars="0" w:firstLine="640" w:firstLineChars="200"/>
        <w:textAlignment w:val="auto"/>
        <w:rPr>
          <w:rFonts w:hint="eastAsia" w:ascii="仿宋_GB2312" w:hAnsi="宋体" w:eastAsia="仿宋_GB2312"/>
          <w:sz w:val="32"/>
          <w:szCs w:val="32"/>
          <w:lang w:val="en-US" w:eastAsia="zh-CN"/>
        </w:rPr>
      </w:pPr>
      <w:r>
        <w:rPr>
          <w:rFonts w:hint="eastAsia" w:ascii="方正仿宋简体" w:hAnsi="方正仿宋简体" w:eastAsia="方正仿宋简体" w:cs="方正仿宋简体"/>
          <w:kern w:val="2"/>
          <w:sz w:val="32"/>
          <w:szCs w:val="32"/>
          <w:lang w:val="en-US" w:eastAsia="zh-CN" w:bidi="ar-SA"/>
        </w:rPr>
        <w:t>为完成特定的行政工作任务，派驻工作组到重庆，成都等地开展禁毒重点整治驻外处访工作</w:t>
      </w:r>
      <w:r>
        <w:rPr>
          <w:rFonts w:hint="eastAsia" w:ascii="仿宋_GB2312" w:hAnsi="宋体" w:eastAsia="仿宋_GB2312"/>
          <w:sz w:val="32"/>
          <w:szCs w:val="32"/>
          <w:lang w:val="en-US" w:eastAsia="zh-CN"/>
        </w:rPr>
        <w:t>。</w:t>
      </w:r>
    </w:p>
    <w:p>
      <w:pPr>
        <w:keepNext w:val="0"/>
        <w:keepLines w:val="0"/>
        <w:pageBreakBefore w:val="0"/>
        <w:numPr>
          <w:ilvl w:val="0"/>
          <w:numId w:val="9"/>
        </w:numPr>
        <w:kinsoku/>
        <w:wordWrap/>
        <w:overflowPunct/>
        <w:topLinePunct w:val="0"/>
        <w:autoSpaceDE/>
        <w:autoSpaceDN/>
        <w:bidi w:val="0"/>
        <w:spacing w:line="590" w:lineRule="exact"/>
        <w:ind w:left="0" w:leftChars="0" w:firstLine="640" w:firstLineChars="200"/>
        <w:textAlignment w:val="auto"/>
        <w:rPr>
          <w:rFonts w:hint="eastAsia" w:eastAsia="方正仿宋简体"/>
          <w:sz w:val="32"/>
          <w:szCs w:val="32"/>
        </w:rPr>
      </w:pPr>
      <w:r>
        <w:rPr>
          <w:rFonts w:hint="eastAsia" w:eastAsia="方正仿宋简体"/>
          <w:sz w:val="32"/>
          <w:szCs w:val="32"/>
        </w:rPr>
        <w:t>组织及管理（项目组织、管理流程及实际执行情况）</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）项目组织情况</w:t>
      </w:r>
      <w:r>
        <w:rPr>
          <w:rFonts w:hint="eastAsia" w:ascii="方正仿宋简体" w:hAnsi="方正仿宋简体" w:eastAsia="方正仿宋简体" w:cs="方正仿宋简体"/>
          <w:sz w:val="32"/>
          <w:szCs w:val="32"/>
          <w:lang w:eastAsia="zh-CN"/>
        </w:rPr>
        <w:t>：按照乐至县信访局财政项目支出绩效评价评分表逐项对照检查，查看绩效完成情况。</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）项目管理情况</w:t>
      </w:r>
      <w:r>
        <w:rPr>
          <w:rFonts w:hint="eastAsia" w:ascii="方正仿宋简体" w:hAnsi="方正仿宋简体" w:eastAsia="方正仿宋简体" w:cs="方正仿宋简体"/>
          <w:sz w:val="32"/>
          <w:szCs w:val="32"/>
          <w:lang w:eastAsia="zh-CN"/>
        </w:rPr>
        <w:t>：严格执行财务规章制度，确保每项财务工作的开展均“有法可依、有据可循”。通过严格执行财经纪律和财务制度，加强财务管理，规范财务行为，严格项目资金使用申报程序，按照工作进度细化资金使用计划，根据项目实施进度进行资金拨付，确保项目经费预算执行到位，发挥资金使用效率。</w:t>
      </w:r>
    </w:p>
    <w:p>
      <w:pPr>
        <w:pStyle w:val="2"/>
        <w:keepNext w:val="0"/>
        <w:keepLines w:val="0"/>
        <w:pageBreakBefore w:val="0"/>
        <w:numPr>
          <w:ilvl w:val="0"/>
          <w:numId w:val="0"/>
        </w:numPr>
        <w:kinsoku/>
        <w:wordWrap/>
        <w:overflowPunct/>
        <w:topLinePunct w:val="0"/>
        <w:autoSpaceDE/>
        <w:autoSpaceDN/>
        <w:bidi w:val="0"/>
        <w:spacing w:line="590" w:lineRule="exact"/>
        <w:ind w:leftChars="200"/>
        <w:textAlignment w:val="auto"/>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）项目组织实施的实际情况与目标</w:t>
      </w:r>
      <w:r>
        <w:rPr>
          <w:rFonts w:hint="eastAsia" w:ascii="方正仿宋简体" w:hAnsi="方正仿宋简体" w:eastAsia="方正仿宋简体" w:cs="方正仿宋简体"/>
          <w:sz w:val="32"/>
          <w:szCs w:val="32"/>
          <w:lang w:eastAsia="zh-CN"/>
        </w:rPr>
        <w:t>完成情况无</w:t>
      </w:r>
      <w:r>
        <w:rPr>
          <w:rFonts w:hint="eastAsia" w:ascii="方正仿宋简体" w:hAnsi="方正仿宋简体" w:eastAsia="方正仿宋简体" w:cs="方正仿宋简体"/>
          <w:sz w:val="32"/>
          <w:szCs w:val="32"/>
        </w:rPr>
        <w:t>差异</w:t>
      </w:r>
      <w:r>
        <w:rPr>
          <w:rFonts w:hint="eastAsia" w:ascii="方正仿宋简体" w:hAnsi="方正仿宋简体" w:eastAsia="方正仿宋简体" w:cs="方正仿宋简体"/>
          <w:sz w:val="32"/>
          <w:szCs w:val="32"/>
          <w:lang w:eastAsia="zh-CN"/>
        </w:rPr>
        <w:t>。</w:t>
      </w:r>
    </w:p>
    <w:p>
      <w:pPr>
        <w:keepNext w:val="0"/>
        <w:keepLines w:val="0"/>
        <w:pageBreakBefore w:val="0"/>
        <w:kinsoku/>
        <w:wordWrap/>
        <w:overflowPunct/>
        <w:topLinePunct w:val="0"/>
        <w:autoSpaceDE/>
        <w:autoSpaceDN/>
        <w:bidi w:val="0"/>
        <w:spacing w:line="590" w:lineRule="exact"/>
        <w:ind w:firstLine="643" w:firstLineChars="200"/>
        <w:textAlignment w:val="auto"/>
        <w:rPr>
          <w:rFonts w:eastAsia="方正楷体简体"/>
          <w:b/>
          <w:sz w:val="32"/>
          <w:szCs w:val="32"/>
        </w:rPr>
      </w:pPr>
      <w:r>
        <w:rPr>
          <w:rFonts w:hint="eastAsia" w:eastAsia="方正楷体简体"/>
          <w:b/>
          <w:sz w:val="32"/>
          <w:szCs w:val="32"/>
        </w:rPr>
        <w:t>（二）绩效目标</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绩效目标分别表述绩效总目标和具体绩效目标，具体绩效目标为具体量化的产出目标结果目标。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（1）绩效总目标综合结论:</w:t>
      </w:r>
      <w:r>
        <w:rPr>
          <w:rFonts w:hint="eastAsia" w:ascii="方正仿宋简体" w:hAnsi="方正仿宋简体" w:eastAsia="方正仿宋简体" w:cs="方正仿宋简体"/>
          <w:kern w:val="2"/>
          <w:sz w:val="32"/>
          <w:szCs w:val="32"/>
          <w:lang w:val="en-US" w:eastAsia="zh-CN" w:bidi="ar-SA"/>
        </w:rPr>
        <w:t>在2023年度项目绩效自评工作中，我局认真筹划，严密组织，以严谨、务实的态度，不折不扣的落实县委、县政府和县财政局的相关要求，认真收集整理评价资料，全面真实反映年度项目经费使用管理情况，对照县信访局2023年项目支出绩效自评体系评分表，我局自评分95分，自评结果为“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（2）产出指标</w:t>
      </w:r>
      <w:r>
        <w:rPr>
          <w:rFonts w:hint="eastAsia" w:ascii="方正仿宋简体" w:hAnsi="方正仿宋简体" w:eastAsia="方正仿宋简体" w:cs="方正仿宋简体"/>
          <w:kern w:val="2"/>
          <w:sz w:val="32"/>
          <w:szCs w:val="32"/>
          <w:lang w:val="en-US" w:eastAsia="zh-CN" w:bidi="ar-SA"/>
        </w:rPr>
        <w:t>：派驻工作人员到重庆、成都、开展</w:t>
      </w:r>
      <w:r>
        <w:rPr>
          <w:rFonts w:hint="eastAsia" w:ascii="Times New Roman" w:hAnsi="Times New Roman" w:eastAsia="方正仿宋简体" w:cs="Times New Roman"/>
          <w:kern w:val="2"/>
          <w:sz w:val="32"/>
          <w:szCs w:val="32"/>
          <w:lang w:val="en-US" w:eastAsia="zh-CN" w:bidi="ar-SA"/>
        </w:rPr>
        <w:t>乐至籍外流涉毒人员管控和信访维稳工作</w:t>
      </w:r>
      <w:r>
        <w:rPr>
          <w:rFonts w:hint="eastAsia" w:ascii="方正仿宋简体" w:hAnsi="方正仿宋简体" w:eastAsia="方正仿宋简体" w:cs="方正仿宋简体"/>
          <w:kern w:val="2"/>
          <w:sz w:val="32"/>
          <w:szCs w:val="32"/>
          <w:lang w:val="en-US" w:eastAsia="zh-CN" w:bidi="ar-SA"/>
        </w:rPr>
        <w:t>，控制越级访，减少进京到省访人员。</w:t>
      </w:r>
    </w:p>
    <w:p>
      <w:pPr>
        <w:keepNext w:val="0"/>
        <w:keepLines w:val="0"/>
        <w:pageBreakBefore w:val="0"/>
        <w:kinsoku/>
        <w:wordWrap/>
        <w:overflowPunct/>
        <w:topLinePunct w:val="0"/>
        <w:autoSpaceDE/>
        <w:autoSpaceDN/>
        <w:bidi w:val="0"/>
        <w:adjustRightInd w:val="0"/>
        <w:snapToGrid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（3）社会效益：</w:t>
      </w:r>
      <w:r>
        <w:rPr>
          <w:rFonts w:hint="eastAsia" w:eastAsia="方正仿宋简体"/>
          <w:sz w:val="32"/>
          <w:szCs w:val="32"/>
        </w:rPr>
        <w:t>化解矛盾</w:t>
      </w:r>
      <w:r>
        <w:rPr>
          <w:rFonts w:hint="eastAsia" w:eastAsia="方正仿宋简体"/>
          <w:sz w:val="32"/>
          <w:szCs w:val="32"/>
          <w:lang w:eastAsia="zh-CN"/>
        </w:rPr>
        <w:t>纠纷</w:t>
      </w:r>
      <w:r>
        <w:rPr>
          <w:rFonts w:hint="eastAsia" w:eastAsia="方正仿宋简体"/>
          <w:sz w:val="32"/>
          <w:szCs w:val="32"/>
        </w:rPr>
        <w:t>，维护社会稳定和谐发展。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rPr>
          <w:rFonts w:hint="eastAsia" w:ascii="仿宋_GB2312" w:hAnsi="宋体" w:eastAsia="仿宋_GB2312"/>
          <w:sz w:val="32"/>
          <w:szCs w:val="32"/>
        </w:rPr>
      </w:pPr>
      <w:r>
        <w:rPr>
          <w:rFonts w:hint="eastAsia" w:ascii="方正楷体简体" w:hAnsi="方正楷体简体" w:eastAsia="方正楷体简体" w:cs="方正楷体简体"/>
          <w:kern w:val="2"/>
          <w:sz w:val="32"/>
          <w:szCs w:val="32"/>
          <w:lang w:val="en-US" w:eastAsia="zh-CN" w:bidi="ar-SA"/>
        </w:rPr>
        <w:t>（4）可持续影响：</w:t>
      </w:r>
      <w:r>
        <w:rPr>
          <w:rFonts w:hint="eastAsia" w:ascii="仿宋_GB2312" w:hAnsi="宋体" w:eastAsia="仿宋_GB2312"/>
          <w:sz w:val="32"/>
          <w:szCs w:val="32"/>
        </w:rPr>
        <w:t>维护社会稳定，促进社会和谐发展。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pPr>
      <w:r>
        <w:rPr>
          <w:rFonts w:hint="eastAsia" w:ascii="方正楷体简体" w:hAnsi="方正楷体简体" w:eastAsia="方正楷体简体" w:cs="方正楷体简体"/>
          <w:kern w:val="2"/>
          <w:sz w:val="32"/>
          <w:szCs w:val="32"/>
          <w:lang w:val="en-US" w:eastAsia="zh-CN" w:bidi="ar-SA"/>
        </w:rPr>
        <w:t>（5）满意度：</w:t>
      </w:r>
      <w:r>
        <w:rPr>
          <w:rFonts w:hint="eastAsia" w:ascii="方正仿宋简体" w:hAnsi="方正仿宋简体" w:eastAsia="方正仿宋简体" w:cs="方正仿宋简体"/>
          <w:kern w:val="2"/>
          <w:sz w:val="32"/>
          <w:szCs w:val="32"/>
          <w:lang w:val="en-US" w:eastAsia="zh-CN" w:bidi="ar-SA"/>
        </w:rPr>
        <w:t>2023年信访工作未接到人民群众、部门工作人员及相关不满意情况反映，满意度为98%。</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eastAsia="方正黑体简体"/>
          <w:sz w:val="32"/>
          <w:szCs w:val="32"/>
        </w:rPr>
      </w:pPr>
      <w:r>
        <w:rPr>
          <w:rFonts w:hint="eastAsia" w:eastAsia="方正黑体简体"/>
          <w:sz w:val="32"/>
          <w:szCs w:val="32"/>
        </w:rPr>
        <w:t>二、绩效自评工作情况</w:t>
      </w:r>
    </w:p>
    <w:p>
      <w:pPr>
        <w:keepNext w:val="0"/>
        <w:keepLines w:val="0"/>
        <w:pageBreakBefore w:val="0"/>
        <w:kinsoku/>
        <w:wordWrap/>
        <w:overflowPunct/>
        <w:topLinePunct w:val="0"/>
        <w:autoSpaceDE/>
        <w:autoSpaceDN/>
        <w:bidi w:val="0"/>
        <w:spacing w:line="590" w:lineRule="exact"/>
        <w:ind w:left="0" w:leftChars="0" w:firstLine="643" w:firstLineChars="200"/>
        <w:textAlignment w:val="auto"/>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（一）自评工作组织领导</w:t>
      </w:r>
    </w:p>
    <w:p>
      <w:pPr>
        <w:pStyle w:val="10"/>
        <w:keepNext w:val="0"/>
        <w:keepLines w:val="0"/>
        <w:pageBreakBefore w:val="0"/>
        <w:kinsoku/>
        <w:wordWrap/>
        <w:overflowPunct/>
        <w:topLinePunct w:val="0"/>
        <w:autoSpaceDE/>
        <w:autoSpaceDN/>
        <w:bidi w:val="0"/>
        <w:spacing w:line="59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一是</w:t>
      </w:r>
      <w:r>
        <w:rPr>
          <w:rFonts w:hint="eastAsia" w:ascii="方正仿宋简体" w:hAnsi="方正仿宋简体" w:eastAsia="方正仿宋简体" w:cs="方正仿宋简体"/>
          <w:kern w:val="2"/>
          <w:sz w:val="32"/>
          <w:szCs w:val="32"/>
          <w:lang w:val="en-US" w:eastAsia="zh-CN" w:bidi="ar-SA"/>
        </w:rPr>
        <w:t>高度重视绩效评价工作，成立了以局长为组长，分管副局为副组长，办公室、网信股、督查督办股、接待中心工作人员为成员的绩效评价领导小组，明确绩效工作评价责任，进一步强化各股室对财政预算支出的管理意识；</w:t>
      </w:r>
      <w:r>
        <w:rPr>
          <w:rFonts w:hint="eastAsia" w:ascii="方正楷体简体" w:hAnsi="方正楷体简体" w:eastAsia="方正楷体简体" w:cs="方正楷体简体"/>
          <w:b w:val="0"/>
          <w:bCs w:val="0"/>
          <w:kern w:val="2"/>
          <w:sz w:val="32"/>
          <w:szCs w:val="32"/>
          <w:lang w:val="en-US" w:eastAsia="zh-CN" w:bidi="ar-SA"/>
        </w:rPr>
        <w:t>二是</w:t>
      </w:r>
      <w:r>
        <w:rPr>
          <w:rFonts w:hint="eastAsia" w:ascii="方正仿宋简体" w:hAnsi="方正仿宋简体" w:eastAsia="方正仿宋简体" w:cs="方正仿宋简体"/>
          <w:kern w:val="2"/>
          <w:sz w:val="32"/>
          <w:szCs w:val="32"/>
          <w:lang w:val="en-US" w:eastAsia="zh-CN" w:bidi="ar-SA"/>
        </w:rPr>
        <w:t>收集、整理资料；</w:t>
      </w:r>
      <w:r>
        <w:rPr>
          <w:rFonts w:hint="eastAsia" w:ascii="方正楷体简体" w:hAnsi="方正楷体简体" w:eastAsia="方正楷体简体" w:cs="方正楷体简体"/>
          <w:b w:val="0"/>
          <w:bCs w:val="0"/>
          <w:kern w:val="2"/>
          <w:sz w:val="32"/>
          <w:szCs w:val="32"/>
          <w:lang w:val="en-US" w:eastAsia="zh-CN" w:bidi="ar-SA"/>
        </w:rPr>
        <w:t>三是</w:t>
      </w:r>
      <w:r>
        <w:rPr>
          <w:rFonts w:hint="eastAsia" w:ascii="方正仿宋简体" w:hAnsi="方正仿宋简体" w:eastAsia="方正仿宋简体" w:cs="方正仿宋简体"/>
          <w:kern w:val="2"/>
          <w:sz w:val="32"/>
          <w:szCs w:val="32"/>
          <w:lang w:val="en-US" w:eastAsia="zh-CN" w:bidi="ar-SA"/>
        </w:rPr>
        <w:t>客观分析，实事求是，形成报告；</w:t>
      </w:r>
      <w:r>
        <w:rPr>
          <w:rFonts w:hint="eastAsia" w:ascii="方正楷体简体" w:hAnsi="方正楷体简体" w:eastAsia="方正楷体简体" w:cs="方正楷体简体"/>
          <w:b w:val="0"/>
          <w:bCs w:val="0"/>
          <w:kern w:val="2"/>
          <w:sz w:val="32"/>
          <w:szCs w:val="32"/>
          <w:lang w:val="en-US" w:eastAsia="zh-CN" w:bidi="ar-SA"/>
        </w:rPr>
        <w:t>四是</w:t>
      </w:r>
      <w:r>
        <w:rPr>
          <w:rFonts w:hint="eastAsia" w:ascii="方正仿宋简体" w:hAnsi="方正仿宋简体" w:eastAsia="方正仿宋简体" w:cs="方正仿宋简体"/>
          <w:kern w:val="2"/>
          <w:sz w:val="32"/>
          <w:szCs w:val="32"/>
          <w:lang w:val="en-US" w:eastAsia="zh-CN" w:bidi="ar-SA"/>
        </w:rPr>
        <w:t>报送部门整体、项目支出绩效自评报告；</w:t>
      </w:r>
      <w:r>
        <w:rPr>
          <w:rFonts w:hint="eastAsia" w:ascii="方正楷体简体" w:hAnsi="方正楷体简体" w:eastAsia="方正楷体简体" w:cs="方正楷体简体"/>
          <w:b w:val="0"/>
          <w:bCs w:val="0"/>
          <w:kern w:val="2"/>
          <w:sz w:val="32"/>
          <w:szCs w:val="32"/>
          <w:lang w:val="en-US" w:eastAsia="zh-CN" w:bidi="ar-SA"/>
        </w:rPr>
        <w:t>五是</w:t>
      </w:r>
      <w:r>
        <w:rPr>
          <w:rFonts w:hint="eastAsia" w:ascii="方正仿宋简体" w:hAnsi="方正仿宋简体" w:eastAsia="方正仿宋简体" w:cs="方正仿宋简体"/>
          <w:kern w:val="2"/>
          <w:sz w:val="32"/>
          <w:szCs w:val="32"/>
          <w:lang w:val="en-US" w:eastAsia="zh-CN" w:bidi="ar-SA"/>
        </w:rPr>
        <w:t>总结提高，配合县财政局开展绩效评价工作并按要求公开绩效自评情况。</w:t>
      </w:r>
    </w:p>
    <w:p>
      <w:pPr>
        <w:pStyle w:val="10"/>
        <w:keepNext w:val="0"/>
        <w:keepLines w:val="0"/>
        <w:pageBreakBefore w:val="0"/>
        <w:kinsoku/>
        <w:wordWrap/>
        <w:overflowPunct/>
        <w:topLinePunct w:val="0"/>
        <w:autoSpaceDE/>
        <w:autoSpaceDN/>
        <w:bidi w:val="0"/>
        <w:spacing w:line="590" w:lineRule="exact"/>
        <w:ind w:leftChars="100" w:firstLine="643" w:firstLineChars="200"/>
        <w:textAlignment w:val="auto"/>
        <w:rPr>
          <w:rFonts w:hint="eastAsia" w:ascii="方正楷体简体" w:hAnsi="方正楷体简体" w:eastAsia="方正楷体简体" w:cs="方正楷体简体"/>
          <w:b/>
          <w:bCs/>
          <w:kern w:val="2"/>
          <w:sz w:val="32"/>
          <w:szCs w:val="32"/>
          <w:lang w:val="en-US" w:eastAsia="zh-CN" w:bidi="ar-SA"/>
        </w:rPr>
      </w:pPr>
      <w:r>
        <w:rPr>
          <w:rFonts w:hint="eastAsia" w:ascii="方正楷体简体" w:hAnsi="方正楷体简体" w:eastAsia="方正楷体简体" w:cs="方正楷体简体"/>
          <w:b/>
          <w:bCs/>
          <w:kern w:val="2"/>
          <w:sz w:val="32"/>
          <w:szCs w:val="32"/>
          <w:lang w:val="en-US" w:eastAsia="zh-CN" w:bidi="ar-SA"/>
        </w:rPr>
        <w:t>（二）自评方式、方法、重点等</w:t>
      </w:r>
    </w:p>
    <w:p>
      <w:pPr>
        <w:pStyle w:val="10"/>
        <w:keepNext w:val="0"/>
        <w:keepLines w:val="0"/>
        <w:pageBreakBefore w:val="0"/>
        <w:kinsoku/>
        <w:wordWrap/>
        <w:overflowPunct/>
        <w:topLinePunct w:val="0"/>
        <w:autoSpaceDE/>
        <w:autoSpaceDN/>
        <w:bidi w:val="0"/>
        <w:spacing w:line="59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绩效自评方法:按照科学规范、公正公开、绩效相关的原则，依据下达的预算，采用定量与定性相结合，专项经费投入与产出相结合的办法，对照项目实际完成内容，评价实际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对比分析，评价项目预期效益实现程度。本次绩效自评采用百分制，各级指标依据其指标权重确定分值，根据最终得分情况将绩效自评结果分为四个等级:优(得分&gt;90分) ;良(80分&lt;得分&lt;90分) ;中(60≤得分&lt;80分) ;差(得分&lt;60分)。</w:t>
      </w:r>
    </w:p>
    <w:p>
      <w:pPr>
        <w:keepNext w:val="0"/>
        <w:keepLines w:val="0"/>
        <w:pageBreakBefore w:val="0"/>
        <w:kinsoku/>
        <w:wordWrap/>
        <w:overflowPunct/>
        <w:topLinePunct w:val="0"/>
        <w:autoSpaceDE/>
        <w:autoSpaceDN/>
        <w:bidi w:val="0"/>
        <w:spacing w:line="590" w:lineRule="exact"/>
        <w:ind w:left="0" w:leftChars="0" w:firstLine="960" w:firstLineChars="3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三、评价结论</w:t>
      </w:r>
    </w:p>
    <w:p>
      <w:pPr>
        <w:pStyle w:val="7"/>
        <w:keepNext w:val="0"/>
        <w:keepLines w:val="0"/>
        <w:pageBreakBefore w:val="0"/>
        <w:kinsoku/>
        <w:wordWrap/>
        <w:overflowPunct/>
        <w:topLinePunct w:val="0"/>
        <w:autoSpaceDE/>
        <w:autoSpaceDN/>
        <w:bidi w:val="0"/>
        <w:spacing w:line="590" w:lineRule="exact"/>
        <w:ind w:left="0" w:leftChars="0" w:firstLine="947" w:firstLineChars="2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lang w:eastAsia="zh-CN"/>
        </w:rPr>
        <w:t>2023年，县</w:t>
      </w:r>
      <w:r>
        <w:rPr>
          <w:rFonts w:hint="eastAsia" w:ascii="方正仿宋简体" w:hAnsi="方正仿宋简体" w:eastAsia="方正仿宋简体" w:cs="方正仿宋简体"/>
          <w:kern w:val="0"/>
          <w:sz w:val="32"/>
          <w:szCs w:val="32"/>
        </w:rPr>
        <w:t>信访局认真贯彻落实中央、省、市一系列决策部署，紧紧围绕习近平总书记对信访工作的重要批示精神，着力攻坚化解突出信访问题，减存量、控增量、防变量，积极探索让群众“最多访一次”，全面认真履行职责、全力破解信访难题、全心维护群众权益。根据年初的绩效考核工作计划和目标，</w:t>
      </w:r>
      <w:r>
        <w:rPr>
          <w:rFonts w:hint="eastAsia" w:ascii="方正仿宋简体" w:hAnsi="方正仿宋简体" w:eastAsia="方正仿宋简体" w:cs="方正仿宋简体"/>
          <w:kern w:val="0"/>
          <w:sz w:val="32"/>
          <w:szCs w:val="32"/>
          <w:lang w:eastAsia="zh-CN"/>
        </w:rPr>
        <w:t>我</w:t>
      </w:r>
      <w:r>
        <w:rPr>
          <w:rFonts w:hint="eastAsia" w:ascii="方正仿宋简体" w:hAnsi="方正仿宋简体" w:eastAsia="方正仿宋简体" w:cs="方正仿宋简体"/>
          <w:kern w:val="0"/>
          <w:sz w:val="32"/>
          <w:szCs w:val="32"/>
        </w:rPr>
        <w:t>局较好地完成了全年的目标工作任务</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rPr>
        <w:t>依据</w:t>
      </w:r>
      <w:r>
        <w:rPr>
          <w:rFonts w:hint="eastAsia" w:ascii="方正仿宋简体" w:hAnsi="方正仿宋简体" w:eastAsia="方正仿宋简体" w:cs="方正仿宋简体"/>
          <w:kern w:val="0"/>
          <w:sz w:val="32"/>
          <w:szCs w:val="32"/>
          <w:lang w:eastAsia="zh-CN"/>
        </w:rPr>
        <w:t>相关</w:t>
      </w:r>
      <w:r>
        <w:rPr>
          <w:rFonts w:hint="eastAsia" w:ascii="方正仿宋简体" w:hAnsi="方正仿宋简体" w:eastAsia="方正仿宋简体" w:cs="方正仿宋简体"/>
          <w:color w:val="auto"/>
          <w:kern w:val="0"/>
          <w:sz w:val="32"/>
          <w:szCs w:val="32"/>
        </w:rPr>
        <w:t>规定</w:t>
      </w:r>
      <w:r>
        <w:rPr>
          <w:rFonts w:hint="eastAsia" w:ascii="方正仿宋简体" w:hAnsi="方正仿宋简体" w:eastAsia="方正仿宋简体" w:cs="方正仿宋简体"/>
          <w:kern w:val="0"/>
          <w:sz w:val="32"/>
          <w:szCs w:val="32"/>
          <w:lang w:eastAsia="zh-CN"/>
        </w:rPr>
        <w:t>，绩效评价自评得分</w:t>
      </w:r>
      <w:r>
        <w:rPr>
          <w:rFonts w:hint="eastAsia" w:ascii="方正仿宋简体" w:hAnsi="方正仿宋简体" w:eastAsia="方正仿宋简体" w:cs="方正仿宋简体"/>
          <w:kern w:val="0"/>
          <w:sz w:val="32"/>
          <w:szCs w:val="32"/>
          <w:lang w:val="en-US" w:eastAsia="zh-CN"/>
        </w:rPr>
        <w:t>95分，</w:t>
      </w:r>
      <w:r>
        <w:rPr>
          <w:rFonts w:hint="eastAsia" w:ascii="方正仿宋简体" w:hAnsi="方正仿宋简体" w:eastAsia="方正仿宋简体" w:cs="方正仿宋简体"/>
          <w:kern w:val="0"/>
          <w:sz w:val="32"/>
          <w:szCs w:val="32"/>
        </w:rPr>
        <w:t>总体</w:t>
      </w:r>
      <w:r>
        <w:rPr>
          <w:rFonts w:hint="eastAsia" w:ascii="方正仿宋简体" w:hAnsi="方正仿宋简体" w:eastAsia="方正仿宋简体" w:cs="方正仿宋简体"/>
          <w:sz w:val="32"/>
          <w:szCs w:val="32"/>
        </w:rPr>
        <w:t>绩效评价结果</w:t>
      </w:r>
      <w:r>
        <w:rPr>
          <w:rFonts w:hint="eastAsia" w:ascii="方正仿宋简体" w:hAnsi="方正仿宋简体" w:eastAsia="方正仿宋简体" w:cs="方正仿宋简体"/>
          <w:sz w:val="32"/>
          <w:szCs w:val="32"/>
          <w:lang w:eastAsia="zh-CN"/>
        </w:rPr>
        <w:t>为优</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四、绩效分析</w:t>
      </w:r>
    </w:p>
    <w:p>
      <w:pPr>
        <w:pStyle w:val="7"/>
        <w:keepNext w:val="0"/>
        <w:keepLines w:val="0"/>
        <w:pageBreakBefore w:val="0"/>
        <w:kinsoku/>
        <w:wordWrap/>
        <w:overflowPunct/>
        <w:topLinePunct w:val="0"/>
        <w:autoSpaceDE/>
        <w:autoSpaceDN/>
        <w:bidi w:val="0"/>
        <w:spacing w:line="590" w:lineRule="exact"/>
        <w:ind w:left="0" w:leftChars="0" w:firstLine="627" w:firstLineChars="1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2023年</w:t>
      </w:r>
      <w:r>
        <w:rPr>
          <w:rFonts w:hint="eastAsia" w:ascii="方正仿宋简体" w:hAnsi="方正仿宋简体" w:eastAsia="方正仿宋简体" w:cs="方正仿宋简体"/>
          <w:sz w:val="32"/>
          <w:szCs w:val="32"/>
        </w:rPr>
        <w:t>，根据局年初工作规划和重点性工作，积极履职，强化管理，较好的完成了年度工作目标。通过加强预算收支管理，不断建立健全内部管理制度，梳理内部管理流程，部门</w:t>
      </w:r>
      <w:r>
        <w:rPr>
          <w:rFonts w:hint="eastAsia" w:ascii="方正仿宋简体" w:hAnsi="方正仿宋简体" w:eastAsia="方正仿宋简体" w:cs="方正仿宋简体"/>
          <w:sz w:val="32"/>
          <w:szCs w:val="32"/>
          <w:lang w:eastAsia="zh-CN"/>
        </w:rPr>
        <w:t>项目</w:t>
      </w:r>
      <w:r>
        <w:rPr>
          <w:rFonts w:hint="eastAsia" w:ascii="方正仿宋简体" w:hAnsi="方正仿宋简体" w:eastAsia="方正仿宋简体" w:cs="方正仿宋简体"/>
          <w:sz w:val="32"/>
          <w:szCs w:val="32"/>
        </w:rPr>
        <w:t>支出管理情况得到提升。</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五、主要经验及做法、存在的问题和建议</w:t>
      </w:r>
    </w:p>
    <w:p>
      <w:pPr>
        <w:pStyle w:val="7"/>
        <w:keepNext w:val="0"/>
        <w:keepLines w:val="0"/>
        <w:pageBreakBefore w:val="0"/>
        <w:kinsoku/>
        <w:wordWrap/>
        <w:overflowPunct/>
        <w:topLinePunct w:val="0"/>
        <w:autoSpaceDE/>
        <w:autoSpaceDN/>
        <w:bidi w:val="0"/>
        <w:spacing w:line="590" w:lineRule="exact"/>
        <w:ind w:left="0" w:leftChars="0" w:firstLine="630" w:firstLineChars="196"/>
        <w:textAlignment w:val="auto"/>
      </w:pPr>
      <w:r>
        <w:rPr>
          <w:rFonts w:hint="eastAsia" w:ascii="方正楷体简体" w:hAnsi="方正楷体简体" w:eastAsia="方正楷体简体" w:cs="方正楷体简体"/>
          <w:b/>
          <w:sz w:val="32"/>
          <w:szCs w:val="32"/>
        </w:rPr>
        <w:t>（一）主要经验及做法</w:t>
      </w:r>
      <w:r>
        <w:rPr>
          <w:rFonts w:hint="eastAsia" w:ascii="方正楷体简体" w:hAnsi="方正楷体简体" w:eastAsia="方正楷体简体" w:cs="方正楷体简体"/>
          <w:b/>
          <w:sz w:val="32"/>
          <w:szCs w:val="32"/>
          <w:lang w:eastAsia="zh-CN"/>
        </w:rPr>
        <w:t>。</w:t>
      </w:r>
      <w:r>
        <w:rPr>
          <w:rFonts w:hint="eastAsia" w:ascii="方正楷体简体" w:hAnsi="方正楷体简体" w:eastAsia="方正楷体简体" w:cs="方正楷体简体"/>
          <w:b w:val="0"/>
          <w:bCs/>
          <w:sz w:val="32"/>
          <w:szCs w:val="32"/>
          <w:lang w:eastAsia="zh-CN"/>
        </w:rPr>
        <w:t>一是</w:t>
      </w:r>
      <w:r>
        <w:rPr>
          <w:rFonts w:hint="eastAsia" w:ascii="方正仿宋简体" w:hAnsi="方正仿宋简体" w:eastAsia="方正仿宋简体" w:cs="方正仿宋简体"/>
          <w:sz w:val="32"/>
          <w:szCs w:val="32"/>
        </w:rPr>
        <w:t>领导高度重视，对年初纳入预算绩效的工作内容严格抓落实，要求保质保量；</w:t>
      </w:r>
      <w:r>
        <w:rPr>
          <w:rFonts w:hint="eastAsia" w:ascii="方正楷体简体" w:hAnsi="方正楷体简体" w:eastAsia="方正楷体简体" w:cs="方正楷体简体"/>
          <w:b w:val="0"/>
          <w:bCs w:val="0"/>
          <w:sz w:val="32"/>
          <w:szCs w:val="32"/>
          <w:lang w:eastAsia="zh-CN"/>
        </w:rPr>
        <w:t>二是</w:t>
      </w:r>
      <w:r>
        <w:rPr>
          <w:rFonts w:hint="eastAsia" w:ascii="方正仿宋简体" w:hAnsi="方正仿宋简体" w:eastAsia="方正仿宋简体" w:cs="方正仿宋简体"/>
          <w:sz w:val="32"/>
          <w:szCs w:val="32"/>
        </w:rPr>
        <w:t>工作规划提前部署，绩效目标的制定必须和当年的重点工作紧密联系，和目标责任管理结合，目标标准定制要合理，可以达到和完成。</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（二）存在的问题</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由于信访工作具有其特殊性,投入产出评价指标难以用数据直接体现,定量分析还有待加强。</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（三）建议和改进措施</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一是科学合理编制预算 ,严格执行预算;二是规范账务处理,提高财务信息质量;三是完善管理制度,进一步加强资金管理 ;四是坚持问题导向,建立预算支出绩效评价长效机制。</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r>
        <w:rPr>
          <w:rFonts w:hint="eastAsia" w:eastAsia="方正仿宋简体"/>
          <w:sz w:val="32"/>
          <w:szCs w:val="32"/>
        </w:rPr>
        <w:t>附件：</w:t>
      </w:r>
      <w:r>
        <w:rPr>
          <w:rFonts w:hint="eastAsia" w:eastAsia="方正仿宋简体"/>
          <w:sz w:val="32"/>
          <w:szCs w:val="32"/>
          <w:lang w:val="en-US" w:eastAsia="zh-CN"/>
        </w:rPr>
        <w:t>2-</w:t>
      </w:r>
      <w:r>
        <w:rPr>
          <w:rFonts w:eastAsia="方正仿宋简体"/>
          <w:sz w:val="32"/>
          <w:szCs w:val="32"/>
        </w:rPr>
        <w:t>1.</w:t>
      </w:r>
      <w:r>
        <w:rPr>
          <w:rFonts w:hint="eastAsia" w:eastAsia="方正仿宋简体"/>
          <w:sz w:val="32"/>
          <w:szCs w:val="32"/>
          <w:lang w:eastAsia="zh-CN"/>
        </w:rPr>
        <w:t>2023年</w:t>
      </w:r>
      <w:r>
        <w:rPr>
          <w:rFonts w:hint="eastAsia" w:eastAsia="方正仿宋简体"/>
          <w:sz w:val="32"/>
          <w:szCs w:val="32"/>
        </w:rPr>
        <w:t>度乐至县项目支出绩效自评计分表</w:t>
      </w:r>
    </w:p>
    <w:p>
      <w:pPr>
        <w:keepNext w:val="0"/>
        <w:keepLines w:val="0"/>
        <w:pageBreakBefore w:val="0"/>
        <w:kinsoku/>
        <w:wordWrap/>
        <w:overflowPunct/>
        <w:topLinePunct w:val="0"/>
        <w:autoSpaceDE/>
        <w:autoSpaceDN/>
        <w:bidi w:val="0"/>
        <w:spacing w:line="590" w:lineRule="exact"/>
        <w:ind w:firstLine="1600" w:firstLineChars="500"/>
        <w:textAlignment w:val="auto"/>
        <w:rPr>
          <w:rFonts w:eastAsia="方正仿宋简体"/>
          <w:sz w:val="32"/>
          <w:szCs w:val="32"/>
        </w:rPr>
      </w:pPr>
      <w:r>
        <w:rPr>
          <w:rFonts w:eastAsia="方正仿宋简体"/>
          <w:sz w:val="32"/>
          <w:szCs w:val="32"/>
        </w:rPr>
        <w:t>2</w:t>
      </w:r>
      <w:r>
        <w:rPr>
          <w:rFonts w:hint="eastAsia" w:eastAsia="方正仿宋简体"/>
          <w:sz w:val="32"/>
          <w:szCs w:val="32"/>
          <w:lang w:val="en-US" w:eastAsia="zh-CN"/>
        </w:rPr>
        <w:t>-2</w:t>
      </w:r>
      <w:r>
        <w:rPr>
          <w:rFonts w:eastAsia="方正仿宋简体"/>
          <w:sz w:val="32"/>
          <w:szCs w:val="32"/>
        </w:rPr>
        <w:t>.</w:t>
      </w:r>
      <w:r>
        <w:rPr>
          <w:rFonts w:hint="eastAsia" w:eastAsia="方正仿宋简体"/>
          <w:sz w:val="32"/>
          <w:szCs w:val="32"/>
          <w:lang w:eastAsia="zh-CN"/>
        </w:rPr>
        <w:t>2023年</w:t>
      </w:r>
      <w:r>
        <w:rPr>
          <w:rFonts w:hint="eastAsia" w:eastAsia="方正仿宋简体"/>
          <w:sz w:val="32"/>
          <w:szCs w:val="32"/>
        </w:rPr>
        <w:t>度乐至县项目支出绩效目标完成情况表</w:t>
      </w:r>
    </w:p>
    <w:p>
      <w:pPr>
        <w:keepNext w:val="0"/>
        <w:keepLines w:val="0"/>
        <w:pageBreakBefore w:val="0"/>
        <w:kinsoku/>
        <w:wordWrap/>
        <w:overflowPunct/>
        <w:topLinePunct w:val="0"/>
        <w:autoSpaceDE/>
        <w:autoSpaceDN/>
        <w:bidi w:val="0"/>
        <w:spacing w:line="590" w:lineRule="exact"/>
        <w:jc w:val="left"/>
        <w:textAlignment w:val="auto"/>
        <w:rPr>
          <w:rFonts w:ascii="宋体" w:hAnsi="宋体" w:eastAsia="方正仿宋简体"/>
          <w:b/>
          <w:sz w:val="32"/>
          <w:szCs w:val="32"/>
        </w:rPr>
      </w:pPr>
    </w:p>
    <w:p>
      <w:pPr>
        <w:keepNext w:val="0"/>
        <w:keepLines w:val="0"/>
        <w:pageBreakBefore w:val="0"/>
        <w:kinsoku/>
        <w:wordWrap/>
        <w:overflowPunct/>
        <w:topLinePunct w:val="0"/>
        <w:autoSpaceDE/>
        <w:autoSpaceDN/>
        <w:bidi w:val="0"/>
        <w:spacing w:line="590" w:lineRule="exact"/>
        <w:ind w:firstLine="1606" w:firstLineChars="500"/>
        <w:textAlignment w:val="auto"/>
        <w:rPr>
          <w:rFonts w:hint="eastAsia" w:eastAsia="方正仿宋简体"/>
          <w:sz w:val="32"/>
          <w:szCs w:val="32"/>
          <w:lang w:val="en-US" w:eastAsia="zh-CN"/>
        </w:rPr>
      </w:pPr>
      <w:r>
        <w:rPr>
          <w:rFonts w:hint="eastAsia" w:ascii="宋体" w:hAnsi="宋体" w:eastAsia="方正仿宋简体"/>
          <w:b/>
          <w:sz w:val="32"/>
          <w:szCs w:val="32"/>
          <w:lang w:val="en-US" w:eastAsia="zh-CN"/>
        </w:rPr>
        <w:t xml:space="preserve">                         </w:t>
      </w:r>
      <w:r>
        <w:rPr>
          <w:rFonts w:hint="eastAsia" w:eastAsia="方正仿宋简体"/>
          <w:sz w:val="32"/>
          <w:szCs w:val="32"/>
          <w:lang w:val="en-US" w:eastAsia="zh-CN"/>
        </w:rPr>
        <w:t>乐至县信访局</w:t>
      </w:r>
    </w:p>
    <w:p>
      <w:pPr>
        <w:keepNext w:val="0"/>
        <w:keepLines w:val="0"/>
        <w:pageBreakBefore w:val="0"/>
        <w:kinsoku/>
        <w:wordWrap/>
        <w:overflowPunct/>
        <w:topLinePunct w:val="0"/>
        <w:autoSpaceDE/>
        <w:autoSpaceDN/>
        <w:bidi w:val="0"/>
        <w:spacing w:line="590" w:lineRule="exact"/>
        <w:ind w:firstLine="1600" w:firstLineChars="500"/>
        <w:textAlignment w:val="auto"/>
        <w:rPr>
          <w:rFonts w:hint="default" w:eastAsia="方正仿宋简体"/>
          <w:sz w:val="32"/>
          <w:szCs w:val="32"/>
          <w:lang w:val="en-US" w:eastAsia="zh-CN"/>
        </w:rPr>
      </w:pPr>
      <w:r>
        <w:rPr>
          <w:rFonts w:hint="eastAsia" w:eastAsia="方正仿宋简体"/>
          <w:sz w:val="32"/>
          <w:szCs w:val="32"/>
          <w:lang w:val="en-US" w:eastAsia="zh-CN"/>
        </w:rPr>
        <w:t xml:space="preserve">                        2024年7月11日</w:t>
      </w:r>
    </w:p>
    <w:p>
      <w:pPr>
        <w:keepNext w:val="0"/>
        <w:keepLines w:val="0"/>
        <w:pageBreakBefore w:val="0"/>
        <w:kinsoku/>
        <w:wordWrap/>
        <w:overflowPunct/>
        <w:topLinePunct w:val="0"/>
        <w:autoSpaceDE/>
        <w:autoSpaceDN/>
        <w:bidi w:val="0"/>
        <w:spacing w:line="590" w:lineRule="exact"/>
        <w:ind w:left="1917" w:leftChars="760" w:hanging="321" w:hangingChars="100"/>
        <w:jc w:val="left"/>
        <w:textAlignment w:val="auto"/>
        <w:rPr>
          <w:rFonts w:ascii="宋体" w:hAnsi="宋体" w:eastAsia="方正仿宋简体"/>
          <w:b/>
          <w:sz w:val="32"/>
          <w:szCs w:val="32"/>
        </w:rPr>
      </w:pPr>
    </w:p>
    <w:p>
      <w:pPr>
        <w:keepNext w:val="0"/>
        <w:keepLines w:val="0"/>
        <w:pageBreakBefore w:val="0"/>
        <w:kinsoku/>
        <w:wordWrap/>
        <w:overflowPunct/>
        <w:topLinePunct w:val="0"/>
        <w:autoSpaceDE/>
        <w:autoSpaceDN/>
        <w:bidi w:val="0"/>
        <w:spacing w:line="590" w:lineRule="exact"/>
        <w:ind w:left="1917" w:leftChars="760" w:hanging="321" w:hangingChars="100"/>
        <w:jc w:val="left"/>
        <w:textAlignment w:val="auto"/>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footerReference r:id="rId5" w:type="default"/>
          <w:pgSz w:w="11907" w:h="16840"/>
          <w:pgMar w:top="2098" w:right="1531" w:bottom="1984" w:left="1531" w:header="851" w:footer="992" w:gutter="0"/>
          <w:pgNumType w:fmt="numberInDash"/>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2-</w:t>
      </w:r>
      <w:r>
        <w:rPr>
          <w:rFonts w:eastAsia="方正黑体简体"/>
          <w:bCs/>
          <w:kern w:val="0"/>
          <w:sz w:val="32"/>
          <w:szCs w:val="32"/>
        </w:rPr>
        <w:t>1</w:t>
      </w:r>
    </w:p>
    <w:p>
      <w:pPr>
        <w:spacing w:line="620" w:lineRule="exact"/>
        <w:jc w:val="center"/>
        <w:rPr>
          <w:rFonts w:eastAsia="方正小标宋简体"/>
          <w:bCs/>
          <w:kern w:val="0"/>
          <w:sz w:val="44"/>
          <w:szCs w:val="44"/>
        </w:rPr>
      </w:pPr>
      <w:r>
        <w:rPr>
          <w:rFonts w:hint="eastAsia" w:eastAsia="方正小标宋简体"/>
          <w:bCs/>
          <w:kern w:val="0"/>
          <w:sz w:val="44"/>
          <w:szCs w:val="44"/>
          <w:lang w:eastAsia="zh-CN"/>
        </w:rPr>
        <w:t>2023年</w:t>
      </w:r>
      <w:r>
        <w:rPr>
          <w:rFonts w:hint="eastAsia" w:eastAsia="方正小标宋简体"/>
          <w:bCs/>
          <w:kern w:val="0"/>
          <w:sz w:val="44"/>
          <w:szCs w:val="44"/>
        </w:rPr>
        <w:t>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rPr>
        <w:t>禁毒重点整治驻外处访工作经费</w:t>
      </w:r>
      <w:r>
        <w:rPr>
          <w:rFonts w:hint="eastAsia" w:eastAsia="方正楷体简体"/>
          <w:b/>
          <w:bCs/>
          <w:kern w:val="0"/>
          <w:sz w:val="32"/>
          <w:szCs w:val="32"/>
        </w:rPr>
        <w:t>）</w:t>
      </w:r>
    </w:p>
    <w:p>
      <w:pPr>
        <w:spacing w:line="620" w:lineRule="exact"/>
        <w:rPr>
          <w:rFonts w:hint="default" w:eastAsia="宋体"/>
          <w:sz w:val="24"/>
          <w:lang w:val="en-US" w:eastAsia="zh-CN"/>
        </w:rPr>
      </w:pPr>
      <w:r>
        <w:rPr>
          <w:rFonts w:hint="eastAsia"/>
          <w:bCs/>
          <w:kern w:val="0"/>
          <w:sz w:val="24"/>
        </w:rPr>
        <w:t>预算单位名称：</w:t>
      </w:r>
      <w:r>
        <w:rPr>
          <w:rFonts w:hint="eastAsia"/>
          <w:bCs/>
          <w:kern w:val="0"/>
          <w:sz w:val="24"/>
          <w:lang w:eastAsia="zh-CN"/>
        </w:rPr>
        <w:t>乐至县信访局</w:t>
      </w:r>
      <w:r>
        <w:rPr>
          <w:rFonts w:hint="eastAsia"/>
          <w:bCs/>
          <w:kern w:val="0"/>
          <w:sz w:val="24"/>
          <w:lang w:val="en-US" w:eastAsia="zh-CN"/>
        </w:rPr>
        <w:t xml:space="preserve">      </w:t>
      </w:r>
      <w:r>
        <w:rPr>
          <w:rFonts w:hint="eastAsia"/>
          <w:bCs/>
          <w:kern w:val="0"/>
          <w:sz w:val="24"/>
        </w:rPr>
        <w:t>预算单位编码：</w:t>
      </w:r>
      <w:r>
        <w:rPr>
          <w:rFonts w:hint="eastAsia"/>
          <w:bCs/>
          <w:kern w:val="0"/>
          <w:sz w:val="24"/>
          <w:lang w:val="en-US" w:eastAsia="zh-CN"/>
        </w:rPr>
        <w:t>111001</w:t>
      </w:r>
      <w:r>
        <w:rPr>
          <w:bCs/>
          <w:kern w:val="0"/>
          <w:sz w:val="24"/>
        </w:rPr>
        <w:t xml:space="preserve">  </w:t>
      </w:r>
      <w:r>
        <w:rPr>
          <w:rFonts w:hint="eastAsia"/>
          <w:bCs/>
          <w:kern w:val="0"/>
          <w:sz w:val="24"/>
          <w:lang w:val="en-US" w:eastAsia="zh-CN"/>
        </w:rPr>
        <w:t xml:space="preserve">   </w:t>
      </w:r>
      <w:r>
        <w:rPr>
          <w:rFonts w:hint="eastAsia"/>
          <w:bCs/>
          <w:kern w:val="0"/>
          <w:sz w:val="24"/>
        </w:rPr>
        <w:t>自评等级：</w:t>
      </w:r>
      <w:r>
        <w:rPr>
          <w:rFonts w:hint="eastAsia"/>
          <w:bCs/>
          <w:kern w:val="0"/>
          <w:sz w:val="24"/>
          <w:lang w:val="en-US" w:eastAsia="zh-CN"/>
        </w:rPr>
        <w:t>95</w:t>
      </w:r>
    </w:p>
    <w:tbl>
      <w:tblPr>
        <w:tblStyle w:val="18"/>
        <w:tblW w:w="524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16"/>
        <w:gridCol w:w="474"/>
        <w:gridCol w:w="474"/>
        <w:gridCol w:w="1761"/>
        <w:gridCol w:w="2360"/>
        <w:gridCol w:w="635"/>
        <w:gridCol w:w="33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16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4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26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4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77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40" w:type="pct"/>
            <w:noWrap/>
            <w:vAlign w:val="center"/>
          </w:tcPr>
          <w:p>
            <w:pPr>
              <w:widowControl/>
              <w:spacing w:line="240" w:lineRule="exact"/>
              <w:ind w:firstLine="210" w:firstLineChars="100"/>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kern w:val="0"/>
                <w:szCs w:val="21"/>
                <w:lang w:eastAsia="zh-CN"/>
              </w:rPr>
            </w:pPr>
            <w:r>
              <w:rPr>
                <w:rFonts w:hint="eastAsia"/>
                <w:kern w:val="0"/>
                <w:szCs w:val="21"/>
              </w:rPr>
              <w:t>　</w:t>
            </w:r>
            <w:r>
              <w:rPr>
                <w:rFonts w:hint="eastAsia"/>
                <w:kern w:val="0"/>
                <w:szCs w:val="21"/>
                <w:lang w:eastAsia="zh-CN"/>
              </w:rPr>
              <w:t>项目的申请、设立严格按</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lang w:eastAsia="zh-CN"/>
              </w:rPr>
              <w:t>照相关规定进行。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项目所设定的绩效目标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符合国家相关法律规</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定，且符合客观事实。</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绩效目标设定的绩效指标清</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lang w:eastAsia="zh-CN"/>
              </w:rPr>
              <w:t>晰、细化、可衡量。</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资金到位率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10万元</w:t>
            </w:r>
            <w:r>
              <w:t>/</w:t>
            </w:r>
            <w:r>
              <w:rPr>
                <w:rFonts w:hint="eastAsia"/>
                <w:lang w:val="en-US" w:eastAsia="zh-CN"/>
              </w:rPr>
              <w:t>10万元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到位及时率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10万元</w:t>
            </w:r>
            <w:r>
              <w:t>/</w:t>
            </w:r>
            <w:r>
              <w:rPr>
                <w:rFonts w:hint="eastAsia"/>
                <w:lang w:val="en-US" w:eastAsia="zh-CN"/>
              </w:rPr>
              <w:t>10万元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169"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已制定合法、合规、完整的</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管理制度。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制度执行按照相关法律法规和</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业务管理规定进行，并且相</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关资料都落实到位。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已制定相应的项目质量标准，</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采取了相应的控制措施。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已制定符合相关财务会计制度</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规定的资金管理办法。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7</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项目资金使用符合相关的财务</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管理制度规定。</w:t>
            </w:r>
          </w:p>
          <w:p>
            <w:pPr>
              <w:pStyle w:val="10"/>
              <w:keepNext w:val="0"/>
              <w:keepLines w:val="0"/>
              <w:pageBreakBefore w:val="0"/>
              <w:kinsoku/>
              <w:wordWrap/>
              <w:overflowPunct/>
              <w:topLinePunct w:val="0"/>
              <w:autoSpaceDE/>
              <w:autoSpaceDN/>
              <w:bidi w:val="0"/>
              <w:spacing w:line="240" w:lineRule="auto"/>
              <w:ind w:left="0" w:leftChars="0" w:firstLine="0" w:firstLineChars="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2</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已具有相应的财务监控机制，</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并采取了必要的监控措施。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264"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实际完成率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派驻驻重庆、成都工作组</w:t>
            </w:r>
            <w:r>
              <w:t>/</w:t>
            </w:r>
            <w:r>
              <w:rPr>
                <w:rFonts w:hint="eastAsia"/>
                <w:lang w:eastAsia="zh-CN"/>
              </w:rPr>
              <w:t>派驻驻重庆、成都工作组</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spacing w:val="-14"/>
                <w:kern w:val="0"/>
                <w:szCs w:val="21"/>
                <w:lang w:eastAsia="zh-CN"/>
              </w:rPr>
              <w:t>（实际完成率</w:t>
            </w:r>
            <w:r>
              <w:rPr>
                <w:rFonts w:hint="eastAsia"/>
                <w:spacing w:val="-14"/>
                <w:kern w:val="0"/>
                <w:szCs w:val="21"/>
                <w:lang w:val="en-US" w:eastAsia="zh-CN"/>
              </w:rPr>
              <w:t>100%</w:t>
            </w:r>
            <w:r>
              <w:rPr>
                <w:rFonts w:hint="eastAsia"/>
                <w:spacing w:val="-14"/>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完成及时率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val="en-US" w:eastAsia="zh-CN"/>
              </w:rPr>
              <w:t>2023年</w:t>
            </w:r>
            <w:r>
              <w:t>-</w:t>
            </w:r>
            <w:r>
              <w:rPr>
                <w:rFonts w:hint="eastAsia"/>
                <w:lang w:val="en-US" w:eastAsia="zh-CN"/>
              </w:rPr>
              <w:t>2023年底</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rPr>
                <w:rFonts w:hint="eastAsia"/>
              </w:rPr>
              <w:t>）</w:t>
            </w:r>
            <w:r>
              <w:t>/</w:t>
            </w:r>
            <w:r>
              <w:rPr>
                <w:rFonts w:hint="eastAsia"/>
                <w:lang w:val="en-US" w:eastAsia="zh-CN"/>
              </w:rPr>
              <w:t>2023年</w:t>
            </w:r>
            <w:r>
              <w:t>]</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（完成及时率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质量达标率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发生涉毒人员上访事件</w:t>
            </w:r>
            <w:r>
              <w:rPr>
                <w:rFonts w:hint="eastAsia"/>
                <w:lang w:val="en-US" w:eastAsia="zh-CN"/>
              </w:rPr>
              <w:t>0件/</w:t>
            </w:r>
            <w:r>
              <w:rPr>
                <w:rFonts w:hint="eastAsia"/>
                <w:lang w:eastAsia="zh-CN"/>
              </w:rPr>
              <w:t>未发生涉毒人员上访事件</w:t>
            </w:r>
            <w:r>
              <w:rPr>
                <w:rFonts w:hint="eastAsia"/>
                <w:lang w:val="en-US" w:eastAsia="zh-CN"/>
              </w:rPr>
              <w:t>0件</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（质量达标率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成本节约率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10万元</w:t>
            </w:r>
            <w:r>
              <w:t>-</w:t>
            </w:r>
            <w:r>
              <w:rPr>
                <w:rFonts w:hint="eastAsia"/>
                <w:lang w:val="en-US" w:eastAsia="zh-CN"/>
              </w:rPr>
              <w:t>10万元</w:t>
            </w:r>
            <w:r>
              <w:rPr>
                <w:rFonts w:hint="eastAsia"/>
              </w:rPr>
              <w:t>）</w:t>
            </w:r>
            <w:r>
              <w:t>/</w:t>
            </w:r>
            <w:r>
              <w:rPr>
                <w:rFonts w:hint="eastAsia"/>
                <w:lang w:val="en-US" w:eastAsia="zh-CN"/>
              </w:rPr>
              <w:t>10万元</w:t>
            </w:r>
            <w:r>
              <w:t>]</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(节约)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264"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达到预期的经济效益。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维护社会稳定，社会效益好。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ascii="Times New Roman" w:hAnsi="Times New Roman" w:eastAsia="宋体" w:cs="Times New Roman"/>
                <w:kern w:val="0"/>
                <w:sz w:val="21"/>
                <w:szCs w:val="21"/>
                <w:lang w:val="en-US" w:eastAsia="zh-CN" w:bidi="ar-SA"/>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维护社会长治久安，可持续性好。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10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服务对象评价满意。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2884"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40"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95</w:t>
            </w:r>
          </w:p>
        </w:tc>
        <w:tc>
          <w:tcPr>
            <w:tcW w:w="177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hint="eastAsia" w:eastAsia="方正黑体简体"/>
          <w:sz w:val="32"/>
          <w:szCs w:val="32"/>
          <w:lang w:val="en-US" w:eastAsia="zh-CN"/>
        </w:rPr>
        <w:t>2-</w:t>
      </w:r>
      <w:r>
        <w:rPr>
          <w:rFonts w:eastAsia="方正黑体简体"/>
          <w:sz w:val="32"/>
          <w:szCs w:val="32"/>
        </w:rPr>
        <w:t>2</w:t>
      </w:r>
    </w:p>
    <w:p>
      <w:pPr>
        <w:spacing w:line="620" w:lineRule="exact"/>
        <w:jc w:val="center"/>
        <w:rPr>
          <w:rFonts w:eastAsia="方正小标宋简体"/>
          <w:color w:val="000000"/>
          <w:spacing w:val="-12"/>
          <w:kern w:val="0"/>
          <w:sz w:val="36"/>
          <w:szCs w:val="36"/>
        </w:rPr>
      </w:pPr>
      <w:r>
        <w:rPr>
          <w:rFonts w:hint="eastAsia" w:eastAsia="方正小标宋简体"/>
          <w:color w:val="000000"/>
          <w:spacing w:val="-12"/>
          <w:kern w:val="0"/>
          <w:sz w:val="36"/>
          <w:szCs w:val="36"/>
          <w:lang w:eastAsia="zh-CN"/>
        </w:rPr>
        <w:t>2023年</w:t>
      </w:r>
      <w:r>
        <w:rPr>
          <w:rFonts w:hint="eastAsia" w:eastAsia="方正小标宋简体"/>
          <w:color w:val="000000"/>
          <w:spacing w:val="-12"/>
          <w:kern w:val="0"/>
          <w:sz w:val="36"/>
          <w:szCs w:val="36"/>
        </w:rPr>
        <w:t>度乐至县项目支出绩效目标完成情况表</w:t>
      </w:r>
    </w:p>
    <w:p>
      <w:pPr>
        <w:pStyle w:val="7"/>
        <w:spacing w:line="240" w:lineRule="exact"/>
        <w:rPr>
          <w:rFonts w:ascii="宋体"/>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43"/>
        <w:gridCol w:w="1395"/>
        <w:gridCol w:w="1030"/>
        <w:gridCol w:w="1454"/>
        <w:gridCol w:w="1133"/>
        <w:gridCol w:w="1427"/>
        <w:gridCol w:w="18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rFonts w:hint="eastAsia" w:eastAsia="宋体"/>
                <w:color w:val="000000"/>
                <w:kern w:val="0"/>
                <w:szCs w:val="21"/>
                <w:lang w:eastAsia="zh-CN"/>
              </w:rPr>
            </w:pPr>
            <w:r>
              <w:rPr>
                <w:rFonts w:hint="eastAsia" w:ascii="方正仿宋简体" w:hAnsi="方正仿宋简体" w:eastAsia="方正仿宋简体" w:cs="方正仿宋简体"/>
                <w:kern w:val="2"/>
                <w:sz w:val="24"/>
                <w:szCs w:val="24"/>
                <w:lang w:val="en-US" w:eastAsia="zh-CN" w:bidi="ar-SA"/>
              </w:rPr>
              <w:t>禁毒重点整治驻外处访工作经费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乐至县信访局</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111001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lang w:val="en-US" w:eastAsia="zh-CN"/>
              </w:rPr>
              <w:t>10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10</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10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rFonts w:hint="default"/>
                <w:color w:val="000000"/>
                <w:kern w:val="0"/>
                <w:szCs w:val="21"/>
                <w:lang w:val="en-US"/>
              </w:rPr>
            </w:pPr>
            <w:r>
              <w:rPr>
                <w:rFonts w:hint="default"/>
                <w:color w:val="000000"/>
                <w:kern w:val="0"/>
                <w:szCs w:val="21"/>
                <w:lang w:val="en-US"/>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10</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10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10</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10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目标</w:t>
            </w:r>
            <w:r>
              <w:rPr>
                <w:color w:val="000000"/>
                <w:kern w:val="0"/>
                <w:szCs w:val="21"/>
              </w:rPr>
              <w:t>1:</w:t>
            </w:r>
            <w:r>
              <w:rPr>
                <w:rFonts w:hint="eastAsia"/>
                <w:color w:val="000000"/>
                <w:kern w:val="0"/>
                <w:szCs w:val="21"/>
                <w:lang w:eastAsia="zh-CN"/>
              </w:rPr>
              <w:t>确保重要敏感节点期间社会和谐稳定</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目标</w:t>
            </w:r>
            <w:r>
              <w:rPr>
                <w:rFonts w:hint="eastAsia"/>
                <w:color w:val="000000"/>
                <w:kern w:val="0"/>
                <w:szCs w:val="21"/>
                <w:lang w:val="en-US" w:eastAsia="zh-CN"/>
              </w:rPr>
              <w:t>2：控制越级访进京访</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3：</w:t>
            </w:r>
            <w:r>
              <w:rPr>
                <w:rFonts w:hint="eastAsia" w:eastAsia="宋体"/>
                <w:kern w:val="0"/>
                <w:sz w:val="21"/>
                <w:szCs w:val="21"/>
              </w:rPr>
              <w:t>进一步促进党和人民群众的血肉联系，提高了人民群众满意度。</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派遣驻重庆、成都工作组</w:t>
            </w:r>
          </w:p>
        </w:tc>
        <w:tc>
          <w:tcPr>
            <w:tcW w:w="0" w:type="auto"/>
            <w:noWrap/>
            <w:vAlign w:val="center"/>
          </w:tcPr>
          <w:p>
            <w:pPr>
              <w:widowControl/>
              <w:spacing w:line="240" w:lineRule="exact"/>
              <w:ind w:firstLine="210" w:firstLineChars="100"/>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2</w:t>
            </w:r>
          </w:p>
        </w:tc>
        <w:tc>
          <w:tcPr>
            <w:tcW w:w="0" w:type="auto"/>
            <w:noWrap/>
            <w:vAlign w:val="center"/>
          </w:tcPr>
          <w:p>
            <w:pPr>
              <w:widowControl/>
              <w:spacing w:line="240" w:lineRule="exact"/>
              <w:ind w:firstLine="420" w:firstLineChars="200"/>
              <w:jc w:val="left"/>
              <w:rPr>
                <w:rFonts w:hint="eastAsia"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控制越级访，减少进京到人数</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15人</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5人</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2:</w:t>
            </w:r>
            <w:r>
              <w:rPr>
                <w:rFonts w:hint="eastAsia" w:eastAsia="宋体"/>
                <w:kern w:val="0"/>
                <w:sz w:val="24"/>
                <w:szCs w:val="24"/>
                <w:lang w:eastAsia="zh-CN"/>
              </w:rPr>
              <w:t>重要敏感节点第一时间劝返</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信访事项按期办结率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重点群体信访维稳工作经费</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lang w:val="en-US" w:eastAsia="zh-CN"/>
              </w:rPr>
              <w:t>10万元</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lang w:val="en-US" w:eastAsia="zh-CN"/>
              </w:rPr>
              <w:t>10万元</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促进经济发展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维护社会稳定，提升群众满意度</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促进社会可持续发展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特殊疑难信访群体满意率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
    <w:p>
      <w:pPr>
        <w:spacing w:line="580" w:lineRule="exact"/>
        <w:ind w:firstLine="880" w:firstLineChars="200"/>
        <w:jc w:val="both"/>
        <w:rPr>
          <w:rFonts w:eastAsia="方正小标宋简体"/>
          <w:sz w:val="44"/>
          <w:szCs w:val="44"/>
        </w:rPr>
      </w:pPr>
    </w:p>
    <w:p>
      <w:pPr>
        <w:keepNext w:val="0"/>
        <w:keepLines w:val="0"/>
        <w:pageBreakBefore w:val="0"/>
        <w:numPr>
          <w:ilvl w:val="0"/>
          <w:numId w:val="0"/>
        </w:numPr>
        <w:kinsoku/>
        <w:wordWrap/>
        <w:overflowPunct/>
        <w:topLinePunct w:val="0"/>
        <w:autoSpaceDE/>
        <w:autoSpaceDN/>
        <w:bidi w:val="0"/>
        <w:spacing w:line="590" w:lineRule="exact"/>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附件3</w:t>
      </w:r>
    </w:p>
    <w:p>
      <w:pPr>
        <w:keepNext w:val="0"/>
        <w:keepLines w:val="0"/>
        <w:pageBreakBefore w:val="0"/>
        <w:kinsoku/>
        <w:wordWrap/>
        <w:overflowPunct/>
        <w:topLinePunct w:val="0"/>
        <w:autoSpaceDE/>
        <w:autoSpaceDN/>
        <w:bidi w:val="0"/>
        <w:spacing w:line="590" w:lineRule="exact"/>
        <w:ind w:firstLine="3520" w:firstLineChars="800"/>
        <w:jc w:val="both"/>
        <w:textAlignment w:val="auto"/>
        <w:rPr>
          <w:rFonts w:hint="eastAsia" w:eastAsia="方正小标宋简体"/>
          <w:sz w:val="44"/>
          <w:szCs w:val="44"/>
          <w:lang w:val="en-US" w:eastAsia="zh-CN"/>
        </w:rPr>
      </w:pPr>
      <w:r>
        <w:rPr>
          <w:rFonts w:hint="eastAsia" w:eastAsia="方正小标宋简体"/>
          <w:sz w:val="44"/>
          <w:szCs w:val="44"/>
          <w:lang w:val="en-US" w:eastAsia="zh-CN"/>
        </w:rPr>
        <w:t>乐至县信访局</w:t>
      </w:r>
    </w:p>
    <w:p>
      <w:pPr>
        <w:keepNext w:val="0"/>
        <w:keepLines w:val="0"/>
        <w:pageBreakBefore w:val="0"/>
        <w:kinsoku/>
        <w:wordWrap/>
        <w:overflowPunct/>
        <w:topLinePunct w:val="0"/>
        <w:autoSpaceDE/>
        <w:autoSpaceDN/>
        <w:bidi w:val="0"/>
        <w:spacing w:line="590" w:lineRule="exact"/>
        <w:ind w:firstLine="880" w:firstLineChars="200"/>
        <w:jc w:val="center"/>
        <w:textAlignment w:val="auto"/>
        <w:rPr>
          <w:rFonts w:eastAsia="方正小标宋简体"/>
          <w:sz w:val="44"/>
          <w:szCs w:val="44"/>
        </w:rPr>
      </w:pPr>
      <w:r>
        <w:rPr>
          <w:rFonts w:hint="eastAsia" w:eastAsia="方正小标宋简体"/>
          <w:sz w:val="44"/>
          <w:szCs w:val="44"/>
          <w:lang w:eastAsia="zh-CN"/>
        </w:rPr>
        <w:t>2023年</w:t>
      </w:r>
      <w:r>
        <w:rPr>
          <w:rFonts w:hint="eastAsia" w:eastAsia="方正小标宋简体"/>
          <w:sz w:val="44"/>
          <w:szCs w:val="44"/>
        </w:rPr>
        <w:t>项目支出绩效自评报告</w:t>
      </w:r>
    </w:p>
    <w:p>
      <w:pPr>
        <w:keepNext w:val="0"/>
        <w:keepLines w:val="0"/>
        <w:pageBreakBefore w:val="0"/>
        <w:kinsoku/>
        <w:wordWrap/>
        <w:overflowPunct/>
        <w:topLinePunct w:val="0"/>
        <w:autoSpaceDE/>
        <w:autoSpaceDN/>
        <w:bidi w:val="0"/>
        <w:spacing w:line="590" w:lineRule="exact"/>
        <w:jc w:val="center"/>
        <w:textAlignment w:val="auto"/>
        <w:rPr>
          <w:rFonts w:eastAsia="方正楷体简体"/>
          <w:b/>
          <w:sz w:val="32"/>
          <w:szCs w:val="32"/>
        </w:rPr>
      </w:pPr>
      <w:r>
        <w:rPr>
          <w:rFonts w:hint="eastAsia" w:eastAsia="方正楷体简体"/>
          <w:b/>
          <w:sz w:val="32"/>
          <w:szCs w:val="32"/>
          <w:lang w:val="en-US" w:eastAsia="zh-CN"/>
        </w:rPr>
        <w:t xml:space="preserve">    </w:t>
      </w:r>
      <w:r>
        <w:rPr>
          <w:rFonts w:hint="eastAsia" w:eastAsia="方正楷体简体"/>
          <w:b/>
          <w:sz w:val="32"/>
          <w:szCs w:val="32"/>
        </w:rPr>
        <w:t>（全国信访工作示范县创建工作经费）</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p>
    <w:p>
      <w:pPr>
        <w:keepNext w:val="0"/>
        <w:keepLines w:val="0"/>
        <w:pageBreakBefore w:val="0"/>
        <w:kinsoku/>
        <w:wordWrap/>
        <w:overflowPunct/>
        <w:topLinePunct w:val="0"/>
        <w:autoSpaceDE/>
        <w:autoSpaceDN/>
        <w:bidi w:val="0"/>
        <w:spacing w:line="590" w:lineRule="exact"/>
        <w:jc w:val="center"/>
        <w:textAlignment w:val="auto"/>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黑体简体"/>
          <w:sz w:val="32"/>
          <w:szCs w:val="32"/>
        </w:rPr>
      </w:pPr>
      <w:r>
        <w:rPr>
          <w:rFonts w:hint="eastAsia" w:eastAsia="方正黑体简体"/>
          <w:sz w:val="32"/>
          <w:szCs w:val="32"/>
        </w:rPr>
        <w:t>一、项目基本情况</w:t>
      </w:r>
    </w:p>
    <w:p>
      <w:pPr>
        <w:keepNext w:val="0"/>
        <w:keepLines w:val="0"/>
        <w:pageBreakBefore w:val="0"/>
        <w:kinsoku/>
        <w:wordWrap/>
        <w:overflowPunct/>
        <w:topLinePunct w:val="0"/>
        <w:autoSpaceDE/>
        <w:autoSpaceDN/>
        <w:bidi w:val="0"/>
        <w:spacing w:line="590" w:lineRule="exact"/>
        <w:ind w:firstLine="643" w:firstLineChars="200"/>
        <w:textAlignment w:val="auto"/>
        <w:rPr>
          <w:rFonts w:eastAsia="方正楷体简体"/>
          <w:b/>
          <w:sz w:val="32"/>
          <w:szCs w:val="32"/>
        </w:rPr>
      </w:pPr>
      <w:r>
        <w:rPr>
          <w:rFonts w:hint="eastAsia" w:eastAsia="方正楷体简体"/>
          <w:b/>
          <w:sz w:val="32"/>
          <w:szCs w:val="32"/>
        </w:rPr>
        <w:t>（一）概况</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keepNext w:val="0"/>
        <w:keepLines w:val="0"/>
        <w:pageBreakBefore w:val="0"/>
        <w:kinsoku/>
        <w:wordWrap/>
        <w:overflowPunct/>
        <w:topLinePunct w:val="0"/>
        <w:autoSpaceDE/>
        <w:autoSpaceDN/>
        <w:bidi w:val="0"/>
        <w:adjustRightInd w:val="0"/>
        <w:snapToGrid w:val="0"/>
        <w:spacing w:line="590" w:lineRule="exact"/>
        <w:ind w:firstLine="640" w:firstLineChars="200"/>
        <w:textAlignment w:val="auto"/>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始终坚持以习近平总书记关于加强和改进人民信访工作的重要思想为指导，深入贯彻落实党中央、国务院关于信访工作的决策部署，按照《国家信访局关于开展全国信访工作示范县（市、区、旗）创建活动的通知》要求，结合我县信访工作实际，争创“全国信访工作示范县”。</w:t>
      </w:r>
    </w:p>
    <w:p>
      <w:pPr>
        <w:keepNext w:val="0"/>
        <w:keepLines w:val="0"/>
        <w:pageBreakBefore w:val="0"/>
        <w:numPr>
          <w:ilvl w:val="0"/>
          <w:numId w:val="9"/>
        </w:numPr>
        <w:kinsoku/>
        <w:wordWrap/>
        <w:overflowPunct/>
        <w:topLinePunct w:val="0"/>
        <w:autoSpaceDE/>
        <w:autoSpaceDN/>
        <w:bidi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预算资金来源及使用情况</w:t>
      </w:r>
    </w:p>
    <w:p>
      <w:pPr>
        <w:keepNext w:val="0"/>
        <w:keepLines w:val="0"/>
        <w:pageBreakBefore w:val="0"/>
        <w:numPr>
          <w:ilvl w:val="0"/>
          <w:numId w:val="0"/>
        </w:numPr>
        <w:kinsoku/>
        <w:wordWrap/>
        <w:overflowPunct/>
        <w:topLinePunct w:val="0"/>
        <w:autoSpaceDE/>
        <w:autoSpaceDN/>
        <w:bidi w:val="0"/>
        <w:adjustRightInd w:val="0"/>
        <w:snapToGrid w:val="0"/>
        <w:spacing w:line="590" w:lineRule="exact"/>
        <w:ind w:firstLine="640" w:firstLineChars="200"/>
        <w:textAlignment w:val="auto"/>
        <w:rPr>
          <w:rFonts w:hint="default"/>
          <w:lang w:val="en-US"/>
        </w:rPr>
      </w:pPr>
      <w:r>
        <w:rPr>
          <w:rFonts w:hint="eastAsia" w:ascii="仿宋_GB2312" w:hAnsi="宋体" w:eastAsia="仿宋_GB2312"/>
          <w:sz w:val="32"/>
          <w:szCs w:val="32"/>
          <w:lang w:eastAsia="zh-CN"/>
        </w:rPr>
        <w:t>资金为县级财政资金。</w:t>
      </w:r>
      <w:r>
        <w:rPr>
          <w:rFonts w:hint="eastAsia" w:ascii="仿宋_GB2312" w:hAnsi="宋体" w:eastAsia="仿宋_GB2312"/>
          <w:sz w:val="32"/>
          <w:szCs w:val="32"/>
          <w:lang w:val="en-US" w:eastAsia="zh-CN"/>
        </w:rPr>
        <w:t>2023年县信访局项目支出预算100万，其中</w:t>
      </w:r>
      <w:r>
        <w:rPr>
          <w:rFonts w:hint="eastAsia" w:ascii="仿宋_GB2312" w:hAnsi="宋体" w:eastAsia="仿宋_GB2312"/>
          <w:sz w:val="32"/>
          <w:szCs w:val="32"/>
          <w:lang w:eastAsia="zh-CN"/>
        </w:rPr>
        <w:t>全国信访工作示范县创建工作经费</w:t>
      </w:r>
      <w:r>
        <w:rPr>
          <w:rFonts w:hint="eastAsia" w:ascii="仿宋_GB2312" w:hAnsi="宋体" w:eastAsia="仿宋_GB2312"/>
          <w:sz w:val="32"/>
          <w:szCs w:val="32"/>
          <w:lang w:val="en-US" w:eastAsia="zh-CN"/>
        </w:rPr>
        <w:t>3万元，截止2023年底，该项目资金已完成预算100%。</w:t>
      </w:r>
    </w:p>
    <w:p>
      <w:pPr>
        <w:keepNext w:val="0"/>
        <w:keepLines w:val="0"/>
        <w:pageBreakBefore w:val="0"/>
        <w:numPr>
          <w:ilvl w:val="0"/>
          <w:numId w:val="9"/>
        </w:numPr>
        <w:kinsoku/>
        <w:wordWrap/>
        <w:overflowPunct/>
        <w:topLinePunct w:val="0"/>
        <w:autoSpaceDE/>
        <w:autoSpaceDN/>
        <w:bidi w:val="0"/>
        <w:spacing w:line="590" w:lineRule="exact"/>
        <w:ind w:left="0" w:leftChars="0" w:firstLine="640" w:firstLineChars="200"/>
        <w:textAlignment w:val="auto"/>
        <w:rPr>
          <w:rFonts w:hint="eastAsia" w:eastAsia="方正仿宋简体"/>
          <w:sz w:val="32"/>
          <w:szCs w:val="32"/>
        </w:rPr>
      </w:pPr>
      <w:r>
        <w:rPr>
          <w:rFonts w:hint="eastAsia" w:eastAsia="方正仿宋简体"/>
          <w:sz w:val="32"/>
          <w:szCs w:val="32"/>
        </w:rPr>
        <w:t>实施情况（项目完成情况）</w:t>
      </w:r>
    </w:p>
    <w:p>
      <w:pPr>
        <w:keepNext w:val="0"/>
        <w:keepLines w:val="0"/>
        <w:pageBreakBefore w:val="0"/>
        <w:kinsoku/>
        <w:wordWrap/>
        <w:overflowPunct/>
        <w:topLinePunct w:val="0"/>
        <w:autoSpaceDE/>
        <w:autoSpaceDN/>
        <w:bidi w:val="0"/>
        <w:snapToGrid w:val="0"/>
        <w:spacing w:line="590" w:lineRule="exact"/>
        <w:ind w:left="0" w:leftChars="0" w:firstLine="640" w:firstLineChars="200"/>
        <w:textAlignment w:val="auto"/>
        <w:rPr>
          <w:rFonts w:hint="eastAsia" w:ascii="仿宋_GB2312" w:hAnsi="宋体" w:eastAsia="仿宋_GB2312"/>
          <w:sz w:val="32"/>
          <w:szCs w:val="32"/>
          <w:lang w:val="en-US" w:eastAsia="zh-CN"/>
        </w:rPr>
      </w:pPr>
      <w:r>
        <w:rPr>
          <w:rFonts w:hint="eastAsia" w:ascii="方正仿宋简体" w:hAnsi="方正仿宋简体" w:eastAsia="方正仿宋简体" w:cs="方正仿宋简体"/>
          <w:kern w:val="2"/>
          <w:sz w:val="32"/>
          <w:szCs w:val="32"/>
          <w:lang w:val="en-US" w:eastAsia="zh-CN" w:bidi="ar-SA"/>
        </w:rPr>
        <w:t>为完成特定的行政工作任务，</w:t>
      </w:r>
      <w:r>
        <w:rPr>
          <w:rFonts w:hint="eastAsia" w:ascii="仿宋" w:hAnsi="仿宋" w:eastAsia="仿宋" w:cs="仿宋"/>
          <w:i w:val="0"/>
          <w:iCs w:val="0"/>
          <w:caps w:val="0"/>
          <w:color w:val="000000"/>
          <w:spacing w:val="0"/>
          <w:kern w:val="0"/>
          <w:sz w:val="32"/>
          <w:szCs w:val="32"/>
          <w:shd w:val="clear" w:color="auto" w:fill="FFFFFF"/>
          <w:lang w:val="en-US" w:eastAsia="zh-CN" w:bidi="ar"/>
        </w:rPr>
        <w:t>结合我县信访工作实际，争创“全国信访工作示范县”</w:t>
      </w:r>
      <w:r>
        <w:rPr>
          <w:rFonts w:hint="eastAsia" w:ascii="仿宋_GB2312" w:hAnsi="宋体" w:eastAsia="仿宋_GB2312"/>
          <w:sz w:val="32"/>
          <w:szCs w:val="32"/>
          <w:lang w:val="en-US" w:eastAsia="zh-CN"/>
        </w:rPr>
        <w:t>。</w:t>
      </w:r>
    </w:p>
    <w:p>
      <w:pPr>
        <w:keepNext w:val="0"/>
        <w:keepLines w:val="0"/>
        <w:pageBreakBefore w:val="0"/>
        <w:numPr>
          <w:ilvl w:val="0"/>
          <w:numId w:val="9"/>
        </w:numPr>
        <w:kinsoku/>
        <w:wordWrap/>
        <w:overflowPunct/>
        <w:topLinePunct w:val="0"/>
        <w:autoSpaceDE/>
        <w:autoSpaceDN/>
        <w:bidi w:val="0"/>
        <w:spacing w:line="590" w:lineRule="exact"/>
        <w:ind w:left="0" w:leftChars="0" w:firstLine="640" w:firstLineChars="200"/>
        <w:textAlignment w:val="auto"/>
        <w:rPr>
          <w:rFonts w:hint="eastAsia" w:eastAsia="方正仿宋简体"/>
          <w:sz w:val="32"/>
          <w:szCs w:val="32"/>
        </w:rPr>
      </w:pPr>
      <w:r>
        <w:rPr>
          <w:rFonts w:hint="eastAsia" w:eastAsia="方正仿宋简体"/>
          <w:sz w:val="32"/>
          <w:szCs w:val="32"/>
        </w:rPr>
        <w:t>组织及管理（项目组织、管理流程及实际执行情况）</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）项目组织情况</w:t>
      </w:r>
      <w:r>
        <w:rPr>
          <w:rFonts w:hint="eastAsia" w:ascii="方正仿宋简体" w:hAnsi="方正仿宋简体" w:eastAsia="方正仿宋简体" w:cs="方正仿宋简体"/>
          <w:sz w:val="32"/>
          <w:szCs w:val="32"/>
          <w:lang w:eastAsia="zh-CN"/>
        </w:rPr>
        <w:t>：按照乐至县信访局财政项目支出绩效评价评分表逐项对照检查，查看绩效完成情况。</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）项目管理情况</w:t>
      </w:r>
      <w:r>
        <w:rPr>
          <w:rFonts w:hint="eastAsia" w:ascii="方正仿宋简体" w:hAnsi="方正仿宋简体" w:eastAsia="方正仿宋简体" w:cs="方正仿宋简体"/>
          <w:sz w:val="32"/>
          <w:szCs w:val="32"/>
          <w:lang w:eastAsia="zh-CN"/>
        </w:rPr>
        <w:t>：严格执行财务规章制度，确保每项财务工作的开展均“有法可依、有据可循”。通过严格执行财经纪律和财务制度，加强财务管理，规范财务行为，严格项目资金使用申报程序，按照工作进度细化资金使用计划，根据项目实施进度进行资金拨付，确保项目经费预算执行到位，发挥资金使用效率。</w:t>
      </w:r>
    </w:p>
    <w:p>
      <w:pPr>
        <w:pStyle w:val="2"/>
        <w:keepNext w:val="0"/>
        <w:keepLines w:val="0"/>
        <w:pageBreakBefore w:val="0"/>
        <w:numPr>
          <w:ilvl w:val="0"/>
          <w:numId w:val="0"/>
        </w:numPr>
        <w:kinsoku/>
        <w:wordWrap/>
        <w:overflowPunct/>
        <w:topLinePunct w:val="0"/>
        <w:autoSpaceDE/>
        <w:autoSpaceDN/>
        <w:bidi w:val="0"/>
        <w:spacing w:line="590" w:lineRule="exact"/>
        <w:ind w:leftChars="200"/>
        <w:textAlignment w:val="auto"/>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）项目组织实施的实际情况与目标</w:t>
      </w:r>
      <w:r>
        <w:rPr>
          <w:rFonts w:hint="eastAsia" w:ascii="方正仿宋简体" w:hAnsi="方正仿宋简体" w:eastAsia="方正仿宋简体" w:cs="方正仿宋简体"/>
          <w:sz w:val="32"/>
          <w:szCs w:val="32"/>
          <w:lang w:eastAsia="zh-CN"/>
        </w:rPr>
        <w:t>完成情况无</w:t>
      </w:r>
      <w:r>
        <w:rPr>
          <w:rFonts w:hint="eastAsia" w:ascii="方正仿宋简体" w:hAnsi="方正仿宋简体" w:eastAsia="方正仿宋简体" w:cs="方正仿宋简体"/>
          <w:sz w:val="32"/>
          <w:szCs w:val="32"/>
        </w:rPr>
        <w:t>差异</w:t>
      </w:r>
      <w:r>
        <w:rPr>
          <w:rFonts w:hint="eastAsia" w:ascii="方正仿宋简体" w:hAnsi="方正仿宋简体" w:eastAsia="方正仿宋简体" w:cs="方正仿宋简体"/>
          <w:sz w:val="32"/>
          <w:szCs w:val="32"/>
          <w:lang w:eastAsia="zh-CN"/>
        </w:rPr>
        <w:t>。</w:t>
      </w:r>
    </w:p>
    <w:p>
      <w:pPr>
        <w:keepNext w:val="0"/>
        <w:keepLines w:val="0"/>
        <w:pageBreakBefore w:val="0"/>
        <w:kinsoku/>
        <w:wordWrap/>
        <w:overflowPunct/>
        <w:topLinePunct w:val="0"/>
        <w:autoSpaceDE/>
        <w:autoSpaceDN/>
        <w:bidi w:val="0"/>
        <w:spacing w:line="590" w:lineRule="exact"/>
        <w:ind w:firstLine="643" w:firstLineChars="200"/>
        <w:textAlignment w:val="auto"/>
        <w:rPr>
          <w:rFonts w:eastAsia="方正楷体简体"/>
          <w:b/>
          <w:sz w:val="32"/>
          <w:szCs w:val="32"/>
        </w:rPr>
      </w:pPr>
      <w:r>
        <w:rPr>
          <w:rFonts w:hint="eastAsia" w:eastAsia="方正楷体简体"/>
          <w:b/>
          <w:sz w:val="32"/>
          <w:szCs w:val="32"/>
        </w:rPr>
        <w:t>（二）绩效目标</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绩效目标分别表述绩效总目标和具体绩效目标，具体绩效目标为具体量化的产出目标结果目标。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（1）绩效总目标综合结论:</w:t>
      </w:r>
      <w:r>
        <w:rPr>
          <w:rFonts w:hint="eastAsia" w:ascii="方正仿宋简体" w:hAnsi="方正仿宋简体" w:eastAsia="方正仿宋简体" w:cs="方正仿宋简体"/>
          <w:kern w:val="2"/>
          <w:sz w:val="32"/>
          <w:szCs w:val="32"/>
          <w:lang w:val="en-US" w:eastAsia="zh-CN" w:bidi="ar-SA"/>
        </w:rPr>
        <w:t>在2023年度项目绩效自评工作中，我局认真筹划，严密组织，以严谨、务实的态度，不折不扣的落实县委、县政府和县财政局的相关要求，认真收集整理评价资料，全面真实反映年度项目经费使用管理情况，对照县信访局2023年项目支出绩效自评体系评分表，我局自评分95分，自评结果为“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（2）产出指标</w:t>
      </w:r>
      <w:r>
        <w:rPr>
          <w:rFonts w:hint="eastAsia" w:ascii="方正仿宋简体" w:hAnsi="方正仿宋简体" w:eastAsia="方正仿宋简体" w:cs="方正仿宋简体"/>
          <w:kern w:val="2"/>
          <w:sz w:val="32"/>
          <w:szCs w:val="32"/>
          <w:lang w:val="en-US" w:eastAsia="zh-CN" w:bidi="ar-SA"/>
        </w:rPr>
        <w:t>：重要敏感节点派遣处访工作组，对进京到省人员第一时间劝返，控制越级访，较少进京到省访人员。</w:t>
      </w:r>
    </w:p>
    <w:p>
      <w:pPr>
        <w:keepNext w:val="0"/>
        <w:keepLines w:val="0"/>
        <w:pageBreakBefore w:val="0"/>
        <w:kinsoku/>
        <w:wordWrap/>
        <w:overflowPunct/>
        <w:topLinePunct w:val="0"/>
        <w:autoSpaceDE/>
        <w:autoSpaceDN/>
        <w:bidi w:val="0"/>
        <w:adjustRightInd w:val="0"/>
        <w:snapToGrid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（3）社会效益：</w:t>
      </w:r>
      <w:r>
        <w:rPr>
          <w:rFonts w:hint="eastAsia" w:eastAsia="方正仿宋简体"/>
          <w:sz w:val="32"/>
          <w:szCs w:val="32"/>
        </w:rPr>
        <w:t>化解矛盾</w:t>
      </w:r>
      <w:r>
        <w:rPr>
          <w:rFonts w:hint="eastAsia" w:eastAsia="方正仿宋简体"/>
          <w:sz w:val="32"/>
          <w:szCs w:val="32"/>
          <w:lang w:eastAsia="zh-CN"/>
        </w:rPr>
        <w:t>纠纷</w:t>
      </w:r>
      <w:r>
        <w:rPr>
          <w:rFonts w:hint="eastAsia" w:eastAsia="方正仿宋简体"/>
          <w:sz w:val="32"/>
          <w:szCs w:val="32"/>
        </w:rPr>
        <w:t>，维护社会稳定和谐发展。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rPr>
          <w:rFonts w:hint="eastAsia" w:ascii="仿宋_GB2312" w:hAnsi="宋体" w:eastAsia="仿宋_GB2312"/>
          <w:sz w:val="32"/>
          <w:szCs w:val="32"/>
        </w:rPr>
      </w:pPr>
      <w:r>
        <w:rPr>
          <w:rFonts w:hint="eastAsia" w:ascii="方正楷体简体" w:hAnsi="方正楷体简体" w:eastAsia="方正楷体简体" w:cs="方正楷体简体"/>
          <w:kern w:val="2"/>
          <w:sz w:val="32"/>
          <w:szCs w:val="32"/>
          <w:lang w:val="en-US" w:eastAsia="zh-CN" w:bidi="ar-SA"/>
        </w:rPr>
        <w:t>（4）可持续影响：</w:t>
      </w:r>
      <w:r>
        <w:rPr>
          <w:rFonts w:hint="eastAsia" w:ascii="仿宋_GB2312" w:hAnsi="宋体" w:eastAsia="仿宋_GB2312"/>
          <w:sz w:val="32"/>
          <w:szCs w:val="32"/>
        </w:rPr>
        <w:t>维护社会稳定，促进社会和谐发展。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pPr>
      <w:r>
        <w:rPr>
          <w:rFonts w:hint="eastAsia" w:ascii="方正楷体简体" w:hAnsi="方正楷体简体" w:eastAsia="方正楷体简体" w:cs="方正楷体简体"/>
          <w:kern w:val="2"/>
          <w:sz w:val="32"/>
          <w:szCs w:val="32"/>
          <w:lang w:val="en-US" w:eastAsia="zh-CN" w:bidi="ar-SA"/>
        </w:rPr>
        <w:t>（5）满意度：</w:t>
      </w:r>
      <w:r>
        <w:rPr>
          <w:rFonts w:hint="eastAsia" w:ascii="方正仿宋简体" w:hAnsi="方正仿宋简体" w:eastAsia="方正仿宋简体" w:cs="方正仿宋简体"/>
          <w:kern w:val="2"/>
          <w:sz w:val="32"/>
          <w:szCs w:val="32"/>
          <w:lang w:val="en-US" w:eastAsia="zh-CN" w:bidi="ar-SA"/>
        </w:rPr>
        <w:t>2023年信访工作未接到人民群众、部门工作人员及相关不满意情况反映，满意度为98%。</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eastAsia="方正黑体简体"/>
          <w:sz w:val="32"/>
          <w:szCs w:val="32"/>
        </w:rPr>
      </w:pPr>
      <w:r>
        <w:rPr>
          <w:rFonts w:hint="eastAsia" w:eastAsia="方正黑体简体"/>
          <w:sz w:val="32"/>
          <w:szCs w:val="32"/>
        </w:rPr>
        <w:t>二、绩效自评工作情况</w:t>
      </w:r>
    </w:p>
    <w:p>
      <w:pPr>
        <w:keepNext w:val="0"/>
        <w:keepLines w:val="0"/>
        <w:pageBreakBefore w:val="0"/>
        <w:kinsoku/>
        <w:wordWrap/>
        <w:overflowPunct/>
        <w:topLinePunct w:val="0"/>
        <w:autoSpaceDE/>
        <w:autoSpaceDN/>
        <w:bidi w:val="0"/>
        <w:spacing w:line="590" w:lineRule="exact"/>
        <w:ind w:left="0" w:leftChars="0" w:firstLine="643" w:firstLineChars="200"/>
        <w:textAlignment w:val="auto"/>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（一）自评工作组织领导</w:t>
      </w:r>
    </w:p>
    <w:p>
      <w:pPr>
        <w:pStyle w:val="10"/>
        <w:keepNext w:val="0"/>
        <w:keepLines w:val="0"/>
        <w:pageBreakBefore w:val="0"/>
        <w:kinsoku/>
        <w:wordWrap/>
        <w:overflowPunct/>
        <w:topLinePunct w:val="0"/>
        <w:autoSpaceDE/>
        <w:autoSpaceDN/>
        <w:bidi w:val="0"/>
        <w:spacing w:line="59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一是</w:t>
      </w:r>
      <w:r>
        <w:rPr>
          <w:rFonts w:hint="eastAsia" w:ascii="方正仿宋简体" w:hAnsi="方正仿宋简体" w:eastAsia="方正仿宋简体" w:cs="方正仿宋简体"/>
          <w:kern w:val="2"/>
          <w:sz w:val="32"/>
          <w:szCs w:val="32"/>
          <w:lang w:val="en-US" w:eastAsia="zh-CN" w:bidi="ar-SA"/>
        </w:rPr>
        <w:t>高度重视绩效评价工作，成立了以局长为组长，分管副局为副组长，办公室、网信股、督查督办股、接待中心工作人员为成员的绩效评价领导小组，明确绩效工作评价责任，进一步强化各股室对财政预算支出的管理意识；</w:t>
      </w:r>
      <w:r>
        <w:rPr>
          <w:rFonts w:hint="eastAsia" w:ascii="方正楷体简体" w:hAnsi="方正楷体简体" w:eastAsia="方正楷体简体" w:cs="方正楷体简体"/>
          <w:b w:val="0"/>
          <w:bCs w:val="0"/>
          <w:kern w:val="2"/>
          <w:sz w:val="32"/>
          <w:szCs w:val="32"/>
          <w:lang w:val="en-US" w:eastAsia="zh-CN" w:bidi="ar-SA"/>
        </w:rPr>
        <w:t>二是</w:t>
      </w:r>
      <w:r>
        <w:rPr>
          <w:rFonts w:hint="eastAsia" w:ascii="方正仿宋简体" w:hAnsi="方正仿宋简体" w:eastAsia="方正仿宋简体" w:cs="方正仿宋简体"/>
          <w:kern w:val="2"/>
          <w:sz w:val="32"/>
          <w:szCs w:val="32"/>
          <w:lang w:val="en-US" w:eastAsia="zh-CN" w:bidi="ar-SA"/>
        </w:rPr>
        <w:t>收集、整理资料；</w:t>
      </w:r>
      <w:r>
        <w:rPr>
          <w:rFonts w:hint="eastAsia" w:ascii="方正楷体简体" w:hAnsi="方正楷体简体" w:eastAsia="方正楷体简体" w:cs="方正楷体简体"/>
          <w:b w:val="0"/>
          <w:bCs w:val="0"/>
          <w:kern w:val="2"/>
          <w:sz w:val="32"/>
          <w:szCs w:val="32"/>
          <w:lang w:val="en-US" w:eastAsia="zh-CN" w:bidi="ar-SA"/>
        </w:rPr>
        <w:t>三是</w:t>
      </w:r>
      <w:r>
        <w:rPr>
          <w:rFonts w:hint="eastAsia" w:ascii="方正仿宋简体" w:hAnsi="方正仿宋简体" w:eastAsia="方正仿宋简体" w:cs="方正仿宋简体"/>
          <w:kern w:val="2"/>
          <w:sz w:val="32"/>
          <w:szCs w:val="32"/>
          <w:lang w:val="en-US" w:eastAsia="zh-CN" w:bidi="ar-SA"/>
        </w:rPr>
        <w:t>客观分析，实事求是，形成报告；</w:t>
      </w:r>
      <w:r>
        <w:rPr>
          <w:rFonts w:hint="eastAsia" w:ascii="方正楷体简体" w:hAnsi="方正楷体简体" w:eastAsia="方正楷体简体" w:cs="方正楷体简体"/>
          <w:b w:val="0"/>
          <w:bCs w:val="0"/>
          <w:kern w:val="2"/>
          <w:sz w:val="32"/>
          <w:szCs w:val="32"/>
          <w:lang w:val="en-US" w:eastAsia="zh-CN" w:bidi="ar-SA"/>
        </w:rPr>
        <w:t>四是</w:t>
      </w:r>
      <w:r>
        <w:rPr>
          <w:rFonts w:hint="eastAsia" w:ascii="方正仿宋简体" w:hAnsi="方正仿宋简体" w:eastAsia="方正仿宋简体" w:cs="方正仿宋简体"/>
          <w:kern w:val="2"/>
          <w:sz w:val="32"/>
          <w:szCs w:val="32"/>
          <w:lang w:val="en-US" w:eastAsia="zh-CN" w:bidi="ar-SA"/>
        </w:rPr>
        <w:t>报送部门整体、项目支出绩效自评报告；</w:t>
      </w:r>
      <w:r>
        <w:rPr>
          <w:rFonts w:hint="eastAsia" w:ascii="方正楷体简体" w:hAnsi="方正楷体简体" w:eastAsia="方正楷体简体" w:cs="方正楷体简体"/>
          <w:b w:val="0"/>
          <w:bCs w:val="0"/>
          <w:kern w:val="2"/>
          <w:sz w:val="32"/>
          <w:szCs w:val="32"/>
          <w:lang w:val="en-US" w:eastAsia="zh-CN" w:bidi="ar-SA"/>
        </w:rPr>
        <w:t>五是</w:t>
      </w:r>
      <w:r>
        <w:rPr>
          <w:rFonts w:hint="eastAsia" w:ascii="方正仿宋简体" w:hAnsi="方正仿宋简体" w:eastAsia="方正仿宋简体" w:cs="方正仿宋简体"/>
          <w:kern w:val="2"/>
          <w:sz w:val="32"/>
          <w:szCs w:val="32"/>
          <w:lang w:val="en-US" w:eastAsia="zh-CN" w:bidi="ar-SA"/>
        </w:rPr>
        <w:t>总结提高，配合县财政局开展绩效评价工作并按要求公开绩效自评情况。</w:t>
      </w:r>
    </w:p>
    <w:p>
      <w:pPr>
        <w:pStyle w:val="10"/>
        <w:keepNext w:val="0"/>
        <w:keepLines w:val="0"/>
        <w:pageBreakBefore w:val="0"/>
        <w:kinsoku/>
        <w:wordWrap/>
        <w:overflowPunct/>
        <w:topLinePunct w:val="0"/>
        <w:autoSpaceDE/>
        <w:autoSpaceDN/>
        <w:bidi w:val="0"/>
        <w:spacing w:line="590" w:lineRule="exact"/>
        <w:ind w:leftChars="100" w:firstLine="643" w:firstLineChars="200"/>
        <w:textAlignment w:val="auto"/>
        <w:rPr>
          <w:rFonts w:hint="eastAsia" w:ascii="方正楷体简体" w:hAnsi="方正楷体简体" w:eastAsia="方正楷体简体" w:cs="方正楷体简体"/>
          <w:b/>
          <w:bCs/>
          <w:kern w:val="2"/>
          <w:sz w:val="32"/>
          <w:szCs w:val="32"/>
          <w:lang w:val="en-US" w:eastAsia="zh-CN" w:bidi="ar-SA"/>
        </w:rPr>
      </w:pPr>
      <w:r>
        <w:rPr>
          <w:rFonts w:hint="eastAsia" w:ascii="方正楷体简体" w:hAnsi="方正楷体简体" w:eastAsia="方正楷体简体" w:cs="方正楷体简体"/>
          <w:b/>
          <w:bCs/>
          <w:kern w:val="2"/>
          <w:sz w:val="32"/>
          <w:szCs w:val="32"/>
          <w:lang w:val="en-US" w:eastAsia="zh-CN" w:bidi="ar-SA"/>
        </w:rPr>
        <w:t>（二）自评方式、方法、重点等</w:t>
      </w:r>
    </w:p>
    <w:p>
      <w:pPr>
        <w:pStyle w:val="10"/>
        <w:keepNext w:val="0"/>
        <w:keepLines w:val="0"/>
        <w:pageBreakBefore w:val="0"/>
        <w:kinsoku/>
        <w:wordWrap/>
        <w:overflowPunct/>
        <w:topLinePunct w:val="0"/>
        <w:autoSpaceDE/>
        <w:autoSpaceDN/>
        <w:bidi w:val="0"/>
        <w:spacing w:line="59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绩效自评方法:按照科学规范、公正公开、绩效相关的原则，依据下达的预算，采用定量与定性相结合，专项经费投入与产出相结合的办法，对照项目实际完成内容，评价实际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对比分析，评价项目预期效益实现程度。本次绩效自评采用百分制，各级指标依据其指标权重确定分值，根据最终得分情况将绩效自评结果分为四个等级:优(得分&gt;90分) ;良(80分&lt;得分&lt;90分) ;中(60≤得分&lt;80分) ;差(得分&lt;60分)。</w:t>
      </w:r>
    </w:p>
    <w:p>
      <w:pPr>
        <w:keepNext w:val="0"/>
        <w:keepLines w:val="0"/>
        <w:pageBreakBefore w:val="0"/>
        <w:kinsoku/>
        <w:wordWrap/>
        <w:overflowPunct/>
        <w:topLinePunct w:val="0"/>
        <w:autoSpaceDE/>
        <w:autoSpaceDN/>
        <w:bidi w:val="0"/>
        <w:spacing w:line="590" w:lineRule="exact"/>
        <w:ind w:left="0" w:leftChars="0" w:firstLine="960" w:firstLineChars="3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三、评价结论</w:t>
      </w:r>
    </w:p>
    <w:p>
      <w:pPr>
        <w:pStyle w:val="7"/>
        <w:keepNext w:val="0"/>
        <w:keepLines w:val="0"/>
        <w:pageBreakBefore w:val="0"/>
        <w:kinsoku/>
        <w:wordWrap/>
        <w:overflowPunct/>
        <w:topLinePunct w:val="0"/>
        <w:autoSpaceDE/>
        <w:autoSpaceDN/>
        <w:bidi w:val="0"/>
        <w:spacing w:line="590" w:lineRule="exact"/>
        <w:ind w:left="0" w:leftChars="0" w:firstLine="947" w:firstLineChars="2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lang w:eastAsia="zh-CN"/>
        </w:rPr>
        <w:t>2023年，县</w:t>
      </w:r>
      <w:r>
        <w:rPr>
          <w:rFonts w:hint="eastAsia" w:ascii="方正仿宋简体" w:hAnsi="方正仿宋简体" w:eastAsia="方正仿宋简体" w:cs="方正仿宋简体"/>
          <w:kern w:val="0"/>
          <w:sz w:val="32"/>
          <w:szCs w:val="32"/>
        </w:rPr>
        <w:t>信访局认真贯彻落实中央、省、市一系列决策部署，紧紧围绕习近平总书记对信访工作的重要批示精神，着力攻坚化解突出信访问题，减存量、控增量、防变量，积极探索让群众“最多访一次”，全面认真履行职责、全力破解信访难题、全心维护群众权益。根据年初的绩效考核工作计划和目标，</w:t>
      </w:r>
      <w:r>
        <w:rPr>
          <w:rFonts w:hint="eastAsia" w:ascii="方正仿宋简体" w:hAnsi="方正仿宋简体" w:eastAsia="方正仿宋简体" w:cs="方正仿宋简体"/>
          <w:kern w:val="0"/>
          <w:sz w:val="32"/>
          <w:szCs w:val="32"/>
          <w:lang w:eastAsia="zh-CN"/>
        </w:rPr>
        <w:t>我</w:t>
      </w:r>
      <w:r>
        <w:rPr>
          <w:rFonts w:hint="eastAsia" w:ascii="方正仿宋简体" w:hAnsi="方正仿宋简体" w:eastAsia="方正仿宋简体" w:cs="方正仿宋简体"/>
          <w:kern w:val="0"/>
          <w:sz w:val="32"/>
          <w:szCs w:val="32"/>
        </w:rPr>
        <w:t>局较好地完成了全年的目标工作任务</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rPr>
        <w:t>依据</w:t>
      </w:r>
      <w:r>
        <w:rPr>
          <w:rFonts w:hint="eastAsia" w:ascii="方正仿宋简体" w:hAnsi="方正仿宋简体" w:eastAsia="方正仿宋简体" w:cs="方正仿宋简体"/>
          <w:kern w:val="0"/>
          <w:sz w:val="32"/>
          <w:szCs w:val="32"/>
          <w:lang w:eastAsia="zh-CN"/>
        </w:rPr>
        <w:t>相关</w:t>
      </w:r>
      <w:r>
        <w:rPr>
          <w:rFonts w:hint="eastAsia" w:ascii="方正仿宋简体" w:hAnsi="方正仿宋简体" w:eastAsia="方正仿宋简体" w:cs="方正仿宋简体"/>
          <w:color w:val="auto"/>
          <w:kern w:val="0"/>
          <w:sz w:val="32"/>
          <w:szCs w:val="32"/>
        </w:rPr>
        <w:t>规定</w:t>
      </w:r>
      <w:r>
        <w:rPr>
          <w:rFonts w:hint="eastAsia" w:ascii="方正仿宋简体" w:hAnsi="方正仿宋简体" w:eastAsia="方正仿宋简体" w:cs="方正仿宋简体"/>
          <w:kern w:val="0"/>
          <w:sz w:val="32"/>
          <w:szCs w:val="32"/>
          <w:lang w:eastAsia="zh-CN"/>
        </w:rPr>
        <w:t>，绩效评价自评得分</w:t>
      </w:r>
      <w:r>
        <w:rPr>
          <w:rFonts w:hint="eastAsia" w:ascii="方正仿宋简体" w:hAnsi="方正仿宋简体" w:eastAsia="方正仿宋简体" w:cs="方正仿宋简体"/>
          <w:kern w:val="0"/>
          <w:sz w:val="32"/>
          <w:szCs w:val="32"/>
          <w:lang w:val="en-US" w:eastAsia="zh-CN"/>
        </w:rPr>
        <w:t>95分，</w:t>
      </w:r>
      <w:r>
        <w:rPr>
          <w:rFonts w:hint="eastAsia" w:ascii="方正仿宋简体" w:hAnsi="方正仿宋简体" w:eastAsia="方正仿宋简体" w:cs="方正仿宋简体"/>
          <w:kern w:val="0"/>
          <w:sz w:val="32"/>
          <w:szCs w:val="32"/>
        </w:rPr>
        <w:t>总体</w:t>
      </w:r>
      <w:r>
        <w:rPr>
          <w:rFonts w:hint="eastAsia" w:ascii="方正仿宋简体" w:hAnsi="方正仿宋简体" w:eastAsia="方正仿宋简体" w:cs="方正仿宋简体"/>
          <w:sz w:val="32"/>
          <w:szCs w:val="32"/>
        </w:rPr>
        <w:t>绩效评价结果</w:t>
      </w:r>
      <w:r>
        <w:rPr>
          <w:rFonts w:hint="eastAsia" w:ascii="方正仿宋简体" w:hAnsi="方正仿宋简体" w:eastAsia="方正仿宋简体" w:cs="方正仿宋简体"/>
          <w:sz w:val="32"/>
          <w:szCs w:val="32"/>
          <w:lang w:eastAsia="zh-CN"/>
        </w:rPr>
        <w:t>为优</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四、绩效分析</w:t>
      </w:r>
    </w:p>
    <w:p>
      <w:pPr>
        <w:pStyle w:val="7"/>
        <w:keepNext w:val="0"/>
        <w:keepLines w:val="0"/>
        <w:pageBreakBefore w:val="0"/>
        <w:kinsoku/>
        <w:wordWrap/>
        <w:overflowPunct/>
        <w:topLinePunct w:val="0"/>
        <w:autoSpaceDE/>
        <w:autoSpaceDN/>
        <w:bidi w:val="0"/>
        <w:spacing w:line="590" w:lineRule="exact"/>
        <w:ind w:left="0" w:leftChars="0" w:firstLine="627" w:firstLineChars="1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2023年</w:t>
      </w:r>
      <w:r>
        <w:rPr>
          <w:rFonts w:hint="eastAsia" w:ascii="方正仿宋简体" w:hAnsi="方正仿宋简体" w:eastAsia="方正仿宋简体" w:cs="方正仿宋简体"/>
          <w:sz w:val="32"/>
          <w:szCs w:val="32"/>
        </w:rPr>
        <w:t>，根据局年初工作规划和重点性工作，积极履职，强化管理，较好的完成了年度工作目标。通过加强预算收支管理，不断建立健全内部管理制度，梳理内部管理流程，部门</w:t>
      </w:r>
      <w:r>
        <w:rPr>
          <w:rFonts w:hint="eastAsia" w:ascii="方正仿宋简体" w:hAnsi="方正仿宋简体" w:eastAsia="方正仿宋简体" w:cs="方正仿宋简体"/>
          <w:sz w:val="32"/>
          <w:szCs w:val="32"/>
          <w:lang w:eastAsia="zh-CN"/>
        </w:rPr>
        <w:t>项目</w:t>
      </w:r>
      <w:r>
        <w:rPr>
          <w:rFonts w:hint="eastAsia" w:ascii="方正仿宋简体" w:hAnsi="方正仿宋简体" w:eastAsia="方正仿宋简体" w:cs="方正仿宋简体"/>
          <w:sz w:val="32"/>
          <w:szCs w:val="32"/>
        </w:rPr>
        <w:t>支出管理情况得到提升。</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五、主要经验及做法、存在的问题和建议</w:t>
      </w:r>
    </w:p>
    <w:p>
      <w:pPr>
        <w:pStyle w:val="7"/>
        <w:keepNext w:val="0"/>
        <w:keepLines w:val="0"/>
        <w:pageBreakBefore w:val="0"/>
        <w:kinsoku/>
        <w:wordWrap/>
        <w:overflowPunct/>
        <w:topLinePunct w:val="0"/>
        <w:autoSpaceDE/>
        <w:autoSpaceDN/>
        <w:bidi w:val="0"/>
        <w:spacing w:line="590" w:lineRule="exact"/>
        <w:ind w:left="0" w:leftChars="0" w:firstLine="630" w:firstLineChars="196"/>
        <w:textAlignment w:val="auto"/>
      </w:pPr>
      <w:r>
        <w:rPr>
          <w:rFonts w:hint="eastAsia" w:ascii="方正楷体简体" w:hAnsi="方正楷体简体" w:eastAsia="方正楷体简体" w:cs="方正楷体简体"/>
          <w:b/>
          <w:sz w:val="32"/>
          <w:szCs w:val="32"/>
        </w:rPr>
        <w:t>（一）主要经验及做法</w:t>
      </w:r>
      <w:r>
        <w:rPr>
          <w:rFonts w:hint="eastAsia" w:ascii="方正楷体简体" w:hAnsi="方正楷体简体" w:eastAsia="方正楷体简体" w:cs="方正楷体简体"/>
          <w:b/>
          <w:sz w:val="32"/>
          <w:szCs w:val="32"/>
          <w:lang w:eastAsia="zh-CN"/>
        </w:rPr>
        <w:t>。</w:t>
      </w:r>
      <w:r>
        <w:rPr>
          <w:rFonts w:hint="eastAsia" w:ascii="方正楷体简体" w:hAnsi="方正楷体简体" w:eastAsia="方正楷体简体" w:cs="方正楷体简体"/>
          <w:b w:val="0"/>
          <w:bCs/>
          <w:sz w:val="32"/>
          <w:szCs w:val="32"/>
          <w:lang w:eastAsia="zh-CN"/>
        </w:rPr>
        <w:t>一是</w:t>
      </w:r>
      <w:r>
        <w:rPr>
          <w:rFonts w:hint="eastAsia" w:ascii="方正仿宋简体" w:hAnsi="方正仿宋简体" w:eastAsia="方正仿宋简体" w:cs="方正仿宋简体"/>
          <w:sz w:val="32"/>
          <w:szCs w:val="32"/>
        </w:rPr>
        <w:t>领导高度重视，对年初纳入预算绩效的工作内容严格抓落实，要求保质保量；</w:t>
      </w:r>
      <w:r>
        <w:rPr>
          <w:rFonts w:hint="eastAsia" w:ascii="方正楷体简体" w:hAnsi="方正楷体简体" w:eastAsia="方正楷体简体" w:cs="方正楷体简体"/>
          <w:b w:val="0"/>
          <w:bCs w:val="0"/>
          <w:sz w:val="32"/>
          <w:szCs w:val="32"/>
          <w:lang w:eastAsia="zh-CN"/>
        </w:rPr>
        <w:t>二是</w:t>
      </w:r>
      <w:r>
        <w:rPr>
          <w:rFonts w:hint="eastAsia" w:ascii="方正仿宋简体" w:hAnsi="方正仿宋简体" w:eastAsia="方正仿宋简体" w:cs="方正仿宋简体"/>
          <w:sz w:val="32"/>
          <w:szCs w:val="32"/>
        </w:rPr>
        <w:t>工作规划提前部署，绩效目标的制定必须和当年的重点工作紧密联系，和目标责任管理结合，目标标准定制要合理，可以达到和完成。</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（二）存在的问题</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由于信访工作具有其特殊性,投入产出评价指标难以用数据直接体现,定量分析还有待加强。</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（三）建议和改进措施</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一是科学合理编制预算 ,严格执行预算;二是规范账务处理,提高财务信息质量;三是完善管理制度,进一步加强资金管理 ;四是坚持问题导向,建立预算支出绩效评价长效机制。</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r>
        <w:rPr>
          <w:rFonts w:hint="eastAsia" w:eastAsia="方正仿宋简体"/>
          <w:sz w:val="32"/>
          <w:szCs w:val="32"/>
        </w:rPr>
        <w:t>附件：</w:t>
      </w:r>
      <w:r>
        <w:rPr>
          <w:rFonts w:hint="eastAsia" w:eastAsia="方正仿宋简体"/>
          <w:sz w:val="32"/>
          <w:szCs w:val="32"/>
          <w:lang w:val="en-US" w:eastAsia="zh-CN"/>
        </w:rPr>
        <w:t>3-</w:t>
      </w:r>
      <w:r>
        <w:rPr>
          <w:rFonts w:eastAsia="方正仿宋简体"/>
          <w:sz w:val="32"/>
          <w:szCs w:val="32"/>
        </w:rPr>
        <w:t>1.</w:t>
      </w:r>
      <w:r>
        <w:rPr>
          <w:rFonts w:hint="eastAsia" w:eastAsia="方正仿宋简体"/>
          <w:sz w:val="32"/>
          <w:szCs w:val="32"/>
          <w:lang w:eastAsia="zh-CN"/>
        </w:rPr>
        <w:t>2023年</w:t>
      </w:r>
      <w:r>
        <w:rPr>
          <w:rFonts w:hint="eastAsia" w:eastAsia="方正仿宋简体"/>
          <w:sz w:val="32"/>
          <w:szCs w:val="32"/>
        </w:rPr>
        <w:t>度乐至县项目支出绩效自评计分表</w:t>
      </w:r>
    </w:p>
    <w:p>
      <w:pPr>
        <w:keepNext w:val="0"/>
        <w:keepLines w:val="0"/>
        <w:pageBreakBefore w:val="0"/>
        <w:kinsoku/>
        <w:wordWrap/>
        <w:overflowPunct/>
        <w:topLinePunct w:val="0"/>
        <w:autoSpaceDE/>
        <w:autoSpaceDN/>
        <w:bidi w:val="0"/>
        <w:spacing w:line="590" w:lineRule="exact"/>
        <w:ind w:firstLine="1600" w:firstLineChars="500"/>
        <w:textAlignment w:val="auto"/>
        <w:rPr>
          <w:rFonts w:eastAsia="方正仿宋简体"/>
          <w:sz w:val="32"/>
          <w:szCs w:val="32"/>
        </w:rPr>
      </w:pPr>
      <w:r>
        <w:rPr>
          <w:rFonts w:hint="eastAsia" w:eastAsia="方正仿宋简体"/>
          <w:sz w:val="32"/>
          <w:szCs w:val="32"/>
          <w:lang w:val="en-US" w:eastAsia="zh-CN"/>
        </w:rPr>
        <w:t>3-</w:t>
      </w:r>
      <w:r>
        <w:rPr>
          <w:rFonts w:eastAsia="方正仿宋简体"/>
          <w:sz w:val="32"/>
          <w:szCs w:val="32"/>
        </w:rPr>
        <w:t>2.</w:t>
      </w:r>
      <w:r>
        <w:rPr>
          <w:rFonts w:hint="eastAsia" w:eastAsia="方正仿宋简体"/>
          <w:sz w:val="32"/>
          <w:szCs w:val="32"/>
          <w:lang w:eastAsia="zh-CN"/>
        </w:rPr>
        <w:t>2023年</w:t>
      </w:r>
      <w:r>
        <w:rPr>
          <w:rFonts w:hint="eastAsia" w:eastAsia="方正仿宋简体"/>
          <w:sz w:val="32"/>
          <w:szCs w:val="32"/>
        </w:rPr>
        <w:t>度乐至县项目支出绩效目标完成情况表</w:t>
      </w:r>
    </w:p>
    <w:p>
      <w:pPr>
        <w:keepNext w:val="0"/>
        <w:keepLines w:val="0"/>
        <w:pageBreakBefore w:val="0"/>
        <w:kinsoku/>
        <w:wordWrap/>
        <w:overflowPunct/>
        <w:topLinePunct w:val="0"/>
        <w:autoSpaceDE/>
        <w:autoSpaceDN/>
        <w:bidi w:val="0"/>
        <w:spacing w:line="590" w:lineRule="exact"/>
        <w:ind w:left="1917" w:leftChars="760" w:hanging="321" w:hangingChars="100"/>
        <w:jc w:val="left"/>
        <w:textAlignment w:val="auto"/>
        <w:rPr>
          <w:rFonts w:ascii="宋体" w:hAnsi="宋体" w:eastAsia="方正仿宋简体"/>
          <w:b/>
          <w:sz w:val="32"/>
          <w:szCs w:val="32"/>
        </w:rPr>
      </w:pPr>
    </w:p>
    <w:p>
      <w:pPr>
        <w:keepNext w:val="0"/>
        <w:keepLines w:val="0"/>
        <w:pageBreakBefore w:val="0"/>
        <w:kinsoku/>
        <w:wordWrap/>
        <w:overflowPunct/>
        <w:topLinePunct w:val="0"/>
        <w:autoSpaceDE/>
        <w:autoSpaceDN/>
        <w:bidi w:val="0"/>
        <w:spacing w:line="590" w:lineRule="exact"/>
        <w:ind w:firstLine="1606" w:firstLineChars="500"/>
        <w:textAlignment w:val="auto"/>
        <w:rPr>
          <w:rFonts w:hint="eastAsia" w:eastAsia="方正仿宋简体"/>
          <w:sz w:val="32"/>
          <w:szCs w:val="32"/>
          <w:lang w:val="en-US" w:eastAsia="zh-CN"/>
        </w:rPr>
      </w:pPr>
      <w:r>
        <w:rPr>
          <w:rFonts w:hint="eastAsia" w:ascii="宋体" w:hAnsi="宋体" w:eastAsia="方正仿宋简体"/>
          <w:b/>
          <w:sz w:val="32"/>
          <w:szCs w:val="32"/>
          <w:lang w:val="en-US" w:eastAsia="zh-CN"/>
        </w:rPr>
        <w:t xml:space="preserve">                          </w:t>
      </w:r>
      <w:r>
        <w:rPr>
          <w:rFonts w:hint="eastAsia" w:eastAsia="方正仿宋简体"/>
          <w:sz w:val="32"/>
          <w:szCs w:val="32"/>
          <w:lang w:val="en-US" w:eastAsia="zh-CN"/>
        </w:rPr>
        <w:t>乐至县信访局</w:t>
      </w:r>
    </w:p>
    <w:p>
      <w:pPr>
        <w:keepNext w:val="0"/>
        <w:keepLines w:val="0"/>
        <w:pageBreakBefore w:val="0"/>
        <w:kinsoku/>
        <w:wordWrap/>
        <w:overflowPunct/>
        <w:topLinePunct w:val="0"/>
        <w:autoSpaceDE/>
        <w:autoSpaceDN/>
        <w:bidi w:val="0"/>
        <w:spacing w:line="590" w:lineRule="exact"/>
        <w:ind w:firstLine="1600" w:firstLineChars="500"/>
        <w:textAlignment w:val="auto"/>
        <w:rPr>
          <w:rFonts w:hint="default" w:eastAsia="方正仿宋简体"/>
          <w:sz w:val="32"/>
          <w:szCs w:val="32"/>
          <w:lang w:val="en-US" w:eastAsia="zh-CN"/>
        </w:rPr>
      </w:pPr>
      <w:r>
        <w:rPr>
          <w:rFonts w:hint="eastAsia" w:eastAsia="方正仿宋简体"/>
          <w:sz w:val="32"/>
          <w:szCs w:val="32"/>
          <w:lang w:val="en-US" w:eastAsia="zh-CN"/>
        </w:rPr>
        <w:t xml:space="preserve">                        2024年7月11日</w:t>
      </w:r>
    </w:p>
    <w:p>
      <w:pPr>
        <w:spacing w:line="580" w:lineRule="exact"/>
        <w:ind w:firstLine="1600" w:firstLineChars="500"/>
        <w:rPr>
          <w:rFonts w:hint="eastAsia" w:eastAsia="方正仿宋简体"/>
          <w:sz w:val="32"/>
          <w:szCs w:val="32"/>
        </w:rPr>
      </w:pPr>
    </w:p>
    <w:p>
      <w:pPr>
        <w:spacing w:line="620" w:lineRule="exact"/>
        <w:jc w:val="left"/>
        <w:rPr>
          <w:rFonts w:ascii="宋体" w:hAnsi="宋体" w:eastAsia="方正小标宋简体"/>
          <w:bCs/>
          <w:kern w:val="0"/>
          <w:sz w:val="40"/>
          <w:szCs w:val="40"/>
        </w:rPr>
        <w:sectPr>
          <w:footerReference r:id="rId6" w:type="default"/>
          <w:pgSz w:w="11907" w:h="16840"/>
          <w:pgMar w:top="2098" w:right="1531" w:bottom="1984" w:left="1531" w:header="851" w:footer="992" w:gutter="0"/>
          <w:pgNumType w:fmt="numberInDash"/>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3-</w:t>
      </w:r>
      <w:r>
        <w:rPr>
          <w:rFonts w:eastAsia="方正黑体简体"/>
          <w:bCs/>
          <w:kern w:val="0"/>
          <w:sz w:val="32"/>
          <w:szCs w:val="32"/>
        </w:rPr>
        <w:t>1</w:t>
      </w:r>
    </w:p>
    <w:p>
      <w:pPr>
        <w:spacing w:line="620" w:lineRule="exact"/>
        <w:jc w:val="center"/>
        <w:rPr>
          <w:rFonts w:eastAsia="方正小标宋简体"/>
          <w:bCs/>
          <w:kern w:val="0"/>
          <w:sz w:val="44"/>
          <w:szCs w:val="44"/>
        </w:rPr>
      </w:pPr>
      <w:r>
        <w:rPr>
          <w:rFonts w:hint="eastAsia" w:eastAsia="方正小标宋简体"/>
          <w:bCs/>
          <w:kern w:val="0"/>
          <w:sz w:val="44"/>
          <w:szCs w:val="44"/>
          <w:lang w:eastAsia="zh-CN"/>
        </w:rPr>
        <w:t>2023年</w:t>
      </w:r>
      <w:r>
        <w:rPr>
          <w:rFonts w:hint="eastAsia" w:eastAsia="方正小标宋简体"/>
          <w:bCs/>
          <w:kern w:val="0"/>
          <w:sz w:val="44"/>
          <w:szCs w:val="44"/>
        </w:rPr>
        <w:t>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ascii="仿宋" w:hAnsi="仿宋" w:eastAsia="仿宋" w:cs="仿宋"/>
          <w:i w:val="0"/>
          <w:iCs w:val="0"/>
          <w:caps w:val="0"/>
          <w:color w:val="000000"/>
          <w:spacing w:val="0"/>
          <w:kern w:val="0"/>
          <w:sz w:val="28"/>
          <w:szCs w:val="28"/>
          <w:shd w:val="clear" w:color="auto" w:fill="FFFFFF"/>
          <w:lang w:val="en-US" w:eastAsia="zh-CN" w:bidi="ar"/>
        </w:rPr>
        <w:t>全国信访工作示范县创建工作经费</w:t>
      </w:r>
      <w:r>
        <w:rPr>
          <w:rFonts w:hint="eastAsia" w:eastAsia="方正楷体简体"/>
          <w:b/>
          <w:bCs/>
          <w:kern w:val="0"/>
          <w:sz w:val="32"/>
          <w:szCs w:val="32"/>
        </w:rPr>
        <w:t>）</w:t>
      </w:r>
    </w:p>
    <w:p>
      <w:pPr>
        <w:spacing w:line="620" w:lineRule="exact"/>
        <w:rPr>
          <w:rFonts w:hint="default" w:eastAsia="宋体"/>
          <w:sz w:val="24"/>
          <w:lang w:val="en-US" w:eastAsia="zh-CN"/>
        </w:rPr>
      </w:pPr>
      <w:r>
        <w:rPr>
          <w:rFonts w:hint="eastAsia"/>
          <w:bCs/>
          <w:kern w:val="0"/>
          <w:sz w:val="24"/>
        </w:rPr>
        <w:t>预算单位名称：</w:t>
      </w:r>
      <w:r>
        <w:rPr>
          <w:rFonts w:hint="eastAsia"/>
          <w:bCs/>
          <w:kern w:val="0"/>
          <w:sz w:val="24"/>
          <w:lang w:eastAsia="zh-CN"/>
        </w:rPr>
        <w:t>乐至县信访局</w:t>
      </w:r>
      <w:r>
        <w:rPr>
          <w:rFonts w:hint="eastAsia"/>
          <w:bCs/>
          <w:kern w:val="0"/>
          <w:sz w:val="24"/>
          <w:lang w:val="en-US" w:eastAsia="zh-CN"/>
        </w:rPr>
        <w:t xml:space="preserve">      </w:t>
      </w:r>
      <w:r>
        <w:rPr>
          <w:rFonts w:hint="eastAsia"/>
          <w:bCs/>
          <w:kern w:val="0"/>
          <w:sz w:val="24"/>
        </w:rPr>
        <w:t>预算单位编码：</w:t>
      </w:r>
      <w:r>
        <w:rPr>
          <w:rFonts w:hint="eastAsia"/>
          <w:bCs/>
          <w:kern w:val="0"/>
          <w:sz w:val="24"/>
          <w:lang w:val="en-US" w:eastAsia="zh-CN"/>
        </w:rPr>
        <w:t>111001</w:t>
      </w:r>
      <w:r>
        <w:rPr>
          <w:bCs/>
          <w:kern w:val="0"/>
          <w:sz w:val="24"/>
        </w:rPr>
        <w:t xml:space="preserve">  </w:t>
      </w:r>
      <w:r>
        <w:rPr>
          <w:rFonts w:hint="eastAsia"/>
          <w:bCs/>
          <w:kern w:val="0"/>
          <w:sz w:val="24"/>
          <w:lang w:val="en-US" w:eastAsia="zh-CN"/>
        </w:rPr>
        <w:t xml:space="preserve">   </w:t>
      </w:r>
      <w:r>
        <w:rPr>
          <w:rFonts w:hint="eastAsia"/>
          <w:bCs/>
          <w:kern w:val="0"/>
          <w:sz w:val="24"/>
        </w:rPr>
        <w:t>自评等级：</w:t>
      </w:r>
      <w:r>
        <w:rPr>
          <w:rFonts w:hint="eastAsia"/>
          <w:bCs/>
          <w:kern w:val="0"/>
          <w:sz w:val="24"/>
          <w:lang w:val="en-US" w:eastAsia="zh-CN"/>
        </w:rPr>
        <w:t>95</w:t>
      </w:r>
    </w:p>
    <w:tbl>
      <w:tblPr>
        <w:tblStyle w:val="18"/>
        <w:tblW w:w="524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16"/>
        <w:gridCol w:w="474"/>
        <w:gridCol w:w="474"/>
        <w:gridCol w:w="1761"/>
        <w:gridCol w:w="2360"/>
        <w:gridCol w:w="635"/>
        <w:gridCol w:w="33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16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4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26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4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77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40" w:type="pct"/>
            <w:noWrap/>
            <w:vAlign w:val="center"/>
          </w:tcPr>
          <w:p>
            <w:pPr>
              <w:widowControl/>
              <w:spacing w:line="240" w:lineRule="exact"/>
              <w:ind w:firstLine="210" w:firstLineChars="100"/>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kern w:val="0"/>
                <w:szCs w:val="21"/>
                <w:lang w:eastAsia="zh-CN"/>
              </w:rPr>
            </w:pPr>
            <w:r>
              <w:rPr>
                <w:rFonts w:hint="eastAsia"/>
                <w:kern w:val="0"/>
                <w:szCs w:val="21"/>
              </w:rPr>
              <w:t>　</w:t>
            </w:r>
            <w:r>
              <w:rPr>
                <w:rFonts w:hint="eastAsia"/>
                <w:kern w:val="0"/>
                <w:szCs w:val="21"/>
                <w:lang w:eastAsia="zh-CN"/>
              </w:rPr>
              <w:t>项目的申请、设立严格按</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lang w:eastAsia="zh-CN"/>
              </w:rPr>
              <w:t>照相关规定进行。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项目所设定的绩效目标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符合国家相关法律规</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定，且符合客观事实。</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绩效目标设定的绩效指标清</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lang w:eastAsia="zh-CN"/>
              </w:rPr>
              <w:t>晰、细化、可衡量。</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资金到位率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3万元</w:t>
            </w:r>
            <w:r>
              <w:t>/</w:t>
            </w:r>
            <w:r>
              <w:rPr>
                <w:rFonts w:hint="eastAsia"/>
                <w:lang w:val="en-US" w:eastAsia="zh-CN"/>
              </w:rPr>
              <w:t>3万元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到位及时率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3万元</w:t>
            </w:r>
            <w:r>
              <w:t>/</w:t>
            </w:r>
            <w:r>
              <w:rPr>
                <w:rFonts w:hint="eastAsia"/>
                <w:lang w:val="en-US" w:eastAsia="zh-CN"/>
              </w:rPr>
              <w:t>3万元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169"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已制定合法、合规、完整的</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管理制度。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制度执行按照相关法律法规和</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业务管理规定进行，并且相</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关资料都落实到位。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已制定相应的项目质量标准，</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采取了相应的控制措施。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已制定符合相关财务会计制度</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规定的资金管理办法。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7</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项目资金使用符合相关的财务</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管理制度规定。</w:t>
            </w:r>
          </w:p>
          <w:p>
            <w:pPr>
              <w:pStyle w:val="10"/>
              <w:keepNext w:val="0"/>
              <w:keepLines w:val="0"/>
              <w:pageBreakBefore w:val="0"/>
              <w:kinsoku/>
              <w:wordWrap/>
              <w:overflowPunct/>
              <w:topLinePunct w:val="0"/>
              <w:autoSpaceDE/>
              <w:autoSpaceDN/>
              <w:bidi w:val="0"/>
              <w:spacing w:line="240" w:lineRule="auto"/>
              <w:ind w:left="0" w:leftChars="0" w:firstLine="0" w:firstLineChars="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2</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已具有相应的财务监控机制，</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并采取了必要的监控措施。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264"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实际完成率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创建全国信访工作示范县登报</w:t>
            </w:r>
            <w:r>
              <w:rPr>
                <w:rFonts w:hint="eastAsia"/>
                <w:lang w:val="en-US" w:eastAsia="zh-CN"/>
              </w:rPr>
              <w:t>1篇</w:t>
            </w:r>
            <w:r>
              <w:t>/</w:t>
            </w:r>
            <w:r>
              <w:rPr>
                <w:rFonts w:hint="eastAsia"/>
                <w:lang w:eastAsia="zh-CN"/>
              </w:rPr>
              <w:t>创建全国信访工作示范县登报</w:t>
            </w:r>
            <w:r>
              <w:rPr>
                <w:rFonts w:hint="eastAsia"/>
                <w:lang w:val="en-US" w:eastAsia="zh-CN"/>
              </w:rPr>
              <w:t>1篇</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spacing w:val="-14"/>
                <w:kern w:val="0"/>
                <w:szCs w:val="21"/>
                <w:lang w:eastAsia="zh-CN"/>
              </w:rPr>
              <w:t>（实际完成率</w:t>
            </w:r>
            <w:r>
              <w:rPr>
                <w:rFonts w:hint="eastAsia"/>
                <w:spacing w:val="-14"/>
                <w:kern w:val="0"/>
                <w:szCs w:val="21"/>
                <w:lang w:val="en-US" w:eastAsia="zh-CN"/>
              </w:rPr>
              <w:t>100%</w:t>
            </w:r>
            <w:r>
              <w:rPr>
                <w:rFonts w:hint="eastAsia"/>
                <w:spacing w:val="-14"/>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完成及时率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val="en-US" w:eastAsia="zh-CN"/>
              </w:rPr>
              <w:t>2023年</w:t>
            </w:r>
            <w:r>
              <w:t>-</w:t>
            </w:r>
            <w:r>
              <w:rPr>
                <w:rFonts w:hint="eastAsia"/>
                <w:lang w:val="en-US" w:eastAsia="zh-CN"/>
              </w:rPr>
              <w:t>2023年底</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rPr>
                <w:rFonts w:hint="eastAsia"/>
              </w:rPr>
              <w:t>）</w:t>
            </w:r>
            <w:r>
              <w:t>/</w:t>
            </w:r>
            <w:r>
              <w:rPr>
                <w:rFonts w:hint="eastAsia"/>
                <w:lang w:val="en-US" w:eastAsia="zh-CN"/>
              </w:rPr>
              <w:t>2023年</w:t>
            </w:r>
            <w:r>
              <w:t>]</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（完成及时率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质量达标率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创建全国信访工作示范县登报费</w:t>
            </w:r>
            <w:r>
              <w:rPr>
                <w:rFonts w:hint="eastAsia"/>
                <w:lang w:val="en-US" w:eastAsia="zh-CN"/>
              </w:rPr>
              <w:t>/</w:t>
            </w:r>
            <w:r>
              <w:rPr>
                <w:rFonts w:hint="eastAsia"/>
                <w:lang w:eastAsia="zh-CN"/>
              </w:rPr>
              <w:t>创建全国信访工作示范县登报</w:t>
            </w:r>
            <w:r>
              <w:rPr>
                <w:rFonts w:hint="eastAsia"/>
                <w:lang w:val="en-US" w:eastAsia="zh-CN"/>
              </w:rPr>
              <w:t>1篇</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（质量达标率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成本节约率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3万元</w:t>
            </w:r>
            <w:r>
              <w:t>-</w:t>
            </w:r>
            <w:r>
              <w:rPr>
                <w:rFonts w:hint="eastAsia"/>
                <w:lang w:val="en-US" w:eastAsia="zh-CN"/>
              </w:rPr>
              <w:t>3万元</w:t>
            </w:r>
            <w:r>
              <w:rPr>
                <w:rFonts w:hint="eastAsia"/>
              </w:rPr>
              <w:t>）</w:t>
            </w:r>
            <w:r>
              <w:t>/</w:t>
            </w:r>
            <w:r>
              <w:rPr>
                <w:rFonts w:hint="eastAsia"/>
                <w:lang w:val="en-US" w:eastAsia="zh-CN"/>
              </w:rPr>
              <w:t>3万元</w:t>
            </w:r>
            <w:r>
              <w:t>]</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(节约)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264"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达到预期的经济效益。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维护社会稳定，社会效益好。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ascii="Times New Roman" w:hAnsi="Times New Roman" w:eastAsia="宋体" w:cs="Times New Roman"/>
                <w:kern w:val="0"/>
                <w:sz w:val="21"/>
                <w:szCs w:val="21"/>
                <w:lang w:val="en-US" w:eastAsia="zh-CN" w:bidi="ar-SA"/>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维护社会长治久安，可持续性好。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10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服务对象评价满意。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2884"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40"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95</w:t>
            </w:r>
          </w:p>
        </w:tc>
        <w:tc>
          <w:tcPr>
            <w:tcW w:w="177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hint="eastAsia" w:eastAsia="方正黑体简体"/>
          <w:sz w:val="32"/>
          <w:szCs w:val="32"/>
          <w:lang w:val="en-US" w:eastAsia="zh-CN"/>
        </w:rPr>
        <w:t>3-</w:t>
      </w:r>
      <w:r>
        <w:rPr>
          <w:rFonts w:eastAsia="方正黑体简体"/>
          <w:sz w:val="32"/>
          <w:szCs w:val="32"/>
        </w:rPr>
        <w:t>2</w:t>
      </w:r>
    </w:p>
    <w:p>
      <w:pPr>
        <w:spacing w:line="620" w:lineRule="exact"/>
        <w:jc w:val="center"/>
        <w:rPr>
          <w:rFonts w:eastAsia="方正小标宋简体"/>
          <w:color w:val="000000"/>
          <w:spacing w:val="-12"/>
          <w:kern w:val="0"/>
          <w:sz w:val="36"/>
          <w:szCs w:val="36"/>
        </w:rPr>
      </w:pPr>
      <w:r>
        <w:rPr>
          <w:rFonts w:hint="eastAsia" w:eastAsia="方正小标宋简体"/>
          <w:color w:val="000000"/>
          <w:spacing w:val="-12"/>
          <w:kern w:val="0"/>
          <w:sz w:val="36"/>
          <w:szCs w:val="36"/>
          <w:lang w:eastAsia="zh-CN"/>
        </w:rPr>
        <w:t>2023年</w:t>
      </w:r>
      <w:r>
        <w:rPr>
          <w:rFonts w:hint="eastAsia" w:eastAsia="方正小标宋简体"/>
          <w:color w:val="000000"/>
          <w:spacing w:val="-12"/>
          <w:kern w:val="0"/>
          <w:sz w:val="36"/>
          <w:szCs w:val="36"/>
        </w:rPr>
        <w:t>度乐至县项目支出绩效目标完成情况表</w:t>
      </w:r>
    </w:p>
    <w:p>
      <w:pPr>
        <w:pStyle w:val="7"/>
        <w:spacing w:line="240" w:lineRule="exact"/>
        <w:rPr>
          <w:rFonts w:ascii="宋体"/>
        </w:rPr>
      </w:pPr>
    </w:p>
    <w:tbl>
      <w:tblPr>
        <w:tblStyle w:val="18"/>
        <w:tblW w:w="973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40"/>
        <w:gridCol w:w="1615"/>
        <w:gridCol w:w="1190"/>
        <w:gridCol w:w="1365"/>
        <w:gridCol w:w="1065"/>
        <w:gridCol w:w="1652"/>
        <w:gridCol w:w="210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996"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lang w:eastAsia="zh-CN"/>
              </w:rPr>
              <w:t>创建全国信访工作示范县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190"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430"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761"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1190" w:type="dxa"/>
            <w:noWrap/>
            <w:vAlign w:val="center"/>
          </w:tcPr>
          <w:p>
            <w:pPr>
              <w:spacing w:line="240" w:lineRule="exact"/>
              <w:jc w:val="center"/>
              <w:rPr>
                <w:szCs w:val="21"/>
              </w:rPr>
            </w:pPr>
            <w:r>
              <w:rPr>
                <w:rFonts w:hint="eastAsia"/>
                <w:color w:val="000000"/>
                <w:kern w:val="0"/>
                <w:szCs w:val="21"/>
              </w:rPr>
              <w:t>□</w:t>
            </w:r>
          </w:p>
        </w:tc>
        <w:tc>
          <w:tcPr>
            <w:tcW w:w="2430" w:type="dxa"/>
            <w:gridSpan w:val="2"/>
            <w:noWrap/>
            <w:vAlign w:val="center"/>
          </w:tcPr>
          <w:p>
            <w:pPr>
              <w:spacing w:line="240" w:lineRule="exact"/>
              <w:jc w:val="center"/>
              <w:rPr>
                <w:szCs w:val="21"/>
              </w:rPr>
            </w:pPr>
            <w:r>
              <w:rPr>
                <w:rFonts w:hint="eastAsia"/>
                <w:color w:val="000000"/>
                <w:kern w:val="0"/>
                <w:szCs w:val="21"/>
              </w:rPr>
              <w:t>□</w:t>
            </w:r>
          </w:p>
        </w:tc>
        <w:tc>
          <w:tcPr>
            <w:tcW w:w="3761" w:type="dxa"/>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5235" w:type="dxa"/>
            <w:gridSpan w:val="4"/>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乐至县信访局</w:t>
            </w:r>
          </w:p>
        </w:tc>
        <w:tc>
          <w:tcPr>
            <w:tcW w:w="1652"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10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111001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40"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190"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1365"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1065"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1652"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109"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19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w:t>
            </w:r>
            <w:r>
              <w:rPr>
                <w:rFonts w:hint="eastAsia"/>
                <w:lang w:val="en-US" w:eastAsia="zh-CN"/>
              </w:rPr>
              <w:t>3</w:t>
            </w:r>
          </w:p>
        </w:tc>
        <w:tc>
          <w:tcPr>
            <w:tcW w:w="136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lang w:val="en-US" w:eastAsia="zh-CN"/>
              </w:rPr>
              <w:t>3</w:t>
            </w:r>
          </w:p>
        </w:tc>
        <w:tc>
          <w:tcPr>
            <w:tcW w:w="10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2"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190" w:type="dxa"/>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3</w:t>
            </w:r>
          </w:p>
        </w:tc>
        <w:tc>
          <w:tcPr>
            <w:tcW w:w="1365" w:type="dxa"/>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3</w:t>
            </w:r>
          </w:p>
        </w:tc>
        <w:tc>
          <w:tcPr>
            <w:tcW w:w="10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19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65" w:type="dxa"/>
            <w:noWrap/>
            <w:vAlign w:val="center"/>
          </w:tcPr>
          <w:p>
            <w:pPr>
              <w:widowControl/>
              <w:spacing w:line="240" w:lineRule="exact"/>
              <w:jc w:val="left"/>
              <w:rPr>
                <w:rFonts w:hint="default"/>
                <w:color w:val="000000"/>
                <w:kern w:val="0"/>
                <w:szCs w:val="21"/>
                <w:lang w:val="en-US"/>
              </w:rPr>
            </w:pPr>
            <w:r>
              <w:rPr>
                <w:rFonts w:hint="default"/>
                <w:color w:val="000000"/>
                <w:kern w:val="0"/>
                <w:szCs w:val="21"/>
                <w:lang w:val="en-US"/>
              </w:rPr>
              <w:t>　</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40"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190"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365"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065"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652"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109"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1190" w:type="dxa"/>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3</w:t>
            </w:r>
          </w:p>
        </w:tc>
        <w:tc>
          <w:tcPr>
            <w:tcW w:w="1365" w:type="dxa"/>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3</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1190" w:type="dxa"/>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3</w:t>
            </w:r>
          </w:p>
        </w:tc>
        <w:tc>
          <w:tcPr>
            <w:tcW w:w="1365" w:type="dxa"/>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3</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119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3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19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365"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190"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365"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40"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805"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430"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76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2805"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目标</w:t>
            </w:r>
            <w:r>
              <w:rPr>
                <w:color w:val="000000"/>
                <w:kern w:val="0"/>
                <w:szCs w:val="21"/>
              </w:rPr>
              <w:t>1:</w:t>
            </w:r>
            <w:r>
              <w:rPr>
                <w:rFonts w:hint="eastAsia"/>
                <w:lang w:eastAsia="zh-CN"/>
              </w:rPr>
              <w:t>创建全国信访工作示范县</w:t>
            </w:r>
            <w:r>
              <w:rPr>
                <w:rFonts w:hint="eastAsia"/>
                <w:lang w:val="en-US" w:eastAsia="zh-CN"/>
              </w:rPr>
              <w:t>1个</w:t>
            </w:r>
          </w:p>
        </w:tc>
        <w:tc>
          <w:tcPr>
            <w:tcW w:w="2430" w:type="dxa"/>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未完成</w:t>
            </w:r>
          </w:p>
        </w:tc>
        <w:tc>
          <w:tcPr>
            <w:tcW w:w="3761" w:type="dxa"/>
            <w:gridSpan w:val="2"/>
            <w:noWrap/>
            <w:vAlign w:val="center"/>
          </w:tcPr>
          <w:p>
            <w:pPr>
              <w:widowControl/>
              <w:spacing w:line="240" w:lineRule="exact"/>
              <w:jc w:val="center"/>
              <w:rPr>
                <w:color w:val="000000"/>
                <w:kern w:val="0"/>
                <w:szCs w:val="21"/>
              </w:rPr>
            </w:pPr>
            <w:r>
              <w:rPr>
                <w:rFonts w:hint="eastAsia"/>
                <w:color w:val="000000"/>
                <w:kern w:val="0"/>
                <w:szCs w:val="21"/>
                <w:lang w:eastAsia="zh-CN"/>
              </w:rPr>
              <w:t>指标已达标，但因是优中选优。</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2805" w:type="dxa"/>
            <w:gridSpan w:val="2"/>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目标</w:t>
            </w:r>
            <w:r>
              <w:rPr>
                <w:rFonts w:hint="eastAsia"/>
                <w:color w:val="000000"/>
                <w:kern w:val="0"/>
                <w:szCs w:val="21"/>
                <w:lang w:val="en-US" w:eastAsia="zh-CN"/>
              </w:rPr>
              <w:t>2：</w:t>
            </w:r>
            <w:r>
              <w:rPr>
                <w:rFonts w:hint="eastAsia"/>
                <w:lang w:eastAsia="zh-CN"/>
              </w:rPr>
              <w:t>创建全国信访工作示范县登报费</w:t>
            </w:r>
          </w:p>
        </w:tc>
        <w:tc>
          <w:tcPr>
            <w:tcW w:w="2430" w:type="dxa"/>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376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2805"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3：</w:t>
            </w:r>
            <w:r>
              <w:rPr>
                <w:rFonts w:hint="eastAsia" w:eastAsia="宋体"/>
                <w:kern w:val="0"/>
                <w:sz w:val="21"/>
                <w:szCs w:val="21"/>
              </w:rPr>
              <w:t>进一步促进党和人民群众的血肉联系，提高了人民群众满意度。</w:t>
            </w:r>
          </w:p>
        </w:tc>
        <w:tc>
          <w:tcPr>
            <w:tcW w:w="2430" w:type="dxa"/>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376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40"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615"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190"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365"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065"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652"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109"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190"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36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登报</w:t>
            </w:r>
            <w:r>
              <w:rPr>
                <w:rFonts w:hint="eastAsia"/>
                <w:color w:val="000000"/>
                <w:kern w:val="0"/>
                <w:szCs w:val="21"/>
                <w:lang w:val="en-US" w:eastAsia="zh-CN"/>
              </w:rPr>
              <w:t>1篇</w:t>
            </w:r>
          </w:p>
        </w:tc>
        <w:tc>
          <w:tcPr>
            <w:tcW w:w="1065" w:type="dxa"/>
            <w:noWrap/>
            <w:vAlign w:val="center"/>
          </w:tcPr>
          <w:p>
            <w:pPr>
              <w:widowControl/>
              <w:spacing w:line="240" w:lineRule="exact"/>
              <w:ind w:firstLine="210" w:firstLineChars="100"/>
              <w:jc w:val="left"/>
              <w:rPr>
                <w:rFonts w:hint="default" w:eastAsia="宋体"/>
                <w:color w:val="000000"/>
                <w:kern w:val="0"/>
                <w:szCs w:val="21"/>
                <w:lang w:val="en-US" w:eastAsia="zh-CN"/>
              </w:rPr>
            </w:pPr>
            <w:r>
              <w:rPr>
                <w:rFonts w:hint="eastAsia" w:ascii="宋体" w:hAnsi="宋体" w:cs="宋体"/>
                <w:color w:val="000000"/>
                <w:kern w:val="0"/>
                <w:szCs w:val="21"/>
                <w:lang w:val="en-US" w:eastAsia="zh-CN"/>
              </w:rPr>
              <w:t>=1</w:t>
            </w:r>
          </w:p>
        </w:tc>
        <w:tc>
          <w:tcPr>
            <w:tcW w:w="1652" w:type="dxa"/>
            <w:noWrap/>
            <w:vAlign w:val="center"/>
          </w:tcPr>
          <w:p>
            <w:pPr>
              <w:widowControl/>
              <w:spacing w:line="240" w:lineRule="exact"/>
              <w:ind w:firstLine="420" w:firstLineChars="200"/>
              <w:jc w:val="left"/>
              <w:rPr>
                <w:rFonts w:hint="default" w:eastAsia="宋体"/>
                <w:color w:val="000000"/>
                <w:kern w:val="0"/>
                <w:szCs w:val="21"/>
                <w:lang w:val="en-US" w:eastAsia="zh-CN"/>
              </w:rPr>
            </w:pPr>
            <w:r>
              <w:rPr>
                <w:rFonts w:hint="eastAsia" w:ascii="宋体" w:hAnsi="宋体" w:cs="宋体"/>
                <w:color w:val="000000"/>
                <w:kern w:val="0"/>
                <w:szCs w:val="21"/>
                <w:lang w:val="en-US" w:eastAsia="zh-CN"/>
              </w:rPr>
              <w:t>=1</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指标</w:t>
            </w:r>
            <w:r>
              <w:rPr>
                <w:rFonts w:hint="eastAsia"/>
                <w:color w:val="000000"/>
                <w:kern w:val="0"/>
                <w:szCs w:val="21"/>
                <w:lang w:val="en-US" w:eastAsia="zh-CN"/>
              </w:rPr>
              <w:t>2</w:t>
            </w:r>
            <w:r>
              <w:rPr>
                <w:color w:val="000000"/>
                <w:kern w:val="0"/>
                <w:szCs w:val="21"/>
              </w:rPr>
              <w:t>:</w:t>
            </w:r>
            <w:r>
              <w:rPr>
                <w:rFonts w:hint="eastAsia"/>
                <w:color w:val="000000"/>
                <w:kern w:val="0"/>
                <w:szCs w:val="21"/>
                <w:lang w:eastAsia="zh-CN"/>
              </w:rPr>
              <w:t>创建全国信访示范县</w:t>
            </w:r>
            <w:r>
              <w:rPr>
                <w:rFonts w:hint="eastAsia"/>
                <w:color w:val="000000"/>
                <w:kern w:val="0"/>
                <w:szCs w:val="21"/>
                <w:lang w:val="en-US" w:eastAsia="zh-CN"/>
              </w:rPr>
              <w:t>1个</w:t>
            </w:r>
          </w:p>
        </w:tc>
        <w:tc>
          <w:tcPr>
            <w:tcW w:w="1065" w:type="dxa"/>
            <w:noWrap/>
            <w:vAlign w:val="center"/>
          </w:tcPr>
          <w:p>
            <w:pPr>
              <w:widowControl/>
              <w:spacing w:line="240" w:lineRule="exact"/>
              <w:ind w:firstLine="210" w:firstLineChars="100"/>
              <w:jc w:val="left"/>
              <w:rPr>
                <w:rFonts w:hint="eastAsia" w:eastAsia="宋体"/>
                <w:color w:val="000000"/>
                <w:kern w:val="0"/>
                <w:szCs w:val="21"/>
                <w:lang w:val="en-US" w:eastAsia="zh-CN"/>
              </w:rPr>
            </w:pPr>
            <w:r>
              <w:rPr>
                <w:rFonts w:hint="eastAsia"/>
                <w:color w:val="000000"/>
                <w:kern w:val="0"/>
                <w:szCs w:val="21"/>
                <w:lang w:val="en-US" w:eastAsia="zh-CN"/>
              </w:rPr>
              <w:t>=1</w:t>
            </w:r>
          </w:p>
        </w:tc>
        <w:tc>
          <w:tcPr>
            <w:tcW w:w="1652"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 xml:space="preserve">  =0</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eastAsia="zh-CN"/>
              </w:rPr>
              <w:t>指标已达标，但因是优中选优。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color w:val="000000"/>
                <w:kern w:val="0"/>
                <w:szCs w:val="21"/>
              </w:rPr>
            </w:pP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1365"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：初件满意率</w:t>
            </w:r>
          </w:p>
        </w:tc>
        <w:tc>
          <w:tcPr>
            <w:tcW w:w="1065" w:type="dxa"/>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1652" w:type="dxa"/>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2:</w:t>
            </w:r>
            <w:r>
              <w:rPr>
                <w:rFonts w:hint="eastAsia"/>
                <w:kern w:val="0"/>
                <w:sz w:val="24"/>
                <w:szCs w:val="24"/>
                <w:lang w:eastAsia="zh-CN"/>
              </w:rPr>
              <w:t>进京走访情况</w:t>
            </w:r>
          </w:p>
        </w:tc>
        <w:tc>
          <w:tcPr>
            <w:tcW w:w="1065" w:type="dxa"/>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ascii="宋体" w:hAnsi="宋体" w:cs="宋体"/>
                <w:color w:val="000000"/>
                <w:kern w:val="0"/>
                <w:szCs w:val="21"/>
                <w:lang w:val="en-US" w:eastAsia="zh-CN"/>
              </w:rPr>
              <w:t>15</w:t>
            </w:r>
          </w:p>
        </w:tc>
        <w:tc>
          <w:tcPr>
            <w:tcW w:w="1652"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=5</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1365"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信访事项按期办结率</w:t>
            </w:r>
          </w:p>
        </w:tc>
        <w:tc>
          <w:tcPr>
            <w:tcW w:w="1065" w:type="dxa"/>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1652" w:type="dxa"/>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365"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创建全国信访示范县工作经费</w:t>
            </w:r>
          </w:p>
        </w:tc>
        <w:tc>
          <w:tcPr>
            <w:tcW w:w="1065" w:type="dxa"/>
            <w:noWrap/>
            <w:vAlign w:val="center"/>
          </w:tcPr>
          <w:p>
            <w:pPr>
              <w:widowControl/>
              <w:spacing w:line="240" w:lineRule="exact"/>
              <w:jc w:val="left"/>
              <w:rPr>
                <w:rFonts w:hint="eastAsia" w:eastAsia="宋体"/>
                <w:color w:val="000000"/>
                <w:kern w:val="0"/>
                <w:szCs w:val="21"/>
                <w:lang w:eastAsia="zh-CN"/>
              </w:rPr>
            </w:pPr>
            <w:r>
              <w:rPr>
                <w:rFonts w:hint="eastAsia"/>
                <w:lang w:val="en-US" w:eastAsia="zh-CN"/>
              </w:rPr>
              <w:t>3万元</w:t>
            </w:r>
          </w:p>
        </w:tc>
        <w:tc>
          <w:tcPr>
            <w:tcW w:w="1652" w:type="dxa"/>
            <w:noWrap/>
            <w:vAlign w:val="center"/>
          </w:tcPr>
          <w:p>
            <w:pPr>
              <w:widowControl/>
              <w:spacing w:line="240" w:lineRule="exact"/>
              <w:jc w:val="left"/>
              <w:rPr>
                <w:rFonts w:hint="eastAsia" w:eastAsia="宋体"/>
                <w:color w:val="000000"/>
                <w:kern w:val="0"/>
                <w:szCs w:val="21"/>
                <w:lang w:val="en-US" w:eastAsia="zh-CN"/>
              </w:rPr>
            </w:pPr>
            <w:r>
              <w:rPr>
                <w:rFonts w:hint="eastAsia"/>
                <w:lang w:val="en-US" w:eastAsia="zh-CN"/>
              </w:rPr>
              <w:t>3万元</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3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1615"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1190" w:type="dxa"/>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1365"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促进经济发展</w:t>
            </w:r>
          </w:p>
        </w:tc>
        <w:tc>
          <w:tcPr>
            <w:tcW w:w="1065"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1652"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136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维护社会稳定，提升群众满意度</w:t>
            </w:r>
          </w:p>
        </w:tc>
        <w:tc>
          <w:tcPr>
            <w:tcW w:w="1065"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1652"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1365"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促进社会可持续发展</w:t>
            </w:r>
          </w:p>
        </w:tc>
        <w:tc>
          <w:tcPr>
            <w:tcW w:w="1065"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1652"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3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190"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365"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信访群体满意率</w:t>
            </w:r>
          </w:p>
        </w:tc>
        <w:tc>
          <w:tcPr>
            <w:tcW w:w="1065" w:type="dxa"/>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1652" w:type="dxa"/>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noWrap w:val="0"/>
            <w:vAlign w:val="center"/>
          </w:tcPr>
          <w:p>
            <w:pPr>
              <w:widowControl/>
              <w:spacing w:line="240" w:lineRule="exact"/>
              <w:jc w:val="left"/>
              <w:rPr>
                <w:color w:val="000000"/>
                <w:kern w:val="0"/>
                <w:szCs w:val="21"/>
              </w:rPr>
            </w:pPr>
          </w:p>
        </w:tc>
        <w:tc>
          <w:tcPr>
            <w:tcW w:w="1615" w:type="dxa"/>
            <w:vMerge w:val="continue"/>
            <w:noWrap w:val="0"/>
            <w:vAlign w:val="center"/>
          </w:tcPr>
          <w:p>
            <w:pPr>
              <w:widowControl/>
              <w:spacing w:line="240" w:lineRule="exact"/>
              <w:jc w:val="left"/>
              <w:rPr>
                <w:color w:val="000000"/>
                <w:kern w:val="0"/>
                <w:szCs w:val="21"/>
              </w:rPr>
            </w:pPr>
          </w:p>
        </w:tc>
        <w:tc>
          <w:tcPr>
            <w:tcW w:w="1190" w:type="dxa"/>
            <w:vMerge w:val="continue"/>
            <w:noWrap w:val="0"/>
            <w:vAlign w:val="center"/>
          </w:tcPr>
          <w:p>
            <w:pPr>
              <w:widowControl/>
              <w:spacing w:line="240" w:lineRule="exact"/>
              <w:jc w:val="left"/>
              <w:rPr>
                <w:color w:val="000000"/>
                <w:kern w:val="0"/>
                <w:szCs w:val="21"/>
              </w:rPr>
            </w:pPr>
          </w:p>
        </w:tc>
        <w:tc>
          <w:tcPr>
            <w:tcW w:w="1365"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06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40"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1615"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1190"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365"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065"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652"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2109"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
    <w:p>
      <w:pPr>
        <w:keepNext w:val="0"/>
        <w:keepLines w:val="0"/>
        <w:pageBreakBefore w:val="0"/>
        <w:kinsoku/>
        <w:wordWrap/>
        <w:overflowPunct/>
        <w:topLinePunct w:val="0"/>
        <w:autoSpaceDE/>
        <w:autoSpaceDN/>
        <w:bidi w:val="0"/>
        <w:spacing w:line="590" w:lineRule="exact"/>
        <w:jc w:val="both"/>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eastAsia="zh-CN"/>
        </w:rPr>
        <w:t>附件</w:t>
      </w:r>
      <w:r>
        <w:rPr>
          <w:rFonts w:hint="eastAsia" w:ascii="方正仿宋简体" w:hAnsi="方正仿宋简体" w:eastAsia="方正仿宋简体" w:cs="方正仿宋简体"/>
          <w:sz w:val="32"/>
          <w:szCs w:val="32"/>
          <w:lang w:val="en-US" w:eastAsia="zh-CN"/>
        </w:rPr>
        <w:t>4</w:t>
      </w:r>
    </w:p>
    <w:p>
      <w:pPr>
        <w:keepNext w:val="0"/>
        <w:keepLines w:val="0"/>
        <w:pageBreakBefore w:val="0"/>
        <w:kinsoku/>
        <w:wordWrap/>
        <w:overflowPunct/>
        <w:topLinePunct w:val="0"/>
        <w:autoSpaceDE/>
        <w:autoSpaceDN/>
        <w:bidi w:val="0"/>
        <w:spacing w:line="590" w:lineRule="exact"/>
        <w:ind w:firstLine="3520" w:firstLineChars="800"/>
        <w:jc w:val="both"/>
        <w:textAlignment w:val="auto"/>
        <w:rPr>
          <w:rFonts w:hint="eastAsia" w:eastAsia="方正小标宋简体"/>
          <w:sz w:val="44"/>
          <w:szCs w:val="44"/>
          <w:lang w:val="en-US" w:eastAsia="zh-CN"/>
        </w:rPr>
      </w:pPr>
      <w:r>
        <w:rPr>
          <w:rFonts w:hint="eastAsia" w:eastAsia="方正小标宋简体"/>
          <w:sz w:val="44"/>
          <w:szCs w:val="44"/>
          <w:lang w:val="en-US" w:eastAsia="zh-CN"/>
        </w:rPr>
        <w:t>乐至县信访局</w:t>
      </w:r>
    </w:p>
    <w:p>
      <w:pPr>
        <w:keepNext w:val="0"/>
        <w:keepLines w:val="0"/>
        <w:pageBreakBefore w:val="0"/>
        <w:kinsoku/>
        <w:wordWrap/>
        <w:overflowPunct/>
        <w:topLinePunct w:val="0"/>
        <w:autoSpaceDE/>
        <w:autoSpaceDN/>
        <w:bidi w:val="0"/>
        <w:spacing w:line="590" w:lineRule="exact"/>
        <w:ind w:firstLine="880" w:firstLineChars="200"/>
        <w:jc w:val="center"/>
        <w:textAlignment w:val="auto"/>
        <w:rPr>
          <w:rFonts w:eastAsia="方正小标宋简体"/>
          <w:sz w:val="44"/>
          <w:szCs w:val="44"/>
        </w:rPr>
      </w:pPr>
      <w:r>
        <w:rPr>
          <w:rFonts w:hint="eastAsia" w:eastAsia="方正小标宋简体"/>
          <w:sz w:val="44"/>
          <w:szCs w:val="44"/>
          <w:lang w:eastAsia="zh-CN"/>
        </w:rPr>
        <w:t>2023年</w:t>
      </w:r>
      <w:r>
        <w:rPr>
          <w:rFonts w:hint="eastAsia" w:eastAsia="方正小标宋简体"/>
          <w:sz w:val="44"/>
          <w:szCs w:val="44"/>
        </w:rPr>
        <w:t>项目支出绩效自评报告</w:t>
      </w:r>
    </w:p>
    <w:p>
      <w:pPr>
        <w:keepNext w:val="0"/>
        <w:keepLines w:val="0"/>
        <w:pageBreakBefore w:val="0"/>
        <w:kinsoku/>
        <w:wordWrap/>
        <w:overflowPunct/>
        <w:topLinePunct w:val="0"/>
        <w:autoSpaceDE/>
        <w:autoSpaceDN/>
        <w:bidi w:val="0"/>
        <w:spacing w:line="590" w:lineRule="exact"/>
        <w:jc w:val="center"/>
        <w:textAlignment w:val="auto"/>
        <w:rPr>
          <w:rFonts w:eastAsia="方正楷体简体"/>
          <w:b/>
          <w:sz w:val="32"/>
          <w:szCs w:val="32"/>
        </w:rPr>
      </w:pPr>
      <w:r>
        <w:rPr>
          <w:rFonts w:hint="eastAsia" w:eastAsia="方正楷体简体"/>
          <w:b/>
          <w:sz w:val="32"/>
          <w:szCs w:val="32"/>
          <w:lang w:val="en-US" w:eastAsia="zh-CN"/>
        </w:rPr>
        <w:t xml:space="preserve">    </w:t>
      </w:r>
      <w:r>
        <w:rPr>
          <w:rFonts w:hint="eastAsia" w:eastAsia="方正楷体简体"/>
          <w:b/>
          <w:sz w:val="32"/>
          <w:szCs w:val="32"/>
        </w:rPr>
        <w:t>（信访事务）</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p>
    <w:p>
      <w:pPr>
        <w:keepNext w:val="0"/>
        <w:keepLines w:val="0"/>
        <w:pageBreakBefore w:val="0"/>
        <w:kinsoku/>
        <w:wordWrap/>
        <w:overflowPunct/>
        <w:topLinePunct w:val="0"/>
        <w:autoSpaceDE/>
        <w:autoSpaceDN/>
        <w:bidi w:val="0"/>
        <w:spacing w:line="590" w:lineRule="exact"/>
        <w:jc w:val="center"/>
        <w:textAlignment w:val="auto"/>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黑体简体"/>
          <w:sz w:val="32"/>
          <w:szCs w:val="32"/>
        </w:rPr>
      </w:pPr>
      <w:r>
        <w:rPr>
          <w:rFonts w:hint="eastAsia" w:eastAsia="方正黑体简体"/>
          <w:sz w:val="32"/>
          <w:szCs w:val="32"/>
        </w:rPr>
        <w:t>一、项目基本情况</w:t>
      </w:r>
    </w:p>
    <w:p>
      <w:pPr>
        <w:keepNext w:val="0"/>
        <w:keepLines w:val="0"/>
        <w:pageBreakBefore w:val="0"/>
        <w:kinsoku/>
        <w:wordWrap/>
        <w:overflowPunct/>
        <w:topLinePunct w:val="0"/>
        <w:autoSpaceDE/>
        <w:autoSpaceDN/>
        <w:bidi w:val="0"/>
        <w:spacing w:line="590" w:lineRule="exact"/>
        <w:ind w:firstLine="643" w:firstLineChars="200"/>
        <w:textAlignment w:val="auto"/>
        <w:rPr>
          <w:rFonts w:eastAsia="方正楷体简体"/>
          <w:b/>
          <w:sz w:val="32"/>
          <w:szCs w:val="32"/>
        </w:rPr>
      </w:pPr>
      <w:r>
        <w:rPr>
          <w:rFonts w:hint="eastAsia" w:eastAsia="方正楷体简体"/>
          <w:b/>
          <w:sz w:val="32"/>
          <w:szCs w:val="32"/>
        </w:rPr>
        <w:t>（一）概况</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keepNext w:val="0"/>
        <w:keepLines w:val="0"/>
        <w:pageBreakBefore w:val="0"/>
        <w:kinsoku/>
        <w:wordWrap/>
        <w:overflowPunct/>
        <w:topLinePunct w:val="0"/>
        <w:autoSpaceDE/>
        <w:autoSpaceDN/>
        <w:bidi w:val="0"/>
        <w:adjustRightInd w:val="0"/>
        <w:snapToGrid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为减少矛盾上行，控制信访存量，减少信访增量，着力解决一批信访“无头案、钉子案、骨头案”，按照“三到位一处理”要求，解</w:t>
      </w:r>
      <w:r>
        <w:rPr>
          <w:rFonts w:hint="eastAsia" w:ascii="仿宋_GB2312" w:hAnsi="宋体" w:eastAsia="仿宋_GB2312"/>
          <w:sz w:val="32"/>
          <w:szCs w:val="32"/>
        </w:rPr>
        <w:t>决特殊疑难信访问题，</w:t>
      </w:r>
      <w:r>
        <w:rPr>
          <w:rFonts w:hint="eastAsia" w:eastAsia="方正仿宋简体"/>
          <w:sz w:val="32"/>
          <w:szCs w:val="32"/>
        </w:rPr>
        <w:t>确保重要敏感节点社会稳定，促进社会和谐</w:t>
      </w:r>
      <w:r>
        <w:rPr>
          <w:rFonts w:hint="eastAsia" w:eastAsia="方正仿宋简体"/>
          <w:sz w:val="32"/>
          <w:szCs w:val="32"/>
          <w:lang w:eastAsia="zh-CN"/>
        </w:rPr>
        <w:t>稳定发展</w:t>
      </w:r>
      <w:r>
        <w:rPr>
          <w:rFonts w:hint="eastAsia" w:eastAsia="方正仿宋简体"/>
          <w:sz w:val="32"/>
          <w:szCs w:val="32"/>
        </w:rPr>
        <w:t>。</w:t>
      </w:r>
    </w:p>
    <w:p>
      <w:pPr>
        <w:keepNext w:val="0"/>
        <w:keepLines w:val="0"/>
        <w:pageBreakBefore w:val="0"/>
        <w:numPr>
          <w:ilvl w:val="0"/>
          <w:numId w:val="9"/>
        </w:numPr>
        <w:kinsoku/>
        <w:wordWrap/>
        <w:overflowPunct/>
        <w:topLinePunct w:val="0"/>
        <w:autoSpaceDE/>
        <w:autoSpaceDN/>
        <w:bidi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预算资金来源及使用情况</w:t>
      </w:r>
    </w:p>
    <w:p>
      <w:pPr>
        <w:keepNext w:val="0"/>
        <w:keepLines w:val="0"/>
        <w:pageBreakBefore w:val="0"/>
        <w:numPr>
          <w:ilvl w:val="0"/>
          <w:numId w:val="0"/>
        </w:numPr>
        <w:kinsoku/>
        <w:wordWrap/>
        <w:overflowPunct/>
        <w:topLinePunct w:val="0"/>
        <w:autoSpaceDE/>
        <w:autoSpaceDN/>
        <w:bidi w:val="0"/>
        <w:adjustRightInd w:val="0"/>
        <w:snapToGrid w:val="0"/>
        <w:spacing w:line="590" w:lineRule="exact"/>
        <w:ind w:firstLine="640" w:firstLineChars="200"/>
        <w:textAlignment w:val="auto"/>
        <w:rPr>
          <w:rFonts w:hint="default"/>
          <w:lang w:val="en-US"/>
        </w:rPr>
      </w:pPr>
      <w:r>
        <w:rPr>
          <w:rFonts w:hint="eastAsia" w:ascii="仿宋_GB2312" w:hAnsi="宋体" w:eastAsia="仿宋_GB2312"/>
          <w:sz w:val="32"/>
          <w:szCs w:val="32"/>
          <w:lang w:eastAsia="zh-CN"/>
        </w:rPr>
        <w:t>资金为县级财政资金。</w:t>
      </w:r>
      <w:r>
        <w:rPr>
          <w:rFonts w:hint="eastAsia" w:ascii="仿宋_GB2312" w:hAnsi="宋体" w:eastAsia="仿宋_GB2312"/>
          <w:sz w:val="32"/>
          <w:szCs w:val="32"/>
          <w:lang w:val="en-US" w:eastAsia="zh-CN"/>
        </w:rPr>
        <w:t>2023年县信访局项目支出预算100万，其中</w:t>
      </w:r>
      <w:r>
        <w:rPr>
          <w:rFonts w:hint="eastAsia" w:ascii="仿宋_GB2312" w:hAnsi="宋体" w:eastAsia="仿宋_GB2312"/>
          <w:sz w:val="32"/>
          <w:szCs w:val="32"/>
          <w:lang w:eastAsia="zh-CN"/>
        </w:rPr>
        <w:t>信访事务工作经费</w:t>
      </w:r>
      <w:r>
        <w:rPr>
          <w:rFonts w:hint="eastAsia" w:ascii="仿宋_GB2312" w:hAnsi="宋体" w:eastAsia="仿宋_GB2312"/>
          <w:sz w:val="32"/>
          <w:szCs w:val="32"/>
          <w:lang w:val="en-US" w:eastAsia="zh-CN"/>
        </w:rPr>
        <w:t>89.47万元，截止2023年底，该项目资金已完成预算100%。</w:t>
      </w:r>
    </w:p>
    <w:p>
      <w:pPr>
        <w:keepNext w:val="0"/>
        <w:keepLines w:val="0"/>
        <w:pageBreakBefore w:val="0"/>
        <w:numPr>
          <w:ilvl w:val="0"/>
          <w:numId w:val="9"/>
        </w:numPr>
        <w:kinsoku/>
        <w:wordWrap/>
        <w:overflowPunct/>
        <w:topLinePunct w:val="0"/>
        <w:autoSpaceDE/>
        <w:autoSpaceDN/>
        <w:bidi w:val="0"/>
        <w:spacing w:line="590" w:lineRule="exact"/>
        <w:ind w:left="0" w:leftChars="0" w:firstLine="640" w:firstLineChars="200"/>
        <w:textAlignment w:val="auto"/>
        <w:rPr>
          <w:rFonts w:hint="eastAsia" w:eastAsia="方正仿宋简体"/>
          <w:sz w:val="32"/>
          <w:szCs w:val="32"/>
        </w:rPr>
      </w:pPr>
      <w:r>
        <w:rPr>
          <w:rFonts w:hint="eastAsia" w:eastAsia="方正仿宋简体"/>
          <w:sz w:val="32"/>
          <w:szCs w:val="32"/>
        </w:rPr>
        <w:t>实施情况（项目完成情况）</w:t>
      </w:r>
    </w:p>
    <w:p>
      <w:pPr>
        <w:keepNext w:val="0"/>
        <w:keepLines w:val="0"/>
        <w:pageBreakBefore w:val="0"/>
        <w:kinsoku/>
        <w:wordWrap/>
        <w:overflowPunct/>
        <w:topLinePunct w:val="0"/>
        <w:autoSpaceDE/>
        <w:autoSpaceDN/>
        <w:bidi w:val="0"/>
        <w:snapToGrid w:val="0"/>
        <w:spacing w:line="590" w:lineRule="exact"/>
        <w:ind w:left="0" w:leftChars="0" w:firstLine="640" w:firstLineChars="200"/>
        <w:textAlignment w:val="auto"/>
        <w:rPr>
          <w:rFonts w:hint="eastAsia" w:ascii="仿宋_GB2312" w:hAnsi="宋体" w:eastAsia="仿宋_GB2312"/>
          <w:sz w:val="32"/>
          <w:szCs w:val="32"/>
          <w:lang w:val="en-US" w:eastAsia="zh-CN"/>
        </w:rPr>
      </w:pPr>
      <w:r>
        <w:rPr>
          <w:rFonts w:hint="eastAsia" w:ascii="方正仿宋简体" w:hAnsi="方正仿宋简体" w:eastAsia="方正仿宋简体" w:cs="方正仿宋简体"/>
          <w:kern w:val="2"/>
          <w:sz w:val="32"/>
          <w:szCs w:val="32"/>
          <w:lang w:val="en-US" w:eastAsia="zh-CN" w:bidi="ar-SA"/>
        </w:rPr>
        <w:t>为完成特定的行政工作任务，</w:t>
      </w:r>
      <w:r>
        <w:rPr>
          <w:rFonts w:hint="eastAsia" w:ascii="仿宋_GB2312" w:hAnsi="宋体" w:eastAsia="仿宋_GB2312"/>
          <w:sz w:val="32"/>
          <w:szCs w:val="32"/>
          <w:lang w:val="en-US" w:eastAsia="zh-CN"/>
        </w:rPr>
        <w:t>重大敏感政治活动处访工作经费用于成都大运会、全国“两会”、省“两会”等敏感节点信访维稳工作。</w:t>
      </w:r>
    </w:p>
    <w:p>
      <w:pPr>
        <w:keepNext w:val="0"/>
        <w:keepLines w:val="0"/>
        <w:pageBreakBefore w:val="0"/>
        <w:numPr>
          <w:ilvl w:val="0"/>
          <w:numId w:val="9"/>
        </w:numPr>
        <w:kinsoku/>
        <w:wordWrap/>
        <w:overflowPunct/>
        <w:topLinePunct w:val="0"/>
        <w:autoSpaceDE/>
        <w:autoSpaceDN/>
        <w:bidi w:val="0"/>
        <w:spacing w:line="590" w:lineRule="exact"/>
        <w:ind w:left="0" w:leftChars="0" w:firstLine="640" w:firstLineChars="200"/>
        <w:textAlignment w:val="auto"/>
        <w:rPr>
          <w:rFonts w:hint="eastAsia" w:eastAsia="方正仿宋简体"/>
          <w:sz w:val="32"/>
          <w:szCs w:val="32"/>
        </w:rPr>
      </w:pPr>
      <w:r>
        <w:rPr>
          <w:rFonts w:hint="eastAsia" w:eastAsia="方正仿宋简体"/>
          <w:sz w:val="32"/>
          <w:szCs w:val="32"/>
        </w:rPr>
        <w:t>组织及管理（项目组织、管理流程及实际执行情况）</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）项目组织情况</w:t>
      </w:r>
      <w:r>
        <w:rPr>
          <w:rFonts w:hint="eastAsia" w:ascii="方正仿宋简体" w:hAnsi="方正仿宋简体" w:eastAsia="方正仿宋简体" w:cs="方正仿宋简体"/>
          <w:sz w:val="32"/>
          <w:szCs w:val="32"/>
          <w:lang w:eastAsia="zh-CN"/>
        </w:rPr>
        <w:t>：按照乐至县信访局财政项目支出绩效评价评分表逐项对照检查，查看绩效完成情况。</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）项目管理情况</w:t>
      </w:r>
      <w:r>
        <w:rPr>
          <w:rFonts w:hint="eastAsia" w:ascii="方正仿宋简体" w:hAnsi="方正仿宋简体" w:eastAsia="方正仿宋简体" w:cs="方正仿宋简体"/>
          <w:sz w:val="32"/>
          <w:szCs w:val="32"/>
          <w:lang w:eastAsia="zh-CN"/>
        </w:rPr>
        <w:t>：严格执行财务规章制度，确保每项财务工作的开展均“有法可依、有据可循”。通过严格执行财经纪律和财务制度，加强财务管理，规范财务行为，严格项目资金使用申报程序，按照工作进度细化资金使用计划，根据项目实施进度进行资金拨付，确保项目经费预算执行到位，发挥资金使用效率。</w:t>
      </w:r>
    </w:p>
    <w:p>
      <w:pPr>
        <w:pStyle w:val="2"/>
        <w:keepNext w:val="0"/>
        <w:keepLines w:val="0"/>
        <w:pageBreakBefore w:val="0"/>
        <w:numPr>
          <w:ilvl w:val="0"/>
          <w:numId w:val="0"/>
        </w:numPr>
        <w:kinsoku/>
        <w:wordWrap/>
        <w:overflowPunct/>
        <w:topLinePunct w:val="0"/>
        <w:autoSpaceDE/>
        <w:autoSpaceDN/>
        <w:bidi w:val="0"/>
        <w:spacing w:line="590" w:lineRule="exact"/>
        <w:ind w:leftChars="200"/>
        <w:textAlignment w:val="auto"/>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）项目组织实施的实际情况与目标</w:t>
      </w:r>
      <w:r>
        <w:rPr>
          <w:rFonts w:hint="eastAsia" w:ascii="方正仿宋简体" w:hAnsi="方正仿宋简体" w:eastAsia="方正仿宋简体" w:cs="方正仿宋简体"/>
          <w:sz w:val="32"/>
          <w:szCs w:val="32"/>
          <w:lang w:eastAsia="zh-CN"/>
        </w:rPr>
        <w:t>完成情况无</w:t>
      </w:r>
      <w:r>
        <w:rPr>
          <w:rFonts w:hint="eastAsia" w:ascii="方正仿宋简体" w:hAnsi="方正仿宋简体" w:eastAsia="方正仿宋简体" w:cs="方正仿宋简体"/>
          <w:sz w:val="32"/>
          <w:szCs w:val="32"/>
        </w:rPr>
        <w:t>差异</w:t>
      </w:r>
      <w:r>
        <w:rPr>
          <w:rFonts w:hint="eastAsia" w:ascii="方正仿宋简体" w:hAnsi="方正仿宋简体" w:eastAsia="方正仿宋简体" w:cs="方正仿宋简体"/>
          <w:sz w:val="32"/>
          <w:szCs w:val="32"/>
          <w:lang w:eastAsia="zh-CN"/>
        </w:rPr>
        <w:t>。</w:t>
      </w:r>
    </w:p>
    <w:p>
      <w:pPr>
        <w:keepNext w:val="0"/>
        <w:keepLines w:val="0"/>
        <w:pageBreakBefore w:val="0"/>
        <w:kinsoku/>
        <w:wordWrap/>
        <w:overflowPunct/>
        <w:topLinePunct w:val="0"/>
        <w:autoSpaceDE/>
        <w:autoSpaceDN/>
        <w:bidi w:val="0"/>
        <w:spacing w:line="590" w:lineRule="exact"/>
        <w:ind w:firstLine="643" w:firstLineChars="200"/>
        <w:textAlignment w:val="auto"/>
        <w:rPr>
          <w:rFonts w:eastAsia="方正楷体简体"/>
          <w:b/>
          <w:sz w:val="32"/>
          <w:szCs w:val="32"/>
        </w:rPr>
      </w:pPr>
      <w:r>
        <w:rPr>
          <w:rFonts w:hint="eastAsia" w:eastAsia="方正楷体简体"/>
          <w:b/>
          <w:sz w:val="32"/>
          <w:szCs w:val="32"/>
        </w:rPr>
        <w:t>（二）绩效目标</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绩效目标分别表述绩效总目标和具体绩效目标，具体绩效目标为具体量化的产出目标结果目标。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（1）绩效总目标综合结论:</w:t>
      </w:r>
      <w:r>
        <w:rPr>
          <w:rFonts w:hint="eastAsia" w:ascii="方正仿宋简体" w:hAnsi="方正仿宋简体" w:eastAsia="方正仿宋简体" w:cs="方正仿宋简体"/>
          <w:kern w:val="2"/>
          <w:sz w:val="32"/>
          <w:szCs w:val="32"/>
          <w:lang w:val="en-US" w:eastAsia="zh-CN" w:bidi="ar-SA"/>
        </w:rPr>
        <w:t>在2023年度项目绩效自评工作中，我局认真筹划，严密组织，以严谨、务实的态度，不折不扣的落实县委、县政府和县财政局的相关要求，认真收集整理评价资料，全面真实反映年度项目经费使用管理情况，对照县信访局2023年项目支出绩效自评体系评分表，我局自评分95分，自评结果为“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（2）产出指标</w:t>
      </w:r>
      <w:r>
        <w:rPr>
          <w:rFonts w:hint="eastAsia" w:ascii="方正仿宋简体" w:hAnsi="方正仿宋简体" w:eastAsia="方正仿宋简体" w:cs="方正仿宋简体"/>
          <w:kern w:val="2"/>
          <w:sz w:val="32"/>
          <w:szCs w:val="32"/>
          <w:lang w:val="en-US" w:eastAsia="zh-CN" w:bidi="ar-SA"/>
        </w:rPr>
        <w:t>：重要敏感节点派遣处访工作组，对进京到省人员第一时间劝返，控制越级访，较少进京到省访人员。</w:t>
      </w:r>
    </w:p>
    <w:p>
      <w:pPr>
        <w:keepNext w:val="0"/>
        <w:keepLines w:val="0"/>
        <w:pageBreakBefore w:val="0"/>
        <w:kinsoku/>
        <w:wordWrap/>
        <w:overflowPunct/>
        <w:topLinePunct w:val="0"/>
        <w:autoSpaceDE/>
        <w:autoSpaceDN/>
        <w:bidi w:val="0"/>
        <w:adjustRightInd w:val="0"/>
        <w:snapToGrid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（3）社会效益：</w:t>
      </w:r>
      <w:r>
        <w:rPr>
          <w:rFonts w:hint="eastAsia" w:eastAsia="方正仿宋简体"/>
          <w:sz w:val="32"/>
          <w:szCs w:val="32"/>
        </w:rPr>
        <w:t>化解矛盾</w:t>
      </w:r>
      <w:r>
        <w:rPr>
          <w:rFonts w:hint="eastAsia" w:eastAsia="方正仿宋简体"/>
          <w:sz w:val="32"/>
          <w:szCs w:val="32"/>
          <w:lang w:eastAsia="zh-CN"/>
        </w:rPr>
        <w:t>纠纷</w:t>
      </w:r>
      <w:r>
        <w:rPr>
          <w:rFonts w:hint="eastAsia" w:eastAsia="方正仿宋简体"/>
          <w:sz w:val="32"/>
          <w:szCs w:val="32"/>
        </w:rPr>
        <w:t>，维护社会稳定和谐发展。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rPr>
          <w:rFonts w:hint="eastAsia" w:ascii="仿宋_GB2312" w:hAnsi="宋体" w:eastAsia="仿宋_GB2312"/>
          <w:sz w:val="32"/>
          <w:szCs w:val="32"/>
        </w:rPr>
      </w:pPr>
      <w:r>
        <w:rPr>
          <w:rFonts w:hint="eastAsia" w:ascii="方正楷体简体" w:hAnsi="方正楷体简体" w:eastAsia="方正楷体简体" w:cs="方正楷体简体"/>
          <w:kern w:val="2"/>
          <w:sz w:val="32"/>
          <w:szCs w:val="32"/>
          <w:lang w:val="en-US" w:eastAsia="zh-CN" w:bidi="ar-SA"/>
        </w:rPr>
        <w:t>（4）可持续影响：</w:t>
      </w:r>
      <w:r>
        <w:rPr>
          <w:rFonts w:hint="eastAsia" w:ascii="仿宋_GB2312" w:hAnsi="宋体" w:eastAsia="仿宋_GB2312"/>
          <w:sz w:val="32"/>
          <w:szCs w:val="32"/>
        </w:rPr>
        <w:t>维护社会稳定，促进社会和谐发展。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pPr>
      <w:r>
        <w:rPr>
          <w:rFonts w:hint="eastAsia" w:ascii="方正楷体简体" w:hAnsi="方正楷体简体" w:eastAsia="方正楷体简体" w:cs="方正楷体简体"/>
          <w:kern w:val="2"/>
          <w:sz w:val="32"/>
          <w:szCs w:val="32"/>
          <w:lang w:val="en-US" w:eastAsia="zh-CN" w:bidi="ar-SA"/>
        </w:rPr>
        <w:t>（5）满意度：</w:t>
      </w:r>
      <w:r>
        <w:rPr>
          <w:rFonts w:hint="eastAsia" w:ascii="方正仿宋简体" w:hAnsi="方正仿宋简体" w:eastAsia="方正仿宋简体" w:cs="方正仿宋简体"/>
          <w:kern w:val="2"/>
          <w:sz w:val="32"/>
          <w:szCs w:val="32"/>
          <w:lang w:val="en-US" w:eastAsia="zh-CN" w:bidi="ar-SA"/>
        </w:rPr>
        <w:t>2023年信访工作未接到人民群众、部门工作人员及相关不满意情况反映，满意度为98%。</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eastAsia="方正黑体简体"/>
          <w:sz w:val="32"/>
          <w:szCs w:val="32"/>
        </w:rPr>
      </w:pPr>
      <w:r>
        <w:rPr>
          <w:rFonts w:hint="eastAsia" w:eastAsia="方正黑体简体"/>
          <w:sz w:val="32"/>
          <w:szCs w:val="32"/>
        </w:rPr>
        <w:t>二、绩效自评工作情况</w:t>
      </w:r>
    </w:p>
    <w:p>
      <w:pPr>
        <w:keepNext w:val="0"/>
        <w:keepLines w:val="0"/>
        <w:pageBreakBefore w:val="0"/>
        <w:kinsoku/>
        <w:wordWrap/>
        <w:overflowPunct/>
        <w:topLinePunct w:val="0"/>
        <w:autoSpaceDE/>
        <w:autoSpaceDN/>
        <w:bidi w:val="0"/>
        <w:spacing w:line="590" w:lineRule="exact"/>
        <w:ind w:left="0" w:leftChars="0" w:firstLine="643" w:firstLineChars="200"/>
        <w:textAlignment w:val="auto"/>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（一）自评工作组织领导</w:t>
      </w:r>
    </w:p>
    <w:p>
      <w:pPr>
        <w:pStyle w:val="10"/>
        <w:keepNext w:val="0"/>
        <w:keepLines w:val="0"/>
        <w:pageBreakBefore w:val="0"/>
        <w:kinsoku/>
        <w:wordWrap/>
        <w:overflowPunct/>
        <w:topLinePunct w:val="0"/>
        <w:autoSpaceDE/>
        <w:autoSpaceDN/>
        <w:bidi w:val="0"/>
        <w:spacing w:line="59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一是</w:t>
      </w:r>
      <w:r>
        <w:rPr>
          <w:rFonts w:hint="eastAsia" w:ascii="方正仿宋简体" w:hAnsi="方正仿宋简体" w:eastAsia="方正仿宋简体" w:cs="方正仿宋简体"/>
          <w:kern w:val="2"/>
          <w:sz w:val="32"/>
          <w:szCs w:val="32"/>
          <w:lang w:val="en-US" w:eastAsia="zh-CN" w:bidi="ar-SA"/>
        </w:rPr>
        <w:t>高度重视绩效评价工作，成立了以局长为组长，分管副局为副组长，办公室、网信股、督查督办股、接待中心工作人员为成员的绩效评价领导小组，明确绩效工作评价责任，进一步强化各股室对财政预算支出的管理意识；</w:t>
      </w:r>
      <w:r>
        <w:rPr>
          <w:rFonts w:hint="eastAsia" w:ascii="方正楷体简体" w:hAnsi="方正楷体简体" w:eastAsia="方正楷体简体" w:cs="方正楷体简体"/>
          <w:b w:val="0"/>
          <w:bCs w:val="0"/>
          <w:kern w:val="2"/>
          <w:sz w:val="32"/>
          <w:szCs w:val="32"/>
          <w:lang w:val="en-US" w:eastAsia="zh-CN" w:bidi="ar-SA"/>
        </w:rPr>
        <w:t>二是</w:t>
      </w:r>
      <w:r>
        <w:rPr>
          <w:rFonts w:hint="eastAsia" w:ascii="方正仿宋简体" w:hAnsi="方正仿宋简体" w:eastAsia="方正仿宋简体" w:cs="方正仿宋简体"/>
          <w:kern w:val="2"/>
          <w:sz w:val="32"/>
          <w:szCs w:val="32"/>
          <w:lang w:val="en-US" w:eastAsia="zh-CN" w:bidi="ar-SA"/>
        </w:rPr>
        <w:t>收集、整理资料；</w:t>
      </w:r>
      <w:r>
        <w:rPr>
          <w:rFonts w:hint="eastAsia" w:ascii="方正楷体简体" w:hAnsi="方正楷体简体" w:eastAsia="方正楷体简体" w:cs="方正楷体简体"/>
          <w:b w:val="0"/>
          <w:bCs w:val="0"/>
          <w:kern w:val="2"/>
          <w:sz w:val="32"/>
          <w:szCs w:val="32"/>
          <w:lang w:val="en-US" w:eastAsia="zh-CN" w:bidi="ar-SA"/>
        </w:rPr>
        <w:t>三是</w:t>
      </w:r>
      <w:r>
        <w:rPr>
          <w:rFonts w:hint="eastAsia" w:ascii="方正仿宋简体" w:hAnsi="方正仿宋简体" w:eastAsia="方正仿宋简体" w:cs="方正仿宋简体"/>
          <w:kern w:val="2"/>
          <w:sz w:val="32"/>
          <w:szCs w:val="32"/>
          <w:lang w:val="en-US" w:eastAsia="zh-CN" w:bidi="ar-SA"/>
        </w:rPr>
        <w:t>客观分析，实事求是，形成报告；</w:t>
      </w:r>
      <w:r>
        <w:rPr>
          <w:rFonts w:hint="eastAsia" w:ascii="方正楷体简体" w:hAnsi="方正楷体简体" w:eastAsia="方正楷体简体" w:cs="方正楷体简体"/>
          <w:b w:val="0"/>
          <w:bCs w:val="0"/>
          <w:kern w:val="2"/>
          <w:sz w:val="32"/>
          <w:szCs w:val="32"/>
          <w:lang w:val="en-US" w:eastAsia="zh-CN" w:bidi="ar-SA"/>
        </w:rPr>
        <w:t>四是</w:t>
      </w:r>
      <w:r>
        <w:rPr>
          <w:rFonts w:hint="eastAsia" w:ascii="方正仿宋简体" w:hAnsi="方正仿宋简体" w:eastAsia="方正仿宋简体" w:cs="方正仿宋简体"/>
          <w:kern w:val="2"/>
          <w:sz w:val="32"/>
          <w:szCs w:val="32"/>
          <w:lang w:val="en-US" w:eastAsia="zh-CN" w:bidi="ar-SA"/>
        </w:rPr>
        <w:t>报送部门整体、项目支出绩效自评报告；</w:t>
      </w:r>
      <w:r>
        <w:rPr>
          <w:rFonts w:hint="eastAsia" w:ascii="方正楷体简体" w:hAnsi="方正楷体简体" w:eastAsia="方正楷体简体" w:cs="方正楷体简体"/>
          <w:b w:val="0"/>
          <w:bCs w:val="0"/>
          <w:kern w:val="2"/>
          <w:sz w:val="32"/>
          <w:szCs w:val="32"/>
          <w:lang w:val="en-US" w:eastAsia="zh-CN" w:bidi="ar-SA"/>
        </w:rPr>
        <w:t>五是</w:t>
      </w:r>
      <w:r>
        <w:rPr>
          <w:rFonts w:hint="eastAsia" w:ascii="方正仿宋简体" w:hAnsi="方正仿宋简体" w:eastAsia="方正仿宋简体" w:cs="方正仿宋简体"/>
          <w:kern w:val="2"/>
          <w:sz w:val="32"/>
          <w:szCs w:val="32"/>
          <w:lang w:val="en-US" w:eastAsia="zh-CN" w:bidi="ar-SA"/>
        </w:rPr>
        <w:t>总结提高，配合县财政局开展绩效评价工作并按要求公开绩效自评情况。</w:t>
      </w:r>
    </w:p>
    <w:p>
      <w:pPr>
        <w:pStyle w:val="10"/>
        <w:keepNext w:val="0"/>
        <w:keepLines w:val="0"/>
        <w:pageBreakBefore w:val="0"/>
        <w:kinsoku/>
        <w:wordWrap/>
        <w:overflowPunct/>
        <w:topLinePunct w:val="0"/>
        <w:autoSpaceDE/>
        <w:autoSpaceDN/>
        <w:bidi w:val="0"/>
        <w:spacing w:line="590" w:lineRule="exact"/>
        <w:ind w:leftChars="100" w:firstLine="643" w:firstLineChars="200"/>
        <w:textAlignment w:val="auto"/>
        <w:rPr>
          <w:rFonts w:hint="eastAsia" w:ascii="方正楷体简体" w:hAnsi="方正楷体简体" w:eastAsia="方正楷体简体" w:cs="方正楷体简体"/>
          <w:b/>
          <w:bCs/>
          <w:kern w:val="2"/>
          <w:sz w:val="32"/>
          <w:szCs w:val="32"/>
          <w:lang w:val="en-US" w:eastAsia="zh-CN" w:bidi="ar-SA"/>
        </w:rPr>
      </w:pPr>
      <w:r>
        <w:rPr>
          <w:rFonts w:hint="eastAsia" w:ascii="方正楷体简体" w:hAnsi="方正楷体简体" w:eastAsia="方正楷体简体" w:cs="方正楷体简体"/>
          <w:b/>
          <w:bCs/>
          <w:kern w:val="2"/>
          <w:sz w:val="32"/>
          <w:szCs w:val="32"/>
          <w:lang w:val="en-US" w:eastAsia="zh-CN" w:bidi="ar-SA"/>
        </w:rPr>
        <w:t>（二）自评方式、方法、重点等</w:t>
      </w:r>
    </w:p>
    <w:p>
      <w:pPr>
        <w:pStyle w:val="10"/>
        <w:keepNext w:val="0"/>
        <w:keepLines w:val="0"/>
        <w:pageBreakBefore w:val="0"/>
        <w:kinsoku/>
        <w:wordWrap/>
        <w:overflowPunct/>
        <w:topLinePunct w:val="0"/>
        <w:autoSpaceDE/>
        <w:autoSpaceDN/>
        <w:bidi w:val="0"/>
        <w:spacing w:line="59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绩效自评方法:按照科学规范、公正公开、绩效相关的原则，依据下达的预算，采用定量与定性相结合，专项经费投入与产出相结合的办法，对照项目实际完成内容，评价实际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对比分析，评价项目预期效益实现程度。本次绩效自评采用百分制，各级指标依据其指标权重确定分值，根据最终得分情况将绩效自评结果分为四个等级:优(得分&gt;90分) ;良(80分&lt;得分&lt;90分) ;中(60≤得分&lt;80分) ;差(得分&lt;60分)。</w:t>
      </w:r>
    </w:p>
    <w:p>
      <w:pPr>
        <w:keepNext w:val="0"/>
        <w:keepLines w:val="0"/>
        <w:pageBreakBefore w:val="0"/>
        <w:kinsoku/>
        <w:wordWrap/>
        <w:overflowPunct/>
        <w:topLinePunct w:val="0"/>
        <w:autoSpaceDE/>
        <w:autoSpaceDN/>
        <w:bidi w:val="0"/>
        <w:spacing w:line="590" w:lineRule="exact"/>
        <w:ind w:left="0" w:leftChars="0" w:firstLine="960" w:firstLineChars="3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三、评价结论</w:t>
      </w:r>
    </w:p>
    <w:p>
      <w:pPr>
        <w:pStyle w:val="7"/>
        <w:keepNext w:val="0"/>
        <w:keepLines w:val="0"/>
        <w:pageBreakBefore w:val="0"/>
        <w:kinsoku/>
        <w:wordWrap/>
        <w:overflowPunct/>
        <w:topLinePunct w:val="0"/>
        <w:autoSpaceDE/>
        <w:autoSpaceDN/>
        <w:bidi w:val="0"/>
        <w:spacing w:line="590" w:lineRule="exact"/>
        <w:ind w:left="0" w:leftChars="0" w:firstLine="947" w:firstLineChars="2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lang w:eastAsia="zh-CN"/>
        </w:rPr>
        <w:t>2023年，县</w:t>
      </w:r>
      <w:r>
        <w:rPr>
          <w:rFonts w:hint="eastAsia" w:ascii="方正仿宋简体" w:hAnsi="方正仿宋简体" w:eastAsia="方正仿宋简体" w:cs="方正仿宋简体"/>
          <w:kern w:val="0"/>
          <w:sz w:val="32"/>
          <w:szCs w:val="32"/>
        </w:rPr>
        <w:t>信访局认真贯彻落实中央、省、市一系列决策部署，紧紧围绕习近平总书记对信访工作的重要批示精神，着力攻坚化解突出信访问题，减存量、控增量、防变量，积极探索让群众“最多访一次”，全面认真履行职责、全力破解信访难题、全心维护群众权益。根据年初的绩效考核工作计划和目标，</w:t>
      </w:r>
      <w:r>
        <w:rPr>
          <w:rFonts w:hint="eastAsia" w:ascii="方正仿宋简体" w:hAnsi="方正仿宋简体" w:eastAsia="方正仿宋简体" w:cs="方正仿宋简体"/>
          <w:kern w:val="0"/>
          <w:sz w:val="32"/>
          <w:szCs w:val="32"/>
          <w:lang w:eastAsia="zh-CN"/>
        </w:rPr>
        <w:t>我</w:t>
      </w:r>
      <w:r>
        <w:rPr>
          <w:rFonts w:hint="eastAsia" w:ascii="方正仿宋简体" w:hAnsi="方正仿宋简体" w:eastAsia="方正仿宋简体" w:cs="方正仿宋简体"/>
          <w:kern w:val="0"/>
          <w:sz w:val="32"/>
          <w:szCs w:val="32"/>
        </w:rPr>
        <w:t>局较好地完成了全年的目标工作任务</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rPr>
        <w:t>依据</w:t>
      </w:r>
      <w:r>
        <w:rPr>
          <w:rFonts w:hint="eastAsia" w:ascii="方正仿宋简体" w:hAnsi="方正仿宋简体" w:eastAsia="方正仿宋简体" w:cs="方正仿宋简体"/>
          <w:kern w:val="0"/>
          <w:sz w:val="32"/>
          <w:szCs w:val="32"/>
          <w:lang w:eastAsia="zh-CN"/>
        </w:rPr>
        <w:t>相关</w:t>
      </w:r>
      <w:r>
        <w:rPr>
          <w:rFonts w:hint="eastAsia" w:ascii="方正仿宋简体" w:hAnsi="方正仿宋简体" w:eastAsia="方正仿宋简体" w:cs="方正仿宋简体"/>
          <w:color w:val="auto"/>
          <w:kern w:val="0"/>
          <w:sz w:val="32"/>
          <w:szCs w:val="32"/>
        </w:rPr>
        <w:t>规定</w:t>
      </w:r>
      <w:r>
        <w:rPr>
          <w:rFonts w:hint="eastAsia" w:ascii="方正仿宋简体" w:hAnsi="方正仿宋简体" w:eastAsia="方正仿宋简体" w:cs="方正仿宋简体"/>
          <w:kern w:val="0"/>
          <w:sz w:val="32"/>
          <w:szCs w:val="32"/>
          <w:lang w:eastAsia="zh-CN"/>
        </w:rPr>
        <w:t>，绩效评价自评得分</w:t>
      </w:r>
      <w:r>
        <w:rPr>
          <w:rFonts w:hint="eastAsia" w:ascii="方正仿宋简体" w:hAnsi="方正仿宋简体" w:eastAsia="方正仿宋简体" w:cs="方正仿宋简体"/>
          <w:kern w:val="0"/>
          <w:sz w:val="32"/>
          <w:szCs w:val="32"/>
          <w:lang w:val="en-US" w:eastAsia="zh-CN"/>
        </w:rPr>
        <w:t>95分，</w:t>
      </w:r>
      <w:r>
        <w:rPr>
          <w:rFonts w:hint="eastAsia" w:ascii="方正仿宋简体" w:hAnsi="方正仿宋简体" w:eastAsia="方正仿宋简体" w:cs="方正仿宋简体"/>
          <w:kern w:val="0"/>
          <w:sz w:val="32"/>
          <w:szCs w:val="32"/>
        </w:rPr>
        <w:t>总体</w:t>
      </w:r>
      <w:r>
        <w:rPr>
          <w:rFonts w:hint="eastAsia" w:ascii="方正仿宋简体" w:hAnsi="方正仿宋简体" w:eastAsia="方正仿宋简体" w:cs="方正仿宋简体"/>
          <w:sz w:val="32"/>
          <w:szCs w:val="32"/>
        </w:rPr>
        <w:t>绩效评价结果</w:t>
      </w:r>
      <w:r>
        <w:rPr>
          <w:rFonts w:hint="eastAsia" w:ascii="方正仿宋简体" w:hAnsi="方正仿宋简体" w:eastAsia="方正仿宋简体" w:cs="方正仿宋简体"/>
          <w:sz w:val="32"/>
          <w:szCs w:val="32"/>
          <w:lang w:eastAsia="zh-CN"/>
        </w:rPr>
        <w:t>为优</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四、绩效分析</w:t>
      </w:r>
    </w:p>
    <w:p>
      <w:pPr>
        <w:pStyle w:val="7"/>
        <w:keepNext w:val="0"/>
        <w:keepLines w:val="0"/>
        <w:pageBreakBefore w:val="0"/>
        <w:kinsoku/>
        <w:wordWrap/>
        <w:overflowPunct/>
        <w:topLinePunct w:val="0"/>
        <w:autoSpaceDE/>
        <w:autoSpaceDN/>
        <w:bidi w:val="0"/>
        <w:spacing w:line="590" w:lineRule="exact"/>
        <w:ind w:left="0" w:leftChars="0" w:firstLine="627" w:firstLineChars="1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2023年</w:t>
      </w:r>
      <w:r>
        <w:rPr>
          <w:rFonts w:hint="eastAsia" w:ascii="方正仿宋简体" w:hAnsi="方正仿宋简体" w:eastAsia="方正仿宋简体" w:cs="方正仿宋简体"/>
          <w:sz w:val="32"/>
          <w:szCs w:val="32"/>
        </w:rPr>
        <w:t>，根据局年初工作规划和重点性工作，积极履职，强化管理，较好的完成了年度工作目标。通过加强预算收支管理，不断建立健全内部管理制度，梳理内部管理流程，部门</w:t>
      </w:r>
      <w:r>
        <w:rPr>
          <w:rFonts w:hint="eastAsia" w:ascii="方正仿宋简体" w:hAnsi="方正仿宋简体" w:eastAsia="方正仿宋简体" w:cs="方正仿宋简体"/>
          <w:sz w:val="32"/>
          <w:szCs w:val="32"/>
          <w:lang w:eastAsia="zh-CN"/>
        </w:rPr>
        <w:t>项目</w:t>
      </w:r>
      <w:r>
        <w:rPr>
          <w:rFonts w:hint="eastAsia" w:ascii="方正仿宋简体" w:hAnsi="方正仿宋简体" w:eastAsia="方正仿宋简体" w:cs="方正仿宋简体"/>
          <w:sz w:val="32"/>
          <w:szCs w:val="32"/>
        </w:rPr>
        <w:t>支出管理情况得到提升。</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五、主要经验及做法、存在的问题和建议</w:t>
      </w:r>
    </w:p>
    <w:p>
      <w:pPr>
        <w:pStyle w:val="7"/>
        <w:keepNext w:val="0"/>
        <w:keepLines w:val="0"/>
        <w:pageBreakBefore w:val="0"/>
        <w:kinsoku/>
        <w:wordWrap/>
        <w:overflowPunct/>
        <w:topLinePunct w:val="0"/>
        <w:autoSpaceDE/>
        <w:autoSpaceDN/>
        <w:bidi w:val="0"/>
        <w:spacing w:line="590" w:lineRule="exact"/>
        <w:ind w:left="0" w:leftChars="0" w:firstLine="630" w:firstLineChars="196"/>
        <w:textAlignment w:val="auto"/>
      </w:pPr>
      <w:r>
        <w:rPr>
          <w:rFonts w:hint="eastAsia" w:ascii="方正楷体简体" w:hAnsi="方正楷体简体" w:eastAsia="方正楷体简体" w:cs="方正楷体简体"/>
          <w:b/>
          <w:sz w:val="32"/>
          <w:szCs w:val="32"/>
        </w:rPr>
        <w:t>（一）主要经验及做法</w:t>
      </w:r>
      <w:r>
        <w:rPr>
          <w:rFonts w:hint="eastAsia" w:ascii="方正楷体简体" w:hAnsi="方正楷体简体" w:eastAsia="方正楷体简体" w:cs="方正楷体简体"/>
          <w:b/>
          <w:sz w:val="32"/>
          <w:szCs w:val="32"/>
          <w:lang w:eastAsia="zh-CN"/>
        </w:rPr>
        <w:t>。</w:t>
      </w:r>
      <w:r>
        <w:rPr>
          <w:rFonts w:hint="eastAsia" w:ascii="方正楷体简体" w:hAnsi="方正楷体简体" w:eastAsia="方正楷体简体" w:cs="方正楷体简体"/>
          <w:b w:val="0"/>
          <w:bCs/>
          <w:sz w:val="32"/>
          <w:szCs w:val="32"/>
          <w:lang w:eastAsia="zh-CN"/>
        </w:rPr>
        <w:t>一是</w:t>
      </w:r>
      <w:r>
        <w:rPr>
          <w:rFonts w:hint="eastAsia" w:ascii="方正仿宋简体" w:hAnsi="方正仿宋简体" w:eastAsia="方正仿宋简体" w:cs="方正仿宋简体"/>
          <w:sz w:val="32"/>
          <w:szCs w:val="32"/>
        </w:rPr>
        <w:t>领导高度重视，对年初纳入预算绩效的工作内容严格抓落实，要求保质保量；</w:t>
      </w:r>
      <w:r>
        <w:rPr>
          <w:rFonts w:hint="eastAsia" w:ascii="方正楷体简体" w:hAnsi="方正楷体简体" w:eastAsia="方正楷体简体" w:cs="方正楷体简体"/>
          <w:b w:val="0"/>
          <w:bCs w:val="0"/>
          <w:sz w:val="32"/>
          <w:szCs w:val="32"/>
          <w:lang w:eastAsia="zh-CN"/>
        </w:rPr>
        <w:t>二是</w:t>
      </w:r>
      <w:r>
        <w:rPr>
          <w:rFonts w:hint="eastAsia" w:ascii="方正仿宋简体" w:hAnsi="方正仿宋简体" w:eastAsia="方正仿宋简体" w:cs="方正仿宋简体"/>
          <w:sz w:val="32"/>
          <w:szCs w:val="32"/>
        </w:rPr>
        <w:t>工作规划提前部署，绩效目标的制定必须和当年的重点工作紧密联系，和目标责任管理结合，目标标准定制要合理，可以达到和完成。</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（二）存在的问题</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由于信访工作具有其特殊性,投入产出评价指标难以用数据直接体现,定量分析还有待加强。</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（三）建议和改进措施</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一是科学合理编制预算 ,严格执行预算;二是规范账务处理,提高财务信息质量;三是完善管理制度,进一步加强资金管理 ;四是坚持问题导向,建立预算支出绩效评价长效机制。</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r>
        <w:rPr>
          <w:rFonts w:hint="eastAsia" w:eastAsia="方正仿宋简体"/>
          <w:sz w:val="32"/>
          <w:szCs w:val="32"/>
        </w:rPr>
        <w:t>附件：</w:t>
      </w:r>
      <w:r>
        <w:rPr>
          <w:rFonts w:hint="eastAsia" w:eastAsia="方正仿宋简体"/>
          <w:sz w:val="32"/>
          <w:szCs w:val="32"/>
          <w:lang w:val="en-US" w:eastAsia="zh-CN"/>
        </w:rPr>
        <w:t>4-</w:t>
      </w:r>
      <w:r>
        <w:rPr>
          <w:rFonts w:eastAsia="方正仿宋简体"/>
          <w:sz w:val="32"/>
          <w:szCs w:val="32"/>
        </w:rPr>
        <w:t>1.</w:t>
      </w:r>
      <w:r>
        <w:rPr>
          <w:rFonts w:hint="eastAsia" w:eastAsia="方正仿宋简体"/>
          <w:sz w:val="32"/>
          <w:szCs w:val="32"/>
          <w:lang w:eastAsia="zh-CN"/>
        </w:rPr>
        <w:t>2023年</w:t>
      </w:r>
      <w:r>
        <w:rPr>
          <w:rFonts w:hint="eastAsia" w:eastAsia="方正仿宋简体"/>
          <w:sz w:val="32"/>
          <w:szCs w:val="32"/>
        </w:rPr>
        <w:t>度乐至县项目支出绩效自评计分表</w:t>
      </w:r>
    </w:p>
    <w:p>
      <w:pPr>
        <w:keepNext w:val="0"/>
        <w:keepLines w:val="0"/>
        <w:pageBreakBefore w:val="0"/>
        <w:kinsoku/>
        <w:wordWrap/>
        <w:overflowPunct/>
        <w:topLinePunct w:val="0"/>
        <w:autoSpaceDE/>
        <w:autoSpaceDN/>
        <w:bidi w:val="0"/>
        <w:spacing w:line="590" w:lineRule="exact"/>
        <w:ind w:firstLine="1600" w:firstLineChars="500"/>
        <w:textAlignment w:val="auto"/>
        <w:rPr>
          <w:rFonts w:eastAsia="方正仿宋简体"/>
          <w:sz w:val="32"/>
          <w:szCs w:val="32"/>
        </w:rPr>
      </w:pPr>
      <w:r>
        <w:rPr>
          <w:rFonts w:hint="eastAsia" w:eastAsia="方正仿宋简体"/>
          <w:sz w:val="32"/>
          <w:szCs w:val="32"/>
          <w:lang w:val="en-US" w:eastAsia="zh-CN"/>
        </w:rPr>
        <w:t>4-</w:t>
      </w:r>
      <w:r>
        <w:rPr>
          <w:rFonts w:eastAsia="方正仿宋简体"/>
          <w:sz w:val="32"/>
          <w:szCs w:val="32"/>
        </w:rPr>
        <w:t>2.</w:t>
      </w:r>
      <w:r>
        <w:rPr>
          <w:rFonts w:hint="eastAsia" w:eastAsia="方正仿宋简体"/>
          <w:sz w:val="32"/>
          <w:szCs w:val="32"/>
          <w:lang w:eastAsia="zh-CN"/>
        </w:rPr>
        <w:t>2023年</w:t>
      </w:r>
      <w:r>
        <w:rPr>
          <w:rFonts w:hint="eastAsia" w:eastAsia="方正仿宋简体"/>
          <w:sz w:val="32"/>
          <w:szCs w:val="32"/>
        </w:rPr>
        <w:t>度乐至县项目支出绩效目标完成情况表</w:t>
      </w:r>
    </w:p>
    <w:p>
      <w:pPr>
        <w:keepNext w:val="0"/>
        <w:keepLines w:val="0"/>
        <w:pageBreakBefore w:val="0"/>
        <w:kinsoku/>
        <w:wordWrap/>
        <w:overflowPunct/>
        <w:topLinePunct w:val="0"/>
        <w:autoSpaceDE/>
        <w:autoSpaceDN/>
        <w:bidi w:val="0"/>
        <w:spacing w:line="590" w:lineRule="exact"/>
        <w:ind w:left="1917" w:leftChars="760" w:hanging="321" w:hangingChars="100"/>
        <w:jc w:val="left"/>
        <w:textAlignment w:val="auto"/>
        <w:rPr>
          <w:rFonts w:ascii="宋体" w:hAnsi="宋体" w:eastAsia="方正仿宋简体"/>
          <w:b/>
          <w:sz w:val="32"/>
          <w:szCs w:val="32"/>
        </w:rPr>
      </w:pPr>
    </w:p>
    <w:p>
      <w:pPr>
        <w:keepNext w:val="0"/>
        <w:keepLines w:val="0"/>
        <w:pageBreakBefore w:val="0"/>
        <w:kinsoku/>
        <w:wordWrap/>
        <w:overflowPunct/>
        <w:topLinePunct w:val="0"/>
        <w:autoSpaceDE/>
        <w:autoSpaceDN/>
        <w:bidi w:val="0"/>
        <w:spacing w:line="590" w:lineRule="exact"/>
        <w:ind w:firstLine="1606" w:firstLineChars="500"/>
        <w:textAlignment w:val="auto"/>
        <w:rPr>
          <w:rFonts w:hint="eastAsia" w:eastAsia="方正仿宋简体"/>
          <w:sz w:val="32"/>
          <w:szCs w:val="32"/>
          <w:lang w:val="en-US" w:eastAsia="zh-CN"/>
        </w:rPr>
      </w:pPr>
      <w:r>
        <w:rPr>
          <w:rFonts w:hint="eastAsia" w:ascii="宋体" w:hAnsi="宋体" w:eastAsia="方正仿宋简体"/>
          <w:b/>
          <w:sz w:val="32"/>
          <w:szCs w:val="32"/>
          <w:lang w:val="en-US" w:eastAsia="zh-CN"/>
        </w:rPr>
        <w:t xml:space="preserve">                          </w:t>
      </w:r>
      <w:r>
        <w:rPr>
          <w:rFonts w:hint="eastAsia" w:eastAsia="方正仿宋简体"/>
          <w:sz w:val="32"/>
          <w:szCs w:val="32"/>
          <w:lang w:val="en-US" w:eastAsia="zh-CN"/>
        </w:rPr>
        <w:t>乐至县信访局</w:t>
      </w:r>
    </w:p>
    <w:p>
      <w:pPr>
        <w:keepNext w:val="0"/>
        <w:keepLines w:val="0"/>
        <w:pageBreakBefore w:val="0"/>
        <w:kinsoku/>
        <w:wordWrap/>
        <w:overflowPunct/>
        <w:topLinePunct w:val="0"/>
        <w:autoSpaceDE/>
        <w:autoSpaceDN/>
        <w:bidi w:val="0"/>
        <w:spacing w:line="590" w:lineRule="exact"/>
        <w:ind w:firstLine="1600" w:firstLineChars="500"/>
        <w:textAlignment w:val="auto"/>
        <w:rPr>
          <w:rFonts w:hint="default" w:eastAsia="方正仿宋简体"/>
          <w:sz w:val="32"/>
          <w:szCs w:val="32"/>
          <w:lang w:val="en-US" w:eastAsia="zh-CN"/>
        </w:rPr>
      </w:pPr>
      <w:r>
        <w:rPr>
          <w:rFonts w:hint="eastAsia" w:eastAsia="方正仿宋简体"/>
          <w:sz w:val="32"/>
          <w:szCs w:val="32"/>
          <w:lang w:val="en-US" w:eastAsia="zh-CN"/>
        </w:rPr>
        <w:t xml:space="preserve">                        2024年7月11日</w:t>
      </w:r>
    </w:p>
    <w:p>
      <w:pPr>
        <w:keepNext w:val="0"/>
        <w:keepLines w:val="0"/>
        <w:pageBreakBefore w:val="0"/>
        <w:kinsoku/>
        <w:wordWrap/>
        <w:overflowPunct/>
        <w:topLinePunct w:val="0"/>
        <w:autoSpaceDE/>
        <w:autoSpaceDN/>
        <w:bidi w:val="0"/>
        <w:spacing w:line="590" w:lineRule="exact"/>
        <w:ind w:firstLine="1600" w:firstLineChars="500"/>
        <w:textAlignment w:val="auto"/>
        <w:rPr>
          <w:rFonts w:hint="eastAsia" w:eastAsia="方正仿宋简体"/>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footerReference r:id="rId7" w:type="default"/>
          <w:pgSz w:w="11907" w:h="16840"/>
          <w:pgMar w:top="2098" w:right="1531" w:bottom="1984" w:left="1531" w:header="851" w:footer="992" w:gutter="0"/>
          <w:pgNumType w:fmt="numberInDash"/>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4-</w:t>
      </w:r>
      <w:r>
        <w:rPr>
          <w:rFonts w:eastAsia="方正黑体简体"/>
          <w:bCs/>
          <w:kern w:val="0"/>
          <w:sz w:val="32"/>
          <w:szCs w:val="32"/>
        </w:rPr>
        <w:t>1</w:t>
      </w:r>
    </w:p>
    <w:p>
      <w:pPr>
        <w:spacing w:line="620" w:lineRule="exact"/>
        <w:jc w:val="center"/>
        <w:rPr>
          <w:rFonts w:eastAsia="方正小标宋简体"/>
          <w:bCs/>
          <w:kern w:val="0"/>
          <w:sz w:val="44"/>
          <w:szCs w:val="44"/>
        </w:rPr>
      </w:pPr>
      <w:r>
        <w:rPr>
          <w:rFonts w:hint="eastAsia" w:eastAsia="方正小标宋简体"/>
          <w:bCs/>
          <w:kern w:val="0"/>
          <w:sz w:val="44"/>
          <w:szCs w:val="44"/>
          <w:lang w:eastAsia="zh-CN"/>
        </w:rPr>
        <w:t>2023年</w:t>
      </w:r>
      <w:r>
        <w:rPr>
          <w:rFonts w:hint="eastAsia" w:eastAsia="方正小标宋简体"/>
          <w:bCs/>
          <w:kern w:val="0"/>
          <w:sz w:val="44"/>
          <w:szCs w:val="44"/>
        </w:rPr>
        <w:t>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cs="宋体"/>
          <w:color w:val="auto"/>
          <w:kern w:val="0"/>
          <w:szCs w:val="21"/>
          <w:lang w:bidi="ar"/>
        </w:rPr>
        <w:t>信访事务</w:t>
      </w:r>
      <w:r>
        <w:rPr>
          <w:rFonts w:hint="eastAsia" w:eastAsia="方正楷体简体"/>
          <w:b/>
          <w:bCs/>
          <w:kern w:val="0"/>
          <w:sz w:val="32"/>
          <w:szCs w:val="32"/>
        </w:rPr>
        <w:t>）</w:t>
      </w:r>
    </w:p>
    <w:p>
      <w:pPr>
        <w:spacing w:line="620" w:lineRule="exact"/>
        <w:rPr>
          <w:rFonts w:hint="default" w:eastAsia="宋体"/>
          <w:sz w:val="24"/>
          <w:lang w:val="en-US" w:eastAsia="zh-CN"/>
        </w:rPr>
      </w:pPr>
      <w:r>
        <w:rPr>
          <w:rFonts w:hint="eastAsia"/>
          <w:bCs/>
          <w:kern w:val="0"/>
          <w:sz w:val="24"/>
        </w:rPr>
        <w:t>预算单位名称：</w:t>
      </w:r>
      <w:r>
        <w:rPr>
          <w:rFonts w:hint="eastAsia"/>
          <w:bCs/>
          <w:kern w:val="0"/>
          <w:sz w:val="24"/>
          <w:lang w:eastAsia="zh-CN"/>
        </w:rPr>
        <w:t>乐至县信访局</w:t>
      </w:r>
      <w:r>
        <w:rPr>
          <w:rFonts w:hint="eastAsia"/>
          <w:bCs/>
          <w:kern w:val="0"/>
          <w:sz w:val="24"/>
          <w:lang w:val="en-US" w:eastAsia="zh-CN"/>
        </w:rPr>
        <w:t xml:space="preserve">      </w:t>
      </w:r>
      <w:r>
        <w:rPr>
          <w:rFonts w:hint="eastAsia"/>
          <w:bCs/>
          <w:kern w:val="0"/>
          <w:sz w:val="24"/>
        </w:rPr>
        <w:t>预算单位编码：</w:t>
      </w:r>
      <w:r>
        <w:rPr>
          <w:rFonts w:hint="eastAsia"/>
          <w:bCs/>
          <w:kern w:val="0"/>
          <w:sz w:val="24"/>
          <w:lang w:val="en-US" w:eastAsia="zh-CN"/>
        </w:rPr>
        <w:t>111001</w:t>
      </w:r>
      <w:r>
        <w:rPr>
          <w:bCs/>
          <w:kern w:val="0"/>
          <w:sz w:val="24"/>
        </w:rPr>
        <w:t xml:space="preserve">  </w:t>
      </w:r>
      <w:r>
        <w:rPr>
          <w:rFonts w:hint="eastAsia"/>
          <w:bCs/>
          <w:kern w:val="0"/>
          <w:sz w:val="24"/>
          <w:lang w:val="en-US" w:eastAsia="zh-CN"/>
        </w:rPr>
        <w:t xml:space="preserve">   </w:t>
      </w:r>
      <w:r>
        <w:rPr>
          <w:rFonts w:hint="eastAsia"/>
          <w:bCs/>
          <w:kern w:val="0"/>
          <w:sz w:val="24"/>
        </w:rPr>
        <w:t>自评等级：</w:t>
      </w:r>
      <w:r>
        <w:rPr>
          <w:rFonts w:hint="eastAsia"/>
          <w:bCs/>
          <w:kern w:val="0"/>
          <w:sz w:val="24"/>
          <w:lang w:val="en-US" w:eastAsia="zh-CN"/>
        </w:rPr>
        <w:t>95</w:t>
      </w:r>
    </w:p>
    <w:tbl>
      <w:tblPr>
        <w:tblStyle w:val="18"/>
        <w:tblW w:w="524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16"/>
        <w:gridCol w:w="474"/>
        <w:gridCol w:w="474"/>
        <w:gridCol w:w="1761"/>
        <w:gridCol w:w="2360"/>
        <w:gridCol w:w="635"/>
        <w:gridCol w:w="33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16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4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26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4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77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40" w:type="pct"/>
            <w:noWrap/>
            <w:vAlign w:val="center"/>
          </w:tcPr>
          <w:p>
            <w:pPr>
              <w:widowControl/>
              <w:spacing w:line="240" w:lineRule="exact"/>
              <w:ind w:firstLine="210" w:firstLineChars="100"/>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kern w:val="0"/>
                <w:szCs w:val="21"/>
                <w:lang w:eastAsia="zh-CN"/>
              </w:rPr>
            </w:pPr>
            <w:r>
              <w:rPr>
                <w:rFonts w:hint="eastAsia"/>
                <w:kern w:val="0"/>
                <w:szCs w:val="21"/>
              </w:rPr>
              <w:t>　</w:t>
            </w:r>
            <w:r>
              <w:rPr>
                <w:rFonts w:hint="eastAsia"/>
                <w:kern w:val="0"/>
                <w:szCs w:val="21"/>
                <w:lang w:eastAsia="zh-CN"/>
              </w:rPr>
              <w:t>项目的申请、设立严格按</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lang w:eastAsia="zh-CN"/>
              </w:rPr>
              <w:t>照相关规定进行。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项目所设定的绩效目标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符合国家相关法律规</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定，且符合客观事实。</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绩效目标设定的绩效指标清</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lang w:eastAsia="zh-CN"/>
              </w:rPr>
              <w:t>晰、细化、可衡量。</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资金到位率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89.47万元</w:t>
            </w:r>
            <w:r>
              <w:t>/</w:t>
            </w:r>
            <w:r>
              <w:rPr>
                <w:rFonts w:hint="eastAsia"/>
                <w:lang w:val="en-US" w:eastAsia="zh-CN"/>
              </w:rPr>
              <w:t>89.47万元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到位及时率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89.47万元</w:t>
            </w:r>
            <w:r>
              <w:t>/</w:t>
            </w:r>
            <w:r>
              <w:rPr>
                <w:rFonts w:hint="eastAsia"/>
                <w:lang w:val="en-US" w:eastAsia="zh-CN"/>
              </w:rPr>
              <w:t>89.47万元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169"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已制定合法、合规、完整的</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管理制度。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制度执行按照相关法律法规和</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业务管理规定进行，并且相</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关资料都落实到位。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已制定相应的项目质量标准，</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采取了相应的控制措施。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已制定符合相关财务会计制度</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规定的资金管理办法。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7</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项目资金使用符合相关的财务</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管理制度规定。</w:t>
            </w:r>
          </w:p>
          <w:p>
            <w:pPr>
              <w:pStyle w:val="10"/>
              <w:keepNext w:val="0"/>
              <w:keepLines w:val="0"/>
              <w:pageBreakBefore w:val="0"/>
              <w:kinsoku/>
              <w:wordWrap/>
              <w:overflowPunct/>
              <w:topLinePunct w:val="0"/>
              <w:autoSpaceDE/>
              <w:autoSpaceDN/>
              <w:bidi w:val="0"/>
              <w:spacing w:line="240" w:lineRule="auto"/>
              <w:ind w:left="0" w:leftChars="0" w:firstLine="0" w:firstLineChars="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2</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已具有相应的财务监控机制，</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并采取了必要的监控措施。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264"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实际完成率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全国省市两会确保社会和谐稳定</w:t>
            </w:r>
            <w:r>
              <w:t>/</w:t>
            </w:r>
            <w:r>
              <w:rPr>
                <w:rFonts w:hint="eastAsia"/>
                <w:lang w:eastAsia="zh-CN"/>
              </w:rPr>
              <w:t>全国省市两会确保社会和谐稳定</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spacing w:val="-14"/>
                <w:kern w:val="0"/>
                <w:szCs w:val="21"/>
                <w:lang w:eastAsia="zh-CN"/>
              </w:rPr>
              <w:t>（实际完成率</w:t>
            </w:r>
            <w:r>
              <w:rPr>
                <w:rFonts w:hint="eastAsia"/>
                <w:spacing w:val="-14"/>
                <w:kern w:val="0"/>
                <w:szCs w:val="21"/>
                <w:lang w:val="en-US" w:eastAsia="zh-CN"/>
              </w:rPr>
              <w:t>100%</w:t>
            </w:r>
            <w:r>
              <w:rPr>
                <w:rFonts w:hint="eastAsia"/>
                <w:spacing w:val="-14"/>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完成及时率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val="en-US" w:eastAsia="zh-CN"/>
              </w:rPr>
              <w:t>2023年</w:t>
            </w:r>
            <w:r>
              <w:t>-</w:t>
            </w:r>
            <w:r>
              <w:rPr>
                <w:rFonts w:hint="eastAsia"/>
                <w:lang w:val="en-US" w:eastAsia="zh-CN"/>
              </w:rPr>
              <w:t>2023年底</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rPr>
                <w:rFonts w:hint="eastAsia"/>
              </w:rPr>
              <w:t>）</w:t>
            </w:r>
            <w:r>
              <w:t>/</w:t>
            </w:r>
            <w:r>
              <w:rPr>
                <w:rFonts w:hint="eastAsia"/>
                <w:lang w:val="en-US" w:eastAsia="zh-CN"/>
              </w:rPr>
              <w:t>2023年</w:t>
            </w:r>
            <w:r>
              <w:t>]</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（完成及时率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质量达标率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派遣工作组</w:t>
            </w:r>
            <w:r>
              <w:rPr>
                <w:rFonts w:hint="eastAsia"/>
                <w:lang w:val="en-US" w:eastAsia="zh-CN"/>
              </w:rPr>
              <w:t>11/派遣工作组11</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（质量达标率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57"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成本节约率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89.47万元</w:t>
            </w:r>
            <w:r>
              <w:t>-</w:t>
            </w:r>
            <w:r>
              <w:rPr>
                <w:rFonts w:hint="eastAsia"/>
                <w:lang w:val="en-US" w:eastAsia="zh-CN"/>
              </w:rPr>
              <w:t>89.47万元</w:t>
            </w:r>
            <w:r>
              <w:rPr>
                <w:rFonts w:hint="eastAsia"/>
              </w:rPr>
              <w:t>）</w:t>
            </w:r>
            <w:r>
              <w:t>/</w:t>
            </w:r>
            <w:r>
              <w:rPr>
                <w:rFonts w:hint="eastAsia"/>
                <w:lang w:val="en-US" w:eastAsia="zh-CN"/>
              </w:rPr>
              <w:t>89.47万元</w:t>
            </w:r>
            <w:r>
              <w:t>]</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(节约)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33"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264"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达到预期的经济效益。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维护社会稳定，社会效益好。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ascii="Times New Roman" w:hAnsi="Times New Roman" w:eastAsia="宋体" w:cs="Times New Roman"/>
                <w:kern w:val="0"/>
                <w:sz w:val="21"/>
                <w:szCs w:val="21"/>
                <w:lang w:val="en-US" w:eastAsia="zh-CN" w:bidi="ar-SA"/>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维护社会长治久安，可持续性好。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10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服务对象评价满意。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2884"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40"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95</w:t>
            </w:r>
          </w:p>
        </w:tc>
        <w:tc>
          <w:tcPr>
            <w:tcW w:w="177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hint="eastAsia" w:eastAsia="方正黑体简体"/>
          <w:sz w:val="32"/>
          <w:szCs w:val="32"/>
          <w:lang w:val="en-US" w:eastAsia="zh-CN"/>
        </w:rPr>
        <w:t>4-</w:t>
      </w:r>
      <w:r>
        <w:rPr>
          <w:rFonts w:eastAsia="方正黑体简体"/>
          <w:sz w:val="32"/>
          <w:szCs w:val="32"/>
        </w:rPr>
        <w:t>2</w:t>
      </w:r>
    </w:p>
    <w:p>
      <w:pPr>
        <w:spacing w:line="620" w:lineRule="exact"/>
        <w:jc w:val="center"/>
        <w:rPr>
          <w:rFonts w:eastAsia="方正小标宋简体"/>
          <w:color w:val="000000"/>
          <w:spacing w:val="-12"/>
          <w:kern w:val="0"/>
          <w:sz w:val="36"/>
          <w:szCs w:val="36"/>
        </w:rPr>
      </w:pPr>
      <w:r>
        <w:rPr>
          <w:rFonts w:hint="eastAsia" w:eastAsia="方正小标宋简体"/>
          <w:color w:val="000000"/>
          <w:spacing w:val="-12"/>
          <w:kern w:val="0"/>
          <w:sz w:val="36"/>
          <w:szCs w:val="36"/>
          <w:lang w:eastAsia="zh-CN"/>
        </w:rPr>
        <w:t>2023年</w:t>
      </w:r>
      <w:r>
        <w:rPr>
          <w:rFonts w:hint="eastAsia" w:eastAsia="方正小标宋简体"/>
          <w:color w:val="000000"/>
          <w:spacing w:val="-12"/>
          <w:kern w:val="0"/>
          <w:sz w:val="36"/>
          <w:szCs w:val="36"/>
        </w:rPr>
        <w:t>度乐至县项目支出绩效目标完成情况表</w:t>
      </w:r>
    </w:p>
    <w:p>
      <w:pPr>
        <w:pStyle w:val="7"/>
        <w:spacing w:line="240" w:lineRule="exact"/>
        <w:rPr>
          <w:rFonts w:ascii="宋体"/>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43"/>
        <w:gridCol w:w="1395"/>
        <w:gridCol w:w="1030"/>
        <w:gridCol w:w="1454"/>
        <w:gridCol w:w="1133"/>
        <w:gridCol w:w="1427"/>
        <w:gridCol w:w="18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color w:val="000000"/>
                <w:kern w:val="0"/>
                <w:szCs w:val="21"/>
              </w:rPr>
            </w:pPr>
            <w:r>
              <w:rPr>
                <w:rFonts w:hint="eastAsia" w:cs="宋体"/>
                <w:color w:val="auto"/>
                <w:kern w:val="0"/>
                <w:szCs w:val="21"/>
                <w:lang w:bidi="ar"/>
              </w:rPr>
              <w:t>信访事务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乐至县信访局</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111001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w:t>
            </w:r>
            <w:r>
              <w:rPr>
                <w:rFonts w:hint="eastAsia"/>
                <w:lang w:val="en-US" w:eastAsia="zh-CN"/>
              </w:rPr>
              <w:t>89.47</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lang w:val="en-US" w:eastAsia="zh-CN"/>
              </w:rPr>
              <w:t>89.47</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89.47</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89.47</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rFonts w:hint="default"/>
                <w:color w:val="000000"/>
                <w:kern w:val="0"/>
                <w:szCs w:val="21"/>
                <w:lang w:val="en-US"/>
              </w:rPr>
            </w:pPr>
            <w:r>
              <w:rPr>
                <w:rFonts w:hint="default"/>
                <w:color w:val="000000"/>
                <w:kern w:val="0"/>
                <w:szCs w:val="21"/>
                <w:lang w:val="en-US"/>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89.47</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89.47</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89.47</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89.47</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目标</w:t>
            </w:r>
            <w:r>
              <w:rPr>
                <w:color w:val="000000"/>
                <w:kern w:val="0"/>
                <w:szCs w:val="21"/>
              </w:rPr>
              <w:t>1:</w:t>
            </w:r>
            <w:r>
              <w:rPr>
                <w:rFonts w:hint="eastAsia"/>
                <w:color w:val="000000"/>
                <w:kern w:val="0"/>
                <w:szCs w:val="21"/>
                <w:lang w:eastAsia="zh-CN"/>
              </w:rPr>
              <w:t>确保全国省市两会期间社会和谐稳定</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目标</w:t>
            </w:r>
            <w:r>
              <w:rPr>
                <w:rFonts w:hint="eastAsia"/>
                <w:color w:val="000000"/>
                <w:kern w:val="0"/>
                <w:szCs w:val="21"/>
                <w:lang w:val="en-US" w:eastAsia="zh-CN"/>
              </w:rPr>
              <w:t>2：控制越级访进京访</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3：</w:t>
            </w:r>
            <w:r>
              <w:rPr>
                <w:rFonts w:hint="eastAsia" w:eastAsia="宋体"/>
                <w:kern w:val="0"/>
                <w:sz w:val="21"/>
                <w:szCs w:val="21"/>
              </w:rPr>
              <w:t>进一步促进党和人民群众的血肉联系，提高了人民群众满意度。</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派遣处访工作组</w:t>
            </w:r>
          </w:p>
        </w:tc>
        <w:tc>
          <w:tcPr>
            <w:tcW w:w="0" w:type="auto"/>
            <w:noWrap/>
            <w:vAlign w:val="center"/>
          </w:tcPr>
          <w:p>
            <w:pPr>
              <w:widowControl/>
              <w:spacing w:line="240" w:lineRule="exact"/>
              <w:ind w:firstLine="210" w:firstLineChars="100"/>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10</w:t>
            </w:r>
          </w:p>
        </w:tc>
        <w:tc>
          <w:tcPr>
            <w:tcW w:w="0" w:type="auto"/>
            <w:noWrap/>
            <w:vAlign w:val="center"/>
          </w:tcPr>
          <w:p>
            <w:pPr>
              <w:widowControl/>
              <w:spacing w:line="240" w:lineRule="exact"/>
              <w:ind w:firstLine="420" w:firstLineChars="200"/>
              <w:jc w:val="left"/>
              <w:rPr>
                <w:rFonts w:hint="eastAsia"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控制越级访，减少进京到省访人数</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15人</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13人</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2:</w:t>
            </w:r>
            <w:r>
              <w:rPr>
                <w:rFonts w:hint="eastAsia" w:eastAsia="宋体"/>
                <w:kern w:val="0"/>
                <w:sz w:val="24"/>
                <w:szCs w:val="24"/>
                <w:lang w:eastAsia="zh-CN"/>
              </w:rPr>
              <w:t>重要敏感节点第一时间劝返</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信访事项按期办结率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信访维稳经费</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lang w:val="en-US" w:eastAsia="zh-CN"/>
              </w:rPr>
              <w:t>89.47万元</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lang w:val="en-US" w:eastAsia="zh-CN"/>
              </w:rPr>
              <w:t>89.47万元</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促进经济发展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维护社会稳定，提升群众满意度</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促进社会可持续发展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特殊疑难信访群体满意率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580" w:lineRule="exact"/>
        <w:jc w:val="center"/>
        <w:rPr>
          <w:rFonts w:eastAsia="方正小标宋简体"/>
          <w:sz w:val="44"/>
          <w:szCs w:val="44"/>
        </w:rPr>
      </w:pPr>
    </w:p>
    <w:p>
      <w:pPr>
        <w:pStyle w:val="2"/>
        <w:rPr>
          <w:rFonts w:eastAsia="方正小标宋简体"/>
          <w:sz w:val="44"/>
          <w:szCs w:val="44"/>
        </w:rPr>
      </w:pPr>
    </w:p>
    <w:p>
      <w:pPr>
        <w:rPr>
          <w:rFonts w:eastAsia="方正小标宋简体"/>
          <w:sz w:val="44"/>
          <w:szCs w:val="44"/>
        </w:rPr>
      </w:pPr>
    </w:p>
    <w:p>
      <w:pPr>
        <w:pStyle w:val="2"/>
        <w:rPr>
          <w:rFonts w:eastAsia="方正小标宋简体"/>
          <w:sz w:val="44"/>
          <w:szCs w:val="44"/>
        </w:rPr>
      </w:pPr>
    </w:p>
    <w:p>
      <w:pPr>
        <w:keepNext w:val="0"/>
        <w:keepLines w:val="0"/>
        <w:pageBreakBefore w:val="0"/>
        <w:kinsoku/>
        <w:wordWrap/>
        <w:overflowPunct/>
        <w:topLinePunct w:val="0"/>
        <w:autoSpaceDE/>
        <w:autoSpaceDN/>
        <w:bidi w:val="0"/>
        <w:spacing w:line="590" w:lineRule="exac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附件</w:t>
      </w:r>
      <w:r>
        <w:rPr>
          <w:rFonts w:hint="eastAsia" w:ascii="方正仿宋简体" w:hAnsi="方正仿宋简体" w:eastAsia="方正仿宋简体" w:cs="方正仿宋简体"/>
          <w:sz w:val="32"/>
          <w:szCs w:val="32"/>
          <w:lang w:val="en-US" w:eastAsia="zh-CN"/>
        </w:rPr>
        <w:t>5</w:t>
      </w:r>
    </w:p>
    <w:p>
      <w:pPr>
        <w:keepNext w:val="0"/>
        <w:keepLines w:val="0"/>
        <w:pageBreakBefore w:val="0"/>
        <w:kinsoku/>
        <w:wordWrap/>
        <w:overflowPunct/>
        <w:topLinePunct w:val="0"/>
        <w:autoSpaceDE/>
        <w:autoSpaceDN/>
        <w:bidi w:val="0"/>
        <w:spacing w:line="590" w:lineRule="exact"/>
        <w:jc w:val="center"/>
        <w:textAlignment w:val="auto"/>
        <w:rPr>
          <w:rFonts w:hint="eastAsia" w:eastAsia="方正小标宋简体"/>
          <w:sz w:val="44"/>
          <w:szCs w:val="44"/>
          <w:lang w:eastAsia="zh-CN"/>
        </w:rPr>
      </w:pPr>
      <w:r>
        <w:rPr>
          <w:rFonts w:hint="eastAsia" w:eastAsia="方正小标宋简体"/>
          <w:sz w:val="44"/>
          <w:szCs w:val="44"/>
          <w:lang w:eastAsia="zh-CN"/>
        </w:rPr>
        <w:t>乐至县信访局</w:t>
      </w:r>
    </w:p>
    <w:p>
      <w:pPr>
        <w:keepNext w:val="0"/>
        <w:keepLines w:val="0"/>
        <w:pageBreakBefore w:val="0"/>
        <w:kinsoku/>
        <w:wordWrap/>
        <w:overflowPunct/>
        <w:topLinePunct w:val="0"/>
        <w:autoSpaceDE/>
        <w:autoSpaceDN/>
        <w:bidi w:val="0"/>
        <w:spacing w:line="590" w:lineRule="exact"/>
        <w:jc w:val="center"/>
        <w:textAlignment w:val="auto"/>
        <w:rPr>
          <w:rFonts w:eastAsia="方正小标宋简体"/>
          <w:sz w:val="44"/>
          <w:szCs w:val="44"/>
        </w:rPr>
      </w:pPr>
      <w:r>
        <w:rPr>
          <w:rFonts w:hint="eastAsia" w:eastAsia="方正小标宋简体"/>
          <w:sz w:val="44"/>
          <w:szCs w:val="44"/>
          <w:lang w:eastAsia="zh-CN"/>
        </w:rPr>
        <w:t>2023年</w:t>
      </w:r>
      <w:r>
        <w:rPr>
          <w:rFonts w:hint="eastAsia" w:eastAsia="方正小标宋简体"/>
          <w:sz w:val="44"/>
          <w:szCs w:val="44"/>
        </w:rPr>
        <w:t>项目支出绩效自评报告</w:t>
      </w:r>
    </w:p>
    <w:p>
      <w:pPr>
        <w:keepNext w:val="0"/>
        <w:keepLines w:val="0"/>
        <w:pageBreakBefore w:val="0"/>
        <w:kinsoku/>
        <w:wordWrap/>
        <w:overflowPunct/>
        <w:topLinePunct w:val="0"/>
        <w:autoSpaceDE/>
        <w:autoSpaceDN/>
        <w:bidi w:val="0"/>
        <w:spacing w:line="590" w:lineRule="exact"/>
        <w:jc w:val="center"/>
        <w:textAlignment w:val="auto"/>
        <w:rPr>
          <w:rFonts w:eastAsia="方正楷体简体"/>
          <w:b/>
          <w:sz w:val="32"/>
          <w:szCs w:val="32"/>
        </w:rPr>
      </w:pPr>
      <w:r>
        <w:rPr>
          <w:rFonts w:hint="eastAsia" w:eastAsia="方正楷体简体"/>
          <w:b/>
          <w:sz w:val="32"/>
          <w:szCs w:val="32"/>
        </w:rPr>
        <w:t>（信访事务追加2023）</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p>
    <w:p>
      <w:pPr>
        <w:keepNext w:val="0"/>
        <w:keepLines w:val="0"/>
        <w:pageBreakBefore w:val="0"/>
        <w:kinsoku/>
        <w:wordWrap/>
        <w:overflowPunct/>
        <w:topLinePunct w:val="0"/>
        <w:autoSpaceDE/>
        <w:autoSpaceDN/>
        <w:bidi w:val="0"/>
        <w:spacing w:line="590" w:lineRule="exact"/>
        <w:jc w:val="center"/>
        <w:textAlignment w:val="auto"/>
        <w:rPr>
          <w:rFonts w:hint="eastAsia"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黑体简体"/>
          <w:sz w:val="32"/>
          <w:szCs w:val="32"/>
        </w:rPr>
      </w:pPr>
      <w:r>
        <w:rPr>
          <w:rFonts w:hint="eastAsia" w:eastAsia="方正黑体简体"/>
          <w:sz w:val="32"/>
          <w:szCs w:val="32"/>
        </w:rPr>
        <w:t>一、项目基本情况</w:t>
      </w:r>
    </w:p>
    <w:p>
      <w:pPr>
        <w:keepNext w:val="0"/>
        <w:keepLines w:val="0"/>
        <w:pageBreakBefore w:val="0"/>
        <w:kinsoku/>
        <w:wordWrap/>
        <w:overflowPunct/>
        <w:topLinePunct w:val="0"/>
        <w:autoSpaceDE/>
        <w:autoSpaceDN/>
        <w:bidi w:val="0"/>
        <w:spacing w:line="590" w:lineRule="exact"/>
        <w:ind w:firstLine="643" w:firstLineChars="200"/>
        <w:textAlignment w:val="auto"/>
        <w:rPr>
          <w:rFonts w:eastAsia="方正楷体简体"/>
          <w:b/>
          <w:sz w:val="32"/>
          <w:szCs w:val="32"/>
        </w:rPr>
      </w:pPr>
      <w:r>
        <w:rPr>
          <w:rFonts w:hint="eastAsia" w:eastAsia="方正楷体简体"/>
          <w:b/>
          <w:sz w:val="32"/>
          <w:szCs w:val="32"/>
        </w:rPr>
        <w:t>（一）概况</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keepNext w:val="0"/>
        <w:keepLines w:val="0"/>
        <w:pageBreakBefore w:val="0"/>
        <w:kinsoku/>
        <w:wordWrap/>
        <w:overflowPunct/>
        <w:topLinePunct w:val="0"/>
        <w:autoSpaceDE/>
        <w:autoSpaceDN/>
        <w:bidi w:val="0"/>
        <w:adjustRightInd w:val="0"/>
        <w:snapToGrid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为减少矛盾上行，控制信访存量，减少信访增量，着力解决一批信访“无头案、钉子案、骨头案”，按照“三到位一处理”要求，解</w:t>
      </w:r>
      <w:r>
        <w:rPr>
          <w:rFonts w:hint="eastAsia" w:ascii="仿宋_GB2312" w:hAnsi="宋体" w:eastAsia="仿宋_GB2312"/>
          <w:sz w:val="32"/>
          <w:szCs w:val="32"/>
        </w:rPr>
        <w:t>决特殊疑难信访问题，</w:t>
      </w:r>
      <w:r>
        <w:rPr>
          <w:rFonts w:hint="eastAsia" w:eastAsia="方正仿宋简体"/>
          <w:sz w:val="32"/>
          <w:szCs w:val="32"/>
        </w:rPr>
        <w:t>确保重要敏感节点社会稳定，促进社会和谐</w:t>
      </w:r>
      <w:r>
        <w:rPr>
          <w:rFonts w:hint="eastAsia" w:eastAsia="方正仿宋简体"/>
          <w:sz w:val="32"/>
          <w:szCs w:val="32"/>
          <w:lang w:eastAsia="zh-CN"/>
        </w:rPr>
        <w:t>稳定发展</w:t>
      </w:r>
      <w:r>
        <w:rPr>
          <w:rFonts w:hint="eastAsia" w:eastAsia="方正仿宋简体"/>
          <w:sz w:val="32"/>
          <w:szCs w:val="32"/>
        </w:rPr>
        <w:t>。</w:t>
      </w:r>
    </w:p>
    <w:p>
      <w:pPr>
        <w:keepNext w:val="0"/>
        <w:keepLines w:val="0"/>
        <w:pageBreakBefore w:val="0"/>
        <w:numPr>
          <w:ilvl w:val="0"/>
          <w:numId w:val="9"/>
        </w:numPr>
        <w:kinsoku/>
        <w:wordWrap/>
        <w:overflowPunct/>
        <w:topLinePunct w:val="0"/>
        <w:autoSpaceDE/>
        <w:autoSpaceDN/>
        <w:bidi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预算资金来源及使用情况</w:t>
      </w:r>
    </w:p>
    <w:p>
      <w:pPr>
        <w:keepNext w:val="0"/>
        <w:keepLines w:val="0"/>
        <w:pageBreakBefore w:val="0"/>
        <w:numPr>
          <w:ilvl w:val="0"/>
          <w:numId w:val="0"/>
        </w:numPr>
        <w:kinsoku/>
        <w:wordWrap/>
        <w:overflowPunct/>
        <w:topLinePunct w:val="0"/>
        <w:autoSpaceDE/>
        <w:autoSpaceDN/>
        <w:bidi w:val="0"/>
        <w:adjustRightInd w:val="0"/>
        <w:snapToGrid w:val="0"/>
        <w:spacing w:line="590" w:lineRule="exact"/>
        <w:ind w:firstLine="640" w:firstLineChars="200"/>
        <w:textAlignment w:val="auto"/>
        <w:rPr>
          <w:rFonts w:hint="default"/>
          <w:lang w:val="en-US"/>
        </w:rPr>
      </w:pPr>
      <w:r>
        <w:rPr>
          <w:rFonts w:hint="eastAsia" w:ascii="仿宋_GB2312" w:hAnsi="宋体" w:eastAsia="仿宋_GB2312"/>
          <w:sz w:val="32"/>
          <w:szCs w:val="32"/>
          <w:lang w:eastAsia="zh-CN"/>
        </w:rPr>
        <w:t>资金为县级财政资金。</w:t>
      </w:r>
      <w:r>
        <w:rPr>
          <w:rFonts w:hint="eastAsia" w:ascii="仿宋_GB2312" w:hAnsi="宋体" w:eastAsia="仿宋_GB2312"/>
          <w:sz w:val="32"/>
          <w:szCs w:val="32"/>
          <w:lang w:val="en-US" w:eastAsia="zh-CN"/>
        </w:rPr>
        <w:t>2023年县信访局项目支出预算100万，其中</w:t>
      </w:r>
      <w:r>
        <w:rPr>
          <w:rFonts w:hint="eastAsia" w:ascii="仿宋_GB2312" w:hAnsi="宋体" w:eastAsia="仿宋_GB2312"/>
          <w:sz w:val="32"/>
          <w:szCs w:val="32"/>
          <w:lang w:eastAsia="zh-CN"/>
        </w:rPr>
        <w:t>2023追加信访事务工作经费</w:t>
      </w:r>
      <w:r>
        <w:rPr>
          <w:rFonts w:hint="eastAsia" w:ascii="仿宋_GB2312" w:hAnsi="宋体" w:eastAsia="仿宋_GB2312"/>
          <w:sz w:val="32"/>
          <w:szCs w:val="32"/>
          <w:lang w:val="en-US" w:eastAsia="zh-CN"/>
        </w:rPr>
        <w:t>23万元，截止2023年底，该项目资金已完成预算100%。</w:t>
      </w:r>
    </w:p>
    <w:p>
      <w:pPr>
        <w:keepNext w:val="0"/>
        <w:keepLines w:val="0"/>
        <w:pageBreakBefore w:val="0"/>
        <w:numPr>
          <w:ilvl w:val="0"/>
          <w:numId w:val="9"/>
        </w:numPr>
        <w:kinsoku/>
        <w:wordWrap/>
        <w:overflowPunct/>
        <w:topLinePunct w:val="0"/>
        <w:autoSpaceDE/>
        <w:autoSpaceDN/>
        <w:bidi w:val="0"/>
        <w:spacing w:line="590" w:lineRule="exact"/>
        <w:ind w:left="0" w:leftChars="0" w:firstLine="640" w:firstLineChars="200"/>
        <w:textAlignment w:val="auto"/>
        <w:rPr>
          <w:rFonts w:hint="eastAsia" w:eastAsia="方正仿宋简体"/>
          <w:sz w:val="32"/>
          <w:szCs w:val="32"/>
        </w:rPr>
      </w:pPr>
      <w:r>
        <w:rPr>
          <w:rFonts w:hint="eastAsia" w:eastAsia="方正仿宋简体"/>
          <w:sz w:val="32"/>
          <w:szCs w:val="32"/>
        </w:rPr>
        <w:t>实施情况（项目完成情况）</w:t>
      </w:r>
    </w:p>
    <w:p>
      <w:pPr>
        <w:keepNext w:val="0"/>
        <w:keepLines w:val="0"/>
        <w:pageBreakBefore w:val="0"/>
        <w:kinsoku/>
        <w:wordWrap/>
        <w:overflowPunct/>
        <w:topLinePunct w:val="0"/>
        <w:autoSpaceDE/>
        <w:autoSpaceDN/>
        <w:bidi w:val="0"/>
        <w:snapToGrid w:val="0"/>
        <w:spacing w:line="590" w:lineRule="exact"/>
        <w:ind w:left="0" w:leftChars="0" w:firstLine="640" w:firstLineChars="200"/>
        <w:textAlignment w:val="auto"/>
        <w:rPr>
          <w:rFonts w:hint="eastAsia" w:ascii="仿宋_GB2312" w:hAnsi="宋体" w:eastAsia="仿宋_GB2312"/>
          <w:sz w:val="32"/>
          <w:szCs w:val="32"/>
          <w:lang w:val="en-US" w:eastAsia="zh-CN"/>
        </w:rPr>
      </w:pPr>
      <w:r>
        <w:rPr>
          <w:rFonts w:hint="eastAsia" w:ascii="方正仿宋简体" w:hAnsi="方正仿宋简体" w:eastAsia="方正仿宋简体" w:cs="方正仿宋简体"/>
          <w:kern w:val="2"/>
          <w:sz w:val="32"/>
          <w:szCs w:val="32"/>
          <w:lang w:val="en-US" w:eastAsia="zh-CN" w:bidi="ar-SA"/>
        </w:rPr>
        <w:t>为完成特定的行政工作任务，</w:t>
      </w:r>
      <w:r>
        <w:rPr>
          <w:rFonts w:hint="eastAsia" w:ascii="仿宋_GB2312" w:hAnsi="宋体" w:eastAsia="仿宋_GB2312"/>
          <w:sz w:val="32"/>
          <w:szCs w:val="32"/>
          <w:lang w:val="en-US" w:eastAsia="zh-CN"/>
        </w:rPr>
        <w:t>重大敏感政治活动处访工作经费用于成都大运会、全国“两会”、省“两会”等敏感节点信访维稳工作。</w:t>
      </w:r>
    </w:p>
    <w:p>
      <w:pPr>
        <w:keepNext w:val="0"/>
        <w:keepLines w:val="0"/>
        <w:pageBreakBefore w:val="0"/>
        <w:numPr>
          <w:ilvl w:val="0"/>
          <w:numId w:val="9"/>
        </w:numPr>
        <w:kinsoku/>
        <w:wordWrap/>
        <w:overflowPunct/>
        <w:topLinePunct w:val="0"/>
        <w:autoSpaceDE/>
        <w:autoSpaceDN/>
        <w:bidi w:val="0"/>
        <w:spacing w:line="590" w:lineRule="exact"/>
        <w:ind w:left="0" w:leftChars="0" w:firstLine="640" w:firstLineChars="200"/>
        <w:textAlignment w:val="auto"/>
        <w:rPr>
          <w:rFonts w:hint="eastAsia" w:eastAsia="方正仿宋简体"/>
          <w:sz w:val="32"/>
          <w:szCs w:val="32"/>
        </w:rPr>
      </w:pPr>
      <w:r>
        <w:rPr>
          <w:rFonts w:hint="eastAsia" w:eastAsia="方正仿宋简体"/>
          <w:sz w:val="32"/>
          <w:szCs w:val="32"/>
        </w:rPr>
        <w:t>组织及管理（项目组织、管理流程及实际执行情况）</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）项目组织情况</w:t>
      </w:r>
      <w:r>
        <w:rPr>
          <w:rFonts w:hint="eastAsia" w:ascii="方正仿宋简体" w:hAnsi="方正仿宋简体" w:eastAsia="方正仿宋简体" w:cs="方正仿宋简体"/>
          <w:sz w:val="32"/>
          <w:szCs w:val="32"/>
          <w:lang w:eastAsia="zh-CN"/>
        </w:rPr>
        <w:t>：按照乐至县信访局财政项目支出绩效评价评分表逐项对照检查，查看绩效完成情况。</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）项目管理情况</w:t>
      </w:r>
      <w:r>
        <w:rPr>
          <w:rFonts w:hint="eastAsia" w:ascii="方正仿宋简体" w:hAnsi="方正仿宋简体" w:eastAsia="方正仿宋简体" w:cs="方正仿宋简体"/>
          <w:sz w:val="32"/>
          <w:szCs w:val="32"/>
          <w:lang w:eastAsia="zh-CN"/>
        </w:rPr>
        <w:t>：严格执行财务规章制度，确保每项财务工作的开展均“有法可依、有据可循”。通过严格执行财经纪律和财务制度，加强财务管理，规范财务行为，严格项目资金使用申报程序，按照工作进度细化资金使用计划，根据项目实施进度进行资金拨付，确保项目经费预算执行到位，发挥资金使用效率。</w:t>
      </w:r>
    </w:p>
    <w:p>
      <w:pPr>
        <w:pStyle w:val="2"/>
        <w:keepNext w:val="0"/>
        <w:keepLines w:val="0"/>
        <w:pageBreakBefore w:val="0"/>
        <w:numPr>
          <w:ilvl w:val="0"/>
          <w:numId w:val="0"/>
        </w:numPr>
        <w:kinsoku/>
        <w:wordWrap/>
        <w:overflowPunct/>
        <w:topLinePunct w:val="0"/>
        <w:autoSpaceDE/>
        <w:autoSpaceDN/>
        <w:bidi w:val="0"/>
        <w:spacing w:line="590" w:lineRule="exact"/>
        <w:ind w:leftChars="200"/>
        <w:textAlignment w:val="auto"/>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）项目组织实施的实际情况与目标</w:t>
      </w:r>
      <w:r>
        <w:rPr>
          <w:rFonts w:hint="eastAsia" w:ascii="方正仿宋简体" w:hAnsi="方正仿宋简体" w:eastAsia="方正仿宋简体" w:cs="方正仿宋简体"/>
          <w:sz w:val="32"/>
          <w:szCs w:val="32"/>
          <w:lang w:eastAsia="zh-CN"/>
        </w:rPr>
        <w:t>完成情况无</w:t>
      </w:r>
      <w:r>
        <w:rPr>
          <w:rFonts w:hint="eastAsia" w:ascii="方正仿宋简体" w:hAnsi="方正仿宋简体" w:eastAsia="方正仿宋简体" w:cs="方正仿宋简体"/>
          <w:sz w:val="32"/>
          <w:szCs w:val="32"/>
        </w:rPr>
        <w:t>差异</w:t>
      </w:r>
      <w:r>
        <w:rPr>
          <w:rFonts w:hint="eastAsia" w:ascii="方正仿宋简体" w:hAnsi="方正仿宋简体" w:eastAsia="方正仿宋简体" w:cs="方正仿宋简体"/>
          <w:sz w:val="32"/>
          <w:szCs w:val="32"/>
          <w:lang w:eastAsia="zh-CN"/>
        </w:rPr>
        <w:t>。</w:t>
      </w:r>
    </w:p>
    <w:p>
      <w:pPr>
        <w:keepNext w:val="0"/>
        <w:keepLines w:val="0"/>
        <w:pageBreakBefore w:val="0"/>
        <w:kinsoku/>
        <w:wordWrap/>
        <w:overflowPunct/>
        <w:topLinePunct w:val="0"/>
        <w:autoSpaceDE/>
        <w:autoSpaceDN/>
        <w:bidi w:val="0"/>
        <w:spacing w:line="590" w:lineRule="exact"/>
        <w:ind w:firstLine="643" w:firstLineChars="200"/>
        <w:textAlignment w:val="auto"/>
        <w:rPr>
          <w:rFonts w:eastAsia="方正楷体简体"/>
          <w:b/>
          <w:sz w:val="32"/>
          <w:szCs w:val="32"/>
        </w:rPr>
      </w:pPr>
      <w:r>
        <w:rPr>
          <w:rFonts w:hint="eastAsia" w:eastAsia="方正楷体简体"/>
          <w:b/>
          <w:sz w:val="32"/>
          <w:szCs w:val="32"/>
        </w:rPr>
        <w:t>（二）绩效目标</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绩效目标分别表述绩效总目标和具体绩效目标，具体绩效目标为具体量化的产出目标结果目标。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（1）绩效总目标综合结论:</w:t>
      </w:r>
      <w:r>
        <w:rPr>
          <w:rFonts w:hint="eastAsia" w:ascii="方正仿宋简体" w:hAnsi="方正仿宋简体" w:eastAsia="方正仿宋简体" w:cs="方正仿宋简体"/>
          <w:kern w:val="2"/>
          <w:sz w:val="32"/>
          <w:szCs w:val="32"/>
          <w:lang w:val="en-US" w:eastAsia="zh-CN" w:bidi="ar-SA"/>
        </w:rPr>
        <w:t>在2023年度项目绩效自评工作中，我局认真筹划，严密组织，以严谨、务实的态度，不折不扣的落实县委、县政府和县财政局的相关要求，认真收集整理评价资料，全面真实反映年度项目经费使用管理情况，对照县信访局2021年项目支出绩效自评体系评分表，我局自评分95分，自评结果为“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（2）产出指标</w:t>
      </w:r>
      <w:r>
        <w:rPr>
          <w:rFonts w:hint="eastAsia" w:ascii="方正仿宋简体" w:hAnsi="方正仿宋简体" w:eastAsia="方正仿宋简体" w:cs="方正仿宋简体"/>
          <w:kern w:val="2"/>
          <w:sz w:val="32"/>
          <w:szCs w:val="32"/>
          <w:lang w:val="en-US" w:eastAsia="zh-CN" w:bidi="ar-SA"/>
        </w:rPr>
        <w:t>：派驻驻京工作人员，对进京人员第一时间劝返，控制越级访，较少进京到省访人员。</w:t>
      </w:r>
    </w:p>
    <w:p>
      <w:pPr>
        <w:keepNext w:val="0"/>
        <w:keepLines w:val="0"/>
        <w:pageBreakBefore w:val="0"/>
        <w:kinsoku/>
        <w:wordWrap/>
        <w:overflowPunct/>
        <w:topLinePunct w:val="0"/>
        <w:autoSpaceDE/>
        <w:autoSpaceDN/>
        <w:bidi w:val="0"/>
        <w:adjustRightInd w:val="0"/>
        <w:snapToGrid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（3）社会效益：</w:t>
      </w:r>
      <w:r>
        <w:rPr>
          <w:rFonts w:hint="eastAsia" w:eastAsia="方正仿宋简体"/>
          <w:sz w:val="32"/>
          <w:szCs w:val="32"/>
        </w:rPr>
        <w:t>化解矛盾</w:t>
      </w:r>
      <w:r>
        <w:rPr>
          <w:rFonts w:hint="eastAsia" w:eastAsia="方正仿宋简体"/>
          <w:sz w:val="32"/>
          <w:szCs w:val="32"/>
          <w:lang w:eastAsia="zh-CN"/>
        </w:rPr>
        <w:t>纠纷</w:t>
      </w:r>
      <w:r>
        <w:rPr>
          <w:rFonts w:hint="eastAsia" w:eastAsia="方正仿宋简体"/>
          <w:sz w:val="32"/>
          <w:szCs w:val="32"/>
        </w:rPr>
        <w:t>，维护社会稳定和谐发展。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rPr>
          <w:rFonts w:hint="eastAsia" w:ascii="仿宋_GB2312" w:hAnsi="宋体" w:eastAsia="仿宋_GB2312"/>
          <w:sz w:val="32"/>
          <w:szCs w:val="32"/>
        </w:rPr>
      </w:pPr>
      <w:r>
        <w:rPr>
          <w:rFonts w:hint="eastAsia" w:ascii="方正楷体简体" w:hAnsi="方正楷体简体" w:eastAsia="方正楷体简体" w:cs="方正楷体简体"/>
          <w:kern w:val="2"/>
          <w:sz w:val="32"/>
          <w:szCs w:val="32"/>
          <w:lang w:val="en-US" w:eastAsia="zh-CN" w:bidi="ar-SA"/>
        </w:rPr>
        <w:t>（4）可持续影响：</w:t>
      </w:r>
      <w:r>
        <w:rPr>
          <w:rFonts w:hint="eastAsia" w:ascii="仿宋_GB2312" w:hAnsi="宋体" w:eastAsia="仿宋_GB2312"/>
          <w:sz w:val="32"/>
          <w:szCs w:val="32"/>
        </w:rPr>
        <w:t>维护社会稳定，促进社会和谐发展。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pPr>
      <w:r>
        <w:rPr>
          <w:rFonts w:hint="eastAsia" w:ascii="方正楷体简体" w:hAnsi="方正楷体简体" w:eastAsia="方正楷体简体" w:cs="方正楷体简体"/>
          <w:kern w:val="2"/>
          <w:sz w:val="32"/>
          <w:szCs w:val="32"/>
          <w:lang w:val="en-US" w:eastAsia="zh-CN" w:bidi="ar-SA"/>
        </w:rPr>
        <w:t>（5）满意度：</w:t>
      </w:r>
      <w:r>
        <w:rPr>
          <w:rFonts w:hint="eastAsia" w:ascii="方正仿宋简体" w:hAnsi="方正仿宋简体" w:eastAsia="方正仿宋简体" w:cs="方正仿宋简体"/>
          <w:kern w:val="2"/>
          <w:sz w:val="32"/>
          <w:szCs w:val="32"/>
          <w:lang w:val="en-US" w:eastAsia="zh-CN" w:bidi="ar-SA"/>
        </w:rPr>
        <w:t>2023年信访工作未接到人民群众、部门工作人员及相关不满意情况反映，满意度为98%。</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eastAsia="方正黑体简体"/>
          <w:sz w:val="32"/>
          <w:szCs w:val="32"/>
        </w:rPr>
      </w:pPr>
      <w:r>
        <w:rPr>
          <w:rFonts w:hint="eastAsia" w:eastAsia="方正黑体简体"/>
          <w:sz w:val="32"/>
          <w:szCs w:val="32"/>
        </w:rPr>
        <w:t>二、绩效自评工作情况</w:t>
      </w:r>
    </w:p>
    <w:p>
      <w:pPr>
        <w:keepNext w:val="0"/>
        <w:keepLines w:val="0"/>
        <w:pageBreakBefore w:val="0"/>
        <w:kinsoku/>
        <w:wordWrap/>
        <w:overflowPunct/>
        <w:topLinePunct w:val="0"/>
        <w:autoSpaceDE/>
        <w:autoSpaceDN/>
        <w:bidi w:val="0"/>
        <w:spacing w:line="590" w:lineRule="exact"/>
        <w:ind w:left="0" w:leftChars="0" w:firstLine="643" w:firstLineChars="200"/>
        <w:textAlignment w:val="auto"/>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（一）自评工作组织领导</w:t>
      </w:r>
    </w:p>
    <w:p>
      <w:pPr>
        <w:pStyle w:val="10"/>
        <w:keepNext w:val="0"/>
        <w:keepLines w:val="0"/>
        <w:pageBreakBefore w:val="0"/>
        <w:kinsoku/>
        <w:wordWrap/>
        <w:overflowPunct/>
        <w:topLinePunct w:val="0"/>
        <w:autoSpaceDE/>
        <w:autoSpaceDN/>
        <w:bidi w:val="0"/>
        <w:spacing w:line="59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一是</w:t>
      </w:r>
      <w:r>
        <w:rPr>
          <w:rFonts w:hint="eastAsia" w:ascii="方正仿宋简体" w:hAnsi="方正仿宋简体" w:eastAsia="方正仿宋简体" w:cs="方正仿宋简体"/>
          <w:kern w:val="2"/>
          <w:sz w:val="32"/>
          <w:szCs w:val="32"/>
          <w:lang w:val="en-US" w:eastAsia="zh-CN" w:bidi="ar-SA"/>
        </w:rPr>
        <w:t>高度重视绩效评价工作，成立了以局长为组长，分管副局为副组长，办公室、网信股、督查督办股、接待中心工作人员为成员的绩效评价领导小组，明确绩效工作评价责任，进一步强化各股室对财政预算支出的管理意识；</w:t>
      </w:r>
      <w:r>
        <w:rPr>
          <w:rFonts w:hint="eastAsia" w:ascii="方正楷体简体" w:hAnsi="方正楷体简体" w:eastAsia="方正楷体简体" w:cs="方正楷体简体"/>
          <w:b w:val="0"/>
          <w:bCs w:val="0"/>
          <w:kern w:val="2"/>
          <w:sz w:val="32"/>
          <w:szCs w:val="32"/>
          <w:lang w:val="en-US" w:eastAsia="zh-CN" w:bidi="ar-SA"/>
        </w:rPr>
        <w:t>二是</w:t>
      </w:r>
      <w:r>
        <w:rPr>
          <w:rFonts w:hint="eastAsia" w:ascii="方正仿宋简体" w:hAnsi="方正仿宋简体" w:eastAsia="方正仿宋简体" w:cs="方正仿宋简体"/>
          <w:kern w:val="2"/>
          <w:sz w:val="32"/>
          <w:szCs w:val="32"/>
          <w:lang w:val="en-US" w:eastAsia="zh-CN" w:bidi="ar-SA"/>
        </w:rPr>
        <w:t>收集、整理资料；</w:t>
      </w:r>
      <w:r>
        <w:rPr>
          <w:rFonts w:hint="eastAsia" w:ascii="方正楷体简体" w:hAnsi="方正楷体简体" w:eastAsia="方正楷体简体" w:cs="方正楷体简体"/>
          <w:b w:val="0"/>
          <w:bCs w:val="0"/>
          <w:kern w:val="2"/>
          <w:sz w:val="32"/>
          <w:szCs w:val="32"/>
          <w:lang w:val="en-US" w:eastAsia="zh-CN" w:bidi="ar-SA"/>
        </w:rPr>
        <w:t>三是</w:t>
      </w:r>
      <w:r>
        <w:rPr>
          <w:rFonts w:hint="eastAsia" w:ascii="方正仿宋简体" w:hAnsi="方正仿宋简体" w:eastAsia="方正仿宋简体" w:cs="方正仿宋简体"/>
          <w:kern w:val="2"/>
          <w:sz w:val="32"/>
          <w:szCs w:val="32"/>
          <w:lang w:val="en-US" w:eastAsia="zh-CN" w:bidi="ar-SA"/>
        </w:rPr>
        <w:t>客观分析，实事求是，形成报告；</w:t>
      </w:r>
      <w:r>
        <w:rPr>
          <w:rFonts w:hint="eastAsia" w:ascii="方正楷体简体" w:hAnsi="方正楷体简体" w:eastAsia="方正楷体简体" w:cs="方正楷体简体"/>
          <w:b w:val="0"/>
          <w:bCs w:val="0"/>
          <w:kern w:val="2"/>
          <w:sz w:val="32"/>
          <w:szCs w:val="32"/>
          <w:lang w:val="en-US" w:eastAsia="zh-CN" w:bidi="ar-SA"/>
        </w:rPr>
        <w:t>四是</w:t>
      </w:r>
      <w:r>
        <w:rPr>
          <w:rFonts w:hint="eastAsia" w:ascii="方正仿宋简体" w:hAnsi="方正仿宋简体" w:eastAsia="方正仿宋简体" w:cs="方正仿宋简体"/>
          <w:kern w:val="2"/>
          <w:sz w:val="32"/>
          <w:szCs w:val="32"/>
          <w:lang w:val="en-US" w:eastAsia="zh-CN" w:bidi="ar-SA"/>
        </w:rPr>
        <w:t>报送部门整体、项目支出绩效自评报告；</w:t>
      </w:r>
      <w:r>
        <w:rPr>
          <w:rFonts w:hint="eastAsia" w:ascii="方正楷体简体" w:hAnsi="方正楷体简体" w:eastAsia="方正楷体简体" w:cs="方正楷体简体"/>
          <w:b w:val="0"/>
          <w:bCs w:val="0"/>
          <w:kern w:val="2"/>
          <w:sz w:val="32"/>
          <w:szCs w:val="32"/>
          <w:lang w:val="en-US" w:eastAsia="zh-CN" w:bidi="ar-SA"/>
        </w:rPr>
        <w:t>五是</w:t>
      </w:r>
      <w:r>
        <w:rPr>
          <w:rFonts w:hint="eastAsia" w:ascii="方正仿宋简体" w:hAnsi="方正仿宋简体" w:eastAsia="方正仿宋简体" w:cs="方正仿宋简体"/>
          <w:kern w:val="2"/>
          <w:sz w:val="32"/>
          <w:szCs w:val="32"/>
          <w:lang w:val="en-US" w:eastAsia="zh-CN" w:bidi="ar-SA"/>
        </w:rPr>
        <w:t>总结提高，配合县财政局开展绩效评价工作并按要求公开绩效自评情况。</w:t>
      </w:r>
    </w:p>
    <w:p>
      <w:pPr>
        <w:pStyle w:val="10"/>
        <w:keepNext w:val="0"/>
        <w:keepLines w:val="0"/>
        <w:pageBreakBefore w:val="0"/>
        <w:kinsoku/>
        <w:wordWrap/>
        <w:overflowPunct/>
        <w:topLinePunct w:val="0"/>
        <w:autoSpaceDE/>
        <w:autoSpaceDN/>
        <w:bidi w:val="0"/>
        <w:spacing w:line="590" w:lineRule="exact"/>
        <w:ind w:leftChars="100" w:firstLine="643" w:firstLineChars="200"/>
        <w:textAlignment w:val="auto"/>
        <w:rPr>
          <w:rFonts w:hint="eastAsia" w:ascii="方正楷体简体" w:hAnsi="方正楷体简体" w:eastAsia="方正楷体简体" w:cs="方正楷体简体"/>
          <w:b/>
          <w:bCs/>
          <w:kern w:val="2"/>
          <w:sz w:val="32"/>
          <w:szCs w:val="32"/>
          <w:lang w:val="en-US" w:eastAsia="zh-CN" w:bidi="ar-SA"/>
        </w:rPr>
      </w:pPr>
      <w:r>
        <w:rPr>
          <w:rFonts w:hint="eastAsia" w:ascii="方正楷体简体" w:hAnsi="方正楷体简体" w:eastAsia="方正楷体简体" w:cs="方正楷体简体"/>
          <w:b/>
          <w:bCs/>
          <w:kern w:val="2"/>
          <w:sz w:val="32"/>
          <w:szCs w:val="32"/>
          <w:lang w:val="en-US" w:eastAsia="zh-CN" w:bidi="ar-SA"/>
        </w:rPr>
        <w:t>（二）自评方式、方法、重点等</w:t>
      </w:r>
    </w:p>
    <w:p>
      <w:pPr>
        <w:pStyle w:val="10"/>
        <w:keepNext w:val="0"/>
        <w:keepLines w:val="0"/>
        <w:pageBreakBefore w:val="0"/>
        <w:kinsoku/>
        <w:wordWrap/>
        <w:overflowPunct/>
        <w:topLinePunct w:val="0"/>
        <w:autoSpaceDE/>
        <w:autoSpaceDN/>
        <w:bidi w:val="0"/>
        <w:spacing w:line="59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绩效自评方法:按照科学规范、公正公开、绩效相关的原则，依据下达的预算，采用定量与定性相结合，专项经费投入与产出相结合的办法，对照项目实际完成内容，评价实际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对比分析，评价项目预期效益实现程度。本次绩效自评采用百分制，各级指标依据其指标权重确定分值，根据最终得分情况将绩效自评结果分为四个等级:优(得分&gt;90分) ;良(80分&lt;得分&lt;90分) ;中(60≤得分&lt;80分) ;差(得分&lt;60分)。</w:t>
      </w:r>
    </w:p>
    <w:p>
      <w:pPr>
        <w:keepNext w:val="0"/>
        <w:keepLines w:val="0"/>
        <w:pageBreakBefore w:val="0"/>
        <w:kinsoku/>
        <w:wordWrap/>
        <w:overflowPunct/>
        <w:topLinePunct w:val="0"/>
        <w:autoSpaceDE/>
        <w:autoSpaceDN/>
        <w:bidi w:val="0"/>
        <w:spacing w:line="590" w:lineRule="exact"/>
        <w:ind w:left="0" w:leftChars="0" w:firstLine="960" w:firstLineChars="3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三、评价结论</w:t>
      </w:r>
    </w:p>
    <w:p>
      <w:pPr>
        <w:pStyle w:val="7"/>
        <w:keepNext w:val="0"/>
        <w:keepLines w:val="0"/>
        <w:pageBreakBefore w:val="0"/>
        <w:kinsoku/>
        <w:wordWrap/>
        <w:overflowPunct/>
        <w:topLinePunct w:val="0"/>
        <w:autoSpaceDE/>
        <w:autoSpaceDN/>
        <w:bidi w:val="0"/>
        <w:spacing w:line="590" w:lineRule="exact"/>
        <w:ind w:left="0" w:leftChars="0" w:firstLine="947" w:firstLineChars="2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lang w:eastAsia="zh-CN"/>
        </w:rPr>
        <w:t>2023年，县</w:t>
      </w:r>
      <w:r>
        <w:rPr>
          <w:rFonts w:hint="eastAsia" w:ascii="方正仿宋简体" w:hAnsi="方正仿宋简体" w:eastAsia="方正仿宋简体" w:cs="方正仿宋简体"/>
          <w:kern w:val="0"/>
          <w:sz w:val="32"/>
          <w:szCs w:val="32"/>
        </w:rPr>
        <w:t>信访局认真贯彻落实中央、省、市一系列决策部署，紧紧围绕习近平总书记对信访工作的重要批示精神，着力攻坚化解突出信访问题，减存量、控增量、防变量，积极探索让群众“最多访一次”，全面认真履行职责、全力破解信访难题、全心维护群众权益。根据年初的绩效考核工作计划和目标，</w:t>
      </w:r>
      <w:r>
        <w:rPr>
          <w:rFonts w:hint="eastAsia" w:ascii="方正仿宋简体" w:hAnsi="方正仿宋简体" w:eastAsia="方正仿宋简体" w:cs="方正仿宋简体"/>
          <w:kern w:val="0"/>
          <w:sz w:val="32"/>
          <w:szCs w:val="32"/>
          <w:lang w:eastAsia="zh-CN"/>
        </w:rPr>
        <w:t>我</w:t>
      </w:r>
      <w:r>
        <w:rPr>
          <w:rFonts w:hint="eastAsia" w:ascii="方正仿宋简体" w:hAnsi="方正仿宋简体" w:eastAsia="方正仿宋简体" w:cs="方正仿宋简体"/>
          <w:kern w:val="0"/>
          <w:sz w:val="32"/>
          <w:szCs w:val="32"/>
        </w:rPr>
        <w:t>局较好地完成了全年的目标工作任务</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rPr>
        <w:t>依据</w:t>
      </w:r>
      <w:r>
        <w:rPr>
          <w:rFonts w:hint="eastAsia" w:ascii="方正仿宋简体" w:hAnsi="方正仿宋简体" w:eastAsia="方正仿宋简体" w:cs="方正仿宋简体"/>
          <w:kern w:val="0"/>
          <w:sz w:val="32"/>
          <w:szCs w:val="32"/>
          <w:lang w:eastAsia="zh-CN"/>
        </w:rPr>
        <w:t>相关</w:t>
      </w:r>
      <w:r>
        <w:rPr>
          <w:rFonts w:hint="eastAsia" w:ascii="方正仿宋简体" w:hAnsi="方正仿宋简体" w:eastAsia="方正仿宋简体" w:cs="方正仿宋简体"/>
          <w:color w:val="auto"/>
          <w:kern w:val="0"/>
          <w:sz w:val="32"/>
          <w:szCs w:val="32"/>
        </w:rPr>
        <w:t>规定</w:t>
      </w:r>
      <w:r>
        <w:rPr>
          <w:rFonts w:hint="eastAsia" w:ascii="方正仿宋简体" w:hAnsi="方正仿宋简体" w:eastAsia="方正仿宋简体" w:cs="方正仿宋简体"/>
          <w:kern w:val="0"/>
          <w:sz w:val="32"/>
          <w:szCs w:val="32"/>
          <w:lang w:eastAsia="zh-CN"/>
        </w:rPr>
        <w:t>，绩效评价自评得分</w:t>
      </w:r>
      <w:r>
        <w:rPr>
          <w:rFonts w:hint="eastAsia" w:ascii="方正仿宋简体" w:hAnsi="方正仿宋简体" w:eastAsia="方正仿宋简体" w:cs="方正仿宋简体"/>
          <w:kern w:val="0"/>
          <w:sz w:val="32"/>
          <w:szCs w:val="32"/>
          <w:lang w:val="en-US" w:eastAsia="zh-CN"/>
        </w:rPr>
        <w:t>95分，</w:t>
      </w:r>
      <w:r>
        <w:rPr>
          <w:rFonts w:hint="eastAsia" w:ascii="方正仿宋简体" w:hAnsi="方正仿宋简体" w:eastAsia="方正仿宋简体" w:cs="方正仿宋简体"/>
          <w:kern w:val="0"/>
          <w:sz w:val="32"/>
          <w:szCs w:val="32"/>
        </w:rPr>
        <w:t>总体</w:t>
      </w:r>
      <w:r>
        <w:rPr>
          <w:rFonts w:hint="eastAsia" w:ascii="方正仿宋简体" w:hAnsi="方正仿宋简体" w:eastAsia="方正仿宋简体" w:cs="方正仿宋简体"/>
          <w:sz w:val="32"/>
          <w:szCs w:val="32"/>
        </w:rPr>
        <w:t>绩效评价结果</w:t>
      </w:r>
      <w:r>
        <w:rPr>
          <w:rFonts w:hint="eastAsia" w:ascii="方正仿宋简体" w:hAnsi="方正仿宋简体" w:eastAsia="方正仿宋简体" w:cs="方正仿宋简体"/>
          <w:sz w:val="32"/>
          <w:szCs w:val="32"/>
          <w:lang w:eastAsia="zh-CN"/>
        </w:rPr>
        <w:t>为优</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四、绩效分析</w:t>
      </w:r>
    </w:p>
    <w:p>
      <w:pPr>
        <w:pStyle w:val="7"/>
        <w:keepNext w:val="0"/>
        <w:keepLines w:val="0"/>
        <w:pageBreakBefore w:val="0"/>
        <w:kinsoku/>
        <w:wordWrap/>
        <w:overflowPunct/>
        <w:topLinePunct w:val="0"/>
        <w:autoSpaceDE/>
        <w:autoSpaceDN/>
        <w:bidi w:val="0"/>
        <w:spacing w:line="590" w:lineRule="exact"/>
        <w:ind w:left="0" w:leftChars="0" w:firstLine="627" w:firstLineChars="1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2023年</w:t>
      </w:r>
      <w:r>
        <w:rPr>
          <w:rFonts w:hint="eastAsia" w:ascii="方正仿宋简体" w:hAnsi="方正仿宋简体" w:eastAsia="方正仿宋简体" w:cs="方正仿宋简体"/>
          <w:sz w:val="32"/>
          <w:szCs w:val="32"/>
        </w:rPr>
        <w:t>，根据局年初工作规划和重点性工作，积极履职，强化管理，较好的完成了年度工作目标。通过加强预算收支管理，不断建立健全内部管理制度，梳理内部管理流程，部门</w:t>
      </w:r>
      <w:r>
        <w:rPr>
          <w:rFonts w:hint="eastAsia" w:ascii="方正仿宋简体" w:hAnsi="方正仿宋简体" w:eastAsia="方正仿宋简体" w:cs="方正仿宋简体"/>
          <w:sz w:val="32"/>
          <w:szCs w:val="32"/>
          <w:lang w:eastAsia="zh-CN"/>
        </w:rPr>
        <w:t>项目</w:t>
      </w:r>
      <w:r>
        <w:rPr>
          <w:rFonts w:hint="eastAsia" w:ascii="方正仿宋简体" w:hAnsi="方正仿宋简体" w:eastAsia="方正仿宋简体" w:cs="方正仿宋简体"/>
          <w:sz w:val="32"/>
          <w:szCs w:val="32"/>
        </w:rPr>
        <w:t>支出管理情况得到提升。</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五、主要经验及做法、存在的问题和建议</w:t>
      </w:r>
    </w:p>
    <w:p>
      <w:pPr>
        <w:pStyle w:val="7"/>
        <w:keepNext w:val="0"/>
        <w:keepLines w:val="0"/>
        <w:pageBreakBefore w:val="0"/>
        <w:kinsoku/>
        <w:wordWrap/>
        <w:overflowPunct/>
        <w:topLinePunct w:val="0"/>
        <w:autoSpaceDE/>
        <w:autoSpaceDN/>
        <w:bidi w:val="0"/>
        <w:spacing w:line="590" w:lineRule="exact"/>
        <w:ind w:left="0" w:leftChars="0" w:firstLine="630" w:firstLineChars="196"/>
        <w:textAlignment w:val="auto"/>
      </w:pPr>
      <w:r>
        <w:rPr>
          <w:rFonts w:hint="eastAsia" w:ascii="方正楷体简体" w:hAnsi="方正楷体简体" w:eastAsia="方正楷体简体" w:cs="方正楷体简体"/>
          <w:b/>
          <w:sz w:val="32"/>
          <w:szCs w:val="32"/>
        </w:rPr>
        <w:t>（一）主要经验及做法</w:t>
      </w:r>
      <w:r>
        <w:rPr>
          <w:rFonts w:hint="eastAsia" w:ascii="方正楷体简体" w:hAnsi="方正楷体简体" w:eastAsia="方正楷体简体" w:cs="方正楷体简体"/>
          <w:b/>
          <w:sz w:val="32"/>
          <w:szCs w:val="32"/>
          <w:lang w:eastAsia="zh-CN"/>
        </w:rPr>
        <w:t>。</w:t>
      </w:r>
      <w:r>
        <w:rPr>
          <w:rFonts w:hint="eastAsia" w:ascii="方正楷体简体" w:hAnsi="方正楷体简体" w:eastAsia="方正楷体简体" w:cs="方正楷体简体"/>
          <w:b w:val="0"/>
          <w:bCs/>
          <w:sz w:val="32"/>
          <w:szCs w:val="32"/>
          <w:lang w:eastAsia="zh-CN"/>
        </w:rPr>
        <w:t>一是</w:t>
      </w:r>
      <w:r>
        <w:rPr>
          <w:rFonts w:hint="eastAsia" w:ascii="方正仿宋简体" w:hAnsi="方正仿宋简体" w:eastAsia="方正仿宋简体" w:cs="方正仿宋简体"/>
          <w:sz w:val="32"/>
          <w:szCs w:val="32"/>
        </w:rPr>
        <w:t>领导高度重视，对年初纳入预算绩效的工作内容严格抓落实，要求保质保量；</w:t>
      </w:r>
      <w:r>
        <w:rPr>
          <w:rFonts w:hint="eastAsia" w:ascii="方正楷体简体" w:hAnsi="方正楷体简体" w:eastAsia="方正楷体简体" w:cs="方正楷体简体"/>
          <w:b w:val="0"/>
          <w:bCs w:val="0"/>
          <w:sz w:val="32"/>
          <w:szCs w:val="32"/>
          <w:lang w:eastAsia="zh-CN"/>
        </w:rPr>
        <w:t>二是</w:t>
      </w:r>
      <w:r>
        <w:rPr>
          <w:rFonts w:hint="eastAsia" w:ascii="方正仿宋简体" w:hAnsi="方正仿宋简体" w:eastAsia="方正仿宋简体" w:cs="方正仿宋简体"/>
          <w:sz w:val="32"/>
          <w:szCs w:val="32"/>
        </w:rPr>
        <w:t>工作规划提前部署，绩效目标的制定必须和当年的重点工作紧密联系，和目标责任管理结合，目标标准定制要合理，可以达到和完成。</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（二）存在的问题</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由于信访工作具有其特殊性,投入产出评价指标难以用数据直接体现,定量分析还有待加强。</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（三）建议和改进措施</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一是科学合理编制预算 ,严格执行预算;二是规范账务处理,提高财务信息质量;三是完善管理制度,进一步加强资金管理 ;四是坚持问题导向,建立预算支出绩效评价长效机制。</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r>
        <w:rPr>
          <w:rFonts w:hint="eastAsia" w:eastAsia="方正仿宋简体"/>
          <w:sz w:val="32"/>
          <w:szCs w:val="32"/>
        </w:rPr>
        <w:t>附件：</w:t>
      </w:r>
      <w:r>
        <w:rPr>
          <w:rFonts w:hint="eastAsia" w:eastAsia="方正仿宋简体"/>
          <w:sz w:val="32"/>
          <w:szCs w:val="32"/>
          <w:lang w:val="en-US" w:eastAsia="zh-CN"/>
        </w:rPr>
        <w:t>5-</w:t>
      </w:r>
      <w:r>
        <w:rPr>
          <w:rFonts w:eastAsia="方正仿宋简体"/>
          <w:sz w:val="32"/>
          <w:szCs w:val="32"/>
        </w:rPr>
        <w:t>1.</w:t>
      </w:r>
      <w:r>
        <w:rPr>
          <w:rFonts w:hint="eastAsia" w:eastAsia="方正仿宋简体"/>
          <w:sz w:val="32"/>
          <w:szCs w:val="32"/>
          <w:lang w:eastAsia="zh-CN"/>
        </w:rPr>
        <w:t>2023年</w:t>
      </w:r>
      <w:r>
        <w:rPr>
          <w:rFonts w:hint="eastAsia" w:eastAsia="方正仿宋简体"/>
          <w:sz w:val="32"/>
          <w:szCs w:val="32"/>
        </w:rPr>
        <w:t>度乐至县项目支出绩效自评计分表</w:t>
      </w:r>
    </w:p>
    <w:p>
      <w:pPr>
        <w:keepNext w:val="0"/>
        <w:keepLines w:val="0"/>
        <w:pageBreakBefore w:val="0"/>
        <w:kinsoku/>
        <w:wordWrap/>
        <w:overflowPunct/>
        <w:topLinePunct w:val="0"/>
        <w:autoSpaceDE/>
        <w:autoSpaceDN/>
        <w:bidi w:val="0"/>
        <w:spacing w:line="590" w:lineRule="exact"/>
        <w:ind w:firstLine="1600" w:firstLineChars="500"/>
        <w:textAlignment w:val="auto"/>
        <w:rPr>
          <w:rFonts w:eastAsia="方正仿宋简体"/>
          <w:sz w:val="32"/>
          <w:szCs w:val="32"/>
        </w:rPr>
      </w:pPr>
      <w:r>
        <w:rPr>
          <w:rFonts w:hint="eastAsia" w:eastAsia="方正仿宋简体"/>
          <w:sz w:val="32"/>
          <w:szCs w:val="32"/>
          <w:lang w:val="en-US" w:eastAsia="zh-CN"/>
        </w:rPr>
        <w:t>5-</w:t>
      </w:r>
      <w:r>
        <w:rPr>
          <w:rFonts w:eastAsia="方正仿宋简体"/>
          <w:sz w:val="32"/>
          <w:szCs w:val="32"/>
        </w:rPr>
        <w:t>2.</w:t>
      </w:r>
      <w:r>
        <w:rPr>
          <w:rFonts w:hint="eastAsia" w:eastAsia="方正仿宋简体"/>
          <w:sz w:val="32"/>
          <w:szCs w:val="32"/>
          <w:lang w:eastAsia="zh-CN"/>
        </w:rPr>
        <w:t>2023年</w:t>
      </w:r>
      <w:r>
        <w:rPr>
          <w:rFonts w:hint="eastAsia" w:eastAsia="方正仿宋简体"/>
          <w:sz w:val="32"/>
          <w:szCs w:val="32"/>
        </w:rPr>
        <w:t>度乐至县项目支出绩效目标完成情况表</w:t>
      </w:r>
    </w:p>
    <w:p>
      <w:pPr>
        <w:keepNext w:val="0"/>
        <w:keepLines w:val="0"/>
        <w:pageBreakBefore w:val="0"/>
        <w:kinsoku/>
        <w:wordWrap/>
        <w:overflowPunct/>
        <w:topLinePunct w:val="0"/>
        <w:autoSpaceDE/>
        <w:autoSpaceDN/>
        <w:bidi w:val="0"/>
        <w:spacing w:line="590" w:lineRule="exact"/>
        <w:jc w:val="left"/>
        <w:textAlignment w:val="auto"/>
        <w:rPr>
          <w:rFonts w:ascii="宋体" w:hAnsi="宋体" w:eastAsia="方正仿宋简体"/>
          <w:b/>
          <w:sz w:val="32"/>
          <w:szCs w:val="32"/>
        </w:rPr>
      </w:pPr>
    </w:p>
    <w:p>
      <w:pPr>
        <w:keepNext w:val="0"/>
        <w:keepLines w:val="0"/>
        <w:pageBreakBefore w:val="0"/>
        <w:kinsoku/>
        <w:wordWrap/>
        <w:overflowPunct/>
        <w:topLinePunct w:val="0"/>
        <w:autoSpaceDE/>
        <w:autoSpaceDN/>
        <w:bidi w:val="0"/>
        <w:spacing w:line="590" w:lineRule="exact"/>
        <w:ind w:firstLine="1606" w:firstLineChars="500"/>
        <w:textAlignment w:val="auto"/>
        <w:rPr>
          <w:rFonts w:hint="eastAsia" w:eastAsia="方正仿宋简体"/>
          <w:sz w:val="32"/>
          <w:szCs w:val="32"/>
          <w:lang w:val="en-US" w:eastAsia="zh-CN"/>
        </w:rPr>
      </w:pPr>
      <w:r>
        <w:rPr>
          <w:rFonts w:hint="eastAsia" w:ascii="宋体" w:hAnsi="宋体" w:eastAsia="方正仿宋简体"/>
          <w:b/>
          <w:sz w:val="32"/>
          <w:szCs w:val="32"/>
          <w:lang w:val="en-US" w:eastAsia="zh-CN"/>
        </w:rPr>
        <w:t xml:space="preserve">                         </w:t>
      </w:r>
      <w:r>
        <w:rPr>
          <w:rFonts w:hint="eastAsia" w:eastAsia="方正仿宋简体"/>
          <w:sz w:val="32"/>
          <w:szCs w:val="32"/>
          <w:lang w:val="en-US" w:eastAsia="zh-CN"/>
        </w:rPr>
        <w:t>乐至县信访局</w:t>
      </w:r>
    </w:p>
    <w:p>
      <w:pPr>
        <w:keepNext w:val="0"/>
        <w:keepLines w:val="0"/>
        <w:pageBreakBefore w:val="0"/>
        <w:kinsoku/>
        <w:wordWrap/>
        <w:overflowPunct/>
        <w:topLinePunct w:val="0"/>
        <w:autoSpaceDE/>
        <w:autoSpaceDN/>
        <w:bidi w:val="0"/>
        <w:spacing w:line="590" w:lineRule="exact"/>
        <w:ind w:firstLine="1600" w:firstLineChars="500"/>
        <w:textAlignment w:val="auto"/>
        <w:rPr>
          <w:rFonts w:hint="default" w:eastAsia="方正仿宋简体"/>
          <w:sz w:val="32"/>
          <w:szCs w:val="32"/>
          <w:lang w:val="en-US" w:eastAsia="zh-CN"/>
        </w:rPr>
      </w:pPr>
      <w:r>
        <w:rPr>
          <w:rFonts w:hint="eastAsia" w:eastAsia="方正仿宋简体"/>
          <w:sz w:val="32"/>
          <w:szCs w:val="32"/>
          <w:lang w:val="en-US" w:eastAsia="zh-CN"/>
        </w:rPr>
        <w:t xml:space="preserve">                        2024年7月11日</w:t>
      </w:r>
    </w:p>
    <w:p>
      <w:pPr>
        <w:keepNext w:val="0"/>
        <w:keepLines w:val="0"/>
        <w:pageBreakBefore w:val="0"/>
        <w:kinsoku/>
        <w:wordWrap/>
        <w:overflowPunct/>
        <w:topLinePunct w:val="0"/>
        <w:autoSpaceDE/>
        <w:autoSpaceDN/>
        <w:bidi w:val="0"/>
        <w:spacing w:line="590" w:lineRule="exact"/>
        <w:ind w:left="1917" w:leftChars="760" w:hanging="321" w:hangingChars="100"/>
        <w:jc w:val="left"/>
        <w:textAlignment w:val="auto"/>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footerReference r:id="rId8" w:type="default"/>
          <w:pgSz w:w="11907" w:h="16840"/>
          <w:pgMar w:top="2098" w:right="1531" w:bottom="1984" w:left="1531" w:header="851" w:footer="992" w:gutter="0"/>
          <w:pgNumType w:fmt="numberInDash"/>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5-</w:t>
      </w:r>
      <w:r>
        <w:rPr>
          <w:rFonts w:eastAsia="方正黑体简体"/>
          <w:bCs/>
          <w:kern w:val="0"/>
          <w:sz w:val="32"/>
          <w:szCs w:val="32"/>
        </w:rPr>
        <w:t>1</w:t>
      </w:r>
    </w:p>
    <w:p>
      <w:pPr>
        <w:spacing w:line="620" w:lineRule="exact"/>
        <w:jc w:val="center"/>
        <w:rPr>
          <w:rFonts w:eastAsia="方正小标宋简体"/>
          <w:bCs/>
          <w:kern w:val="0"/>
          <w:sz w:val="44"/>
          <w:szCs w:val="44"/>
        </w:rPr>
      </w:pPr>
      <w:r>
        <w:rPr>
          <w:rFonts w:hint="eastAsia" w:eastAsia="方正小标宋简体"/>
          <w:bCs/>
          <w:kern w:val="0"/>
          <w:sz w:val="44"/>
          <w:szCs w:val="44"/>
          <w:lang w:eastAsia="zh-CN"/>
        </w:rPr>
        <w:t>2023年</w:t>
      </w:r>
      <w:r>
        <w:rPr>
          <w:rFonts w:hint="eastAsia" w:eastAsia="方正小标宋简体"/>
          <w:bCs/>
          <w:kern w:val="0"/>
          <w:sz w:val="44"/>
          <w:szCs w:val="44"/>
        </w:rPr>
        <w:t>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rPr>
        <w:t>信访事务追加2023</w:t>
      </w:r>
      <w:r>
        <w:rPr>
          <w:rFonts w:hint="eastAsia" w:eastAsia="方正楷体简体"/>
          <w:b/>
          <w:bCs/>
          <w:kern w:val="0"/>
          <w:sz w:val="32"/>
          <w:szCs w:val="32"/>
        </w:rPr>
        <w:t>）</w:t>
      </w:r>
    </w:p>
    <w:p>
      <w:pPr>
        <w:spacing w:line="620" w:lineRule="exact"/>
        <w:rPr>
          <w:rFonts w:hint="default" w:eastAsia="宋体"/>
          <w:sz w:val="24"/>
          <w:lang w:val="en-US" w:eastAsia="zh-CN"/>
        </w:rPr>
      </w:pPr>
      <w:r>
        <w:rPr>
          <w:rFonts w:hint="eastAsia"/>
          <w:bCs/>
          <w:kern w:val="0"/>
          <w:sz w:val="24"/>
        </w:rPr>
        <w:t>预算单位名称：</w:t>
      </w:r>
      <w:r>
        <w:rPr>
          <w:rFonts w:hint="eastAsia"/>
          <w:bCs/>
          <w:kern w:val="0"/>
          <w:sz w:val="24"/>
          <w:lang w:eastAsia="zh-CN"/>
        </w:rPr>
        <w:t>乐至县信访局</w:t>
      </w:r>
      <w:r>
        <w:rPr>
          <w:rFonts w:hint="eastAsia"/>
          <w:bCs/>
          <w:kern w:val="0"/>
          <w:sz w:val="24"/>
          <w:lang w:val="en-US" w:eastAsia="zh-CN"/>
        </w:rPr>
        <w:t xml:space="preserve">      </w:t>
      </w:r>
      <w:r>
        <w:rPr>
          <w:rFonts w:hint="eastAsia"/>
          <w:bCs/>
          <w:kern w:val="0"/>
          <w:sz w:val="24"/>
        </w:rPr>
        <w:t>预算单位编码：</w:t>
      </w:r>
      <w:r>
        <w:rPr>
          <w:rFonts w:hint="eastAsia"/>
          <w:bCs/>
          <w:kern w:val="0"/>
          <w:sz w:val="24"/>
          <w:lang w:val="en-US" w:eastAsia="zh-CN"/>
        </w:rPr>
        <w:t>111001</w:t>
      </w:r>
      <w:r>
        <w:rPr>
          <w:bCs/>
          <w:kern w:val="0"/>
          <w:sz w:val="24"/>
        </w:rPr>
        <w:t xml:space="preserve">  </w:t>
      </w:r>
      <w:r>
        <w:rPr>
          <w:rFonts w:hint="eastAsia"/>
          <w:bCs/>
          <w:kern w:val="0"/>
          <w:sz w:val="24"/>
          <w:lang w:val="en-US" w:eastAsia="zh-CN"/>
        </w:rPr>
        <w:t xml:space="preserve">   </w:t>
      </w:r>
      <w:r>
        <w:rPr>
          <w:rFonts w:hint="eastAsia"/>
          <w:bCs/>
          <w:kern w:val="0"/>
          <w:sz w:val="24"/>
        </w:rPr>
        <w:t>自评等级：</w:t>
      </w:r>
      <w:r>
        <w:rPr>
          <w:rFonts w:hint="eastAsia"/>
          <w:bCs/>
          <w:kern w:val="0"/>
          <w:sz w:val="24"/>
          <w:lang w:val="en-US" w:eastAsia="zh-CN"/>
        </w:rPr>
        <w:t>95</w:t>
      </w:r>
    </w:p>
    <w:tbl>
      <w:tblPr>
        <w:tblStyle w:val="18"/>
        <w:tblW w:w="524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16"/>
        <w:gridCol w:w="474"/>
        <w:gridCol w:w="474"/>
        <w:gridCol w:w="1761"/>
        <w:gridCol w:w="2360"/>
        <w:gridCol w:w="635"/>
        <w:gridCol w:w="33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16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4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26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4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77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40" w:type="pct"/>
            <w:noWrap/>
            <w:vAlign w:val="center"/>
          </w:tcPr>
          <w:p>
            <w:pPr>
              <w:widowControl/>
              <w:spacing w:line="240" w:lineRule="exact"/>
              <w:ind w:firstLine="210" w:firstLineChars="100"/>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kern w:val="0"/>
                <w:szCs w:val="21"/>
                <w:lang w:eastAsia="zh-CN"/>
              </w:rPr>
            </w:pPr>
            <w:r>
              <w:rPr>
                <w:rFonts w:hint="eastAsia"/>
                <w:kern w:val="0"/>
                <w:szCs w:val="21"/>
              </w:rPr>
              <w:t>　</w:t>
            </w:r>
            <w:r>
              <w:rPr>
                <w:rFonts w:hint="eastAsia"/>
                <w:kern w:val="0"/>
                <w:szCs w:val="21"/>
                <w:lang w:eastAsia="zh-CN"/>
              </w:rPr>
              <w:t>项目的申请、设立严格按</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lang w:eastAsia="zh-CN"/>
              </w:rPr>
              <w:t>照相关规定进行。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项目所设定的绩效目标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符合国家相关法律规</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定，且符合客观事实。</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绩效目标设定的绩效指标清</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lang w:eastAsia="zh-CN"/>
              </w:rPr>
              <w:t>晰、细化、可衡量。</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资金到位率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23万元</w:t>
            </w:r>
            <w:r>
              <w:t>/</w:t>
            </w:r>
            <w:r>
              <w:rPr>
                <w:rFonts w:hint="eastAsia"/>
                <w:lang w:val="en-US" w:eastAsia="zh-CN"/>
              </w:rPr>
              <w:t>23万元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到位及时率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23万元</w:t>
            </w:r>
            <w:r>
              <w:t>/</w:t>
            </w:r>
            <w:r>
              <w:rPr>
                <w:rFonts w:hint="eastAsia"/>
                <w:lang w:val="en-US" w:eastAsia="zh-CN"/>
              </w:rPr>
              <w:t>23万元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169"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已制定合法、合规、完整的</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管理制度。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制度执行按照相关法律法规和</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业务管理规定进行，并且相</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关资料都落实到位。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已制定相应的项目质量标准，</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采取了相应的控制措施。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已制定符合相关财务会计制度</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规定的资金管理办法。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7</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项目资金使用符合相关的财务</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管理制度规定。</w:t>
            </w:r>
          </w:p>
          <w:p>
            <w:pPr>
              <w:pStyle w:val="10"/>
              <w:keepNext w:val="0"/>
              <w:keepLines w:val="0"/>
              <w:pageBreakBefore w:val="0"/>
              <w:kinsoku/>
              <w:wordWrap/>
              <w:overflowPunct/>
              <w:topLinePunct w:val="0"/>
              <w:autoSpaceDE/>
              <w:autoSpaceDN/>
              <w:bidi w:val="0"/>
              <w:spacing w:line="240" w:lineRule="auto"/>
              <w:ind w:left="0" w:leftChars="0" w:firstLine="0" w:firstLineChars="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2</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已具有相应的财务监控机制，</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并采取了必要的监控措施。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264"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实际完成率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派驻驻京工作组</w:t>
            </w:r>
            <w:r>
              <w:t>/</w:t>
            </w:r>
            <w:r>
              <w:rPr>
                <w:rFonts w:hint="eastAsia"/>
                <w:lang w:eastAsia="zh-CN"/>
              </w:rPr>
              <w:t>派驻驻京工作组</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spacing w:val="-14"/>
                <w:kern w:val="0"/>
                <w:szCs w:val="21"/>
                <w:lang w:eastAsia="zh-CN"/>
              </w:rPr>
              <w:t>（实际完成率</w:t>
            </w:r>
            <w:r>
              <w:rPr>
                <w:rFonts w:hint="eastAsia"/>
                <w:spacing w:val="-14"/>
                <w:kern w:val="0"/>
                <w:szCs w:val="21"/>
                <w:lang w:val="en-US" w:eastAsia="zh-CN"/>
              </w:rPr>
              <w:t>100%</w:t>
            </w:r>
            <w:r>
              <w:rPr>
                <w:rFonts w:hint="eastAsia"/>
                <w:spacing w:val="-14"/>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完成及时率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val="en-US" w:eastAsia="zh-CN"/>
              </w:rPr>
              <w:t>2023年</w:t>
            </w:r>
            <w:r>
              <w:t>-</w:t>
            </w:r>
            <w:r>
              <w:rPr>
                <w:rFonts w:hint="eastAsia"/>
                <w:lang w:val="en-US" w:eastAsia="zh-CN"/>
              </w:rPr>
              <w:t>2023年底</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rPr>
                <w:rFonts w:hint="eastAsia"/>
              </w:rPr>
              <w:t>）</w:t>
            </w:r>
            <w:r>
              <w:t>/</w:t>
            </w:r>
            <w:r>
              <w:rPr>
                <w:rFonts w:hint="eastAsia"/>
                <w:lang w:val="en-US" w:eastAsia="zh-CN"/>
              </w:rPr>
              <w:t>2023年</w:t>
            </w:r>
            <w:r>
              <w:t>]</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（完成及时率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质量达标率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进京人数</w:t>
            </w:r>
            <w:r>
              <w:rPr>
                <w:rFonts w:hint="eastAsia"/>
                <w:lang w:val="en-US" w:eastAsia="zh-CN"/>
              </w:rPr>
              <w:t>5/进京人数5</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（质量达标率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成本节约率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23万元</w:t>
            </w:r>
            <w:r>
              <w:t>-</w:t>
            </w:r>
            <w:r>
              <w:rPr>
                <w:rFonts w:hint="eastAsia"/>
                <w:lang w:val="en-US" w:eastAsia="zh-CN"/>
              </w:rPr>
              <w:t>23万元</w:t>
            </w:r>
            <w:r>
              <w:rPr>
                <w:rFonts w:hint="eastAsia"/>
              </w:rPr>
              <w:t>）</w:t>
            </w:r>
            <w:r>
              <w:t>/</w:t>
            </w:r>
            <w:r>
              <w:rPr>
                <w:rFonts w:hint="eastAsia"/>
                <w:lang w:val="en-US" w:eastAsia="zh-CN"/>
              </w:rPr>
              <w:t>23万元</w:t>
            </w:r>
            <w:r>
              <w:t>]</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(节约)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264"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达到预期的经济效益。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维护社会稳定，社会效益好。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ascii="Times New Roman" w:hAnsi="Times New Roman" w:eastAsia="宋体" w:cs="Times New Roman"/>
                <w:kern w:val="0"/>
                <w:sz w:val="21"/>
                <w:szCs w:val="21"/>
                <w:lang w:val="en-US" w:eastAsia="zh-CN" w:bidi="ar-SA"/>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维护社会长治久安，可持续性好。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10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服务对象评价满意。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2884"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40"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95</w:t>
            </w:r>
          </w:p>
        </w:tc>
        <w:tc>
          <w:tcPr>
            <w:tcW w:w="177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hint="eastAsia" w:eastAsia="方正黑体简体"/>
          <w:sz w:val="32"/>
          <w:szCs w:val="32"/>
          <w:lang w:val="en-US" w:eastAsia="zh-CN"/>
        </w:rPr>
        <w:t>5-</w:t>
      </w:r>
      <w:r>
        <w:rPr>
          <w:rFonts w:eastAsia="方正黑体简体"/>
          <w:sz w:val="32"/>
          <w:szCs w:val="32"/>
        </w:rPr>
        <w:t>2</w:t>
      </w:r>
    </w:p>
    <w:p>
      <w:pPr>
        <w:spacing w:line="620" w:lineRule="exact"/>
        <w:jc w:val="center"/>
        <w:rPr>
          <w:rFonts w:eastAsia="方正小标宋简体"/>
          <w:color w:val="000000"/>
          <w:spacing w:val="-12"/>
          <w:kern w:val="0"/>
          <w:sz w:val="36"/>
          <w:szCs w:val="36"/>
        </w:rPr>
      </w:pPr>
      <w:r>
        <w:rPr>
          <w:rFonts w:hint="eastAsia" w:eastAsia="方正小标宋简体"/>
          <w:color w:val="000000"/>
          <w:spacing w:val="-12"/>
          <w:kern w:val="0"/>
          <w:sz w:val="36"/>
          <w:szCs w:val="36"/>
          <w:lang w:eastAsia="zh-CN"/>
        </w:rPr>
        <w:t>2023年</w:t>
      </w:r>
      <w:r>
        <w:rPr>
          <w:rFonts w:hint="eastAsia" w:eastAsia="方正小标宋简体"/>
          <w:color w:val="000000"/>
          <w:spacing w:val="-12"/>
          <w:kern w:val="0"/>
          <w:sz w:val="36"/>
          <w:szCs w:val="36"/>
        </w:rPr>
        <w:t>度乐至县项目支出绩效目标完成情况表</w:t>
      </w:r>
    </w:p>
    <w:p>
      <w:pPr>
        <w:pStyle w:val="7"/>
        <w:spacing w:line="240" w:lineRule="exact"/>
        <w:rPr>
          <w:rFonts w:ascii="宋体"/>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43"/>
        <w:gridCol w:w="1395"/>
        <w:gridCol w:w="1030"/>
        <w:gridCol w:w="1454"/>
        <w:gridCol w:w="1133"/>
        <w:gridCol w:w="1427"/>
        <w:gridCol w:w="18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rFonts w:hint="default" w:eastAsia="宋体"/>
                <w:color w:val="000000"/>
                <w:kern w:val="0"/>
                <w:szCs w:val="21"/>
                <w:lang w:val="en-US" w:eastAsia="zh-CN"/>
              </w:rPr>
            </w:pPr>
            <w:r>
              <w:rPr>
                <w:rFonts w:hint="eastAsia" w:cs="宋体"/>
                <w:color w:val="auto"/>
                <w:kern w:val="0"/>
                <w:szCs w:val="21"/>
                <w:lang w:eastAsia="zh-CN" w:bidi="ar"/>
              </w:rPr>
              <w:t>信访事务追加</w:t>
            </w:r>
            <w:r>
              <w:rPr>
                <w:rFonts w:hint="eastAsia" w:cs="宋体"/>
                <w:color w:val="auto"/>
                <w:kern w:val="0"/>
                <w:szCs w:val="21"/>
                <w:lang w:val="en-US" w:eastAsia="zh-CN" w:bidi="ar"/>
              </w:rPr>
              <w:t>2023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乐至县信访局</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111001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w:t>
            </w:r>
            <w:r>
              <w:rPr>
                <w:rFonts w:hint="eastAsia"/>
                <w:lang w:val="en-US" w:eastAsia="zh-CN"/>
              </w:rPr>
              <w:t>23</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lang w:val="en-US" w:eastAsia="zh-CN"/>
              </w:rPr>
              <w:t>23</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23</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23</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rFonts w:hint="default"/>
                <w:color w:val="000000"/>
                <w:kern w:val="0"/>
                <w:szCs w:val="21"/>
                <w:lang w:val="en-US"/>
              </w:rPr>
            </w:pPr>
            <w:r>
              <w:rPr>
                <w:rFonts w:hint="default"/>
                <w:color w:val="000000"/>
                <w:kern w:val="0"/>
                <w:szCs w:val="21"/>
                <w:lang w:val="en-US"/>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23</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23</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w:t>
            </w:r>
            <w:r>
              <w:rPr>
                <w:rFonts w:hint="eastAsia"/>
                <w:lang w:val="en-US" w:eastAsia="zh-CN"/>
              </w:rPr>
              <w:t>23</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lang w:val="en-US" w:eastAsia="zh-CN"/>
              </w:rPr>
              <w:t>23</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目标</w:t>
            </w:r>
            <w:r>
              <w:rPr>
                <w:color w:val="000000"/>
                <w:kern w:val="0"/>
                <w:szCs w:val="21"/>
              </w:rPr>
              <w:t>1:</w:t>
            </w:r>
            <w:r>
              <w:rPr>
                <w:rFonts w:hint="eastAsia"/>
                <w:color w:val="000000"/>
                <w:kern w:val="0"/>
                <w:szCs w:val="21"/>
                <w:lang w:eastAsia="zh-CN"/>
              </w:rPr>
              <w:t>确保全国省市两会期间社会和谐稳定</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目标</w:t>
            </w:r>
            <w:r>
              <w:rPr>
                <w:rFonts w:hint="eastAsia"/>
                <w:color w:val="000000"/>
                <w:kern w:val="0"/>
                <w:szCs w:val="21"/>
                <w:lang w:val="en-US" w:eastAsia="zh-CN"/>
              </w:rPr>
              <w:t>2：控制越级访进京访</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3：</w:t>
            </w:r>
            <w:r>
              <w:rPr>
                <w:rFonts w:hint="eastAsia" w:eastAsia="宋体"/>
                <w:kern w:val="0"/>
                <w:sz w:val="21"/>
                <w:szCs w:val="21"/>
              </w:rPr>
              <w:t>进一步促进党和人民群众的血肉联系，提高了人民群众满意度。</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派遣驻京工作组</w:t>
            </w:r>
          </w:p>
        </w:tc>
        <w:tc>
          <w:tcPr>
            <w:tcW w:w="0" w:type="auto"/>
            <w:noWrap/>
            <w:vAlign w:val="center"/>
          </w:tcPr>
          <w:p>
            <w:pPr>
              <w:widowControl/>
              <w:spacing w:line="240" w:lineRule="exact"/>
              <w:ind w:firstLine="210" w:firstLineChars="100"/>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10</w:t>
            </w:r>
          </w:p>
        </w:tc>
        <w:tc>
          <w:tcPr>
            <w:tcW w:w="0" w:type="auto"/>
            <w:noWrap/>
            <w:vAlign w:val="center"/>
          </w:tcPr>
          <w:p>
            <w:pPr>
              <w:widowControl/>
              <w:spacing w:line="240" w:lineRule="exact"/>
              <w:ind w:firstLine="420" w:firstLineChars="200"/>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控制越级访，减少进京访人数</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15人</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5人</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2:</w:t>
            </w:r>
            <w:r>
              <w:rPr>
                <w:rFonts w:hint="eastAsia" w:eastAsia="宋体"/>
                <w:kern w:val="0"/>
                <w:sz w:val="24"/>
                <w:szCs w:val="24"/>
                <w:lang w:eastAsia="zh-CN"/>
              </w:rPr>
              <w:t>重要敏感节点第一时间劝返</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信访事项按期办结率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重点群体信访维稳工作经费</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lang w:val="en-US" w:eastAsia="zh-CN"/>
              </w:rPr>
              <w:t>23万元</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lang w:val="en-US" w:eastAsia="zh-CN"/>
              </w:rPr>
              <w:t>23万元</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促进经济发展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维护社会稳定，提升群众满意度</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促进社会可持续发展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特殊疑难信访群体满意率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
    <w:p>
      <w:pPr>
        <w:spacing w:line="580" w:lineRule="exact"/>
        <w:ind w:firstLine="880" w:firstLineChars="200"/>
        <w:jc w:val="center"/>
        <w:rPr>
          <w:rFonts w:eastAsia="方正小标宋简体"/>
          <w:sz w:val="44"/>
          <w:szCs w:val="44"/>
        </w:rPr>
      </w:pPr>
    </w:p>
    <w:p>
      <w:pPr>
        <w:keepNext w:val="0"/>
        <w:keepLines w:val="0"/>
        <w:pageBreakBefore w:val="0"/>
        <w:kinsoku/>
        <w:wordWrap/>
        <w:overflowPunct/>
        <w:topLinePunct w:val="0"/>
        <w:autoSpaceDE/>
        <w:autoSpaceDN/>
        <w:bidi w:val="0"/>
        <w:spacing w:line="590" w:lineRule="exact"/>
        <w:jc w:val="both"/>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附件6</w:t>
      </w:r>
    </w:p>
    <w:p>
      <w:pPr>
        <w:keepNext w:val="0"/>
        <w:keepLines w:val="0"/>
        <w:pageBreakBefore w:val="0"/>
        <w:kinsoku/>
        <w:wordWrap/>
        <w:overflowPunct/>
        <w:topLinePunct w:val="0"/>
        <w:autoSpaceDE/>
        <w:autoSpaceDN/>
        <w:bidi w:val="0"/>
        <w:spacing w:line="590" w:lineRule="exact"/>
        <w:ind w:firstLine="3520" w:firstLineChars="800"/>
        <w:jc w:val="both"/>
        <w:textAlignment w:val="auto"/>
        <w:rPr>
          <w:rFonts w:hint="eastAsia" w:eastAsia="方正小标宋简体"/>
          <w:sz w:val="44"/>
          <w:szCs w:val="44"/>
          <w:lang w:val="en-US" w:eastAsia="zh-CN"/>
        </w:rPr>
      </w:pPr>
      <w:r>
        <w:rPr>
          <w:rFonts w:hint="eastAsia" w:eastAsia="方正小标宋简体"/>
          <w:sz w:val="44"/>
          <w:szCs w:val="44"/>
          <w:lang w:val="en-US" w:eastAsia="zh-CN"/>
        </w:rPr>
        <w:t>乐至县信访局</w:t>
      </w:r>
    </w:p>
    <w:p>
      <w:pPr>
        <w:keepNext w:val="0"/>
        <w:keepLines w:val="0"/>
        <w:pageBreakBefore w:val="0"/>
        <w:kinsoku/>
        <w:wordWrap/>
        <w:overflowPunct/>
        <w:topLinePunct w:val="0"/>
        <w:autoSpaceDE/>
        <w:autoSpaceDN/>
        <w:bidi w:val="0"/>
        <w:spacing w:line="590" w:lineRule="exact"/>
        <w:ind w:firstLine="880" w:firstLineChars="200"/>
        <w:jc w:val="center"/>
        <w:textAlignment w:val="auto"/>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年项目支出绩效自评报告</w:t>
      </w:r>
    </w:p>
    <w:p>
      <w:pPr>
        <w:keepNext w:val="0"/>
        <w:keepLines w:val="0"/>
        <w:pageBreakBefore w:val="0"/>
        <w:kinsoku/>
        <w:wordWrap/>
        <w:overflowPunct/>
        <w:topLinePunct w:val="0"/>
        <w:autoSpaceDE/>
        <w:autoSpaceDN/>
        <w:bidi w:val="0"/>
        <w:spacing w:line="590" w:lineRule="exact"/>
        <w:jc w:val="center"/>
        <w:textAlignment w:val="auto"/>
        <w:rPr>
          <w:rFonts w:eastAsia="方正楷体简体"/>
          <w:b/>
          <w:sz w:val="32"/>
          <w:szCs w:val="32"/>
        </w:rPr>
      </w:pPr>
      <w:r>
        <w:rPr>
          <w:rFonts w:hint="eastAsia" w:eastAsia="方正楷体简体"/>
          <w:b/>
          <w:sz w:val="32"/>
          <w:szCs w:val="32"/>
        </w:rPr>
        <w:t>（</w:t>
      </w:r>
      <w:r>
        <w:rPr>
          <w:rFonts w:hint="eastAsia" w:cs="宋体"/>
          <w:color w:val="auto"/>
          <w:kern w:val="0"/>
          <w:szCs w:val="21"/>
        </w:rPr>
        <w:t>重点群体信访维稳工作经费</w:t>
      </w:r>
      <w:r>
        <w:rPr>
          <w:rFonts w:hint="eastAsia" w:eastAsia="方正楷体简体"/>
          <w:b/>
          <w:sz w:val="32"/>
          <w:szCs w:val="32"/>
        </w:rPr>
        <w:t>）</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p>
    <w:p>
      <w:pPr>
        <w:keepNext w:val="0"/>
        <w:keepLines w:val="0"/>
        <w:pageBreakBefore w:val="0"/>
        <w:kinsoku/>
        <w:wordWrap/>
        <w:overflowPunct/>
        <w:topLinePunct w:val="0"/>
        <w:autoSpaceDE/>
        <w:autoSpaceDN/>
        <w:bidi w:val="0"/>
        <w:spacing w:line="590" w:lineRule="exact"/>
        <w:jc w:val="center"/>
        <w:textAlignment w:val="auto"/>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黑体简体"/>
          <w:sz w:val="32"/>
          <w:szCs w:val="32"/>
        </w:rPr>
      </w:pPr>
      <w:r>
        <w:rPr>
          <w:rFonts w:hint="eastAsia" w:eastAsia="方正黑体简体"/>
          <w:sz w:val="32"/>
          <w:szCs w:val="32"/>
        </w:rPr>
        <w:t>一、项目基本情况</w:t>
      </w:r>
    </w:p>
    <w:p>
      <w:pPr>
        <w:keepNext w:val="0"/>
        <w:keepLines w:val="0"/>
        <w:pageBreakBefore w:val="0"/>
        <w:kinsoku/>
        <w:wordWrap/>
        <w:overflowPunct/>
        <w:topLinePunct w:val="0"/>
        <w:autoSpaceDE/>
        <w:autoSpaceDN/>
        <w:bidi w:val="0"/>
        <w:spacing w:line="590" w:lineRule="exact"/>
        <w:ind w:firstLine="643" w:firstLineChars="200"/>
        <w:textAlignment w:val="auto"/>
        <w:rPr>
          <w:rFonts w:eastAsia="方正楷体简体"/>
          <w:b/>
          <w:sz w:val="32"/>
          <w:szCs w:val="32"/>
        </w:rPr>
      </w:pPr>
      <w:r>
        <w:rPr>
          <w:rFonts w:hint="eastAsia" w:eastAsia="方正楷体简体"/>
          <w:b/>
          <w:sz w:val="32"/>
          <w:szCs w:val="32"/>
        </w:rPr>
        <w:t>（一）概况</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keepNext w:val="0"/>
        <w:keepLines w:val="0"/>
        <w:pageBreakBefore w:val="0"/>
        <w:kinsoku/>
        <w:wordWrap/>
        <w:overflowPunct/>
        <w:topLinePunct w:val="0"/>
        <w:autoSpaceDE/>
        <w:autoSpaceDN/>
        <w:bidi w:val="0"/>
        <w:adjustRightInd w:val="0"/>
        <w:snapToGrid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为减少矛盾上行，控制信访存量，减少信访增量，着力解决一批信访“无头案、钉子案、骨头案”，按照“三到位一处理”要求，解</w:t>
      </w:r>
      <w:r>
        <w:rPr>
          <w:rFonts w:hint="eastAsia" w:ascii="仿宋_GB2312" w:hAnsi="宋体" w:eastAsia="仿宋_GB2312"/>
          <w:sz w:val="32"/>
          <w:szCs w:val="32"/>
        </w:rPr>
        <w:t>决特殊疑难信访问题，</w:t>
      </w:r>
      <w:r>
        <w:rPr>
          <w:rFonts w:hint="eastAsia" w:eastAsia="方正仿宋简体"/>
          <w:sz w:val="32"/>
          <w:szCs w:val="32"/>
        </w:rPr>
        <w:t>确保重要敏感节点社会稳定，促进社会和谐</w:t>
      </w:r>
      <w:r>
        <w:rPr>
          <w:rFonts w:hint="eastAsia" w:eastAsia="方正仿宋简体"/>
          <w:sz w:val="32"/>
          <w:szCs w:val="32"/>
          <w:lang w:eastAsia="zh-CN"/>
        </w:rPr>
        <w:t>稳定发展</w:t>
      </w:r>
      <w:r>
        <w:rPr>
          <w:rFonts w:hint="eastAsia" w:eastAsia="方正仿宋简体"/>
          <w:sz w:val="32"/>
          <w:szCs w:val="32"/>
        </w:rPr>
        <w:t>。</w:t>
      </w:r>
    </w:p>
    <w:p>
      <w:pPr>
        <w:keepNext w:val="0"/>
        <w:keepLines w:val="0"/>
        <w:pageBreakBefore w:val="0"/>
        <w:numPr>
          <w:ilvl w:val="0"/>
          <w:numId w:val="9"/>
        </w:numPr>
        <w:kinsoku/>
        <w:wordWrap/>
        <w:overflowPunct/>
        <w:topLinePunct w:val="0"/>
        <w:autoSpaceDE/>
        <w:autoSpaceDN/>
        <w:bidi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预算资金来源及使用情况</w:t>
      </w:r>
    </w:p>
    <w:p>
      <w:pPr>
        <w:keepNext w:val="0"/>
        <w:keepLines w:val="0"/>
        <w:pageBreakBefore w:val="0"/>
        <w:numPr>
          <w:ilvl w:val="0"/>
          <w:numId w:val="0"/>
        </w:numPr>
        <w:kinsoku/>
        <w:wordWrap/>
        <w:overflowPunct/>
        <w:topLinePunct w:val="0"/>
        <w:autoSpaceDE/>
        <w:autoSpaceDN/>
        <w:bidi w:val="0"/>
        <w:adjustRightInd w:val="0"/>
        <w:snapToGrid w:val="0"/>
        <w:spacing w:line="590" w:lineRule="exact"/>
        <w:ind w:firstLine="640" w:firstLineChars="200"/>
        <w:textAlignment w:val="auto"/>
        <w:rPr>
          <w:rFonts w:hint="default"/>
          <w:lang w:val="en-US"/>
        </w:rPr>
      </w:pPr>
      <w:r>
        <w:rPr>
          <w:rFonts w:hint="eastAsia" w:ascii="仿宋_GB2312" w:hAnsi="宋体" w:eastAsia="仿宋_GB2312"/>
          <w:sz w:val="32"/>
          <w:szCs w:val="32"/>
          <w:lang w:eastAsia="zh-CN"/>
        </w:rPr>
        <w:t>资金为县级财政资金。</w:t>
      </w:r>
      <w:r>
        <w:rPr>
          <w:rFonts w:hint="eastAsia" w:ascii="仿宋_GB2312" w:hAnsi="宋体" w:eastAsia="仿宋_GB2312"/>
          <w:sz w:val="32"/>
          <w:szCs w:val="32"/>
          <w:lang w:val="en-US" w:eastAsia="zh-CN"/>
        </w:rPr>
        <w:t>2023年县信访局项目支出预算100万，其中</w:t>
      </w:r>
      <w:r>
        <w:rPr>
          <w:rFonts w:hint="eastAsia" w:ascii="仿宋_GB2312" w:hAnsi="宋体" w:eastAsia="仿宋_GB2312"/>
          <w:sz w:val="32"/>
          <w:szCs w:val="32"/>
        </w:rPr>
        <w:t>重点群体信访维稳工作经费</w:t>
      </w:r>
      <w:r>
        <w:rPr>
          <w:rFonts w:hint="eastAsia" w:ascii="仿宋_GB2312" w:hAnsi="宋体" w:eastAsia="仿宋_GB2312"/>
          <w:sz w:val="32"/>
          <w:szCs w:val="32"/>
          <w:lang w:val="en-US" w:eastAsia="zh-CN"/>
        </w:rPr>
        <w:t>10万元，截止2023年底，该项目资金已完成预算100%。</w:t>
      </w:r>
    </w:p>
    <w:p>
      <w:pPr>
        <w:keepNext w:val="0"/>
        <w:keepLines w:val="0"/>
        <w:pageBreakBefore w:val="0"/>
        <w:numPr>
          <w:ilvl w:val="0"/>
          <w:numId w:val="9"/>
        </w:numPr>
        <w:kinsoku/>
        <w:wordWrap/>
        <w:overflowPunct/>
        <w:topLinePunct w:val="0"/>
        <w:autoSpaceDE/>
        <w:autoSpaceDN/>
        <w:bidi w:val="0"/>
        <w:spacing w:line="590" w:lineRule="exact"/>
        <w:ind w:left="0" w:leftChars="0" w:firstLine="640" w:firstLineChars="200"/>
        <w:textAlignment w:val="auto"/>
        <w:rPr>
          <w:rFonts w:hint="eastAsia" w:eastAsia="方正仿宋简体"/>
          <w:sz w:val="32"/>
          <w:szCs w:val="32"/>
        </w:rPr>
      </w:pPr>
      <w:r>
        <w:rPr>
          <w:rFonts w:hint="eastAsia" w:eastAsia="方正仿宋简体"/>
          <w:sz w:val="32"/>
          <w:szCs w:val="32"/>
        </w:rPr>
        <w:t>实施情况（项目完成情况）</w:t>
      </w:r>
    </w:p>
    <w:p>
      <w:pPr>
        <w:keepNext w:val="0"/>
        <w:keepLines w:val="0"/>
        <w:pageBreakBefore w:val="0"/>
        <w:kinsoku/>
        <w:wordWrap/>
        <w:overflowPunct/>
        <w:topLinePunct w:val="0"/>
        <w:autoSpaceDE/>
        <w:autoSpaceDN/>
        <w:bidi w:val="0"/>
        <w:snapToGrid w:val="0"/>
        <w:spacing w:line="590" w:lineRule="exact"/>
        <w:ind w:left="0" w:leftChars="0" w:firstLine="640" w:firstLineChars="200"/>
        <w:textAlignment w:val="auto"/>
        <w:rPr>
          <w:rFonts w:hint="eastAsia" w:ascii="仿宋_GB2312" w:hAnsi="宋体" w:eastAsia="仿宋_GB2312"/>
          <w:sz w:val="32"/>
          <w:szCs w:val="32"/>
          <w:lang w:val="en-US" w:eastAsia="zh-CN"/>
        </w:rPr>
      </w:pPr>
      <w:r>
        <w:rPr>
          <w:rFonts w:hint="eastAsia" w:ascii="方正仿宋简体" w:hAnsi="方正仿宋简体" w:eastAsia="方正仿宋简体" w:cs="方正仿宋简体"/>
          <w:kern w:val="2"/>
          <w:sz w:val="32"/>
          <w:szCs w:val="32"/>
          <w:lang w:val="en-US" w:eastAsia="zh-CN" w:bidi="ar-SA"/>
        </w:rPr>
        <w:t>为完成特定的行政工作任务，</w:t>
      </w:r>
      <w:r>
        <w:rPr>
          <w:rFonts w:hint="eastAsia" w:ascii="仿宋_GB2312" w:hAnsi="宋体" w:eastAsia="仿宋_GB2312"/>
          <w:sz w:val="32"/>
          <w:szCs w:val="32"/>
          <w:lang w:val="en-US" w:eastAsia="zh-CN"/>
        </w:rPr>
        <w:t>重大敏感政治活动处访工作经费用于</w:t>
      </w:r>
      <w:r>
        <w:rPr>
          <w:rFonts w:hint="eastAsia" w:ascii="仿宋_GB2312" w:hAnsi="宋体" w:eastAsia="仿宋_GB2312"/>
          <w:sz w:val="32"/>
          <w:szCs w:val="32"/>
        </w:rPr>
        <w:t>重点群体信访维稳</w:t>
      </w:r>
      <w:r>
        <w:rPr>
          <w:rFonts w:hint="eastAsia" w:ascii="仿宋_GB2312" w:hAnsi="宋体" w:eastAsia="仿宋_GB2312"/>
          <w:sz w:val="32"/>
          <w:szCs w:val="32"/>
          <w:lang w:val="en-US" w:eastAsia="zh-CN"/>
        </w:rPr>
        <w:t>工作。</w:t>
      </w:r>
    </w:p>
    <w:p>
      <w:pPr>
        <w:keepNext w:val="0"/>
        <w:keepLines w:val="0"/>
        <w:pageBreakBefore w:val="0"/>
        <w:numPr>
          <w:ilvl w:val="0"/>
          <w:numId w:val="9"/>
        </w:numPr>
        <w:kinsoku/>
        <w:wordWrap/>
        <w:overflowPunct/>
        <w:topLinePunct w:val="0"/>
        <w:autoSpaceDE/>
        <w:autoSpaceDN/>
        <w:bidi w:val="0"/>
        <w:spacing w:line="590" w:lineRule="exact"/>
        <w:ind w:left="0" w:leftChars="0" w:firstLine="640" w:firstLineChars="200"/>
        <w:textAlignment w:val="auto"/>
        <w:rPr>
          <w:rFonts w:hint="eastAsia" w:eastAsia="方正仿宋简体"/>
          <w:sz w:val="32"/>
          <w:szCs w:val="32"/>
        </w:rPr>
      </w:pPr>
      <w:r>
        <w:rPr>
          <w:rFonts w:hint="eastAsia" w:eastAsia="方正仿宋简体"/>
          <w:sz w:val="32"/>
          <w:szCs w:val="32"/>
        </w:rPr>
        <w:t>组织及管理（项目组织、管理流程及实际执行情况）</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）项目组织情况</w:t>
      </w:r>
      <w:r>
        <w:rPr>
          <w:rFonts w:hint="eastAsia" w:ascii="方正仿宋简体" w:hAnsi="方正仿宋简体" w:eastAsia="方正仿宋简体" w:cs="方正仿宋简体"/>
          <w:sz w:val="32"/>
          <w:szCs w:val="32"/>
          <w:lang w:eastAsia="zh-CN"/>
        </w:rPr>
        <w:t>：按照乐至县信访局财政项目支出绩效评价评分表逐项对照检查，查看绩效完成情况。</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）项目管理情况</w:t>
      </w:r>
      <w:r>
        <w:rPr>
          <w:rFonts w:hint="eastAsia" w:ascii="方正仿宋简体" w:hAnsi="方正仿宋简体" w:eastAsia="方正仿宋简体" w:cs="方正仿宋简体"/>
          <w:sz w:val="32"/>
          <w:szCs w:val="32"/>
          <w:lang w:eastAsia="zh-CN"/>
        </w:rPr>
        <w:t>：严格执行财务规章制度，确保每项财务工作的开展均“有法可依、有据可循”。通过严格执行财经纪律和财务制度，加强财务管理，规范财务行为，严格项目资金使用申报程序，按照工作进度细化资金使用计划，根据项目实施进度进行资金拨付，确保项目经费预算执行到位，发挥资金使用效率。</w:t>
      </w:r>
    </w:p>
    <w:p>
      <w:pPr>
        <w:pStyle w:val="2"/>
        <w:keepNext w:val="0"/>
        <w:keepLines w:val="0"/>
        <w:pageBreakBefore w:val="0"/>
        <w:numPr>
          <w:ilvl w:val="0"/>
          <w:numId w:val="0"/>
        </w:numPr>
        <w:kinsoku/>
        <w:wordWrap/>
        <w:overflowPunct/>
        <w:topLinePunct w:val="0"/>
        <w:autoSpaceDE/>
        <w:autoSpaceDN/>
        <w:bidi w:val="0"/>
        <w:spacing w:line="590" w:lineRule="exact"/>
        <w:ind w:leftChars="200"/>
        <w:textAlignment w:val="auto"/>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）项目组织实施的实际情况与目标</w:t>
      </w:r>
      <w:r>
        <w:rPr>
          <w:rFonts w:hint="eastAsia" w:ascii="方正仿宋简体" w:hAnsi="方正仿宋简体" w:eastAsia="方正仿宋简体" w:cs="方正仿宋简体"/>
          <w:sz w:val="32"/>
          <w:szCs w:val="32"/>
          <w:lang w:eastAsia="zh-CN"/>
        </w:rPr>
        <w:t>完成情况无</w:t>
      </w:r>
      <w:r>
        <w:rPr>
          <w:rFonts w:hint="eastAsia" w:ascii="方正仿宋简体" w:hAnsi="方正仿宋简体" w:eastAsia="方正仿宋简体" w:cs="方正仿宋简体"/>
          <w:sz w:val="32"/>
          <w:szCs w:val="32"/>
        </w:rPr>
        <w:t>差异</w:t>
      </w:r>
      <w:r>
        <w:rPr>
          <w:rFonts w:hint="eastAsia" w:ascii="方正仿宋简体" w:hAnsi="方正仿宋简体" w:eastAsia="方正仿宋简体" w:cs="方正仿宋简体"/>
          <w:sz w:val="32"/>
          <w:szCs w:val="32"/>
          <w:lang w:eastAsia="zh-CN"/>
        </w:rPr>
        <w:t>。</w:t>
      </w:r>
    </w:p>
    <w:p>
      <w:pPr>
        <w:keepNext w:val="0"/>
        <w:keepLines w:val="0"/>
        <w:pageBreakBefore w:val="0"/>
        <w:kinsoku/>
        <w:wordWrap/>
        <w:overflowPunct/>
        <w:topLinePunct w:val="0"/>
        <w:autoSpaceDE/>
        <w:autoSpaceDN/>
        <w:bidi w:val="0"/>
        <w:spacing w:line="590" w:lineRule="exact"/>
        <w:ind w:firstLine="643" w:firstLineChars="200"/>
        <w:textAlignment w:val="auto"/>
        <w:rPr>
          <w:rFonts w:eastAsia="方正楷体简体"/>
          <w:b/>
          <w:sz w:val="32"/>
          <w:szCs w:val="32"/>
        </w:rPr>
      </w:pPr>
      <w:r>
        <w:rPr>
          <w:rFonts w:hint="eastAsia" w:eastAsia="方正楷体简体"/>
          <w:b/>
          <w:sz w:val="32"/>
          <w:szCs w:val="32"/>
        </w:rPr>
        <w:t>（二）绩效目标</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eastAsia="方正仿宋简体"/>
          <w:sz w:val="32"/>
          <w:szCs w:val="32"/>
        </w:rPr>
      </w:pPr>
      <w:r>
        <w:rPr>
          <w:rFonts w:hint="eastAsia" w:eastAsia="方正仿宋简体"/>
          <w:sz w:val="32"/>
          <w:szCs w:val="32"/>
        </w:rPr>
        <w:t>绩效目标分别表述绩效总目标和具体绩效目标，具体绩效目标为具体量化的产出目标结果目标。</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（1）绩效总目标综合结论:</w:t>
      </w:r>
      <w:r>
        <w:rPr>
          <w:rFonts w:hint="eastAsia" w:ascii="方正仿宋简体" w:hAnsi="方正仿宋简体" w:eastAsia="方正仿宋简体" w:cs="方正仿宋简体"/>
          <w:kern w:val="2"/>
          <w:sz w:val="32"/>
          <w:szCs w:val="32"/>
          <w:lang w:val="en-US" w:eastAsia="zh-CN" w:bidi="ar-SA"/>
        </w:rPr>
        <w:t>在2023年度项目绩效自评工作中，我局认真筹划，严密组织，以严谨、务实的态度，不折不扣的落实县委、县政府和县财政局的相关要求，认真收集整理评价资料，全面真实反映年度项目经费使用管理情况，对照县信访局2023年项目支出绩效自评体系评分表，我局自评分95分，自评结果为“优”。</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（2）产出指标</w:t>
      </w:r>
      <w:r>
        <w:rPr>
          <w:rFonts w:hint="eastAsia" w:ascii="方正仿宋简体" w:hAnsi="方正仿宋简体" w:eastAsia="方正仿宋简体" w:cs="方正仿宋简体"/>
          <w:kern w:val="2"/>
          <w:sz w:val="32"/>
          <w:szCs w:val="32"/>
          <w:lang w:val="en-US" w:eastAsia="zh-CN" w:bidi="ar-SA"/>
        </w:rPr>
        <w:t>：重要敏感节点派遣处访工作组，对进京到省人员第一时间劝返，控制越级访，较少进京到省访人员。</w:t>
      </w:r>
    </w:p>
    <w:p>
      <w:pPr>
        <w:keepNext w:val="0"/>
        <w:keepLines w:val="0"/>
        <w:pageBreakBefore w:val="0"/>
        <w:kinsoku/>
        <w:wordWrap/>
        <w:overflowPunct/>
        <w:topLinePunct w:val="0"/>
        <w:autoSpaceDE/>
        <w:autoSpaceDN/>
        <w:bidi w:val="0"/>
        <w:adjustRightInd w:val="0"/>
        <w:snapToGrid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（3）社会效益：</w:t>
      </w:r>
      <w:r>
        <w:rPr>
          <w:rFonts w:hint="eastAsia" w:eastAsia="方正仿宋简体"/>
          <w:sz w:val="32"/>
          <w:szCs w:val="32"/>
        </w:rPr>
        <w:t>化解矛盾</w:t>
      </w:r>
      <w:r>
        <w:rPr>
          <w:rFonts w:hint="eastAsia" w:eastAsia="方正仿宋简体"/>
          <w:sz w:val="32"/>
          <w:szCs w:val="32"/>
          <w:lang w:eastAsia="zh-CN"/>
        </w:rPr>
        <w:t>纠纷</w:t>
      </w:r>
      <w:r>
        <w:rPr>
          <w:rFonts w:hint="eastAsia" w:eastAsia="方正仿宋简体"/>
          <w:sz w:val="32"/>
          <w:szCs w:val="32"/>
        </w:rPr>
        <w:t>，维护社会稳定和谐发展。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rPr>
          <w:rFonts w:hint="eastAsia" w:ascii="仿宋_GB2312" w:hAnsi="宋体" w:eastAsia="仿宋_GB2312"/>
          <w:sz w:val="32"/>
          <w:szCs w:val="32"/>
        </w:rPr>
      </w:pPr>
      <w:r>
        <w:rPr>
          <w:rFonts w:hint="eastAsia" w:ascii="方正楷体简体" w:hAnsi="方正楷体简体" w:eastAsia="方正楷体简体" w:cs="方正楷体简体"/>
          <w:kern w:val="2"/>
          <w:sz w:val="32"/>
          <w:szCs w:val="32"/>
          <w:lang w:val="en-US" w:eastAsia="zh-CN" w:bidi="ar-SA"/>
        </w:rPr>
        <w:t>（4）可持续影响：</w:t>
      </w:r>
      <w:r>
        <w:rPr>
          <w:rFonts w:hint="eastAsia" w:ascii="仿宋_GB2312" w:hAnsi="宋体" w:eastAsia="仿宋_GB2312"/>
          <w:sz w:val="32"/>
          <w:szCs w:val="32"/>
        </w:rPr>
        <w:t>维护社会稳定，促进社会和谐发展。</w:t>
      </w:r>
    </w:p>
    <w:p>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75" w:beforeAutospacing="0" w:after="75" w:afterAutospacing="0" w:line="590" w:lineRule="exact"/>
        <w:ind w:left="0" w:leftChars="0" w:right="0" w:firstLine="640" w:firstLineChars="200"/>
        <w:jc w:val="left"/>
        <w:textAlignment w:val="auto"/>
      </w:pPr>
      <w:r>
        <w:rPr>
          <w:rFonts w:hint="eastAsia" w:ascii="方正楷体简体" w:hAnsi="方正楷体简体" w:eastAsia="方正楷体简体" w:cs="方正楷体简体"/>
          <w:kern w:val="2"/>
          <w:sz w:val="32"/>
          <w:szCs w:val="32"/>
          <w:lang w:val="en-US" w:eastAsia="zh-CN" w:bidi="ar-SA"/>
        </w:rPr>
        <w:t>（5）满意度：</w:t>
      </w:r>
      <w:r>
        <w:rPr>
          <w:rFonts w:hint="eastAsia" w:ascii="方正仿宋简体" w:hAnsi="方正仿宋简体" w:eastAsia="方正仿宋简体" w:cs="方正仿宋简体"/>
          <w:kern w:val="2"/>
          <w:sz w:val="32"/>
          <w:szCs w:val="32"/>
          <w:lang w:val="en-US" w:eastAsia="zh-CN" w:bidi="ar-SA"/>
        </w:rPr>
        <w:t>2023年信访工作未接到人民群众、部门工作人员及相关不满意情况反映，满意度为98%。</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eastAsia="方正黑体简体"/>
          <w:sz w:val="32"/>
          <w:szCs w:val="32"/>
        </w:rPr>
      </w:pPr>
      <w:r>
        <w:rPr>
          <w:rFonts w:hint="eastAsia" w:eastAsia="方正黑体简体"/>
          <w:sz w:val="32"/>
          <w:szCs w:val="32"/>
        </w:rPr>
        <w:t>二、绩效自评工作情况</w:t>
      </w:r>
    </w:p>
    <w:p>
      <w:pPr>
        <w:keepNext w:val="0"/>
        <w:keepLines w:val="0"/>
        <w:pageBreakBefore w:val="0"/>
        <w:kinsoku/>
        <w:wordWrap/>
        <w:overflowPunct/>
        <w:topLinePunct w:val="0"/>
        <w:autoSpaceDE/>
        <w:autoSpaceDN/>
        <w:bidi w:val="0"/>
        <w:spacing w:line="590" w:lineRule="exact"/>
        <w:ind w:left="0" w:leftChars="0" w:firstLine="643" w:firstLineChars="200"/>
        <w:textAlignment w:val="auto"/>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（一）自评工作组织领导</w:t>
      </w:r>
    </w:p>
    <w:p>
      <w:pPr>
        <w:pStyle w:val="10"/>
        <w:keepNext w:val="0"/>
        <w:keepLines w:val="0"/>
        <w:pageBreakBefore w:val="0"/>
        <w:kinsoku/>
        <w:wordWrap/>
        <w:overflowPunct/>
        <w:topLinePunct w:val="0"/>
        <w:autoSpaceDE/>
        <w:autoSpaceDN/>
        <w:bidi w:val="0"/>
        <w:spacing w:line="59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楷体简体" w:hAnsi="方正楷体简体" w:eastAsia="方正楷体简体" w:cs="方正楷体简体"/>
          <w:b w:val="0"/>
          <w:bCs w:val="0"/>
          <w:kern w:val="2"/>
          <w:sz w:val="32"/>
          <w:szCs w:val="32"/>
          <w:lang w:val="en-US" w:eastAsia="zh-CN" w:bidi="ar-SA"/>
        </w:rPr>
        <w:t>一是</w:t>
      </w:r>
      <w:r>
        <w:rPr>
          <w:rFonts w:hint="eastAsia" w:ascii="方正仿宋简体" w:hAnsi="方正仿宋简体" w:eastAsia="方正仿宋简体" w:cs="方正仿宋简体"/>
          <w:kern w:val="2"/>
          <w:sz w:val="32"/>
          <w:szCs w:val="32"/>
          <w:lang w:val="en-US" w:eastAsia="zh-CN" w:bidi="ar-SA"/>
        </w:rPr>
        <w:t>高度重视绩效评价工作，成立了以局长为组长，分管副局为副组长，办公室、网信股、督查督办股、接待中心工作人员为成员的绩效评价领导小组，明确绩效工作评价责任，进一步强化各股室对财政预算支出的管理意识；</w:t>
      </w:r>
      <w:r>
        <w:rPr>
          <w:rFonts w:hint="eastAsia" w:ascii="方正楷体简体" w:hAnsi="方正楷体简体" w:eastAsia="方正楷体简体" w:cs="方正楷体简体"/>
          <w:b w:val="0"/>
          <w:bCs w:val="0"/>
          <w:kern w:val="2"/>
          <w:sz w:val="32"/>
          <w:szCs w:val="32"/>
          <w:lang w:val="en-US" w:eastAsia="zh-CN" w:bidi="ar-SA"/>
        </w:rPr>
        <w:t>二是</w:t>
      </w:r>
      <w:r>
        <w:rPr>
          <w:rFonts w:hint="eastAsia" w:ascii="方正仿宋简体" w:hAnsi="方正仿宋简体" w:eastAsia="方正仿宋简体" w:cs="方正仿宋简体"/>
          <w:kern w:val="2"/>
          <w:sz w:val="32"/>
          <w:szCs w:val="32"/>
          <w:lang w:val="en-US" w:eastAsia="zh-CN" w:bidi="ar-SA"/>
        </w:rPr>
        <w:t>收集、整理资料；</w:t>
      </w:r>
      <w:r>
        <w:rPr>
          <w:rFonts w:hint="eastAsia" w:ascii="方正楷体简体" w:hAnsi="方正楷体简体" w:eastAsia="方正楷体简体" w:cs="方正楷体简体"/>
          <w:b w:val="0"/>
          <w:bCs w:val="0"/>
          <w:kern w:val="2"/>
          <w:sz w:val="32"/>
          <w:szCs w:val="32"/>
          <w:lang w:val="en-US" w:eastAsia="zh-CN" w:bidi="ar-SA"/>
        </w:rPr>
        <w:t>三是</w:t>
      </w:r>
      <w:r>
        <w:rPr>
          <w:rFonts w:hint="eastAsia" w:ascii="方正仿宋简体" w:hAnsi="方正仿宋简体" w:eastAsia="方正仿宋简体" w:cs="方正仿宋简体"/>
          <w:kern w:val="2"/>
          <w:sz w:val="32"/>
          <w:szCs w:val="32"/>
          <w:lang w:val="en-US" w:eastAsia="zh-CN" w:bidi="ar-SA"/>
        </w:rPr>
        <w:t>客观分析，实事求是，形成报告；</w:t>
      </w:r>
      <w:r>
        <w:rPr>
          <w:rFonts w:hint="eastAsia" w:ascii="方正楷体简体" w:hAnsi="方正楷体简体" w:eastAsia="方正楷体简体" w:cs="方正楷体简体"/>
          <w:b w:val="0"/>
          <w:bCs w:val="0"/>
          <w:kern w:val="2"/>
          <w:sz w:val="32"/>
          <w:szCs w:val="32"/>
          <w:lang w:val="en-US" w:eastAsia="zh-CN" w:bidi="ar-SA"/>
        </w:rPr>
        <w:t>四是</w:t>
      </w:r>
      <w:r>
        <w:rPr>
          <w:rFonts w:hint="eastAsia" w:ascii="方正仿宋简体" w:hAnsi="方正仿宋简体" w:eastAsia="方正仿宋简体" w:cs="方正仿宋简体"/>
          <w:kern w:val="2"/>
          <w:sz w:val="32"/>
          <w:szCs w:val="32"/>
          <w:lang w:val="en-US" w:eastAsia="zh-CN" w:bidi="ar-SA"/>
        </w:rPr>
        <w:t>报送部门整体、项目支出绩效自评报告；</w:t>
      </w:r>
      <w:r>
        <w:rPr>
          <w:rFonts w:hint="eastAsia" w:ascii="方正楷体简体" w:hAnsi="方正楷体简体" w:eastAsia="方正楷体简体" w:cs="方正楷体简体"/>
          <w:b w:val="0"/>
          <w:bCs w:val="0"/>
          <w:kern w:val="2"/>
          <w:sz w:val="32"/>
          <w:szCs w:val="32"/>
          <w:lang w:val="en-US" w:eastAsia="zh-CN" w:bidi="ar-SA"/>
        </w:rPr>
        <w:t>五是</w:t>
      </w:r>
      <w:r>
        <w:rPr>
          <w:rFonts w:hint="eastAsia" w:ascii="方正仿宋简体" w:hAnsi="方正仿宋简体" w:eastAsia="方正仿宋简体" w:cs="方正仿宋简体"/>
          <w:kern w:val="2"/>
          <w:sz w:val="32"/>
          <w:szCs w:val="32"/>
          <w:lang w:val="en-US" w:eastAsia="zh-CN" w:bidi="ar-SA"/>
        </w:rPr>
        <w:t>总结提高，配合县财政局开展绩效评价工作并按要求公开绩效自评情况。</w:t>
      </w:r>
    </w:p>
    <w:p>
      <w:pPr>
        <w:pStyle w:val="10"/>
        <w:keepNext w:val="0"/>
        <w:keepLines w:val="0"/>
        <w:pageBreakBefore w:val="0"/>
        <w:kinsoku/>
        <w:wordWrap/>
        <w:overflowPunct/>
        <w:topLinePunct w:val="0"/>
        <w:autoSpaceDE/>
        <w:autoSpaceDN/>
        <w:bidi w:val="0"/>
        <w:spacing w:line="590" w:lineRule="exact"/>
        <w:ind w:leftChars="100" w:firstLine="643" w:firstLineChars="200"/>
        <w:textAlignment w:val="auto"/>
        <w:rPr>
          <w:rFonts w:hint="eastAsia" w:ascii="方正楷体简体" w:hAnsi="方正楷体简体" w:eastAsia="方正楷体简体" w:cs="方正楷体简体"/>
          <w:b/>
          <w:bCs/>
          <w:kern w:val="2"/>
          <w:sz w:val="32"/>
          <w:szCs w:val="32"/>
          <w:lang w:val="en-US" w:eastAsia="zh-CN" w:bidi="ar-SA"/>
        </w:rPr>
      </w:pPr>
      <w:r>
        <w:rPr>
          <w:rFonts w:hint="eastAsia" w:ascii="方正楷体简体" w:hAnsi="方正楷体简体" w:eastAsia="方正楷体简体" w:cs="方正楷体简体"/>
          <w:b/>
          <w:bCs/>
          <w:kern w:val="2"/>
          <w:sz w:val="32"/>
          <w:szCs w:val="32"/>
          <w:lang w:val="en-US" w:eastAsia="zh-CN" w:bidi="ar-SA"/>
        </w:rPr>
        <w:t>（二）自评方式、方法、重点等</w:t>
      </w:r>
    </w:p>
    <w:p>
      <w:pPr>
        <w:pStyle w:val="10"/>
        <w:keepNext w:val="0"/>
        <w:keepLines w:val="0"/>
        <w:pageBreakBefore w:val="0"/>
        <w:kinsoku/>
        <w:wordWrap/>
        <w:overflowPunct/>
        <w:topLinePunct w:val="0"/>
        <w:autoSpaceDE/>
        <w:autoSpaceDN/>
        <w:bidi w:val="0"/>
        <w:spacing w:line="590" w:lineRule="exact"/>
        <w:ind w:leftChars="100"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绩效自评方法:按照科学规范、公正公开、绩效相关的原则，依据下达的预算，采用定量与定性相结合，专项经费投入与产出相结合的办法，对照项目实际完成内容，评价实际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对比分析，评价项目预期效益实现程度。本次绩效自评采用百分制，各级指标依据其指标权重确定分值，根据最终得分情况将绩效自评结果分为四个等级:优(得分&gt;90分) ;良(80分&lt;得分&lt;90分) ;中(60≤得分&lt;80分) ;差(得分&lt;60分)。</w:t>
      </w:r>
    </w:p>
    <w:p>
      <w:pPr>
        <w:keepNext w:val="0"/>
        <w:keepLines w:val="0"/>
        <w:pageBreakBefore w:val="0"/>
        <w:kinsoku/>
        <w:wordWrap/>
        <w:overflowPunct/>
        <w:topLinePunct w:val="0"/>
        <w:autoSpaceDE/>
        <w:autoSpaceDN/>
        <w:bidi w:val="0"/>
        <w:spacing w:line="590" w:lineRule="exact"/>
        <w:ind w:left="0" w:leftChars="0" w:firstLine="960" w:firstLineChars="3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三、评价结论</w:t>
      </w:r>
    </w:p>
    <w:p>
      <w:pPr>
        <w:pStyle w:val="7"/>
        <w:keepNext w:val="0"/>
        <w:keepLines w:val="0"/>
        <w:pageBreakBefore w:val="0"/>
        <w:kinsoku/>
        <w:wordWrap/>
        <w:overflowPunct/>
        <w:topLinePunct w:val="0"/>
        <w:autoSpaceDE/>
        <w:autoSpaceDN/>
        <w:bidi w:val="0"/>
        <w:spacing w:line="590" w:lineRule="exact"/>
        <w:ind w:left="0" w:leftChars="0" w:firstLine="947" w:firstLineChars="2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kern w:val="0"/>
          <w:sz w:val="32"/>
          <w:szCs w:val="32"/>
          <w:lang w:eastAsia="zh-CN"/>
        </w:rPr>
        <w:t>2023年，县</w:t>
      </w:r>
      <w:r>
        <w:rPr>
          <w:rFonts w:hint="eastAsia" w:ascii="方正仿宋简体" w:hAnsi="方正仿宋简体" w:eastAsia="方正仿宋简体" w:cs="方正仿宋简体"/>
          <w:kern w:val="0"/>
          <w:sz w:val="32"/>
          <w:szCs w:val="32"/>
        </w:rPr>
        <w:t>信访局认真贯彻落实中央、省、市一系列决策部署，紧紧围绕习近平总书记对信访工作的重要批示精神，着力攻坚化解突出信访问题，减存量、控增量、防变量，积极探索让群众“最多访一次”，全面认真履行职责、全力破解信访难题、全心维护群众权益。根据年初的绩效考核工作计划和目标，</w:t>
      </w:r>
      <w:r>
        <w:rPr>
          <w:rFonts w:hint="eastAsia" w:ascii="方正仿宋简体" w:hAnsi="方正仿宋简体" w:eastAsia="方正仿宋简体" w:cs="方正仿宋简体"/>
          <w:kern w:val="0"/>
          <w:sz w:val="32"/>
          <w:szCs w:val="32"/>
          <w:lang w:eastAsia="zh-CN"/>
        </w:rPr>
        <w:t>我</w:t>
      </w:r>
      <w:r>
        <w:rPr>
          <w:rFonts w:hint="eastAsia" w:ascii="方正仿宋简体" w:hAnsi="方正仿宋简体" w:eastAsia="方正仿宋简体" w:cs="方正仿宋简体"/>
          <w:kern w:val="0"/>
          <w:sz w:val="32"/>
          <w:szCs w:val="32"/>
        </w:rPr>
        <w:t>局较好地完成了全年的目标工作任务</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rPr>
        <w:t>依据</w:t>
      </w:r>
      <w:r>
        <w:rPr>
          <w:rFonts w:hint="eastAsia" w:ascii="方正仿宋简体" w:hAnsi="方正仿宋简体" w:eastAsia="方正仿宋简体" w:cs="方正仿宋简体"/>
          <w:kern w:val="0"/>
          <w:sz w:val="32"/>
          <w:szCs w:val="32"/>
          <w:lang w:eastAsia="zh-CN"/>
        </w:rPr>
        <w:t>相关</w:t>
      </w:r>
      <w:r>
        <w:rPr>
          <w:rFonts w:hint="eastAsia" w:ascii="方正仿宋简体" w:hAnsi="方正仿宋简体" w:eastAsia="方正仿宋简体" w:cs="方正仿宋简体"/>
          <w:color w:val="auto"/>
          <w:kern w:val="0"/>
          <w:sz w:val="32"/>
          <w:szCs w:val="32"/>
        </w:rPr>
        <w:t>规定</w:t>
      </w:r>
      <w:r>
        <w:rPr>
          <w:rFonts w:hint="eastAsia" w:ascii="方正仿宋简体" w:hAnsi="方正仿宋简体" w:eastAsia="方正仿宋简体" w:cs="方正仿宋简体"/>
          <w:kern w:val="0"/>
          <w:sz w:val="32"/>
          <w:szCs w:val="32"/>
          <w:lang w:eastAsia="zh-CN"/>
        </w:rPr>
        <w:t>，绩效评价自评得分</w:t>
      </w:r>
      <w:r>
        <w:rPr>
          <w:rFonts w:hint="eastAsia" w:ascii="方正仿宋简体" w:hAnsi="方正仿宋简体" w:eastAsia="方正仿宋简体" w:cs="方正仿宋简体"/>
          <w:kern w:val="0"/>
          <w:sz w:val="32"/>
          <w:szCs w:val="32"/>
          <w:lang w:val="en-US" w:eastAsia="zh-CN"/>
        </w:rPr>
        <w:t>95分，</w:t>
      </w:r>
      <w:r>
        <w:rPr>
          <w:rFonts w:hint="eastAsia" w:ascii="方正仿宋简体" w:hAnsi="方正仿宋简体" w:eastAsia="方正仿宋简体" w:cs="方正仿宋简体"/>
          <w:kern w:val="0"/>
          <w:sz w:val="32"/>
          <w:szCs w:val="32"/>
        </w:rPr>
        <w:t>总体</w:t>
      </w:r>
      <w:r>
        <w:rPr>
          <w:rFonts w:hint="eastAsia" w:ascii="方正仿宋简体" w:hAnsi="方正仿宋简体" w:eastAsia="方正仿宋简体" w:cs="方正仿宋简体"/>
          <w:sz w:val="32"/>
          <w:szCs w:val="32"/>
        </w:rPr>
        <w:t>绩效评价结果</w:t>
      </w:r>
      <w:r>
        <w:rPr>
          <w:rFonts w:hint="eastAsia" w:ascii="方正仿宋简体" w:hAnsi="方正仿宋简体" w:eastAsia="方正仿宋简体" w:cs="方正仿宋简体"/>
          <w:sz w:val="32"/>
          <w:szCs w:val="32"/>
          <w:lang w:eastAsia="zh-CN"/>
        </w:rPr>
        <w:t>为优</w:t>
      </w:r>
      <w:r>
        <w:rPr>
          <w:rFonts w:hint="eastAsia" w:ascii="方正仿宋简体" w:hAnsi="方正仿宋简体" w:eastAsia="方正仿宋简体" w:cs="方正仿宋简体"/>
          <w:sz w:val="32"/>
          <w:szCs w:val="32"/>
        </w:rPr>
        <w:t>。</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四、绩效分析</w:t>
      </w:r>
    </w:p>
    <w:p>
      <w:pPr>
        <w:pStyle w:val="7"/>
        <w:keepNext w:val="0"/>
        <w:keepLines w:val="0"/>
        <w:pageBreakBefore w:val="0"/>
        <w:kinsoku/>
        <w:wordWrap/>
        <w:overflowPunct/>
        <w:topLinePunct w:val="0"/>
        <w:autoSpaceDE/>
        <w:autoSpaceDN/>
        <w:bidi w:val="0"/>
        <w:spacing w:line="590" w:lineRule="exact"/>
        <w:ind w:left="0" w:leftChars="0" w:firstLine="627" w:firstLineChars="196"/>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2023年</w:t>
      </w:r>
      <w:r>
        <w:rPr>
          <w:rFonts w:hint="eastAsia" w:ascii="方正仿宋简体" w:hAnsi="方正仿宋简体" w:eastAsia="方正仿宋简体" w:cs="方正仿宋简体"/>
          <w:sz w:val="32"/>
          <w:szCs w:val="32"/>
        </w:rPr>
        <w:t>，根据局年初工作规划和重点性工作，积极履职，强化管理，较好的完成了年度工作目标。通过加强预算收支管理，不断建立健全内部管理制度，梳理内部管理流程，部门</w:t>
      </w:r>
      <w:r>
        <w:rPr>
          <w:rFonts w:hint="eastAsia" w:ascii="方正仿宋简体" w:hAnsi="方正仿宋简体" w:eastAsia="方正仿宋简体" w:cs="方正仿宋简体"/>
          <w:sz w:val="32"/>
          <w:szCs w:val="32"/>
          <w:lang w:eastAsia="zh-CN"/>
        </w:rPr>
        <w:t>项目</w:t>
      </w:r>
      <w:r>
        <w:rPr>
          <w:rFonts w:hint="eastAsia" w:ascii="方正仿宋简体" w:hAnsi="方正仿宋简体" w:eastAsia="方正仿宋简体" w:cs="方正仿宋简体"/>
          <w:sz w:val="32"/>
          <w:szCs w:val="32"/>
        </w:rPr>
        <w:t>支出管理情况得到提升。</w:t>
      </w:r>
    </w:p>
    <w:p>
      <w:pPr>
        <w:keepNext w:val="0"/>
        <w:keepLines w:val="0"/>
        <w:pageBreakBefore w:val="0"/>
        <w:kinsoku/>
        <w:wordWrap/>
        <w:overflowPunct/>
        <w:topLinePunct w:val="0"/>
        <w:autoSpaceDE/>
        <w:autoSpaceDN/>
        <w:bidi w:val="0"/>
        <w:spacing w:line="590" w:lineRule="exact"/>
        <w:ind w:left="0" w:leftChars="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五、主要经验及做法、存在的问题和建议</w:t>
      </w:r>
    </w:p>
    <w:p>
      <w:pPr>
        <w:pStyle w:val="7"/>
        <w:keepNext w:val="0"/>
        <w:keepLines w:val="0"/>
        <w:pageBreakBefore w:val="0"/>
        <w:kinsoku/>
        <w:wordWrap/>
        <w:overflowPunct/>
        <w:topLinePunct w:val="0"/>
        <w:autoSpaceDE/>
        <w:autoSpaceDN/>
        <w:bidi w:val="0"/>
        <w:spacing w:line="590" w:lineRule="exact"/>
        <w:ind w:left="0" w:leftChars="0" w:firstLine="630" w:firstLineChars="196"/>
        <w:textAlignment w:val="auto"/>
      </w:pPr>
      <w:r>
        <w:rPr>
          <w:rFonts w:hint="eastAsia" w:ascii="方正楷体简体" w:hAnsi="方正楷体简体" w:eastAsia="方正楷体简体" w:cs="方正楷体简体"/>
          <w:b/>
          <w:sz w:val="32"/>
          <w:szCs w:val="32"/>
        </w:rPr>
        <w:t>（一）主要经验及做法</w:t>
      </w:r>
      <w:r>
        <w:rPr>
          <w:rFonts w:hint="eastAsia" w:ascii="方正楷体简体" w:hAnsi="方正楷体简体" w:eastAsia="方正楷体简体" w:cs="方正楷体简体"/>
          <w:b/>
          <w:sz w:val="32"/>
          <w:szCs w:val="32"/>
          <w:lang w:eastAsia="zh-CN"/>
        </w:rPr>
        <w:t>。</w:t>
      </w:r>
      <w:r>
        <w:rPr>
          <w:rFonts w:hint="eastAsia" w:ascii="方正楷体简体" w:hAnsi="方正楷体简体" w:eastAsia="方正楷体简体" w:cs="方正楷体简体"/>
          <w:b w:val="0"/>
          <w:bCs/>
          <w:sz w:val="32"/>
          <w:szCs w:val="32"/>
          <w:lang w:eastAsia="zh-CN"/>
        </w:rPr>
        <w:t>一是</w:t>
      </w:r>
      <w:r>
        <w:rPr>
          <w:rFonts w:hint="eastAsia" w:ascii="方正仿宋简体" w:hAnsi="方正仿宋简体" w:eastAsia="方正仿宋简体" w:cs="方正仿宋简体"/>
          <w:sz w:val="32"/>
          <w:szCs w:val="32"/>
        </w:rPr>
        <w:t>领导高度重视，对年初纳入预算绩效的工作内容严格抓落实，要求保质保量；</w:t>
      </w:r>
      <w:r>
        <w:rPr>
          <w:rFonts w:hint="eastAsia" w:ascii="方正楷体简体" w:hAnsi="方正楷体简体" w:eastAsia="方正楷体简体" w:cs="方正楷体简体"/>
          <w:b w:val="0"/>
          <w:bCs w:val="0"/>
          <w:sz w:val="32"/>
          <w:szCs w:val="32"/>
          <w:lang w:eastAsia="zh-CN"/>
        </w:rPr>
        <w:t>二是</w:t>
      </w:r>
      <w:r>
        <w:rPr>
          <w:rFonts w:hint="eastAsia" w:ascii="方正仿宋简体" w:hAnsi="方正仿宋简体" w:eastAsia="方正仿宋简体" w:cs="方正仿宋简体"/>
          <w:sz w:val="32"/>
          <w:szCs w:val="32"/>
        </w:rPr>
        <w:t>工作规划提前部署，绩效目标的制定必须和当年的重点工作紧密联系，和目标责任管理结合，目标标准定制要合理，可以达到和完成。</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（二）存在的问题</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由于信访工作具有其特殊性,投入产出评价指标难以用数据直接体现,定量分析还有待加强。</w:t>
      </w:r>
    </w:p>
    <w:p>
      <w:pPr>
        <w:keepNext w:val="0"/>
        <w:keepLines w:val="0"/>
        <w:pageBreakBefore w:val="0"/>
        <w:kinsoku/>
        <w:wordWrap/>
        <w:overflowPunct/>
        <w:topLinePunct w:val="0"/>
        <w:autoSpaceDE/>
        <w:autoSpaceDN/>
        <w:bidi w:val="0"/>
        <w:spacing w:line="590" w:lineRule="exact"/>
        <w:ind w:firstLine="643" w:firstLineChars="200"/>
        <w:textAlignment w:val="auto"/>
        <w:rPr>
          <w:rFonts w:hint="eastAsia" w:eastAsia="方正楷体简体"/>
          <w:b/>
          <w:sz w:val="32"/>
          <w:szCs w:val="32"/>
        </w:rPr>
      </w:pPr>
      <w:r>
        <w:rPr>
          <w:rFonts w:hint="eastAsia" w:eastAsia="方正楷体简体"/>
          <w:b/>
          <w:sz w:val="32"/>
          <w:szCs w:val="32"/>
        </w:rPr>
        <w:t>（三）建议和改进措施</w:t>
      </w:r>
    </w:p>
    <w:p>
      <w:pPr>
        <w:keepNext w:val="0"/>
        <w:keepLines w:val="0"/>
        <w:pageBreakBefore w:val="0"/>
        <w:kinsoku/>
        <w:wordWrap/>
        <w:overflowPunct/>
        <w:topLinePunct w:val="0"/>
        <w:autoSpaceDE/>
        <w:autoSpaceDN/>
        <w:bidi w:val="0"/>
        <w:spacing w:line="59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一是科学合理编制预算 ,严格执行预算;二是规范账务处理,提高财务信息质量;三是完善管理制度,进一步加强资金管理 ;四是坚持问题导向,建立预算支出绩效评价长效机制。</w:t>
      </w: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p>
    <w:p>
      <w:pPr>
        <w:keepNext w:val="0"/>
        <w:keepLines w:val="0"/>
        <w:pageBreakBefore w:val="0"/>
        <w:kinsoku/>
        <w:wordWrap/>
        <w:overflowPunct/>
        <w:topLinePunct w:val="0"/>
        <w:autoSpaceDE/>
        <w:autoSpaceDN/>
        <w:bidi w:val="0"/>
        <w:spacing w:line="590" w:lineRule="exact"/>
        <w:ind w:firstLine="640" w:firstLineChars="200"/>
        <w:textAlignment w:val="auto"/>
        <w:rPr>
          <w:rFonts w:eastAsia="方正仿宋简体"/>
          <w:sz w:val="32"/>
          <w:szCs w:val="32"/>
        </w:rPr>
      </w:pPr>
      <w:r>
        <w:rPr>
          <w:rFonts w:hint="eastAsia" w:eastAsia="方正仿宋简体"/>
          <w:sz w:val="32"/>
          <w:szCs w:val="32"/>
        </w:rPr>
        <w:t>附件：</w:t>
      </w:r>
      <w:r>
        <w:rPr>
          <w:rFonts w:hint="eastAsia" w:eastAsia="方正仿宋简体"/>
          <w:sz w:val="32"/>
          <w:szCs w:val="32"/>
          <w:lang w:val="en-US" w:eastAsia="zh-CN"/>
        </w:rPr>
        <w:t>6-</w:t>
      </w:r>
      <w:r>
        <w:rPr>
          <w:rFonts w:eastAsia="方正仿宋简体"/>
          <w:sz w:val="32"/>
          <w:szCs w:val="32"/>
        </w:rPr>
        <w:t>1.</w:t>
      </w:r>
      <w:r>
        <w:rPr>
          <w:rFonts w:hint="eastAsia" w:eastAsia="方正仿宋简体"/>
          <w:sz w:val="32"/>
          <w:szCs w:val="32"/>
          <w:lang w:eastAsia="zh-CN"/>
        </w:rPr>
        <w:t>2023年</w:t>
      </w:r>
      <w:r>
        <w:rPr>
          <w:rFonts w:hint="eastAsia" w:eastAsia="方正仿宋简体"/>
          <w:sz w:val="32"/>
          <w:szCs w:val="32"/>
        </w:rPr>
        <w:t>度乐至县项目支出绩效自评计分表</w:t>
      </w:r>
    </w:p>
    <w:p>
      <w:pPr>
        <w:keepNext w:val="0"/>
        <w:keepLines w:val="0"/>
        <w:pageBreakBefore w:val="0"/>
        <w:kinsoku/>
        <w:wordWrap/>
        <w:overflowPunct/>
        <w:topLinePunct w:val="0"/>
        <w:autoSpaceDE/>
        <w:autoSpaceDN/>
        <w:bidi w:val="0"/>
        <w:spacing w:line="590" w:lineRule="exact"/>
        <w:ind w:firstLine="1600" w:firstLineChars="500"/>
        <w:textAlignment w:val="auto"/>
        <w:rPr>
          <w:rFonts w:eastAsia="方正仿宋简体"/>
          <w:sz w:val="32"/>
          <w:szCs w:val="32"/>
        </w:rPr>
      </w:pPr>
      <w:r>
        <w:rPr>
          <w:rFonts w:hint="eastAsia" w:eastAsia="方正仿宋简体"/>
          <w:sz w:val="32"/>
          <w:szCs w:val="32"/>
          <w:lang w:val="en-US" w:eastAsia="zh-CN"/>
        </w:rPr>
        <w:t>6-</w:t>
      </w:r>
      <w:r>
        <w:rPr>
          <w:rFonts w:eastAsia="方正仿宋简体"/>
          <w:sz w:val="32"/>
          <w:szCs w:val="32"/>
        </w:rPr>
        <w:t>2.</w:t>
      </w:r>
      <w:r>
        <w:rPr>
          <w:rFonts w:hint="eastAsia" w:eastAsia="方正仿宋简体"/>
          <w:sz w:val="32"/>
          <w:szCs w:val="32"/>
          <w:lang w:eastAsia="zh-CN"/>
        </w:rPr>
        <w:t>2023年</w:t>
      </w:r>
      <w:r>
        <w:rPr>
          <w:rFonts w:hint="eastAsia" w:eastAsia="方正仿宋简体"/>
          <w:sz w:val="32"/>
          <w:szCs w:val="32"/>
        </w:rPr>
        <w:t>度乐至县项目支出绩效目标完成情况表</w:t>
      </w:r>
    </w:p>
    <w:p>
      <w:pPr>
        <w:keepNext w:val="0"/>
        <w:keepLines w:val="0"/>
        <w:pageBreakBefore w:val="0"/>
        <w:kinsoku/>
        <w:wordWrap/>
        <w:overflowPunct/>
        <w:topLinePunct w:val="0"/>
        <w:autoSpaceDE/>
        <w:autoSpaceDN/>
        <w:bidi w:val="0"/>
        <w:spacing w:line="590" w:lineRule="exact"/>
        <w:ind w:left="1917" w:leftChars="760" w:hanging="321" w:hangingChars="100"/>
        <w:jc w:val="left"/>
        <w:textAlignment w:val="auto"/>
        <w:rPr>
          <w:rFonts w:ascii="宋体" w:hAnsi="宋体" w:eastAsia="方正仿宋简体"/>
          <w:b/>
          <w:sz w:val="32"/>
          <w:szCs w:val="32"/>
        </w:rPr>
      </w:pPr>
    </w:p>
    <w:p>
      <w:pPr>
        <w:keepNext w:val="0"/>
        <w:keepLines w:val="0"/>
        <w:pageBreakBefore w:val="0"/>
        <w:kinsoku/>
        <w:wordWrap/>
        <w:overflowPunct/>
        <w:topLinePunct w:val="0"/>
        <w:autoSpaceDE/>
        <w:autoSpaceDN/>
        <w:bidi w:val="0"/>
        <w:spacing w:line="590" w:lineRule="exact"/>
        <w:ind w:firstLine="1606" w:firstLineChars="500"/>
        <w:textAlignment w:val="auto"/>
        <w:rPr>
          <w:rFonts w:hint="eastAsia" w:eastAsia="方正仿宋简体"/>
          <w:sz w:val="32"/>
          <w:szCs w:val="32"/>
          <w:lang w:val="en-US" w:eastAsia="zh-CN"/>
        </w:rPr>
      </w:pPr>
      <w:r>
        <w:rPr>
          <w:rFonts w:hint="eastAsia" w:ascii="宋体" w:hAnsi="宋体" w:eastAsia="方正仿宋简体"/>
          <w:b/>
          <w:sz w:val="32"/>
          <w:szCs w:val="32"/>
          <w:lang w:val="en-US" w:eastAsia="zh-CN"/>
        </w:rPr>
        <w:t xml:space="preserve">                          </w:t>
      </w:r>
      <w:r>
        <w:rPr>
          <w:rFonts w:hint="eastAsia" w:eastAsia="方正仿宋简体"/>
          <w:sz w:val="32"/>
          <w:szCs w:val="32"/>
          <w:lang w:val="en-US" w:eastAsia="zh-CN"/>
        </w:rPr>
        <w:t>乐至县信访局</w:t>
      </w:r>
    </w:p>
    <w:p>
      <w:pPr>
        <w:keepNext w:val="0"/>
        <w:keepLines w:val="0"/>
        <w:pageBreakBefore w:val="0"/>
        <w:kinsoku/>
        <w:wordWrap/>
        <w:overflowPunct/>
        <w:topLinePunct w:val="0"/>
        <w:autoSpaceDE/>
        <w:autoSpaceDN/>
        <w:bidi w:val="0"/>
        <w:spacing w:line="590" w:lineRule="exact"/>
        <w:ind w:firstLine="1600" w:firstLineChars="500"/>
        <w:textAlignment w:val="auto"/>
        <w:rPr>
          <w:rFonts w:hint="default" w:eastAsia="方正仿宋简体"/>
          <w:sz w:val="32"/>
          <w:szCs w:val="32"/>
          <w:lang w:val="en-US" w:eastAsia="zh-CN"/>
        </w:rPr>
      </w:pPr>
      <w:r>
        <w:rPr>
          <w:rFonts w:hint="eastAsia" w:eastAsia="方正仿宋简体"/>
          <w:sz w:val="32"/>
          <w:szCs w:val="32"/>
          <w:lang w:val="en-US" w:eastAsia="zh-CN"/>
        </w:rPr>
        <w:t xml:space="preserve">                        2024年7月11日</w:t>
      </w:r>
    </w:p>
    <w:p>
      <w:pPr>
        <w:keepNext w:val="0"/>
        <w:keepLines w:val="0"/>
        <w:pageBreakBefore w:val="0"/>
        <w:kinsoku/>
        <w:wordWrap/>
        <w:overflowPunct/>
        <w:topLinePunct w:val="0"/>
        <w:autoSpaceDE/>
        <w:autoSpaceDN/>
        <w:bidi w:val="0"/>
        <w:spacing w:line="590" w:lineRule="exact"/>
        <w:ind w:firstLine="1600" w:firstLineChars="500"/>
        <w:textAlignment w:val="auto"/>
        <w:rPr>
          <w:rFonts w:hint="eastAsia" w:eastAsia="方正仿宋简体"/>
          <w:sz w:val="32"/>
          <w:szCs w:val="32"/>
        </w:rPr>
      </w:pPr>
    </w:p>
    <w:p>
      <w:pPr>
        <w:keepNext w:val="0"/>
        <w:keepLines w:val="0"/>
        <w:pageBreakBefore w:val="0"/>
        <w:kinsoku/>
        <w:wordWrap/>
        <w:overflowPunct/>
        <w:topLinePunct w:val="0"/>
        <w:autoSpaceDE/>
        <w:autoSpaceDN/>
        <w:bidi w:val="0"/>
        <w:spacing w:line="590" w:lineRule="exact"/>
        <w:ind w:left="1917" w:leftChars="760" w:hanging="321" w:hangingChars="100"/>
        <w:jc w:val="left"/>
        <w:textAlignment w:val="auto"/>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footerReference r:id="rId9" w:type="default"/>
          <w:pgSz w:w="11907" w:h="16840"/>
          <w:pgMar w:top="2098" w:right="1531" w:bottom="1984" w:left="1531" w:header="851" w:footer="992" w:gutter="0"/>
          <w:pgNumType w:fmt="numberInDash"/>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6-</w:t>
      </w:r>
      <w:r>
        <w:rPr>
          <w:rFonts w:eastAsia="方正黑体简体"/>
          <w:bCs/>
          <w:kern w:val="0"/>
          <w:sz w:val="32"/>
          <w:szCs w:val="32"/>
        </w:rPr>
        <w:t>1</w:t>
      </w:r>
    </w:p>
    <w:p>
      <w:pPr>
        <w:spacing w:line="620" w:lineRule="exact"/>
        <w:jc w:val="center"/>
        <w:rPr>
          <w:rFonts w:eastAsia="方正小标宋简体"/>
          <w:bCs/>
          <w:kern w:val="0"/>
          <w:sz w:val="44"/>
          <w:szCs w:val="44"/>
        </w:rPr>
      </w:pPr>
      <w:r>
        <w:rPr>
          <w:rFonts w:hint="eastAsia" w:eastAsia="方正小标宋简体"/>
          <w:bCs/>
          <w:kern w:val="0"/>
          <w:sz w:val="44"/>
          <w:szCs w:val="44"/>
          <w:lang w:eastAsia="zh-CN"/>
        </w:rPr>
        <w:t>2023年</w:t>
      </w:r>
      <w:r>
        <w:rPr>
          <w:rFonts w:hint="eastAsia" w:eastAsia="方正小标宋简体"/>
          <w:bCs/>
          <w:kern w:val="0"/>
          <w:sz w:val="44"/>
          <w:szCs w:val="44"/>
        </w:rPr>
        <w:t>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cs="宋体"/>
          <w:color w:val="auto"/>
          <w:kern w:val="0"/>
          <w:szCs w:val="21"/>
        </w:rPr>
        <w:t>重点群体信访维稳工作经费</w:t>
      </w:r>
      <w:r>
        <w:rPr>
          <w:rFonts w:hint="eastAsia" w:eastAsia="方正楷体简体"/>
          <w:b/>
          <w:bCs/>
          <w:kern w:val="0"/>
          <w:sz w:val="32"/>
          <w:szCs w:val="32"/>
        </w:rPr>
        <w:t>）</w:t>
      </w:r>
    </w:p>
    <w:p>
      <w:pPr>
        <w:spacing w:line="620" w:lineRule="exact"/>
        <w:rPr>
          <w:rFonts w:hint="default" w:eastAsia="宋体"/>
          <w:sz w:val="24"/>
          <w:lang w:val="en-US" w:eastAsia="zh-CN"/>
        </w:rPr>
      </w:pPr>
      <w:r>
        <w:rPr>
          <w:rFonts w:hint="eastAsia"/>
          <w:bCs/>
          <w:kern w:val="0"/>
          <w:sz w:val="24"/>
        </w:rPr>
        <w:t>预算单位名称：</w:t>
      </w:r>
      <w:r>
        <w:rPr>
          <w:rFonts w:hint="eastAsia"/>
          <w:bCs/>
          <w:kern w:val="0"/>
          <w:sz w:val="24"/>
          <w:lang w:eastAsia="zh-CN"/>
        </w:rPr>
        <w:t>乐至县信访局</w:t>
      </w:r>
      <w:r>
        <w:rPr>
          <w:rFonts w:hint="eastAsia"/>
          <w:bCs/>
          <w:kern w:val="0"/>
          <w:sz w:val="24"/>
          <w:lang w:val="en-US" w:eastAsia="zh-CN"/>
        </w:rPr>
        <w:t xml:space="preserve">      </w:t>
      </w:r>
      <w:r>
        <w:rPr>
          <w:rFonts w:hint="eastAsia"/>
          <w:bCs/>
          <w:kern w:val="0"/>
          <w:sz w:val="24"/>
        </w:rPr>
        <w:t>预算单位编码：</w:t>
      </w:r>
      <w:r>
        <w:rPr>
          <w:rFonts w:hint="eastAsia"/>
          <w:bCs/>
          <w:kern w:val="0"/>
          <w:sz w:val="24"/>
          <w:lang w:val="en-US" w:eastAsia="zh-CN"/>
        </w:rPr>
        <w:t>111001</w:t>
      </w:r>
      <w:r>
        <w:rPr>
          <w:bCs/>
          <w:kern w:val="0"/>
          <w:sz w:val="24"/>
        </w:rPr>
        <w:t xml:space="preserve">  </w:t>
      </w:r>
      <w:r>
        <w:rPr>
          <w:rFonts w:hint="eastAsia"/>
          <w:bCs/>
          <w:kern w:val="0"/>
          <w:sz w:val="24"/>
          <w:lang w:val="en-US" w:eastAsia="zh-CN"/>
        </w:rPr>
        <w:t xml:space="preserve">   </w:t>
      </w:r>
      <w:r>
        <w:rPr>
          <w:rFonts w:hint="eastAsia"/>
          <w:bCs/>
          <w:kern w:val="0"/>
          <w:sz w:val="24"/>
        </w:rPr>
        <w:t>自评等级：</w:t>
      </w:r>
      <w:r>
        <w:rPr>
          <w:rFonts w:hint="eastAsia"/>
          <w:bCs/>
          <w:kern w:val="0"/>
          <w:sz w:val="24"/>
          <w:lang w:val="en-US" w:eastAsia="zh-CN"/>
        </w:rPr>
        <w:t>95</w:t>
      </w:r>
    </w:p>
    <w:tbl>
      <w:tblPr>
        <w:tblStyle w:val="18"/>
        <w:tblW w:w="524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16"/>
        <w:gridCol w:w="474"/>
        <w:gridCol w:w="474"/>
        <w:gridCol w:w="1761"/>
        <w:gridCol w:w="2360"/>
        <w:gridCol w:w="635"/>
        <w:gridCol w:w="33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16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4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26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4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77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40" w:type="pct"/>
            <w:noWrap/>
            <w:vAlign w:val="center"/>
          </w:tcPr>
          <w:p>
            <w:pPr>
              <w:widowControl/>
              <w:spacing w:line="240" w:lineRule="exact"/>
              <w:ind w:firstLine="210" w:firstLineChars="100"/>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kern w:val="0"/>
                <w:szCs w:val="21"/>
                <w:lang w:eastAsia="zh-CN"/>
              </w:rPr>
            </w:pPr>
            <w:r>
              <w:rPr>
                <w:rFonts w:hint="eastAsia"/>
                <w:kern w:val="0"/>
                <w:szCs w:val="21"/>
              </w:rPr>
              <w:t>　</w:t>
            </w:r>
            <w:r>
              <w:rPr>
                <w:rFonts w:hint="eastAsia"/>
                <w:kern w:val="0"/>
                <w:szCs w:val="21"/>
                <w:lang w:eastAsia="zh-CN"/>
              </w:rPr>
              <w:t>项目的申请、设立严格按</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lang w:eastAsia="zh-CN"/>
              </w:rPr>
              <w:t>照相关规定进行。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项目所设定的绩效目标</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符合国家相关法律规</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定，且符合客观事实。</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绩效目标设定的绩效指标清</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lang w:eastAsia="zh-CN"/>
              </w:rPr>
              <w:t>晰、细化、可衡量。</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资金到位率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10万元</w:t>
            </w:r>
            <w:r>
              <w:t>/</w:t>
            </w:r>
            <w:r>
              <w:rPr>
                <w:rFonts w:hint="eastAsia"/>
                <w:lang w:val="en-US" w:eastAsia="zh-CN"/>
              </w:rPr>
              <w:t>10万元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到位及时率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10万元</w:t>
            </w:r>
            <w:r>
              <w:t>/</w:t>
            </w:r>
            <w:r>
              <w:rPr>
                <w:rFonts w:hint="eastAsia"/>
                <w:lang w:val="en-US" w:eastAsia="zh-CN"/>
              </w:rPr>
              <w:t>10万元</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169"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已制定合法、合规、完整的</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管理制度。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制度执行按照相关法律法规和</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业务管理规定进行，并且相</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关资料都落实到位。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已制定相应的项目质量标准，</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采取了相应的控制措施。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3</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已制定符合相关财务会计制度</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规定的资金管理办法。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7</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项目资金使用符合相关的财务</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eastAsia="zh-CN"/>
              </w:rPr>
            </w:pPr>
            <w:r>
              <w:rPr>
                <w:rFonts w:hint="eastAsia"/>
                <w:kern w:val="0"/>
                <w:szCs w:val="21"/>
                <w:lang w:eastAsia="zh-CN"/>
              </w:rPr>
              <w:t>管理制度规定。</w:t>
            </w:r>
          </w:p>
          <w:p>
            <w:pPr>
              <w:pStyle w:val="10"/>
              <w:keepNext w:val="0"/>
              <w:keepLines w:val="0"/>
              <w:pageBreakBefore w:val="0"/>
              <w:kinsoku/>
              <w:wordWrap/>
              <w:overflowPunct/>
              <w:topLinePunct w:val="0"/>
              <w:autoSpaceDE/>
              <w:autoSpaceDN/>
              <w:bidi w:val="0"/>
              <w:spacing w:line="240" w:lineRule="auto"/>
              <w:ind w:left="0" w:leftChars="0" w:firstLine="0" w:firstLineChars="0"/>
              <w:textAlignment w:val="auto"/>
              <w:rPr>
                <w:rFonts w:hint="eastAsia" w:ascii="Calibri" w:hAnsi="Calibri" w:eastAsia="宋体" w:cs="Calibri"/>
                <w:kern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169" w:type="pct"/>
            <w:vMerge w:val="continue"/>
            <w:shd w:val="clear" w:color="auto" w:fill="auto"/>
            <w:noWrap w:val="0"/>
            <w:vAlign w:val="center"/>
          </w:tcPr>
          <w:p>
            <w:pPr>
              <w:widowControl/>
              <w:spacing w:line="260" w:lineRule="exact"/>
              <w:jc w:val="left"/>
              <w:rPr>
                <w:kern w:val="0"/>
                <w:szCs w:val="21"/>
              </w:rPr>
            </w:pPr>
          </w:p>
        </w:tc>
        <w:tc>
          <w:tcPr>
            <w:tcW w:w="253" w:type="pct"/>
            <w:vMerge w:val="continue"/>
            <w:shd w:val="clear" w:color="auto" w:fill="auto"/>
            <w:noWrap w:val="0"/>
            <w:vAlign w:val="center"/>
          </w:tcPr>
          <w:p>
            <w:pPr>
              <w:widowControl/>
              <w:spacing w:line="260" w:lineRule="exact"/>
              <w:jc w:val="left"/>
              <w:rPr>
                <w:kern w:val="0"/>
                <w:szCs w:val="21"/>
              </w:rPr>
            </w:pPr>
          </w:p>
        </w:tc>
        <w:tc>
          <w:tcPr>
            <w:tcW w:w="253"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4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264"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40" w:type="pct"/>
            <w:noWrap/>
            <w:vAlign w:val="center"/>
          </w:tcPr>
          <w:p>
            <w:pPr>
              <w:widowControl/>
              <w:spacing w:line="260" w:lineRule="exact"/>
              <w:jc w:val="left"/>
              <w:rPr>
                <w:rFonts w:hint="eastAsia" w:eastAsia="宋体"/>
                <w:kern w:val="0"/>
                <w:szCs w:val="21"/>
                <w:lang w:eastAsia="zh-CN"/>
              </w:rPr>
            </w:pPr>
            <w:r>
              <w:rPr>
                <w:rFonts w:hint="eastAsia"/>
                <w:kern w:val="0"/>
                <w:szCs w:val="21"/>
                <w:lang w:val="en-US" w:eastAsia="zh-CN"/>
              </w:rPr>
              <w:t>2</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lang w:eastAsia="zh-CN"/>
              </w:rPr>
            </w:pPr>
            <w:r>
              <w:rPr>
                <w:rFonts w:hint="eastAsia"/>
              </w:rPr>
              <w:t>　</w:t>
            </w:r>
            <w:r>
              <w:rPr>
                <w:rFonts w:hint="eastAsia"/>
                <w:lang w:eastAsia="zh-CN"/>
              </w:rPr>
              <w:t>已具有相应的财务监控机制，</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并采取了必要的监控措施。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264"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4</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实际完成率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全国省市两会确保社会和谐稳定</w:t>
            </w:r>
            <w:r>
              <w:t>/</w:t>
            </w:r>
            <w:r>
              <w:rPr>
                <w:rFonts w:hint="eastAsia"/>
                <w:lang w:eastAsia="zh-CN"/>
              </w:rPr>
              <w:t>全国省市两会确保社会和谐稳定</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spacing w:val="-14"/>
                <w:kern w:val="0"/>
                <w:szCs w:val="21"/>
                <w:lang w:eastAsia="zh-CN"/>
              </w:rPr>
              <w:t>（实际完成率</w:t>
            </w:r>
            <w:r>
              <w:rPr>
                <w:rFonts w:hint="eastAsia"/>
                <w:spacing w:val="-14"/>
                <w:kern w:val="0"/>
                <w:szCs w:val="21"/>
                <w:lang w:val="en-US" w:eastAsia="zh-CN"/>
              </w:rPr>
              <w:t>100%</w:t>
            </w:r>
            <w:r>
              <w:rPr>
                <w:rFonts w:hint="eastAsia"/>
                <w:spacing w:val="-14"/>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6</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完成及时率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val="en-US" w:eastAsia="zh-CN"/>
              </w:rPr>
              <w:t>2023年</w:t>
            </w:r>
            <w:r>
              <w:t>-</w:t>
            </w:r>
            <w:r>
              <w:rPr>
                <w:rFonts w:hint="eastAsia"/>
                <w:lang w:val="en-US" w:eastAsia="zh-CN"/>
              </w:rPr>
              <w:t>2023年底</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rPr>
                <w:rFonts w:hint="eastAsia"/>
              </w:rPr>
              <w:t>）</w:t>
            </w:r>
            <w:r>
              <w:t>/</w:t>
            </w:r>
            <w:r>
              <w:rPr>
                <w:rFonts w:hint="eastAsia"/>
                <w:lang w:val="en-US" w:eastAsia="zh-CN"/>
              </w:rPr>
              <w:t>2023年</w:t>
            </w:r>
            <w:r>
              <w:t>]</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（完成及时率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质量达标率</w:t>
            </w:r>
          </w:p>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default" w:eastAsia="宋体"/>
                <w:lang w:val="en-US" w:eastAsia="zh-CN"/>
              </w:rPr>
            </w:pPr>
            <w:r>
              <w:t>=</w:t>
            </w:r>
            <w:r>
              <w:rPr>
                <w:rFonts w:hint="eastAsia"/>
              </w:rPr>
              <w:t>（</w:t>
            </w:r>
            <w:r>
              <w:rPr>
                <w:rFonts w:hint="eastAsia"/>
                <w:lang w:eastAsia="zh-CN"/>
              </w:rPr>
              <w:t>派遣工作组</w:t>
            </w:r>
            <w:r>
              <w:rPr>
                <w:rFonts w:hint="eastAsia"/>
                <w:lang w:val="en-US" w:eastAsia="zh-CN"/>
              </w:rPr>
              <w:t>12/派遣工作组12</w:t>
            </w:r>
            <w:r>
              <w:rPr>
                <w:rFonts w:hint="eastAsia"/>
              </w:rPr>
              <w:t>）×</w:t>
            </w:r>
            <w:r>
              <w:t>100%</w:t>
            </w:r>
            <w:r>
              <w:rPr>
                <w:rFonts w:hint="eastAsia"/>
                <w:lang w:val="en-US" w:eastAsia="zh-CN"/>
              </w:rPr>
              <w:t>=100%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eastAsia" w:ascii="Calibri" w:hAnsi="Calibri" w:eastAsia="宋体" w:cs="Calibri"/>
                <w:kern w:val="2"/>
                <w:sz w:val="21"/>
                <w:szCs w:val="24"/>
                <w:lang w:val="en-US" w:eastAsia="zh-CN" w:bidi="ar-SA"/>
              </w:rPr>
            </w:pPr>
            <w:r>
              <w:rPr>
                <w:rFonts w:hint="eastAsia"/>
                <w:kern w:val="0"/>
                <w:szCs w:val="21"/>
                <w:lang w:eastAsia="zh-CN"/>
              </w:rPr>
              <w:t>（质量达标率</w:t>
            </w:r>
            <w:r>
              <w:rPr>
                <w:rFonts w:hint="eastAsia"/>
                <w:kern w:val="0"/>
                <w:szCs w:val="21"/>
                <w:lang w:val="en-US" w:eastAsia="zh-CN"/>
              </w:rPr>
              <w:t>100%</w:t>
            </w:r>
            <w:r>
              <w:rPr>
                <w:rFonts w:hint="eastAsia"/>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rPr>
            </w:pPr>
            <w:r>
              <w:rPr>
                <w:rFonts w:hint="eastAsia"/>
              </w:rPr>
              <w:t>　成本节约率</w:t>
            </w:r>
          </w:p>
          <w:p>
            <w:pPr>
              <w:keepNext w:val="0"/>
              <w:keepLines w:val="0"/>
              <w:pageBreakBefore w:val="0"/>
              <w:widowControl/>
              <w:kinsoku/>
              <w:wordWrap/>
              <w:overflowPunct/>
              <w:topLinePunct w:val="0"/>
              <w:autoSpaceDE/>
              <w:autoSpaceDN/>
              <w:bidi w:val="0"/>
              <w:spacing w:line="240" w:lineRule="auto"/>
              <w:ind w:left="0" w:leftChars="0"/>
              <w:jc w:val="left"/>
              <w:textAlignment w:val="auto"/>
            </w:pPr>
            <w:r>
              <w:t>=[</w:t>
            </w:r>
            <w:r>
              <w:rPr>
                <w:rFonts w:hint="eastAsia"/>
              </w:rPr>
              <w:t>（</w:t>
            </w:r>
            <w:r>
              <w:rPr>
                <w:rFonts w:hint="eastAsia"/>
                <w:lang w:val="en-US" w:eastAsia="zh-CN"/>
              </w:rPr>
              <w:t>10万元</w:t>
            </w:r>
            <w:r>
              <w:t>-</w:t>
            </w:r>
            <w:r>
              <w:rPr>
                <w:rFonts w:hint="eastAsia"/>
                <w:lang w:val="en-US" w:eastAsia="zh-CN"/>
              </w:rPr>
              <w:t>10万元</w:t>
            </w:r>
            <w:r>
              <w:rPr>
                <w:rFonts w:hint="eastAsia"/>
              </w:rPr>
              <w:t>）</w:t>
            </w:r>
            <w:r>
              <w:t>/</w:t>
            </w:r>
            <w:r>
              <w:rPr>
                <w:rFonts w:hint="eastAsia"/>
                <w:lang w:val="en-US" w:eastAsia="zh-CN"/>
              </w:rPr>
              <w:t>10万元</w:t>
            </w:r>
            <w:r>
              <w:t>]</w:t>
            </w:r>
            <w:r>
              <w:rPr>
                <w:rFonts w:hint="eastAsia"/>
              </w:rPr>
              <w:t>×</w:t>
            </w:r>
            <w:r>
              <w:t>100%</w:t>
            </w:r>
          </w:p>
          <w:p>
            <w:pPr>
              <w:pStyle w:val="10"/>
              <w:keepNext w:val="0"/>
              <w:keepLines w:val="0"/>
              <w:pageBreakBefore w:val="0"/>
              <w:kinsoku/>
              <w:wordWrap/>
              <w:overflowPunct/>
              <w:topLinePunct w:val="0"/>
              <w:autoSpaceDE/>
              <w:autoSpaceDN/>
              <w:bidi w:val="0"/>
              <w:spacing w:line="240" w:lineRule="auto"/>
              <w:ind w:leftChars="100"/>
              <w:textAlignment w:val="auto"/>
              <w:rPr>
                <w:rFonts w:hint="eastAsia"/>
                <w:kern w:val="0"/>
                <w:szCs w:val="21"/>
                <w:lang w:val="en-US" w:eastAsia="zh-CN"/>
              </w:rPr>
            </w:pPr>
            <w:r>
              <w:rPr>
                <w:rFonts w:hint="eastAsia"/>
                <w:kern w:val="0"/>
                <w:szCs w:val="21"/>
                <w:lang w:val="en-US" w:eastAsia="zh-CN"/>
              </w:rPr>
              <w:t>=0%</w:t>
            </w:r>
          </w:p>
          <w:p>
            <w:pPr>
              <w:pStyle w:val="10"/>
              <w:keepNext w:val="0"/>
              <w:keepLines w:val="0"/>
              <w:pageBreakBefore w:val="0"/>
              <w:kinsoku/>
              <w:wordWrap/>
              <w:overflowPunct/>
              <w:topLinePunct w:val="0"/>
              <w:autoSpaceDE/>
              <w:autoSpaceDN/>
              <w:bidi w:val="0"/>
              <w:spacing w:line="240" w:lineRule="auto"/>
              <w:ind w:left="210" w:leftChars="100"/>
              <w:textAlignment w:val="auto"/>
              <w:rPr>
                <w:rFonts w:hint="default" w:ascii="Calibri" w:hAnsi="Calibri" w:eastAsia="宋体" w:cs="Calibri"/>
                <w:kern w:val="0"/>
                <w:sz w:val="21"/>
                <w:szCs w:val="21"/>
                <w:lang w:val="en-US" w:eastAsia="zh-CN" w:bidi="ar-SA"/>
              </w:rPr>
            </w:pPr>
            <w:r>
              <w:rPr>
                <w:rFonts w:hint="eastAsia"/>
                <w:kern w:val="0"/>
                <w:szCs w:val="21"/>
                <w:lang w:val="en-US" w:eastAsia="zh-CN"/>
              </w:rPr>
              <w:t>(节约)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16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5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264"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达到预期的经济效益。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维护社会稳定，社会效益好。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4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ascii="Times New Roman" w:hAnsi="Times New Roman" w:eastAsia="宋体" w:cs="Times New Roman"/>
                <w:kern w:val="0"/>
                <w:sz w:val="21"/>
                <w:szCs w:val="21"/>
                <w:lang w:val="en-US" w:eastAsia="zh-CN" w:bidi="ar-SA"/>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264" w:type="pct"/>
            <w:vMerge w:val="continue"/>
            <w:noWrap w:val="0"/>
            <w:vAlign w:val="center"/>
          </w:tcPr>
          <w:p>
            <w:pPr>
              <w:widowControl/>
              <w:spacing w:line="240" w:lineRule="exact"/>
              <w:jc w:val="left"/>
              <w:rPr>
                <w:kern w:val="0"/>
                <w:szCs w:val="21"/>
              </w:rPr>
            </w:pPr>
          </w:p>
        </w:tc>
        <w:tc>
          <w:tcPr>
            <w:tcW w:w="340" w:type="pct"/>
            <w:noWrap/>
            <w:vAlign w:val="center"/>
          </w:tcPr>
          <w:p>
            <w:pPr>
              <w:widowControl/>
              <w:spacing w:line="240" w:lineRule="exact"/>
              <w:jc w:val="left"/>
              <w:rPr>
                <w:rFonts w:hint="eastAsia" w:eastAsia="宋体"/>
                <w:kern w:val="0"/>
                <w:szCs w:val="21"/>
                <w:lang w:eastAsia="zh-CN"/>
              </w:rPr>
            </w:pPr>
            <w:r>
              <w:rPr>
                <w:rFonts w:hint="eastAsia"/>
                <w:kern w:val="0"/>
                <w:szCs w:val="21"/>
                <w:lang w:val="en-US" w:eastAsia="zh-CN"/>
              </w:rPr>
              <w:t>5</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维护社会长治久安，可持续性好。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169" w:type="pct"/>
            <w:vMerge w:val="continue"/>
            <w:shd w:val="clear" w:color="auto" w:fill="auto"/>
            <w:noWrap w:val="0"/>
            <w:vAlign w:val="center"/>
          </w:tcPr>
          <w:p>
            <w:pPr>
              <w:widowControl/>
              <w:spacing w:line="240" w:lineRule="exact"/>
              <w:jc w:val="left"/>
              <w:rPr>
                <w:kern w:val="0"/>
                <w:szCs w:val="21"/>
              </w:rPr>
            </w:pPr>
          </w:p>
        </w:tc>
        <w:tc>
          <w:tcPr>
            <w:tcW w:w="253" w:type="pct"/>
            <w:vMerge w:val="continue"/>
            <w:shd w:val="clear" w:color="auto" w:fill="auto"/>
            <w:noWrap w:val="0"/>
            <w:vAlign w:val="center"/>
          </w:tcPr>
          <w:p>
            <w:pPr>
              <w:widowControl/>
              <w:spacing w:line="240" w:lineRule="exact"/>
              <w:jc w:val="left"/>
              <w:rPr>
                <w:kern w:val="0"/>
                <w:szCs w:val="21"/>
              </w:rPr>
            </w:pPr>
          </w:p>
        </w:tc>
        <w:tc>
          <w:tcPr>
            <w:tcW w:w="25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4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264"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40"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10</w:t>
            </w:r>
          </w:p>
        </w:tc>
        <w:tc>
          <w:tcPr>
            <w:tcW w:w="1775" w:type="pct"/>
            <w:noWrap/>
            <w:vAlign w:val="center"/>
          </w:tcPr>
          <w:p>
            <w:pPr>
              <w:keepNext w:val="0"/>
              <w:keepLines w:val="0"/>
              <w:pageBreakBefore w:val="0"/>
              <w:widowControl/>
              <w:kinsoku/>
              <w:wordWrap/>
              <w:overflowPunct/>
              <w:topLinePunct w:val="0"/>
              <w:autoSpaceDE/>
              <w:autoSpaceDN/>
              <w:bidi w:val="0"/>
              <w:spacing w:line="240" w:lineRule="auto"/>
              <w:ind w:left="0" w:leftChars="0"/>
              <w:jc w:val="left"/>
              <w:textAlignment w:val="auto"/>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eastAsia="zh-CN"/>
              </w:rPr>
              <w:t>服务对象评价满意。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2884"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40"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95</w:t>
            </w:r>
          </w:p>
        </w:tc>
        <w:tc>
          <w:tcPr>
            <w:tcW w:w="177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pgNumType w:fmt="numberInDash"/>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hint="eastAsia" w:eastAsia="方正黑体简体"/>
          <w:sz w:val="32"/>
          <w:szCs w:val="32"/>
          <w:lang w:val="en-US" w:eastAsia="zh-CN"/>
        </w:rPr>
        <w:t>6-</w:t>
      </w:r>
      <w:r>
        <w:rPr>
          <w:rFonts w:eastAsia="方正黑体简体"/>
          <w:sz w:val="32"/>
          <w:szCs w:val="32"/>
        </w:rPr>
        <w:t>2</w:t>
      </w:r>
    </w:p>
    <w:p>
      <w:pPr>
        <w:spacing w:line="620" w:lineRule="exact"/>
        <w:jc w:val="center"/>
        <w:rPr>
          <w:rFonts w:eastAsia="方正小标宋简体"/>
          <w:color w:val="000000"/>
          <w:spacing w:val="-12"/>
          <w:kern w:val="0"/>
          <w:sz w:val="36"/>
          <w:szCs w:val="36"/>
        </w:rPr>
      </w:pPr>
      <w:r>
        <w:rPr>
          <w:rFonts w:hint="eastAsia" w:eastAsia="方正小标宋简体"/>
          <w:color w:val="000000"/>
          <w:spacing w:val="-12"/>
          <w:kern w:val="0"/>
          <w:sz w:val="36"/>
          <w:szCs w:val="36"/>
          <w:lang w:eastAsia="zh-CN"/>
        </w:rPr>
        <w:t>2023年</w:t>
      </w:r>
      <w:r>
        <w:rPr>
          <w:rFonts w:hint="eastAsia" w:eastAsia="方正小标宋简体"/>
          <w:color w:val="000000"/>
          <w:spacing w:val="-12"/>
          <w:kern w:val="0"/>
          <w:sz w:val="36"/>
          <w:szCs w:val="36"/>
        </w:rPr>
        <w:t>度乐至县项目支出绩效目标完成情况表</w:t>
      </w:r>
    </w:p>
    <w:p>
      <w:pPr>
        <w:pStyle w:val="7"/>
        <w:spacing w:line="240" w:lineRule="exact"/>
        <w:rPr>
          <w:rFonts w:ascii="宋体"/>
        </w:rPr>
      </w:pP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06"/>
        <w:gridCol w:w="1310"/>
        <w:gridCol w:w="968"/>
        <w:gridCol w:w="1365"/>
        <w:gridCol w:w="1065"/>
        <w:gridCol w:w="1340"/>
        <w:gridCol w:w="17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color w:val="000000"/>
                <w:kern w:val="0"/>
                <w:szCs w:val="21"/>
              </w:rPr>
            </w:pPr>
            <w:r>
              <w:rPr>
                <w:rFonts w:hint="eastAsia" w:cs="宋体"/>
                <w:color w:val="auto"/>
                <w:kern w:val="0"/>
                <w:szCs w:val="21"/>
              </w:rPr>
              <w:t>重点群体信访维稳工作经费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乐至县信访局</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111001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1</w:t>
            </w:r>
            <w:r>
              <w:rPr>
                <w:rFonts w:hint="eastAsia"/>
                <w:lang w:val="en-US" w:eastAsia="zh-CN"/>
              </w:rPr>
              <w:t>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w:t>
            </w:r>
            <w:r>
              <w:rPr>
                <w:rFonts w:hint="eastAsia"/>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1</w:t>
            </w:r>
            <w:r>
              <w:rPr>
                <w:rFonts w:hint="eastAsia"/>
                <w:lang w:val="en-US" w:eastAsia="zh-CN"/>
              </w:rPr>
              <w:t>0</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1</w:t>
            </w:r>
            <w:r>
              <w:rPr>
                <w:rFonts w:hint="eastAsia"/>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rFonts w:hint="default"/>
                <w:color w:val="000000"/>
                <w:kern w:val="0"/>
                <w:szCs w:val="21"/>
                <w:lang w:val="en-US"/>
              </w:rPr>
            </w:pPr>
            <w:r>
              <w:rPr>
                <w:rFonts w:hint="default"/>
                <w:color w:val="000000"/>
                <w:kern w:val="0"/>
                <w:szCs w:val="21"/>
                <w:lang w:val="en-US"/>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1</w:t>
            </w:r>
            <w:r>
              <w:rPr>
                <w:rFonts w:hint="eastAsia"/>
                <w:lang w:val="en-US" w:eastAsia="zh-CN"/>
              </w:rPr>
              <w:t>0</w:t>
            </w:r>
          </w:p>
        </w:tc>
        <w:tc>
          <w:tcPr>
            <w:tcW w:w="0" w:type="auto"/>
            <w:noWrap/>
            <w:vAlign w:val="center"/>
          </w:tcPr>
          <w:p>
            <w:pPr>
              <w:widowControl/>
              <w:spacing w:line="240" w:lineRule="exact"/>
              <w:jc w:val="left"/>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1</w:t>
            </w:r>
            <w:r>
              <w:rPr>
                <w:rFonts w:hint="eastAsia"/>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 xml:space="preserve"> 1</w:t>
            </w:r>
            <w:r>
              <w:rPr>
                <w:rFonts w:hint="eastAsia"/>
                <w:lang w:val="en-US" w:eastAsia="zh-CN"/>
              </w:rPr>
              <w:t>0</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1</w:t>
            </w:r>
            <w:r>
              <w:rPr>
                <w:rFonts w:hint="eastAsia"/>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目标</w:t>
            </w:r>
            <w:r>
              <w:rPr>
                <w:color w:val="000000"/>
                <w:kern w:val="0"/>
                <w:szCs w:val="21"/>
              </w:rPr>
              <w:t>1:</w:t>
            </w:r>
            <w:r>
              <w:rPr>
                <w:rFonts w:hint="eastAsia"/>
                <w:color w:val="000000"/>
                <w:kern w:val="0"/>
                <w:szCs w:val="21"/>
                <w:lang w:eastAsia="zh-CN"/>
              </w:rPr>
              <w:t>确保全国省市两会期间社会和谐稳定</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目标</w:t>
            </w:r>
            <w:r>
              <w:rPr>
                <w:rFonts w:hint="eastAsia"/>
                <w:color w:val="000000"/>
                <w:kern w:val="0"/>
                <w:szCs w:val="21"/>
                <w:lang w:val="en-US" w:eastAsia="zh-CN"/>
              </w:rPr>
              <w:t>2：控制越级访进京访</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3：</w:t>
            </w:r>
            <w:r>
              <w:rPr>
                <w:rFonts w:hint="eastAsia" w:eastAsia="宋体"/>
                <w:kern w:val="0"/>
                <w:sz w:val="21"/>
                <w:szCs w:val="21"/>
              </w:rPr>
              <w:t>进一步促进党和人民群众的血肉联系，提高了人民群众满意度。</w:t>
            </w:r>
          </w:p>
        </w:tc>
        <w:tc>
          <w:tcPr>
            <w:tcW w:w="0" w:type="auto"/>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基本完成</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派遣处访工作组</w:t>
            </w:r>
          </w:p>
        </w:tc>
        <w:tc>
          <w:tcPr>
            <w:tcW w:w="0" w:type="auto"/>
            <w:noWrap/>
            <w:vAlign w:val="center"/>
          </w:tcPr>
          <w:p>
            <w:pPr>
              <w:widowControl/>
              <w:spacing w:line="240" w:lineRule="exact"/>
              <w:ind w:firstLine="210" w:firstLineChars="100"/>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10</w:t>
            </w:r>
          </w:p>
        </w:tc>
        <w:tc>
          <w:tcPr>
            <w:tcW w:w="0" w:type="auto"/>
            <w:noWrap/>
            <w:vAlign w:val="center"/>
          </w:tcPr>
          <w:p>
            <w:pPr>
              <w:widowControl/>
              <w:spacing w:line="240" w:lineRule="exact"/>
              <w:ind w:firstLine="420" w:firstLineChars="200"/>
              <w:jc w:val="left"/>
              <w:rPr>
                <w:rFonts w:hint="eastAsia"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控制越级访，减少进京访人数</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15人</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5人</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2:</w:t>
            </w:r>
            <w:r>
              <w:rPr>
                <w:rFonts w:hint="eastAsia" w:eastAsia="宋体"/>
                <w:kern w:val="0"/>
                <w:sz w:val="24"/>
                <w:szCs w:val="24"/>
                <w:lang w:eastAsia="zh-CN"/>
              </w:rPr>
              <w:t>重要敏感节点第一时间劝返</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完成</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信访事项按期办结率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lang w:val="en-US" w:eastAsia="zh-CN"/>
              </w:rPr>
              <w:t>≧</w:t>
            </w:r>
            <w:r>
              <w:rPr>
                <w:rFonts w:hint="eastAsia"/>
                <w:color w:val="000000"/>
                <w:kern w:val="0"/>
                <w:szCs w:val="21"/>
                <w:lang w:val="en-US" w:eastAsia="zh-CN"/>
              </w:rPr>
              <w:t>98%</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信访维稳经费</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lang w:val="en-US" w:eastAsia="zh-CN"/>
              </w:rPr>
              <w:t>10万元</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lang w:val="en-US" w:eastAsia="zh-CN"/>
              </w:rPr>
              <w:t>10万元</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促进经济发展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维护社会稳定，提升群众满意度</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rPr>
              <w:t>维护社会稳定，</w:t>
            </w:r>
            <w:r>
              <w:rPr>
                <w:rFonts w:hint="eastAsia"/>
                <w:color w:val="000000"/>
                <w:kern w:val="0"/>
                <w:szCs w:val="21"/>
                <w:lang w:eastAsia="zh-CN"/>
              </w:rPr>
              <w:t>促进社会可持续发展</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特殊疑难信访群体满意率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ascii="宋体" w:hAnsi="宋体" w:eastAsia="宋体" w:cs="宋体"/>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
    <w:p>
      <w:pPr>
        <w:spacing w:line="620" w:lineRule="exact"/>
        <w:jc w:val="left"/>
        <w:rPr>
          <w:rFonts w:ascii="宋体"/>
          <w:sz w:val="32"/>
          <w:szCs w:val="32"/>
        </w:rPr>
      </w:pPr>
    </w:p>
    <w:p>
      <w:pPr>
        <w:spacing w:line="620" w:lineRule="exact"/>
        <w:jc w:val="left"/>
        <w:rPr>
          <w:rFonts w:ascii="宋体"/>
          <w:sz w:val="32"/>
          <w:szCs w:val="32"/>
        </w:rPr>
      </w:pPr>
    </w:p>
    <w:p/>
    <w:p/>
    <w:p>
      <w:pPr>
        <w:pStyle w:val="2"/>
        <w:rPr>
          <w:rFonts w:hint="eastAsia"/>
        </w:rPr>
      </w:pPr>
    </w:p>
    <w:p>
      <w:pPr>
        <w:pStyle w:val="2"/>
        <w:rPr>
          <w:rFonts w:hint="eastAsia"/>
        </w:rPr>
      </w:pPr>
    </w:p>
    <w:p>
      <w:pPr>
        <w:spacing w:line="600" w:lineRule="exact"/>
        <w:jc w:val="center"/>
        <w:outlineLvl w:val="0"/>
        <w:rPr>
          <w:rFonts w:ascii="仿宋" w:hAnsi="仿宋" w:eastAsia="仿宋"/>
        </w:rPr>
      </w:pPr>
      <w:bookmarkStart w:id="57" w:name="_Toc15396618"/>
      <w:r>
        <w:rPr>
          <w:rFonts w:hint="eastAsia" w:ascii="黑体" w:hAnsi="黑体" w:eastAsia="黑体"/>
          <w:sz w:val="44"/>
          <w:szCs w:val="44"/>
        </w:rPr>
        <w:t>第</w:t>
      </w:r>
      <w:r>
        <w:rPr>
          <w:rStyle w:val="31"/>
          <w:rFonts w:hint="eastAsia" w:ascii="黑体" w:hAnsi="黑体" w:eastAsia="黑体"/>
          <w:b w:val="0"/>
        </w:rPr>
        <w:t>五部分 附表</w:t>
      </w:r>
      <w:bookmarkEnd w:id="55"/>
      <w:bookmarkEnd w:id="57"/>
      <w:bookmarkStart w:id="58" w:name="_Toc15396619"/>
    </w:p>
    <w:p>
      <w:pPr>
        <w:pStyle w:val="4"/>
        <w:rPr>
          <w:rFonts w:ascii="仿宋" w:hAnsi="仿宋" w:eastAsia="仿宋"/>
        </w:rPr>
      </w:pPr>
      <w:r>
        <w:rPr>
          <w:rFonts w:hint="eastAsia" w:ascii="仿宋" w:hAnsi="仿宋" w:eastAsia="仿宋"/>
          <w:b w:val="0"/>
        </w:rPr>
        <w:t>一、收</w:t>
      </w:r>
      <w:r>
        <w:rPr>
          <w:rStyle w:val="32"/>
          <w:rFonts w:hint="eastAsia" w:ascii="仿宋" w:hAnsi="仿宋" w:eastAsia="仿宋"/>
          <w:b w:val="0"/>
          <w:bCs w:val="0"/>
        </w:rPr>
        <w:t>入支出决算总表</w:t>
      </w:r>
      <w:bookmarkEnd w:id="58"/>
    </w:p>
    <w:p>
      <w:pPr>
        <w:pStyle w:val="4"/>
        <w:rPr>
          <w:rFonts w:ascii="仿宋" w:hAnsi="仿宋" w:eastAsia="仿宋"/>
        </w:rPr>
      </w:pPr>
      <w:bookmarkStart w:id="59" w:name="_Toc15396620"/>
      <w:r>
        <w:rPr>
          <w:rFonts w:hint="eastAsia" w:ascii="仿宋" w:hAnsi="仿宋" w:eastAsia="仿宋"/>
          <w:b w:val="0"/>
        </w:rPr>
        <w:t>二、收</w:t>
      </w:r>
      <w:r>
        <w:rPr>
          <w:rStyle w:val="32"/>
          <w:rFonts w:hint="eastAsia" w:ascii="仿宋" w:hAnsi="仿宋" w:eastAsia="仿宋"/>
          <w:b w:val="0"/>
          <w:bCs w:val="0"/>
        </w:rPr>
        <w:t>入决算表</w:t>
      </w:r>
      <w:bookmarkEnd w:id="59"/>
    </w:p>
    <w:p>
      <w:pPr>
        <w:pStyle w:val="4"/>
        <w:rPr>
          <w:rFonts w:ascii="仿宋" w:hAnsi="仿宋" w:eastAsia="仿宋"/>
        </w:rPr>
      </w:pPr>
      <w:bookmarkStart w:id="60" w:name="_Toc15396621"/>
      <w:r>
        <w:rPr>
          <w:rStyle w:val="32"/>
          <w:rFonts w:hint="eastAsia" w:ascii="仿宋" w:hAnsi="仿宋" w:eastAsia="仿宋"/>
          <w:b w:val="0"/>
          <w:bCs w:val="0"/>
        </w:rPr>
        <w:t>三、</w:t>
      </w:r>
      <w:r>
        <w:rPr>
          <w:rFonts w:hint="eastAsia" w:ascii="仿宋" w:hAnsi="仿宋" w:eastAsia="仿宋"/>
          <w:b w:val="0"/>
        </w:rPr>
        <w:t>支</w:t>
      </w:r>
      <w:r>
        <w:rPr>
          <w:rStyle w:val="32"/>
          <w:rFonts w:hint="eastAsia" w:ascii="仿宋" w:hAnsi="仿宋" w:eastAsia="仿宋"/>
          <w:b w:val="0"/>
          <w:bCs w:val="0"/>
        </w:rPr>
        <w:t>出决算表</w:t>
      </w:r>
      <w:bookmarkEnd w:id="60"/>
    </w:p>
    <w:p>
      <w:pPr>
        <w:pStyle w:val="4"/>
        <w:rPr>
          <w:rFonts w:ascii="仿宋" w:hAnsi="仿宋" w:eastAsia="仿宋"/>
          <w:b w:val="0"/>
        </w:rPr>
      </w:pPr>
      <w:bookmarkStart w:id="61" w:name="_Toc15396622"/>
      <w:r>
        <w:rPr>
          <w:rStyle w:val="32"/>
          <w:rFonts w:hint="eastAsia" w:ascii="仿宋" w:hAnsi="仿宋" w:eastAsia="仿宋"/>
          <w:b w:val="0"/>
          <w:bCs w:val="0"/>
        </w:rPr>
        <w:t>四、</w:t>
      </w:r>
      <w:r>
        <w:rPr>
          <w:rFonts w:hint="eastAsia" w:ascii="仿宋" w:hAnsi="仿宋" w:eastAsia="仿宋"/>
          <w:b w:val="0"/>
        </w:rPr>
        <w:t>财</w:t>
      </w:r>
      <w:r>
        <w:rPr>
          <w:rStyle w:val="32"/>
          <w:rFonts w:hint="eastAsia" w:ascii="仿宋" w:hAnsi="仿宋" w:eastAsia="仿宋"/>
          <w:b w:val="0"/>
          <w:bCs w:val="0"/>
        </w:rPr>
        <w:t>政拨款收入支出决算总表</w:t>
      </w:r>
      <w:bookmarkEnd w:id="61"/>
    </w:p>
    <w:p>
      <w:pPr>
        <w:pStyle w:val="4"/>
        <w:rPr>
          <w:rStyle w:val="32"/>
          <w:rFonts w:ascii="仿宋" w:hAnsi="仿宋" w:eastAsia="仿宋"/>
          <w:b w:val="0"/>
          <w:bCs w:val="0"/>
        </w:rPr>
      </w:pPr>
      <w:bookmarkStart w:id="62" w:name="_Toc15396623"/>
      <w:r>
        <w:rPr>
          <w:rStyle w:val="32"/>
          <w:rFonts w:hint="eastAsia" w:ascii="仿宋" w:hAnsi="仿宋" w:eastAsia="仿宋"/>
          <w:b w:val="0"/>
          <w:bCs w:val="0"/>
        </w:rPr>
        <w:t>五、</w:t>
      </w:r>
      <w:r>
        <w:rPr>
          <w:rFonts w:hint="eastAsia" w:ascii="仿宋" w:hAnsi="仿宋" w:eastAsia="仿宋"/>
          <w:b w:val="0"/>
        </w:rPr>
        <w:t>财</w:t>
      </w:r>
      <w:r>
        <w:rPr>
          <w:rStyle w:val="32"/>
          <w:rFonts w:hint="eastAsia" w:ascii="仿宋" w:hAnsi="仿宋" w:eastAsia="仿宋"/>
          <w:b w:val="0"/>
          <w:bCs w:val="0"/>
        </w:rPr>
        <w:t>政拨款支出决算明细表</w:t>
      </w:r>
      <w:bookmarkEnd w:id="62"/>
      <w:bookmarkStart w:id="63" w:name="_Toc15396624"/>
    </w:p>
    <w:p>
      <w:pPr>
        <w:pStyle w:val="4"/>
        <w:rPr>
          <w:rFonts w:ascii="仿宋" w:hAnsi="仿宋" w:eastAsia="仿宋"/>
        </w:rPr>
      </w:pPr>
      <w:r>
        <w:rPr>
          <w:rStyle w:val="32"/>
          <w:rFonts w:hint="eastAsia" w:ascii="仿宋" w:hAnsi="仿宋" w:eastAsia="仿宋"/>
          <w:b w:val="0"/>
          <w:bCs w:val="0"/>
        </w:rPr>
        <w:t>六、</w:t>
      </w:r>
      <w:r>
        <w:rPr>
          <w:rFonts w:hint="eastAsia" w:ascii="仿宋" w:hAnsi="仿宋" w:eastAsia="仿宋"/>
          <w:b w:val="0"/>
        </w:rPr>
        <w:t>一</w:t>
      </w:r>
      <w:r>
        <w:rPr>
          <w:rStyle w:val="32"/>
          <w:rFonts w:hint="eastAsia" w:ascii="仿宋" w:hAnsi="仿宋" w:eastAsia="仿宋"/>
          <w:b w:val="0"/>
          <w:bCs w:val="0"/>
        </w:rPr>
        <w:t>般公共预算财政拨款支出决算表</w:t>
      </w:r>
      <w:bookmarkEnd w:id="63"/>
    </w:p>
    <w:p>
      <w:pPr>
        <w:pStyle w:val="4"/>
        <w:rPr>
          <w:rFonts w:ascii="仿宋" w:hAnsi="仿宋" w:eastAsia="仿宋"/>
        </w:rPr>
      </w:pPr>
      <w:bookmarkStart w:id="64" w:name="_Toc15396625"/>
      <w:r>
        <w:rPr>
          <w:rStyle w:val="32"/>
          <w:rFonts w:hint="eastAsia" w:ascii="仿宋" w:hAnsi="仿宋" w:eastAsia="仿宋"/>
          <w:b w:val="0"/>
          <w:bCs w:val="0"/>
        </w:rPr>
        <w:t>七、</w:t>
      </w:r>
      <w:r>
        <w:rPr>
          <w:rFonts w:hint="eastAsia" w:ascii="仿宋" w:hAnsi="仿宋" w:eastAsia="仿宋"/>
          <w:b w:val="0"/>
        </w:rPr>
        <w:t>一</w:t>
      </w:r>
      <w:r>
        <w:rPr>
          <w:rStyle w:val="32"/>
          <w:rFonts w:hint="eastAsia" w:ascii="仿宋" w:hAnsi="仿宋" w:eastAsia="仿宋"/>
          <w:b w:val="0"/>
          <w:bCs w:val="0"/>
        </w:rPr>
        <w:t>般公共预算财政拨款支出决算明细表</w:t>
      </w:r>
      <w:bookmarkEnd w:id="64"/>
    </w:p>
    <w:p>
      <w:pPr>
        <w:pStyle w:val="4"/>
        <w:rPr>
          <w:rFonts w:ascii="仿宋" w:hAnsi="仿宋" w:eastAsia="仿宋"/>
        </w:rPr>
      </w:pPr>
      <w:bookmarkStart w:id="65" w:name="_Toc15396626"/>
      <w:r>
        <w:rPr>
          <w:rStyle w:val="32"/>
          <w:rFonts w:hint="eastAsia" w:ascii="仿宋" w:hAnsi="仿宋" w:eastAsia="仿宋"/>
          <w:b w:val="0"/>
          <w:bCs w:val="0"/>
        </w:rPr>
        <w:t>八、</w:t>
      </w:r>
      <w:r>
        <w:rPr>
          <w:rFonts w:hint="eastAsia" w:ascii="仿宋" w:hAnsi="仿宋" w:eastAsia="仿宋"/>
          <w:b w:val="0"/>
        </w:rPr>
        <w:t>一</w:t>
      </w:r>
      <w:r>
        <w:rPr>
          <w:rStyle w:val="32"/>
          <w:rFonts w:hint="eastAsia" w:ascii="仿宋" w:hAnsi="仿宋" w:eastAsia="仿宋"/>
          <w:b w:val="0"/>
          <w:bCs w:val="0"/>
        </w:rPr>
        <w:t>般公共预算财政拨款基本支出决算表</w:t>
      </w:r>
      <w:bookmarkEnd w:id="65"/>
    </w:p>
    <w:p>
      <w:pPr>
        <w:pStyle w:val="4"/>
        <w:rPr>
          <w:rFonts w:ascii="仿宋" w:hAnsi="仿宋" w:eastAsia="仿宋"/>
        </w:rPr>
      </w:pPr>
      <w:bookmarkStart w:id="66" w:name="_Toc15396627"/>
      <w:r>
        <w:rPr>
          <w:rStyle w:val="32"/>
          <w:rFonts w:hint="eastAsia" w:ascii="仿宋" w:hAnsi="仿宋" w:eastAsia="仿宋"/>
          <w:b w:val="0"/>
          <w:bCs w:val="0"/>
        </w:rPr>
        <w:t>九、</w:t>
      </w:r>
      <w:r>
        <w:rPr>
          <w:rFonts w:hint="eastAsia" w:ascii="仿宋" w:hAnsi="仿宋" w:eastAsia="仿宋"/>
          <w:b w:val="0"/>
        </w:rPr>
        <w:t>一</w:t>
      </w:r>
      <w:r>
        <w:rPr>
          <w:rStyle w:val="32"/>
          <w:rFonts w:hint="eastAsia" w:ascii="仿宋" w:hAnsi="仿宋" w:eastAsia="仿宋"/>
          <w:b w:val="0"/>
          <w:bCs w:val="0"/>
        </w:rPr>
        <w:t>般公共预算财政拨款项目支出决算表</w:t>
      </w:r>
      <w:bookmarkEnd w:id="66"/>
    </w:p>
    <w:p>
      <w:pPr>
        <w:pStyle w:val="4"/>
        <w:rPr>
          <w:rFonts w:ascii="仿宋" w:hAnsi="仿宋" w:eastAsia="仿宋"/>
        </w:rPr>
      </w:pPr>
      <w:bookmarkStart w:id="67" w:name="_Toc15396628"/>
      <w:r>
        <w:rPr>
          <w:rStyle w:val="32"/>
          <w:rFonts w:hint="eastAsia" w:ascii="仿宋" w:hAnsi="仿宋" w:eastAsia="仿宋"/>
          <w:b w:val="0"/>
          <w:bCs w:val="0"/>
        </w:rPr>
        <w:t>十、</w:t>
      </w:r>
      <w:bookmarkEnd w:id="67"/>
      <w:r>
        <w:rPr>
          <w:rFonts w:hint="eastAsia" w:ascii="仿宋" w:hAnsi="仿宋" w:eastAsia="仿宋"/>
          <w:b w:val="0"/>
        </w:rPr>
        <w:t>政</w:t>
      </w:r>
      <w:r>
        <w:rPr>
          <w:rStyle w:val="32"/>
          <w:rFonts w:hint="eastAsia" w:ascii="仿宋" w:hAnsi="仿宋" w:eastAsia="仿宋"/>
          <w:b w:val="0"/>
          <w:bCs w:val="0"/>
        </w:rPr>
        <w:t>府性基金预算财政拨款收入支出决算表</w:t>
      </w:r>
    </w:p>
    <w:p>
      <w:pPr>
        <w:pStyle w:val="4"/>
        <w:rPr>
          <w:rFonts w:ascii="仿宋" w:hAnsi="仿宋" w:eastAsia="仿宋"/>
        </w:rPr>
      </w:pPr>
      <w:bookmarkStart w:id="68" w:name="_Toc15396629"/>
      <w:r>
        <w:rPr>
          <w:rStyle w:val="32"/>
          <w:rFonts w:hint="eastAsia" w:ascii="仿宋" w:hAnsi="仿宋" w:eastAsia="仿宋"/>
          <w:b w:val="0"/>
          <w:bCs w:val="0"/>
        </w:rPr>
        <w:t>十一、</w:t>
      </w:r>
      <w:bookmarkEnd w:id="68"/>
      <w:r>
        <w:rPr>
          <w:rFonts w:hint="eastAsia" w:ascii="仿宋" w:hAnsi="仿宋" w:eastAsia="仿宋"/>
          <w:b w:val="0"/>
        </w:rPr>
        <w:t>国</w:t>
      </w:r>
      <w:r>
        <w:rPr>
          <w:rStyle w:val="32"/>
          <w:rFonts w:hint="eastAsia" w:ascii="仿宋" w:hAnsi="仿宋" w:eastAsia="仿宋"/>
          <w:b w:val="0"/>
          <w:bCs w:val="0"/>
        </w:rPr>
        <w:t>有资本经营预算财政拨款收入支出决算表</w:t>
      </w:r>
    </w:p>
    <w:p>
      <w:pPr>
        <w:pStyle w:val="4"/>
        <w:rPr>
          <w:rFonts w:ascii="仿宋" w:hAnsi="仿宋" w:eastAsia="仿宋"/>
        </w:rPr>
      </w:pPr>
      <w:bookmarkStart w:id="69" w:name="_Toc15396630"/>
      <w:r>
        <w:rPr>
          <w:rStyle w:val="32"/>
          <w:rFonts w:hint="eastAsia" w:ascii="仿宋" w:hAnsi="仿宋" w:eastAsia="仿宋"/>
          <w:b w:val="0"/>
          <w:bCs w:val="0"/>
        </w:rPr>
        <w:t>十二、</w:t>
      </w:r>
      <w:bookmarkEnd w:id="69"/>
      <w:r>
        <w:rPr>
          <w:rStyle w:val="32"/>
          <w:rFonts w:hint="eastAsia" w:ascii="仿宋" w:hAnsi="仿宋" w:eastAsia="仿宋"/>
          <w:b w:val="0"/>
          <w:bCs w:val="0"/>
        </w:rPr>
        <w:t>国有资本经营预算财政拨款支出决算表</w:t>
      </w:r>
    </w:p>
    <w:p>
      <w:pPr>
        <w:pStyle w:val="4"/>
        <w:rPr>
          <w:rFonts w:eastAsia="仿宋"/>
        </w:rPr>
      </w:pPr>
      <w:bookmarkStart w:id="70" w:name="_Toc15396631"/>
      <w:r>
        <w:rPr>
          <w:rStyle w:val="32"/>
          <w:rFonts w:hint="eastAsia" w:ascii="仿宋" w:hAnsi="仿宋" w:eastAsia="仿宋"/>
          <w:b w:val="0"/>
          <w:bCs w:val="0"/>
        </w:rPr>
        <w:t>十三、</w:t>
      </w:r>
      <w:bookmarkEnd w:id="70"/>
      <w:r>
        <w:rPr>
          <w:rStyle w:val="32"/>
          <w:rFonts w:hint="eastAsia" w:ascii="仿宋" w:hAnsi="仿宋" w:eastAsia="仿宋"/>
          <w:b w:val="0"/>
          <w:bCs w:val="0"/>
        </w:rPr>
        <w:t>财政拨款“三公”经费支出决算表</w:t>
      </w:r>
    </w:p>
    <w:sectPr>
      <w:headerReference r:id="rId10" w:type="default"/>
      <w:footerReference r:id="rId11" w:type="default"/>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posOffset>5185410</wp:posOffset>
              </wp:positionH>
              <wp:positionV relativeFrom="paragraph">
                <wp:posOffset>-337820</wp:posOffset>
              </wp:positionV>
              <wp:extent cx="431165" cy="592455"/>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431165" cy="59245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08.3pt;margin-top:-26.6pt;height:46.65pt;width:33.95pt;mso-position-horizontal-relative:margin;z-index:251660288;mso-width-relative:page;mso-height-relative:page;" filled="f" stroked="f" coordsize="21600,21600" o:gfxdata="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">
              <v:fill on="f" focussize="0,0"/>
              <v:stroke on="f" weight="0.5pt"/>
              <v:imagedata o:title=""/>
              <o:lock v:ext="edit" aspectratio="f"/>
              <v:textbox inset="0mm,0mm,0mm,0mm">
                <w:txbxContent>
                  <w:p>
                    <w:pPr>
                      <w:pStyle w:val="12"/>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posOffset>5002530</wp:posOffset>
              </wp:positionH>
              <wp:positionV relativeFrom="paragraph">
                <wp:posOffset>-233045</wp:posOffset>
              </wp:positionV>
              <wp:extent cx="561340" cy="3600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56134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sz w:val="32"/>
                              <w:szCs w:val="32"/>
                            </w:rPr>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93.9pt;margin-top:-18.35pt;height:28.35pt;width:44.2pt;mso-position-horizontal-relative:margin;z-index:251659264;mso-width-relative:page;mso-height-relative:page;" filled="f" stroked="f" coordsize="21600,21600" o:gfxdata="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GmPyJ9gAAAAKAQAADwAAAAAAAAABACAAAAAiAAAAZHJzL2Rvd25y&#10;ZXYueG1sUEsBAhQAFAAAAAgAh07iQM957R03AgAAYQQAAA4AAAAAAAAAAQAgAAAAJwEAAGRycy9l&#10;Mm9Eb2MueG1sUEsFBgAAAAAGAAYAWQEAANAFAAAAAA==&#10;">
              <v:fill on="f" focussize="0,0"/>
              <v:stroke on="f" weight="0.5pt"/>
              <v:imagedata o:title=""/>
              <o:lock v:ext="edit" aspectratio="f"/>
              <v:textbox inset="0mm,0mm,0mm,0mm">
                <w:txbxContent>
                  <w:p>
                    <w:pPr>
                      <w:pStyle w:val="12"/>
                      <w:rPr>
                        <w:sz w:val="32"/>
                        <w:szCs w:val="32"/>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RdTzd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lF1PN0CAAAmBgAADgAAAAAAAAABACAAAAAfAQAAZHJzL2Uyb0RvYy54bWxQSwUG&#10;AAAAAAYABgBZAQAAbgY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30</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-224155</wp:posOffset>
              </wp:positionV>
              <wp:extent cx="622300" cy="4699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622300" cy="469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sz w:val="30"/>
                              <w:szCs w:val="30"/>
                            </w:rPr>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17.65pt;height:37pt;width:49pt;mso-position-horizontal:right;mso-position-horizontal-relative:margin;z-index:251659264;mso-width-relative:page;mso-height-relative:page;" filled="f" stroked="f" coordsize="21600,21600" o:gfxdata="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EJdzS7VAAAABgEAAA8AAAAAAAAAAQAgAAAAIgAAAGRycy9kb3ducmV2Lnht&#10;bFBLAQIUABQAAAAIAIdO4kCf1U6uNQIAAGMEAAAOAAAAAAAAAAEAIAAAACQBAABkcnMvZTJvRG9j&#10;LnhtbFBLBQYAAAAABgAGAFkBAADLBQAAAAA=&#10;">
              <v:fill on="f" focussize="0,0"/>
              <v:stroke on="f" weight="0.5pt"/>
              <v:imagedata o:title=""/>
              <o:lock v:ext="edit" aspectratio="f"/>
              <v:textbox inset="0mm,0mm,0mm,0mm">
                <w:txbxContent>
                  <w:p>
                    <w:pPr>
                      <w:pStyle w:val="12"/>
                      <w:rPr>
                        <w:sz w:val="30"/>
                        <w:szCs w:val="30"/>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Dee5v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Dee5veAgAAJgYAAA4AAAAAAAAAAQAgAAAAHwEAAGRycy9lMm9Eb2MueG1sUEsF&#10;BgAAAAAGAAYAWQEAAG8G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bhRTH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BuFFMd0CAAAmBgAADgAAAAAAAAABACAAAAAfAQAAZHJzL2Uyb0RvYy54bWxQSwUG&#10;AAAAAAYABgBZAQAAbgY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mdhTeAgAAJg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2mdhTeAgAAJgYAAA4AAAAAAAAAAQAgAAAAHwEAAGRycy9lMm9Eb2MueG1sUEsF&#10;BgAAAAAGAAYAWQEAAG8G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ZSL7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OuZSL7eAgAAJgYAAA4AAAAAAAAAAQAgAAAAHwEAAGRycy9lMm9Eb2MueG1sUEsF&#10;BgAAAAAGAAYAWQEAAG8G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spEF7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MspEF7eAgAAJgYAAA4AAAAAAAAAAQAgAAAAHwEAAGRycy9lMm9Eb2MueG1sUEsF&#10;BgAAAAAGAAYAWQEAAG8G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93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0WLvT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4YYCdJC&#10;xe+/fb3//vP+xxcEeyDQVpkJxN0qiLS7S7mDtun3DWw63rtKt+4fGCHwg7x3B3nZziLqDqWDNI3A&#10;RcHXLwA/PB5X2thXTLbIGRnWUD8vK9ksjO1C+xB3m5BFw7mvIRdom+HR6TDyBw4eAOfCxUIWgLG3&#10;utp8Gkfjq/QqTYJkMLoKkijPg1kxT4JREZ8N89N8Ps/jzw4vTiZ1U5ZMuPv6PomT59Vh3ytdhQ+d&#10;YiRvSgfnUjJ6tZxzjTYE+rTwP6cwJP8gLHychncDqyeU4kESXQ7GQTFKz4KkSIbB+CxKgygeX45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J0WLvTeAgAAJgYAAA4AAAAAAAAAAQAgAAAAHwEAAGRycy9lMm9Eb2MueG1sUEsF&#10;BgAAAAAGAAYAWQEAAG8G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93</w:t>
                    </w:r>
                    <w:r>
                      <w:fldChar w:fldCharType="end"/>
                    </w:r>
                  </w:p>
                </w:txbxContent>
              </v:textbox>
            </v:shape>
          </w:pict>
        </mc:Fallback>
      </mc:AlternateContent>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6EDE5B"/>
    <w:multiLevelType w:val="singleLevel"/>
    <w:tmpl w:val="8C6EDE5B"/>
    <w:lvl w:ilvl="0" w:tentative="0">
      <w:start w:val="1"/>
      <w:numFmt w:val="chineseCounting"/>
      <w:suff w:val="space"/>
      <w:lvlText w:val="第%1部分"/>
      <w:lvlJc w:val="left"/>
      <w:rPr>
        <w:rFonts w:hint="eastAsia"/>
      </w:rPr>
    </w:lvl>
  </w:abstractNum>
  <w:abstractNum w:abstractNumId="1">
    <w:nsid w:val="C81C386C"/>
    <w:multiLevelType w:val="singleLevel"/>
    <w:tmpl w:val="C81C386C"/>
    <w:lvl w:ilvl="0" w:tentative="0">
      <w:start w:val="2"/>
      <w:numFmt w:val="decimal"/>
      <w:lvlText w:val="%1."/>
      <w:lvlJc w:val="left"/>
      <w:pPr>
        <w:tabs>
          <w:tab w:val="left" w:pos="312"/>
        </w:tabs>
      </w:p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1B8E1004"/>
    <w:multiLevelType w:val="singleLevel"/>
    <w:tmpl w:val="1B8E1004"/>
    <w:lvl w:ilvl="0" w:tentative="0">
      <w:start w:val="2"/>
      <w:numFmt w:val="chineseCounting"/>
      <w:suff w:val="nothing"/>
      <w:lvlText w:val="（%1）"/>
      <w:lvlJc w:val="left"/>
      <w:rPr>
        <w:rFonts w:hint="eastAsia"/>
      </w:rPr>
    </w:lvl>
  </w:abstractNum>
  <w:abstractNum w:abstractNumId="6">
    <w:nsid w:val="1BF4DC13"/>
    <w:multiLevelType w:val="singleLevel"/>
    <w:tmpl w:val="1BF4DC13"/>
    <w:lvl w:ilvl="0" w:tentative="0">
      <w:start w:val="5"/>
      <w:numFmt w:val="chineseCounting"/>
      <w:suff w:val="nothing"/>
      <w:lvlText w:val="%1、"/>
      <w:lvlJc w:val="left"/>
      <w:rPr>
        <w:rFonts w:hint="eastAsia"/>
      </w:rPr>
    </w:lvl>
  </w:abstractNum>
  <w:abstractNum w:abstractNumId="7">
    <w:nsid w:val="569AFF07"/>
    <w:multiLevelType w:val="singleLevel"/>
    <w:tmpl w:val="569AFF07"/>
    <w:lvl w:ilvl="0" w:tentative="0">
      <w:start w:val="2"/>
      <w:numFmt w:val="chineseCounting"/>
      <w:suff w:val="nothing"/>
      <w:lvlText w:val="（%1）"/>
      <w:lvlJc w:val="left"/>
      <w:rPr>
        <w:rFonts w:hint="eastAsia"/>
      </w:rPr>
    </w:lvl>
  </w:abstractNum>
  <w:abstractNum w:abstractNumId="8">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num w:numId="1">
    <w:abstractNumId w:val="0"/>
  </w:num>
  <w:num w:numId="2">
    <w:abstractNumId w:val="8"/>
  </w:num>
  <w:num w:numId="3">
    <w:abstractNumId w:val="4"/>
  </w:num>
  <w:num w:numId="4">
    <w:abstractNumId w:val="2"/>
  </w:num>
  <w:num w:numId="5">
    <w:abstractNumId w:val="3"/>
  </w:num>
  <w:num w:numId="6">
    <w:abstractNumId w:val="5"/>
  </w:num>
  <w:num w:numId="7">
    <w:abstractNumId w:val="7"/>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2143E91"/>
    <w:rsid w:val="066E0107"/>
    <w:rsid w:val="07996F6E"/>
    <w:rsid w:val="09EF5765"/>
    <w:rsid w:val="0A2032A3"/>
    <w:rsid w:val="0F98263C"/>
    <w:rsid w:val="101860EC"/>
    <w:rsid w:val="105263CA"/>
    <w:rsid w:val="1068770F"/>
    <w:rsid w:val="10C055FF"/>
    <w:rsid w:val="11115DBE"/>
    <w:rsid w:val="118107EC"/>
    <w:rsid w:val="13D50BC4"/>
    <w:rsid w:val="166146F4"/>
    <w:rsid w:val="16BB723D"/>
    <w:rsid w:val="1BE8440E"/>
    <w:rsid w:val="1D155CEE"/>
    <w:rsid w:val="1FF35744"/>
    <w:rsid w:val="209E5826"/>
    <w:rsid w:val="23860B96"/>
    <w:rsid w:val="240371BF"/>
    <w:rsid w:val="29FD04D3"/>
    <w:rsid w:val="2C8A61B5"/>
    <w:rsid w:val="2CF10989"/>
    <w:rsid w:val="2DF04E50"/>
    <w:rsid w:val="2F040D46"/>
    <w:rsid w:val="319F7F4E"/>
    <w:rsid w:val="3304709D"/>
    <w:rsid w:val="36AA5135"/>
    <w:rsid w:val="376D39B2"/>
    <w:rsid w:val="37E16F03"/>
    <w:rsid w:val="38D469F0"/>
    <w:rsid w:val="3D98207C"/>
    <w:rsid w:val="3E78745D"/>
    <w:rsid w:val="3E993DD6"/>
    <w:rsid w:val="44E268DA"/>
    <w:rsid w:val="45511F91"/>
    <w:rsid w:val="46E407E7"/>
    <w:rsid w:val="4A627F82"/>
    <w:rsid w:val="4B0E749A"/>
    <w:rsid w:val="4B4F25DA"/>
    <w:rsid w:val="4BE068DB"/>
    <w:rsid w:val="4D577224"/>
    <w:rsid w:val="4EAB630A"/>
    <w:rsid w:val="4ECE2238"/>
    <w:rsid w:val="537E6D0A"/>
    <w:rsid w:val="55C10B53"/>
    <w:rsid w:val="564A0387"/>
    <w:rsid w:val="57DA58D5"/>
    <w:rsid w:val="5AF92295"/>
    <w:rsid w:val="5CD71FC4"/>
    <w:rsid w:val="5EF97619"/>
    <w:rsid w:val="66F37FA7"/>
    <w:rsid w:val="6B163E42"/>
    <w:rsid w:val="6C4A05C8"/>
    <w:rsid w:val="6E7E3605"/>
    <w:rsid w:val="6EA328DF"/>
    <w:rsid w:val="6F367BC0"/>
    <w:rsid w:val="6FF5CC65"/>
    <w:rsid w:val="706305CE"/>
    <w:rsid w:val="715C0E4B"/>
    <w:rsid w:val="72734D90"/>
    <w:rsid w:val="72AC7F71"/>
    <w:rsid w:val="73AD73D5"/>
    <w:rsid w:val="73B6EB34"/>
    <w:rsid w:val="744731E5"/>
    <w:rsid w:val="76E3355F"/>
    <w:rsid w:val="778769C8"/>
    <w:rsid w:val="78E40F12"/>
    <w:rsid w:val="79733945"/>
    <w:rsid w:val="79EE5BA4"/>
    <w:rsid w:val="7A894339"/>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图表目录1"/>
    <w:basedOn w:val="1"/>
    <w:next w:val="1"/>
    <w:qFormat/>
    <w:uiPriority w:val="0"/>
    <w:pPr>
      <w:ind w:left="200" w:leftChars="200" w:hanging="200" w:hangingChars="200"/>
    </w:pPr>
    <w:rPr>
      <w:rFonts w:ascii="Calibri" w:hAnsi="Calibri"/>
    </w:rPr>
  </w:style>
  <w:style w:type="paragraph" w:styleId="6">
    <w:name w:val="annotation text"/>
    <w:basedOn w:val="1"/>
    <w:semiHidden/>
    <w:unhideWhenUsed/>
    <w:qFormat/>
    <w:uiPriority w:val="99"/>
    <w:pPr>
      <w:jc w:val="left"/>
    </w:pPr>
  </w:style>
  <w:style w:type="paragraph" w:styleId="7">
    <w:name w:val="Body Text"/>
    <w:basedOn w:val="1"/>
    <w:next w:val="1"/>
    <w:link w:val="28"/>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ody Text Indent 2"/>
    <w:basedOn w:val="1"/>
    <w:qFormat/>
    <w:uiPriority w:val="99"/>
    <w:pPr>
      <w:spacing w:line="480" w:lineRule="auto"/>
      <w:ind w:left="420" w:leftChars="200"/>
    </w:pPr>
    <w:rPr>
      <w:rFonts w:ascii="Calibri" w:hAnsi="Calibri" w:cs="Calibri"/>
    </w:rPr>
  </w:style>
  <w:style w:type="paragraph" w:styleId="11">
    <w:name w:val="Balloon Text"/>
    <w:basedOn w:val="1"/>
    <w:link w:val="34"/>
    <w:semiHidden/>
    <w:unhideWhenUsed/>
    <w:qFormat/>
    <w:uiPriority w:val="99"/>
    <w:rPr>
      <w:sz w:val="18"/>
      <w:szCs w:val="18"/>
    </w:rPr>
  </w:style>
  <w:style w:type="paragraph" w:styleId="12">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Body Text First Indent 2"/>
    <w:basedOn w:val="8"/>
    <w:unhideWhenUsed/>
    <w:qFormat/>
    <w:uiPriority w:val="99"/>
    <w:pPr>
      <w:ind w:firstLine="420" w:firstLineChars="200"/>
    </w:p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9"/>
    <w:semiHidden/>
    <w:qFormat/>
    <w:uiPriority w:val="99"/>
    <w:rPr>
      <w:rFonts w:ascii="Times New Roman" w:hAnsi="Times New Roman"/>
      <w:sz w:val="18"/>
      <w:szCs w:val="18"/>
    </w:rPr>
  </w:style>
  <w:style w:type="character" w:customStyle="1" w:styleId="24">
    <w:name w:val="页眉 字符"/>
    <w:link w:val="13"/>
    <w:semiHidden/>
    <w:qFormat/>
    <w:locked/>
    <w:uiPriority w:val="99"/>
    <w:rPr>
      <w:sz w:val="18"/>
    </w:rPr>
  </w:style>
  <w:style w:type="character" w:customStyle="1" w:styleId="25">
    <w:name w:val="Footer Char"/>
    <w:basedOn w:val="19"/>
    <w:semiHidden/>
    <w:qFormat/>
    <w:uiPriority w:val="99"/>
    <w:rPr>
      <w:rFonts w:ascii="Times New Roman" w:hAnsi="Times New Roman"/>
      <w:sz w:val="18"/>
      <w:szCs w:val="18"/>
    </w:rPr>
  </w:style>
  <w:style w:type="character" w:customStyle="1" w:styleId="26">
    <w:name w:val="页脚 字符"/>
    <w:link w:val="12"/>
    <w:qFormat/>
    <w:locked/>
    <w:uiPriority w:val="99"/>
    <w:rPr>
      <w:sz w:val="18"/>
    </w:rPr>
  </w:style>
  <w:style w:type="character" w:customStyle="1" w:styleId="27">
    <w:name w:val="Body Text Char"/>
    <w:basedOn w:val="19"/>
    <w:semiHidden/>
    <w:qFormat/>
    <w:uiPriority w:val="99"/>
    <w:rPr>
      <w:rFonts w:ascii="Times New Roman" w:hAnsi="Times New Roman"/>
      <w:szCs w:val="24"/>
    </w:rPr>
  </w:style>
  <w:style w:type="character" w:customStyle="1" w:styleId="28">
    <w:name w:val="正文文本 字符"/>
    <w:link w:val="7"/>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字符"/>
    <w:basedOn w:val="19"/>
    <w:link w:val="3"/>
    <w:qFormat/>
    <w:uiPriority w:val="9"/>
    <w:rPr>
      <w:rFonts w:ascii="Times New Roman" w:hAnsi="Times New Roman"/>
      <w:b/>
      <w:bCs/>
      <w:kern w:val="44"/>
      <w:sz w:val="44"/>
      <w:szCs w:val="44"/>
    </w:rPr>
  </w:style>
  <w:style w:type="character" w:customStyle="1" w:styleId="32">
    <w:name w:val="标题 2 字符"/>
    <w:basedOn w:val="19"/>
    <w:link w:val="4"/>
    <w:qFormat/>
    <w:uiPriority w:val="9"/>
    <w:rPr>
      <w:rFonts w:asciiTheme="majorHAnsi" w:hAnsiTheme="majorHAnsi" w:eastAsiaTheme="majorEastAsia" w:cstheme="majorBidi"/>
      <w:b/>
      <w:bCs/>
      <w:kern w:val="2"/>
      <w:sz w:val="32"/>
      <w:szCs w:val="32"/>
    </w:r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字符"/>
    <w:basedOn w:val="19"/>
    <w:link w:val="11"/>
    <w:semiHidden/>
    <w:qFormat/>
    <w:uiPriority w:val="99"/>
    <w:rPr>
      <w:rFonts w:ascii="Times New Roman" w:hAnsi="Times New Roman"/>
      <w:kern w:val="2"/>
      <w:sz w:val="18"/>
      <w:szCs w:val="18"/>
    </w:rPr>
  </w:style>
  <w:style w:type="character" w:customStyle="1" w:styleId="35">
    <w:name w:val="标题 3 字符"/>
    <w:basedOn w:val="19"/>
    <w:link w:val="5"/>
    <w:qFormat/>
    <w:uiPriority w:val="9"/>
    <w:rPr>
      <w:rFonts w:ascii="Times New Roman" w:hAnsi="Times New Roman"/>
      <w:b/>
      <w:bCs/>
      <w:kern w:val="2"/>
      <w:sz w:val="32"/>
      <w:szCs w:val="32"/>
    </w:rPr>
  </w:style>
  <w:style w:type="paragraph" w:customStyle="1" w:styleId="36">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color w:val="000000"/>
      <w:kern w:val="0"/>
      <w:sz w:val="28"/>
      <w:szCs w:val="21"/>
      <w:lang w:val="zh-CN"/>
    </w:rPr>
  </w:style>
  <w:style w:type="paragraph" w:customStyle="1" w:styleId="38">
    <w:name w:val="BodyText1I2"/>
    <w:basedOn w:val="1"/>
    <w:qFormat/>
    <w:uiPriority w:val="99"/>
    <w:pPr>
      <w:spacing w:after="120"/>
      <w:ind w:left="420" w:leftChars="200"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chart" Target="charts/chart7.xml"/><Relationship Id="rId18" Type="http://schemas.openxmlformats.org/officeDocument/2006/relationships/chart" Target="charts/chart6.xml"/><Relationship Id="rId17" Type="http://schemas.openxmlformats.org/officeDocument/2006/relationships/chart" Target="charts/chart5.xml"/><Relationship Id="rId16" Type="http://schemas.openxmlformats.org/officeDocument/2006/relationships/chart" Target="charts/chart4.xml"/><Relationship Id="rId15" Type="http://schemas.openxmlformats.org/officeDocument/2006/relationships/chart" Target="charts/chart3.xml"/><Relationship Id="rId14" Type="http://schemas.openxmlformats.org/officeDocument/2006/relationships/chart" Target="charts/chart2.xml"/><Relationship Id="rId13" Type="http://schemas.openxmlformats.org/officeDocument/2006/relationships/chart" Target="charts/chart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header" Target="header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manualLayout>
          <c:xMode val="edge"/>
          <c:yMode val="edge"/>
          <c:x val="0.270033296943231"/>
          <c:y val="0.0119617224880383"/>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收</c:v>
                </c:pt>
              </c:strCache>
            </c:strRef>
          </c:tx>
          <c:spPr>
            <a:solidFill>
              <a:schemeClr val="accent1"/>
            </a:solidFill>
            <a:ln>
              <a:noFill/>
            </a:ln>
            <a:effectLst/>
          </c:spPr>
          <c:invertIfNegative val="0"/>
          <c:dLbls>
            <c:delete val="1"/>
          </c:dLbls>
          <c:cat>
            <c:strRef>
              <c:f>Sheet1!$A$2:$A$3</c:f>
              <c:strCache>
                <c:ptCount val="2"/>
                <c:pt idx="0">
                  <c:v>2023年收支</c:v>
                </c:pt>
                <c:pt idx="1">
                  <c:v>2022年收支</c:v>
                </c:pt>
              </c:strCache>
            </c:strRef>
          </c:cat>
          <c:val>
            <c:numRef>
              <c:f>Sheet1!$B$2:$B$3</c:f>
              <c:numCache>
                <c:formatCode>General</c:formatCode>
                <c:ptCount val="2"/>
                <c:pt idx="0">
                  <c:v>374.18</c:v>
                </c:pt>
                <c:pt idx="1">
                  <c:v>348.3</c:v>
                </c:pt>
              </c:numCache>
            </c:numRef>
          </c:val>
        </c:ser>
        <c:ser>
          <c:idx val="1"/>
          <c:order val="1"/>
          <c:tx>
            <c:strRef>
              <c:f>Sheet1!$C$1</c:f>
              <c:strCache>
                <c:ptCount val="1"/>
                <c:pt idx="0">
                  <c:v>支</c:v>
                </c:pt>
              </c:strCache>
            </c:strRef>
          </c:tx>
          <c:spPr>
            <a:solidFill>
              <a:schemeClr val="accent2"/>
            </a:solidFill>
            <a:ln>
              <a:noFill/>
            </a:ln>
            <a:effectLst/>
          </c:spPr>
          <c:invertIfNegative val="0"/>
          <c:dLbls>
            <c:delete val="1"/>
          </c:dLbls>
          <c:cat>
            <c:strRef>
              <c:f>Sheet1!$A$2:$A$3</c:f>
              <c:strCache>
                <c:ptCount val="2"/>
                <c:pt idx="0">
                  <c:v>2023年收支</c:v>
                </c:pt>
                <c:pt idx="1">
                  <c:v>2022年收支</c:v>
                </c:pt>
              </c:strCache>
            </c:strRef>
          </c:cat>
          <c:val>
            <c:numRef>
              <c:f>Sheet1!$C$2:$C$3</c:f>
              <c:numCache>
                <c:formatCode>General</c:formatCode>
                <c:ptCount val="2"/>
                <c:pt idx="0">
                  <c:v>374.18</c:v>
                </c:pt>
                <c:pt idx="1">
                  <c:v>348.3</c:v>
                </c:pt>
              </c:numCache>
            </c:numRef>
          </c:val>
        </c:ser>
        <c:dLbls>
          <c:showLegendKey val="0"/>
          <c:showVal val="0"/>
          <c:showCatName val="0"/>
          <c:showSerName val="0"/>
          <c:showPercent val="0"/>
          <c:showBubbleSize val="0"/>
        </c:dLbls>
        <c:gapWidth val="219"/>
        <c:overlap val="-27"/>
        <c:axId val="907496345"/>
        <c:axId val="390724342"/>
      </c:barChart>
      <c:catAx>
        <c:axId val="90749634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0724342"/>
        <c:crosses val="autoZero"/>
        <c:auto val="1"/>
        <c:lblAlgn val="ctr"/>
        <c:lblOffset val="100"/>
        <c:noMultiLvlLbl val="0"/>
      </c:catAx>
      <c:valAx>
        <c:axId val="39072434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0749634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tx>
            <c:strRef>
              <c:f>Sheet1!$B$1</c:f>
              <c:strCache>
                <c:ptCount val="1"/>
                <c:pt idx="0">
                  <c:v>收入决算图</c:v>
                </c:pt>
              </c:strCache>
            </c:strRef>
          </c:tx>
          <c:spPr/>
          <c:explosion val="0"/>
          <c:dPt>
            <c:idx val="0"/>
            <c:bubble3D val="0"/>
            <c:spPr>
              <a:solidFill>
                <a:schemeClr val="accent1"/>
              </a:solidFill>
              <a:ln w="19050">
                <a:solidFill>
                  <a:schemeClr val="lt1"/>
                </a:solidFill>
              </a:ln>
              <a:effectLst/>
            </c:spPr>
          </c:dPt>
          <c:dLbls>
            <c:delete val="1"/>
          </c:dLbls>
          <c:cat>
            <c:strRef>
              <c:f>Sheet1!$A$2</c:f>
              <c:strCache>
                <c:ptCount val="1"/>
                <c:pt idx="0">
                  <c:v>财政收入</c:v>
                </c:pt>
              </c:strCache>
            </c:strRef>
          </c:cat>
          <c:val>
            <c:numRef>
              <c:f>Sheet1!$B$2</c:f>
              <c:numCache>
                <c:formatCode>General</c:formatCode>
                <c:ptCount val="1"/>
                <c:pt idx="0">
                  <c:v>374.18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基本支出</c:v>
                </c:pt>
                <c:pt idx="1">
                  <c:v>项目支出</c:v>
                </c:pt>
              </c:strCache>
            </c:strRef>
          </c:cat>
          <c:val>
            <c:numRef>
              <c:f>Sheet1!$B$2:$B$3</c:f>
              <c:numCache>
                <c:formatCode>0.00%</c:formatCode>
                <c:ptCount val="2"/>
                <c:pt idx="0">
                  <c:v>0.638</c:v>
                </c:pt>
                <c:pt idx="1">
                  <c:v>0.362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财政拨款收支决算总计变动情况图</a:t>
            </a:r>
          </a:p>
        </c:rich>
      </c:tx>
      <c:layout>
        <c:manualLayout>
          <c:xMode val="edge"/>
          <c:yMode val="edge"/>
          <c:x val="0.273"/>
          <c:y val="0.025"/>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收</c:v>
                </c:pt>
              </c:strCache>
            </c:strRef>
          </c:tx>
          <c:spPr>
            <a:solidFill>
              <a:schemeClr val="accent1"/>
            </a:solidFill>
            <a:ln>
              <a:noFill/>
            </a:ln>
            <a:effectLst/>
          </c:spPr>
          <c:invertIfNegative val="0"/>
          <c:dLbls>
            <c:delete val="1"/>
          </c:dLbls>
          <c:cat>
            <c:strRef>
              <c:f>Sheet1!$A$2:$A$3</c:f>
              <c:strCache>
                <c:ptCount val="2"/>
                <c:pt idx="0">
                  <c:v>2023年收支</c:v>
                </c:pt>
                <c:pt idx="1">
                  <c:v>2022年收支</c:v>
                </c:pt>
              </c:strCache>
            </c:strRef>
          </c:cat>
          <c:val>
            <c:numRef>
              <c:f>Sheet1!$B$2:$B$3</c:f>
              <c:numCache>
                <c:formatCode>General</c:formatCode>
                <c:ptCount val="2"/>
                <c:pt idx="0">
                  <c:v>374.18</c:v>
                </c:pt>
                <c:pt idx="1">
                  <c:v>348.3</c:v>
                </c:pt>
              </c:numCache>
            </c:numRef>
          </c:val>
        </c:ser>
        <c:ser>
          <c:idx val="1"/>
          <c:order val="1"/>
          <c:tx>
            <c:strRef>
              <c:f>Sheet1!$C$1</c:f>
              <c:strCache>
                <c:ptCount val="1"/>
                <c:pt idx="0">
                  <c:v>支</c:v>
                </c:pt>
              </c:strCache>
            </c:strRef>
          </c:tx>
          <c:spPr>
            <a:solidFill>
              <a:schemeClr val="accent2"/>
            </a:solidFill>
            <a:ln>
              <a:noFill/>
            </a:ln>
            <a:effectLst/>
          </c:spPr>
          <c:invertIfNegative val="0"/>
          <c:dLbls>
            <c:delete val="1"/>
          </c:dLbls>
          <c:cat>
            <c:strRef>
              <c:f>Sheet1!$A$2:$A$3</c:f>
              <c:strCache>
                <c:ptCount val="2"/>
                <c:pt idx="0">
                  <c:v>2023年收支</c:v>
                </c:pt>
                <c:pt idx="1">
                  <c:v>2022年收支</c:v>
                </c:pt>
              </c:strCache>
            </c:strRef>
          </c:cat>
          <c:val>
            <c:numRef>
              <c:f>Sheet1!$C$2:$C$3</c:f>
              <c:numCache>
                <c:formatCode>General</c:formatCode>
                <c:ptCount val="2"/>
                <c:pt idx="0">
                  <c:v>374.18</c:v>
                </c:pt>
                <c:pt idx="1">
                  <c:v>348.3</c:v>
                </c:pt>
              </c:numCache>
            </c:numRef>
          </c:val>
        </c:ser>
        <c:dLbls>
          <c:showLegendKey val="0"/>
          <c:showVal val="0"/>
          <c:showCatName val="0"/>
          <c:showSerName val="0"/>
          <c:showPercent val="0"/>
          <c:showBubbleSize val="0"/>
        </c:dLbls>
        <c:gapWidth val="219"/>
        <c:overlap val="-27"/>
        <c:axId val="907496345"/>
        <c:axId val="390724342"/>
      </c:barChart>
      <c:catAx>
        <c:axId val="90749634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0724342"/>
        <c:crosses val="autoZero"/>
        <c:auto val="1"/>
        <c:lblAlgn val="ctr"/>
        <c:lblOffset val="100"/>
        <c:noMultiLvlLbl val="0"/>
      </c:catAx>
      <c:valAx>
        <c:axId val="39072434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0749634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275"/>
          <c:y val="0.155110523332704"/>
          <c:w val="0.945"/>
          <c:h val="0.753523521632344"/>
        </c:manualLayout>
      </c:layout>
      <c:barChart>
        <c:barDir val="col"/>
        <c:grouping val="clustered"/>
        <c:varyColors val="0"/>
        <c:ser>
          <c:idx val="0"/>
          <c:order val="0"/>
          <c:tx>
            <c:strRef>
              <c:f>Sheet1!$B$1</c:f>
              <c:strCache>
                <c:ptCount val="1"/>
                <c:pt idx="0">
                  <c:v>支</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Sheet1!$A$2:$A$5</c:f>
              <c:strCache>
                <c:ptCount val="4"/>
                <c:pt idx="0">
                  <c:v>2023年</c:v>
                </c:pt>
                <c:pt idx="1">
                  <c:v>2022年</c:v>
                </c:pt>
              </c:strCache>
            </c:strRef>
          </c:cat>
          <c:val>
            <c:numRef>
              <c:f>Sheet1!$B$2:$B$5</c:f>
              <c:numCache>
                <c:formatCode>General</c:formatCode>
                <c:ptCount val="4"/>
                <c:pt idx="0">
                  <c:v>374.18</c:v>
                </c:pt>
                <c:pt idx="1">
                  <c:v>348.31</c:v>
                </c:pt>
              </c:numCache>
            </c:numRef>
          </c:val>
        </c:ser>
        <c:dLbls>
          <c:showLegendKey val="0"/>
          <c:showVal val="1"/>
          <c:showCatName val="0"/>
          <c:showSerName val="0"/>
          <c:showPercent val="0"/>
          <c:showBubbleSize val="0"/>
        </c:dLbls>
        <c:gapWidth val="65"/>
        <c:overlap val="0"/>
        <c:axId val="436573409"/>
        <c:axId val="114760008"/>
      </c:barChart>
      <c:catAx>
        <c:axId val="436573409"/>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114760008"/>
        <c:crosses val="autoZero"/>
        <c:auto val="1"/>
        <c:lblAlgn val="ctr"/>
        <c:lblOffset val="100"/>
        <c:noMultiLvlLbl val="0"/>
      </c:catAx>
      <c:valAx>
        <c:axId val="114760008"/>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436573409"/>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87.28</c:v>
                </c:pt>
                <c:pt idx="1">
                  <c:v>5.57</c:v>
                </c:pt>
                <c:pt idx="2">
                  <c:v>2.27</c:v>
                </c:pt>
                <c:pt idx="3">
                  <c:v>4.88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公务接待支出</c:v>
                </c:pt>
                <c:pt idx="1">
                  <c:v>公务用车运行维护支出</c:v>
                </c:pt>
              </c:strCache>
            </c:strRef>
          </c:cat>
          <c:val>
            <c:numRef>
              <c:f>Sheet1!$B$2:$B$3</c:f>
              <c:numCache>
                <c:formatCode>0.00%</c:formatCode>
                <c:ptCount val="2"/>
                <c:pt idx="0">
                  <c:v>0.1667</c:v>
                </c:pt>
                <c:pt idx="1">
                  <c:v>0.8333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24</TotalTime>
  <ScaleCrop>false</ScaleCrop>
  <LinksUpToDate>false</LinksUpToDate>
  <CharactersWithSpaces>7955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Administrator</cp:lastModifiedBy>
  <cp:lastPrinted>2023-07-31T02:35:00Z</cp:lastPrinted>
  <dcterms:modified xsi:type="dcterms:W3CDTF">2024-09-24T02:17:13Z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C02CBC7A4694464C85A34E96324CAAD5</vt:lpwstr>
  </property>
</Properties>
</file>