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78441"/>
      <w:bookmarkStart w:id="2" w:name="_Toc15396475"/>
      <w:bookmarkStart w:id="3" w:name="_Toc15396597"/>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ascii="黑体" w:hAnsi="黑体" w:eastAsia="黑体"/>
          <w:sz w:val="48"/>
          <w:szCs w:val="48"/>
        </w:rPr>
      </w:pPr>
      <w:bookmarkStart w:id="6" w:name="_Toc15377194"/>
      <w:bookmarkStart w:id="7" w:name="_Toc15378442"/>
      <w:bookmarkStart w:id="8" w:name="_Toc15396476"/>
      <w:bookmarkStart w:id="9" w:name="_Toc15396598"/>
      <w:bookmarkStart w:id="10" w:name="_Toc15377426"/>
      <w:bookmarkStart w:id="11" w:name="_Toc15306268"/>
      <w:r>
        <w:rPr>
          <w:rFonts w:hint="default" w:ascii="Times New Roman" w:hAnsi="Times New Roman" w:eastAsia="方正小标宋简体" w:cs="Times New Roman"/>
          <w:sz w:val="72"/>
          <w:szCs w:val="72"/>
          <w:lang w:eastAsia="zh-CN"/>
        </w:rPr>
        <w:t>乐至县军队离退休干部管理所</w:t>
      </w:r>
      <w:bookmarkEnd w:id="6"/>
      <w:bookmarkEnd w:id="7"/>
      <w:bookmarkEnd w:id="8"/>
      <w:bookmarkEnd w:id="9"/>
      <w:bookmarkEnd w:id="10"/>
      <w:bookmarkEnd w:id="11"/>
      <w:r>
        <w:rPr>
          <w:rFonts w:hint="default" w:ascii="Times New Roman" w:hAnsi="Times New Roman" w:eastAsia="方正小标宋简体" w:cs="Times New Roman"/>
          <w:sz w:val="72"/>
          <w:szCs w:val="72"/>
        </w:rPr>
        <w:t>单位决算</w:t>
      </w:r>
      <w:r>
        <w:rPr>
          <w:rFonts w:hint="default" w:ascii="Times New Roman" w:hAnsi="Times New Roman" w:eastAsia="方正小标宋简体" w:cs="Times New Roman"/>
          <w:sz w:val="72"/>
          <w:szCs w:val="72"/>
          <w:lang w:eastAsia="zh-CN"/>
        </w:rPr>
        <w:t>公开说明</w:t>
      </w: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8</w:t>
      </w:r>
      <w:r>
        <w:rPr>
          <w:rFonts w:hint="eastAsia"/>
        </w:rPr>
        <w:t>月</w:t>
      </w:r>
      <w:r>
        <w:rPr>
          <w:rFonts w:hint="eastAsia"/>
          <w:lang w:val="en-US" w:eastAsia="zh-CN"/>
        </w:rPr>
        <w:t>16</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3"/>
        <w:adjustRightInd w:val="0"/>
        <w:snapToGrid w:val="0"/>
        <w:spacing w:line="440" w:lineRule="exact"/>
        <w:jc w:val="left"/>
        <w:rPr>
          <w:rFonts w:ascii="仿宋" w:hAnsi="仿宋" w:eastAsia="仿宋"/>
          <w:sz w:val="24"/>
        </w:rPr>
      </w:pPr>
      <w:r>
        <w:rPr>
          <w:rFonts w:hint="eastAsia"/>
          <w:sz w:val="24"/>
        </w:rPr>
        <w:t>一、部门职责</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 202</w:t>
      </w:r>
      <w:r>
        <w:rPr>
          <w:rFonts w:hint="eastAsia"/>
          <w:sz w:val="24"/>
          <w:lang w:val="en-US" w:eastAsia="zh-CN"/>
        </w:rPr>
        <w:t>3</w:t>
      </w:r>
      <w:r>
        <w:rPr>
          <w:rFonts w:hint="eastAsia"/>
          <w:sz w:val="24"/>
        </w:rPr>
        <w:t>年度部门决算情况说明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hint="eastAsia" w:ascii="黑体" w:hAnsi="黑体" w:eastAsia="黑体"/>
          <w:b w:val="0"/>
        </w:rPr>
      </w:pPr>
      <w:r>
        <w:rPr>
          <w:rFonts w:hint="eastAsia" w:ascii="黑体" w:hAnsi="黑体" w:eastAsia="黑体"/>
          <w:b w:val="0"/>
        </w:rPr>
        <w:t>部门职责</w:t>
      </w:r>
    </w:p>
    <w:p>
      <w:pPr>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方正仿宋简体" w:cs="Times New Roman"/>
          <w:bCs/>
          <w:sz w:val="32"/>
          <w:szCs w:val="32"/>
        </w:rPr>
        <w:t>定期或不定期组织全所工休人员学习党的路线、方针、政策和法律法规。</w:t>
      </w:r>
    </w:p>
    <w:p>
      <w:pPr>
        <w:widowControl/>
        <w:spacing w:line="590" w:lineRule="exact"/>
        <w:ind w:firstLine="630"/>
        <w:jc w:val="left"/>
        <w:rPr>
          <w:rFonts w:hint="default" w:ascii="Times New Roman" w:hAnsi="Times New Roman" w:eastAsia="方正仿宋简体" w:cs="Times New Roman"/>
          <w:bCs/>
          <w:sz w:val="32"/>
          <w:szCs w:val="32"/>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方正仿宋简体" w:cs="Times New Roman"/>
          <w:bCs/>
          <w:sz w:val="32"/>
          <w:szCs w:val="32"/>
        </w:rPr>
        <w:t>每月按时，按标准发放离退休费和随军遗属生活补助费。</w:t>
      </w:r>
    </w:p>
    <w:p>
      <w:pPr>
        <w:ind w:firstLine="640" w:firstLineChars="200"/>
        <w:jc w:val="left"/>
        <w:rPr>
          <w:rFonts w:hint="default" w:ascii="Times New Roman" w:hAnsi="Times New Roman" w:eastAsia="方正仿宋简体" w:cs="Times New Roman"/>
          <w:bCs/>
          <w:sz w:val="32"/>
          <w:szCs w:val="32"/>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方正仿宋简体" w:cs="Times New Roman"/>
          <w:bCs/>
          <w:sz w:val="32"/>
          <w:szCs w:val="32"/>
        </w:rPr>
        <w:t>离休干部医疗保障实行实报实销，退休干部（士官）按规定参加医疗保险；按规定落实离退休干部（士官）住院伙食补助费。</w:t>
      </w:r>
    </w:p>
    <w:p>
      <w:pPr>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方正仿宋简体" w:cs="Times New Roman"/>
          <w:bCs/>
          <w:sz w:val="32"/>
          <w:szCs w:val="32"/>
        </w:rPr>
        <w:t>按规定标准发放离休干部、四级以上残疾军人（含精神病）的护理费。</w:t>
      </w:r>
    </w:p>
    <w:p>
      <w:pPr>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方正仿宋简体" w:cs="Times New Roman"/>
          <w:bCs/>
          <w:sz w:val="32"/>
          <w:szCs w:val="32"/>
        </w:rPr>
        <w:t>离退休干部（士官）生病或住院，党支部领导、所领导和管委会领导进行慰问看望。</w:t>
      </w:r>
    </w:p>
    <w:p>
      <w:pPr>
        <w:ind w:firstLine="640" w:firstLineChars="200"/>
        <w:jc w:val="left"/>
      </w:pPr>
      <w:r>
        <w:rPr>
          <w:rFonts w:hint="default" w:ascii="Times New Roman" w:hAnsi="Times New Roman" w:eastAsia="仿宋_GB2312" w:cs="Times New Roman"/>
          <w:sz w:val="32"/>
          <w:szCs w:val="32"/>
          <w:lang w:val="en-US" w:eastAsia="zh-CN"/>
        </w:rPr>
        <w:t>6.</w:t>
      </w:r>
      <w:r>
        <w:rPr>
          <w:rFonts w:hint="default" w:ascii="Times New Roman" w:hAnsi="Times New Roman" w:eastAsia="方正仿宋简体" w:cs="Times New Roman"/>
          <w:bCs/>
          <w:sz w:val="32"/>
          <w:szCs w:val="32"/>
        </w:rPr>
        <w:t>重大节日对离退休干部（士官）和无固定收入随军遗属进行走访慰问。</w:t>
      </w:r>
    </w:p>
    <w:p>
      <w:pPr>
        <w:pStyle w:val="4"/>
        <w:rPr>
          <w:rStyle w:val="29"/>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4"/>
      <w:bookmarkEnd w:id="15"/>
    </w:p>
    <w:p>
      <w:pPr>
        <w:pStyle w:val="4"/>
        <w:numPr>
          <w:ilvl w:val="0"/>
          <w:numId w:val="0"/>
        </w:numPr>
        <w:ind w:firstLine="640" w:firstLineChars="200"/>
        <w:jc w:val="left"/>
        <w:rPr>
          <w:rFonts w:hint="default" w:ascii="Times New Roman" w:hAnsi="Times New Roman" w:cs="Times New Roman"/>
        </w:rPr>
      </w:pPr>
      <w:r>
        <w:rPr>
          <w:rFonts w:hint="default" w:ascii="Times New Roman" w:hAnsi="Times New Roman" w:eastAsia="方正仿宋简体" w:cs="Times New Roman"/>
          <w:b w:val="0"/>
          <w:bCs/>
          <w:kern w:val="2"/>
          <w:sz w:val="32"/>
          <w:szCs w:val="32"/>
          <w:lang w:val="en-US" w:eastAsia="zh-CN" w:bidi="ar-SA"/>
        </w:rPr>
        <w:t>县军干所属县退役军人事务局一级决算单位下属单位，202</w:t>
      </w:r>
      <w:r>
        <w:rPr>
          <w:rFonts w:hint="eastAsia" w:ascii="Times New Roman" w:hAnsi="Times New Roman" w:eastAsia="方正仿宋简体" w:cs="Times New Roman"/>
          <w:b w:val="0"/>
          <w:bCs/>
          <w:kern w:val="2"/>
          <w:sz w:val="32"/>
          <w:szCs w:val="32"/>
          <w:lang w:val="en-US" w:eastAsia="zh-CN" w:bidi="ar-SA"/>
        </w:rPr>
        <w:t>3</w:t>
      </w:r>
      <w:r>
        <w:rPr>
          <w:rFonts w:hint="default" w:ascii="Times New Roman" w:hAnsi="Times New Roman" w:eastAsia="方正仿宋简体" w:cs="Times New Roman"/>
          <w:b w:val="0"/>
          <w:bCs/>
          <w:kern w:val="2"/>
          <w:sz w:val="32"/>
          <w:szCs w:val="32"/>
          <w:lang w:val="en-US" w:eastAsia="zh-CN" w:bidi="ar-SA"/>
        </w:rPr>
        <w:t>年年底编制</w:t>
      </w:r>
      <w:r>
        <w:rPr>
          <w:rFonts w:hint="eastAsia" w:ascii="Times New Roman" w:hAnsi="Times New Roman" w:eastAsia="方正仿宋简体" w:cs="Times New Roman"/>
          <w:b w:val="0"/>
          <w:bCs/>
          <w:kern w:val="2"/>
          <w:sz w:val="32"/>
          <w:szCs w:val="32"/>
          <w:lang w:val="en-US" w:eastAsia="zh-CN" w:bidi="ar-SA"/>
        </w:rPr>
        <w:t>4</w:t>
      </w:r>
      <w:r>
        <w:rPr>
          <w:rFonts w:hint="default" w:ascii="Times New Roman" w:hAnsi="Times New Roman" w:eastAsia="方正仿宋简体" w:cs="Times New Roman"/>
          <w:b w:val="0"/>
          <w:bCs/>
          <w:kern w:val="2"/>
          <w:sz w:val="32"/>
          <w:szCs w:val="32"/>
          <w:lang w:val="en-US" w:eastAsia="zh-CN" w:bidi="ar-SA"/>
        </w:rPr>
        <w:t>人，实有在职职工</w:t>
      </w:r>
      <w:r>
        <w:rPr>
          <w:rFonts w:hint="eastAsia" w:ascii="Times New Roman" w:hAnsi="Times New Roman" w:eastAsia="方正仿宋简体" w:cs="Times New Roman"/>
          <w:b w:val="0"/>
          <w:bCs/>
          <w:kern w:val="2"/>
          <w:sz w:val="32"/>
          <w:szCs w:val="32"/>
          <w:lang w:val="en-US" w:eastAsia="zh-CN" w:bidi="ar-SA"/>
        </w:rPr>
        <w:t>3</w:t>
      </w:r>
      <w:r>
        <w:rPr>
          <w:rFonts w:hint="default" w:ascii="Times New Roman" w:hAnsi="Times New Roman" w:eastAsia="方正仿宋简体" w:cs="Times New Roman"/>
          <w:b w:val="0"/>
          <w:bCs/>
          <w:kern w:val="2"/>
          <w:sz w:val="32"/>
          <w:szCs w:val="32"/>
          <w:lang w:val="en-US" w:eastAsia="zh-CN" w:bidi="ar-SA"/>
        </w:rPr>
        <w:t>人，比上年</w:t>
      </w:r>
      <w:r>
        <w:rPr>
          <w:rFonts w:hint="eastAsia" w:ascii="Times New Roman" w:hAnsi="Times New Roman" w:eastAsia="方正仿宋简体" w:cs="Times New Roman"/>
          <w:b w:val="0"/>
          <w:bCs/>
          <w:kern w:val="2"/>
          <w:sz w:val="32"/>
          <w:szCs w:val="32"/>
          <w:lang w:val="en-US" w:eastAsia="zh-CN" w:bidi="ar-SA"/>
        </w:rPr>
        <w:t>人数持平</w:t>
      </w:r>
      <w:r>
        <w:rPr>
          <w:rFonts w:hint="default" w:ascii="Times New Roman" w:hAnsi="Times New Roman" w:eastAsia="方正仿宋简体" w:cs="Times New Roman"/>
          <w:b w:val="0"/>
          <w:bCs/>
          <w:kern w:val="2"/>
          <w:sz w:val="32"/>
          <w:szCs w:val="32"/>
          <w:lang w:val="en-US" w:eastAsia="zh-CN" w:bidi="ar-SA"/>
        </w:rPr>
        <w:t>。</w:t>
      </w:r>
    </w:p>
    <w:p>
      <w:pPr>
        <w:pStyle w:val="2"/>
        <w:spacing w:before="93"/>
      </w:pPr>
    </w:p>
    <w:p>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8"/>
          <w:rFonts w:hint="eastAsia" w:ascii="黑体" w:hAnsi="黑体" w:eastAsia="黑体"/>
          <w:b w:val="0"/>
          <w:bCs/>
        </w:rPr>
        <w:t>部门决算情况说明</w:t>
      </w:r>
      <w:bookmarkEnd w:id="16"/>
      <w:bookmarkEnd w:id="17"/>
    </w:p>
    <w:p/>
    <w:p>
      <w:pPr>
        <w:pStyle w:val="27"/>
        <w:numPr>
          <w:ilvl w:val="0"/>
          <w:numId w:val="2"/>
        </w:numPr>
        <w:spacing w:line="600" w:lineRule="exact"/>
        <w:ind w:firstLineChars="0"/>
        <w:outlineLvl w:val="1"/>
        <w:rPr>
          <w:rStyle w:val="29"/>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w:t>
      </w:r>
      <w:r>
        <w:rPr>
          <w:rFonts w:hint="eastAsia" w:ascii="仿宋" w:hAnsi="仿宋" w:eastAsia="仿宋"/>
          <w:sz w:val="32"/>
          <w:szCs w:val="32"/>
          <w:lang w:val="en-US" w:eastAsia="zh-CN"/>
        </w:rPr>
        <w:t>288.7291.88</w:t>
      </w:r>
      <w:r>
        <w:rPr>
          <w:rFonts w:hint="eastAsia" w:ascii="仿宋" w:hAnsi="仿宋" w:eastAsia="仿宋"/>
          <w:sz w:val="32"/>
          <w:szCs w:val="32"/>
        </w:rPr>
        <w:t>万元。与2021年相比，收、支总计各减少</w:t>
      </w:r>
      <w:r>
        <w:rPr>
          <w:rFonts w:hint="eastAsia" w:ascii="仿宋" w:hAnsi="仿宋" w:eastAsia="仿宋"/>
          <w:sz w:val="32"/>
          <w:szCs w:val="32"/>
          <w:lang w:val="en-US" w:eastAsia="zh-CN"/>
        </w:rPr>
        <w:t>3.18</w:t>
      </w:r>
      <w:r>
        <w:rPr>
          <w:rFonts w:hint="eastAsia" w:ascii="仿宋" w:hAnsi="仿宋" w:eastAsia="仿宋"/>
          <w:sz w:val="32"/>
          <w:szCs w:val="32"/>
        </w:rPr>
        <w:t>万元，下降</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。主要变动原因是</w:t>
      </w:r>
      <w:r>
        <w:rPr>
          <w:rFonts w:hint="default" w:ascii="Times New Roman" w:hAnsi="Times New Roman" w:eastAsia="方正仿宋简体" w:cs="Times New Roman"/>
          <w:sz w:val="32"/>
          <w:szCs w:val="32"/>
          <w:lang w:val="en-US" w:eastAsia="zh-CN"/>
        </w:rPr>
        <w:t>离退休干部</w:t>
      </w:r>
      <w:r>
        <w:rPr>
          <w:rFonts w:hint="eastAsia" w:ascii="Times New Roman" w:hAnsi="Times New Roman" w:eastAsia="方正仿宋简体" w:cs="Times New Roman"/>
          <w:sz w:val="32"/>
          <w:szCs w:val="32"/>
          <w:lang w:val="en-US" w:eastAsia="zh-CN"/>
        </w:rPr>
        <w:t>本年各项活动开展减少，经费紧张</w:t>
      </w:r>
      <w:r>
        <w:rPr>
          <w:rFonts w:hint="eastAsia" w:ascii="仿宋" w:hAnsi="仿宋" w:eastAsia="仿宋"/>
          <w:sz w:val="32"/>
          <w:szCs w:val="32"/>
        </w:rPr>
        <w:t>。</w:t>
      </w:r>
    </w:p>
    <w:p>
      <w:pPr>
        <w:pStyle w:val="2"/>
        <w:rPr>
          <w:rFonts w:ascii="仿宋_GB2312" w:eastAsia="仿宋_GB2312"/>
          <w:sz w:val="32"/>
          <w:szCs w:val="32"/>
        </w:rPr>
      </w:pPr>
      <w:r>
        <w:rPr>
          <w:rFonts w:hint="eastAsia" w:eastAsia="仿宋"/>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7"/>
        <w:numPr>
          <w:ilvl w:val="0"/>
          <w:numId w:val="2"/>
        </w:numPr>
        <w:spacing w:line="600" w:lineRule="exact"/>
        <w:ind w:firstLineChars="0"/>
        <w:outlineLvl w:val="1"/>
        <w:rPr>
          <w:rStyle w:val="29"/>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288.7</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288.7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pStyle w:val="2"/>
        <w:rPr>
          <w:rFonts w:ascii="仿宋_GB2312" w:eastAsia="仿宋_GB2312"/>
          <w:sz w:val="32"/>
          <w:szCs w:val="32"/>
        </w:rPr>
      </w:pPr>
      <w:r>
        <w:rPr>
          <w:rFonts w:hint="eastAsia" w:eastAsia="仿宋"/>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numPr>
          <w:ilvl w:val="0"/>
          <w:numId w:val="2"/>
        </w:numPr>
        <w:spacing w:line="600" w:lineRule="exact"/>
        <w:ind w:firstLine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288.7</w:t>
      </w:r>
      <w:r>
        <w:rPr>
          <w:rFonts w:hint="eastAsia" w:ascii="仿宋" w:hAnsi="仿宋" w:eastAsia="仿宋"/>
          <w:sz w:val="32"/>
          <w:szCs w:val="32"/>
        </w:rPr>
        <w:t>万元，其中：基本支出</w:t>
      </w:r>
      <w:r>
        <w:rPr>
          <w:rFonts w:hint="eastAsia" w:ascii="仿宋" w:hAnsi="仿宋" w:eastAsia="仿宋"/>
          <w:sz w:val="32"/>
          <w:szCs w:val="32"/>
          <w:lang w:val="en-US" w:eastAsia="zh-CN"/>
        </w:rPr>
        <w:t>288.7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pStyle w:val="2"/>
        <w:rPr>
          <w:rFonts w:ascii="仿宋_GB2312" w:eastAsia="仿宋_GB2312"/>
          <w:sz w:val="32"/>
          <w:szCs w:val="32"/>
        </w:rPr>
      </w:pPr>
      <w:r>
        <w:rPr>
          <w:rFonts w:hint="eastAsia" w:eastAsia="仿宋"/>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Fonts w:hint="eastAsia" w:ascii="黑体" w:hAnsi="黑体" w:eastAsia="黑体"/>
          <w:sz w:val="32"/>
          <w:szCs w:val="32"/>
        </w:rPr>
      </w:pPr>
      <w:bookmarkStart w:id="24" w:name="_Toc15377208"/>
      <w:bookmarkStart w:id="25" w:name="_Toc15396606"/>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Style w:val="29"/>
          <w:rFonts w:ascii="黑体" w:hAnsi="黑体" w:eastAsia="黑体"/>
          <w:b w:val="0"/>
        </w:rPr>
      </w:pPr>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年财政拨款收、支总计</w:t>
      </w:r>
      <w:r>
        <w:rPr>
          <w:rFonts w:hint="eastAsia" w:ascii="仿宋" w:hAnsi="仿宋" w:eastAsia="仿宋"/>
          <w:sz w:val="32"/>
          <w:szCs w:val="32"/>
          <w:lang w:val="en-US" w:eastAsia="zh-CN"/>
        </w:rPr>
        <w:t>288.7</w:t>
      </w:r>
      <w:r>
        <w:rPr>
          <w:rFonts w:hint="eastAsia" w:ascii="仿宋" w:hAnsi="仿宋" w:eastAsia="仿宋"/>
          <w:sz w:val="32"/>
          <w:szCs w:val="32"/>
        </w:rPr>
        <w:t>万元。与</w:t>
      </w:r>
      <w:r>
        <w:rPr>
          <w:rFonts w:hint="eastAsia" w:ascii="仿宋" w:hAnsi="仿宋" w:eastAsia="仿宋"/>
          <w:sz w:val="32"/>
          <w:szCs w:val="32"/>
          <w:lang w:val="en-US" w:eastAsia="zh-CN"/>
        </w:rPr>
        <w:t>2022</w:t>
      </w:r>
      <w:r>
        <w:rPr>
          <w:rFonts w:hint="eastAsia" w:ascii="仿宋" w:hAnsi="仿宋" w:eastAsia="仿宋"/>
          <w:sz w:val="32"/>
          <w:szCs w:val="32"/>
        </w:rPr>
        <w:t>年相比，财政拨款收、支总计各减少</w:t>
      </w:r>
      <w:r>
        <w:rPr>
          <w:rFonts w:hint="eastAsia" w:ascii="仿宋" w:hAnsi="仿宋" w:eastAsia="仿宋"/>
          <w:sz w:val="32"/>
          <w:szCs w:val="32"/>
          <w:lang w:val="en-US" w:eastAsia="zh-CN"/>
        </w:rPr>
        <w:t>3.18</w:t>
      </w:r>
      <w:r>
        <w:rPr>
          <w:rFonts w:hint="eastAsia" w:ascii="仿宋" w:hAnsi="仿宋" w:eastAsia="仿宋"/>
          <w:sz w:val="32"/>
          <w:szCs w:val="32"/>
        </w:rPr>
        <w:t>万元，下降</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。主要变动原因是</w:t>
      </w:r>
      <w:r>
        <w:rPr>
          <w:rFonts w:hint="default" w:ascii="Times New Roman" w:hAnsi="Times New Roman" w:eastAsia="方正仿宋简体" w:cs="Times New Roman"/>
          <w:sz w:val="32"/>
          <w:szCs w:val="32"/>
          <w:lang w:val="en-US" w:eastAsia="zh-CN"/>
        </w:rPr>
        <w:t>离退休干部</w:t>
      </w:r>
      <w:r>
        <w:rPr>
          <w:rFonts w:hint="eastAsia" w:ascii="Times New Roman" w:hAnsi="Times New Roman" w:eastAsia="方正仿宋简体" w:cs="Times New Roman"/>
          <w:sz w:val="32"/>
          <w:szCs w:val="32"/>
          <w:lang w:val="en-US" w:eastAsia="zh-CN"/>
        </w:rPr>
        <w:t>本年各项活动开展减少，经费紧张</w:t>
      </w:r>
      <w:r>
        <w:rPr>
          <w:rFonts w:hint="eastAsia" w:ascii="仿宋" w:hAnsi="仿宋" w:eastAsia="仿宋"/>
          <w:sz w:val="32"/>
          <w:szCs w:val="32"/>
        </w:rPr>
        <w:t>。</w:t>
      </w:r>
    </w:p>
    <w:p>
      <w:pPr>
        <w:pStyle w:val="2"/>
        <w:rPr>
          <w:rFonts w:hint="eastAsia" w:ascii="仿宋" w:hAnsi="仿宋" w:eastAsia="仿宋"/>
          <w:sz w:val="32"/>
          <w:szCs w:val="32"/>
        </w:rPr>
      </w:pPr>
    </w:p>
    <w:p>
      <w:pPr>
        <w:pStyle w:val="2"/>
        <w:rPr>
          <w:rFonts w:hint="eastAsia" w:ascii="仿宋" w:hAnsi="仿宋" w:eastAsia="仿宋"/>
          <w:sz w:val="32"/>
          <w:szCs w:val="32"/>
          <w:lang w:eastAsia="zh-CN"/>
        </w:rPr>
      </w:pPr>
      <w:r>
        <w:rPr>
          <w:rFonts w:hint="eastAsia" w:eastAsia="仿宋"/>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eastAsia="方正仿宋简体" w:cs="Times New Roman"/>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288.7</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年相比，一般公共预算财政拨款支出</w:t>
      </w:r>
      <w:r>
        <w:rPr>
          <w:rFonts w:hint="eastAsia" w:ascii="仿宋" w:hAnsi="仿宋" w:eastAsia="仿宋"/>
          <w:sz w:val="32"/>
          <w:szCs w:val="32"/>
          <w:lang w:eastAsia="zh-CN"/>
        </w:rPr>
        <w:t>增加</w:t>
      </w:r>
      <w:r>
        <w:rPr>
          <w:rFonts w:hint="eastAsia" w:ascii="仿宋" w:hAnsi="仿宋" w:eastAsia="仿宋"/>
          <w:sz w:val="32"/>
          <w:szCs w:val="32"/>
          <w:lang w:val="en-US" w:eastAsia="zh-CN"/>
        </w:rPr>
        <w:t>10.83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3.9</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是拨款经费均为一般公共预算财政拨款</w:t>
      </w:r>
      <w:r>
        <w:rPr>
          <w:rFonts w:hint="eastAsia" w:eastAsia="方正仿宋简体" w:cs="Times New Roman"/>
          <w:sz w:val="32"/>
          <w:szCs w:val="32"/>
          <w:lang w:val="en-US" w:eastAsia="zh-CN"/>
        </w:rPr>
        <w:t>。</w:t>
      </w:r>
    </w:p>
    <w:p>
      <w:pPr>
        <w:pStyle w:val="2"/>
        <w:rPr>
          <w:rFonts w:ascii="仿宋" w:hAnsi="仿宋" w:eastAsia="仿宋"/>
          <w:sz w:val="32"/>
          <w:szCs w:val="32"/>
        </w:rPr>
      </w:pPr>
      <w:r>
        <w:rPr>
          <w:rFonts w:hint="eastAsia"/>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288.7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288.7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pStyle w:val="2"/>
        <w:rPr>
          <w:rFonts w:hint="eastAsia" w:eastAsia="仿宋"/>
          <w:lang w:eastAsia="zh-CN"/>
        </w:rPr>
      </w:pPr>
      <w:r>
        <w:rPr>
          <w:rFonts w:hint="default" w:ascii="Times New Roman" w:hAnsi="Times New Roman" w:cs="Times New Roman"/>
        </w:rPr>
        <w:drawing>
          <wp:inline distT="0" distB="0" distL="114300" distR="114300">
            <wp:extent cx="4572000" cy="2743200"/>
            <wp:effectExtent l="4445" t="4445" r="14605" b="52705"/>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288.7</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7"/>
          <w:rFonts w:hint="default" w:ascii="Times New Roman" w:hAnsi="Times New Roman" w:eastAsia="仿宋" w:cs="Times New Roman"/>
          <w:bCs/>
          <w:color w:val="000000"/>
          <w:sz w:val="32"/>
          <w:szCs w:val="32"/>
          <w:lang w:val="en-US" w:eastAsia="zh-CN"/>
        </w:rPr>
        <w:t>1</w:t>
      </w:r>
      <w:r>
        <w:rPr>
          <w:rStyle w:val="17"/>
          <w:rFonts w:hint="default" w:ascii="Times New Roman" w:hAnsi="Times New Roman" w:eastAsia="仿宋" w:cs="Times New Roman"/>
          <w:bCs/>
          <w:color w:val="000000"/>
          <w:sz w:val="32"/>
          <w:szCs w:val="32"/>
        </w:rPr>
        <w:t>.社会保障和就业（类））:</w:t>
      </w:r>
      <w:r>
        <w:rPr>
          <w:rStyle w:val="17"/>
          <w:rFonts w:hint="default" w:ascii="Times New Roman" w:hAnsi="Times New Roman" w:eastAsia="仿宋" w:cs="Times New Roman"/>
          <w:b w:val="0"/>
          <w:bCs/>
          <w:color w:val="000000"/>
          <w:sz w:val="32"/>
          <w:szCs w:val="32"/>
        </w:rPr>
        <w:t xml:space="preserve"> 支出决算为</w:t>
      </w:r>
      <w:r>
        <w:rPr>
          <w:rFonts w:hint="eastAsia" w:ascii="仿宋" w:hAnsi="仿宋" w:eastAsia="仿宋"/>
          <w:sz w:val="32"/>
          <w:szCs w:val="32"/>
          <w:lang w:val="en-US" w:eastAsia="zh-CN"/>
        </w:rPr>
        <w:t>288.7</w:t>
      </w:r>
      <w:r>
        <w:rPr>
          <w:rStyle w:val="17"/>
          <w:rFonts w:hint="default" w:ascii="Times New Roman" w:hAnsi="Times New Roman" w:eastAsia="仿宋" w:cs="Times New Roman"/>
          <w:b w:val="0"/>
          <w:bCs/>
          <w:color w:val="000000"/>
          <w:sz w:val="32"/>
          <w:szCs w:val="32"/>
        </w:rPr>
        <w:t>万元，完成预算</w:t>
      </w:r>
      <w:r>
        <w:rPr>
          <w:rStyle w:val="17"/>
          <w:rFonts w:hint="default" w:ascii="Times New Roman" w:hAnsi="Times New Roman"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p>
    <w:p>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288.7</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color w:val="000000" w:themeColor="text1"/>
          <w:sz w:val="32"/>
          <w:szCs w:val="32"/>
          <w:lang w:val="en-US" w:eastAsia="zh-CN"/>
          <w14:textFill>
            <w14:solidFill>
              <w14:schemeClr w14:val="tx1"/>
            </w14:solidFill>
          </w14:textFill>
        </w:rPr>
        <w:t>286.38</w:t>
      </w:r>
      <w:r>
        <w:rPr>
          <w:rFonts w:hint="eastAsia" w:ascii="仿宋" w:hAnsi="仿宋" w:eastAsia="仿宋"/>
          <w:sz w:val="32"/>
          <w:szCs w:val="32"/>
        </w:rPr>
        <w:t>万元，主要包括：基本工资</w:t>
      </w:r>
      <w:r>
        <w:rPr>
          <w:rFonts w:hint="eastAsia" w:ascii="仿宋" w:hAnsi="仿宋" w:eastAsia="仿宋"/>
          <w:sz w:val="32"/>
          <w:szCs w:val="32"/>
          <w:lang w:val="en-US" w:eastAsia="zh-CN"/>
        </w:rPr>
        <w:t>11.78万元</w:t>
      </w:r>
      <w:r>
        <w:rPr>
          <w:rFonts w:hint="eastAsia" w:ascii="仿宋" w:hAnsi="仿宋" w:eastAsia="仿宋"/>
          <w:sz w:val="32"/>
          <w:szCs w:val="32"/>
        </w:rPr>
        <w:t>、津贴补贴</w:t>
      </w:r>
      <w:r>
        <w:rPr>
          <w:rFonts w:hint="eastAsia" w:ascii="仿宋" w:hAnsi="仿宋" w:eastAsia="仿宋"/>
          <w:sz w:val="32"/>
          <w:szCs w:val="32"/>
          <w:lang w:val="en-US" w:eastAsia="zh-CN"/>
        </w:rPr>
        <w:t>0.63万元</w:t>
      </w:r>
      <w:r>
        <w:rPr>
          <w:rFonts w:hint="eastAsia" w:ascii="仿宋" w:hAnsi="仿宋" w:eastAsia="仿宋"/>
          <w:sz w:val="32"/>
          <w:szCs w:val="32"/>
        </w:rPr>
        <w:t>、绩效工资</w:t>
      </w:r>
      <w:r>
        <w:rPr>
          <w:rFonts w:hint="eastAsia" w:ascii="仿宋" w:hAnsi="仿宋" w:eastAsia="仿宋"/>
          <w:sz w:val="32"/>
          <w:szCs w:val="32"/>
          <w:lang w:val="en-US" w:eastAsia="zh-CN"/>
        </w:rPr>
        <w:t>7.87万元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4.24万元</w:t>
      </w:r>
      <w:r>
        <w:rPr>
          <w:rFonts w:hint="eastAsia" w:ascii="仿宋" w:hAnsi="仿宋" w:eastAsia="仿宋"/>
          <w:sz w:val="32"/>
          <w:szCs w:val="32"/>
        </w:rPr>
        <w:t>、离休费</w:t>
      </w:r>
      <w:r>
        <w:rPr>
          <w:rFonts w:hint="eastAsia" w:ascii="仿宋" w:hAnsi="仿宋" w:eastAsia="仿宋"/>
          <w:sz w:val="32"/>
          <w:szCs w:val="32"/>
          <w:lang w:val="en-US" w:eastAsia="zh-CN"/>
        </w:rPr>
        <w:t>2.96万元</w:t>
      </w:r>
      <w:r>
        <w:rPr>
          <w:rFonts w:hint="eastAsia" w:ascii="仿宋" w:hAnsi="仿宋" w:eastAsia="仿宋"/>
          <w:sz w:val="32"/>
          <w:szCs w:val="32"/>
        </w:rPr>
        <w:t>、退休费</w:t>
      </w:r>
      <w:r>
        <w:rPr>
          <w:rFonts w:hint="eastAsia" w:ascii="仿宋" w:hAnsi="仿宋" w:eastAsia="仿宋"/>
          <w:sz w:val="32"/>
          <w:szCs w:val="32"/>
          <w:lang w:val="en-US" w:eastAsia="zh-CN"/>
        </w:rPr>
        <w:t>64.69万元</w:t>
      </w:r>
      <w:r>
        <w:rPr>
          <w:rFonts w:hint="eastAsia" w:ascii="仿宋" w:hAnsi="仿宋" w:eastAsia="仿宋"/>
          <w:sz w:val="32"/>
          <w:szCs w:val="32"/>
        </w:rPr>
        <w:t>、生活补助</w:t>
      </w:r>
      <w:r>
        <w:rPr>
          <w:rFonts w:hint="eastAsia" w:ascii="仿宋" w:hAnsi="仿宋" w:eastAsia="仿宋"/>
          <w:sz w:val="32"/>
          <w:szCs w:val="32"/>
          <w:lang w:val="en-US" w:eastAsia="zh-CN"/>
        </w:rPr>
        <w:t>117.24万元</w:t>
      </w:r>
      <w:r>
        <w:rPr>
          <w:rFonts w:hint="eastAsia" w:ascii="仿宋" w:hAnsi="仿宋" w:eastAsia="仿宋"/>
          <w:sz w:val="32"/>
          <w:szCs w:val="32"/>
        </w:rPr>
        <w:t>、医疗费补助</w:t>
      </w:r>
      <w:r>
        <w:rPr>
          <w:rFonts w:hint="eastAsia" w:ascii="仿宋" w:hAnsi="仿宋" w:eastAsia="仿宋"/>
          <w:sz w:val="32"/>
          <w:szCs w:val="32"/>
          <w:lang w:val="en-US" w:eastAsia="zh-CN"/>
        </w:rPr>
        <w:t>1.08万元</w:t>
      </w:r>
      <w:r>
        <w:rPr>
          <w:rFonts w:hint="eastAsia" w:ascii="仿宋" w:hAnsi="仿宋" w:eastAsia="仿宋"/>
          <w:sz w:val="32"/>
          <w:szCs w:val="32"/>
        </w:rPr>
        <w:t>、奖励金</w:t>
      </w:r>
      <w:r>
        <w:rPr>
          <w:rFonts w:hint="eastAsia" w:ascii="仿宋" w:hAnsi="仿宋" w:eastAsia="仿宋"/>
          <w:sz w:val="32"/>
          <w:szCs w:val="32"/>
          <w:lang w:val="en-US" w:eastAsia="zh-CN"/>
        </w:rPr>
        <w:t>15.55万元</w:t>
      </w:r>
      <w:r>
        <w:rPr>
          <w:rFonts w:hint="eastAsia" w:ascii="仿宋" w:hAnsi="仿宋" w:eastAsia="仿宋"/>
          <w:sz w:val="32"/>
          <w:szCs w:val="32"/>
        </w:rPr>
        <w:t>、住房公积金</w:t>
      </w:r>
      <w:r>
        <w:rPr>
          <w:rFonts w:hint="eastAsia" w:ascii="仿宋" w:hAnsi="仿宋" w:eastAsia="仿宋"/>
          <w:sz w:val="32"/>
          <w:szCs w:val="32"/>
          <w:lang w:val="en-US" w:eastAsia="zh-CN"/>
        </w:rPr>
        <w:t>4.24万元、其他对个人和家庭的补助56.27万元</w:t>
      </w:r>
      <w:r>
        <w:rPr>
          <w:rFonts w:hint="eastAsia" w:ascii="仿宋" w:hAnsi="仿宋" w:eastAsia="仿宋"/>
          <w:sz w:val="32"/>
          <w:szCs w:val="32"/>
        </w:rPr>
        <w:t>等。</w:t>
      </w:r>
    </w:p>
    <w:p>
      <w:pPr>
        <w:spacing w:line="600" w:lineRule="exact"/>
        <w:ind w:firstLine="645"/>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sz w:val="32"/>
          <w:szCs w:val="32"/>
          <w:lang w:val="en-US" w:eastAsia="zh-CN"/>
        </w:rPr>
        <w:t>2.32</w:t>
      </w:r>
      <w:r>
        <w:rPr>
          <w:rFonts w:hint="eastAsia" w:ascii="仿宋" w:hAnsi="仿宋" w:eastAsia="仿宋"/>
          <w:sz w:val="32"/>
          <w:szCs w:val="32"/>
        </w:rPr>
        <w:t>万元，主要包括：办公费</w:t>
      </w:r>
      <w:r>
        <w:rPr>
          <w:rFonts w:hint="eastAsia" w:ascii="仿宋" w:hAnsi="仿宋" w:eastAsia="仿宋"/>
          <w:sz w:val="32"/>
          <w:szCs w:val="32"/>
          <w:lang w:val="en-US" w:eastAsia="zh-CN"/>
        </w:rPr>
        <w:t>1.03万元</w:t>
      </w:r>
      <w:r>
        <w:rPr>
          <w:rFonts w:hint="eastAsia" w:ascii="仿宋" w:hAnsi="仿宋" w:eastAsia="仿宋"/>
          <w:sz w:val="32"/>
          <w:szCs w:val="32"/>
        </w:rPr>
        <w:t>、</w:t>
      </w:r>
      <w:r>
        <w:rPr>
          <w:rFonts w:hint="eastAsia" w:ascii="仿宋" w:hAnsi="仿宋" w:eastAsia="仿宋"/>
          <w:sz w:val="32"/>
          <w:szCs w:val="32"/>
          <w:lang w:eastAsia="zh-CN"/>
        </w:rPr>
        <w:t>印刷费</w:t>
      </w:r>
      <w:r>
        <w:rPr>
          <w:rFonts w:hint="eastAsia" w:ascii="仿宋" w:hAnsi="仿宋" w:eastAsia="仿宋"/>
          <w:sz w:val="32"/>
          <w:szCs w:val="32"/>
          <w:lang w:val="en-US" w:eastAsia="zh-CN"/>
        </w:rPr>
        <w:t>0.04万元、</w:t>
      </w:r>
      <w:r>
        <w:rPr>
          <w:rFonts w:hint="eastAsia" w:ascii="仿宋" w:hAnsi="仿宋" w:eastAsia="仿宋"/>
          <w:sz w:val="32"/>
          <w:szCs w:val="32"/>
        </w:rPr>
        <w:t>差旅费</w:t>
      </w:r>
      <w:r>
        <w:rPr>
          <w:rFonts w:hint="eastAsia" w:ascii="仿宋" w:hAnsi="仿宋" w:eastAsia="仿宋"/>
          <w:sz w:val="32"/>
          <w:szCs w:val="32"/>
          <w:lang w:val="en-US" w:eastAsia="zh-CN"/>
        </w:rPr>
        <w:t>0.23万元</w:t>
      </w:r>
      <w:r>
        <w:rPr>
          <w:rFonts w:hint="eastAsia" w:ascii="仿宋" w:hAnsi="仿宋" w:eastAsia="仿宋"/>
          <w:sz w:val="32"/>
          <w:szCs w:val="32"/>
        </w:rPr>
        <w:t>、</w:t>
      </w:r>
      <w:r>
        <w:rPr>
          <w:rFonts w:hint="eastAsia" w:ascii="仿宋" w:hAnsi="仿宋" w:eastAsia="仿宋"/>
          <w:sz w:val="32"/>
          <w:szCs w:val="32"/>
          <w:lang w:eastAsia="zh-CN"/>
        </w:rPr>
        <w:t>电费</w:t>
      </w:r>
      <w:r>
        <w:rPr>
          <w:rFonts w:hint="eastAsia" w:ascii="仿宋" w:hAnsi="仿宋" w:eastAsia="仿宋"/>
          <w:sz w:val="32"/>
          <w:szCs w:val="32"/>
          <w:lang w:val="en-US" w:eastAsia="zh-CN"/>
        </w:rPr>
        <w:t>0.04、</w:t>
      </w:r>
      <w:r>
        <w:rPr>
          <w:rFonts w:hint="eastAsia" w:ascii="仿宋" w:hAnsi="仿宋" w:eastAsia="仿宋"/>
          <w:sz w:val="32"/>
          <w:szCs w:val="32"/>
        </w:rPr>
        <w:t>维修（护）费</w:t>
      </w:r>
      <w:r>
        <w:rPr>
          <w:rFonts w:hint="eastAsia" w:ascii="仿宋" w:hAnsi="仿宋" w:eastAsia="仿宋"/>
          <w:sz w:val="32"/>
          <w:szCs w:val="32"/>
          <w:lang w:val="en-US" w:eastAsia="zh-CN"/>
        </w:rPr>
        <w:t>0.01万元</w:t>
      </w:r>
      <w:r>
        <w:rPr>
          <w:rFonts w:hint="eastAsia" w:ascii="仿宋" w:hAnsi="仿宋" w:eastAsia="仿宋"/>
          <w:sz w:val="32"/>
          <w:szCs w:val="32"/>
        </w:rPr>
        <w:t>、公务接待费</w:t>
      </w:r>
      <w:r>
        <w:rPr>
          <w:rFonts w:hint="eastAsia" w:ascii="仿宋" w:hAnsi="仿宋" w:eastAsia="仿宋"/>
          <w:sz w:val="32"/>
          <w:szCs w:val="32"/>
          <w:lang w:val="en-US" w:eastAsia="zh-CN"/>
        </w:rPr>
        <w:t>0.16万元</w:t>
      </w:r>
      <w:r>
        <w:rPr>
          <w:rFonts w:hint="eastAsia" w:ascii="仿宋" w:hAnsi="仿宋" w:eastAsia="仿宋"/>
          <w:sz w:val="32"/>
          <w:szCs w:val="32"/>
        </w:rPr>
        <w:t>、工会经费</w:t>
      </w:r>
      <w:r>
        <w:rPr>
          <w:rFonts w:hint="eastAsia" w:ascii="仿宋" w:hAnsi="仿宋" w:eastAsia="仿宋"/>
          <w:sz w:val="32"/>
          <w:szCs w:val="32"/>
          <w:lang w:val="en-US" w:eastAsia="zh-CN"/>
        </w:rPr>
        <w:t>0.81万元</w:t>
      </w:r>
      <w:r>
        <w:rPr>
          <w:rFonts w:hint="eastAsia" w:ascii="仿宋" w:hAnsi="仿宋" w:eastAsia="仿宋"/>
          <w:sz w:val="32"/>
          <w:szCs w:val="32"/>
        </w:rPr>
        <w:t>等。</w:t>
      </w:r>
    </w:p>
    <w:p>
      <w:pPr>
        <w:spacing w:line="600" w:lineRule="exact"/>
        <w:ind w:firstLine="640"/>
        <w:outlineLvl w:val="1"/>
        <w:rPr>
          <w:rStyle w:val="29"/>
          <w:rFonts w:ascii="黑体" w:hAnsi="黑体" w:eastAsia="黑体"/>
          <w:b w:val="0"/>
        </w:rPr>
      </w:pPr>
      <w:bookmarkStart w:id="36" w:name="_Toc15396609"/>
      <w:bookmarkStart w:id="37"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0.16</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，较上年减少</w:t>
      </w:r>
      <w:r>
        <w:rPr>
          <w:rFonts w:hint="eastAsia" w:ascii="仿宋" w:hAnsi="仿宋" w:eastAsia="仿宋"/>
          <w:sz w:val="32"/>
          <w:szCs w:val="32"/>
          <w:lang w:val="en-US" w:eastAsia="zh-CN"/>
        </w:rPr>
        <w:t>0.01</w:t>
      </w:r>
      <w:r>
        <w:rPr>
          <w:rFonts w:hint="eastAsia" w:ascii="仿宋" w:hAnsi="仿宋" w:eastAsia="仿宋"/>
          <w:sz w:val="32"/>
          <w:szCs w:val="32"/>
        </w:rPr>
        <w:t>万元，下降</w:t>
      </w:r>
      <w:r>
        <w:rPr>
          <w:rFonts w:hint="eastAsia" w:ascii="仿宋" w:hAnsi="仿宋" w:eastAsia="仿宋"/>
          <w:sz w:val="32"/>
          <w:szCs w:val="32"/>
          <w:lang w:val="en-US" w:eastAsia="zh-CN"/>
        </w:rPr>
        <w:t>5.8</w:t>
      </w:r>
      <w:r>
        <w:rPr>
          <w:rFonts w:hint="eastAsia" w:ascii="仿宋" w:hAnsi="仿宋" w:eastAsia="仿宋"/>
          <w:sz w:val="32"/>
          <w:szCs w:val="32"/>
        </w:rPr>
        <w:t>%。决算数预算数持平的主要原因是</w:t>
      </w:r>
      <w:r>
        <w:rPr>
          <w:rFonts w:hint="eastAsia" w:ascii="仿宋" w:hAnsi="仿宋" w:eastAsia="仿宋"/>
          <w:sz w:val="32"/>
          <w:szCs w:val="32"/>
          <w:lang w:eastAsia="zh-CN"/>
        </w:rPr>
        <w:t>严格控制三公经费的开支</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240" w:lineRule="atLeast"/>
        <w:ind w:firstLine="641"/>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eastAsia" w:eastAsia="仿宋" w:cs="Times New Roman"/>
          <w:color w:val="000000"/>
          <w:sz w:val="32"/>
          <w:szCs w:val="32"/>
          <w:lang w:val="en-US" w:eastAsia="zh-CN"/>
        </w:rPr>
        <w:t>3</w:t>
      </w:r>
      <w:r>
        <w:rPr>
          <w:rFonts w:hint="default" w:ascii="Times New Roman" w:hAnsi="Times New Roman" w:eastAsia="仿宋" w:cs="Times New Roman"/>
          <w:color w:val="000000"/>
          <w:sz w:val="32"/>
          <w:szCs w:val="32"/>
        </w:rPr>
        <w:t>年“三公”经费财政拨款支出决算中，因公出国（境）费支出决算</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%；公务用车购置及运行维护费支出决算</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%；公务接待费支出决算</w:t>
      </w:r>
      <w:r>
        <w:rPr>
          <w:rFonts w:hint="eastAsia" w:eastAsia="仿宋" w:cs="Times New Roman"/>
          <w:color w:val="000000"/>
          <w:sz w:val="32"/>
          <w:szCs w:val="32"/>
          <w:lang w:val="en-US" w:eastAsia="zh-CN"/>
        </w:rPr>
        <w:t>0.16</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%。具体情况如下：</w:t>
      </w:r>
    </w:p>
    <w:p>
      <w:pPr>
        <w:keepNext w:val="0"/>
        <w:keepLines w:val="0"/>
        <w:pageBreakBefore w:val="0"/>
        <w:widowControl w:val="0"/>
        <w:kinsoku/>
        <w:wordWrap/>
        <w:overflowPunct/>
        <w:topLinePunct w:val="0"/>
        <w:autoSpaceDE/>
        <w:autoSpaceDN/>
        <w:bidi w:val="0"/>
        <w:adjustRightInd/>
        <w:snapToGrid/>
        <w:spacing w:line="240" w:lineRule="atLeast"/>
        <w:ind w:firstLine="641"/>
        <w:textAlignment w:val="auto"/>
        <w:rPr>
          <w:rFonts w:eastAsia="仿宋"/>
          <w:i/>
          <w:color w:val="000000"/>
          <w:sz w:val="32"/>
          <w:szCs w:val="32"/>
          <w:highlight w:val="yellow"/>
        </w:rPr>
      </w:pPr>
      <w:r>
        <w:rPr>
          <w:rFonts w:hint="default" w:ascii="Times New Roman" w:hAnsi="Times New Roman" w:cs="Times New Roman"/>
        </w:rPr>
        <w:drawing>
          <wp:inline distT="0" distB="0" distL="114300" distR="114300">
            <wp:extent cx="4485640" cy="2566670"/>
            <wp:effectExtent l="4445" t="4445" r="5715" b="577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default" w:ascii="Times New Roman" w:hAnsi="Times New Roman" w:eastAsia="仿宋" w:cs="Times New Roman"/>
          <w:i/>
          <w:color w:val="000000"/>
          <w:sz w:val="32"/>
          <w:szCs w:val="32"/>
        </w:rPr>
      </w:pPr>
      <w:bookmarkStart w:id="40" w:name="_Toc15396610"/>
      <w:bookmarkStart w:id="41" w:name="_Toc15377218"/>
      <w:r>
        <w:rPr>
          <w:rFonts w:hint="default" w:ascii="Times New Roman" w:hAnsi="Times New Roman" w:eastAsia="仿宋_GB2312" w:cs="Times New Roman"/>
          <w:b/>
          <w:color w:val="000000"/>
          <w:sz w:val="32"/>
          <w:szCs w:val="32"/>
        </w:rPr>
        <w:t>1.因公出国（境）经费支出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7"/>
          <w:rFonts w:hint="default" w:ascii="Times New Roman" w:hAnsi="Times New Roman" w:eastAsia="仿宋" w:cs="Times New Roman"/>
          <w:b w:val="0"/>
          <w:bCs/>
          <w:color w:val="000000"/>
          <w:sz w:val="32"/>
          <w:szCs w:val="32"/>
        </w:rPr>
        <w:t>完成预算</w:t>
      </w:r>
      <w:r>
        <w:rPr>
          <w:rStyle w:val="17"/>
          <w:rFonts w:hint="default" w:ascii="Times New Roman" w:hAnsi="Times New Roman"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全年安排因公出国（境）团组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次，出国（境）</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人。</w:t>
      </w:r>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_GB2312" w:cs="Times New Roman"/>
          <w:b/>
          <w:color w:val="000000"/>
          <w:sz w:val="32"/>
          <w:szCs w:val="32"/>
        </w:rPr>
        <w:t>2.公务用车购置及运行维护费支出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7"/>
          <w:rFonts w:hint="default" w:ascii="Times New Roman" w:hAnsi="Times New Roman" w:eastAsia="仿宋" w:cs="Times New Roman"/>
          <w:b w:val="0"/>
          <w:bCs/>
          <w:color w:val="000000"/>
          <w:sz w:val="32"/>
          <w:szCs w:val="32"/>
        </w:rPr>
        <w:t>完成预算</w:t>
      </w:r>
      <w:r>
        <w:rPr>
          <w:rStyle w:val="17"/>
          <w:rFonts w:hint="default" w:ascii="Times New Roman" w:hAnsi="Times New Roman" w:eastAsia="仿宋" w:cs="Times New Roman"/>
          <w:b w:val="0"/>
          <w:bCs/>
          <w:color w:val="000000"/>
          <w:sz w:val="32"/>
          <w:szCs w:val="32"/>
          <w:lang w:val="en-US" w:eastAsia="zh-CN"/>
        </w:rPr>
        <w:t>0</w:t>
      </w:r>
      <w:r>
        <w:rPr>
          <w:rStyle w:val="17"/>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公务用车购置及运行维护费支出决算比2020年增加/减少</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万元，增长/下降</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color w:val="000000"/>
          <w:sz w:val="32"/>
          <w:szCs w:val="32"/>
        </w:rPr>
        <w:t>公务用车购置支出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万元。全年按规定更新购置公务用车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万元，越野车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万元，载客汽车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sz w:val="32"/>
          <w:szCs w:val="32"/>
        </w:rPr>
        <w:t>其他车型</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default" w:ascii="Times New Roman" w:hAnsi="Times New Roman" w:eastAsia="仿宋_GB2312" w:cs="Times New Roman"/>
          <w:color w:val="000000"/>
          <w:sz w:val="32"/>
          <w:szCs w:val="32"/>
        </w:rPr>
        <w:t>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万元。截至2021年12月底，单位共有公务用车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辆、越野车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辆、载客汽车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sz w:val="32"/>
          <w:szCs w:val="32"/>
        </w:rPr>
        <w:t>其他车型</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default" w:ascii="Times New Roman" w:hAnsi="Times New Roman" w:eastAsia="仿宋_GB2312" w:cs="Times New Roman"/>
          <w:color w:val="000000"/>
          <w:sz w:val="32"/>
          <w:szCs w:val="32"/>
        </w:rPr>
        <w:t>。</w:t>
      </w:r>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_GB2312" w:cs="Times New Roman"/>
          <w:b/>
          <w:color w:val="000000"/>
          <w:sz w:val="32"/>
          <w:szCs w:val="32"/>
        </w:rPr>
        <w:t>公务用车运行维护费支出</w:t>
      </w:r>
      <w:r>
        <w:rPr>
          <w:rFonts w:hint="default" w:ascii="Times New Roman" w:hAnsi="Times New Roman" w:eastAsia="仿宋_GB2312" w:cs="Times New Roman"/>
          <w:b/>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3.公务接待费支出</w:t>
      </w:r>
      <w:r>
        <w:rPr>
          <w:rFonts w:hint="default" w:ascii="Times New Roman" w:hAnsi="Times New Roman" w:eastAsia="仿宋_GB2312" w:cs="Times New Roman"/>
          <w:color w:val="000000"/>
          <w:sz w:val="32"/>
          <w:szCs w:val="32"/>
          <w:lang w:val="en-US" w:eastAsia="zh-CN"/>
        </w:rPr>
        <w:t>0.</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万元，</w:t>
      </w:r>
      <w:r>
        <w:rPr>
          <w:rStyle w:val="17"/>
          <w:rFonts w:hint="default" w:ascii="Times New Roman" w:hAnsi="Times New Roman" w:eastAsia="仿宋" w:cs="Times New Roman"/>
          <w:b w:val="0"/>
          <w:bCs/>
          <w:color w:val="000000"/>
          <w:sz w:val="32"/>
          <w:szCs w:val="32"/>
        </w:rPr>
        <w:t>完成预算</w:t>
      </w:r>
      <w:r>
        <w:rPr>
          <w:rStyle w:val="17"/>
          <w:rFonts w:hint="default" w:ascii="Times New Roman" w:hAnsi="Times New Roman"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公务接待费支出决算比202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eastAsia="zh-CN"/>
        </w:rPr>
        <w:t>减少</w:t>
      </w:r>
      <w:r>
        <w:rPr>
          <w:rFonts w:hint="eastAsia" w:eastAsia="仿宋_GB2312" w:cs="Times New Roman"/>
          <w:color w:val="000000"/>
          <w:sz w:val="32"/>
          <w:szCs w:val="32"/>
          <w:lang w:val="en-US" w:eastAsia="zh-CN"/>
        </w:rPr>
        <w:t>0.1</w:t>
      </w:r>
      <w:r>
        <w:rPr>
          <w:rFonts w:hint="default" w:ascii="Times New Roman" w:hAnsi="Times New Roman" w:eastAsia="仿宋_GB2312" w:cs="Times New Roman"/>
          <w:color w:val="000000"/>
          <w:sz w:val="32"/>
          <w:szCs w:val="32"/>
        </w:rPr>
        <w:t>万元，</w:t>
      </w:r>
      <w:r>
        <w:rPr>
          <w:rFonts w:hint="eastAsia" w:eastAsia="仿宋_GB2312" w:cs="Times New Roman"/>
          <w:color w:val="000000"/>
          <w:sz w:val="32"/>
          <w:szCs w:val="32"/>
          <w:lang w:eastAsia="zh-CN"/>
        </w:rPr>
        <w:t>减少</w:t>
      </w:r>
      <w:r>
        <w:rPr>
          <w:rFonts w:hint="eastAsia"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rPr>
        <w:t>%。主要原因是</w:t>
      </w:r>
      <w:r>
        <w:rPr>
          <w:rFonts w:hint="eastAsia" w:eastAsia="仿宋_GB2312" w:cs="Times New Roman"/>
          <w:color w:val="000000"/>
          <w:sz w:val="32"/>
          <w:szCs w:val="32"/>
          <w:lang w:val="en-US" w:eastAsia="zh-CN"/>
        </w:rPr>
        <w:t>严格控制三公经费支出，</w:t>
      </w:r>
      <w:r>
        <w:rPr>
          <w:rFonts w:hint="default" w:ascii="Times New Roman" w:hAnsi="Times New Roman" w:eastAsia="仿宋_GB2312" w:cs="Times New Roman"/>
          <w:color w:val="000000"/>
          <w:sz w:val="32"/>
          <w:szCs w:val="32"/>
          <w:lang w:val="en-US" w:eastAsia="zh-CN"/>
        </w:rPr>
        <w:t>公务活动次数</w:t>
      </w:r>
      <w:r>
        <w:rPr>
          <w:rFonts w:hint="eastAsia" w:eastAsia="仿宋_GB2312" w:cs="Times New Roman"/>
          <w:color w:val="000000"/>
          <w:sz w:val="32"/>
          <w:szCs w:val="32"/>
          <w:lang w:val="en-US" w:eastAsia="zh-CN"/>
        </w:rPr>
        <w:t>减少</w:t>
      </w:r>
      <w:r>
        <w:rPr>
          <w:rFonts w:hint="default" w:ascii="Times New Roman" w:hAnsi="Times New Roman" w:eastAsia="仿宋_GB2312" w:cs="Times New Roman"/>
          <w:color w:val="000000"/>
          <w:sz w:val="32"/>
          <w:szCs w:val="32"/>
        </w:rPr>
        <w:t>。其中：</w:t>
      </w:r>
    </w:p>
    <w:p>
      <w:pPr>
        <w:spacing w:line="600" w:lineRule="exact"/>
        <w:ind w:firstLine="64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 w:cs="Times New Roman"/>
          <w:b/>
          <w:color w:val="000000"/>
          <w:sz w:val="32"/>
          <w:szCs w:val="32"/>
        </w:rPr>
        <w:t>国内公务接待支出</w:t>
      </w:r>
      <w:r>
        <w:rPr>
          <w:rFonts w:hint="eastAsia" w:ascii="Times New Roman" w:hAnsi="Times New Roman" w:eastAsia="仿宋_GB2312" w:cs="Times New Roman"/>
          <w:color w:val="000000"/>
          <w:sz w:val="32"/>
          <w:szCs w:val="32"/>
          <w:lang w:val="en-US" w:eastAsia="zh-CN"/>
        </w:rPr>
        <w:t>0.1</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万元，主要用于</w:t>
      </w:r>
      <w:r>
        <w:rPr>
          <w:rFonts w:hint="default" w:ascii="Times New Roman" w:hAnsi="Times New Roman" w:eastAsia="仿宋_GB2312" w:cs="Times New Roman"/>
          <w:color w:val="000000"/>
          <w:sz w:val="32"/>
          <w:szCs w:val="32"/>
          <w:lang w:eastAsia="zh-CN"/>
        </w:rPr>
        <w:t>公务接待活动的用餐费。</w:t>
      </w:r>
      <w:r>
        <w:rPr>
          <w:rFonts w:hint="default" w:ascii="Times New Roman" w:hAnsi="Times New Roman" w:eastAsia="仿宋_GB2312" w:cs="Times New Roman"/>
          <w:color w:val="000000"/>
          <w:sz w:val="32"/>
          <w:szCs w:val="32"/>
        </w:rPr>
        <w:t>国内公务接待</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批次，</w:t>
      </w:r>
      <w:r>
        <w:rPr>
          <w:rFonts w:hint="eastAsia"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sz w:val="32"/>
          <w:szCs w:val="32"/>
        </w:rPr>
        <w:t>人次，共计支出</w:t>
      </w:r>
      <w:r>
        <w:rPr>
          <w:rFonts w:hint="eastAsia" w:eastAsia="仿宋_GB2312" w:cs="Times New Roman"/>
          <w:color w:val="000000"/>
          <w:sz w:val="32"/>
          <w:szCs w:val="32"/>
          <w:lang w:val="en-US" w:eastAsia="zh-CN"/>
        </w:rPr>
        <w:t>0.16</w:t>
      </w:r>
      <w:r>
        <w:rPr>
          <w:rFonts w:hint="default" w:ascii="Times New Roman" w:hAnsi="Times New Roman" w:eastAsia="仿宋_GB2312" w:cs="Times New Roman"/>
          <w:color w:val="000000"/>
          <w:sz w:val="32"/>
          <w:szCs w:val="32"/>
        </w:rPr>
        <w:t>万元，具体内容包括：</w:t>
      </w:r>
      <w:r>
        <w:rPr>
          <w:rFonts w:hint="default" w:ascii="Times New Roman" w:hAnsi="Times New Roman" w:eastAsia="仿宋_GB2312" w:cs="Times New Roman"/>
          <w:color w:val="000000"/>
          <w:sz w:val="32"/>
          <w:szCs w:val="32"/>
          <w:lang w:val="en-US" w:eastAsia="zh-CN"/>
        </w:rPr>
        <w:t>20</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日接待</w:t>
      </w:r>
      <w:r>
        <w:rPr>
          <w:rFonts w:hint="eastAsia" w:eastAsia="仿宋_GB2312" w:cs="Times New Roman"/>
          <w:color w:val="000000"/>
          <w:sz w:val="32"/>
          <w:szCs w:val="32"/>
          <w:lang w:val="en-US" w:eastAsia="zh-CN"/>
        </w:rPr>
        <w:t>雁江军休所</w:t>
      </w:r>
      <w:r>
        <w:rPr>
          <w:rFonts w:hint="default" w:ascii="Times New Roman" w:hAnsi="Times New Roman" w:eastAsia="仿宋_GB2312" w:cs="Times New Roman"/>
          <w:color w:val="000000"/>
          <w:sz w:val="32"/>
          <w:szCs w:val="32"/>
          <w:lang w:val="en-US" w:eastAsia="zh-CN"/>
        </w:rPr>
        <w:t>到乐至县</w:t>
      </w:r>
      <w:r>
        <w:rPr>
          <w:rFonts w:hint="eastAsia" w:eastAsia="仿宋_GB2312" w:cs="Times New Roman"/>
          <w:color w:val="000000"/>
          <w:sz w:val="32"/>
          <w:szCs w:val="32"/>
          <w:lang w:val="en-US" w:eastAsia="zh-CN"/>
        </w:rPr>
        <w:t>开展军休服务管理相关工作业务交流活动</w:t>
      </w:r>
      <w:r>
        <w:rPr>
          <w:rFonts w:hint="default" w:ascii="Times New Roman" w:hAnsi="Times New Roman" w:eastAsia="仿宋_GB2312" w:cs="Times New Roman"/>
          <w:color w:val="000000"/>
          <w:sz w:val="32"/>
          <w:szCs w:val="32"/>
          <w:lang w:val="en-US" w:eastAsia="zh-CN"/>
        </w:rPr>
        <w:t>，共接待</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人，陪同人员</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人，共计</w:t>
      </w:r>
      <w:r>
        <w:rPr>
          <w:rFonts w:hint="eastAsia" w:eastAsia="仿宋_GB2312" w:cs="Times New Roman"/>
          <w:color w:val="000000"/>
          <w:sz w:val="32"/>
          <w:szCs w:val="32"/>
          <w:lang w:val="en-US" w:eastAsia="zh-CN"/>
        </w:rPr>
        <w:t>0.084</w:t>
      </w:r>
      <w:r>
        <w:rPr>
          <w:rFonts w:hint="default" w:ascii="Times New Roman" w:hAnsi="Times New Roman" w:eastAsia="仿宋_GB2312" w:cs="Times New Roman"/>
          <w:color w:val="000000"/>
          <w:sz w:val="32"/>
          <w:szCs w:val="32"/>
          <w:lang w:val="en-US" w:eastAsia="zh-CN"/>
        </w:rPr>
        <w:t>万元</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0</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lang w:val="en-US" w:eastAsia="zh-CN"/>
        </w:rPr>
        <w:t>日接待</w:t>
      </w:r>
      <w:r>
        <w:rPr>
          <w:rFonts w:hint="eastAsia" w:eastAsia="仿宋_GB2312" w:cs="Times New Roman"/>
          <w:color w:val="000000"/>
          <w:sz w:val="32"/>
          <w:szCs w:val="32"/>
          <w:lang w:val="en-US" w:eastAsia="zh-CN"/>
        </w:rPr>
        <w:t>安岳军休所</w:t>
      </w:r>
      <w:r>
        <w:rPr>
          <w:rFonts w:hint="default" w:ascii="Times New Roman" w:hAnsi="Times New Roman" w:eastAsia="仿宋_GB2312" w:cs="Times New Roman"/>
          <w:color w:val="000000"/>
          <w:sz w:val="32"/>
          <w:szCs w:val="32"/>
          <w:lang w:val="en-US" w:eastAsia="zh-CN"/>
        </w:rPr>
        <w:t>到乐至县</w:t>
      </w:r>
      <w:r>
        <w:rPr>
          <w:rFonts w:hint="eastAsia" w:eastAsia="仿宋_GB2312" w:cs="Times New Roman"/>
          <w:color w:val="000000"/>
          <w:sz w:val="32"/>
          <w:szCs w:val="32"/>
          <w:lang w:val="en-US" w:eastAsia="zh-CN"/>
        </w:rPr>
        <w:t>开展军休服务管理相关工作业务交流活动</w:t>
      </w:r>
      <w:r>
        <w:rPr>
          <w:rFonts w:hint="default" w:ascii="Times New Roman" w:hAnsi="Times New Roman" w:eastAsia="仿宋_GB2312" w:cs="Times New Roman"/>
          <w:color w:val="000000"/>
          <w:sz w:val="32"/>
          <w:szCs w:val="32"/>
          <w:lang w:val="en-US" w:eastAsia="zh-CN"/>
        </w:rPr>
        <w:t>，共接待</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人，陪同人员</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人，共计</w:t>
      </w:r>
      <w:r>
        <w:rPr>
          <w:rFonts w:hint="eastAsia" w:eastAsia="仿宋_GB2312" w:cs="Times New Roman"/>
          <w:color w:val="000000"/>
          <w:sz w:val="32"/>
          <w:szCs w:val="32"/>
          <w:lang w:val="en-US" w:eastAsia="zh-CN"/>
        </w:rPr>
        <w:t>0.078</w:t>
      </w:r>
      <w:r>
        <w:rPr>
          <w:rFonts w:hint="default" w:ascii="Times New Roman" w:hAnsi="Times New Roman" w:eastAsia="仿宋_GB2312" w:cs="Times New Roman"/>
          <w:color w:val="000000"/>
          <w:sz w:val="32"/>
          <w:szCs w:val="32"/>
          <w:lang w:val="en-US" w:eastAsia="zh-CN"/>
        </w:rPr>
        <w:t>万元</w:t>
      </w:r>
      <w:r>
        <w:rPr>
          <w:rFonts w:hint="eastAsia" w:eastAsia="仿宋_GB2312" w:cs="Times New Roman"/>
          <w:color w:val="000000"/>
          <w:sz w:val="32"/>
          <w:szCs w:val="32"/>
          <w:lang w:val="en-US" w:eastAsia="zh-CN"/>
        </w:rPr>
        <w:t>。</w:t>
      </w:r>
    </w:p>
    <w:p>
      <w:pPr>
        <w:spacing w:line="600" w:lineRule="exact"/>
        <w:ind w:firstLine="643" w:firstLineChars="200"/>
        <w:rPr>
          <w:rFonts w:ascii="黑体" w:eastAsia="黑体"/>
          <w:sz w:val="32"/>
          <w:szCs w:val="32"/>
        </w:rPr>
      </w:pPr>
      <w:r>
        <w:rPr>
          <w:rFonts w:hint="default" w:ascii="Times New Roman" w:hAnsi="Times New Roman" w:eastAsia="仿宋" w:cs="Times New Roman"/>
          <w:b/>
          <w:color w:val="000000"/>
          <w:sz w:val="32"/>
          <w:szCs w:val="32"/>
        </w:rPr>
        <w:t>外事接待支出</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_GB2312" w:cs="Times New Roman"/>
          <w:color w:val="000000"/>
          <w:sz w:val="32"/>
          <w:szCs w:val="32"/>
        </w:rPr>
        <w:t>万元，外事接待</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批次，</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人，共计支出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42" w:name="_Toc15377219"/>
      <w:bookmarkStart w:id="43" w:name="_Toc15396611"/>
      <w:r>
        <w:rPr>
          <w:rStyle w:val="29"/>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44" w:name="_Toc15396612"/>
      <w:bookmarkStart w:id="45" w:name="_Toc15377221"/>
      <w:r>
        <w:rPr>
          <w:rStyle w:val="29"/>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rPr>
          <w:rFonts w:hint="default" w:ascii="Times New Roman" w:hAnsi="Times New Roman" w:eastAsia="仿宋" w:cs="Times New Roman"/>
          <w:i/>
          <w:color w:val="000000"/>
          <w:sz w:val="32"/>
          <w:szCs w:val="32"/>
        </w:rPr>
      </w:pPr>
      <w:r>
        <w:rPr>
          <w:rFonts w:hint="default" w:ascii="Times New Roman" w:hAnsi="Times New Roman" w:eastAsia="仿宋_GB2312" w:cs="Times New Roman"/>
          <w:color w:val="000000"/>
          <w:sz w:val="32"/>
          <w:szCs w:val="32"/>
          <w:lang w:eastAsia="zh-CN"/>
        </w:rPr>
        <w:t>乐至县军队离退休干部管理所</w:t>
      </w:r>
      <w:r>
        <w:rPr>
          <w:rFonts w:hint="default" w:ascii="Times New Roman" w:hAnsi="Times New Roman" w:eastAsia="仿宋_GB2312" w:cs="Times New Roman"/>
          <w:color w:val="000000"/>
          <w:sz w:val="32"/>
          <w:szCs w:val="32"/>
        </w:rPr>
        <w:t>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eastAsia="仿宋"/>
          <w:color w:val="000000"/>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bookmarkStart w:id="48" w:name="_Toc15377224"/>
      <w:r>
        <w:rPr>
          <w:rFonts w:hint="eastAsia" w:ascii="仿宋_GB2312" w:eastAsia="仿宋_GB2312"/>
          <w:sz w:val="32"/>
          <w:szCs w:val="32"/>
          <w:lang w:eastAsia="zh-CN"/>
        </w:rPr>
        <w:t>，</w:t>
      </w:r>
      <w:r>
        <w:rPr>
          <w:rFonts w:hint="default" w:ascii="Times New Roman" w:hAnsi="Times New Roman" w:eastAsia="仿宋_GB2312" w:cs="Times New Roman"/>
          <w:color w:val="000000"/>
          <w:sz w:val="32"/>
          <w:szCs w:val="32"/>
          <w:lang w:eastAsia="zh-CN"/>
        </w:rPr>
        <w:t>乐至县军队离退休干部管理所</w:t>
      </w:r>
      <w:r>
        <w:rPr>
          <w:rFonts w:hint="default" w:ascii="Times New Roman" w:hAnsi="Times New Roman" w:eastAsia="仿宋_GB2312" w:cs="Times New Roman"/>
          <w:color w:val="000000"/>
          <w:sz w:val="32"/>
          <w:szCs w:val="32"/>
        </w:rPr>
        <w:t>政府采购支出总额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万元，其中：政府采购货物支出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万元、政府采购工程支出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万元、政府采购服务支出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万元。授予中小企业合同金额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%，其中：授予小微企业合同金额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hint="default" w:ascii="Times New Roman" w:hAnsi="Times New Roman" w:eastAsia="仿宋_GB2312" w:cs="Times New Roman"/>
          <w:color w:val="000000"/>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lang w:val="en-US" w:eastAsia="zh-CN"/>
        </w:rPr>
        <w:t>23</w:t>
      </w:r>
      <w:bookmarkStart w:id="67" w:name="_GoBack"/>
      <w:bookmarkEnd w:id="67"/>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default" w:ascii="Times New Roman" w:hAnsi="Times New Roman" w:eastAsia="仿宋_GB2312" w:cs="Times New Roman"/>
          <w:color w:val="000000"/>
          <w:sz w:val="32"/>
          <w:szCs w:val="32"/>
          <w:lang w:eastAsia="zh-CN"/>
        </w:rPr>
        <w:t>乐至县军队离退休干部管理所</w:t>
      </w:r>
      <w:r>
        <w:rPr>
          <w:rFonts w:hint="default" w:ascii="Times New Roman" w:hAnsi="Times New Roman" w:eastAsia="仿宋_GB2312" w:cs="Times New Roman"/>
          <w:color w:val="000000"/>
          <w:sz w:val="32"/>
          <w:szCs w:val="32"/>
        </w:rPr>
        <w:t>共有车辆</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辆，其中：主要领导干部用车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辆、机要通信用车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辆、应急保障用车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辆、执法执勤用车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辆、特种专业技术用车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辆、其他用车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p>
    <w:p>
      <w:pPr>
        <w:autoSpaceDE w:val="0"/>
        <w:autoSpaceDN w:val="0"/>
        <w:adjustRightInd w:val="0"/>
        <w:spacing w:line="600" w:lineRule="exact"/>
        <w:ind w:firstLine="640" w:firstLineChars="200"/>
        <w:jc w:val="left"/>
        <w:rPr>
          <w:rFonts w:eastAsia="仿宋"/>
          <w:i/>
          <w:color w:val="000000"/>
          <w:sz w:val="32"/>
          <w:szCs w:val="32"/>
        </w:rPr>
      </w:pPr>
      <w:r>
        <w:rPr>
          <w:rFonts w:hint="default" w:ascii="Times New Roman" w:hAnsi="Times New Roman" w:eastAsia="仿宋_GB2312" w:cs="Times New Roman"/>
          <w:color w:val="000000"/>
          <w:sz w:val="32"/>
          <w:szCs w:val="32"/>
        </w:rPr>
        <w:t>单价50万元以上通用设备</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台（套），单价100万元以上专用设备</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本单位无项目支出，因此未组织开展项目支出绩效自评。</w:t>
      </w:r>
    </w:p>
    <w:p>
      <w:pPr>
        <w:pStyle w:val="2"/>
        <w:spacing w:before="93"/>
      </w:pPr>
    </w:p>
    <w:p>
      <w:pPr>
        <w:numPr>
          <w:ilvl w:val="0"/>
          <w:numId w:val="4"/>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spacing w:line="560" w:lineRule="exact"/>
        <w:ind w:firstLine="640" w:firstLineChars="200"/>
        <w:rPr>
          <w:rFonts w:hint="default" w:ascii="Times New Roman" w:hAnsi="Times New Roman" w:eastAsia="仿宋_GB2312" w:cs="Times New Roman"/>
          <w:color w:val="auto"/>
          <w:sz w:val="32"/>
          <w:szCs w:val="32"/>
        </w:rPr>
      </w:pPr>
      <w:bookmarkStart w:id="51" w:name="_Toc15396614"/>
      <w:bookmarkStart w:id="52" w:name="_Toc15377226"/>
      <w:r>
        <w:rPr>
          <w:rFonts w:hint="default" w:ascii="Times New Roman" w:hAnsi="Times New Roman" w:eastAsia="仿宋_GB2312" w:cs="Times New Roman"/>
          <w:color w:val="auto"/>
          <w:sz w:val="32"/>
          <w:szCs w:val="32"/>
        </w:rPr>
        <w:t>1.财政拨款收入：指单位从同级财政部门取得的财政预算资金。</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2.事业收入：指事业单位开展专业业务活动及辅助活动取得的收入。如…（二级预算单位事业收入情况）等。</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3.经营收入：指事业单位在专业业务活动及其辅助活动之外开展非独立核算经营活动取得的收入。如…（二级预算单位经营收入情况）等。</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4.其他收入：指单位取得的除上述收入以外的各项收入。主要是…（收入类型）等。 </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5.使用非财政拨款结余：指事业单位使用以前年度积累的非财政拨款结余弥补当年收支差额的金额。 </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6.年初结转和结余：指以前年度尚未完成、结转到本年按有关规定继续使用的资金。 </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8、年末结转和结余：指单位按有关规定结转到下年或以后年度继续使用的资金。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.社会保障和就业:指机关事业单位基本养老保险和职业年金缴费支出。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.基本支出:指为保障机构正常运转、完成日常工作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.项目支出:指在基本支出之外为完成特定行政任务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和事业发展目标所发生的支出。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“三公”经费:指部门用财政拨款安排的因公出国</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numPr>
          <w:ilvl w:val="0"/>
          <w:numId w:val="5"/>
        </w:num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widowControl w:val="0"/>
        <w:numPr>
          <w:ilvl w:val="0"/>
          <w:numId w:val="0"/>
        </w:numPr>
        <w:autoSpaceDE w:val="0"/>
        <w:autoSpaceDN w:val="0"/>
        <w:adjustRightInd w:val="0"/>
        <w:spacing w:line="560" w:lineRule="exact"/>
        <w:rPr>
          <w:rFonts w:hint="default" w:ascii="Times New Roman" w:hAnsi="Times New Roman" w:eastAsia="仿宋_GB2312" w:cs="Times New Roman"/>
          <w:color w:val="auto"/>
          <w:sz w:val="32"/>
          <w:szCs w:val="32"/>
        </w:rPr>
      </w:pPr>
    </w:p>
    <w:p>
      <w:pPr>
        <w:pStyle w:val="26"/>
        <w:widowControl w:val="0"/>
        <w:numPr>
          <w:ilvl w:val="0"/>
          <w:numId w:val="0"/>
        </w:numPr>
        <w:autoSpaceDE w:val="0"/>
        <w:autoSpaceDN w:val="0"/>
        <w:adjustRightInd w:val="0"/>
        <w:spacing w:line="560" w:lineRule="exact"/>
        <w:rPr>
          <w:rFonts w:hint="default" w:ascii="Times New Roman" w:hAnsi="Times New Roman" w:eastAsia="仿宋_GB2312" w:cs="Times New Roman"/>
          <w:color w:val="auto"/>
          <w:sz w:val="32"/>
          <w:szCs w:val="32"/>
        </w:rPr>
      </w:pPr>
    </w:p>
    <w:p>
      <w:pPr>
        <w:pStyle w:val="26"/>
        <w:widowControl w:val="0"/>
        <w:numPr>
          <w:ilvl w:val="0"/>
          <w:numId w:val="0"/>
        </w:numPr>
        <w:autoSpaceDE w:val="0"/>
        <w:autoSpaceDN w:val="0"/>
        <w:adjustRightInd w:val="0"/>
        <w:spacing w:line="560" w:lineRule="exact"/>
        <w:rPr>
          <w:rFonts w:hint="default" w:ascii="Times New Roman" w:hAnsi="Times New Roman" w:eastAsia="仿宋_GB2312" w:cs="Times New Roman"/>
          <w:color w:val="auto"/>
          <w:sz w:val="32"/>
          <w:szCs w:val="32"/>
        </w:rPr>
      </w:pPr>
    </w:p>
    <w:p>
      <w:pPr>
        <w:pStyle w:val="26"/>
        <w:widowControl w:val="0"/>
        <w:numPr>
          <w:ilvl w:val="0"/>
          <w:numId w:val="0"/>
        </w:numPr>
        <w:autoSpaceDE w:val="0"/>
        <w:autoSpaceDN w:val="0"/>
        <w:adjustRightInd w:val="0"/>
        <w:spacing w:line="560" w:lineRule="exact"/>
        <w:rPr>
          <w:rFonts w:hint="default" w:ascii="Times New Roman" w:hAnsi="Times New Roman" w:eastAsia="仿宋_GB2312" w:cs="Times New Roman"/>
          <w:color w:val="auto"/>
          <w:sz w:val="32"/>
          <w:szCs w:val="32"/>
        </w:rPr>
      </w:pPr>
    </w:p>
    <w:p>
      <w:pPr>
        <w:spacing w:line="600" w:lineRule="exact"/>
        <w:jc w:val="center"/>
        <w:outlineLvl w:val="0"/>
        <w:rPr>
          <w:rStyle w:val="28"/>
          <w:rFonts w:ascii="黑体" w:hAnsi="黑体" w:eastAsia="黑体"/>
          <w:b w:val="0"/>
        </w:rPr>
      </w:pPr>
      <w:r>
        <w:rPr>
          <w:rFonts w:hint="eastAsia" w:ascii="黑体" w:hAnsi="黑体" w:eastAsia="黑体"/>
          <w:sz w:val="44"/>
          <w:szCs w:val="44"/>
        </w:rPr>
        <w:t>第</w:t>
      </w:r>
      <w:r>
        <w:rPr>
          <w:rStyle w:val="28"/>
          <w:rFonts w:hint="eastAsia" w:ascii="黑体" w:hAnsi="黑体" w:eastAsia="黑体"/>
          <w:b w:val="0"/>
        </w:rPr>
        <w:t>四部分 附件</w:t>
      </w:r>
      <w:bookmarkEnd w:id="51"/>
    </w:p>
    <w:p>
      <w:pPr>
        <w:pStyle w:val="2"/>
        <w:spacing w:before="93"/>
        <w:ind w:firstLine="640" w:firstLineChars="200"/>
        <w:rPr>
          <w:rFonts w:hint="eastAsia" w:hAnsi="宋体" w:eastAsia="仿宋_GB2312" w:cs="宋体"/>
          <w:sz w:val="32"/>
          <w:szCs w:val="32"/>
          <w:shd w:val="clear" w:color="auto" w:fill="FFFFFF"/>
          <w:lang w:val="zh-CN" w:eastAsia="zh-CN"/>
        </w:rPr>
      </w:pPr>
      <w:r>
        <w:rPr>
          <w:rFonts w:hint="eastAsia" w:ascii="黑体" w:hAnsi="黑体" w:eastAsia="黑体" w:cs="黑体"/>
          <w:sz w:val="32"/>
          <w:szCs w:val="32"/>
          <w:lang w:eastAsia="zh-CN"/>
        </w:rPr>
        <w:t>无</w:t>
      </w:r>
    </w:p>
    <w:p>
      <w:pPr>
        <w:pStyle w:val="2"/>
        <w:spacing w:before="93"/>
        <w:rPr>
          <w:rFonts w:hAnsi="宋体" w:cs="宋体"/>
          <w:sz w:val="32"/>
          <w:szCs w:val="32"/>
          <w:shd w:val="clear" w:color="auto" w:fill="FFFFFF"/>
          <w:lang w:val="zh-CN"/>
        </w:rPr>
      </w:pPr>
    </w:p>
    <w:p>
      <w:pPr>
        <w:widowControl/>
        <w:jc w:val="left"/>
        <w:rPr>
          <w:rStyle w:val="28"/>
          <w:rFonts w:ascii="黑体" w:hAnsi="黑体" w:eastAsia="黑体"/>
          <w:b w:val="0"/>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rPr>
          <w:rFonts w:hint="eastAsia"/>
        </w:rPr>
      </w:pP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28"/>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44A7759"/>
    <w:multiLevelType w:val="singleLevel"/>
    <w:tmpl w:val="E44A7759"/>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0DAC7A5"/>
    <w:multiLevelType w:val="singleLevel"/>
    <w:tmpl w:val="40DAC7A5"/>
    <w:lvl w:ilvl="0" w:tentative="0">
      <w:start w:val="13"/>
      <w:numFmt w:val="decimal"/>
      <w:lvlText w:val="%1."/>
      <w:lvlJc w:val="left"/>
      <w:pPr>
        <w:tabs>
          <w:tab w:val="left" w:pos="312"/>
        </w:tabs>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Y2UzZGM2YzQyNWRhYTlhZDc5YjIzNTMwZjUwOTQifQ=="/>
    <w:docVar w:name="KSO_WPS_MARK_KEY" w:val="3af65800-1e9b-4094-b769-64280453f97e"/>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7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F09"/>
    <w:rsid w:val="004E0A2D"/>
    <w:rsid w:val="004E206B"/>
    <w:rsid w:val="004E6DF7"/>
    <w:rsid w:val="004F0FBD"/>
    <w:rsid w:val="00505A47"/>
    <w:rsid w:val="00512FDA"/>
    <w:rsid w:val="00520DA0"/>
    <w:rsid w:val="005516C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F30"/>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026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4C7"/>
    <w:rsid w:val="008B768C"/>
    <w:rsid w:val="008C4DB1"/>
    <w:rsid w:val="008C4EAF"/>
    <w:rsid w:val="008C5176"/>
    <w:rsid w:val="008C7FD0"/>
    <w:rsid w:val="008E1DE7"/>
    <w:rsid w:val="008E707C"/>
    <w:rsid w:val="008F3C39"/>
    <w:rsid w:val="008F6DF2"/>
    <w:rsid w:val="00900B08"/>
    <w:rsid w:val="00902155"/>
    <w:rsid w:val="00902FA3"/>
    <w:rsid w:val="00923564"/>
    <w:rsid w:val="0092392E"/>
    <w:rsid w:val="009315F9"/>
    <w:rsid w:val="00933499"/>
    <w:rsid w:val="00935C98"/>
    <w:rsid w:val="00946945"/>
    <w:rsid w:val="00951248"/>
    <w:rsid w:val="0095152F"/>
    <w:rsid w:val="00954C49"/>
    <w:rsid w:val="00955E37"/>
    <w:rsid w:val="00956BA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1678"/>
    <w:rsid w:val="00A422EB"/>
    <w:rsid w:val="00A45BB7"/>
    <w:rsid w:val="00A56DF2"/>
    <w:rsid w:val="00A56E6E"/>
    <w:rsid w:val="00A67AB5"/>
    <w:rsid w:val="00A733B2"/>
    <w:rsid w:val="00A741C2"/>
    <w:rsid w:val="00A91760"/>
    <w:rsid w:val="00A93B00"/>
    <w:rsid w:val="00A93C21"/>
    <w:rsid w:val="00AA609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4C"/>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1547"/>
    <w:rsid w:val="00CE44F6"/>
    <w:rsid w:val="00CE49DA"/>
    <w:rsid w:val="00CE7B61"/>
    <w:rsid w:val="00D00095"/>
    <w:rsid w:val="00D114F0"/>
    <w:rsid w:val="00D20620"/>
    <w:rsid w:val="00D2523B"/>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3B3F"/>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D16"/>
    <w:rsid w:val="00EF4C34"/>
    <w:rsid w:val="00EF77C6"/>
    <w:rsid w:val="00F05438"/>
    <w:rsid w:val="00F1361C"/>
    <w:rsid w:val="00F156F0"/>
    <w:rsid w:val="00F160C7"/>
    <w:rsid w:val="00F2408F"/>
    <w:rsid w:val="00F240E9"/>
    <w:rsid w:val="00F36D8F"/>
    <w:rsid w:val="00F417B1"/>
    <w:rsid w:val="00F45853"/>
    <w:rsid w:val="00F5047E"/>
    <w:rsid w:val="00F602DF"/>
    <w:rsid w:val="00F754A1"/>
    <w:rsid w:val="00F81FD9"/>
    <w:rsid w:val="00F841AA"/>
    <w:rsid w:val="00F84A94"/>
    <w:rsid w:val="00F87E96"/>
    <w:rsid w:val="00FA23E8"/>
    <w:rsid w:val="00FD3CC1"/>
    <w:rsid w:val="00FF1E02"/>
    <w:rsid w:val="00FF30B4"/>
    <w:rsid w:val="015975B8"/>
    <w:rsid w:val="02143E91"/>
    <w:rsid w:val="066E0107"/>
    <w:rsid w:val="07996F6E"/>
    <w:rsid w:val="082356F6"/>
    <w:rsid w:val="09EF5765"/>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2CF38C5"/>
    <w:rsid w:val="6AB204C5"/>
    <w:rsid w:val="6C4A05C8"/>
    <w:rsid w:val="6E7E3605"/>
    <w:rsid w:val="6FF5CC65"/>
    <w:rsid w:val="706305CE"/>
    <w:rsid w:val="715C0E4B"/>
    <w:rsid w:val="72734D90"/>
    <w:rsid w:val="73AD73D5"/>
    <w:rsid w:val="73B6EB34"/>
    <w:rsid w:val="744731E5"/>
    <w:rsid w:val="76E3355F"/>
    <w:rsid w:val="778769C8"/>
    <w:rsid w:val="78E621EC"/>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1.xml"/><Relationship Id="rId1" Type="http://schemas.openxmlformats.org/officeDocument/2006/relationships/oleObject" Target="file:///C:\Users\Administrator\Desktop\&#26032;&#24314;%20XLS%20&#24037;&#20316;&#34920;.xls"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2.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endParaRPr altLang="en-US"/>
          </a:p>
        </c:rich>
      </c:tx>
      <c:layout/>
      <c:overlay val="0"/>
      <c:spPr>
        <a:noFill/>
        <a:ln>
          <a:noFill/>
        </a:ln>
        <a:effectLst/>
      </c:spPr>
    </c:title>
    <c:autoTitleDeleted val="0"/>
    <c:plotArea>
      <c:layout>
        <c:manualLayout>
          <c:layoutTarget val="inner"/>
          <c:xMode val="edge"/>
          <c:yMode val="edge"/>
          <c:x val="0.0427"/>
          <c:y val="0.127"/>
          <c:w val="0.927925"/>
          <c:h val="0.716566666666667"/>
        </c:manualLayout>
      </c:layout>
      <c:barChart>
        <c:barDir val="col"/>
        <c:grouping val="clustered"/>
        <c:varyColors val="0"/>
        <c:ser>
          <c:idx val="0"/>
          <c:order val="0"/>
          <c:tx>
            <c:strRef>
              <c:f>Sheet1!$B$2</c:f>
              <c:strCache>
                <c:ptCount val="1"/>
                <c:pt idx="0">
                  <c:v>收入</c:v>
                </c:pt>
              </c:strCache>
            </c:strRef>
          </c:tx>
          <c:spPr>
            <a:solidFill>
              <a:schemeClr val="accent1"/>
            </a:solidFill>
            <a:ln>
              <a:noFill/>
            </a:ln>
            <a:effectLst/>
          </c:spPr>
          <c:invertIfNegative val="0"/>
          <c:dLbls>
            <c:delete val="1"/>
          </c:dLbls>
          <c:cat>
            <c:numRef>
              <c:f>Sheet1!$A$3:$A$4</c:f>
              <c:numCache>
                <c:formatCode>General</c:formatCode>
                <c:ptCount val="2"/>
                <c:pt idx="0">
                  <c:v>2022</c:v>
                </c:pt>
                <c:pt idx="1">
                  <c:v>2023</c:v>
                </c:pt>
              </c:numCache>
            </c:numRef>
          </c:cat>
          <c:val>
            <c:numRef>
              <c:f>Sheet1!$B$3:$B$4</c:f>
              <c:numCache>
                <c:formatCode>General</c:formatCode>
                <c:ptCount val="2"/>
                <c:pt idx="0">
                  <c:v>291.88</c:v>
                </c:pt>
                <c:pt idx="1">
                  <c:v>288.7</c:v>
                </c:pt>
              </c:numCache>
            </c:numRef>
          </c:val>
        </c:ser>
        <c:ser>
          <c:idx val="1"/>
          <c:order val="1"/>
          <c:tx>
            <c:strRef>
              <c:f>Sheet1!$C$2</c:f>
              <c:strCache>
                <c:ptCount val="1"/>
                <c:pt idx="0">
                  <c:v>支出</c:v>
                </c:pt>
              </c:strCache>
            </c:strRef>
          </c:tx>
          <c:spPr>
            <a:solidFill>
              <a:schemeClr val="accent2"/>
            </a:solidFill>
            <a:ln>
              <a:noFill/>
            </a:ln>
            <a:effectLst/>
          </c:spPr>
          <c:invertIfNegative val="0"/>
          <c:dLbls>
            <c:delete val="1"/>
          </c:dLbls>
          <c:cat>
            <c:numRef>
              <c:f>Sheet1!$A$3:$A$4</c:f>
              <c:numCache>
                <c:formatCode>General</c:formatCode>
                <c:ptCount val="2"/>
                <c:pt idx="0">
                  <c:v>2022</c:v>
                </c:pt>
                <c:pt idx="1">
                  <c:v>2023</c:v>
                </c:pt>
              </c:numCache>
            </c:numRef>
          </c:cat>
          <c:val>
            <c:numRef>
              <c:f>Sheet1!$C$3:$C$4</c:f>
              <c:numCache>
                <c:formatCode>General</c:formatCode>
                <c:ptCount val="2"/>
                <c:pt idx="0">
                  <c:v>291.88</c:v>
                </c:pt>
                <c:pt idx="1">
                  <c:v>288.7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Sheet1!$A$3:$A$4</c:f>
              <c:numCache>
                <c:formatCode>General</c:formatCode>
                <c:ptCount val="2"/>
                <c:pt idx="0">
                  <c:v>2022</c:v>
                </c:pt>
                <c:pt idx="1">
                  <c:v>2023</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77977070"/>
        <c:axId val="969329930"/>
      </c:barChart>
      <c:catAx>
        <c:axId val="9779770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9329930"/>
        <c:crosses val="autoZero"/>
        <c:auto val="1"/>
        <c:lblAlgn val="ctr"/>
        <c:lblOffset val="100"/>
        <c:noMultiLvlLbl val="0"/>
      </c:catAx>
      <c:valAx>
        <c:axId val="96932993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797707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图2：收入决算结构图</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图3：支出决算结构图</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基本支出</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：财政拨款收、支决算总计变动情况图</a:t>
            </a:r>
            <a:endParaRPr altLang="en-US"/>
          </a:p>
        </c:rich>
      </c:tx>
      <c:layout/>
      <c:overlay val="0"/>
      <c:spPr>
        <a:noFill/>
        <a:ln>
          <a:noFill/>
        </a:ln>
        <a:effectLst/>
      </c:spPr>
    </c:title>
    <c:autoTitleDeleted val="0"/>
    <c:plotArea>
      <c:layout>
        <c:manualLayout>
          <c:layoutTarget val="inner"/>
          <c:xMode val="edge"/>
          <c:yMode val="edge"/>
          <c:x val="0.0427"/>
          <c:y val="0.127"/>
          <c:w val="0.927925"/>
          <c:h val="0.716566666666667"/>
        </c:manualLayout>
      </c:layout>
      <c:barChart>
        <c:barDir val="col"/>
        <c:grouping val="clustered"/>
        <c:varyColors val="0"/>
        <c:ser>
          <c:idx val="0"/>
          <c:order val="0"/>
          <c:tx>
            <c:strRef>
              <c:f>Sheet1!$B$2</c:f>
              <c:strCache>
                <c:ptCount val="1"/>
                <c:pt idx="0">
                  <c:v>收入</c:v>
                </c:pt>
              </c:strCache>
            </c:strRef>
          </c:tx>
          <c:spPr>
            <a:solidFill>
              <a:schemeClr val="accent1"/>
            </a:solidFill>
            <a:ln>
              <a:noFill/>
            </a:ln>
            <a:effectLst/>
          </c:spPr>
          <c:invertIfNegative val="0"/>
          <c:dLbls>
            <c:delete val="1"/>
          </c:dLbls>
          <c:cat>
            <c:numRef>
              <c:f>Sheet1!$A$3:$A$4</c:f>
              <c:numCache>
                <c:formatCode>General</c:formatCode>
                <c:ptCount val="2"/>
                <c:pt idx="0">
                  <c:v>2022</c:v>
                </c:pt>
                <c:pt idx="1">
                  <c:v>2023</c:v>
                </c:pt>
              </c:numCache>
            </c:numRef>
          </c:cat>
          <c:val>
            <c:numRef>
              <c:f>Sheet1!$B$3:$B$4</c:f>
              <c:numCache>
                <c:formatCode>General</c:formatCode>
                <c:ptCount val="2"/>
                <c:pt idx="0">
                  <c:v>291.88</c:v>
                </c:pt>
                <c:pt idx="1">
                  <c:v>288.7</c:v>
                </c:pt>
              </c:numCache>
            </c:numRef>
          </c:val>
        </c:ser>
        <c:ser>
          <c:idx val="1"/>
          <c:order val="1"/>
          <c:tx>
            <c:strRef>
              <c:f>Sheet1!$C$2</c:f>
              <c:strCache>
                <c:ptCount val="1"/>
                <c:pt idx="0">
                  <c:v>支出</c:v>
                </c:pt>
              </c:strCache>
            </c:strRef>
          </c:tx>
          <c:spPr>
            <a:solidFill>
              <a:schemeClr val="accent2"/>
            </a:solidFill>
            <a:ln>
              <a:noFill/>
            </a:ln>
            <a:effectLst/>
          </c:spPr>
          <c:invertIfNegative val="0"/>
          <c:dLbls>
            <c:delete val="1"/>
          </c:dLbls>
          <c:cat>
            <c:numRef>
              <c:f>Sheet1!$A$3:$A$4</c:f>
              <c:numCache>
                <c:formatCode>General</c:formatCode>
                <c:ptCount val="2"/>
                <c:pt idx="0">
                  <c:v>2022</c:v>
                </c:pt>
                <c:pt idx="1">
                  <c:v>2023</c:v>
                </c:pt>
              </c:numCache>
            </c:numRef>
          </c:cat>
          <c:val>
            <c:numRef>
              <c:f>Sheet1!$C$3:$C$4</c:f>
              <c:numCache>
                <c:formatCode>General</c:formatCode>
                <c:ptCount val="2"/>
                <c:pt idx="0">
                  <c:v>291.88</c:v>
                </c:pt>
                <c:pt idx="1">
                  <c:v>288.7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Sheet1!$A$3:$A$4</c:f>
              <c:numCache>
                <c:formatCode>General</c:formatCode>
                <c:ptCount val="2"/>
                <c:pt idx="0">
                  <c:v>2022</c:v>
                </c:pt>
                <c:pt idx="1">
                  <c:v>2023</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77977070"/>
        <c:axId val="969329930"/>
      </c:barChart>
      <c:catAx>
        <c:axId val="9779770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9329930"/>
        <c:crosses val="autoZero"/>
        <c:auto val="1"/>
        <c:lblAlgn val="ctr"/>
        <c:lblOffset val="100"/>
        <c:noMultiLvlLbl val="0"/>
      </c:catAx>
      <c:valAx>
        <c:axId val="96932993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797707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 图</a:t>
            </a:r>
            <a:r>
              <a:rPr lang="en-US" altLang="zh-CN"/>
              <a:t>5</a:t>
            </a:r>
            <a:r>
              <a:rPr altLang="en-US"/>
              <a:t>：一般公共预算财政拨款支出决算变动情况图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numRef>
              <c:f>Sheet1!$A$2:$A$3</c:f>
              <c:numCache>
                <c:formatCode>General</c:formatCode>
                <c:ptCount val="2"/>
                <c:pt idx="0">
                  <c:v>2022</c:v>
                </c:pt>
                <c:pt idx="1">
                  <c:v>2023</c:v>
                </c:pt>
              </c:numCache>
            </c:numRef>
          </c:cat>
          <c:val>
            <c:numRef>
              <c:f>Sheet1!$B$2:$B$3</c:f>
              <c:numCache>
                <c:formatCode>General</c:formatCode>
                <c:ptCount val="2"/>
                <c:pt idx="0">
                  <c:v>277.87</c:v>
                </c:pt>
                <c:pt idx="1">
                  <c:v>288.7</c:v>
                </c:pt>
              </c:numCache>
            </c:numRef>
          </c:val>
        </c:ser>
        <c:dLbls>
          <c:showLegendKey val="0"/>
          <c:showVal val="0"/>
          <c:showCatName val="0"/>
          <c:showSerName val="0"/>
          <c:showPercent val="0"/>
          <c:showBubbleSize val="0"/>
        </c:dLbls>
        <c:gapWidth val="219"/>
        <c:overlap val="-27"/>
        <c:axId val="224438705"/>
        <c:axId val="439835248"/>
      </c:barChart>
      <c:catAx>
        <c:axId val="2244387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835248"/>
        <c:crosses val="autoZero"/>
        <c:auto val="1"/>
        <c:lblAlgn val="ctr"/>
        <c:lblOffset val="100"/>
        <c:noMultiLvlLbl val="0"/>
      </c:catAx>
      <c:valAx>
        <c:axId val="43983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438705"/>
        <c:crosses val="autoZero"/>
        <c:crossBetween val="between"/>
      </c:valAx>
      <c:spPr>
        <a:noFill/>
        <a:ln>
          <a:noFill/>
        </a:ln>
        <a:effectLst/>
      </c:spPr>
    </c:plotArea>
    <c:legend>
      <c:legendPos val="b"/>
      <c:layout>
        <c:manualLayout>
          <c:xMode val="edge"/>
          <c:yMode val="edge"/>
          <c:x val="0.395875"/>
          <c:y val="0.924166666666667"/>
          <c:w val="0.31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图</a:t>
            </a:r>
            <a:r>
              <a:rPr lang="en-US" altLang="zh-CN"/>
              <a:t>6</a:t>
            </a:r>
            <a:r>
              <a:rPr altLang="en-US"/>
              <a:t>：一般公共预算财政拨款支出决算结构</a:t>
            </a:r>
            <a:endParaRPr altLang="en-US"/>
          </a:p>
        </c:rich>
      </c:tx>
      <c:layout>
        <c:manualLayout>
          <c:xMode val="edge"/>
          <c:yMode val="edge"/>
          <c:x val="0.147083333333333"/>
          <c:y val="0.0381944444444444"/>
        </c:manualLayout>
      </c:layout>
      <c:overlay val="0"/>
      <c:spPr>
        <a:noFill/>
        <a:ln>
          <a:noFill/>
        </a:ln>
        <a:effectLst/>
      </c:spPr>
    </c:title>
    <c:autoTitleDeleted val="0"/>
    <c:plotArea>
      <c:layout>
        <c:manualLayout>
          <c:layoutTarget val="inner"/>
          <c:xMode val="edge"/>
          <c:yMode val="edge"/>
          <c:x val="0.298067413404152"/>
          <c:y val="0.199134199134199"/>
          <c:w val="0.411575273422998"/>
          <c:h val="0.693263804713804"/>
        </c:manualLayout>
      </c:layout>
      <c:pieChart>
        <c:varyColors val="1"/>
        <c:ser>
          <c:idx val="0"/>
          <c:order val="0"/>
          <c:tx>
            <c:strRef>
              <c:f>'[新建 XLS 工作表.xls]Sheet1'!$B$1</c:f>
              <c:strCache>
                <c:ptCount val="1"/>
                <c:pt idx="0">
                  <c:v>社会保障和就业（类）</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Lbls>
            <c:dLbl>
              <c:idx val="0"/>
              <c:layout/>
              <c:tx>
                <c:rich>
                  <a:bodyPr rot="0" spcFirstLastPara="0" vertOverflow="ellipsis" vert="horz" wrap="square" lIns="38100" tIns="19050" rIns="38100" bIns="19050" anchor="ctr" anchorCtr="1" forceAA="0"/>
                  <a:lstStyle/>
                  <a:p>
                    <a:pPr defTabSz="914400">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社会保障和就业（类）100%</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val>
            <c:numRef>
              <c:f>'[新建 XLS 工作表.xls]Sheet1'!$B$2</c:f>
              <c:numCache>
                <c:formatCode>General</c:formatCode>
                <c:ptCount val="1"/>
                <c:pt idx="0">
                  <c:v>100</c:v>
                </c:pt>
              </c:numCache>
            </c:numRef>
          </c:val>
        </c:ser>
        <c:dLbls>
          <c:showLegendKey val="0"/>
          <c:showVal val="0"/>
          <c:showCatName val="1"/>
          <c:showSerName val="0"/>
          <c:showPercent val="1"/>
          <c:showBubbleSize val="0"/>
          <c:showLeaderLines val="1"/>
        </c:dLbls>
        <c:firstSliceAng val="0"/>
      </c:pieChart>
      <c:spPr>
        <a:pattFill prst="lgGrid">
          <a:fgClr>
            <a:srgbClr val="F8F8F8"/>
          </a:fgClr>
          <a:bgClr>
            <a:srgbClr val="FFFFFF"/>
          </a:bgClr>
        </a:pattFill>
        <a:ln>
          <a:solidFill>
            <a:srgbClr val="F2F2F2">
              <a:lumMod val="95000"/>
            </a:srgbClr>
          </a:solid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图7：“三公”经费财政拨款支出结构</a:t>
            </a:r>
          </a:p>
        </c:rich>
      </c:tx>
      <c:layout/>
      <c:overlay val="0"/>
      <c:spPr>
        <a:noFill/>
        <a:ln>
          <a:noFill/>
        </a:ln>
        <a:effectLst/>
      </c:spPr>
    </c:title>
    <c:autoTitleDeleted val="0"/>
    <c:plotArea>
      <c:layout>
        <c:manualLayout>
          <c:layoutTarget val="inner"/>
          <c:xMode val="edge"/>
          <c:yMode val="edge"/>
          <c:x val="0.298067413404152"/>
          <c:y val="0.199134199134199"/>
          <c:w val="0.411575273422998"/>
          <c:h val="0.693263804713804"/>
        </c:manualLayout>
      </c:layout>
      <c:pieChart>
        <c:varyColors val="1"/>
        <c:ser>
          <c:idx val="0"/>
          <c:order val="0"/>
          <c:tx>
            <c:strRef>
              <c:f>'[新建 XLS 工作表.xls]Sheet1'!$B$1</c:f>
              <c:strCache>
                <c:ptCount val="1"/>
                <c:pt idx="0">
                  <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Lbls>
            <c:dLbl>
              <c:idx val="1"/>
              <c:layout>
                <c:manualLayout>
                  <c:x val="-0.087500675377109"/>
                  <c:y val="0.40380217328350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 工作表.xls]Sheet1'!$A$2:$A$4</c:f>
              <c:strCache>
                <c:ptCount val="3"/>
                <c:pt idx="0">
                  <c:v>因公出国（境）费</c:v>
                </c:pt>
                <c:pt idx="1">
                  <c:v>公务用车购置及运行维护费</c:v>
                </c:pt>
                <c:pt idx="2">
                  <c:v>公务接待费</c:v>
                </c:pt>
              </c:strCache>
            </c:strRef>
          </c:cat>
          <c:val>
            <c:numRef>
              <c:f>'[新建 XLS 工作表.xls]Sheet1'!$B$2:$B$4</c:f>
              <c:numCache>
                <c:formatCode>General</c:formatCode>
                <c:ptCount val="3"/>
                <c:pt idx="0">
                  <c:v>0</c:v>
                </c:pt>
                <c:pt idx="1">
                  <c:v>0</c:v>
                </c:pt>
                <c:pt idx="2">
                  <c:v>100</c:v>
                </c:pt>
              </c:numCache>
            </c:numRef>
          </c:val>
        </c:ser>
        <c:ser>
          <c:idx val="1"/>
          <c:order val="1"/>
          <c:tx>
            <c:strRef>
              <c:f>'[新建 XLS 工作表.xls]Sheet1'!$C$1</c:f>
              <c:strCache>
                <c:ptCount val="1"/>
                <c:pt idx="0">
                  <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 工作表.xls]Sheet1'!$A$2:$A$4</c:f>
              <c:strCache>
                <c:ptCount val="3"/>
                <c:pt idx="0">
                  <c:v>因公出国（境）费</c:v>
                </c:pt>
                <c:pt idx="1">
                  <c:v>公务用车购置及运行维护费</c:v>
                </c:pt>
                <c:pt idx="2">
                  <c:v>公务接待费</c:v>
                </c:pt>
              </c:strCache>
            </c:strRef>
          </c:cat>
          <c:val>
            <c:numRef>
              <c:f>'[新建 XLS 工作表.xls]Sheet1'!$C$2:$C$4</c:f>
              <c:numCache>
                <c:formatCode>General</c:formatCode>
                <c:ptCount val="3"/>
              </c:numCache>
            </c:numRef>
          </c:val>
        </c:ser>
        <c:dLbls>
          <c:showLegendKey val="0"/>
          <c:showVal val="0"/>
          <c:showCatName val="1"/>
          <c:showSerName val="0"/>
          <c:showPercent val="1"/>
          <c:showBubbleSize val="0"/>
          <c:showLeaderLines val="1"/>
        </c:dLbls>
        <c:firstSliceAng val="0"/>
      </c:pieChart>
      <c:spPr>
        <a:pattFill prst="lgGrid">
          <a:fgClr>
            <a:srgbClr val="F8F8F8"/>
          </a:fgClr>
          <a:bgClr>
            <a:srgbClr val="FFFFFF"/>
          </a:bgClr>
        </a:pattFill>
        <a:ln>
          <a:solidFill>
            <a:srgbClr val="F2F2F2">
              <a:lumMod val="95000"/>
            </a:srgbClr>
          </a:solid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gradFill rotWithShape="1">
        <a:gsLst>
          <a:gs pos="0">
            <a:srgbClr val="BDBDBD">
              <a:shade val="51000"/>
              <a:satMod val="130000"/>
            </a:srgbClr>
          </a:gs>
          <a:gs pos="80000">
            <a:srgbClr val="F7F7F7">
              <a:shade val="93000"/>
              <a:satMod val="130000"/>
            </a:srgbClr>
          </a:gs>
          <a:gs pos="100000">
            <a:srgbClr val="F8F8F8">
              <a:shade val="94000"/>
              <a:satMod val="135000"/>
            </a:srgbClr>
          </a:gs>
        </a:gsLst>
        <a:lin ang="16200000" scaled="0"/>
      </a:gradFill>
    </a:fillStyleLst>
    <a:lnStyleLst>
      <a:ln w="9525" cap="flat" cmpd="sng" algn="ctr">
        <a:solidFill>
          <a:srgbClr val="F9F9F9">
            <a:shade val="95000"/>
            <a:satMod val="105000"/>
          </a:srgbClr>
        </a:solidFill>
        <a:prstDash val="solid"/>
      </a:ln>
      <a:ln w="25400" cap="flat" cmpd="sng" algn="ctr">
        <a:solidFill>
          <a:srgbClr val="FFFFFF"/>
        </a:solidFill>
        <a:prstDash val="solid"/>
      </a:ln>
      <a:ln w="38100" cap="flat" cmpd="sng" algn="ctr">
        <a:solidFill>
          <a:srgbClr val="FFFFFF"/>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rgbClr val="FFFFFF"/>
      </a:solidFill>
      <a:gradFill rotWithShape="1">
        <a:gsLst>
          <a:gs pos="0">
            <a:srgbClr val="FFFFFF">
              <a:tint val="40000"/>
              <a:satMod val="350000"/>
            </a:srgbClr>
          </a:gs>
          <a:gs pos="40000">
            <a:srgbClr val="FEFEFE">
              <a:tint val="45000"/>
              <a:shade val="99000"/>
              <a:satMod val="350000"/>
            </a:srgbClr>
          </a:gs>
          <a:gs pos="100000">
            <a:srgbClr val="7C7C7C">
              <a:shade val="20000"/>
              <a:satMod val="255000"/>
            </a:srgbClr>
          </a:gs>
        </a:gsLst>
        <a:path path="circle">
          <a:fillToRect l="50000" t="-80000" r="50000" b="180000"/>
        </a:path>
      </a:gradFill>
      <a:gradFill rotWithShape="1">
        <a:gsLst>
          <a:gs pos="0">
            <a:srgbClr val="FFFFFF">
              <a:tint val="80000"/>
              <a:satMod val="300000"/>
            </a:srgbClr>
          </a:gs>
          <a:gs pos="100000">
            <a:srgbClr val="959595">
              <a:shade val="30000"/>
              <a:satMod val="200000"/>
            </a:srgb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gradFill rotWithShape="1">
        <a:gsLst>
          <a:gs pos="0">
            <a:srgbClr val="BDBDBD">
              <a:shade val="51000"/>
              <a:satMod val="130000"/>
            </a:srgbClr>
          </a:gs>
          <a:gs pos="80000">
            <a:srgbClr val="F7F7F7">
              <a:shade val="93000"/>
              <a:satMod val="130000"/>
            </a:srgbClr>
          </a:gs>
          <a:gs pos="100000">
            <a:srgbClr val="F8F8F8">
              <a:shade val="94000"/>
              <a:satMod val="135000"/>
            </a:srgbClr>
          </a:gs>
        </a:gsLst>
        <a:lin ang="16200000" scaled="0"/>
      </a:gradFill>
    </a:fillStyleLst>
    <a:lnStyleLst>
      <a:ln w="9525" cap="flat" cmpd="sng" algn="ctr">
        <a:solidFill>
          <a:srgbClr val="F9F9F9">
            <a:shade val="95000"/>
            <a:satMod val="105000"/>
          </a:srgbClr>
        </a:solidFill>
        <a:prstDash val="solid"/>
      </a:ln>
      <a:ln w="25400" cap="flat" cmpd="sng" algn="ctr">
        <a:solidFill>
          <a:srgbClr val="FFFFFF"/>
        </a:solidFill>
        <a:prstDash val="solid"/>
      </a:ln>
      <a:ln w="38100" cap="flat" cmpd="sng" algn="ctr">
        <a:solidFill>
          <a:srgbClr val="FFFFFF"/>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rgbClr val="FFFFFF"/>
      </a:solidFill>
      <a:gradFill rotWithShape="1">
        <a:gsLst>
          <a:gs pos="0">
            <a:srgbClr val="FFFFFF">
              <a:tint val="40000"/>
              <a:satMod val="350000"/>
            </a:srgbClr>
          </a:gs>
          <a:gs pos="40000">
            <a:srgbClr val="FEFEFE">
              <a:tint val="45000"/>
              <a:shade val="99000"/>
              <a:satMod val="350000"/>
            </a:srgbClr>
          </a:gs>
          <a:gs pos="100000">
            <a:srgbClr val="7C7C7C">
              <a:shade val="20000"/>
              <a:satMod val="255000"/>
            </a:srgbClr>
          </a:gs>
        </a:gsLst>
        <a:path path="circle">
          <a:fillToRect l="50000" t="-80000" r="50000" b="180000"/>
        </a:path>
      </a:gradFill>
      <a:gradFill rotWithShape="1">
        <a:gsLst>
          <a:gs pos="0">
            <a:srgbClr val="FFFFFF">
              <a:tint val="80000"/>
              <a:satMod val="300000"/>
            </a:srgbClr>
          </a:gs>
          <a:gs pos="100000">
            <a:srgbClr val="959595">
              <a:shade val="30000"/>
              <a:satMod val="200000"/>
            </a:srgb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四川省财政厅</Company>
  <Pages>16</Pages>
  <Words>3616</Words>
  <Characters>3948</Characters>
  <Lines>56</Lines>
  <Paragraphs>15</Paragraphs>
  <TotalTime>3</TotalTime>
  <ScaleCrop>false</ScaleCrop>
  <LinksUpToDate>false</LinksUpToDate>
  <CharactersWithSpaces>3966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2024-09-13T08:03:44Z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A683B0ED30724B51AD6C64FBF4887DA3</vt:lpwstr>
  </property>
</Properties>
</file>