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line="660" w:lineRule="exact"/>
        <w:jc w:val="center"/>
        <w:outlineLvl w:val="9"/>
        <w:rPr>
          <w:rFonts w:hint="eastAsia" w:ascii="宋体" w:hAnsi="宋体" w:eastAsia="方正小标宋简体" w:cs="方正小标宋简体"/>
          <w:color w:val="auto"/>
          <w:sz w:val="44"/>
          <w:szCs w:val="44"/>
        </w:rPr>
      </w:pPr>
      <w:r>
        <w:rPr>
          <w:rFonts w:hint="eastAsia" w:ascii="宋体" w:hAnsi="宋体" w:eastAsia="方正小标宋简体" w:cs="方正小标宋简体"/>
          <w:color w:val="auto"/>
          <w:sz w:val="44"/>
          <w:szCs w:val="44"/>
          <w:lang w:eastAsia="zh-CN"/>
        </w:rPr>
        <w:t>县纪委监委</w:t>
      </w:r>
    </w:p>
    <w:p>
      <w:pPr>
        <w:snapToGrid/>
        <w:spacing w:line="660" w:lineRule="exact"/>
        <w:jc w:val="center"/>
        <w:outlineLvl w:val="9"/>
        <w:rPr>
          <w:rFonts w:hint="eastAsia" w:ascii="宋体" w:hAnsi="宋体" w:eastAsia="方正小标宋简体" w:cs="方正小标宋简体"/>
          <w:color w:val="auto"/>
          <w:sz w:val="44"/>
          <w:szCs w:val="44"/>
        </w:rPr>
      </w:pPr>
      <w:r>
        <w:rPr>
          <w:rFonts w:hint="eastAsia" w:ascii="宋体" w:hAnsi="宋体" w:eastAsia="方正小标宋简体" w:cs="方正小标宋简体"/>
          <w:color w:val="auto"/>
          <w:sz w:val="44"/>
          <w:szCs w:val="44"/>
        </w:rPr>
        <w:t>2023年度部门决算分析报告</w:t>
      </w:r>
    </w:p>
    <w:p>
      <w:pPr>
        <w:snapToGrid w:val="0"/>
        <w:ind w:firstLine="640" w:firstLineChars="200"/>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宋体" w:hAnsi="宋体" w:eastAsia="方正黑体简体" w:cs="方正黑体简体"/>
          <w:color w:val="auto"/>
          <w:sz w:val="33"/>
          <w:szCs w:val="33"/>
        </w:rPr>
      </w:pPr>
      <w:bookmarkStart w:id="0" w:name="YS060101"/>
      <w:r>
        <w:rPr>
          <w:rFonts w:hint="eastAsia" w:ascii="宋体" w:hAnsi="宋体" w:eastAsia="方正黑体简体" w:cs="方正黑体简体"/>
          <w:color w:val="auto"/>
          <w:sz w:val="33"/>
          <w:szCs w:val="33"/>
        </w:rPr>
        <w:t>一、单位情况</w:t>
      </w:r>
    </w:p>
    <w:bookmarkEnd w:id="0"/>
    <w:p>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eastAsia" w:ascii="宋体" w:hAnsi="宋体" w:eastAsia="方正楷体简体" w:cs="方正楷体简体"/>
          <w:b/>
          <w:bCs/>
          <w:color w:val="auto"/>
          <w:sz w:val="33"/>
          <w:szCs w:val="33"/>
        </w:rPr>
      </w:pPr>
      <w:r>
        <w:rPr>
          <w:rFonts w:hint="eastAsia" w:ascii="宋体" w:hAnsi="宋体" w:eastAsia="方正楷体简体" w:cs="方正楷体简体"/>
          <w:b/>
          <w:bCs/>
          <w:color w:val="auto"/>
          <w:sz w:val="33"/>
          <w:szCs w:val="33"/>
        </w:rPr>
        <w:t>（一）基本情况</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eastAsia" w:ascii="宋体" w:hAnsi="宋体" w:eastAsia="方正仿宋简体" w:cs="方正仿宋简体"/>
          <w:b/>
          <w:bCs/>
          <w:color w:val="auto"/>
          <w:sz w:val="33"/>
          <w:szCs w:val="33"/>
          <w:lang w:val="en-US" w:eastAsia="zh-CN"/>
        </w:rPr>
      </w:pPr>
      <w:r>
        <w:rPr>
          <w:rFonts w:hint="eastAsia" w:ascii="宋体" w:hAnsi="宋体" w:eastAsia="方正仿宋简体" w:cs="方正仿宋简体"/>
          <w:b/>
          <w:bCs/>
          <w:color w:val="auto"/>
          <w:sz w:val="33"/>
          <w:szCs w:val="33"/>
          <w:lang w:val="en-US" w:eastAsia="zh-CN"/>
        </w:rPr>
        <w:t>1．主要职能</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eastAsia" w:ascii="宋体" w:hAnsi="宋体" w:eastAsia="方正仿宋简体" w:cs="方正仿宋简体"/>
          <w:sz w:val="33"/>
          <w:szCs w:val="33"/>
        </w:rPr>
      </w:pPr>
      <w:r>
        <w:rPr>
          <w:rFonts w:hint="eastAsia" w:ascii="宋体" w:hAnsi="宋体" w:eastAsia="方正仿宋简体" w:cs="方正仿宋简体"/>
          <w:sz w:val="33"/>
          <w:szCs w:val="33"/>
          <w:lang w:val="en-US" w:eastAsia="zh-CN"/>
        </w:rPr>
        <w:t>（1）负责党的纪律检查工作。贯彻落实党中央关于纪律检查工作的决定，维护党的章程和其他党内法规，检查党的路线方针政策和决议的执行情况，协助县委推进全面从严治党、加强党风建设和组织协调反腐败工作。</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eastAsia" w:ascii="宋体" w:hAnsi="宋体" w:eastAsia="方正仿宋简体" w:cs="方正仿宋简体"/>
          <w:sz w:val="33"/>
          <w:szCs w:val="33"/>
          <w:lang w:val="en-US" w:eastAsia="zh-CN"/>
        </w:rPr>
      </w:pPr>
      <w:r>
        <w:rPr>
          <w:rFonts w:hint="eastAsia" w:ascii="宋体" w:hAnsi="宋体" w:eastAsia="方正仿宋简体" w:cs="方正仿宋简体"/>
          <w:sz w:val="33"/>
          <w:szCs w:val="33"/>
          <w:lang w:val="en-US" w:eastAsia="zh-CN"/>
        </w:rPr>
        <w:t>（2）依照党的章程和其他党内法规履行监督、执纪、问责职责。</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eastAsia" w:ascii="宋体" w:hAnsi="宋体" w:eastAsia="方正仿宋简体" w:cs="方正仿宋简体"/>
          <w:sz w:val="33"/>
          <w:szCs w:val="33"/>
        </w:rPr>
      </w:pPr>
      <w:r>
        <w:rPr>
          <w:rFonts w:hint="eastAsia" w:ascii="宋体" w:hAnsi="宋体" w:eastAsia="方正仿宋简体" w:cs="方正仿宋简体"/>
          <w:sz w:val="33"/>
          <w:szCs w:val="33"/>
          <w:lang w:val="en-US" w:eastAsia="zh-CN"/>
        </w:rPr>
        <w:t>（3）负责全县监察工作。贯彻落实党中央关于监察工作的决定，维护宪法法律，依法对县委管理的行使公权力的公职人员进行监察，调查职务违法和职务犯罪，开展廉政建设和反腐败工作。</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eastAsia" w:ascii="宋体" w:hAnsi="宋体" w:eastAsia="方正仿宋简体" w:cs="方正仿宋简体"/>
          <w:sz w:val="33"/>
          <w:szCs w:val="33"/>
          <w:lang w:val="en-US" w:eastAsia="zh-CN"/>
        </w:rPr>
      </w:pPr>
      <w:r>
        <w:rPr>
          <w:rFonts w:hint="eastAsia" w:ascii="宋体" w:hAnsi="宋体" w:eastAsia="方正仿宋简体" w:cs="方正仿宋简体"/>
          <w:sz w:val="33"/>
          <w:szCs w:val="33"/>
          <w:lang w:val="en-US" w:eastAsia="zh-CN"/>
        </w:rPr>
        <w:t>（4）依照法律规定履行监督、调查、处置职责。</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eastAsia" w:ascii="宋体" w:hAnsi="宋体" w:eastAsia="方正仿宋简体" w:cs="方正仿宋简体"/>
          <w:sz w:val="33"/>
          <w:szCs w:val="33"/>
        </w:rPr>
      </w:pPr>
      <w:r>
        <w:rPr>
          <w:rFonts w:hint="eastAsia" w:ascii="宋体" w:hAnsi="宋体" w:eastAsia="方正仿宋简体" w:cs="方正仿宋简体"/>
          <w:sz w:val="33"/>
          <w:szCs w:val="33"/>
          <w:lang w:val="en-US" w:eastAsia="zh-CN"/>
        </w:rPr>
        <w:t>（5）负责组织协调全面从严治党、党风廉政建设和反腐败宣传教育工作。</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eastAsia" w:ascii="宋体" w:hAnsi="宋体" w:eastAsia="方正仿宋简体" w:cs="方正仿宋简体"/>
          <w:sz w:val="33"/>
          <w:szCs w:val="33"/>
        </w:rPr>
      </w:pPr>
      <w:r>
        <w:rPr>
          <w:rFonts w:hint="eastAsia" w:ascii="宋体" w:hAnsi="宋体" w:eastAsia="方正仿宋简体" w:cs="方正仿宋简体"/>
          <w:sz w:val="33"/>
          <w:szCs w:val="33"/>
          <w:lang w:val="en-US" w:eastAsia="zh-CN"/>
        </w:rPr>
        <w:t>（6）负责综合分析全面从严治党、党风廉政建设和反腐败工作情况，对纪检监察工作重要理论及实践问题进行调查研究。制定或者修改全县纪检监察规范性文件，参与起草制定相关规范性文件。</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eastAsia" w:ascii="宋体" w:hAnsi="宋体" w:eastAsia="方正仿宋简体" w:cs="方正仿宋简体"/>
          <w:sz w:val="33"/>
          <w:szCs w:val="33"/>
        </w:rPr>
      </w:pPr>
      <w:r>
        <w:rPr>
          <w:rFonts w:hint="eastAsia" w:ascii="宋体" w:hAnsi="宋体" w:eastAsia="方正仿宋简体" w:cs="方正仿宋简体"/>
          <w:sz w:val="33"/>
          <w:szCs w:val="33"/>
          <w:lang w:val="en-US" w:eastAsia="zh-CN"/>
        </w:rPr>
        <w:t>（7）在中央纪委国家监委、省市纪委监委的领导下，加强对反腐败国际追逃追赃和防逃工作的组织协调，督促有关单位做好相关工作。</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eastAsia" w:ascii="宋体" w:hAnsi="宋体" w:eastAsia="方正仿宋简体" w:cs="方正仿宋简体"/>
          <w:sz w:val="33"/>
          <w:szCs w:val="33"/>
        </w:rPr>
      </w:pPr>
      <w:r>
        <w:rPr>
          <w:rFonts w:hint="eastAsia" w:ascii="宋体" w:hAnsi="宋体" w:eastAsia="方正仿宋简体" w:cs="方正仿宋简体"/>
          <w:sz w:val="33"/>
          <w:szCs w:val="33"/>
          <w:lang w:val="en-US" w:eastAsia="zh-CN"/>
        </w:rPr>
        <w:t>（8）根据干部管理权限，负责纪检监察系统领导班子建设、干部队伍建设和组织建设的综合规划、政策研究、制度建设和业务指导。会同有关方面做好县纪委监委派驻（出）机构、乡镇纪委、县管企业和县属学校、县属医院纪检监察组织领导班子建设有关工作。组织和指导全县纪检监察系统干部教育培训工作等。</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jc w:val="both"/>
        <w:textAlignment w:val="auto"/>
        <w:rPr>
          <w:rFonts w:hint="eastAsia" w:ascii="宋体" w:hAnsi="宋体" w:eastAsia="方正仿宋简体" w:cs="方正仿宋简体"/>
          <w:sz w:val="33"/>
          <w:szCs w:val="33"/>
          <w:lang w:val="en-US" w:eastAsia="zh-CN"/>
        </w:rPr>
      </w:pPr>
      <w:r>
        <w:rPr>
          <w:rFonts w:hint="eastAsia" w:ascii="宋体" w:hAnsi="宋体" w:eastAsia="方正仿宋简体" w:cs="方正仿宋简体"/>
          <w:sz w:val="33"/>
          <w:szCs w:val="33"/>
          <w:lang w:val="en-US" w:eastAsia="zh-CN"/>
        </w:rPr>
        <w:t>（9）完成县委和市纪委监委交办的其他任务。</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eastAsia" w:ascii="宋体" w:hAnsi="宋体" w:eastAsia="方正仿宋简体" w:cs="方正仿宋简体"/>
          <w:b/>
          <w:bCs/>
          <w:color w:val="auto"/>
          <w:sz w:val="33"/>
          <w:szCs w:val="33"/>
          <w:lang w:val="en-US" w:eastAsia="zh-CN"/>
        </w:rPr>
      </w:pPr>
      <w:r>
        <w:rPr>
          <w:rFonts w:hint="eastAsia" w:ascii="宋体" w:hAnsi="宋体" w:eastAsia="方正仿宋简体" w:cs="方正仿宋简体"/>
          <w:b/>
          <w:bCs/>
          <w:color w:val="auto"/>
          <w:sz w:val="33"/>
          <w:szCs w:val="33"/>
          <w:lang w:val="en-US" w:eastAsia="zh-CN"/>
        </w:rPr>
        <w:t>2.机构情况</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宋体" w:hAnsi="宋体" w:eastAsia="方正仿宋简体" w:cs="方正仿宋简体"/>
          <w:color w:val="auto"/>
          <w:sz w:val="33"/>
          <w:szCs w:val="33"/>
        </w:rPr>
      </w:pPr>
      <w:r>
        <w:rPr>
          <w:rFonts w:hint="eastAsia" w:ascii="宋体" w:hAnsi="宋体" w:eastAsia="方正仿宋简体" w:cs="方正仿宋简体"/>
          <w:color w:val="auto"/>
          <w:sz w:val="33"/>
          <w:szCs w:val="33"/>
        </w:rPr>
        <w:t>中共乐至县纪律检查委员会、乐至县监察委员会是一级预算单位，单位性质为行政单位。下属县纪委监委网络信息服务中心事业单位1个，含派出纪工委（监察组）4个</w:t>
      </w:r>
      <w:r>
        <w:rPr>
          <w:rFonts w:hint="eastAsia" w:ascii="宋体" w:hAnsi="宋体" w:eastAsia="方正仿宋简体" w:cs="方正仿宋简体"/>
          <w:color w:val="auto"/>
          <w:sz w:val="33"/>
          <w:szCs w:val="33"/>
          <w:lang w:eastAsia="zh-CN"/>
        </w:rPr>
        <w:t>、</w:t>
      </w:r>
      <w:r>
        <w:rPr>
          <w:rFonts w:hint="eastAsia" w:ascii="宋体" w:hAnsi="宋体" w:eastAsia="方正仿宋简体" w:cs="方正仿宋简体"/>
          <w:color w:val="auto"/>
          <w:sz w:val="33"/>
          <w:szCs w:val="33"/>
        </w:rPr>
        <w:t>派驻</w:t>
      </w:r>
      <w:r>
        <w:rPr>
          <w:rFonts w:hint="eastAsia" w:ascii="宋体" w:hAnsi="宋体" w:eastAsia="方正仿宋简体" w:cs="方正仿宋简体"/>
          <w:color w:val="auto"/>
          <w:sz w:val="33"/>
          <w:szCs w:val="33"/>
          <w:lang w:eastAsia="zh-CN"/>
        </w:rPr>
        <w:t>（出）</w:t>
      </w:r>
      <w:r>
        <w:rPr>
          <w:rFonts w:hint="eastAsia" w:ascii="宋体" w:hAnsi="宋体" w:eastAsia="方正仿宋简体" w:cs="方正仿宋简体"/>
          <w:color w:val="auto"/>
          <w:sz w:val="33"/>
          <w:szCs w:val="33"/>
        </w:rPr>
        <w:t>纪检监察组1</w:t>
      </w:r>
      <w:r>
        <w:rPr>
          <w:rFonts w:hint="eastAsia" w:ascii="宋体" w:hAnsi="宋体" w:eastAsia="方正仿宋简体" w:cs="方正仿宋简体"/>
          <w:color w:val="auto"/>
          <w:sz w:val="33"/>
          <w:szCs w:val="33"/>
          <w:lang w:val="en-US" w:eastAsia="zh-CN"/>
        </w:rPr>
        <w:t>8</w:t>
      </w:r>
      <w:r>
        <w:rPr>
          <w:rFonts w:hint="eastAsia" w:ascii="宋体" w:hAnsi="宋体" w:eastAsia="方正仿宋简体" w:cs="方正仿宋简体"/>
          <w:color w:val="auto"/>
          <w:sz w:val="33"/>
          <w:szCs w:val="33"/>
        </w:rPr>
        <w:t>个。中共乐至县纪律检查委员会与乐至县监察委员会合署办公，代管中共乐至县委巡察办。</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eastAsia" w:ascii="宋体" w:hAnsi="宋体" w:eastAsia="方正仿宋简体" w:cs="方正仿宋简体"/>
          <w:b/>
          <w:bCs/>
          <w:color w:val="auto"/>
          <w:sz w:val="33"/>
          <w:szCs w:val="33"/>
          <w:lang w:val="en-US" w:eastAsia="zh-CN"/>
        </w:rPr>
      </w:pPr>
      <w:r>
        <w:rPr>
          <w:rFonts w:hint="eastAsia" w:ascii="宋体" w:hAnsi="宋体" w:eastAsia="方正仿宋简体" w:cs="方正仿宋简体"/>
          <w:b/>
          <w:bCs/>
          <w:color w:val="auto"/>
          <w:sz w:val="33"/>
          <w:szCs w:val="33"/>
          <w:lang w:val="en-US" w:eastAsia="zh-CN"/>
        </w:rPr>
        <w:t>3.人员情况</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宋体" w:hAnsi="宋体" w:eastAsia="方正仿宋简体" w:cs="方正仿宋简体"/>
          <w:color w:val="auto"/>
          <w:sz w:val="33"/>
          <w:szCs w:val="33"/>
        </w:rPr>
      </w:pPr>
      <w:r>
        <w:rPr>
          <w:rFonts w:hint="eastAsia" w:ascii="宋体" w:hAnsi="宋体" w:eastAsia="方正仿宋简体" w:cs="方正仿宋简体"/>
          <w:sz w:val="33"/>
          <w:szCs w:val="33"/>
          <w:highlight w:val="none"/>
          <w:lang w:val="en-US" w:eastAsia="zh-CN"/>
        </w:rPr>
        <w:t>中共乐至县纪律检查委员会、乐至县监察委员会是财政全额拨款的行政单位。单位总编制134名，其中：机关行政编制53名（含单列编1名）、事业编制4名、工勤编制2名；派出纪工委（监察组）事业编制21名；派驻（出）纪检监察组行政编制40名、事业编制14名。县委巡察办（组）行政编制10名，事业编制2名。</w:t>
      </w:r>
      <w:r>
        <w:rPr>
          <w:rFonts w:hint="eastAsia" w:ascii="宋体" w:hAnsi="宋体" w:eastAsia="方正仿宋简体" w:cs="方正仿宋简体"/>
          <w:color w:val="auto"/>
          <w:sz w:val="33"/>
          <w:szCs w:val="33"/>
        </w:rPr>
        <w:t>实有在职人员总数</w:t>
      </w:r>
      <w:r>
        <w:rPr>
          <w:rFonts w:hint="eastAsia" w:ascii="宋体" w:hAnsi="宋体" w:eastAsia="方正仿宋简体" w:cs="方正仿宋简体"/>
          <w:color w:val="auto"/>
          <w:sz w:val="33"/>
          <w:szCs w:val="33"/>
          <w:lang w:val="en-US" w:eastAsia="zh-CN"/>
        </w:rPr>
        <w:t>132</w:t>
      </w:r>
      <w:r>
        <w:rPr>
          <w:rFonts w:hint="eastAsia" w:ascii="宋体" w:hAnsi="宋体" w:eastAsia="方正仿宋简体" w:cs="方正仿宋简体"/>
          <w:color w:val="auto"/>
          <w:sz w:val="33"/>
          <w:szCs w:val="33"/>
        </w:rPr>
        <w:t>人，其中：</w:t>
      </w:r>
      <w:r>
        <w:rPr>
          <w:rFonts w:hint="eastAsia" w:ascii="宋体" w:hAnsi="宋体" w:eastAsia="方正仿宋简体" w:cs="方正仿宋简体"/>
          <w:color w:val="auto"/>
          <w:spacing w:val="-11"/>
          <w:sz w:val="33"/>
          <w:szCs w:val="33"/>
        </w:rPr>
        <w:t>行政人员</w:t>
      </w:r>
      <w:r>
        <w:rPr>
          <w:rFonts w:hint="eastAsia" w:ascii="宋体" w:hAnsi="宋体" w:eastAsia="方正仿宋简体" w:cs="方正仿宋简体"/>
          <w:color w:val="auto"/>
          <w:spacing w:val="-11"/>
          <w:sz w:val="33"/>
          <w:szCs w:val="33"/>
          <w:lang w:val="en-US" w:eastAsia="zh-CN"/>
        </w:rPr>
        <w:t>109</w:t>
      </w:r>
      <w:r>
        <w:rPr>
          <w:rFonts w:hint="eastAsia" w:ascii="宋体" w:hAnsi="宋体" w:eastAsia="方正仿宋简体" w:cs="方正仿宋简体"/>
          <w:color w:val="auto"/>
          <w:spacing w:val="-11"/>
          <w:sz w:val="33"/>
          <w:szCs w:val="33"/>
        </w:rPr>
        <w:t>人，事业人员</w:t>
      </w:r>
      <w:r>
        <w:rPr>
          <w:rFonts w:hint="eastAsia" w:ascii="宋体" w:hAnsi="宋体" w:eastAsia="方正仿宋简体" w:cs="方正仿宋简体"/>
          <w:color w:val="auto"/>
          <w:spacing w:val="-11"/>
          <w:sz w:val="33"/>
          <w:szCs w:val="33"/>
          <w:lang w:val="en-US" w:eastAsia="zh-CN"/>
        </w:rPr>
        <w:t>22</w:t>
      </w:r>
      <w:r>
        <w:rPr>
          <w:rFonts w:hint="eastAsia" w:ascii="宋体" w:hAnsi="宋体" w:eastAsia="方正仿宋简体" w:cs="方正仿宋简体"/>
          <w:color w:val="auto"/>
          <w:spacing w:val="-11"/>
          <w:sz w:val="33"/>
          <w:szCs w:val="33"/>
        </w:rPr>
        <w:t>名，工勤人员1人</w:t>
      </w:r>
      <w:r>
        <w:rPr>
          <w:rFonts w:hint="eastAsia" w:ascii="宋体" w:hAnsi="宋体" w:eastAsia="方正仿宋简体" w:cs="方正仿宋简体"/>
          <w:color w:val="auto"/>
          <w:spacing w:val="-11"/>
          <w:sz w:val="33"/>
          <w:szCs w:val="33"/>
          <w:lang w:eastAsia="zh-CN"/>
        </w:rPr>
        <w:t>。</w:t>
      </w:r>
      <w:r>
        <w:rPr>
          <w:rFonts w:hint="eastAsia" w:ascii="宋体" w:hAnsi="宋体" w:eastAsia="方正仿宋简体" w:cs="方正仿宋简体"/>
          <w:color w:val="auto"/>
          <w:spacing w:val="-11"/>
          <w:sz w:val="33"/>
          <w:szCs w:val="33"/>
        </w:rPr>
        <w:t>退休人员</w:t>
      </w:r>
      <w:r>
        <w:rPr>
          <w:rFonts w:hint="eastAsia" w:ascii="宋体" w:hAnsi="宋体" w:eastAsia="方正仿宋简体" w:cs="方正仿宋简体"/>
          <w:color w:val="auto"/>
          <w:spacing w:val="-11"/>
          <w:sz w:val="33"/>
          <w:szCs w:val="33"/>
          <w:lang w:val="en-US" w:eastAsia="zh-CN"/>
        </w:rPr>
        <w:t>10</w:t>
      </w:r>
      <w:r>
        <w:rPr>
          <w:rFonts w:hint="eastAsia" w:ascii="宋体" w:hAnsi="宋体" w:eastAsia="方正仿宋简体" w:cs="方正仿宋简体"/>
          <w:color w:val="auto"/>
          <w:spacing w:val="-11"/>
          <w:sz w:val="33"/>
          <w:szCs w:val="33"/>
        </w:rPr>
        <w:t>人。</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eastAsia" w:ascii="宋体" w:hAnsi="宋体" w:eastAsia="方正楷体简体" w:cs="方正楷体简体"/>
          <w:b/>
          <w:bCs/>
          <w:color w:val="auto"/>
          <w:sz w:val="33"/>
          <w:szCs w:val="33"/>
        </w:rPr>
      </w:pPr>
      <w:r>
        <w:rPr>
          <w:rFonts w:hint="eastAsia" w:ascii="宋体" w:hAnsi="宋体" w:eastAsia="方正楷体简体" w:cs="方正楷体简体"/>
          <w:b/>
          <w:bCs/>
          <w:color w:val="auto"/>
          <w:sz w:val="33"/>
          <w:szCs w:val="33"/>
        </w:rPr>
        <w:t>（二）当年取得的主要事业成效</w:t>
      </w:r>
    </w:p>
    <w:p>
      <w:pPr>
        <w:keepNext w:val="0"/>
        <w:keepLines w:val="0"/>
        <w:pageBreakBefore w:val="0"/>
        <w:widowControl w:val="0"/>
        <w:kinsoku/>
        <w:wordWrap/>
        <w:overflowPunct/>
        <w:topLinePunct w:val="0"/>
        <w:autoSpaceDE/>
        <w:autoSpaceDN/>
        <w:bidi w:val="0"/>
        <w:adjustRightInd/>
        <w:spacing w:line="590" w:lineRule="exact"/>
        <w:ind w:left="0" w:leftChars="0" w:firstLine="663" w:firstLineChars="200"/>
        <w:textAlignment w:val="auto"/>
        <w:rPr>
          <w:rFonts w:hint="eastAsia" w:ascii="宋体" w:hAnsi="宋体" w:eastAsia="方正仿宋简体" w:cs="方正仿宋简体"/>
          <w:sz w:val="33"/>
          <w:szCs w:val="33"/>
          <w:highlight w:val="none"/>
          <w:u w:val="none" w:color="auto"/>
          <w:lang w:val="en-US" w:eastAsia="zh-CN"/>
        </w:rPr>
      </w:pPr>
      <w:bookmarkStart w:id="1" w:name="YS060102"/>
      <w:r>
        <w:rPr>
          <w:rFonts w:hint="eastAsia" w:ascii="宋体" w:hAnsi="宋体" w:eastAsia="方正楷体简体" w:cs="方正楷体简体"/>
          <w:b/>
          <w:bCs/>
          <w:color w:val="000000" w:themeColor="text1"/>
          <w:sz w:val="33"/>
          <w:szCs w:val="33"/>
          <w:highlight w:val="none"/>
          <w:u w:val="none" w:color="auto"/>
          <w:lang w:val="en-US" w:eastAsia="zh-CN"/>
          <w14:textFill>
            <w14:solidFill>
              <w14:schemeClr w14:val="tx1"/>
            </w14:solidFill>
          </w14:textFill>
        </w:rPr>
        <w:t>一是坚守政治机关定位，全力护航中心大局，政治监督实现新突破。</w:t>
      </w:r>
      <w:r>
        <w:rPr>
          <w:rFonts w:hint="eastAsia" w:ascii="宋体" w:hAnsi="宋体" w:eastAsia="方正仿宋简体" w:cs="方正仿宋简体"/>
          <w:sz w:val="33"/>
          <w:szCs w:val="33"/>
          <w:highlight w:val="none"/>
          <w:u w:val="none" w:color="auto"/>
          <w:lang w:val="en-US" w:eastAsia="zh-CN"/>
        </w:rPr>
        <w:t>自觉担负“两个维护”重大政治责任，聚焦党的二十大战略部署、习近平总书记重要讲话和重要指示批示精神，梳理政治监督任务清单，跟进监督乡村振兴、环境保护、意识形态、成都大运会等重点工作，推动整改问题430余个。聚焦省委、市委、县委决策部署，深入实施“护航新征程·纪检在行动”工作，围绕市委“三件大事、三大会战、N项改革”和县委“两轮驱动”“两化互动”战略，制定服务保障经济社会发展16条措施，探索开展“立项式”“嵌入式”监督，助推项目建设、企业发展跑出“加速度”。积极融入、主动服务成渝地区双城经济圈建设，探索与川航股份纪委、金堂县纪委等单位建立跨区域跨行业联动机制，进一步拓宽监督护航、协作发展“朋友圈”，相关做法在成德眉资纪检监察协同监督领导小组第一次联席会议上作现场交流发言。</w:t>
      </w:r>
    </w:p>
    <w:p>
      <w:pPr>
        <w:keepNext w:val="0"/>
        <w:keepLines w:val="0"/>
        <w:pageBreakBefore w:val="0"/>
        <w:widowControl w:val="0"/>
        <w:kinsoku/>
        <w:wordWrap/>
        <w:overflowPunct/>
        <w:topLinePunct w:val="0"/>
        <w:autoSpaceDE/>
        <w:autoSpaceDN/>
        <w:bidi w:val="0"/>
        <w:adjustRightInd/>
        <w:spacing w:line="590" w:lineRule="exact"/>
        <w:ind w:left="0" w:leftChars="0" w:firstLine="663" w:firstLineChars="200"/>
        <w:textAlignment w:val="auto"/>
        <w:rPr>
          <w:rFonts w:hint="eastAsia" w:ascii="宋体" w:hAnsi="宋体" w:eastAsia="方正仿宋简体" w:cs="方正仿宋简体"/>
          <w:sz w:val="33"/>
          <w:szCs w:val="33"/>
          <w:highlight w:val="none"/>
          <w:u w:val="none" w:color="auto"/>
          <w:lang w:val="en-US" w:eastAsia="zh-CN"/>
        </w:rPr>
      </w:pPr>
      <w:r>
        <w:rPr>
          <w:rFonts w:hint="eastAsia" w:ascii="宋体" w:hAnsi="宋体" w:eastAsia="方正楷体简体" w:cs="方正楷体简体"/>
          <w:b/>
          <w:bCs/>
          <w:color w:val="000000" w:themeColor="text1"/>
          <w:sz w:val="33"/>
          <w:szCs w:val="33"/>
          <w:highlight w:val="none"/>
          <w:u w:val="none" w:color="auto"/>
          <w:lang w:val="en-US" w:eastAsia="zh-CN"/>
          <w14:textFill>
            <w14:solidFill>
              <w14:schemeClr w14:val="tx1"/>
            </w14:solidFill>
          </w14:textFill>
        </w:rPr>
        <w:t>二是树牢标本兼治理念，始终保持高压震慑，惩贪治腐实现新突破。</w:t>
      </w:r>
      <w:r>
        <w:rPr>
          <w:rFonts w:hint="eastAsia" w:ascii="宋体" w:hAnsi="宋体" w:eastAsia="方正仿宋简体" w:cs="方正仿宋简体"/>
          <w:sz w:val="33"/>
          <w:szCs w:val="33"/>
          <w:highlight w:val="none"/>
          <w:u w:val="none" w:color="auto"/>
          <w:lang w:val="en-US" w:eastAsia="zh-CN"/>
        </w:rPr>
        <w:t>坚持办案引领，受理检举控告78件次，处置问题线索363件，立案242件250人，</w:t>
      </w:r>
      <w:r>
        <w:rPr>
          <w:rFonts w:hint="eastAsia" w:ascii="宋体" w:hAnsi="宋体" w:eastAsia="方正仿宋简体" w:cs="方正仿宋简体"/>
          <w:strike w:val="0"/>
          <w:dstrike w:val="0"/>
          <w:color w:val="auto"/>
          <w:sz w:val="33"/>
          <w:szCs w:val="33"/>
          <w:highlight w:val="none"/>
          <w:u w:val="none" w:color="auto"/>
          <w:lang w:val="en-US" w:eastAsia="zh-CN"/>
        </w:rPr>
        <w:t>其中县管干部28人、</w:t>
      </w:r>
      <w:r>
        <w:rPr>
          <w:rFonts w:hint="eastAsia" w:ascii="宋体" w:hAnsi="宋体" w:eastAsia="方正仿宋简体" w:cs="方正仿宋简体"/>
          <w:sz w:val="33"/>
          <w:szCs w:val="33"/>
          <w:highlight w:val="none"/>
          <w:u w:val="none" w:color="auto"/>
          <w:lang w:val="en-US" w:eastAsia="zh-CN"/>
        </w:rPr>
        <w:t>移送检察机关审查起诉8人，严肃查处了医药、供销等领域腐败问题，打出了声势、形成了震慑。持续深化“五粮春”系列案以案促改，扎实推进县属国企监督体系改革，推动配强2户县属国企纪委书记。探索建立《规范纪检监察建议工作的办法（试行）》，全程跟踪落实情况，确保建议有力有效。建成陈毅故里省级廉洁文化基地VR展厅，创新开展“帅乡·寻廉”系列主题活动，在人民日报、中国纪检监察报、四川日报等中省核心平台推出廉洁宣传产品76件次，我县党风廉政宣传工作连续两年走在全省前列、排名全市第一，红廉文化品牌建设做法在中央纪委国家监委来川调研座谈会上作现场交流发言。</w:t>
      </w:r>
    </w:p>
    <w:p>
      <w:pPr>
        <w:keepNext w:val="0"/>
        <w:keepLines w:val="0"/>
        <w:pageBreakBefore w:val="0"/>
        <w:widowControl w:val="0"/>
        <w:kinsoku/>
        <w:wordWrap/>
        <w:overflowPunct/>
        <w:topLinePunct w:val="0"/>
        <w:autoSpaceDE/>
        <w:autoSpaceDN/>
        <w:bidi w:val="0"/>
        <w:adjustRightInd/>
        <w:spacing w:line="590" w:lineRule="exact"/>
        <w:ind w:left="0" w:leftChars="0" w:firstLine="663" w:firstLineChars="200"/>
        <w:textAlignment w:val="auto"/>
        <w:rPr>
          <w:rFonts w:hint="eastAsia" w:ascii="宋体" w:hAnsi="宋体" w:eastAsia="方正仿宋简体" w:cs="方正仿宋简体"/>
          <w:sz w:val="33"/>
          <w:szCs w:val="33"/>
          <w:highlight w:val="none"/>
          <w:u w:val="none" w:color="auto"/>
          <w:lang w:val="en-US" w:eastAsia="zh-CN"/>
        </w:rPr>
      </w:pPr>
      <w:r>
        <w:rPr>
          <w:rFonts w:hint="eastAsia" w:ascii="宋体" w:hAnsi="宋体" w:eastAsia="方正楷体简体" w:cs="方正楷体简体"/>
          <w:b/>
          <w:bCs/>
          <w:color w:val="000000" w:themeColor="text1"/>
          <w:sz w:val="33"/>
          <w:szCs w:val="33"/>
          <w:highlight w:val="none"/>
          <w:u w:val="none" w:color="auto"/>
          <w:lang w:val="en-US" w:eastAsia="zh-CN"/>
          <w14:textFill>
            <w14:solidFill>
              <w14:schemeClr w14:val="tx1"/>
            </w14:solidFill>
          </w14:textFill>
        </w:rPr>
        <w:t>三是聚焦常态长效目标，持续深化正风肃纪，作风建设实现新突破。</w:t>
      </w:r>
      <w:r>
        <w:rPr>
          <w:rFonts w:hint="eastAsia" w:ascii="宋体" w:hAnsi="宋体" w:eastAsia="方正仿宋简体" w:cs="方正仿宋简体"/>
          <w:sz w:val="33"/>
          <w:szCs w:val="33"/>
          <w:highlight w:val="none"/>
          <w:u w:val="none" w:color="auto"/>
          <w:lang w:val="en-US" w:eastAsia="zh-CN"/>
        </w:rPr>
        <w:t>锲而不舍纠“四风”树新风，深入开展作风整顿提升“清·扬”行动，扎实推进严肃财经纪律及财务管理问题专项整治，从严查处“四风”问题26件42人。结合实际开展小型水利工程项目问题治理、农村“三资”提级审计监督，以“小切口”护航乡村振兴“大战略”，“六盯六查”等做法在中央纪委国家监委网站、廉洁四川网站等中央省级核心平台刊载，省监委特约监察员专题调研我县“纪委书记盯粮库”工作并给予充分肯定。配合开展医药领域腐败问题集中整治，扎实抓好交通执法、就业培训等专项治理，深入开展“走基层、访民生、解难题”活动，稳妥化解重复举报3件，推动解决群众“急难愁盼”问题560余个，查处基层“微腐败”问题33件53人，让群众“可视”“有感”。</w:t>
      </w:r>
    </w:p>
    <w:p>
      <w:pPr>
        <w:keepNext w:val="0"/>
        <w:keepLines w:val="0"/>
        <w:pageBreakBefore w:val="0"/>
        <w:widowControl w:val="0"/>
        <w:kinsoku/>
        <w:wordWrap/>
        <w:overflowPunct/>
        <w:topLinePunct w:val="0"/>
        <w:autoSpaceDE/>
        <w:autoSpaceDN/>
        <w:bidi w:val="0"/>
        <w:adjustRightInd/>
        <w:spacing w:line="590" w:lineRule="exact"/>
        <w:ind w:left="0" w:leftChars="0" w:firstLine="663" w:firstLineChars="200"/>
        <w:textAlignment w:val="auto"/>
        <w:rPr>
          <w:rFonts w:hint="eastAsia" w:ascii="宋体" w:hAnsi="宋体" w:eastAsia="方正仿宋简体" w:cs="方正仿宋简体"/>
          <w:sz w:val="33"/>
          <w:szCs w:val="33"/>
          <w:highlight w:val="none"/>
          <w:u w:val="none" w:color="auto"/>
          <w:lang w:val="en-US" w:eastAsia="zh-CN"/>
        </w:rPr>
      </w:pPr>
      <w:r>
        <w:rPr>
          <w:rFonts w:hint="eastAsia" w:ascii="宋体" w:hAnsi="宋体" w:eastAsia="方正楷体简体" w:cs="方正楷体简体"/>
          <w:b/>
          <w:bCs/>
          <w:color w:val="000000" w:themeColor="text1"/>
          <w:sz w:val="33"/>
          <w:szCs w:val="33"/>
          <w:highlight w:val="none"/>
          <w:u w:val="none" w:color="auto"/>
          <w:lang w:val="en-US" w:eastAsia="zh-CN"/>
          <w14:textFill>
            <w14:solidFill>
              <w14:schemeClr w14:val="tx1"/>
            </w14:solidFill>
          </w14:textFill>
        </w:rPr>
        <w:t>四是强化以巡促治功能，充分发挥利剑作用，巡察质效实现新突破。</w:t>
      </w:r>
      <w:r>
        <w:rPr>
          <w:rFonts w:hint="eastAsia" w:ascii="宋体" w:hAnsi="宋体" w:eastAsia="方正仿宋简体" w:cs="方正仿宋简体"/>
          <w:sz w:val="33"/>
          <w:szCs w:val="33"/>
          <w:highlight w:val="none"/>
          <w:u w:val="none" w:color="auto"/>
          <w:lang w:val="en-US" w:eastAsia="zh-CN"/>
        </w:rPr>
        <w:t>牢牢把握政治巡察定位，采取常规巡察+联动巡察方式，分2批次对县公安局、县蚕桑局等26个党组织、107个村（社区）开展政治体检，发现主要问题261个、问题线索42件，十五届县委巡察任务实现“双过半”，村级巡察“543工作法”在中央纪委国家监委网站刊载，“巡纪审”联动监督做法得到省委巡视办主要负责同志肯定性批示，并写入省纪委全会报告在全省推广交流。探索推行巡察整改“联审联评联考”模式，建立“6+N”整改联动督评机制，完成2轮联审联评，提出针对性建议200余条，推动整改问题80余个，倒逼巡察整改落地落实。成立巡察信息服务中心，落实2名事业编制，巡察信息化建设加快推进。</w:t>
      </w:r>
    </w:p>
    <w:p>
      <w:pPr>
        <w:keepNext w:val="0"/>
        <w:keepLines w:val="0"/>
        <w:pageBreakBefore w:val="0"/>
        <w:widowControl w:val="0"/>
        <w:kinsoku/>
        <w:wordWrap/>
        <w:overflowPunct/>
        <w:topLinePunct w:val="0"/>
        <w:autoSpaceDE/>
        <w:autoSpaceDN/>
        <w:bidi w:val="0"/>
        <w:adjustRightInd/>
        <w:spacing w:line="590" w:lineRule="exact"/>
        <w:ind w:left="0" w:leftChars="0" w:firstLine="663" w:firstLineChars="200"/>
        <w:textAlignment w:val="auto"/>
        <w:rPr>
          <w:rFonts w:hint="eastAsia" w:ascii="宋体" w:hAnsi="宋体" w:eastAsia="方正仿宋简体" w:cs="方正仿宋简体"/>
          <w:sz w:val="33"/>
          <w:szCs w:val="33"/>
          <w:highlight w:val="none"/>
          <w:u w:val="none" w:color="auto"/>
          <w:lang w:val="en-US" w:eastAsia="zh-CN"/>
        </w:rPr>
      </w:pPr>
      <w:r>
        <w:rPr>
          <w:rFonts w:hint="eastAsia" w:ascii="宋体" w:hAnsi="宋体" w:eastAsia="方正楷体简体" w:cs="方正楷体简体"/>
          <w:b/>
          <w:bCs/>
          <w:color w:val="000000" w:themeColor="text1"/>
          <w:sz w:val="33"/>
          <w:szCs w:val="33"/>
          <w:highlight w:val="none"/>
          <w:u w:val="none" w:color="auto"/>
          <w:lang w:val="en-US" w:eastAsia="zh-CN"/>
          <w14:textFill>
            <w14:solidFill>
              <w14:schemeClr w14:val="tx1"/>
            </w14:solidFill>
          </w14:textFill>
        </w:rPr>
        <w:t>五是践行大抓基层导向，着力夯实底部支撑，监督效能实现新突破。</w:t>
      </w:r>
      <w:r>
        <w:rPr>
          <w:rFonts w:hint="eastAsia" w:ascii="宋体" w:hAnsi="宋体" w:eastAsia="方正仿宋简体" w:cs="方正仿宋简体"/>
          <w:sz w:val="33"/>
          <w:szCs w:val="33"/>
          <w:highlight w:val="none"/>
          <w:u w:val="none" w:color="auto"/>
          <w:lang w:val="en-US" w:eastAsia="zh-CN"/>
        </w:rPr>
        <w:t>持续深化省纪委“三个专班”工作，深入实施乡镇纪检监察组织阵地规范化建设三年行动，加快打造清廉乡镇、清廉村居试点，扎实推进日常监督、派驻监督、巡察监督等“六大体系”建设，规范化法治化正规化水平不断提升。纵深推进乡村振兴领域党风廉政建设改革试点，推动落实村级党风政风监督员待遇保障，持续激发基层监督活力。深入开展案件质效“百日攻坚”行动，积极推行线索研判“四方会商”、案件查办“三线并进”、审评同步“双管齐下”模式，初核转立案率达91.5%，“先法后纪”</w:t>
      </w:r>
      <w:r>
        <w:rPr>
          <w:rFonts w:hint="eastAsia" w:ascii="宋体" w:hAnsi="宋体" w:eastAsia="方正仿宋简体" w:cs="方正仿宋简体"/>
          <w:strike w:val="0"/>
          <w:dstrike w:val="0"/>
          <w:sz w:val="33"/>
          <w:szCs w:val="33"/>
          <w:highlight w:val="none"/>
          <w:u w:val="none" w:color="auto"/>
          <w:lang w:val="en-US" w:eastAsia="zh-CN"/>
        </w:rPr>
        <w:t>类案件仅占18.7%，派驻机构首次实现立案全部破零，查处县管正职干部、自办留置案件均创下历</w:t>
      </w:r>
      <w:r>
        <w:rPr>
          <w:rFonts w:hint="eastAsia" w:ascii="宋体" w:hAnsi="宋体" w:eastAsia="方正仿宋简体" w:cs="方正仿宋简体"/>
          <w:strike w:val="0"/>
          <w:dstrike w:val="0"/>
          <w:spacing w:val="-6"/>
          <w:sz w:val="33"/>
          <w:szCs w:val="33"/>
          <w:highlight w:val="none"/>
          <w:u w:val="none" w:color="auto"/>
          <w:lang w:val="en-US" w:eastAsia="zh-CN"/>
        </w:rPr>
        <w:t>史新高，各有2件案件分别被评为全省、全市</w:t>
      </w:r>
      <w:r>
        <w:rPr>
          <w:rFonts w:hint="eastAsia" w:ascii="宋体" w:hAnsi="宋体" w:eastAsia="方正仿宋简体" w:cs="方正仿宋简体"/>
          <w:spacing w:val="-6"/>
          <w:sz w:val="33"/>
          <w:szCs w:val="33"/>
          <w:highlight w:val="none"/>
          <w:u w:val="none" w:color="auto"/>
          <w:lang w:val="en-US" w:eastAsia="zh-CN"/>
        </w:rPr>
        <w:t>优质（优秀）案件。</w:t>
      </w:r>
    </w:p>
    <w:p>
      <w:pPr>
        <w:keepNext w:val="0"/>
        <w:keepLines w:val="0"/>
        <w:pageBreakBefore w:val="0"/>
        <w:widowControl w:val="0"/>
        <w:kinsoku/>
        <w:wordWrap/>
        <w:overflowPunct/>
        <w:topLinePunct w:val="0"/>
        <w:autoSpaceDE/>
        <w:autoSpaceDN/>
        <w:bidi w:val="0"/>
        <w:adjustRightInd/>
        <w:snapToGrid w:val="0"/>
        <w:spacing w:line="590" w:lineRule="exact"/>
        <w:ind w:firstLine="663" w:firstLineChars="200"/>
        <w:textAlignment w:val="auto"/>
        <w:rPr>
          <w:rFonts w:hint="eastAsia" w:ascii="宋体" w:hAnsi="宋体" w:eastAsia="方正仿宋简体" w:cs="方正仿宋简体"/>
          <w:sz w:val="33"/>
          <w:szCs w:val="33"/>
          <w:highlight w:val="none"/>
          <w:u w:val="none" w:color="auto"/>
          <w:lang w:val="en-US" w:eastAsia="zh-CN"/>
        </w:rPr>
      </w:pPr>
      <w:r>
        <w:rPr>
          <w:rFonts w:hint="eastAsia" w:ascii="宋体" w:hAnsi="宋体" w:eastAsia="方正楷体简体" w:cs="方正楷体简体"/>
          <w:b/>
          <w:bCs/>
          <w:color w:val="000000" w:themeColor="text1"/>
          <w:sz w:val="33"/>
          <w:szCs w:val="33"/>
          <w:highlight w:val="none"/>
          <w:u w:val="none" w:color="auto"/>
          <w:lang w:val="en-US" w:eastAsia="zh-CN"/>
          <w14:textFill>
            <w14:solidFill>
              <w14:schemeClr w14:val="tx1"/>
            </w14:solidFill>
          </w14:textFill>
        </w:rPr>
        <w:t>六是擦亮队伍政治底色，不断淬炼纪检铁军，自身建设实现新突破。</w:t>
      </w:r>
      <w:r>
        <w:rPr>
          <w:rFonts w:hint="eastAsia" w:ascii="宋体" w:hAnsi="宋体" w:eastAsia="方正仿宋简体" w:cs="方正仿宋简体"/>
          <w:sz w:val="33"/>
          <w:szCs w:val="33"/>
          <w:highlight w:val="none"/>
          <w:u w:val="none" w:color="auto"/>
          <w:lang w:val="en-US" w:eastAsia="zh-CN"/>
        </w:rPr>
        <w:t>持续深化纪检监察体制改革，公开引进高层次人才5名，全面完成县乡两级136名监察官等级首次确定。探索实施“芯能量”提升计划，开展全员培训、业务竞赛，选派34名干部到省市纪委跟案学习、帮助工作，干部履职能力进一步提升，2名干部被评为全市“十佳办案能手”。建立干部监督联席会议机制，制定网络言行“十条戒律”，从严教育管理监督干部。持续深化心理健康“心”动力关爱行动，组织开展廉洁家访、家属进机关等活动，干部队伍凝聚力战斗力进一步增强，展现出昂扬向上、团结奋斗、创先争优的精神面貌。</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eastAsia" w:ascii="宋体" w:hAnsi="宋体" w:eastAsia="方正楷体简体" w:cs="方正楷体简体"/>
          <w:b/>
          <w:bCs/>
          <w:color w:val="auto"/>
          <w:sz w:val="33"/>
          <w:szCs w:val="33"/>
        </w:rPr>
      </w:pPr>
      <w:r>
        <w:rPr>
          <w:rFonts w:hint="eastAsia" w:ascii="宋体" w:hAnsi="宋体" w:eastAsia="方正楷体简体" w:cs="方正楷体简体"/>
          <w:b/>
          <w:bCs/>
          <w:color w:val="auto"/>
          <w:sz w:val="33"/>
          <w:szCs w:val="33"/>
        </w:rPr>
        <w:t>二、收入支出预算执行情况分析</w:t>
      </w:r>
    </w:p>
    <w:bookmarkEnd w:id="1"/>
    <w:p>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eastAsia" w:ascii="宋体" w:hAnsi="宋体" w:eastAsia="方正楷体简体" w:cs="方正楷体简体"/>
          <w:b/>
          <w:bCs/>
          <w:color w:val="auto"/>
          <w:sz w:val="33"/>
          <w:szCs w:val="33"/>
        </w:rPr>
      </w:pPr>
      <w:r>
        <w:rPr>
          <w:rFonts w:hint="eastAsia" w:ascii="宋体" w:hAnsi="宋体" w:eastAsia="方正楷体简体" w:cs="方正楷体简体"/>
          <w:b/>
          <w:bCs/>
          <w:color w:val="auto"/>
          <w:sz w:val="33"/>
          <w:szCs w:val="33"/>
        </w:rPr>
        <w:t>（一）收入支出预算安排情况。</w:t>
      </w:r>
    </w:p>
    <w:p>
      <w:pPr>
        <w:keepNext w:val="0"/>
        <w:keepLines w:val="0"/>
        <w:pageBreakBefore w:val="0"/>
        <w:widowControl w:val="0"/>
        <w:kinsoku/>
        <w:wordWrap/>
        <w:overflowPunct/>
        <w:topLinePunct w:val="0"/>
        <w:autoSpaceDE/>
        <w:autoSpaceDN/>
        <w:bidi w:val="0"/>
        <w:adjustRightInd/>
        <w:snapToGrid w:val="0"/>
        <w:spacing w:line="590" w:lineRule="exact"/>
        <w:ind w:firstLine="660" w:firstLineChars="200"/>
        <w:textAlignment w:val="auto"/>
        <w:rPr>
          <w:rFonts w:hint="eastAsia" w:ascii="宋体" w:hAnsi="宋体" w:eastAsia="方正仿宋简体" w:cs="方正仿宋简体"/>
          <w:sz w:val="33"/>
          <w:szCs w:val="33"/>
          <w:highlight w:val="none"/>
          <w:u w:val="none" w:color="auto"/>
          <w:lang w:val="en-US" w:eastAsia="zh-CN"/>
        </w:rPr>
      </w:pPr>
      <w:r>
        <w:rPr>
          <w:rFonts w:hint="eastAsia" w:ascii="宋体" w:hAnsi="宋体" w:eastAsia="方正仿宋简体" w:cs="方正仿宋简体"/>
          <w:sz w:val="33"/>
          <w:szCs w:val="33"/>
          <w:highlight w:val="none"/>
          <w:u w:val="none" w:color="auto"/>
          <w:lang w:val="en-US" w:eastAsia="zh-CN"/>
        </w:rPr>
        <w:t>2023年，年初预算收入总额为1749.64万元，较2022年年初预算收入1427.90万元，增长22.53%。2023年，年初预算支出总额为1749.64万元，较2022年年初预算支出1427.90万元，增长22.53%。其中：基本支出2049.26万元，较2022年年初预算基本支出1334.39万元，增长53.57%。收支增加的主要原因是增人增资。</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eastAsia" w:ascii="宋体" w:hAnsi="宋体" w:eastAsia="方正楷体简体" w:cs="方正楷体简体"/>
          <w:b/>
          <w:bCs/>
          <w:color w:val="auto"/>
          <w:sz w:val="33"/>
          <w:szCs w:val="33"/>
        </w:rPr>
      </w:pPr>
      <w:r>
        <w:rPr>
          <w:rFonts w:hint="eastAsia" w:ascii="宋体" w:hAnsi="宋体" w:eastAsia="方正楷体简体" w:cs="方正楷体简体"/>
          <w:b/>
          <w:bCs/>
          <w:color w:val="auto"/>
          <w:sz w:val="33"/>
          <w:szCs w:val="33"/>
        </w:rPr>
        <w:t>（二）收入支出预算执行情况。</w:t>
      </w:r>
    </w:p>
    <w:p>
      <w:pPr>
        <w:keepNext w:val="0"/>
        <w:keepLines w:val="0"/>
        <w:pageBreakBefore w:val="0"/>
        <w:widowControl w:val="0"/>
        <w:kinsoku/>
        <w:wordWrap/>
        <w:overflowPunct/>
        <w:topLinePunct w:val="0"/>
        <w:autoSpaceDE/>
        <w:autoSpaceDN/>
        <w:bidi w:val="0"/>
        <w:adjustRightInd/>
        <w:snapToGrid w:val="0"/>
        <w:spacing w:line="590" w:lineRule="exact"/>
        <w:ind w:firstLine="660" w:firstLineChars="200"/>
        <w:textAlignment w:val="auto"/>
        <w:rPr>
          <w:rFonts w:hint="eastAsia" w:ascii="宋体" w:hAnsi="宋体" w:eastAsia="方正仿宋简体" w:cs="方正仿宋简体"/>
          <w:sz w:val="33"/>
          <w:szCs w:val="33"/>
          <w:highlight w:val="none"/>
          <w:u w:val="none" w:color="auto"/>
          <w:lang w:val="en-US" w:eastAsia="zh-CN"/>
        </w:rPr>
      </w:pPr>
      <w:r>
        <w:rPr>
          <w:rFonts w:hint="eastAsia" w:ascii="宋体" w:hAnsi="宋体" w:eastAsia="方正仿宋简体" w:cs="方正仿宋简体"/>
          <w:sz w:val="33"/>
          <w:szCs w:val="33"/>
          <w:highlight w:val="none"/>
          <w:u w:val="none" w:color="auto"/>
          <w:lang w:val="en-US" w:eastAsia="zh-CN"/>
        </w:rPr>
        <w:t>2023年度收、支各计2944.63万元。与2022年相比，收、支各增加286.98万元，增长10.80%，主要变动原因是增人增资。</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eastAsia" w:ascii="宋体" w:hAnsi="宋体" w:eastAsia="方正仿宋简体" w:cs="方正仿宋简体"/>
          <w:b/>
          <w:bCs/>
          <w:color w:val="auto"/>
          <w:sz w:val="33"/>
          <w:szCs w:val="33"/>
          <w:lang w:val="en-US" w:eastAsia="zh-CN"/>
        </w:rPr>
      </w:pPr>
      <w:r>
        <w:rPr>
          <w:rFonts w:hint="eastAsia" w:ascii="宋体" w:hAnsi="宋体" w:eastAsia="方正仿宋简体" w:cs="方正仿宋简体"/>
          <w:b/>
          <w:bCs/>
          <w:color w:val="auto"/>
          <w:sz w:val="33"/>
          <w:szCs w:val="33"/>
          <w:lang w:val="en-US" w:eastAsia="zh-CN"/>
        </w:rPr>
        <w:t>1．收入支出与预算对比分析。</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宋体" w:hAnsi="宋体" w:eastAsia="方正仿宋简体" w:cs="方正仿宋简体"/>
          <w:color w:val="auto"/>
          <w:sz w:val="33"/>
          <w:szCs w:val="33"/>
          <w:lang w:val="en-US" w:eastAsia="zh-CN"/>
        </w:rPr>
      </w:pPr>
      <w:r>
        <w:rPr>
          <w:rFonts w:hint="eastAsia" w:ascii="宋体" w:hAnsi="宋体" w:eastAsia="方正仿宋简体" w:cs="方正仿宋简体"/>
          <w:color w:val="auto"/>
          <w:sz w:val="33"/>
          <w:szCs w:val="33"/>
          <w:lang w:eastAsia="zh-CN"/>
        </w:rPr>
        <w:t>（1）预、决算收支情况</w:t>
      </w:r>
    </w:p>
    <w:p>
      <w:pPr>
        <w:keepNext w:val="0"/>
        <w:keepLines w:val="0"/>
        <w:pageBreakBefore w:val="0"/>
        <w:widowControl w:val="0"/>
        <w:kinsoku/>
        <w:wordWrap/>
        <w:overflowPunct/>
        <w:topLinePunct w:val="0"/>
        <w:autoSpaceDE/>
        <w:autoSpaceDN/>
        <w:bidi w:val="0"/>
        <w:adjustRightInd/>
        <w:snapToGrid w:val="0"/>
        <w:spacing w:line="590" w:lineRule="exact"/>
        <w:ind w:firstLine="660" w:firstLineChars="200"/>
        <w:textAlignment w:val="auto"/>
        <w:rPr>
          <w:rFonts w:hint="eastAsia" w:ascii="宋体" w:hAnsi="宋体" w:eastAsia="方正仿宋简体" w:cs="方正仿宋简体"/>
          <w:sz w:val="33"/>
          <w:szCs w:val="33"/>
          <w:highlight w:val="none"/>
          <w:u w:val="none" w:color="auto"/>
          <w:lang w:val="en-US" w:eastAsia="zh-CN"/>
        </w:rPr>
      </w:pPr>
      <w:r>
        <w:rPr>
          <w:rFonts w:hint="eastAsia" w:ascii="宋体" w:hAnsi="宋体" w:eastAsia="方正仿宋简体" w:cs="方正仿宋简体"/>
          <w:sz w:val="33"/>
          <w:szCs w:val="33"/>
          <w:highlight w:val="none"/>
          <w:u w:val="none" w:color="auto"/>
          <w:lang w:val="en-US" w:eastAsia="zh-CN"/>
        </w:rPr>
        <w:t>2023年预算收、支各计2180.76万元，决算收、支各计2944.63万元，增加763.87万元。其中：一般公共服务支出年初预算数为1749.64万元，决算数为2483.97万元，增长41.97%；社会保障和就业支出年初预算数为190.28万元，决算数为209.91万元，增长10.32%；卫生健康支出年初预算数为73.24万元，决算数为80.48万元，增长10%；住房保障支出年初预算数为167.59万元，决算数为170.27万元，增长2%。</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宋体" w:hAnsi="宋体" w:eastAsia="方正仿宋简体" w:cs="方正仿宋简体"/>
          <w:color w:val="auto"/>
          <w:sz w:val="33"/>
          <w:szCs w:val="33"/>
          <w:lang w:eastAsia="zh-CN"/>
        </w:rPr>
      </w:pPr>
      <w:r>
        <w:rPr>
          <w:rFonts w:hint="eastAsia" w:ascii="宋体" w:hAnsi="宋体" w:eastAsia="方正仿宋简体" w:cs="方正仿宋简体"/>
          <w:color w:val="auto"/>
          <w:sz w:val="33"/>
          <w:szCs w:val="33"/>
          <w:lang w:eastAsia="zh-CN"/>
        </w:rPr>
        <w:t>（2）差异原因分析</w:t>
      </w:r>
    </w:p>
    <w:p>
      <w:pPr>
        <w:keepNext w:val="0"/>
        <w:keepLines w:val="0"/>
        <w:pageBreakBefore w:val="0"/>
        <w:widowControl w:val="0"/>
        <w:kinsoku/>
        <w:wordWrap/>
        <w:overflowPunct/>
        <w:topLinePunct w:val="0"/>
        <w:autoSpaceDE/>
        <w:autoSpaceDN/>
        <w:bidi w:val="0"/>
        <w:adjustRightInd/>
        <w:snapToGrid w:val="0"/>
        <w:spacing w:line="590" w:lineRule="exact"/>
        <w:ind w:firstLine="660" w:firstLineChars="200"/>
        <w:textAlignment w:val="auto"/>
        <w:rPr>
          <w:rFonts w:hint="default" w:ascii="宋体" w:hAnsi="宋体" w:eastAsia="方正仿宋简体" w:cs="方正仿宋简体"/>
          <w:sz w:val="33"/>
          <w:szCs w:val="33"/>
          <w:highlight w:val="none"/>
          <w:u w:val="none" w:color="auto"/>
          <w:lang w:val="en-US" w:eastAsia="zh-CN"/>
        </w:rPr>
      </w:pPr>
      <w:r>
        <w:rPr>
          <w:rFonts w:hint="eastAsia" w:ascii="宋体" w:hAnsi="宋体" w:eastAsia="方正仿宋简体" w:cs="方正仿宋简体"/>
          <w:sz w:val="33"/>
          <w:szCs w:val="33"/>
          <w:highlight w:val="none"/>
          <w:u w:val="none" w:color="auto"/>
          <w:lang w:val="en-US" w:eastAsia="zh-CN"/>
        </w:rPr>
        <w:t>2023年预决算收支差异主要为增人增资使得各项经费增加。</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eastAsia" w:ascii="宋体" w:hAnsi="宋体" w:eastAsia="方正仿宋简体" w:cs="方正仿宋简体"/>
          <w:b/>
          <w:bCs/>
          <w:color w:val="auto"/>
          <w:sz w:val="33"/>
          <w:szCs w:val="33"/>
          <w:lang w:val="en-US" w:eastAsia="zh-CN"/>
        </w:rPr>
      </w:pPr>
      <w:r>
        <w:rPr>
          <w:rFonts w:hint="eastAsia" w:ascii="宋体" w:hAnsi="宋体" w:eastAsia="方正仿宋简体" w:cs="方正仿宋简体"/>
          <w:b/>
          <w:bCs/>
          <w:color w:val="auto"/>
          <w:sz w:val="33"/>
          <w:szCs w:val="33"/>
          <w:lang w:val="en-US" w:eastAsia="zh-CN"/>
        </w:rPr>
        <w:t>2．收入支出结构分析</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宋体" w:hAnsi="宋体" w:eastAsia="方正仿宋简体" w:cs="方正仿宋简体"/>
          <w:color w:val="auto"/>
          <w:sz w:val="33"/>
          <w:szCs w:val="33"/>
          <w:lang w:eastAsia="zh-CN"/>
        </w:rPr>
      </w:pPr>
      <w:r>
        <w:rPr>
          <w:rFonts w:hint="eastAsia" w:ascii="宋体" w:hAnsi="宋体" w:eastAsia="方正仿宋简体" w:cs="方正仿宋简体"/>
          <w:color w:val="auto"/>
          <w:sz w:val="33"/>
          <w:szCs w:val="33"/>
          <w:lang w:eastAsia="zh-CN"/>
        </w:rPr>
        <w:t>（1）收支情况</w:t>
      </w:r>
    </w:p>
    <w:p>
      <w:pPr>
        <w:keepNext w:val="0"/>
        <w:keepLines w:val="0"/>
        <w:pageBreakBefore w:val="0"/>
        <w:widowControl w:val="0"/>
        <w:kinsoku/>
        <w:wordWrap/>
        <w:overflowPunct/>
        <w:topLinePunct w:val="0"/>
        <w:autoSpaceDE/>
        <w:autoSpaceDN/>
        <w:bidi w:val="0"/>
        <w:adjustRightInd/>
        <w:snapToGrid w:val="0"/>
        <w:spacing w:line="590" w:lineRule="exact"/>
        <w:ind w:firstLine="660" w:firstLineChars="200"/>
        <w:textAlignment w:val="auto"/>
        <w:rPr>
          <w:rFonts w:hint="eastAsia" w:ascii="宋体" w:hAnsi="宋体" w:eastAsia="方正仿宋简体" w:cs="方正仿宋简体"/>
          <w:sz w:val="33"/>
          <w:szCs w:val="33"/>
          <w:highlight w:val="none"/>
          <w:u w:val="none" w:color="auto"/>
          <w:lang w:val="en-US" w:eastAsia="zh-CN"/>
        </w:rPr>
      </w:pPr>
      <w:r>
        <w:rPr>
          <w:rFonts w:hint="eastAsia" w:ascii="宋体" w:hAnsi="宋体" w:eastAsia="方正仿宋简体" w:cs="方正仿宋简体"/>
          <w:sz w:val="33"/>
          <w:szCs w:val="33"/>
          <w:highlight w:val="none"/>
          <w:u w:val="none" w:color="auto"/>
          <w:lang w:val="en-US" w:eastAsia="zh-CN"/>
        </w:rPr>
        <w:t>2023年决算收、支各计2944.63万元，其中：一般公共服务支出2483.97万元，占84.35%；社会保障和就业支出为209.91万元，占7.12%；卫生健康支出为80.48万元，占2.73%；住房保障支出为170.27万元，占5.8%。</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宋体" w:hAnsi="宋体" w:eastAsia="方正仿宋简体" w:cs="方正仿宋简体"/>
          <w:color w:val="auto"/>
          <w:sz w:val="33"/>
          <w:szCs w:val="33"/>
          <w:lang w:eastAsia="zh-CN"/>
        </w:rPr>
      </w:pPr>
      <w:r>
        <w:rPr>
          <w:rFonts w:hint="eastAsia" w:ascii="宋体" w:hAnsi="宋体" w:eastAsia="方正仿宋简体" w:cs="方正仿宋简体"/>
          <w:color w:val="auto"/>
          <w:sz w:val="33"/>
          <w:szCs w:val="33"/>
          <w:lang w:eastAsia="zh-CN"/>
        </w:rPr>
        <w:t>（2）收入支出与上年度对比情况及原因分析</w:t>
      </w:r>
    </w:p>
    <w:p>
      <w:pPr>
        <w:keepNext w:val="0"/>
        <w:keepLines w:val="0"/>
        <w:pageBreakBefore w:val="0"/>
        <w:widowControl w:val="0"/>
        <w:kinsoku/>
        <w:wordWrap/>
        <w:overflowPunct/>
        <w:topLinePunct w:val="0"/>
        <w:autoSpaceDE/>
        <w:autoSpaceDN/>
        <w:bidi w:val="0"/>
        <w:adjustRightInd/>
        <w:snapToGrid w:val="0"/>
        <w:spacing w:line="590" w:lineRule="exact"/>
        <w:ind w:firstLine="660" w:firstLineChars="200"/>
        <w:textAlignment w:val="auto"/>
        <w:rPr>
          <w:rFonts w:hint="eastAsia" w:ascii="宋体" w:hAnsi="宋体" w:eastAsia="方正仿宋简体" w:cs="方正仿宋简体"/>
          <w:sz w:val="33"/>
          <w:szCs w:val="33"/>
          <w:highlight w:val="none"/>
          <w:u w:val="none" w:color="auto"/>
          <w:lang w:val="en-US" w:eastAsia="zh-CN"/>
        </w:rPr>
      </w:pPr>
      <w:r>
        <w:rPr>
          <w:rFonts w:hint="eastAsia" w:ascii="宋体" w:hAnsi="宋体" w:eastAsia="方正仿宋简体" w:cs="方正仿宋简体"/>
          <w:sz w:val="33"/>
          <w:szCs w:val="33"/>
          <w:highlight w:val="none"/>
          <w:u w:val="none" w:color="auto"/>
          <w:lang w:val="en-US" w:eastAsia="zh-CN"/>
        </w:rPr>
        <w:t>2023年决算收、支总额与2022年收、支总额2657.64万元相比，增加286.98万元。其中人员经费增加284.36万元，日常公用经费增加20.34万元，项目支出减少17.72万元。收支增长主要原因是增人增资。</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eastAsia" w:ascii="宋体" w:hAnsi="宋体" w:eastAsia="方正仿宋简体" w:cs="方正仿宋简体"/>
          <w:b/>
          <w:bCs/>
          <w:color w:val="auto"/>
          <w:sz w:val="33"/>
          <w:szCs w:val="33"/>
          <w:lang w:val="en-US" w:eastAsia="zh-CN"/>
        </w:rPr>
      </w:pPr>
      <w:r>
        <w:rPr>
          <w:rFonts w:hint="eastAsia" w:ascii="宋体" w:hAnsi="宋体" w:eastAsia="方正仿宋简体" w:cs="方正仿宋简体"/>
          <w:b/>
          <w:bCs/>
          <w:color w:val="auto"/>
          <w:sz w:val="33"/>
          <w:szCs w:val="33"/>
          <w:lang w:val="en-US" w:eastAsia="zh-CN"/>
        </w:rPr>
        <w:t>3．支出按经济分类科目分析</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宋体" w:hAnsi="宋体" w:eastAsia="方正仿宋简体" w:cs="方正仿宋简体"/>
          <w:color w:val="auto"/>
          <w:sz w:val="33"/>
          <w:szCs w:val="33"/>
          <w:lang w:eastAsia="zh-CN"/>
        </w:rPr>
      </w:pPr>
      <w:r>
        <w:rPr>
          <w:rFonts w:hint="eastAsia" w:ascii="宋体" w:hAnsi="宋体" w:eastAsia="方正仿宋简体" w:cs="方正仿宋简体"/>
          <w:color w:val="auto"/>
          <w:sz w:val="33"/>
          <w:szCs w:val="33"/>
          <w:lang w:eastAsia="zh-CN"/>
        </w:rPr>
        <w:t>（1）“三公”经费支出情况：</w:t>
      </w:r>
    </w:p>
    <w:p>
      <w:pPr>
        <w:keepNext w:val="0"/>
        <w:keepLines w:val="0"/>
        <w:pageBreakBefore w:val="0"/>
        <w:widowControl w:val="0"/>
        <w:kinsoku/>
        <w:wordWrap/>
        <w:overflowPunct/>
        <w:topLinePunct w:val="0"/>
        <w:autoSpaceDE/>
        <w:autoSpaceDN/>
        <w:bidi w:val="0"/>
        <w:adjustRightInd/>
        <w:snapToGrid w:val="0"/>
        <w:spacing w:line="590" w:lineRule="exact"/>
        <w:ind w:firstLine="660" w:firstLineChars="200"/>
        <w:textAlignment w:val="auto"/>
        <w:rPr>
          <w:rFonts w:hint="eastAsia" w:ascii="宋体" w:hAnsi="宋体" w:eastAsia="方正仿宋简体" w:cs="方正仿宋简体"/>
          <w:sz w:val="33"/>
          <w:szCs w:val="33"/>
          <w:highlight w:val="none"/>
          <w:u w:val="none" w:color="auto"/>
          <w:lang w:val="en-US" w:eastAsia="zh-CN"/>
        </w:rPr>
      </w:pPr>
      <w:r>
        <w:rPr>
          <w:rFonts w:hint="eastAsia" w:ascii="宋体" w:hAnsi="宋体" w:eastAsia="方正仿宋简体" w:cs="方正仿宋简体"/>
          <w:sz w:val="33"/>
          <w:szCs w:val="33"/>
          <w:highlight w:val="none"/>
          <w:u w:val="none" w:color="auto"/>
          <w:lang w:val="en-US" w:eastAsia="zh-CN"/>
        </w:rPr>
        <w:t>2023年“三公经费”支出11.68万元，比2022年15.09万元减少3.41万元。减少原因主要为年底支付款项过多，未及时拨款。</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宋体" w:hAnsi="宋体" w:eastAsia="方正仿宋简体" w:cs="方正仿宋简体"/>
          <w:color w:val="auto"/>
          <w:sz w:val="33"/>
          <w:szCs w:val="33"/>
          <w:lang w:eastAsia="zh-CN"/>
        </w:rPr>
      </w:pPr>
      <w:r>
        <w:rPr>
          <w:rFonts w:hint="eastAsia" w:ascii="宋体" w:hAnsi="宋体" w:eastAsia="方正仿宋简体" w:cs="方正仿宋简体"/>
          <w:color w:val="auto"/>
          <w:sz w:val="33"/>
          <w:szCs w:val="33"/>
          <w:lang w:eastAsia="zh-CN"/>
        </w:rPr>
        <w:t>（2）会议费支出情况：</w:t>
      </w:r>
    </w:p>
    <w:p>
      <w:pPr>
        <w:keepNext w:val="0"/>
        <w:keepLines w:val="0"/>
        <w:pageBreakBefore w:val="0"/>
        <w:widowControl w:val="0"/>
        <w:kinsoku/>
        <w:wordWrap/>
        <w:overflowPunct/>
        <w:topLinePunct w:val="0"/>
        <w:autoSpaceDE/>
        <w:autoSpaceDN/>
        <w:bidi w:val="0"/>
        <w:adjustRightInd/>
        <w:snapToGrid w:val="0"/>
        <w:spacing w:line="590" w:lineRule="exact"/>
        <w:ind w:firstLine="660" w:firstLineChars="200"/>
        <w:textAlignment w:val="auto"/>
        <w:rPr>
          <w:rFonts w:hint="default" w:ascii="宋体" w:hAnsi="宋体" w:eastAsia="方正仿宋简体" w:cs="方正仿宋简体"/>
          <w:sz w:val="33"/>
          <w:szCs w:val="33"/>
          <w:highlight w:val="none"/>
          <w:u w:val="none" w:color="auto"/>
          <w:lang w:val="en-US" w:eastAsia="zh-CN"/>
        </w:rPr>
      </w:pPr>
      <w:r>
        <w:rPr>
          <w:rFonts w:hint="eastAsia" w:ascii="宋体" w:hAnsi="宋体" w:eastAsia="方正仿宋简体" w:cs="方正仿宋简体"/>
          <w:sz w:val="33"/>
          <w:szCs w:val="33"/>
          <w:highlight w:val="none"/>
          <w:u w:val="none" w:color="auto"/>
          <w:lang w:val="en-US" w:eastAsia="zh-CN"/>
        </w:rPr>
        <w:t>2023年会议费支出1.19万元，比2022年3万元减少1.8万元。减少原因主要为年底支付款项过多，未及时拨款。</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宋体" w:hAnsi="宋体" w:eastAsia="方正仿宋简体" w:cs="方正仿宋简体"/>
          <w:color w:val="auto"/>
          <w:sz w:val="33"/>
          <w:szCs w:val="33"/>
          <w:lang w:eastAsia="zh-CN"/>
        </w:rPr>
      </w:pPr>
      <w:r>
        <w:rPr>
          <w:rFonts w:hint="eastAsia" w:ascii="宋体" w:hAnsi="宋体" w:eastAsia="方正仿宋简体" w:cs="方正仿宋简体"/>
          <w:color w:val="auto"/>
          <w:sz w:val="33"/>
          <w:szCs w:val="33"/>
          <w:lang w:eastAsia="zh-CN"/>
        </w:rPr>
        <w:t>（3）培训费支出情况：</w:t>
      </w:r>
    </w:p>
    <w:p>
      <w:pPr>
        <w:keepNext w:val="0"/>
        <w:keepLines w:val="0"/>
        <w:pageBreakBefore w:val="0"/>
        <w:widowControl w:val="0"/>
        <w:kinsoku/>
        <w:wordWrap/>
        <w:overflowPunct/>
        <w:topLinePunct w:val="0"/>
        <w:autoSpaceDE/>
        <w:autoSpaceDN/>
        <w:bidi w:val="0"/>
        <w:adjustRightInd/>
        <w:snapToGrid w:val="0"/>
        <w:spacing w:line="590" w:lineRule="exact"/>
        <w:ind w:firstLine="660" w:firstLineChars="200"/>
        <w:textAlignment w:val="auto"/>
        <w:rPr>
          <w:rFonts w:hint="default" w:ascii="宋体" w:hAnsi="宋体" w:eastAsia="方正仿宋简体" w:cs="方正仿宋简体"/>
          <w:sz w:val="33"/>
          <w:szCs w:val="33"/>
          <w:highlight w:val="none"/>
          <w:u w:val="none" w:color="auto"/>
          <w:lang w:val="en-US" w:eastAsia="zh-CN"/>
        </w:rPr>
      </w:pPr>
      <w:r>
        <w:rPr>
          <w:rFonts w:hint="eastAsia" w:ascii="宋体" w:hAnsi="宋体" w:eastAsia="方正仿宋简体" w:cs="方正仿宋简体"/>
          <w:sz w:val="33"/>
          <w:szCs w:val="33"/>
          <w:highlight w:val="none"/>
          <w:u w:val="none" w:color="auto"/>
          <w:lang w:val="en-US" w:eastAsia="zh-CN"/>
        </w:rPr>
        <w:t>2023年培训费支出19.51万元，比2022年49.82万元减少30.31万元。减少原因主要为2023年培训规模较2022年减小。</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宋体" w:hAnsi="宋体" w:eastAsia="方正仿宋简体" w:cs="方正仿宋简体"/>
          <w:color w:val="auto"/>
          <w:sz w:val="33"/>
          <w:szCs w:val="33"/>
          <w:lang w:eastAsia="zh-CN"/>
        </w:rPr>
      </w:pPr>
      <w:r>
        <w:rPr>
          <w:rFonts w:hint="eastAsia" w:ascii="宋体" w:hAnsi="宋体" w:eastAsia="方正仿宋简体" w:cs="方正仿宋简体"/>
          <w:color w:val="auto"/>
          <w:sz w:val="33"/>
          <w:szCs w:val="33"/>
          <w:lang w:eastAsia="zh-CN"/>
        </w:rPr>
        <w:t>（</w:t>
      </w:r>
      <w:r>
        <w:rPr>
          <w:rFonts w:hint="eastAsia" w:ascii="宋体" w:hAnsi="宋体" w:eastAsia="方正仿宋简体" w:cs="方正仿宋简体"/>
          <w:color w:val="auto"/>
          <w:sz w:val="33"/>
          <w:szCs w:val="33"/>
          <w:lang w:val="en-US" w:eastAsia="zh-CN"/>
        </w:rPr>
        <w:t>4</w:t>
      </w:r>
      <w:r>
        <w:rPr>
          <w:rFonts w:hint="eastAsia" w:ascii="宋体" w:hAnsi="宋体" w:eastAsia="方正仿宋简体" w:cs="方正仿宋简体"/>
          <w:color w:val="auto"/>
          <w:sz w:val="33"/>
          <w:szCs w:val="33"/>
          <w:lang w:eastAsia="zh-CN"/>
        </w:rPr>
        <w:t>）其他对单位影响较大的支出情况：</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宋体" w:hAnsi="宋体" w:eastAsia="方正仿宋简体" w:cs="方正仿宋简体"/>
          <w:color w:val="auto"/>
          <w:sz w:val="33"/>
          <w:szCs w:val="33"/>
          <w:lang w:val="en-US" w:eastAsia="zh-CN"/>
        </w:rPr>
      </w:pPr>
      <w:r>
        <w:rPr>
          <w:rFonts w:hint="eastAsia" w:ascii="宋体" w:hAnsi="宋体" w:eastAsia="方正仿宋简体" w:cs="方正仿宋简体"/>
          <w:color w:val="auto"/>
          <w:sz w:val="33"/>
          <w:szCs w:val="33"/>
          <w:lang w:val="en-US" w:eastAsia="zh-CN"/>
        </w:rPr>
        <w:t>无。</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宋体" w:hAnsi="宋体" w:eastAsia="方正仿宋简体" w:cs="方正仿宋简体"/>
          <w:color w:val="auto"/>
          <w:sz w:val="33"/>
          <w:szCs w:val="33"/>
          <w:lang w:eastAsia="zh-CN"/>
        </w:rPr>
      </w:pPr>
      <w:r>
        <w:rPr>
          <w:rFonts w:hint="eastAsia" w:ascii="宋体" w:hAnsi="宋体" w:eastAsia="方正仿宋简体" w:cs="方正仿宋简体"/>
          <w:color w:val="auto"/>
          <w:sz w:val="33"/>
          <w:szCs w:val="33"/>
          <w:lang w:eastAsia="zh-CN"/>
        </w:rPr>
        <w:t>（</w:t>
      </w:r>
      <w:r>
        <w:rPr>
          <w:rFonts w:hint="eastAsia" w:ascii="宋体" w:hAnsi="宋体" w:eastAsia="方正仿宋简体" w:cs="方正仿宋简体"/>
          <w:color w:val="auto"/>
          <w:sz w:val="33"/>
          <w:szCs w:val="33"/>
          <w:lang w:val="en-US" w:eastAsia="zh-CN"/>
        </w:rPr>
        <w:t>5</w:t>
      </w:r>
      <w:r>
        <w:rPr>
          <w:rFonts w:hint="eastAsia" w:ascii="宋体" w:hAnsi="宋体" w:eastAsia="方正仿宋简体" w:cs="方正仿宋简体"/>
          <w:color w:val="auto"/>
          <w:sz w:val="33"/>
          <w:szCs w:val="33"/>
          <w:lang w:eastAsia="zh-CN"/>
        </w:rPr>
        <w:t>）重点经济分类支出中存在的问题及改进措施：</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sz w:val="33"/>
          <w:szCs w:val="33"/>
          <w:lang w:eastAsia="zh-CN"/>
        </w:rPr>
      </w:pPr>
      <w:r>
        <w:rPr>
          <w:rFonts w:hint="eastAsia" w:ascii="宋体" w:hAnsi="宋体" w:eastAsia="方正仿宋简体" w:cs="方正仿宋简体"/>
          <w:color w:val="auto"/>
          <w:sz w:val="33"/>
          <w:szCs w:val="33"/>
          <w:lang w:val="en-US" w:eastAsia="zh-CN"/>
        </w:rPr>
        <w:t>无。</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eastAsia" w:ascii="宋体" w:hAnsi="宋体" w:eastAsia="方正仿宋简体" w:cs="方正仿宋简体"/>
          <w:b/>
          <w:bCs/>
          <w:color w:val="auto"/>
          <w:sz w:val="33"/>
          <w:szCs w:val="33"/>
          <w:lang w:val="en-US" w:eastAsia="zh-CN"/>
        </w:rPr>
      </w:pPr>
      <w:r>
        <w:rPr>
          <w:rFonts w:hint="eastAsia" w:ascii="宋体" w:hAnsi="宋体" w:eastAsia="方正仿宋简体" w:cs="方正仿宋简体"/>
          <w:b/>
          <w:bCs/>
          <w:color w:val="auto"/>
          <w:sz w:val="33"/>
          <w:szCs w:val="33"/>
          <w:lang w:val="en-US" w:eastAsia="zh-CN"/>
        </w:rPr>
        <w:t>4.财政拨款收入、支出分析</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宋体" w:hAnsi="宋体" w:eastAsia="方正仿宋简体" w:cs="方正仿宋简体"/>
          <w:color w:val="auto"/>
          <w:sz w:val="33"/>
          <w:szCs w:val="33"/>
          <w:lang w:val="en-US" w:eastAsia="zh-CN"/>
        </w:rPr>
      </w:pPr>
      <w:r>
        <w:rPr>
          <w:rFonts w:hint="eastAsia" w:ascii="宋体" w:hAnsi="宋体" w:eastAsia="方正仿宋简体" w:cs="方正仿宋简体"/>
          <w:color w:val="auto"/>
          <w:sz w:val="33"/>
          <w:szCs w:val="33"/>
          <w:lang w:val="en-US" w:eastAsia="zh-CN"/>
        </w:rPr>
        <w:t>（1）基本支出方面</w:t>
      </w:r>
    </w:p>
    <w:p>
      <w:pPr>
        <w:keepNext w:val="0"/>
        <w:keepLines w:val="0"/>
        <w:pageBreakBefore w:val="0"/>
        <w:widowControl w:val="0"/>
        <w:kinsoku/>
        <w:wordWrap/>
        <w:overflowPunct/>
        <w:topLinePunct w:val="0"/>
        <w:autoSpaceDE/>
        <w:autoSpaceDN/>
        <w:bidi w:val="0"/>
        <w:adjustRightInd/>
        <w:snapToGrid w:val="0"/>
        <w:spacing w:line="590" w:lineRule="exact"/>
        <w:ind w:firstLine="660" w:firstLineChars="200"/>
        <w:textAlignment w:val="auto"/>
        <w:rPr>
          <w:rFonts w:hint="eastAsia" w:ascii="宋体" w:hAnsi="宋体" w:eastAsia="方正仿宋简体" w:cs="方正仿宋简体"/>
          <w:sz w:val="33"/>
          <w:szCs w:val="33"/>
          <w:highlight w:val="none"/>
          <w:u w:val="none" w:color="auto"/>
          <w:lang w:val="en-US" w:eastAsia="zh-CN"/>
        </w:rPr>
      </w:pPr>
      <w:r>
        <w:rPr>
          <w:rFonts w:hint="eastAsia" w:ascii="宋体" w:hAnsi="宋体" w:eastAsia="方正仿宋简体" w:cs="方正仿宋简体"/>
          <w:sz w:val="33"/>
          <w:szCs w:val="33"/>
          <w:highlight w:val="none"/>
          <w:u w:val="none" w:color="auto"/>
          <w:lang w:val="en-US" w:eastAsia="zh-CN"/>
        </w:rPr>
        <w:t>2023年基本支出共2366.95万元，其中：人员经费2014.01万元，包括人员基本工资、津贴补贴和养老保险、医疗保险、住房公积金单位部分等，占基本支出的85.09%；日常办公经费352.94万元，主要用于保障机关正常运转，占基本支出的14.91%。</w:t>
      </w:r>
    </w:p>
    <w:p>
      <w:pPr>
        <w:keepNext w:val="0"/>
        <w:keepLines w:val="0"/>
        <w:pageBreakBefore w:val="0"/>
        <w:widowControl w:val="0"/>
        <w:kinsoku/>
        <w:wordWrap/>
        <w:overflowPunct/>
        <w:topLinePunct w:val="0"/>
        <w:autoSpaceDE/>
        <w:autoSpaceDN/>
        <w:bidi w:val="0"/>
        <w:adjustRightInd/>
        <w:snapToGrid/>
        <w:spacing w:line="590" w:lineRule="exact"/>
        <w:ind w:firstLine="660" w:firstLineChars="200"/>
        <w:textAlignment w:val="auto"/>
        <w:rPr>
          <w:rFonts w:hint="eastAsia" w:ascii="宋体" w:hAnsi="宋体" w:eastAsia="方正仿宋简体" w:cs="方正仿宋简体"/>
          <w:color w:val="auto"/>
          <w:sz w:val="33"/>
          <w:szCs w:val="33"/>
          <w:lang w:val="en-US" w:eastAsia="zh-CN"/>
        </w:rPr>
      </w:pPr>
      <w:r>
        <w:rPr>
          <w:rFonts w:hint="eastAsia" w:ascii="宋体" w:hAnsi="宋体" w:eastAsia="方正仿宋简体" w:cs="方正仿宋简体"/>
          <w:color w:val="auto"/>
          <w:sz w:val="33"/>
          <w:szCs w:val="33"/>
          <w:lang w:val="en-US" w:eastAsia="zh-CN"/>
        </w:rPr>
        <w:t>（2）项目支出方面</w:t>
      </w:r>
    </w:p>
    <w:p>
      <w:pPr>
        <w:keepNext w:val="0"/>
        <w:keepLines w:val="0"/>
        <w:pageBreakBefore w:val="0"/>
        <w:widowControl w:val="0"/>
        <w:kinsoku/>
        <w:wordWrap/>
        <w:overflowPunct/>
        <w:topLinePunct w:val="0"/>
        <w:autoSpaceDE/>
        <w:autoSpaceDN/>
        <w:bidi w:val="0"/>
        <w:adjustRightInd/>
        <w:snapToGrid w:val="0"/>
        <w:spacing w:line="590" w:lineRule="exact"/>
        <w:ind w:firstLine="660" w:firstLineChars="200"/>
        <w:textAlignment w:val="auto"/>
        <w:rPr>
          <w:rFonts w:hint="eastAsia" w:ascii="宋体" w:hAnsi="宋体" w:eastAsia="方正仿宋简体" w:cs="方正仿宋简体"/>
          <w:sz w:val="33"/>
          <w:szCs w:val="33"/>
          <w:highlight w:val="none"/>
          <w:u w:val="none" w:color="auto"/>
          <w:lang w:val="en-US" w:eastAsia="zh-CN"/>
        </w:rPr>
      </w:pPr>
      <w:r>
        <w:rPr>
          <w:rFonts w:hint="eastAsia" w:ascii="宋体" w:hAnsi="宋体" w:eastAsia="方正仿宋简体" w:cs="方正仿宋简体"/>
          <w:sz w:val="33"/>
          <w:szCs w:val="33"/>
          <w:highlight w:val="none"/>
          <w:u w:val="none" w:color="auto"/>
          <w:lang w:val="en-US" w:eastAsia="zh-CN"/>
        </w:rPr>
        <w:t>2023年项目支出共577.68万元，主要用于保障县委各项巡察工作、乡镇（街道）谈话室建设、乐至县纪检监察干部团队执行力专题培训、乐至县基层治理大数据智慧监督平台建设、大案要案查处等工作顺利运转。</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eastAsia" w:ascii="宋体" w:hAnsi="宋体" w:eastAsia="方正仿宋简体" w:cs="方正仿宋简体"/>
          <w:b/>
          <w:bCs/>
          <w:color w:val="auto"/>
          <w:sz w:val="33"/>
          <w:szCs w:val="33"/>
          <w:lang w:val="en-US" w:eastAsia="zh-CN"/>
        </w:rPr>
      </w:pPr>
      <w:r>
        <w:rPr>
          <w:rFonts w:hint="eastAsia" w:ascii="宋体" w:hAnsi="宋体" w:eastAsia="方正仿宋简体" w:cs="方正仿宋简体"/>
          <w:b/>
          <w:bCs/>
          <w:color w:val="auto"/>
          <w:sz w:val="33"/>
          <w:szCs w:val="33"/>
          <w:lang w:val="en-US" w:eastAsia="zh-CN"/>
        </w:rPr>
        <w:t>5.非财政拨款收入分析</w:t>
      </w:r>
    </w:p>
    <w:p>
      <w:pPr>
        <w:keepNext w:val="0"/>
        <w:keepLines w:val="0"/>
        <w:pageBreakBefore w:val="0"/>
        <w:widowControl w:val="0"/>
        <w:kinsoku/>
        <w:wordWrap/>
        <w:overflowPunct/>
        <w:topLinePunct w:val="0"/>
        <w:autoSpaceDE/>
        <w:autoSpaceDN/>
        <w:bidi w:val="0"/>
        <w:adjustRightInd/>
        <w:snapToGrid w:val="0"/>
        <w:spacing w:line="590" w:lineRule="exact"/>
        <w:ind w:firstLine="660" w:firstLineChars="200"/>
        <w:textAlignment w:val="auto"/>
        <w:rPr>
          <w:rFonts w:hint="eastAsia" w:ascii="宋体" w:hAnsi="宋体" w:eastAsia="方正仿宋简体" w:cs="方正仿宋简体"/>
          <w:sz w:val="33"/>
          <w:szCs w:val="33"/>
          <w:highlight w:val="none"/>
          <w:u w:val="none" w:color="auto"/>
          <w:lang w:val="en-US" w:eastAsia="zh-CN"/>
        </w:rPr>
      </w:pPr>
      <w:r>
        <w:rPr>
          <w:rFonts w:hint="eastAsia" w:ascii="宋体" w:hAnsi="宋体" w:eastAsia="方正仿宋简体" w:cs="方正仿宋简体"/>
          <w:sz w:val="33"/>
          <w:szCs w:val="33"/>
          <w:highlight w:val="none"/>
          <w:u w:val="none" w:color="auto"/>
          <w:lang w:val="en-US" w:eastAsia="zh-CN"/>
        </w:rPr>
        <w:t>无。</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eastAsia" w:ascii="宋体" w:hAnsi="宋体" w:eastAsia="方正楷体简体" w:cs="方正楷体简体"/>
          <w:b/>
          <w:bCs/>
          <w:color w:val="auto"/>
          <w:sz w:val="33"/>
          <w:szCs w:val="33"/>
        </w:rPr>
      </w:pPr>
      <w:r>
        <w:rPr>
          <w:rFonts w:hint="eastAsia" w:ascii="宋体" w:hAnsi="宋体" w:eastAsia="方正楷体简体" w:cs="方正楷体简体"/>
          <w:b/>
          <w:bCs/>
          <w:color w:val="auto"/>
          <w:sz w:val="33"/>
          <w:szCs w:val="33"/>
        </w:rPr>
        <w:t>（三）年末结转和结余情况</w:t>
      </w:r>
      <w:bookmarkStart w:id="7" w:name="_GoBack"/>
      <w:bookmarkEnd w:id="7"/>
    </w:p>
    <w:p>
      <w:pPr>
        <w:keepNext w:val="0"/>
        <w:keepLines w:val="0"/>
        <w:pageBreakBefore w:val="0"/>
        <w:widowControl w:val="0"/>
        <w:kinsoku/>
        <w:wordWrap/>
        <w:overflowPunct/>
        <w:topLinePunct w:val="0"/>
        <w:autoSpaceDE/>
        <w:autoSpaceDN/>
        <w:bidi w:val="0"/>
        <w:adjustRightInd/>
        <w:snapToGrid w:val="0"/>
        <w:spacing w:line="590" w:lineRule="exact"/>
        <w:ind w:firstLine="660" w:firstLineChars="200"/>
        <w:textAlignment w:val="auto"/>
        <w:rPr>
          <w:rFonts w:hint="eastAsia" w:ascii="宋体" w:hAnsi="宋体" w:eastAsia="方正仿宋简体" w:cs="方正仿宋简体"/>
          <w:sz w:val="33"/>
          <w:szCs w:val="33"/>
          <w:highlight w:val="none"/>
          <w:u w:val="none" w:color="auto"/>
          <w:lang w:val="en-US" w:eastAsia="zh-CN"/>
        </w:rPr>
      </w:pPr>
      <w:bookmarkStart w:id="2" w:name="YS060103"/>
      <w:r>
        <w:rPr>
          <w:rFonts w:hint="eastAsia" w:ascii="宋体" w:hAnsi="宋体" w:eastAsia="方正仿宋简体" w:cs="方正仿宋简体"/>
          <w:sz w:val="33"/>
          <w:szCs w:val="33"/>
          <w:highlight w:val="none"/>
          <w:u w:val="none" w:color="auto"/>
          <w:lang w:val="en-US" w:eastAsia="zh-CN"/>
        </w:rPr>
        <w:t>无。</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eastAsia" w:ascii="宋体" w:hAnsi="宋体" w:eastAsia="方正楷体简体" w:cs="方正楷体简体"/>
          <w:b/>
          <w:bCs/>
          <w:color w:val="auto"/>
          <w:sz w:val="33"/>
          <w:szCs w:val="33"/>
        </w:rPr>
      </w:pPr>
      <w:r>
        <w:rPr>
          <w:rFonts w:hint="eastAsia" w:ascii="宋体" w:hAnsi="宋体" w:eastAsia="方正楷体简体" w:cs="方正楷体简体"/>
          <w:b/>
          <w:bCs/>
          <w:color w:val="auto"/>
          <w:sz w:val="33"/>
          <w:szCs w:val="33"/>
        </w:rPr>
        <w:t>（四）与预算支出相关的其他指标分析</w:t>
      </w:r>
    </w:p>
    <w:p>
      <w:pPr>
        <w:keepNext w:val="0"/>
        <w:keepLines w:val="0"/>
        <w:pageBreakBefore w:val="0"/>
        <w:widowControl w:val="0"/>
        <w:kinsoku/>
        <w:wordWrap/>
        <w:overflowPunct/>
        <w:topLinePunct w:val="0"/>
        <w:autoSpaceDE/>
        <w:autoSpaceDN/>
        <w:bidi w:val="0"/>
        <w:adjustRightInd/>
        <w:snapToGrid w:val="0"/>
        <w:spacing w:line="590" w:lineRule="exact"/>
        <w:ind w:firstLine="660" w:firstLineChars="200"/>
        <w:textAlignment w:val="auto"/>
        <w:rPr>
          <w:rFonts w:hint="default" w:ascii="宋体" w:hAnsi="宋体" w:eastAsia="方正仿宋简体" w:cs="方正仿宋简体"/>
          <w:sz w:val="33"/>
          <w:szCs w:val="33"/>
          <w:highlight w:val="none"/>
          <w:u w:val="none" w:color="auto"/>
          <w:lang w:val="en-US" w:eastAsia="zh-CN"/>
        </w:rPr>
      </w:pPr>
      <w:r>
        <w:rPr>
          <w:rFonts w:hint="eastAsia" w:ascii="宋体" w:hAnsi="宋体" w:eastAsia="方正仿宋简体" w:cs="方正仿宋简体"/>
          <w:sz w:val="33"/>
          <w:szCs w:val="33"/>
          <w:highlight w:val="none"/>
          <w:u w:val="none" w:color="auto"/>
          <w:lang w:val="en-US" w:eastAsia="zh-CN"/>
        </w:rPr>
        <w:t>根据资产负债表，我单位固定资产原值总额793.55万元，较2022年固定资产原值新增15.33万元，新增原因主要为补记以往年度漏记固定资产（文件柜、软件系统、门禁系统等）。</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eastAsia" w:ascii="宋体" w:hAnsi="宋体" w:eastAsia="方正楷体简体" w:cs="方正楷体简体"/>
          <w:b/>
          <w:bCs/>
          <w:color w:val="auto"/>
          <w:sz w:val="33"/>
          <w:szCs w:val="33"/>
        </w:rPr>
      </w:pPr>
      <w:r>
        <w:rPr>
          <w:rFonts w:hint="eastAsia" w:ascii="宋体" w:hAnsi="宋体" w:eastAsia="方正楷体简体" w:cs="方正楷体简体"/>
          <w:b/>
          <w:bCs/>
          <w:color w:val="auto"/>
          <w:sz w:val="33"/>
          <w:szCs w:val="33"/>
        </w:rPr>
        <w:t>（五）绩效目标完成情况</w:t>
      </w:r>
    </w:p>
    <w:p>
      <w:pPr>
        <w:keepNext w:val="0"/>
        <w:keepLines w:val="0"/>
        <w:pageBreakBefore w:val="0"/>
        <w:widowControl w:val="0"/>
        <w:kinsoku/>
        <w:wordWrap/>
        <w:overflowPunct/>
        <w:topLinePunct w:val="0"/>
        <w:autoSpaceDE/>
        <w:autoSpaceDN/>
        <w:bidi w:val="0"/>
        <w:adjustRightInd/>
        <w:snapToGrid w:val="0"/>
        <w:spacing w:line="590" w:lineRule="exact"/>
        <w:ind w:firstLine="660" w:firstLineChars="200"/>
        <w:textAlignment w:val="auto"/>
        <w:rPr>
          <w:rFonts w:hint="eastAsia" w:ascii="宋体" w:hAnsi="宋体" w:eastAsia="方正仿宋简体" w:cs="方正仿宋简体"/>
          <w:sz w:val="33"/>
          <w:szCs w:val="33"/>
          <w:highlight w:val="none"/>
          <w:u w:val="none" w:color="auto"/>
          <w:lang w:val="en-US" w:eastAsia="zh-CN"/>
        </w:rPr>
      </w:pPr>
      <w:r>
        <w:rPr>
          <w:rFonts w:hint="eastAsia" w:ascii="宋体" w:hAnsi="宋体" w:eastAsia="方正仿宋简体" w:cs="方正仿宋简体"/>
          <w:sz w:val="33"/>
          <w:szCs w:val="33"/>
          <w:highlight w:val="none"/>
          <w:u w:val="none" w:color="auto"/>
          <w:lang w:val="en-US" w:eastAsia="zh-CN"/>
        </w:rPr>
        <w:t>2023年乐至县纪委监委预算申报项目3个，全部编制了项目绩效目标，项目绩效目标编制率为100%。纳入一般公共预算项目3个，编制绩效指标30个。同时，对纳入预算安排的项目绩效目标全部实现了随部门预算“同步审批、同步批复、同步下达、同步公开”。</w:t>
      </w:r>
    </w:p>
    <w:p>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eastAsia" w:ascii="宋体" w:hAnsi="宋体" w:eastAsia="方正楷体简体" w:cs="方正楷体简体"/>
          <w:b/>
          <w:bCs/>
          <w:color w:val="auto"/>
          <w:sz w:val="33"/>
          <w:szCs w:val="33"/>
        </w:rPr>
      </w:pPr>
      <w:r>
        <w:rPr>
          <w:rFonts w:hint="eastAsia" w:ascii="宋体" w:hAnsi="宋体" w:eastAsia="方正楷体简体" w:cs="方正楷体简体"/>
          <w:b/>
          <w:bCs/>
          <w:color w:val="auto"/>
          <w:sz w:val="33"/>
          <w:szCs w:val="33"/>
          <w:lang w:eastAsia="zh-CN"/>
        </w:rPr>
        <w:t>（六）</w:t>
      </w:r>
      <w:r>
        <w:rPr>
          <w:rFonts w:hint="eastAsia" w:ascii="宋体" w:hAnsi="宋体" w:eastAsia="方正楷体简体" w:cs="方正楷体简体"/>
          <w:b/>
          <w:bCs/>
          <w:color w:val="auto"/>
          <w:sz w:val="33"/>
          <w:szCs w:val="33"/>
        </w:rPr>
        <w:t>当年预算执行及绩效管理中存在问题、原因及改进措施</w:t>
      </w:r>
    </w:p>
    <w:p>
      <w:pPr>
        <w:keepNext w:val="0"/>
        <w:keepLines w:val="0"/>
        <w:pageBreakBefore w:val="0"/>
        <w:widowControl w:val="0"/>
        <w:kinsoku/>
        <w:wordWrap/>
        <w:overflowPunct/>
        <w:topLinePunct w:val="0"/>
        <w:autoSpaceDE/>
        <w:autoSpaceDN/>
        <w:bidi w:val="0"/>
        <w:adjustRightInd/>
        <w:snapToGrid w:val="0"/>
        <w:spacing w:line="590" w:lineRule="exact"/>
        <w:ind w:firstLine="660" w:firstLineChars="200"/>
        <w:textAlignment w:val="auto"/>
        <w:rPr>
          <w:rFonts w:hint="eastAsia" w:ascii="宋体" w:hAnsi="宋体" w:eastAsia="方正仿宋简体" w:cs="方正仿宋简体"/>
          <w:sz w:val="33"/>
          <w:szCs w:val="33"/>
          <w:highlight w:val="none"/>
          <w:u w:val="none" w:color="auto"/>
          <w:lang w:val="en-US" w:eastAsia="zh-CN"/>
        </w:rPr>
      </w:pPr>
      <w:r>
        <w:rPr>
          <w:rFonts w:hint="eastAsia" w:ascii="宋体" w:hAnsi="宋体" w:eastAsia="方正仿宋简体" w:cs="方正仿宋简体"/>
          <w:sz w:val="33"/>
          <w:szCs w:val="33"/>
          <w:highlight w:val="none"/>
          <w:u w:val="none" w:color="auto"/>
          <w:lang w:val="en-US" w:eastAsia="zh-CN"/>
        </w:rPr>
        <w:t>无。</w:t>
      </w:r>
    </w:p>
    <w:bookmarkEnd w:id="2"/>
    <w:p>
      <w:pPr>
        <w:keepNext w:val="0"/>
        <w:keepLines w:val="0"/>
        <w:pageBreakBefore w:val="0"/>
        <w:widowControl w:val="0"/>
        <w:kinsoku/>
        <w:wordWrap/>
        <w:overflowPunct/>
        <w:topLinePunct w:val="0"/>
        <w:autoSpaceDE/>
        <w:autoSpaceDN/>
        <w:bidi w:val="0"/>
        <w:adjustRightInd/>
        <w:snapToGrid/>
        <w:spacing w:line="590" w:lineRule="exact"/>
        <w:ind w:firstLine="663" w:firstLineChars="200"/>
        <w:textAlignment w:val="auto"/>
        <w:rPr>
          <w:rFonts w:hint="eastAsia" w:ascii="宋体" w:hAnsi="宋体" w:eastAsia="方正楷体简体" w:cs="方正楷体简体"/>
          <w:b/>
          <w:bCs/>
          <w:color w:val="auto"/>
          <w:sz w:val="33"/>
          <w:szCs w:val="33"/>
        </w:rPr>
      </w:pPr>
      <w:bookmarkStart w:id="3" w:name="YS060104"/>
      <w:r>
        <w:rPr>
          <w:rFonts w:hint="eastAsia" w:ascii="宋体" w:hAnsi="宋体" w:eastAsia="方正楷体简体" w:cs="方正楷体简体"/>
          <w:b/>
          <w:bCs/>
          <w:color w:val="auto"/>
          <w:sz w:val="33"/>
          <w:szCs w:val="33"/>
        </w:rPr>
        <w:t>三、本年度部门决算等财务工作开展情况</w:t>
      </w:r>
    </w:p>
    <w:bookmarkEnd w:id="3"/>
    <w:p>
      <w:pPr>
        <w:keepNext w:val="0"/>
        <w:keepLines w:val="0"/>
        <w:pageBreakBefore w:val="0"/>
        <w:widowControl w:val="0"/>
        <w:kinsoku/>
        <w:wordWrap/>
        <w:overflowPunct/>
        <w:topLinePunct w:val="0"/>
        <w:autoSpaceDE/>
        <w:autoSpaceDN/>
        <w:bidi w:val="0"/>
        <w:adjustRightInd/>
        <w:snapToGrid w:val="0"/>
        <w:spacing w:line="590" w:lineRule="exact"/>
        <w:ind w:firstLine="660" w:firstLineChars="200"/>
        <w:textAlignment w:val="auto"/>
        <w:rPr>
          <w:rFonts w:hint="eastAsia" w:ascii="宋体" w:hAnsi="宋体" w:eastAsia="方正仿宋简体" w:cs="方正仿宋简体"/>
          <w:sz w:val="33"/>
          <w:szCs w:val="33"/>
          <w:highlight w:val="none"/>
          <w:u w:val="none" w:color="auto"/>
          <w:lang w:val="en-US" w:eastAsia="zh-CN"/>
        </w:rPr>
      </w:pPr>
      <w:r>
        <w:rPr>
          <w:rFonts w:hint="eastAsia" w:ascii="宋体" w:hAnsi="宋体" w:eastAsia="方正仿宋简体" w:cs="方正仿宋简体"/>
          <w:sz w:val="33"/>
          <w:szCs w:val="33"/>
          <w:highlight w:val="none"/>
          <w:u w:val="none" w:color="auto"/>
          <w:lang w:val="en-US" w:eastAsia="zh-CN"/>
        </w:rPr>
        <w:t>（一）在县级决算会议召开后，我委立即传达会议精神，着手准备年度决算工作，由会计负责编报、相关领导审核把关并上报。</w:t>
      </w:r>
    </w:p>
    <w:p>
      <w:pPr>
        <w:keepNext w:val="0"/>
        <w:keepLines w:val="0"/>
        <w:pageBreakBefore w:val="0"/>
        <w:widowControl w:val="0"/>
        <w:kinsoku/>
        <w:wordWrap/>
        <w:overflowPunct/>
        <w:topLinePunct w:val="0"/>
        <w:autoSpaceDE/>
        <w:autoSpaceDN/>
        <w:bidi w:val="0"/>
        <w:adjustRightInd/>
        <w:snapToGrid w:val="0"/>
        <w:spacing w:line="590" w:lineRule="exact"/>
        <w:ind w:firstLine="660" w:firstLineChars="200"/>
        <w:textAlignment w:val="auto"/>
        <w:rPr>
          <w:rFonts w:hint="eastAsia" w:ascii="宋体" w:hAnsi="宋体" w:eastAsia="方正仿宋简体" w:cs="方正仿宋简体"/>
          <w:sz w:val="33"/>
          <w:szCs w:val="33"/>
          <w:highlight w:val="none"/>
          <w:u w:val="none" w:color="auto"/>
          <w:lang w:val="en-US" w:eastAsia="zh-CN"/>
        </w:rPr>
      </w:pPr>
      <w:r>
        <w:rPr>
          <w:rFonts w:hint="eastAsia" w:ascii="宋体" w:hAnsi="宋体" w:eastAsia="方正仿宋简体" w:cs="方正仿宋简体"/>
          <w:sz w:val="33"/>
          <w:szCs w:val="33"/>
          <w:highlight w:val="none"/>
          <w:u w:val="none" w:color="auto"/>
          <w:lang w:val="en-US" w:eastAsia="zh-CN"/>
        </w:rPr>
        <w:t>（二）本部门决算公开工作，经财政部门按规定批复决算后，在规定时间内于乐至县人民政府网站重要信息公开栏目进行公开。</w:t>
      </w:r>
    </w:p>
    <w:p>
      <w:pPr>
        <w:keepNext w:val="0"/>
        <w:keepLines w:val="0"/>
        <w:pageBreakBefore w:val="0"/>
        <w:widowControl w:val="0"/>
        <w:kinsoku/>
        <w:wordWrap/>
        <w:overflowPunct/>
        <w:topLinePunct w:val="0"/>
        <w:autoSpaceDE/>
        <w:autoSpaceDN/>
        <w:bidi w:val="0"/>
        <w:adjustRightInd/>
        <w:snapToGrid w:val="0"/>
        <w:spacing w:line="590" w:lineRule="exact"/>
        <w:ind w:firstLine="660" w:firstLineChars="200"/>
        <w:textAlignment w:val="auto"/>
        <w:rPr>
          <w:rFonts w:hint="eastAsia" w:ascii="宋体" w:hAnsi="宋体" w:eastAsia="方正仿宋简体" w:cs="方正仿宋简体"/>
          <w:sz w:val="33"/>
          <w:szCs w:val="33"/>
          <w:highlight w:val="none"/>
          <w:u w:val="none" w:color="auto"/>
          <w:lang w:val="en-US" w:eastAsia="zh-CN"/>
        </w:rPr>
      </w:pPr>
      <w:r>
        <w:rPr>
          <w:rFonts w:hint="eastAsia" w:ascii="宋体" w:hAnsi="宋体" w:eastAsia="方正仿宋简体" w:cs="方正仿宋简体"/>
          <w:sz w:val="33"/>
          <w:szCs w:val="33"/>
          <w:highlight w:val="none"/>
          <w:u w:val="none" w:color="auto"/>
          <w:lang w:val="en-US" w:eastAsia="zh-CN"/>
        </w:rPr>
        <w:t>（三）建议加大对财政人员培训，鼓励推荐优秀人员到高等财经院校进行再深造，以利于开展今后财政工作。</w:t>
      </w:r>
    </w:p>
    <w:p>
      <w:pPr>
        <w:keepNext w:val="0"/>
        <w:keepLines w:val="0"/>
        <w:pageBreakBefore w:val="0"/>
        <w:widowControl w:val="0"/>
        <w:kinsoku/>
        <w:wordWrap/>
        <w:overflowPunct/>
        <w:topLinePunct w:val="0"/>
        <w:autoSpaceDE/>
        <w:autoSpaceDN/>
        <w:bidi w:val="0"/>
        <w:adjustRightInd/>
        <w:snapToGrid w:val="0"/>
        <w:spacing w:line="590" w:lineRule="exact"/>
        <w:ind w:firstLine="660" w:firstLineChars="200"/>
        <w:textAlignment w:val="auto"/>
        <w:rPr>
          <w:rFonts w:hint="eastAsia" w:ascii="仿宋_GB2312" w:hAnsi="仿宋" w:eastAsia="仿宋_GB2312"/>
          <w:sz w:val="32"/>
          <w:szCs w:val="32"/>
        </w:rPr>
      </w:pPr>
      <w:r>
        <w:rPr>
          <w:rFonts w:hint="eastAsia" w:ascii="宋体" w:hAnsi="宋体" w:eastAsia="方正仿宋简体" w:cs="方正仿宋简体"/>
          <w:sz w:val="33"/>
          <w:szCs w:val="33"/>
          <w:highlight w:val="none"/>
          <w:u w:val="none" w:color="auto"/>
          <w:lang w:val="en-US" w:eastAsia="zh-CN"/>
        </w:rPr>
        <w:t>附件：行政事业单位财务分析指标</w:t>
      </w:r>
      <w:r>
        <w:rPr>
          <w:rFonts w:hint="eastAsia" w:ascii="宋体" w:hAnsi="宋体" w:eastAsia="方正仿宋简体" w:cs="方正仿宋简体"/>
          <w:sz w:val="33"/>
          <w:szCs w:val="33"/>
          <w:highlight w:val="none"/>
          <w:u w:val="none" w:color="auto"/>
          <w:lang w:val="en-US" w:eastAsia="zh-CN"/>
        </w:rPr>
        <w:br w:type="page"/>
      </w:r>
      <w:r>
        <w:rPr>
          <w:rFonts w:hint="eastAsia" w:ascii="仿宋_GB2312" w:hAnsi="仿宋" w:eastAsia="仿宋_GB2312"/>
          <w:sz w:val="32"/>
          <w:szCs w:val="32"/>
        </w:rPr>
        <w:t>附：</w:t>
      </w:r>
    </w:p>
    <w:p>
      <w:pPr>
        <w:snapToGrid w:val="0"/>
        <w:ind w:firstLine="640" w:firstLineChars="200"/>
        <w:jc w:val="center"/>
        <w:rPr>
          <w:rFonts w:hint="eastAsia" w:ascii="华文中宋" w:hAnsi="华文中宋" w:eastAsia="华文中宋"/>
          <w:sz w:val="32"/>
          <w:szCs w:val="32"/>
        </w:rPr>
      </w:pPr>
      <w:bookmarkStart w:id="4" w:name="YS060200"/>
    </w:p>
    <w:p>
      <w:pPr>
        <w:snapToGrid w:val="0"/>
        <w:ind w:firstLine="640" w:firstLineChars="200"/>
        <w:jc w:val="center"/>
        <w:rPr>
          <w:rFonts w:hint="eastAsia" w:ascii="华文中宋" w:hAnsi="华文中宋" w:eastAsia="华文中宋"/>
          <w:sz w:val="32"/>
          <w:szCs w:val="32"/>
        </w:rPr>
      </w:pPr>
      <w:r>
        <w:rPr>
          <w:rFonts w:hint="eastAsia" w:ascii="华文中宋" w:hAnsi="华文中宋" w:eastAsia="华文中宋"/>
          <w:sz w:val="32"/>
          <w:szCs w:val="32"/>
        </w:rPr>
        <w:t>行政事业单位财务分析指标</w:t>
      </w:r>
    </w:p>
    <w:bookmarkEnd w:id="4"/>
    <w:p>
      <w:pPr>
        <w:snapToGrid w:val="0"/>
        <w:ind w:firstLine="640" w:firstLineChars="200"/>
        <w:rPr>
          <w:rFonts w:hint="eastAsia" w:ascii="仿宋_GB2312" w:hAnsi="仿宋" w:eastAsia="仿宋_GB2312"/>
          <w:sz w:val="32"/>
          <w:szCs w:val="32"/>
        </w:rPr>
      </w:pPr>
    </w:p>
    <w:p>
      <w:pPr>
        <w:snapToGrid w:val="0"/>
        <w:ind w:firstLine="640" w:firstLineChars="200"/>
        <w:rPr>
          <w:rFonts w:hint="eastAsia" w:ascii="黑体" w:hAnsi="黑体" w:eastAsia="黑体"/>
          <w:sz w:val="32"/>
          <w:szCs w:val="32"/>
        </w:rPr>
      </w:pPr>
      <w:bookmarkStart w:id="5" w:name="YS060201"/>
      <w:r>
        <w:rPr>
          <w:rFonts w:hint="eastAsia" w:ascii="黑体" w:hAnsi="黑体" w:eastAsia="黑体"/>
          <w:sz w:val="32"/>
          <w:szCs w:val="32"/>
        </w:rPr>
        <w:t>一、行政单位财务分析指标</w:t>
      </w:r>
    </w:p>
    <w:bookmarkEnd w:id="5"/>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1.支出增长率，衡量行政单位支出的增长水平。计算公式为：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支出增长率＝(本期支出总额÷上期支出总额-1)×100%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2.当年预算支出完成率，衡量行政单位当年支出总预算及分项预算完成的程度。计算公式为：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当年预算支出完成率＝年终执行数÷全年预算数×100%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年终执行数不含上年结转和结余支出数。</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3.人均开支，衡量行政单位人均年消耗经费水平。计算公式为：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人均开支＝本期支出数÷本期平均在职人员数×100%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4.项目支出占总支出的比率，衡量行政单位的支出结构。计算公式为：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项目支出比率=本期项目支出数÷本期支出总数×100%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5.人员支出、公用支出占总支出的比率，衡量行政单位的支出结构。计算公式为：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人员支出比率=本期人员支出数÷本期支出总数×100%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公用支出比率=本期公用支出数÷本期支出总数×100%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6.人均办公使用面积，衡量行政单位办公用房配备情况。计算公式为：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人均办公使用面积=本期末单位办公用房使用面积÷本期末在职人员数</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7.人车比例，衡量行政单位公务用车配备情况。计算公式为：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人车比例=本期末在职人员数÷本期末公务用车实有数</w:t>
      </w:r>
    </w:p>
    <w:p>
      <w:pPr>
        <w:snapToGrid w:val="0"/>
        <w:ind w:firstLine="640" w:firstLineChars="200"/>
        <w:rPr>
          <w:rFonts w:hint="eastAsia" w:ascii="仿宋_GB2312" w:hAnsi="仿宋" w:eastAsia="仿宋_GB2312"/>
          <w:sz w:val="32"/>
          <w:szCs w:val="32"/>
        </w:rPr>
      </w:pPr>
    </w:p>
    <w:p>
      <w:pPr>
        <w:snapToGrid w:val="0"/>
        <w:ind w:firstLine="640" w:firstLineChars="200"/>
        <w:rPr>
          <w:rFonts w:hint="eastAsia" w:ascii="黑体" w:hAnsi="黑体" w:eastAsia="黑体"/>
          <w:sz w:val="32"/>
          <w:szCs w:val="32"/>
        </w:rPr>
      </w:pPr>
      <w:bookmarkStart w:id="6" w:name="YS060202"/>
      <w:r>
        <w:rPr>
          <w:rFonts w:hint="eastAsia" w:ascii="黑体" w:hAnsi="黑体" w:eastAsia="黑体"/>
          <w:sz w:val="32"/>
          <w:szCs w:val="32"/>
        </w:rPr>
        <w:t>二、事业单位财务分析指标</w:t>
      </w:r>
    </w:p>
    <w:bookmarkEnd w:id="6"/>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1.预算收入和支出完成率，衡量事业单位收入和支出总预算及分项预算完成的程度。计算公式为：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预算收入完成率＝年终执行数÷全年预算数×100%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年终执行数不含上年结转和结余收入数</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预算支出完成率＝年终执行数÷全年预算数×100%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年终执行数不含上年结转和结余支出数</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2.人员支出、公用支出占事业支出的比率，衡量事业单位事业支出结构。计算公式为：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人员支出比率＝人员支出÷事业支出×100%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公用支出比率＝公用支出÷事业支出×100%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3.人均基本支出，衡量事业单位按照实际在编人数平均的基本支出水平。计算公式为：</w:t>
      </w:r>
    </w:p>
    <w:p>
      <w:pPr>
        <w:snapToGrid w:val="0"/>
        <w:ind w:firstLine="640" w:firstLineChars="200"/>
        <w:rPr>
          <w:rFonts w:hint="eastAsia" w:ascii="仿宋_GB2312" w:hAnsi="仿宋" w:eastAsia="仿宋_GB2312"/>
          <w:b/>
          <w:sz w:val="32"/>
          <w:szCs w:val="32"/>
        </w:rPr>
      </w:pPr>
      <w:r>
        <w:rPr>
          <w:rFonts w:hint="eastAsia" w:ascii="仿宋_GB2312" w:hAnsi="仿宋" w:eastAsia="仿宋_GB2312"/>
          <w:sz w:val="32"/>
          <w:szCs w:val="32"/>
        </w:rPr>
        <w:t>人均基本支出＝（基本支出-离退休人员支出）÷实际在编人数</w:t>
      </w:r>
    </w:p>
    <w:p>
      <w:pPr>
        <w:snapToGrid w:val="0"/>
        <w:ind w:firstLine="640" w:firstLineChars="200"/>
        <w:rPr>
          <w:rFonts w:hint="eastAsia" w:ascii="仿宋_GB2312" w:hAnsi="仿宋" w:eastAsia="仿宋_GB2312"/>
          <w:sz w:val="32"/>
          <w:szCs w:val="32"/>
        </w:rPr>
      </w:pP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此外，行业事业单位还可根据相关财务制度规定和分析需要增加相关分析指标，如：</w:t>
      </w:r>
    </w:p>
    <w:p>
      <w:pPr>
        <w:ind w:firstLine="707" w:firstLineChars="221"/>
        <w:rPr>
          <w:rFonts w:hint="eastAsia" w:ascii="仿宋_GB2312" w:hAnsi="仿宋" w:eastAsia="仿宋_GB2312"/>
          <w:sz w:val="32"/>
          <w:szCs w:val="32"/>
        </w:rPr>
      </w:pPr>
      <w:r>
        <w:rPr>
          <w:rFonts w:hint="eastAsia" w:ascii="仿宋_GB2312" w:hAnsi="仿宋" w:eastAsia="仿宋_GB2312"/>
          <w:sz w:val="32"/>
          <w:szCs w:val="32"/>
        </w:rPr>
        <w:t>1.财政拨款依存度, 衡量部门（单位）对财政拨款的依赖程度。</w:t>
      </w:r>
    </w:p>
    <w:p>
      <w:pPr>
        <w:widowControl/>
        <w:ind w:firstLine="640" w:firstLineChars="200"/>
        <w:textAlignment w:val="center"/>
        <w:rPr>
          <w:rFonts w:hint="eastAsia" w:ascii="仿宋_GB2312" w:hAnsi="仿宋" w:eastAsia="仿宋_GB2312"/>
          <w:sz w:val="32"/>
          <w:szCs w:val="32"/>
        </w:rPr>
      </w:pPr>
      <w:r>
        <w:rPr>
          <w:rFonts w:hint="eastAsia" w:ascii="仿宋_GB2312" w:hAnsi="仿宋" w:eastAsia="仿宋_GB2312"/>
          <w:sz w:val="32"/>
          <w:szCs w:val="32"/>
        </w:rPr>
        <w:t>财政拨款依存度＝财政拨款收入÷收入总额×100%</w:t>
      </w:r>
    </w:p>
    <w:p/>
    <w:sectPr>
      <w:footerReference r:id="rId3" w:type="default"/>
      <w:pgSz w:w="11906" w:h="16838"/>
      <w:pgMar w:top="2098"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Arial" w:hAnsi="Arial" w:cs="Arial"/>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-98425</wp:posOffset>
              </wp:positionV>
              <wp:extent cx="870585" cy="2362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870585" cy="2362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7.75pt;height:18.6pt;width:68.55pt;mso-position-horizontal-relative:margin;z-index:251659264;mso-width-relative:page;mso-height-relative:page;" filled="f" stroked="f" coordsize="21600,21600" o:gfxdata="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rFbRHWAAAABwEAAA8AAAAAAAAAAQAgAAAAIgAAAGRycy9kb3ducmV2&#10;LnhtbFBLAQIUABQAAAAIAIdO4kAaZuqwNwIAAGEEAAAOAAAAAAAAAAEAIAAAACUBAABkcnMvZTJv&#10;RG9jLnhtbFBLBQYAAAAABgAGAFkBAADOBQ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5NmEwZjQzYzhjODQ1OTdlZWM1YmY2NjI3NmVkMWIifQ=="/>
  </w:docVars>
  <w:rsids>
    <w:rsidRoot w:val="00767A89"/>
    <w:rsid w:val="00767A89"/>
    <w:rsid w:val="08E77E2B"/>
    <w:rsid w:val="09980930"/>
    <w:rsid w:val="0CB60FD4"/>
    <w:rsid w:val="0D6D4F83"/>
    <w:rsid w:val="161D5BD2"/>
    <w:rsid w:val="1F8027F3"/>
    <w:rsid w:val="23940548"/>
    <w:rsid w:val="327F20B3"/>
    <w:rsid w:val="356C0B3B"/>
    <w:rsid w:val="47C31126"/>
    <w:rsid w:val="4B46143A"/>
    <w:rsid w:val="576566B3"/>
    <w:rsid w:val="6CB84CFA"/>
    <w:rsid w:val="70F16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章标题"/>
    <w:basedOn w:val="1"/>
    <w:next w:val="3"/>
    <w:autoRedefine/>
    <w:qFormat/>
    <w:uiPriority w:val="0"/>
    <w:pPr>
      <w:widowControl/>
      <w:spacing w:line="323" w:lineRule="atLeast"/>
      <w:ind w:right="-120"/>
      <w:jc w:val="center"/>
      <w:textAlignment w:val="baseline"/>
    </w:pPr>
    <w:rPr>
      <w:color w:val="FF0000"/>
      <w:sz w:val="18"/>
    </w:rPr>
  </w:style>
  <w:style w:type="paragraph" w:customStyle="1" w:styleId="3">
    <w:name w:val="节标题"/>
    <w:basedOn w:val="1"/>
    <w:next w:val="1"/>
    <w:autoRedefine/>
    <w:qFormat/>
    <w:uiPriority w:val="0"/>
    <w:pPr>
      <w:widowControl/>
      <w:spacing w:line="289" w:lineRule="atLeast"/>
      <w:jc w:val="center"/>
      <w:textAlignment w:val="baseline"/>
    </w:pPr>
    <w:rPr>
      <w:color w:val="000000"/>
      <w:sz w:val="2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2024-03-13T01:47:00Z</dcterms:created>
  <dc:creator>王雅云</dc:creator>
  <cp:lastModifiedBy>王雅云</cp:lastModifiedBy>
  <dcterms:modified xsi:type="dcterms:W3CDTF">2024-03-13T05:08:59Z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2D939F60793B4CD7A856C76262514F69_11</vt:lpwstr>
  </property>
</Properties>
</file>