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77193"/>
      <w:bookmarkStart w:id="2" w:name="_Toc15377425"/>
      <w:bookmarkStart w:id="3" w:name="_Toc15396475"/>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7426"/>
      <w:bookmarkStart w:id="8" w:name="_Toc15378442"/>
      <w:bookmarkStart w:id="9" w:name="_Toc15396476"/>
      <w:bookmarkStart w:id="10" w:name="_Toc15377194"/>
      <w:r>
        <w:rPr>
          <w:rFonts w:hint="eastAsia" w:ascii="方正小标宋简体" w:hAnsi="方正小标宋简体" w:eastAsia="方正小标宋简体" w:cs="方正小标宋简体"/>
          <w:sz w:val="72"/>
          <w:szCs w:val="72"/>
        </w:rPr>
        <w:t>四川省***</w:t>
      </w:r>
      <w:bookmarkEnd w:id="5"/>
      <w:bookmarkStart w:id="11" w:name="_Toc15306268"/>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r>
        <w:rPr>
          <w:rFonts w:hint="eastAsia" w:ascii="方正小标宋简体" w:hAnsi="宋体" w:eastAsia="方正小标宋简体"/>
          <w:sz w:val="52"/>
          <w:szCs w:val="52"/>
          <w:highlight w:val="yellow"/>
        </w:rPr>
        <w:t>(部门公开范本)</w:t>
      </w:r>
    </w:p>
    <w:p>
      <w:pPr>
        <w:pStyle w:val="6"/>
        <w:spacing w:before="93"/>
      </w:pPr>
      <w:r>
        <w:rPr>
          <w:rFonts w:hint="eastAsia" w:eastAsia="仿宋"/>
          <w:bCs/>
          <w:i/>
          <w:color w:val="000000"/>
          <w:sz w:val="32"/>
          <w:szCs w:val="32"/>
          <w:highlight w:val="yellow"/>
        </w:rPr>
        <w:t>单位</w:t>
      </w:r>
      <w:r>
        <w:rPr>
          <w:rFonts w:eastAsia="仿宋"/>
          <w:bCs/>
          <w:i/>
          <w:color w:val="000000"/>
          <w:sz w:val="32"/>
          <w:szCs w:val="32"/>
          <w:highlight w:val="yellow"/>
        </w:rPr>
        <w:t>决算公开注意事项： 1、在完</w:t>
      </w:r>
      <w:r>
        <w:rPr>
          <w:rFonts w:hint="eastAsia" w:eastAsia="仿宋"/>
          <w:bCs/>
          <w:i/>
          <w:color w:val="000000"/>
          <w:sz w:val="32"/>
          <w:szCs w:val="32"/>
          <w:highlight w:val="yellow"/>
        </w:rPr>
        <w:t>成</w:t>
      </w:r>
      <w:r>
        <w:rPr>
          <w:rFonts w:eastAsia="仿宋"/>
          <w:bCs/>
          <w:i/>
          <w:color w:val="000000"/>
          <w:sz w:val="32"/>
          <w:szCs w:val="32"/>
          <w:highlight w:val="yellow"/>
        </w:rPr>
        <w:t>部门决算编制说明后，务必删除文字中斜体字部分</w:t>
      </w:r>
      <w:r>
        <w:rPr>
          <w:rFonts w:hint="eastAsia" w:eastAsia="仿宋"/>
          <w:bCs/>
          <w:i/>
          <w:color w:val="000000"/>
          <w:sz w:val="32"/>
          <w:szCs w:val="32"/>
          <w:highlight w:val="yellow"/>
        </w:rPr>
        <w:t>，同时取消黄色标示</w:t>
      </w:r>
      <w:r>
        <w:rPr>
          <w:rFonts w:eastAsia="仿宋"/>
          <w:bCs/>
          <w:i/>
          <w:color w:val="000000"/>
          <w:sz w:val="32"/>
          <w:szCs w:val="32"/>
          <w:highlight w:val="yellow"/>
        </w:rPr>
        <w:t>。2</w:t>
      </w:r>
      <w:r>
        <w:rPr>
          <w:rFonts w:hint="eastAsia" w:eastAsia="仿宋"/>
          <w:bCs/>
          <w:i/>
          <w:color w:val="000000"/>
          <w:sz w:val="32"/>
          <w:szCs w:val="32"/>
          <w:highlight w:val="yellow"/>
        </w:rPr>
        <w:t>、</w:t>
      </w:r>
      <w:r>
        <w:rPr>
          <w:rFonts w:eastAsia="仿宋"/>
          <w:b/>
          <w:bCs/>
          <w:i/>
          <w:color w:val="000000"/>
          <w:sz w:val="32"/>
          <w:szCs w:val="32"/>
          <w:highlight w:val="yellow"/>
        </w:rPr>
        <w:t>金额数值应当保留两位小数</w:t>
      </w:r>
      <w:r>
        <w:rPr>
          <w:rFonts w:eastAsia="仿宋"/>
          <w:bCs/>
          <w:i/>
          <w:color w:val="000000"/>
          <w:sz w:val="32"/>
          <w:szCs w:val="32"/>
          <w:highlight w:val="yellow"/>
        </w:rPr>
        <w:t>，如末位为0不需保留小数位（正确格式如：1000万元，100.3万元，1000.32万元，0万元）；</w:t>
      </w:r>
      <w:r>
        <w:rPr>
          <w:rFonts w:eastAsia="仿宋"/>
          <w:b/>
          <w:bCs/>
          <w:i/>
          <w:color w:val="000000"/>
          <w:sz w:val="32"/>
          <w:szCs w:val="32"/>
          <w:highlight w:val="yellow"/>
        </w:rPr>
        <w:t>百分比应当保留1位小数，</w:t>
      </w:r>
      <w:r>
        <w:rPr>
          <w:rFonts w:eastAsia="仿宋"/>
          <w:bCs/>
          <w:i/>
          <w:color w:val="000000"/>
          <w:sz w:val="32"/>
          <w:szCs w:val="32"/>
          <w:highlight w:val="yellow"/>
        </w:rPr>
        <w:t>如末位为0需保留（正确格式如：18.0%、15.5%、0.0%）；3、公开表中的数据是软件简单收舍后的金额，单位</w:t>
      </w:r>
      <w:r>
        <w:rPr>
          <w:rFonts w:hint="eastAsia" w:eastAsia="仿宋"/>
          <w:bCs/>
          <w:i/>
          <w:color w:val="000000"/>
          <w:sz w:val="32"/>
          <w:szCs w:val="32"/>
          <w:highlight w:val="yellow"/>
        </w:rPr>
        <w:t>可</w:t>
      </w:r>
      <w:r>
        <w:rPr>
          <w:rFonts w:eastAsia="仿宋"/>
          <w:bCs/>
          <w:i/>
          <w:color w:val="000000"/>
          <w:sz w:val="32"/>
          <w:szCs w:val="32"/>
          <w:highlight w:val="yellow"/>
        </w:rPr>
        <w:t>自行调整尾差确保表内平衡。4、财政返回</w:t>
      </w:r>
      <w:r>
        <w:rPr>
          <w:rFonts w:hint="eastAsia" w:eastAsia="仿宋"/>
          <w:bCs/>
          <w:i/>
          <w:color w:val="000000"/>
          <w:sz w:val="32"/>
          <w:szCs w:val="32"/>
          <w:highlight w:val="yellow"/>
        </w:rPr>
        <w:t>各单位</w:t>
      </w:r>
      <w:r>
        <w:rPr>
          <w:rFonts w:eastAsia="仿宋"/>
          <w:bCs/>
          <w:i/>
          <w:color w:val="000000"/>
          <w:sz w:val="32"/>
          <w:szCs w:val="32"/>
          <w:highlight w:val="yellow"/>
        </w:rPr>
        <w:t>的公开表中</w:t>
      </w:r>
      <w:r>
        <w:rPr>
          <w:rFonts w:hint="eastAsia" w:eastAsia="仿宋"/>
          <w:bCs/>
          <w:i/>
          <w:color w:val="000000"/>
          <w:sz w:val="32"/>
          <w:szCs w:val="32"/>
          <w:highlight w:val="yellow"/>
        </w:rPr>
        <w:t>，</w:t>
      </w:r>
      <w:r>
        <w:rPr>
          <w:rFonts w:eastAsia="仿宋"/>
          <w:bCs/>
          <w:i/>
          <w:color w:val="000000"/>
          <w:sz w:val="32"/>
          <w:szCs w:val="32"/>
          <w:highlight w:val="yellow"/>
        </w:rPr>
        <w:t>没有数据的公开表需在表内</w:t>
      </w:r>
      <w:r>
        <w:rPr>
          <w:rFonts w:eastAsia="仿宋"/>
          <w:b/>
          <w:i/>
          <w:color w:val="000000"/>
          <w:sz w:val="32"/>
          <w:szCs w:val="32"/>
          <w:highlight w:val="yellow"/>
        </w:rPr>
        <w:t>注明“本表无数据”</w:t>
      </w:r>
      <w:r>
        <w:rPr>
          <w:rFonts w:hint="eastAsia" w:eastAsia="仿宋"/>
          <w:bCs/>
          <w:i/>
          <w:color w:val="000000"/>
          <w:sz w:val="32"/>
          <w:szCs w:val="32"/>
          <w:highlight w:val="yellow"/>
        </w:rPr>
        <w:t>，且</w:t>
      </w:r>
      <w:r>
        <w:rPr>
          <w:rFonts w:hint="eastAsia" w:eastAsia="仿宋"/>
          <w:b/>
          <w:bCs/>
          <w:i/>
          <w:color w:val="000000"/>
          <w:sz w:val="32"/>
          <w:szCs w:val="32"/>
          <w:highlight w:val="yellow"/>
        </w:rPr>
        <w:t>表内数据一律不准修改</w:t>
      </w:r>
      <w:r>
        <w:rPr>
          <w:rFonts w:eastAsia="仿宋"/>
          <w:bCs/>
          <w:i/>
          <w:color w:val="000000"/>
          <w:sz w:val="32"/>
          <w:szCs w:val="32"/>
          <w:highlight w:val="yellow"/>
        </w:rPr>
        <w:t>。5、</w:t>
      </w:r>
      <w:r>
        <w:rPr>
          <w:rFonts w:hint="eastAsia" w:eastAsia="仿宋"/>
          <w:bCs/>
          <w:i/>
          <w:color w:val="000000"/>
          <w:sz w:val="32"/>
          <w:szCs w:val="32"/>
          <w:highlight w:val="yellow"/>
        </w:rPr>
        <w:t>各单位的部门决算在乐至县人民政府网站自行公开（</w:t>
      </w:r>
      <w:r>
        <w:fldChar w:fldCharType="begin"/>
      </w:r>
      <w:r>
        <w:instrText xml:space="preserve"> HYPERLINK "http://www.lezhi.gov.cn/" </w:instrText>
      </w:r>
      <w:r>
        <w:fldChar w:fldCharType="separate"/>
      </w:r>
      <w:r>
        <w:rPr>
          <w:rStyle w:val="18"/>
          <w:highlight w:val="yellow"/>
        </w:rPr>
        <w:t>乐至县人民政府 (lezhi.gov.cn)</w:t>
      </w:r>
      <w:r>
        <w:rPr>
          <w:rStyle w:val="18"/>
          <w:highlight w:val="yellow"/>
        </w:rPr>
        <w:fldChar w:fldCharType="end"/>
      </w:r>
      <w:r>
        <w:rPr>
          <w:rFonts w:hint="eastAsia" w:eastAsia="仿宋"/>
          <w:bCs/>
          <w:i/>
          <w:color w:val="000000"/>
          <w:sz w:val="32"/>
          <w:szCs w:val="32"/>
          <w:highlight w:val="yellow"/>
        </w:rPr>
        <w:t xml:space="preserve">）。 </w:t>
      </w:r>
      <w:r>
        <w:rPr>
          <w:rFonts w:eastAsia="仿宋"/>
          <w:bCs/>
          <w:i/>
          <w:color w:val="000000"/>
          <w:sz w:val="32"/>
          <w:szCs w:val="32"/>
          <w:highlight w:val="yellow"/>
        </w:rPr>
        <w:t>6、在编辑好文字后，</w:t>
      </w:r>
      <w:r>
        <w:rPr>
          <w:rFonts w:hint="eastAsia" w:eastAsia="仿宋"/>
          <w:bCs/>
          <w:i/>
          <w:color w:val="000000"/>
          <w:sz w:val="32"/>
          <w:szCs w:val="32"/>
          <w:highlight w:val="yellow"/>
        </w:rPr>
        <w:t>请务必</w:t>
      </w:r>
      <w:r>
        <w:rPr>
          <w:rFonts w:eastAsia="仿宋"/>
          <w:bCs/>
          <w:i/>
          <w:color w:val="000000"/>
          <w:sz w:val="32"/>
          <w:szCs w:val="32"/>
          <w:highlight w:val="yellow"/>
        </w:rPr>
        <w:t>核实目录中页码是否正确</w:t>
      </w:r>
      <w:r>
        <w:rPr>
          <w:rFonts w:hint="eastAsia" w:eastAsia="仿宋"/>
          <w:bCs/>
          <w:i/>
          <w:color w:val="000000"/>
          <w:sz w:val="32"/>
          <w:szCs w:val="32"/>
          <w:highlight w:val="yellow"/>
        </w:rPr>
        <w:t>，排版格式是否符合公文标准</w:t>
      </w:r>
      <w:r>
        <w:rPr>
          <w:rFonts w:eastAsia="仿宋"/>
          <w:bCs/>
          <w:i/>
          <w:color w:val="000000"/>
          <w:sz w:val="32"/>
          <w:szCs w:val="32"/>
          <w:highlight w:val="yellow"/>
        </w:rPr>
        <w:t>。7、</w:t>
      </w:r>
      <w:r>
        <w:rPr>
          <w:rFonts w:hint="eastAsia" w:eastAsia="仿宋"/>
          <w:bCs/>
          <w:i/>
          <w:color w:val="000000"/>
          <w:sz w:val="32"/>
          <w:szCs w:val="32"/>
          <w:highlight w:val="yellow"/>
        </w:rPr>
        <w:t>单位决算编制说明WORD文档名统一为“</w:t>
      </w:r>
      <w:r>
        <w:rPr>
          <w:rFonts w:eastAsia="仿宋"/>
          <w:bCs/>
          <w:i/>
          <w:color w:val="000000"/>
          <w:sz w:val="32"/>
          <w:szCs w:val="32"/>
          <w:highlight w:val="yellow"/>
        </w:rPr>
        <w:t>***</w:t>
      </w:r>
      <w:r>
        <w:rPr>
          <w:rFonts w:hint="eastAsia" w:eastAsia="仿宋"/>
          <w:bCs/>
          <w:i/>
          <w:color w:val="000000"/>
          <w:sz w:val="32"/>
          <w:szCs w:val="32"/>
          <w:highlight w:val="yellow"/>
        </w:rPr>
        <w:t>（单位名称）202</w:t>
      </w:r>
      <w:r>
        <w:rPr>
          <w:rFonts w:eastAsia="仿宋"/>
          <w:bCs/>
          <w:i/>
          <w:color w:val="000000"/>
          <w:sz w:val="32"/>
          <w:szCs w:val="32"/>
          <w:highlight w:val="yellow"/>
        </w:rPr>
        <w:t>2</w:t>
      </w:r>
      <w:r>
        <w:rPr>
          <w:rFonts w:hint="eastAsia" w:eastAsia="仿宋"/>
          <w:bCs/>
          <w:i/>
          <w:color w:val="000000"/>
          <w:sz w:val="32"/>
          <w:szCs w:val="32"/>
          <w:highlight w:val="yellow"/>
        </w:rPr>
        <w:t>年度决算公开说明”；决算公开表EXCEL电子表名统一为“</w:t>
      </w:r>
      <w:r>
        <w:rPr>
          <w:rFonts w:eastAsia="仿宋"/>
          <w:bCs/>
          <w:i/>
          <w:color w:val="000000"/>
          <w:sz w:val="32"/>
          <w:szCs w:val="32"/>
          <w:highlight w:val="yellow"/>
        </w:rPr>
        <w:t>***</w:t>
      </w:r>
      <w:r>
        <w:rPr>
          <w:rFonts w:hint="eastAsia" w:eastAsia="仿宋"/>
          <w:bCs/>
          <w:i/>
          <w:color w:val="000000"/>
          <w:sz w:val="32"/>
          <w:szCs w:val="32"/>
          <w:highlight w:val="yellow"/>
        </w:rPr>
        <w:t>（单位名称）202</w:t>
      </w:r>
      <w:r>
        <w:rPr>
          <w:rFonts w:eastAsia="仿宋"/>
          <w:bCs/>
          <w:i/>
          <w:color w:val="000000"/>
          <w:sz w:val="32"/>
          <w:szCs w:val="32"/>
          <w:highlight w:val="yellow"/>
        </w:rPr>
        <w:t>2</w:t>
      </w:r>
      <w:r>
        <w:rPr>
          <w:rFonts w:hint="eastAsia" w:eastAsia="仿宋"/>
          <w:bCs/>
          <w:i/>
          <w:color w:val="000000"/>
          <w:sz w:val="32"/>
          <w:szCs w:val="32"/>
          <w:highlight w:val="yellow"/>
        </w:rPr>
        <w:t>年度决算公开表”。</w:t>
      </w:r>
      <w:r>
        <w:rPr>
          <w:rFonts w:eastAsia="仿宋"/>
          <w:bCs/>
          <w:i/>
          <w:color w:val="000000"/>
          <w:sz w:val="32"/>
          <w:szCs w:val="32"/>
          <w:highlight w:val="yellow"/>
        </w:rPr>
        <w:t>8</w:t>
      </w:r>
      <w:r>
        <w:rPr>
          <w:rFonts w:hint="eastAsia" w:eastAsia="仿宋"/>
          <w:bCs/>
          <w:i/>
          <w:color w:val="000000"/>
          <w:sz w:val="32"/>
          <w:szCs w:val="32"/>
          <w:highlight w:val="yellow"/>
        </w:rPr>
        <w:t>、</w:t>
      </w:r>
      <w:r>
        <w:rPr>
          <w:rFonts w:eastAsia="仿宋"/>
          <w:bCs/>
          <w:i/>
          <w:color w:val="000000"/>
          <w:sz w:val="32"/>
          <w:szCs w:val="32"/>
          <w:highlight w:val="yellow"/>
        </w:rPr>
        <w:t>公开的文字说明及公开表格经调整格式后最好转换成PDF格式进行公开。9</w:t>
      </w:r>
      <w:r>
        <w:rPr>
          <w:rFonts w:hint="eastAsia" w:eastAsia="仿宋"/>
          <w:bCs/>
          <w:i/>
          <w:color w:val="000000"/>
          <w:sz w:val="32"/>
          <w:szCs w:val="32"/>
          <w:highlight w:val="yellow"/>
        </w:rPr>
        <w:t>、</w:t>
      </w:r>
      <w:r>
        <w:rPr>
          <w:rFonts w:hint="eastAsia" w:eastAsia="仿宋"/>
          <w:bCs/>
          <w:i/>
          <w:sz w:val="32"/>
          <w:szCs w:val="32"/>
          <w:highlight w:val="yellow"/>
        </w:rPr>
        <w:t>各单位务必在</w:t>
      </w:r>
      <w:r>
        <w:rPr>
          <w:rFonts w:eastAsia="仿宋"/>
          <w:bCs/>
          <w:i/>
          <w:color w:val="FF0000"/>
          <w:sz w:val="32"/>
          <w:szCs w:val="32"/>
          <w:highlight w:val="yellow"/>
        </w:rPr>
        <w:t>11</w:t>
      </w:r>
      <w:r>
        <w:rPr>
          <w:rFonts w:hint="eastAsia" w:eastAsia="仿宋"/>
          <w:bCs/>
          <w:i/>
          <w:color w:val="FF0000"/>
          <w:sz w:val="32"/>
          <w:szCs w:val="32"/>
          <w:highlight w:val="yellow"/>
        </w:rPr>
        <w:t>月</w:t>
      </w:r>
      <w:r>
        <w:rPr>
          <w:rFonts w:eastAsia="仿宋"/>
          <w:bCs/>
          <w:i/>
          <w:color w:val="FF0000"/>
          <w:sz w:val="32"/>
          <w:szCs w:val="32"/>
          <w:highlight w:val="yellow"/>
        </w:rPr>
        <w:t>1</w:t>
      </w:r>
      <w:r>
        <w:rPr>
          <w:rFonts w:hint="eastAsia" w:eastAsia="仿宋"/>
          <w:bCs/>
          <w:i/>
          <w:sz w:val="32"/>
          <w:szCs w:val="32"/>
          <w:highlight w:val="yellow"/>
        </w:rPr>
        <w:t>日前将决算编制说明、</w:t>
      </w:r>
      <w:r>
        <w:rPr>
          <w:rFonts w:hint="eastAsia" w:eastAsia="仿宋"/>
          <w:b/>
          <w:bCs/>
          <w:i/>
          <w:color w:val="000000"/>
          <w:sz w:val="32"/>
          <w:szCs w:val="32"/>
          <w:highlight w:val="yellow"/>
        </w:rPr>
        <w:t>完善后的公开表</w:t>
      </w:r>
      <w:r>
        <w:rPr>
          <w:rFonts w:hint="eastAsia" w:eastAsia="仿宋"/>
          <w:bCs/>
          <w:i/>
          <w:color w:val="000000"/>
          <w:sz w:val="32"/>
          <w:szCs w:val="32"/>
          <w:highlight w:val="yellow"/>
        </w:rPr>
        <w:t>进行公开，完成公开工作。1</w:t>
      </w:r>
      <w:r>
        <w:rPr>
          <w:rFonts w:eastAsia="仿宋"/>
          <w:bCs/>
          <w:i/>
          <w:color w:val="000000"/>
          <w:sz w:val="32"/>
          <w:szCs w:val="32"/>
          <w:highlight w:val="yellow"/>
        </w:rPr>
        <w:t>0</w:t>
      </w:r>
      <w:r>
        <w:rPr>
          <w:rFonts w:hint="eastAsia" w:eastAsia="仿宋"/>
          <w:bCs/>
          <w:i/>
          <w:color w:val="000000"/>
          <w:sz w:val="32"/>
          <w:szCs w:val="32"/>
          <w:highlight w:val="yellow"/>
        </w:rPr>
        <w:t>、建议单位最好不要出现方针、政治、政策性描述，确需保留此类描述的，务必请本单位办公室严格把关，</w:t>
      </w:r>
      <w:r>
        <w:rPr>
          <w:rFonts w:hint="eastAsia" w:eastAsia="方正仿宋简体"/>
          <w:sz w:val="32"/>
          <w:szCs w:val="32"/>
          <w:highlight w:val="yellow"/>
        </w:rPr>
        <w:t>做到绝对准确、严谨、无误。</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t xml:space="preserve"> </w:t>
      </w:r>
      <w:r>
        <w:rPr>
          <w:rFonts w:hint="eastAsia"/>
        </w:rPr>
        <w:t>月</w:t>
      </w:r>
      <w:r>
        <w:t xml:space="preserve"> </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ascii="仿宋" w:hAnsi="仿宋" w:eastAsia="仿宋"/>
          <w:sz w:val="24"/>
        </w:rPr>
      </w:pPr>
      <w:r>
        <w:rPr>
          <w:rFonts w:hint="eastAsia"/>
          <w:sz w:val="24"/>
        </w:rPr>
        <w:t>一、部门职责</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highlight w:val="yellow"/>
        </w:rPr>
        <w:t>(注：</w:t>
      </w:r>
      <w:r>
        <w:rPr>
          <w:rFonts w:hint="eastAsia" w:ascii="仿宋" w:hAnsi="仿宋" w:eastAsia="仿宋"/>
          <w:sz w:val="24"/>
          <w:highlight w:val="yellow"/>
        </w:rPr>
        <w:t>请部门根据实际注明页码</w:t>
      </w:r>
      <w:r>
        <w:rPr>
          <w:rFonts w:ascii="仿宋" w:hAnsi="仿宋" w:eastAsia="仿宋"/>
          <w:sz w:val="24"/>
          <w:highlight w:val="yellow"/>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numPr>
          <w:ilvl w:val="0"/>
          <w:numId w:val="1"/>
        </w:numPr>
        <w:rPr>
          <w:rFonts w:hint="eastAsia" w:ascii="黑体" w:hAnsi="黑体" w:eastAsia="黑体"/>
          <w:b w:val="0"/>
        </w:rPr>
      </w:pPr>
      <w:r>
        <w:rPr>
          <w:rFonts w:hint="eastAsia" w:ascii="黑体" w:hAnsi="黑体" w:eastAsia="黑体"/>
          <w:b w:val="0"/>
        </w:rPr>
        <w:t>部门职责</w:t>
      </w:r>
    </w:p>
    <w:p>
      <w:pPr>
        <w:numPr>
          <w:ilvl w:val="0"/>
          <w:numId w:val="0"/>
        </w:numPr>
        <w:ind w:firstLine="640" w:firstLineChars="200"/>
        <w:rPr>
          <w:rFonts w:hint="eastAsia" w:ascii="仿宋" w:hAnsi="仿宋" w:eastAsia="仿宋"/>
          <w:sz w:val="32"/>
          <w:szCs w:val="32"/>
        </w:rPr>
      </w:pPr>
      <w:r>
        <w:rPr>
          <w:rFonts w:hint="eastAsia" w:ascii="仿宋" w:hAnsi="仿宋" w:eastAsia="仿宋" w:cs="仿宋"/>
          <w:color w:val="auto"/>
          <w:kern w:val="2"/>
          <w:sz w:val="32"/>
          <w:szCs w:val="32"/>
          <w:highlight w:val="none"/>
          <w:lang w:val="en-US" w:eastAsia="zh-CN" w:bidi="ar-SA"/>
        </w:rPr>
        <w:t>乐至县高寺镇凉水卫生院主要负责为人民身体健康提供医疗与预防保健服务、医疗常见病多发病护理、恢复期病人康复治疗与护理预防保健、卫生技术人员培训、初级卫生保健卫生规划实施、合作医疗组织与管理、卫生监督与卫生信息管理。</w:t>
      </w:r>
    </w:p>
    <w:p>
      <w:pPr>
        <w:pStyle w:val="3"/>
        <w:rPr>
          <w:rStyle w:val="29"/>
          <w:b w:val="0"/>
          <w:bCs w:val="0"/>
        </w:rPr>
      </w:pPr>
      <w:bookmarkStart w:id="14" w:name="_Toc15396601"/>
      <w:bookmarkStart w:id="15" w:name="_Toc15377200"/>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4"/>
      <w:bookmarkEnd w:id="15"/>
    </w:p>
    <w:p>
      <w:pPr>
        <w:ind w:firstLine="800" w:firstLineChars="250"/>
        <w:rPr>
          <w:rFonts w:hint="eastAsia" w:ascii="仿宋" w:hAnsi="仿宋" w:eastAsia="仿宋"/>
          <w:sz w:val="32"/>
          <w:szCs w:val="32"/>
        </w:rPr>
      </w:pPr>
      <w:r>
        <w:rPr>
          <w:rFonts w:hint="eastAsia" w:ascii="仿宋" w:hAnsi="仿宋" w:eastAsia="仿宋"/>
          <w:sz w:val="32"/>
          <w:szCs w:val="32"/>
          <w:lang w:val="en-US" w:eastAsia="zh-CN"/>
        </w:rPr>
        <w:t>乐至县高寺镇凉水卫生院</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6"/>
        <w:spacing w:before="93"/>
        <w:ind w:firstLine="600" w:firstLineChars="200"/>
        <w:rPr>
          <w:rFonts w:hint="eastAsia"/>
          <w:lang w:val="en-US" w:eastAsia="zh-CN"/>
        </w:rPr>
      </w:pPr>
      <w:r>
        <w:rPr>
          <w:rFonts w:hint="eastAsia"/>
          <w:lang w:val="en-US" w:eastAsia="zh-CN"/>
        </w:rPr>
        <w:t>纳入乐至县高寺镇凉水卫生院2022年度部门决算编制范围的二级预算单位包括：</w:t>
      </w:r>
    </w:p>
    <w:p>
      <w:pPr>
        <w:pStyle w:val="6"/>
        <w:spacing w:before="93"/>
        <w:ind w:firstLine="600" w:firstLineChars="200"/>
        <w:rPr>
          <w:rFonts w:hint="default" w:eastAsia="仿宋_GB2312"/>
          <w:lang w:val="en-US" w:eastAsia="zh-CN"/>
        </w:rPr>
      </w:pPr>
      <w:r>
        <w:rPr>
          <w:rFonts w:hint="eastAsia"/>
          <w:lang w:val="en-US" w:eastAsia="zh-CN"/>
        </w:rPr>
        <w:t>乐至县高寺镇凉水卫生院</w:t>
      </w:r>
    </w:p>
    <w:p>
      <w:pPr>
        <w:pStyle w:val="2"/>
        <w:ind w:right="440"/>
        <w:jc w:val="center"/>
        <w:rPr>
          <w:rStyle w:val="28"/>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8"/>
          <w:rFonts w:hint="eastAsia" w:ascii="黑体" w:hAnsi="黑体" w:eastAsia="黑体"/>
          <w:b w:val="0"/>
          <w:bCs/>
        </w:rPr>
        <w:t>部门决算情况说明</w:t>
      </w:r>
      <w:bookmarkEnd w:id="16"/>
      <w:bookmarkEnd w:id="17"/>
    </w:p>
    <w:p/>
    <w:p>
      <w:pPr>
        <w:pStyle w:val="27"/>
        <w:numPr>
          <w:ilvl w:val="0"/>
          <w:numId w:val="2"/>
        </w:numPr>
        <w:spacing w:line="600" w:lineRule="exact"/>
        <w:ind w:firstLineChars="0"/>
        <w:outlineLvl w:val="1"/>
        <w:rPr>
          <w:rStyle w:val="29"/>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cs="Times New Roman"/>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401.95</w:t>
      </w:r>
      <w:r>
        <w:rPr>
          <w:rFonts w:hint="eastAsia" w:ascii="仿宋" w:hAnsi="仿宋" w:eastAsia="仿宋"/>
          <w:sz w:val="32"/>
          <w:szCs w:val="32"/>
        </w:rPr>
        <w:t>万元。</w:t>
      </w:r>
      <w:r>
        <w:rPr>
          <w:rFonts w:hint="eastAsia" w:ascii="仿宋" w:hAnsi="仿宋" w:eastAsia="仿宋" w:cs="Times New Roman"/>
          <w:sz w:val="32"/>
          <w:szCs w:val="32"/>
        </w:rPr>
        <w:t>与2021年相比，收、支总计各减少</w:t>
      </w:r>
      <w:r>
        <w:rPr>
          <w:rFonts w:hint="eastAsia" w:ascii="仿宋" w:hAnsi="仿宋" w:eastAsia="仿宋" w:cs="Times New Roman"/>
          <w:sz w:val="32"/>
          <w:szCs w:val="32"/>
          <w:lang w:val="en-US" w:eastAsia="zh-CN"/>
        </w:rPr>
        <w:t>41.91</w:t>
      </w:r>
      <w:r>
        <w:rPr>
          <w:rFonts w:hint="eastAsia" w:ascii="仿宋" w:hAnsi="仿宋" w:eastAsia="仿宋" w:cs="Times New Roman"/>
          <w:sz w:val="32"/>
          <w:szCs w:val="32"/>
        </w:rPr>
        <w:t>万元，增长/下降</w:t>
      </w:r>
      <w:r>
        <w:rPr>
          <w:rFonts w:hint="eastAsia" w:ascii="仿宋" w:hAnsi="仿宋" w:eastAsia="仿宋" w:cs="Times New Roman"/>
          <w:sz w:val="32"/>
          <w:szCs w:val="32"/>
          <w:lang w:val="en-US" w:eastAsia="zh-CN"/>
        </w:rPr>
        <w:t>9.4</w:t>
      </w:r>
      <w:r>
        <w:rPr>
          <w:rFonts w:hint="eastAsia" w:ascii="仿宋" w:hAnsi="仿宋" w:eastAsia="仿宋" w:cs="Times New Roman"/>
          <w:sz w:val="32"/>
          <w:szCs w:val="32"/>
        </w:rPr>
        <w:t>%。主要变动原因是</w:t>
      </w:r>
      <w:r>
        <w:rPr>
          <w:rFonts w:hint="eastAsia" w:ascii="仿宋" w:hAnsi="仿宋" w:eastAsia="仿宋" w:cs="Times New Roman"/>
          <w:sz w:val="32"/>
          <w:szCs w:val="32"/>
          <w:lang w:val="en-US" w:eastAsia="zh-CN"/>
        </w:rPr>
        <w:t>财政拨款收入及事业收入减少</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支出也随之缩减</w:t>
      </w:r>
      <w:r>
        <w:rPr>
          <w:rFonts w:hint="eastAsia" w:ascii="仿宋" w:hAnsi="仿宋" w:eastAsia="仿宋" w:cs="Times New Roman"/>
          <w:sz w:val="32"/>
          <w:szCs w:val="32"/>
        </w:rPr>
        <w:t>。</w:t>
      </w:r>
    </w:p>
    <w:p>
      <w:pPr>
        <w:pStyle w:val="6"/>
        <w:rPr>
          <w:rFonts w:hint="eastAsia"/>
        </w:rPr>
      </w:pPr>
      <w:r>
        <w:drawing>
          <wp:inline distT="0" distB="0" distL="114300" distR="114300">
            <wp:extent cx="5027930" cy="2419350"/>
            <wp:effectExtent l="4445" t="4445" r="15875" b="14605"/>
            <wp:docPr id="8637"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sz w:val="32"/>
          <w:szCs w:val="32"/>
        </w:rPr>
      </w:pPr>
    </w:p>
    <w:p>
      <w:pPr>
        <w:pStyle w:val="27"/>
        <w:numPr>
          <w:ilvl w:val="0"/>
          <w:numId w:val="2"/>
        </w:numPr>
        <w:spacing w:line="600" w:lineRule="exact"/>
        <w:ind w:firstLineChars="0"/>
        <w:outlineLvl w:val="1"/>
        <w:rPr>
          <w:rStyle w:val="29"/>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9"/>
          <w:rFonts w:hint="eastAsia" w:ascii="黑体" w:hAnsi="黑体" w:eastAsia="黑体"/>
          <w:b w:val="0"/>
        </w:rPr>
        <w:t>入决算情况说明</w:t>
      </w:r>
      <w:bookmarkEnd w:id="20"/>
      <w:bookmarkEnd w:id="21"/>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401.95</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122.09</w:t>
      </w:r>
      <w:r>
        <w:rPr>
          <w:rFonts w:hint="eastAsia" w:ascii="仿宋" w:hAnsi="仿宋" w:eastAsia="仿宋"/>
          <w:sz w:val="32"/>
          <w:szCs w:val="32"/>
        </w:rPr>
        <w:t>万元，占</w:t>
      </w:r>
      <w:r>
        <w:rPr>
          <w:rFonts w:hint="eastAsia" w:ascii="仿宋" w:hAnsi="仿宋" w:eastAsia="仿宋"/>
          <w:sz w:val="32"/>
          <w:szCs w:val="32"/>
          <w:lang w:val="en-US" w:eastAsia="zh-CN"/>
        </w:rPr>
        <w:t>30.4</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268.65</w:t>
      </w:r>
      <w:r>
        <w:rPr>
          <w:rFonts w:hint="eastAsia" w:ascii="仿宋" w:hAnsi="仿宋" w:eastAsia="仿宋"/>
          <w:sz w:val="32"/>
          <w:szCs w:val="32"/>
        </w:rPr>
        <w:t>万元，占</w:t>
      </w:r>
      <w:r>
        <w:rPr>
          <w:rFonts w:hint="eastAsia" w:ascii="仿宋" w:hAnsi="仿宋" w:eastAsia="仿宋"/>
          <w:sz w:val="32"/>
          <w:szCs w:val="32"/>
          <w:lang w:val="en-US" w:eastAsia="zh-CN"/>
        </w:rPr>
        <w:t>66.8</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11.20</w:t>
      </w:r>
      <w:r>
        <w:rPr>
          <w:rFonts w:hint="eastAsia" w:ascii="仿宋" w:hAnsi="仿宋" w:eastAsia="仿宋"/>
          <w:sz w:val="32"/>
          <w:szCs w:val="32"/>
        </w:rPr>
        <w:t>万元，占</w:t>
      </w:r>
      <w:r>
        <w:rPr>
          <w:rFonts w:hint="eastAsia" w:ascii="仿宋" w:hAnsi="仿宋" w:eastAsia="仿宋"/>
          <w:sz w:val="32"/>
          <w:szCs w:val="32"/>
          <w:lang w:val="en-US" w:eastAsia="zh-CN"/>
        </w:rPr>
        <w:t>2.7</w:t>
      </w:r>
      <w:r>
        <w:rPr>
          <w:rFonts w:ascii="仿宋" w:hAnsi="仿宋" w:eastAsia="仿宋"/>
          <w:sz w:val="32"/>
          <w:szCs w:val="32"/>
        </w:rPr>
        <w:t>%</w:t>
      </w:r>
      <w:r>
        <w:rPr>
          <w:rFonts w:hint="eastAsia" w:ascii="仿宋" w:hAnsi="仿宋" w:eastAsia="仿宋"/>
          <w:sz w:val="32"/>
          <w:szCs w:val="32"/>
        </w:rPr>
        <w:t>。</w:t>
      </w:r>
    </w:p>
    <w:p>
      <w:pPr>
        <w:pStyle w:val="6"/>
      </w:pPr>
      <w:r>
        <w:drawing>
          <wp:inline distT="0" distB="0" distL="114300" distR="114300">
            <wp:extent cx="2543175" cy="2462530"/>
            <wp:effectExtent l="4445" t="4445" r="5080" b="9525"/>
            <wp:docPr id="8641"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6"/>
      </w:pPr>
    </w:p>
    <w:p>
      <w:pPr>
        <w:pStyle w:val="27"/>
        <w:numPr>
          <w:ilvl w:val="0"/>
          <w:numId w:val="2"/>
        </w:numPr>
        <w:spacing w:line="600" w:lineRule="exact"/>
        <w:ind w:firstLineChars="0"/>
        <w:outlineLvl w:val="1"/>
        <w:rPr>
          <w:rStyle w:val="29"/>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9"/>
          <w:rFonts w:hint="eastAsia" w:ascii="黑体" w:hAnsi="黑体" w:eastAsia="黑体"/>
          <w:b w:val="0"/>
        </w:rPr>
        <w:t>出决算情况说明</w:t>
      </w:r>
      <w:bookmarkEnd w:id="22"/>
      <w:bookmarkEnd w:id="23"/>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122.09</w:t>
      </w:r>
      <w:r>
        <w:rPr>
          <w:rFonts w:hint="eastAsia" w:ascii="仿宋" w:hAnsi="仿宋" w:eastAsia="仿宋"/>
          <w:sz w:val="32"/>
          <w:szCs w:val="32"/>
        </w:rPr>
        <w:t>万元，其中：基本支出</w:t>
      </w:r>
      <w:r>
        <w:rPr>
          <w:rFonts w:hint="eastAsia" w:ascii="仿宋" w:hAnsi="仿宋" w:eastAsia="仿宋"/>
          <w:sz w:val="32"/>
          <w:szCs w:val="32"/>
          <w:lang w:val="en-US" w:eastAsia="zh-CN"/>
        </w:rPr>
        <w:t>47.14</w:t>
      </w:r>
      <w:r>
        <w:rPr>
          <w:rFonts w:hint="eastAsia" w:ascii="仿宋" w:hAnsi="仿宋" w:eastAsia="仿宋"/>
          <w:sz w:val="32"/>
          <w:szCs w:val="32"/>
        </w:rPr>
        <w:t>万元，占</w:t>
      </w:r>
      <w:r>
        <w:rPr>
          <w:rFonts w:hint="eastAsia" w:ascii="仿宋" w:hAnsi="仿宋" w:eastAsia="仿宋"/>
          <w:sz w:val="32"/>
          <w:szCs w:val="32"/>
          <w:lang w:val="en-US" w:eastAsia="zh-CN"/>
        </w:rPr>
        <w:t>38.6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74.96</w:t>
      </w:r>
      <w:r>
        <w:rPr>
          <w:rFonts w:hint="eastAsia" w:ascii="仿宋" w:hAnsi="仿宋" w:eastAsia="仿宋"/>
          <w:sz w:val="32"/>
          <w:szCs w:val="32"/>
        </w:rPr>
        <w:t>万元，占</w:t>
      </w:r>
      <w:r>
        <w:rPr>
          <w:rFonts w:hint="eastAsia" w:ascii="仿宋" w:hAnsi="仿宋" w:eastAsia="仿宋"/>
          <w:sz w:val="32"/>
          <w:szCs w:val="32"/>
          <w:lang w:val="en-US" w:eastAsia="zh-CN"/>
        </w:rPr>
        <w:t>61.4</w:t>
      </w:r>
      <w:r>
        <w:rPr>
          <w:rFonts w:ascii="仿宋" w:hAnsi="仿宋" w:eastAsia="仿宋"/>
          <w:sz w:val="32"/>
          <w:szCs w:val="32"/>
        </w:rPr>
        <w:t>%</w:t>
      </w:r>
      <w:r>
        <w:rPr>
          <w:rFonts w:hint="eastAsia" w:ascii="仿宋" w:hAnsi="仿宋" w:eastAsia="仿宋"/>
          <w:sz w:val="32"/>
          <w:szCs w:val="32"/>
        </w:rPr>
        <w:t>。</w:t>
      </w:r>
    </w:p>
    <w:p>
      <w:pPr>
        <w:pStyle w:val="6"/>
      </w:pPr>
      <w:r>
        <w:drawing>
          <wp:inline distT="0" distB="0" distL="114300" distR="114300">
            <wp:extent cx="3401060" cy="2543175"/>
            <wp:effectExtent l="4445" t="4445" r="23495" b="5080"/>
            <wp:docPr id="86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6"/>
      </w:pPr>
    </w:p>
    <w:p>
      <w:pPr>
        <w:spacing w:line="600" w:lineRule="exact"/>
        <w:ind w:firstLine="640" w:firstLineChars="200"/>
        <w:outlineLvl w:val="1"/>
        <w:rPr>
          <w:rStyle w:val="29"/>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4"/>
      <w:bookmarkEnd w:id="25"/>
    </w:p>
    <w:p>
      <w:pPr>
        <w:spacing w:line="600" w:lineRule="exact"/>
        <w:ind w:firstLine="64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122.09</w:t>
      </w:r>
      <w:r>
        <w:rPr>
          <w:rFonts w:hint="eastAsia" w:ascii="仿宋" w:hAnsi="仿宋" w:eastAsia="仿宋"/>
          <w:sz w:val="32"/>
          <w:szCs w:val="32"/>
        </w:rPr>
        <w:t>万元。</w:t>
      </w:r>
      <w:r>
        <w:rPr>
          <w:rFonts w:hint="eastAsia" w:ascii="仿宋" w:hAnsi="仿宋" w:eastAsia="仿宋" w:cs="Times New Roman"/>
          <w:sz w:val="32"/>
          <w:szCs w:val="32"/>
          <w:lang w:val="en-US" w:eastAsia="zh-CN"/>
        </w:rPr>
        <w:t>与2021年相比，财政拨款收、支总计各减少24.01万元，下降16.4%。主要变动原因是</w:t>
      </w:r>
      <w:r>
        <w:rPr>
          <w:rFonts w:hint="eastAsia" w:ascii="仿宋" w:hAnsi="仿宋" w:eastAsia="仿宋"/>
          <w:sz w:val="32"/>
          <w:szCs w:val="32"/>
          <w:lang w:val="en-US" w:eastAsia="zh-CN"/>
        </w:rPr>
        <w:t>人员经费拨款、基本药物补助和基本公共卫生拨款减少，财政拨款基本支出和项目支出也随之减少。</w:t>
      </w:r>
    </w:p>
    <w:p>
      <w:pPr>
        <w:pStyle w:val="6"/>
        <w:rPr>
          <w:rFonts w:ascii="仿宋" w:hAnsi="仿宋" w:eastAsia="仿宋"/>
          <w:b/>
          <w:sz w:val="32"/>
          <w:szCs w:val="32"/>
        </w:rPr>
      </w:pPr>
      <w:r>
        <w:drawing>
          <wp:inline distT="0" distB="0" distL="114300" distR="114300">
            <wp:extent cx="5027930" cy="2419350"/>
            <wp:effectExtent l="4445" t="4445" r="15875" b="14605"/>
            <wp:docPr id="2"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9"/>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122.09</w:t>
      </w:r>
      <w:r>
        <w:rPr>
          <w:rFonts w:hint="eastAsia" w:ascii="仿宋" w:hAnsi="仿宋" w:eastAsia="仿宋"/>
          <w:sz w:val="32"/>
          <w:szCs w:val="32"/>
        </w:rPr>
        <w:t>万元，占本年支出合计的</w:t>
      </w:r>
      <w:r>
        <w:rPr>
          <w:rFonts w:hint="eastAsia" w:ascii="仿宋" w:hAnsi="仿宋" w:eastAsia="仿宋"/>
          <w:sz w:val="32"/>
          <w:szCs w:val="32"/>
          <w:lang w:val="en-US" w:eastAsia="zh-CN"/>
        </w:rPr>
        <w:t>30.4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sz w:val="32"/>
          <w:szCs w:val="32"/>
          <w:lang w:val="en-US" w:eastAsia="zh-CN"/>
        </w:rPr>
        <w:t>与2021年相比，一般公共预算财政拨款支出增加/减少24.01万元，下降16.4%。主要变动原因是</w:t>
      </w:r>
      <w:r>
        <w:rPr>
          <w:rFonts w:hint="eastAsia" w:ascii="仿宋" w:hAnsi="仿宋" w:eastAsia="仿宋"/>
          <w:sz w:val="32"/>
          <w:szCs w:val="32"/>
          <w:lang w:val="en-US" w:eastAsia="zh-CN"/>
        </w:rPr>
        <w:t>一般公共预算财政拨款数减少，基本支出中的人员经费支出减少，项目支出中的基本公共卫生服务支出减少。</w:t>
      </w:r>
    </w:p>
    <w:p>
      <w:pPr>
        <w:pStyle w:val="6"/>
      </w:pPr>
      <w:r>
        <w:drawing>
          <wp:inline distT="0" distB="0" distL="114300" distR="114300">
            <wp:extent cx="5027930" cy="2676525"/>
            <wp:effectExtent l="4445" t="4445" r="15875" b="5080"/>
            <wp:docPr id="3"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firstLineChars="200"/>
        <w:outlineLvl w:val="1"/>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122.09</w:t>
      </w:r>
      <w:r>
        <w:rPr>
          <w:rFonts w:hint="eastAsia" w:ascii="仿宋" w:hAnsi="仿宋" w:eastAsia="仿宋"/>
          <w:sz w:val="32"/>
          <w:szCs w:val="32"/>
        </w:rPr>
        <w:t>万元，主要用于以下方面:社会保障和就业支出</w:t>
      </w:r>
      <w:r>
        <w:rPr>
          <w:rFonts w:hint="eastAsia" w:ascii="仿宋" w:hAnsi="仿宋" w:eastAsia="仿宋"/>
          <w:sz w:val="32"/>
          <w:szCs w:val="32"/>
          <w:lang w:val="en-US" w:eastAsia="zh-CN"/>
        </w:rPr>
        <w:t>20.39</w:t>
      </w:r>
      <w:r>
        <w:rPr>
          <w:rFonts w:hint="eastAsia" w:ascii="仿宋" w:hAnsi="仿宋" w:eastAsia="仿宋"/>
          <w:sz w:val="32"/>
          <w:szCs w:val="32"/>
        </w:rPr>
        <w:t>万元，占</w:t>
      </w:r>
      <w:r>
        <w:rPr>
          <w:rFonts w:hint="eastAsia" w:ascii="仿宋" w:hAnsi="仿宋" w:eastAsia="仿宋"/>
          <w:sz w:val="32"/>
          <w:szCs w:val="32"/>
          <w:lang w:val="en-US" w:eastAsia="zh-CN"/>
        </w:rPr>
        <w:t>17</w:t>
      </w:r>
      <w:r>
        <w:rPr>
          <w:rFonts w:hint="eastAsia" w:ascii="仿宋" w:hAnsi="仿宋" w:eastAsia="仿宋"/>
          <w:sz w:val="32"/>
          <w:szCs w:val="32"/>
        </w:rPr>
        <w:t>%</w:t>
      </w:r>
      <w:r>
        <w:rPr>
          <w:rFonts w:hint="eastAsia" w:ascii="仿宋" w:hAnsi="仿宋" w:eastAsia="仿宋"/>
          <w:sz w:val="32"/>
          <w:szCs w:val="32"/>
        </w:rPr>
        <w:t>；卫生健康支出</w:t>
      </w:r>
      <w:r>
        <w:rPr>
          <w:rFonts w:hint="eastAsia" w:ascii="仿宋" w:hAnsi="仿宋" w:eastAsia="仿宋"/>
          <w:sz w:val="32"/>
          <w:szCs w:val="32"/>
          <w:lang w:val="en-US" w:eastAsia="zh-CN"/>
        </w:rPr>
        <w:t>101.71</w:t>
      </w:r>
      <w:r>
        <w:rPr>
          <w:rFonts w:hint="eastAsia" w:ascii="仿宋" w:hAnsi="仿宋" w:eastAsia="仿宋"/>
          <w:sz w:val="32"/>
          <w:szCs w:val="32"/>
        </w:rPr>
        <w:t>万元，占</w:t>
      </w:r>
      <w:r>
        <w:rPr>
          <w:rFonts w:hint="eastAsia" w:ascii="仿宋" w:hAnsi="仿宋" w:eastAsia="仿宋"/>
          <w:sz w:val="32"/>
          <w:szCs w:val="32"/>
          <w:lang w:val="en-US" w:eastAsia="zh-CN"/>
        </w:rPr>
        <w:t>83</w:t>
      </w:r>
      <w:r>
        <w:rPr>
          <w:rFonts w:hint="eastAsia" w:ascii="仿宋" w:hAnsi="仿宋" w:eastAsia="仿宋"/>
          <w:sz w:val="32"/>
          <w:szCs w:val="32"/>
        </w:rPr>
        <w:t>%。</w:t>
      </w:r>
    </w:p>
    <w:p>
      <w:pPr>
        <w:pStyle w:val="6"/>
        <w:rPr>
          <w:rFonts w:hint="eastAsia"/>
        </w:rPr>
      </w:pPr>
      <w:r>
        <w:drawing>
          <wp:inline distT="0" distB="0" distL="114300" distR="114300">
            <wp:extent cx="2543175" cy="2462530"/>
            <wp:effectExtent l="4445" t="4445" r="5080" b="9525"/>
            <wp:docPr id="4"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122.09万元</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1</w:t>
      </w:r>
      <w:r>
        <w:rPr>
          <w:rStyle w:val="17"/>
          <w:rFonts w:hint="eastAsia" w:ascii="仿宋" w:hAnsi="仿宋" w:eastAsia="仿宋"/>
          <w:bCs/>
          <w:sz w:val="32"/>
          <w:szCs w:val="32"/>
          <w:lang w:val="en-US" w:eastAsia="zh-CN"/>
        </w:rPr>
        <w:t>.</w:t>
      </w:r>
      <w:r>
        <w:rPr>
          <w:rStyle w:val="17"/>
          <w:rFonts w:hint="eastAsia" w:ascii="仿宋" w:hAnsi="仿宋" w:eastAsia="仿宋"/>
          <w:bCs/>
          <w:color w:val="auto"/>
          <w:sz w:val="32"/>
          <w:szCs w:val="32"/>
        </w:rPr>
        <w:t>社会保障和就业（类）</w:t>
      </w:r>
      <w:r>
        <w:rPr>
          <w:rStyle w:val="17"/>
          <w:rFonts w:hint="eastAsia" w:ascii="仿宋" w:hAnsi="仿宋" w:eastAsia="仿宋"/>
          <w:bCs/>
          <w:color w:val="auto"/>
          <w:sz w:val="32"/>
          <w:szCs w:val="32"/>
          <w:lang w:val="en-US" w:eastAsia="zh-CN"/>
        </w:rPr>
        <w:t>20805</w:t>
      </w:r>
      <w:r>
        <w:rPr>
          <w:rStyle w:val="17"/>
          <w:rFonts w:hint="eastAsia" w:ascii="仿宋" w:hAnsi="仿宋" w:eastAsia="仿宋"/>
          <w:bCs/>
          <w:color w:val="auto"/>
          <w:sz w:val="32"/>
          <w:szCs w:val="32"/>
        </w:rPr>
        <w:t>（款）</w:t>
      </w:r>
      <w:r>
        <w:rPr>
          <w:rStyle w:val="17"/>
          <w:rFonts w:hint="eastAsia" w:ascii="仿宋" w:hAnsi="仿宋" w:eastAsia="仿宋"/>
          <w:bCs/>
          <w:color w:val="auto"/>
          <w:sz w:val="32"/>
          <w:szCs w:val="32"/>
          <w:lang w:val="en-US" w:eastAsia="zh-CN"/>
        </w:rPr>
        <w:t>05</w:t>
      </w:r>
      <w:r>
        <w:rPr>
          <w:rStyle w:val="17"/>
          <w:rFonts w:hint="eastAsia" w:ascii="仿宋" w:hAnsi="仿宋" w:eastAsia="仿宋"/>
          <w:bCs/>
          <w:color w:val="auto"/>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20.39</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lang w:val="en-US" w:eastAsia="zh-CN"/>
        </w:rPr>
        <w:t>2</w:t>
      </w:r>
      <w:r>
        <w:rPr>
          <w:rStyle w:val="17"/>
          <w:rFonts w:ascii="仿宋" w:hAnsi="仿宋" w:eastAsia="仿宋"/>
          <w:bCs/>
          <w:sz w:val="32"/>
          <w:szCs w:val="32"/>
        </w:rPr>
        <w:t>.</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w:t>
      </w:r>
      <w:r>
        <w:rPr>
          <w:rStyle w:val="17"/>
          <w:rFonts w:hint="eastAsia" w:ascii="仿宋" w:hAnsi="仿宋" w:eastAsia="仿宋"/>
          <w:bCs/>
          <w:color w:val="000000"/>
          <w:sz w:val="32"/>
          <w:szCs w:val="32"/>
          <w:lang w:val="en-US" w:eastAsia="zh-CN"/>
        </w:rPr>
        <w:t>2100</w:t>
      </w:r>
      <w:r>
        <w:rPr>
          <w:rStyle w:val="17"/>
          <w:rFonts w:hint="eastAsia" w:ascii="仿宋" w:hAnsi="仿宋" w:eastAsia="仿宋"/>
          <w:bCs/>
          <w:color w:val="000000"/>
          <w:sz w:val="32"/>
          <w:szCs w:val="32"/>
        </w:rPr>
        <w:t>（款）</w:t>
      </w:r>
      <w:r>
        <w:rPr>
          <w:rStyle w:val="17"/>
          <w:rFonts w:hint="eastAsia" w:ascii="仿宋" w:hAnsi="仿宋" w:eastAsia="仿宋"/>
          <w:bCs/>
          <w:color w:val="000000"/>
          <w:sz w:val="32"/>
          <w:szCs w:val="32"/>
          <w:lang w:val="en-US" w:eastAsia="zh-CN"/>
        </w:rPr>
        <w:t>302</w:t>
      </w:r>
      <w:r>
        <w:rPr>
          <w:rStyle w:val="17"/>
          <w:rFonts w:hint="eastAsia" w:ascii="仿宋" w:hAnsi="仿宋" w:eastAsia="仿宋"/>
          <w:bCs/>
          <w:color w:val="000000"/>
          <w:sz w:val="32"/>
          <w:szCs w:val="32"/>
        </w:rPr>
        <w:t>（项）</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101.71</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9"/>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4"/>
      <w:bookmarkEnd w:id="35"/>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122.09</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64.35</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57.74</w:t>
      </w:r>
      <w:r>
        <w:rPr>
          <w:rFonts w:hint="eastAsia" w:ascii="仿宋" w:hAnsi="仿宋" w:eastAsia="仿宋"/>
          <w:sz w:val="32"/>
          <w:szCs w:val="32"/>
        </w:rPr>
        <w:t>万元，主要包括：办公费、印刷费、手续费、水费、电费、邮电费差旅费、因公出国（境）费用、维修（护）费、培训费、劳务费、工会经费、福利费、其他交通费、税金及附加费用、其他商品和服务支出、办公设备购置、专用设备购置、信息网络及软件购置更新、其他资本性支出等。</w:t>
      </w:r>
    </w:p>
    <w:p>
      <w:pPr>
        <w:spacing w:line="600" w:lineRule="exact"/>
        <w:rPr>
          <w:rFonts w:ascii="仿宋" w:hAnsi="仿宋" w:eastAsia="仿宋"/>
          <w:b/>
          <w:sz w:val="32"/>
          <w:szCs w:val="32"/>
        </w:rPr>
      </w:pPr>
    </w:p>
    <w:p>
      <w:pPr>
        <w:spacing w:line="600" w:lineRule="exact"/>
        <w:ind w:firstLine="640"/>
        <w:outlineLvl w:val="1"/>
        <w:rPr>
          <w:rStyle w:val="29"/>
          <w:rFonts w:ascii="黑体" w:hAnsi="黑体" w:eastAsia="黑体"/>
          <w:b w:val="0"/>
        </w:rPr>
      </w:pPr>
      <w:bookmarkStart w:id="36" w:name="_Toc15396609"/>
      <w:bookmarkStart w:id="37"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5"/>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rPr>
        <w:t>22年“三公”经费财政拨款支</w:t>
      </w:r>
      <w:r>
        <w:rPr>
          <w:rFonts w:hint="eastAsia" w:ascii="仿宋" w:hAnsi="仿宋" w:eastAsia="仿宋"/>
          <w:sz w:val="32"/>
          <w:szCs w:val="32"/>
        </w:rPr>
        <w:t>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rPr>
        <w:t>，较上年增加/减少</w:t>
      </w:r>
      <w:r>
        <w:rPr>
          <w:rFonts w:hint="eastAsia" w:ascii="仿宋" w:hAnsi="仿宋" w:eastAsia="仿宋"/>
          <w:sz w:val="32"/>
          <w:szCs w:val="32"/>
          <w:lang w:val="en-US" w:eastAsia="zh-CN"/>
        </w:rPr>
        <w:t>0</w:t>
      </w:r>
      <w:r>
        <w:rPr>
          <w:rFonts w:hint="eastAsia" w:ascii="仿宋" w:hAnsi="仿宋" w:eastAsia="仿宋"/>
          <w:sz w:val="32"/>
          <w:szCs w:val="32"/>
        </w:rPr>
        <w:t>万元，增长/下降</w:t>
      </w:r>
      <w:r>
        <w:rPr>
          <w:rFonts w:hint="eastAsia" w:ascii="仿宋" w:hAnsi="仿宋" w:eastAsia="仿宋"/>
          <w:sz w:val="32"/>
          <w:szCs w:val="32"/>
          <w:lang w:val="en-US" w:eastAsia="zh-CN"/>
        </w:rPr>
        <w:t>0</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5"/>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rPr>
        <w:t>。具体情况如下：</w:t>
      </w:r>
    </w:p>
    <w:p>
      <w:pPr>
        <w:pStyle w:val="6"/>
        <w:rPr>
          <w:rFonts w:hint="eastAsia"/>
        </w:rPr>
      </w:pPr>
      <w:r>
        <w:drawing>
          <wp:inline distT="0" distB="0" distL="114300" distR="114300">
            <wp:extent cx="2781300" cy="2562860"/>
            <wp:effectExtent l="4445" t="4445" r="14605" b="23495"/>
            <wp:docPr id="86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1.因公出国（境）经费</w:t>
      </w:r>
      <w:r>
        <w:rPr>
          <w:rFonts w:hint="eastAsia" w:ascii="仿宋" w:hAnsi="仿宋" w:eastAsia="仿宋"/>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hint="eastAsia" w:ascii="仿宋" w:hAnsi="仿宋" w:eastAsia="仿宋"/>
          <w:sz w:val="32"/>
          <w:szCs w:val="32"/>
        </w:rPr>
        <w:t>%。全年安排因公出国（境）团组</w:t>
      </w:r>
      <w:r>
        <w:rPr>
          <w:rFonts w:hint="eastAsia" w:ascii="仿宋" w:hAnsi="仿宋" w:eastAsia="仿宋"/>
          <w:sz w:val="32"/>
          <w:szCs w:val="32"/>
          <w:lang w:val="en-US" w:eastAsia="zh-CN"/>
        </w:rPr>
        <w:t>0</w:t>
      </w:r>
      <w:r>
        <w:rPr>
          <w:rFonts w:hint="eastAsia" w:ascii="仿宋" w:hAnsi="仿宋" w:eastAsia="仿宋"/>
          <w:sz w:val="32"/>
          <w:szCs w:val="32"/>
        </w:rPr>
        <w:t>次，出国（境）</w:t>
      </w:r>
      <w:r>
        <w:rPr>
          <w:rFonts w:hint="eastAsia" w:ascii="仿宋" w:hAnsi="仿宋" w:eastAsia="仿宋"/>
          <w:sz w:val="32"/>
          <w:szCs w:val="32"/>
          <w:lang w:val="en-US" w:eastAsia="zh-CN"/>
        </w:rPr>
        <w:t>0</w:t>
      </w:r>
      <w:r>
        <w:rPr>
          <w:rFonts w:hint="eastAsia" w:ascii="仿宋" w:hAnsi="仿宋" w:eastAsia="仿宋"/>
          <w:sz w:val="32"/>
          <w:szCs w:val="32"/>
        </w:rPr>
        <w:t>人。因公出国（境）支出决算比2021年增加/减少</w:t>
      </w:r>
      <w:r>
        <w:rPr>
          <w:rFonts w:hint="eastAsia" w:ascii="仿宋" w:hAnsi="仿宋" w:eastAsia="仿宋"/>
          <w:sz w:val="32"/>
          <w:szCs w:val="32"/>
          <w:lang w:val="en-US" w:eastAsia="zh-CN"/>
        </w:rPr>
        <w:t>0</w:t>
      </w:r>
      <w:r>
        <w:rPr>
          <w:rFonts w:hint="eastAsia" w:ascii="仿宋" w:hAnsi="仿宋" w:eastAsia="仿宋"/>
          <w:sz w:val="32"/>
          <w:szCs w:val="32"/>
        </w:rPr>
        <w:t>万元，增长/下降</w:t>
      </w:r>
      <w:r>
        <w:rPr>
          <w:rFonts w:hint="eastAsia" w:ascii="仿宋" w:hAnsi="仿宋" w:eastAsia="仿宋"/>
          <w:sz w:val="32"/>
          <w:szCs w:val="32"/>
          <w:lang w:val="en-US" w:eastAsia="zh-CN"/>
        </w:rPr>
        <w:t>0</w:t>
      </w:r>
      <w:r>
        <w:rPr>
          <w:rFonts w:hint="eastAsia" w:ascii="仿宋" w:hAnsi="仿宋" w:eastAsia="仿宋"/>
          <w:sz w:val="32"/>
          <w:szCs w:val="32"/>
        </w:rPr>
        <w:t>%。</w:t>
      </w:r>
    </w:p>
    <w:p>
      <w:pPr>
        <w:spacing w:line="600" w:lineRule="exact"/>
        <w:ind w:firstLine="640"/>
        <w:rPr>
          <w:rFonts w:hint="eastAsia" w:ascii="仿宋" w:hAnsi="仿宋" w:eastAsia="仿宋"/>
          <w:sz w:val="32"/>
          <w:szCs w:val="32"/>
        </w:rPr>
      </w:pPr>
      <w:r>
        <w:rPr>
          <w:rFonts w:ascii="仿宋_GB2312" w:eastAsia="仿宋_GB2312"/>
          <w:b/>
          <w:sz w:val="32"/>
          <w:szCs w:val="32"/>
        </w:rPr>
        <w:t>2.</w:t>
      </w:r>
      <w:r>
        <w:rPr>
          <w:rFonts w:hint="eastAsia" w:ascii="仿宋_GB2312" w:eastAsia="仿宋_GB2312"/>
          <w:b/>
          <w:sz w:val="32"/>
          <w:szCs w:val="32"/>
        </w:rPr>
        <w:t>公务用车购置及运行维护费</w:t>
      </w:r>
      <w:r>
        <w:rPr>
          <w:rFonts w:hint="eastAsia" w:ascii="仿宋" w:hAnsi="仿宋" w:eastAsia="仿宋"/>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hint="eastAsia" w:ascii="仿宋" w:hAnsi="仿宋" w:eastAsia="仿宋"/>
          <w:sz w:val="32"/>
          <w:szCs w:val="32"/>
        </w:rPr>
        <w:t>%。公务用车购置及运行维护费支出决算比2021年增加/减少</w:t>
      </w:r>
      <w:r>
        <w:rPr>
          <w:rFonts w:hint="eastAsia" w:ascii="仿宋" w:hAnsi="仿宋" w:eastAsia="仿宋"/>
          <w:sz w:val="32"/>
          <w:szCs w:val="32"/>
          <w:lang w:val="en-US" w:eastAsia="zh-CN"/>
        </w:rPr>
        <w:t>0</w:t>
      </w:r>
      <w:r>
        <w:rPr>
          <w:rFonts w:hint="eastAsia" w:ascii="仿宋" w:hAnsi="仿宋" w:eastAsia="仿宋"/>
          <w:sz w:val="32"/>
          <w:szCs w:val="32"/>
        </w:rPr>
        <w:t>万元，增长/下降</w:t>
      </w:r>
      <w:r>
        <w:rPr>
          <w:rFonts w:hint="eastAsia" w:ascii="仿宋" w:hAnsi="仿宋" w:eastAsia="仿宋"/>
          <w:sz w:val="32"/>
          <w:szCs w:val="32"/>
          <w:lang w:val="en-US" w:eastAsia="zh-CN"/>
        </w:rPr>
        <w:t>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其中：公务用车购置支出</w:t>
      </w:r>
      <w:r>
        <w:rPr>
          <w:rFonts w:hint="eastAsia" w:ascii="仿宋" w:hAnsi="仿宋" w:eastAsia="仿宋"/>
          <w:sz w:val="32"/>
          <w:szCs w:val="32"/>
          <w:lang w:val="en-US" w:eastAsia="zh-CN"/>
        </w:rPr>
        <w:t>0</w:t>
      </w:r>
      <w:r>
        <w:rPr>
          <w:rFonts w:hint="eastAsia" w:ascii="仿宋" w:hAnsi="仿宋" w:eastAsia="仿宋"/>
          <w:sz w:val="32"/>
          <w:szCs w:val="32"/>
        </w:rPr>
        <w:t>万元。全年按规定更新购置公务用车</w:t>
      </w:r>
      <w:r>
        <w:rPr>
          <w:rFonts w:hint="eastAsia" w:ascii="仿宋" w:hAnsi="仿宋" w:eastAsia="仿宋"/>
          <w:sz w:val="32"/>
          <w:szCs w:val="32"/>
          <w:lang w:val="en-US" w:eastAsia="zh-CN"/>
        </w:rPr>
        <w:t>0</w:t>
      </w:r>
      <w:r>
        <w:rPr>
          <w:rFonts w:hint="eastAsia" w:ascii="仿宋" w:hAnsi="仿宋" w:eastAsia="仿宋"/>
          <w:sz w:val="32"/>
          <w:szCs w:val="32"/>
        </w:rPr>
        <w:t>辆，其中：轿车</w:t>
      </w:r>
      <w:r>
        <w:rPr>
          <w:rFonts w:hint="eastAsia" w:ascii="仿宋" w:hAnsi="仿宋" w:eastAsia="仿宋"/>
          <w:sz w:val="32"/>
          <w:szCs w:val="32"/>
          <w:lang w:val="en-US" w:eastAsia="zh-CN"/>
        </w:rPr>
        <w:t>0</w:t>
      </w:r>
      <w:r>
        <w:rPr>
          <w:rFonts w:hint="eastAsia" w:ascii="仿宋" w:hAnsi="仿宋" w:eastAsia="仿宋"/>
          <w:sz w:val="32"/>
          <w:szCs w:val="32"/>
        </w:rPr>
        <w:t>辆、金额</w:t>
      </w:r>
      <w:r>
        <w:rPr>
          <w:rFonts w:hint="eastAsia" w:ascii="仿宋" w:hAnsi="仿宋" w:eastAsia="仿宋"/>
          <w:sz w:val="32"/>
          <w:szCs w:val="32"/>
          <w:lang w:val="en-US" w:eastAsia="zh-CN"/>
        </w:rPr>
        <w:t>0</w:t>
      </w:r>
      <w:r>
        <w:rPr>
          <w:rFonts w:hint="eastAsia" w:ascii="仿宋" w:hAnsi="仿宋" w:eastAsia="仿宋"/>
          <w:sz w:val="32"/>
          <w:szCs w:val="32"/>
        </w:rPr>
        <w:t>万元，越野车</w:t>
      </w:r>
      <w:r>
        <w:rPr>
          <w:rFonts w:hint="eastAsia" w:ascii="仿宋" w:hAnsi="仿宋" w:eastAsia="仿宋"/>
          <w:sz w:val="32"/>
          <w:szCs w:val="32"/>
          <w:lang w:val="en-US" w:eastAsia="zh-CN"/>
        </w:rPr>
        <w:t>0</w:t>
      </w:r>
      <w:r>
        <w:rPr>
          <w:rFonts w:hint="eastAsia" w:ascii="仿宋" w:hAnsi="仿宋" w:eastAsia="仿宋"/>
          <w:sz w:val="32"/>
          <w:szCs w:val="32"/>
        </w:rPr>
        <w:t>辆、金额</w:t>
      </w:r>
      <w:r>
        <w:rPr>
          <w:rFonts w:hint="eastAsia" w:ascii="仿宋" w:hAnsi="仿宋" w:eastAsia="仿宋"/>
          <w:sz w:val="32"/>
          <w:szCs w:val="32"/>
          <w:lang w:val="en-US" w:eastAsia="zh-CN"/>
        </w:rPr>
        <w:t>0</w:t>
      </w:r>
      <w:r>
        <w:rPr>
          <w:rFonts w:hint="eastAsia" w:ascii="仿宋" w:hAnsi="仿宋" w:eastAsia="仿宋"/>
          <w:sz w:val="32"/>
          <w:szCs w:val="32"/>
        </w:rPr>
        <w:t>万元，载客汽车</w:t>
      </w:r>
      <w:r>
        <w:rPr>
          <w:rFonts w:hint="eastAsia" w:ascii="仿宋" w:hAnsi="仿宋" w:eastAsia="仿宋"/>
          <w:sz w:val="32"/>
          <w:szCs w:val="32"/>
          <w:lang w:val="en-US" w:eastAsia="zh-CN"/>
        </w:rPr>
        <w:t>0</w:t>
      </w:r>
      <w:r>
        <w:rPr>
          <w:rFonts w:hint="eastAsia" w:ascii="仿宋" w:hAnsi="仿宋" w:eastAsia="仿宋"/>
          <w:sz w:val="32"/>
          <w:szCs w:val="32"/>
        </w:rPr>
        <w:t>辆、金额</w:t>
      </w:r>
      <w:r>
        <w:rPr>
          <w:rFonts w:hint="eastAsia" w:ascii="仿宋" w:hAnsi="仿宋" w:eastAsia="仿宋"/>
          <w:sz w:val="32"/>
          <w:szCs w:val="32"/>
          <w:lang w:val="en-US" w:eastAsia="zh-CN"/>
        </w:rPr>
        <w:t>0</w:t>
      </w:r>
      <w:r>
        <w:rPr>
          <w:rFonts w:hint="eastAsia" w:ascii="仿宋" w:hAnsi="仿宋" w:eastAsia="仿宋"/>
          <w:sz w:val="32"/>
          <w:szCs w:val="32"/>
        </w:rPr>
        <w:t>万元，截至2022年12月底，单位共有公务用车</w:t>
      </w:r>
      <w:r>
        <w:rPr>
          <w:rFonts w:hint="eastAsia" w:ascii="仿宋" w:hAnsi="仿宋" w:eastAsia="仿宋"/>
          <w:sz w:val="32"/>
          <w:szCs w:val="32"/>
          <w:lang w:val="en-US" w:eastAsia="zh-CN"/>
        </w:rPr>
        <w:t>0</w:t>
      </w:r>
      <w:r>
        <w:rPr>
          <w:rFonts w:hint="eastAsia" w:ascii="仿宋" w:hAnsi="仿宋" w:eastAsia="仿宋"/>
          <w:sz w:val="32"/>
          <w:szCs w:val="32"/>
        </w:rPr>
        <w:t>辆，其中：轿车</w:t>
      </w:r>
      <w:r>
        <w:rPr>
          <w:rFonts w:hint="eastAsia" w:ascii="仿宋" w:hAnsi="仿宋" w:eastAsia="仿宋"/>
          <w:sz w:val="32"/>
          <w:szCs w:val="32"/>
          <w:lang w:val="en-US" w:eastAsia="zh-CN"/>
        </w:rPr>
        <w:t>0</w:t>
      </w:r>
      <w:r>
        <w:rPr>
          <w:rFonts w:hint="eastAsia" w:ascii="仿宋" w:hAnsi="仿宋" w:eastAsia="仿宋"/>
          <w:sz w:val="32"/>
          <w:szCs w:val="32"/>
        </w:rPr>
        <w:t>辆、越野车</w:t>
      </w:r>
      <w:r>
        <w:rPr>
          <w:rFonts w:hint="eastAsia" w:ascii="仿宋" w:hAnsi="仿宋" w:eastAsia="仿宋"/>
          <w:sz w:val="32"/>
          <w:szCs w:val="32"/>
          <w:lang w:val="en-US" w:eastAsia="zh-CN"/>
        </w:rPr>
        <w:t>0</w:t>
      </w:r>
      <w:r>
        <w:rPr>
          <w:rFonts w:hint="eastAsia" w:ascii="仿宋" w:hAnsi="仿宋" w:eastAsia="仿宋"/>
          <w:sz w:val="32"/>
          <w:szCs w:val="32"/>
        </w:rPr>
        <w:t>辆、载客汽车</w:t>
      </w:r>
      <w:r>
        <w:rPr>
          <w:rFonts w:hint="eastAsia" w:ascii="仿宋" w:hAnsi="仿宋" w:eastAsia="仿宋"/>
          <w:sz w:val="32"/>
          <w:szCs w:val="32"/>
          <w:lang w:val="en-US" w:eastAsia="zh-CN"/>
        </w:rPr>
        <w:t>0</w:t>
      </w:r>
      <w:r>
        <w:rPr>
          <w:rFonts w:hint="eastAsia" w:ascii="仿宋" w:hAnsi="仿宋" w:eastAsia="仿宋"/>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w:t>
      </w:r>
      <w:r>
        <w:rPr>
          <w:rFonts w:hint="eastAsia" w:ascii="仿宋" w:hAnsi="仿宋" w:eastAsia="仿宋"/>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w:t>
      </w:r>
      <w:r>
        <w:rPr>
          <w:rFonts w:hint="eastAsia" w:ascii="仿宋_GB2312" w:eastAsia="仿宋_GB2312"/>
          <w:sz w:val="32"/>
          <w:szCs w:val="32"/>
        </w:rPr>
        <w:t>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hint="eastAsia" w:ascii="仿宋" w:hAnsi="仿宋" w:eastAsia="仿宋"/>
          <w:sz w:val="32"/>
          <w:szCs w:val="32"/>
        </w:rPr>
        <w:t>%。公务接待费支出决算比2021年增加/减少</w:t>
      </w:r>
      <w:r>
        <w:rPr>
          <w:rFonts w:hint="eastAsia" w:ascii="仿宋" w:hAnsi="仿宋" w:eastAsia="仿宋"/>
          <w:sz w:val="32"/>
          <w:szCs w:val="32"/>
          <w:lang w:val="en-US" w:eastAsia="zh-CN"/>
        </w:rPr>
        <w:t>0</w:t>
      </w:r>
      <w:r>
        <w:rPr>
          <w:rFonts w:hint="eastAsia" w:ascii="仿宋" w:hAnsi="仿宋" w:eastAsia="仿宋"/>
          <w:sz w:val="32"/>
          <w:szCs w:val="32"/>
        </w:rPr>
        <w:t>万元，增长/下降</w:t>
      </w:r>
      <w:r>
        <w:rPr>
          <w:rFonts w:hint="eastAsia" w:ascii="仿宋" w:hAnsi="仿宋" w:eastAsia="仿宋"/>
          <w:sz w:val="32"/>
          <w:szCs w:val="32"/>
          <w:lang w:val="en-US" w:eastAsia="zh-CN"/>
        </w:rPr>
        <w:t>0</w:t>
      </w:r>
      <w:r>
        <w:rPr>
          <w:rFonts w:hint="eastAsia" w:ascii="仿宋" w:hAnsi="仿宋" w:eastAsia="仿宋"/>
          <w:sz w:val="32"/>
          <w:szCs w:val="32"/>
        </w:rPr>
        <w:t>%。其中：</w:t>
      </w:r>
    </w:p>
    <w:p>
      <w:pPr>
        <w:spacing w:line="600" w:lineRule="exact"/>
        <w:ind w:firstLine="640"/>
        <w:rPr>
          <w:rFonts w:hint="eastAsia" w:ascii="仿宋" w:hAnsi="仿宋" w:eastAsia="仿宋"/>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 w:hAnsi="仿宋" w:eastAsia="仿宋"/>
          <w:sz w:val="32"/>
          <w:szCs w:val="32"/>
        </w:rPr>
        <w:t>万元，国内公务接待</w:t>
      </w:r>
      <w:r>
        <w:rPr>
          <w:rFonts w:hint="eastAsia" w:ascii="仿宋" w:hAnsi="仿宋" w:eastAsia="仿宋"/>
          <w:sz w:val="32"/>
          <w:szCs w:val="32"/>
          <w:lang w:val="en-US" w:eastAsia="zh-CN"/>
        </w:rPr>
        <w:t>0</w:t>
      </w:r>
      <w:r>
        <w:rPr>
          <w:rFonts w:hint="eastAsia" w:ascii="仿宋" w:hAnsi="仿宋" w:eastAsia="仿宋"/>
          <w:sz w:val="32"/>
          <w:szCs w:val="32"/>
        </w:rPr>
        <w:t>批次，</w:t>
      </w:r>
      <w:r>
        <w:rPr>
          <w:rFonts w:hint="eastAsia" w:ascii="仿宋" w:hAnsi="仿宋" w:eastAsia="仿宋"/>
          <w:sz w:val="32"/>
          <w:szCs w:val="32"/>
          <w:lang w:val="en-US" w:eastAsia="zh-CN"/>
        </w:rPr>
        <w:t>0</w:t>
      </w:r>
      <w:r>
        <w:rPr>
          <w:rFonts w:hint="eastAsia" w:ascii="仿宋" w:hAnsi="仿宋" w:eastAsia="仿宋"/>
          <w:sz w:val="32"/>
          <w:szCs w:val="32"/>
        </w:rPr>
        <w:t>人次，共计支出</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 w:hAnsi="仿宋" w:eastAsia="仿宋"/>
          <w:sz w:val="32"/>
          <w:szCs w:val="32"/>
        </w:rPr>
        <w:t>万元，外事接待</w:t>
      </w:r>
      <w:r>
        <w:rPr>
          <w:rFonts w:hint="eastAsia" w:ascii="仿宋" w:hAnsi="仿宋" w:eastAsia="仿宋"/>
          <w:sz w:val="32"/>
          <w:szCs w:val="32"/>
          <w:lang w:val="en-US" w:eastAsia="zh-CN"/>
        </w:rPr>
        <w:t>0</w:t>
      </w:r>
      <w:r>
        <w:rPr>
          <w:rFonts w:hint="eastAsia" w:ascii="仿宋" w:hAnsi="仿宋" w:eastAsia="仿宋"/>
          <w:sz w:val="32"/>
          <w:szCs w:val="32"/>
        </w:rPr>
        <w:t>批次，</w:t>
      </w:r>
      <w:r>
        <w:rPr>
          <w:rFonts w:hint="eastAsia" w:ascii="仿宋" w:hAnsi="仿宋" w:eastAsia="仿宋"/>
          <w:sz w:val="32"/>
          <w:szCs w:val="32"/>
          <w:lang w:val="en-US" w:eastAsia="zh-CN"/>
        </w:rPr>
        <w:t>0</w:t>
      </w:r>
      <w:r>
        <w:rPr>
          <w:rFonts w:hint="eastAsia" w:ascii="仿宋" w:hAnsi="仿宋" w:eastAsia="仿宋"/>
          <w:sz w:val="32"/>
          <w:szCs w:val="32"/>
        </w:rPr>
        <w:t>人次，共计支出</w:t>
      </w:r>
      <w:r>
        <w:rPr>
          <w:rFonts w:hint="eastAsia" w:ascii="仿宋" w:hAnsi="仿宋" w:eastAsia="仿宋"/>
          <w:sz w:val="32"/>
          <w:szCs w:val="32"/>
          <w:lang w:val="en-US" w:eastAsia="zh-CN"/>
        </w:rPr>
        <w:t>0</w:t>
      </w:r>
      <w:r>
        <w:rPr>
          <w:rFonts w:hint="eastAsia" w:ascii="仿宋" w:hAnsi="仿宋" w:eastAsia="仿宋"/>
          <w:sz w:val="32"/>
          <w:szCs w:val="32"/>
        </w:rPr>
        <w:t>万元。</w:t>
      </w:r>
      <w:bookmarkStart w:id="40" w:name="_Toc15377218"/>
      <w:bookmarkStart w:id="41" w:name="_Toc15396610"/>
    </w:p>
    <w:p>
      <w:pPr>
        <w:pStyle w:val="6"/>
      </w:pPr>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40"/>
      <w:bookmarkEnd w:id="41"/>
    </w:p>
    <w:p>
      <w:pPr>
        <w:spacing w:line="600" w:lineRule="exact"/>
        <w:ind w:firstLine="645"/>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022年政府性基金预算财政拨款支出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p>
    <w:p>
      <w:pPr>
        <w:numPr>
          <w:ilvl w:val="0"/>
          <w:numId w:val="3"/>
        </w:numPr>
        <w:spacing w:line="600" w:lineRule="exact"/>
        <w:ind w:firstLine="640"/>
        <w:outlineLvl w:val="1"/>
        <w:rPr>
          <w:rStyle w:val="29"/>
          <w:rFonts w:ascii="黑体" w:hAnsi="黑体" w:eastAsia="黑体"/>
          <w:b w:val="0"/>
        </w:rPr>
      </w:pPr>
      <w:bookmarkStart w:id="42" w:name="_Toc15377219"/>
      <w:bookmarkStart w:id="43" w:name="_Toc15396611"/>
      <w:r>
        <w:rPr>
          <w:rStyle w:val="29"/>
          <w:rFonts w:hint="eastAsia" w:ascii="黑体" w:hAnsi="黑体" w:eastAsia="黑体"/>
          <w:b w:val="0"/>
        </w:rPr>
        <w:t>国有资本经营预算支出决算情况说明</w:t>
      </w:r>
      <w:bookmarkEnd w:id="42"/>
      <w:bookmarkEnd w:id="43"/>
    </w:p>
    <w:p>
      <w:pPr>
        <w:spacing w:line="600" w:lineRule="exact"/>
        <w:ind w:firstLine="645"/>
        <w:rPr>
          <w:rFonts w:hint="eastAsia" w:ascii="仿宋" w:hAnsi="仿宋" w:eastAsia="仿宋"/>
          <w:sz w:val="32"/>
          <w:szCs w:val="32"/>
        </w:rPr>
      </w:pPr>
      <w:r>
        <w:rPr>
          <w:rFonts w:hint="eastAsia" w:ascii="仿宋" w:hAnsi="仿宋" w:eastAsia="仿宋"/>
          <w:sz w:val="32"/>
          <w:szCs w:val="32"/>
        </w:rPr>
        <w:t>2022年国有资本经营预算财政拨款支出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bookmarkStart w:id="44" w:name="_Toc15396612"/>
      <w:bookmarkStart w:id="45" w:name="_Toc15377221"/>
    </w:p>
    <w:p>
      <w:pPr>
        <w:spacing w:line="600" w:lineRule="exact"/>
        <w:ind w:firstLine="640"/>
        <w:rPr>
          <w:rStyle w:val="29"/>
          <w:rFonts w:ascii="黑体" w:hAnsi="黑体" w:eastAsia="黑体"/>
          <w:b w:val="0"/>
        </w:rPr>
      </w:pPr>
      <w:r>
        <w:rPr>
          <w:rStyle w:val="29"/>
          <w:rFonts w:hint="eastAsia" w:ascii="黑体" w:hAnsi="黑体" w:eastAsia="黑体"/>
          <w:b w:val="0"/>
          <w:lang w:val="en-US" w:eastAsia="zh-CN"/>
        </w:rPr>
        <w:t>十、</w:t>
      </w:r>
      <w:r>
        <w:rPr>
          <w:rStyle w:val="29"/>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autoSpaceDE w:val="0"/>
        <w:autoSpaceDN w:val="0"/>
        <w:adjustRightInd w:val="0"/>
        <w:spacing w:line="600" w:lineRule="exact"/>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2022年，</w:t>
      </w:r>
      <w:r>
        <w:rPr>
          <w:rFonts w:hint="eastAsia" w:ascii="仿宋" w:hAnsi="仿宋" w:eastAsia="仿宋" w:cs="Times New Roman"/>
          <w:sz w:val="32"/>
          <w:szCs w:val="32"/>
          <w:lang w:val="en-US" w:eastAsia="zh-CN"/>
        </w:rPr>
        <w:t>乐至县高寺镇凉水卫生院</w:t>
      </w:r>
      <w:r>
        <w:rPr>
          <w:rFonts w:hint="eastAsia" w:ascii="仿宋" w:hAnsi="仿宋" w:eastAsia="仿宋" w:cs="Times New Roman"/>
          <w:sz w:val="32"/>
          <w:szCs w:val="32"/>
        </w:rPr>
        <w:t>机关运行经费支出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万元，比2021年增加/减少</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万元，增长/下降</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autoSpaceDE w:val="0"/>
        <w:autoSpaceDN w:val="0"/>
        <w:adjustRightInd w:val="0"/>
        <w:spacing w:line="600" w:lineRule="exact"/>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2022年，</w:t>
      </w:r>
      <w:r>
        <w:rPr>
          <w:rFonts w:hint="eastAsia" w:ascii="仿宋" w:hAnsi="仿宋" w:eastAsia="仿宋" w:cs="Times New Roman"/>
          <w:sz w:val="32"/>
          <w:szCs w:val="32"/>
          <w:lang w:val="en-US" w:eastAsia="zh-CN"/>
        </w:rPr>
        <w:t>乐至县高寺镇凉水卫生院</w:t>
      </w:r>
      <w:r>
        <w:rPr>
          <w:rFonts w:hint="eastAsia" w:ascii="仿宋" w:hAnsi="仿宋" w:eastAsia="仿宋" w:cs="Times New Roman"/>
          <w:sz w:val="32"/>
          <w:szCs w:val="32"/>
        </w:rPr>
        <w:t>政府采购支出总额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万元，其中：政府采购货物支出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万元、政府采购工程支出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万元、政府采购服务支出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万元。授予中小企业合同金额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万元，占政府采购支出总额的</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%，其中：授予小微企业合同金额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万元，占政府采购支出总额的</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截至2022年12月31日，</w:t>
      </w:r>
      <w:r>
        <w:rPr>
          <w:rFonts w:hint="eastAsia" w:ascii="仿宋" w:hAnsi="仿宋" w:eastAsia="仿宋" w:cs="Times New Roman"/>
          <w:sz w:val="32"/>
          <w:szCs w:val="32"/>
          <w:lang w:val="en-US" w:eastAsia="zh-CN"/>
        </w:rPr>
        <w:t>乐至县高寺镇凉水卫生院</w:t>
      </w:r>
      <w:r>
        <w:rPr>
          <w:rFonts w:hint="eastAsia" w:ascii="仿宋" w:hAnsi="仿宋" w:eastAsia="仿宋" w:cs="Times New Roman"/>
          <w:sz w:val="32"/>
          <w:szCs w:val="32"/>
        </w:rPr>
        <w:t>共有车辆</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辆。单价100万元以上专用设备</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根据预算绩效管理要求，本部门在2022年度预算编制阶段，组织对XXX项目（项目名称）等XX个项目开展了预算事前绩效评估，对XX个项目编制了绩效目标，预算执行过程中，选取XX个项目开展绩效监控。</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XX部门整体（含部门预算项目）绩效自评报告、XX等专项预算项目绩效自评报告，其中，XX部门整体（含部门预算项目）绩效自评得分为XX分，绩效自评综述：......；XX专项预算项目绩效自评得分为XX分，绩效自评综述：......。绩效自评报告详见附件。</w:t>
      </w:r>
      <w:r>
        <w:rPr>
          <w:rFonts w:hint="eastAsia" w:ascii="仿宋_GB2312" w:hAnsi="仿宋_GB2312" w:eastAsia="仿宋_GB2312" w:cs="仿宋_GB2312"/>
          <w:sz w:val="32"/>
          <w:szCs w:val="32"/>
          <w:highlight w:val="yellow"/>
        </w:rPr>
        <w:t>（如不涉及，可根据实际修改表述。）</w:t>
      </w:r>
    </w:p>
    <w:p>
      <w:pPr>
        <w:autoSpaceDE w:val="0"/>
        <w:autoSpaceDN w:val="0"/>
        <w:adjustRightInd w:val="0"/>
        <w:spacing w:line="600" w:lineRule="exact"/>
        <w:ind w:firstLine="640" w:firstLineChars="200"/>
        <w:jc w:val="left"/>
        <w:rPr>
          <w:rFonts w:eastAsia="仿宋_GB2312"/>
          <w:iCs/>
          <w:sz w:val="32"/>
          <w:szCs w:val="32"/>
          <w:highlight w:val="yellow"/>
        </w:rPr>
      </w:pPr>
      <w:bookmarkStart w:id="49" w:name="_Hlk113349528"/>
      <w:bookmarkStart w:id="50" w:name="_Hlk113349417"/>
      <w:r>
        <w:rPr>
          <w:rFonts w:hint="eastAsia" w:eastAsia="仿宋"/>
          <w:i/>
          <w:color w:val="000000"/>
          <w:sz w:val="32"/>
          <w:szCs w:val="32"/>
          <w:highlight w:val="yellow"/>
        </w:rPr>
        <w:t>（口</w:t>
      </w:r>
      <w:r>
        <w:rPr>
          <w:rFonts w:hint="eastAsia" w:eastAsia="仿宋"/>
          <w:i/>
          <w:sz w:val="32"/>
          <w:szCs w:val="32"/>
          <w:highlight w:val="yellow"/>
        </w:rPr>
        <w:t>径：1、如有问题，请详询县财政局财政监督与绩效管理股，以该股室最终解释为准。2、附件（第四部分）包含</w:t>
      </w:r>
      <w:bookmarkEnd w:id="49"/>
      <w:r>
        <w:rPr>
          <w:rFonts w:hint="eastAsia" w:eastAsia="仿宋"/>
          <w:i/>
          <w:sz w:val="32"/>
          <w:szCs w:val="32"/>
          <w:highlight w:val="yellow"/>
        </w:rPr>
        <w:t>2022年省级部门整体绩效评价自评报告、部门预算项目支出绩效自评报告3、若本部门未开展绩效自评，则说明未开展情况。如：“本部门无项目支出，</w:t>
      </w:r>
      <w:r>
        <w:rPr>
          <w:rFonts w:hint="eastAsia" w:eastAsia="仿宋"/>
          <w:i/>
          <w:color w:val="000000"/>
          <w:sz w:val="32"/>
          <w:szCs w:val="32"/>
          <w:highlight w:val="yellow"/>
        </w:rPr>
        <w:t>因此未组织开展项目支出绩效自评”。4、有项目支出的部门，项目个数在5个以上的，选取5个重点项目进行公开；项目个数在5个以下的，全部进行公开。）</w:t>
      </w:r>
    </w:p>
    <w:bookmarkEnd w:id="50"/>
    <w:p>
      <w:pPr>
        <w:widowControl/>
        <w:ind w:firstLine="643" w:firstLineChars="200"/>
        <w:jc w:val="left"/>
        <w:rPr>
          <w:rFonts w:ascii="仿宋_GB2312" w:eastAsia="仿宋_GB2312"/>
          <w:b/>
          <w:sz w:val="32"/>
          <w:szCs w:val="32"/>
        </w:rPr>
      </w:pPr>
      <w:r>
        <w:rPr>
          <w:rFonts w:ascii="仿宋_GB2312" w:eastAsia="仿宋_GB2312"/>
          <w:b/>
          <w:sz w:val="32"/>
          <w:szCs w:val="32"/>
        </w:rPr>
        <w:br w:type="page"/>
      </w:r>
    </w:p>
    <w:p>
      <w:pPr>
        <w:pStyle w:val="6"/>
        <w:spacing w:before="93"/>
      </w:pPr>
    </w:p>
    <w:p>
      <w:pPr>
        <w:numPr>
          <w:ilvl w:val="0"/>
          <w:numId w:val="4"/>
        </w:numPr>
        <w:spacing w:line="600" w:lineRule="exact"/>
        <w:ind w:firstLine="660" w:firstLineChars="150"/>
        <w:jc w:val="center"/>
        <w:outlineLvl w:val="0"/>
        <w:rPr>
          <w:rStyle w:val="28"/>
          <w:rFonts w:ascii="黑体" w:hAnsi="黑体" w:eastAsia="黑体"/>
          <w:b w:val="0"/>
        </w:rPr>
      </w:pPr>
      <w:bookmarkStart w:id="51" w:name="_Toc15396613"/>
      <w:bookmarkStart w:id="52" w:name="_Toc15377225"/>
      <w:r>
        <w:rPr>
          <w:rFonts w:hint="eastAsia" w:ascii="黑体" w:hAnsi="黑体" w:eastAsia="黑体"/>
          <w:sz w:val="44"/>
          <w:szCs w:val="44"/>
        </w:rPr>
        <w:t>名</w:t>
      </w:r>
      <w:r>
        <w:rPr>
          <w:rStyle w:val="28"/>
          <w:rFonts w:hint="eastAsia" w:ascii="黑体" w:hAnsi="黑体" w:eastAsia="黑体"/>
          <w:b w:val="0"/>
        </w:rPr>
        <w:t>词解释</w:t>
      </w:r>
      <w:bookmarkEnd w:id="51"/>
      <w:bookmarkEnd w:id="52"/>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spacing w:line="600" w:lineRule="exact"/>
        <w:ind w:firstLine="640"/>
        <w:rPr>
          <w:rFonts w:ascii="仿宋" w:hAnsi="仿宋" w:eastAsia="仿宋"/>
          <w:b/>
          <w:sz w:val="32"/>
          <w:szCs w:val="32"/>
        </w:rPr>
      </w:pPr>
      <w:r>
        <w:rPr>
          <w:rFonts w:hint="eastAsia" w:eastAsia="仿宋"/>
          <w:i/>
          <w:color w:val="000000"/>
          <w:sz w:val="32"/>
          <w:szCs w:val="32"/>
          <w:highlight w:val="yellow"/>
        </w:rPr>
        <w:t>（口径：</w:t>
      </w:r>
      <w:r>
        <w:rPr>
          <w:rFonts w:eastAsia="仿宋"/>
          <w:i/>
          <w:color w:val="000000"/>
          <w:sz w:val="32"/>
          <w:szCs w:val="32"/>
          <w:highlight w:val="yellow"/>
        </w:rPr>
        <w:t>1、第1-8点必须保留。2、第9-26点解释本</w:t>
      </w:r>
      <w:r>
        <w:rPr>
          <w:rFonts w:hint="eastAsia" w:eastAsia="仿宋"/>
          <w:i/>
          <w:color w:val="000000"/>
          <w:sz w:val="32"/>
          <w:szCs w:val="32"/>
          <w:highlight w:val="yellow"/>
        </w:rPr>
        <w:t>单位决算报表中涉及全部功能分类科目至项级，不涉及的科目请自行删除。请参照《202</w:t>
      </w:r>
      <w:r>
        <w:rPr>
          <w:rFonts w:eastAsia="仿宋"/>
          <w:i/>
          <w:color w:val="000000"/>
          <w:sz w:val="32"/>
          <w:szCs w:val="32"/>
          <w:highlight w:val="yellow"/>
        </w:rPr>
        <w:t>2</w:t>
      </w:r>
      <w:r>
        <w:rPr>
          <w:rFonts w:hint="eastAsia" w:eastAsia="仿宋"/>
          <w:i/>
          <w:color w:val="000000"/>
          <w:sz w:val="32"/>
          <w:szCs w:val="32"/>
          <w:highlight w:val="yellow"/>
        </w:rPr>
        <w:t>年政府收支分类科目》增减内容，并重新编制序号。）</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6"/>
        <w:spacing w:line="560" w:lineRule="exact"/>
        <w:ind w:firstLine="640" w:firstLineChars="200"/>
        <w:rPr>
          <w:rFonts w:ascii="仿宋_GB2312" w:eastAsia="仿宋_GB2312" w:cs="黑体"/>
          <w:color w:val="auto"/>
          <w:sz w:val="32"/>
          <w:szCs w:val="32"/>
        </w:rPr>
      </w:pPr>
    </w:p>
    <w:p>
      <w:pPr>
        <w:ind w:firstLine="640" w:firstLineChars="200"/>
        <w:rPr>
          <w:rFonts w:eastAsia="仿宋"/>
          <w:i/>
          <w:color w:val="000000"/>
          <w:sz w:val="32"/>
          <w:szCs w:val="32"/>
          <w:highlight w:val="yellow"/>
        </w:rPr>
      </w:pPr>
      <w:bookmarkStart w:id="53" w:name="_Toc15377226"/>
      <w:r>
        <w:rPr>
          <w:rFonts w:hint="eastAsia" w:eastAsia="仿宋"/>
          <w:i/>
          <w:color w:val="000000"/>
          <w:sz w:val="32"/>
          <w:szCs w:val="32"/>
          <w:highlight w:val="yellow"/>
        </w:rPr>
        <w:t>（</w:t>
      </w:r>
      <w:r>
        <w:rPr>
          <w:rFonts w:eastAsia="仿宋"/>
          <w:i/>
          <w:color w:val="000000"/>
          <w:sz w:val="32"/>
          <w:szCs w:val="32"/>
          <w:highlight w:val="yellow"/>
        </w:rPr>
        <w:t>口径：第27点以后名词解释部分请根据各</w:t>
      </w:r>
      <w:r>
        <w:rPr>
          <w:rFonts w:hint="eastAsia" w:eastAsia="仿宋"/>
          <w:i/>
          <w:color w:val="000000"/>
          <w:sz w:val="32"/>
          <w:szCs w:val="32"/>
          <w:highlight w:val="yellow"/>
        </w:rPr>
        <w:t>单位</w:t>
      </w:r>
      <w:r>
        <w:rPr>
          <w:rFonts w:eastAsia="仿宋"/>
          <w:i/>
          <w:color w:val="000000"/>
          <w:sz w:val="32"/>
          <w:szCs w:val="32"/>
          <w:highlight w:val="yellow"/>
        </w:rPr>
        <w:t>实际列支情况罗列，并根据本</w:t>
      </w:r>
      <w:r>
        <w:rPr>
          <w:rFonts w:hint="eastAsia" w:eastAsia="仿宋"/>
          <w:i/>
          <w:color w:val="000000"/>
          <w:sz w:val="32"/>
          <w:szCs w:val="32"/>
          <w:highlight w:val="yellow"/>
        </w:rPr>
        <w:t>单位</w:t>
      </w:r>
      <w:r>
        <w:rPr>
          <w:rFonts w:eastAsia="仿宋"/>
          <w:i/>
          <w:color w:val="000000"/>
          <w:sz w:val="32"/>
          <w:szCs w:val="32"/>
          <w:highlight w:val="yellow"/>
        </w:rPr>
        <w:t>职责职能增减名词解释内容，并重新编制序号。</w:t>
      </w:r>
      <w:r>
        <w:rPr>
          <w:rFonts w:hint="eastAsia" w:eastAsia="仿宋"/>
          <w:i/>
          <w:color w:val="000000"/>
          <w:sz w:val="32"/>
          <w:szCs w:val="32"/>
          <w:highlight w:val="yellow"/>
        </w:rPr>
        <w:t>）</w:t>
      </w:r>
    </w:p>
    <w:p>
      <w:pPr>
        <w:spacing w:line="600" w:lineRule="exact"/>
        <w:jc w:val="center"/>
        <w:outlineLvl w:val="0"/>
        <w:rPr>
          <w:rStyle w:val="28"/>
          <w:rFonts w:ascii="黑体" w:hAnsi="黑体" w:eastAsia="黑体"/>
          <w:b w:val="0"/>
        </w:rPr>
      </w:pPr>
      <w:r>
        <w:rPr>
          <w:rFonts w:ascii="宋体"/>
          <w:b/>
          <w:sz w:val="44"/>
          <w:szCs w:val="44"/>
        </w:rPr>
        <w:br w:type="page"/>
      </w:r>
      <w:bookmarkStart w:id="54" w:name="_Toc15396614"/>
      <w:r>
        <w:rPr>
          <w:rFonts w:hint="eastAsia" w:ascii="黑体" w:hAnsi="黑体" w:eastAsia="黑体"/>
          <w:sz w:val="44"/>
          <w:szCs w:val="44"/>
        </w:rPr>
        <w:t>第</w:t>
      </w:r>
      <w:r>
        <w:rPr>
          <w:rStyle w:val="28"/>
          <w:rFonts w:hint="eastAsia" w:ascii="黑体" w:hAnsi="黑体" w:eastAsia="黑体"/>
          <w:b w:val="0"/>
        </w:rPr>
        <w:t>四部分 附件</w:t>
      </w:r>
      <w:bookmarkEnd w:id="54"/>
    </w:p>
    <w:p>
      <w:pPr>
        <w:spacing w:line="572" w:lineRule="exact"/>
        <w:jc w:val="left"/>
        <w:outlineLvl w:val="0"/>
        <w:rPr>
          <w:rFonts w:ascii="黑体" w:hAnsi="黑体" w:eastAsia="黑体" w:cs="黑体"/>
          <w:sz w:val="32"/>
          <w:szCs w:val="32"/>
        </w:rPr>
      </w:pPr>
      <w:r>
        <w:rPr>
          <w:rFonts w:hint="eastAsia" w:ascii="黑体" w:hAnsi="黑体" w:eastAsia="黑体" w:cs="黑体"/>
          <w:sz w:val="32"/>
          <w:szCs w:val="32"/>
        </w:rPr>
        <w:t>附件</w:t>
      </w:r>
    </w:p>
    <w:p>
      <w:pPr>
        <w:pStyle w:val="6"/>
        <w:spacing w:before="93"/>
        <w:rPr>
          <w:rFonts w:hint="eastAsia" w:eastAsia="黑体"/>
          <w:highlight w:val="yellow"/>
        </w:rPr>
      </w:pPr>
      <w:r>
        <w:rPr>
          <w:rFonts w:hint="eastAsia" w:eastAsia="黑体"/>
          <w:highlight w:val="yellow"/>
        </w:rPr>
        <w:t>（该部分含部门整体绩效自评报告和重点项目支出绩效自评报告，格式参照年度绩效自评工作安排的通知要求执行）</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2022年度</w:t>
      </w:r>
      <w:r>
        <w:rPr>
          <w:rFonts w:hint="eastAsia" w:ascii="仿宋" w:hAnsi="仿宋" w:eastAsia="仿宋" w:cs="仿宋"/>
          <w:sz w:val="32"/>
          <w:szCs w:val="32"/>
        </w:rPr>
        <w:t>，各项卫生专项资金和本级财政安排的专项经费，都严格按照专项经费管理使用要求和相应项目实施方案要求进行管理，严格支出，专项资金使用规范，制定相关资金管理制度，项目工作</w:t>
      </w:r>
      <w:r>
        <w:rPr>
          <w:rFonts w:hint="eastAsia" w:ascii="仿宋" w:hAnsi="仿宋" w:eastAsia="仿宋" w:cs="仿宋"/>
          <w:sz w:val="32"/>
          <w:szCs w:val="32"/>
          <w:lang w:val="en-US" w:eastAsia="zh-CN"/>
        </w:rPr>
        <w:t>有力开展</w:t>
      </w:r>
      <w:r>
        <w:rPr>
          <w:rFonts w:hint="eastAsia" w:ascii="仿宋" w:hAnsi="仿宋" w:eastAsia="仿宋" w:cs="仿宋"/>
          <w:sz w:val="32"/>
          <w:szCs w:val="32"/>
        </w:rPr>
        <w:t>，工作稳步推进，且</w:t>
      </w:r>
      <w:r>
        <w:rPr>
          <w:rFonts w:hint="eastAsia" w:ascii="仿宋" w:hAnsi="仿宋" w:eastAsia="仿宋" w:cs="仿宋"/>
          <w:sz w:val="32"/>
          <w:szCs w:val="32"/>
          <w:lang w:val="en-US" w:eastAsia="zh-CN"/>
        </w:rPr>
        <w:t>效果</w:t>
      </w:r>
      <w:r>
        <w:rPr>
          <w:rFonts w:hint="eastAsia" w:ascii="仿宋" w:hAnsi="仿宋" w:eastAsia="仿宋" w:cs="仿宋"/>
          <w:sz w:val="32"/>
          <w:szCs w:val="32"/>
        </w:rPr>
        <w:t>明显，项目专项资金财政到位和拨付</w:t>
      </w:r>
      <w:r>
        <w:rPr>
          <w:rFonts w:hint="eastAsia" w:ascii="仿宋" w:hAnsi="仿宋" w:eastAsia="仿宋" w:cs="仿宋"/>
          <w:sz w:val="32"/>
          <w:szCs w:val="32"/>
          <w:lang w:val="en-US" w:eastAsia="zh-CN"/>
        </w:rPr>
        <w:t>都能</w:t>
      </w:r>
      <w:r>
        <w:rPr>
          <w:rFonts w:hint="eastAsia" w:ascii="仿宋" w:hAnsi="仿宋" w:eastAsia="仿宋" w:cs="仿宋"/>
          <w:sz w:val="32"/>
          <w:szCs w:val="32"/>
        </w:rPr>
        <w:t>做到及时，财政对相关配套项目资金有保障，各项目资金使用单位严格专项资金使用与管理，进行专账核算，专款专用，用到实处，确保资金使用效果，专项资金产出的效果较明显，达到预期效果</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综合</w:t>
      </w:r>
      <w:r>
        <w:rPr>
          <w:rFonts w:hint="eastAsia" w:ascii="仿宋" w:hAnsi="仿宋" w:eastAsia="仿宋" w:cs="仿宋"/>
          <w:sz w:val="32"/>
          <w:szCs w:val="32"/>
          <w:lang w:val="en-US" w:eastAsia="zh-CN"/>
        </w:rPr>
        <w:t>以上</w:t>
      </w:r>
      <w:r>
        <w:rPr>
          <w:rFonts w:hint="eastAsia" w:ascii="仿宋" w:hAnsi="仿宋" w:eastAsia="仿宋" w:cs="仿宋"/>
          <w:sz w:val="32"/>
          <w:szCs w:val="32"/>
        </w:rPr>
        <w:t>各项指标，我院财务管理较为健全规范，未发生严重违法违规</w:t>
      </w:r>
      <w:r>
        <w:rPr>
          <w:rFonts w:hint="eastAsia" w:ascii="仿宋" w:hAnsi="仿宋" w:eastAsia="仿宋" w:cs="仿宋"/>
          <w:sz w:val="32"/>
          <w:szCs w:val="32"/>
          <w:lang w:val="en-US" w:eastAsia="zh-CN"/>
        </w:rPr>
        <w:t>乱用</w:t>
      </w:r>
      <w:r>
        <w:rPr>
          <w:rFonts w:hint="eastAsia" w:ascii="仿宋" w:hAnsi="仿宋" w:eastAsia="仿宋" w:cs="仿宋"/>
          <w:sz w:val="32"/>
          <w:szCs w:val="32"/>
        </w:rPr>
        <w:t>现象，202</w:t>
      </w:r>
      <w:r>
        <w:rPr>
          <w:rFonts w:hint="eastAsia" w:ascii="仿宋" w:hAnsi="仿宋" w:eastAsia="仿宋" w:cs="仿宋"/>
          <w:sz w:val="32"/>
          <w:szCs w:val="32"/>
          <w:lang w:val="en-US" w:eastAsia="zh-CN"/>
        </w:rPr>
        <w:t>2</w:t>
      </w:r>
      <w:r>
        <w:rPr>
          <w:rFonts w:hint="eastAsia" w:ascii="仿宋" w:hAnsi="仿宋" w:eastAsia="仿宋" w:cs="仿宋"/>
          <w:sz w:val="32"/>
          <w:szCs w:val="32"/>
        </w:rPr>
        <w:t>年的部门整体支出绩效自我评价得到</w:t>
      </w:r>
      <w:r>
        <w:rPr>
          <w:rFonts w:hint="eastAsia" w:ascii="仿宋" w:hAnsi="仿宋" w:eastAsia="仿宋" w:cs="仿宋"/>
          <w:sz w:val="32"/>
          <w:szCs w:val="32"/>
          <w:lang w:val="en-US" w:eastAsia="zh-CN"/>
        </w:rPr>
        <w:t>91</w:t>
      </w:r>
      <w:r>
        <w:rPr>
          <w:rFonts w:hint="eastAsia" w:ascii="仿宋" w:hAnsi="仿宋" w:eastAsia="仿宋" w:cs="仿宋"/>
          <w:sz w:val="32"/>
          <w:szCs w:val="32"/>
        </w:rPr>
        <w:t>分，自评结果：良好。</w:t>
      </w:r>
      <w:r>
        <w:rPr>
          <w:rFonts w:hint="eastAsia" w:ascii="仿宋" w:hAnsi="仿宋" w:eastAsia="仿宋" w:cs="仿宋"/>
          <w:sz w:val="32"/>
          <w:szCs w:val="32"/>
          <w:lang w:val="en-US" w:eastAsia="zh-CN"/>
        </w:rPr>
        <w:t>我辖区</w:t>
      </w:r>
      <w:r>
        <w:rPr>
          <w:rFonts w:hint="eastAsia" w:ascii="仿宋" w:hAnsi="仿宋" w:eastAsia="仿宋" w:cs="仿宋"/>
          <w:sz w:val="32"/>
          <w:szCs w:val="32"/>
        </w:rPr>
        <w:t>卫计事业得以健康平稳发展。我院将在以后的工作中加强预算管理，严格控制各项经费的开支</w:t>
      </w:r>
      <w:r>
        <w:rPr>
          <w:rFonts w:hint="eastAsia" w:ascii="仿宋" w:hAnsi="仿宋" w:eastAsia="仿宋" w:cs="仿宋"/>
          <w:sz w:val="32"/>
          <w:szCs w:val="32"/>
          <w:lang w:val="en-US" w:eastAsia="zh-CN"/>
        </w:rPr>
        <w:t>使用</w:t>
      </w:r>
      <w:r>
        <w:rPr>
          <w:rFonts w:hint="eastAsia" w:ascii="仿宋" w:hAnsi="仿宋" w:eastAsia="仿宋" w:cs="仿宋"/>
          <w:sz w:val="32"/>
          <w:szCs w:val="32"/>
        </w:rPr>
        <w:t>，提高经费的使用效率。</w:t>
      </w:r>
      <w:bookmarkStart w:id="69" w:name="_GoBack"/>
      <w:bookmarkEnd w:id="69"/>
    </w:p>
    <w:p>
      <w:pPr>
        <w:pStyle w:val="6"/>
        <w:spacing w:before="93"/>
        <w:rPr>
          <w:rFonts w:hint="eastAsia" w:eastAsia="黑体"/>
          <w:highlight w:val="yellow"/>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spacing w:line="580" w:lineRule="exact"/>
        <w:rPr>
          <w:rStyle w:val="28"/>
          <w:rFonts w:ascii="黑体" w:hAnsi="黑体" w:eastAsia="黑体"/>
          <w:b w:val="0"/>
        </w:rPr>
      </w:pPr>
    </w:p>
    <w:p>
      <w:pPr>
        <w:pStyle w:val="6"/>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widowControl/>
        <w:jc w:val="left"/>
        <w:rPr>
          <w:rStyle w:val="28"/>
          <w:rFonts w:ascii="黑体" w:hAnsi="黑体" w:eastAsia="黑体"/>
          <w:b w:val="0"/>
        </w:rPr>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rPr>
          <w:rFonts w:hint="eastAsia"/>
        </w:rPr>
      </w:pPr>
    </w:p>
    <w:p>
      <w:pPr>
        <w:spacing w:line="600" w:lineRule="exact"/>
        <w:jc w:val="center"/>
        <w:outlineLvl w:val="0"/>
        <w:rPr>
          <w:rFonts w:ascii="仿宋" w:hAnsi="仿宋" w:eastAsia="仿宋"/>
        </w:rPr>
      </w:pPr>
      <w:bookmarkStart w:id="55" w:name="_Toc15396618"/>
      <w:r>
        <w:rPr>
          <w:rFonts w:hint="eastAsia" w:ascii="黑体" w:hAnsi="黑体" w:eastAsia="黑体"/>
          <w:sz w:val="44"/>
          <w:szCs w:val="44"/>
        </w:rPr>
        <w:t>第</w:t>
      </w:r>
      <w:r>
        <w:rPr>
          <w:rStyle w:val="28"/>
          <w:rFonts w:hint="eastAsia" w:ascii="黑体" w:hAnsi="黑体" w:eastAsia="黑体"/>
          <w:b w:val="0"/>
        </w:rPr>
        <w:t>五部分 附表</w:t>
      </w:r>
      <w:bookmarkEnd w:id="53"/>
      <w:bookmarkEnd w:id="55"/>
      <w:bookmarkStart w:id="56" w:name="_Toc15396619"/>
    </w:p>
    <w:p>
      <w:pPr>
        <w:pStyle w:val="3"/>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56"/>
    </w:p>
    <w:p>
      <w:pPr>
        <w:pStyle w:val="3"/>
        <w:rPr>
          <w:rFonts w:ascii="仿宋" w:hAnsi="仿宋" w:eastAsia="仿宋"/>
        </w:rPr>
      </w:pPr>
      <w:bookmarkStart w:id="57" w:name="_Toc15396620"/>
      <w:r>
        <w:rPr>
          <w:rFonts w:hint="eastAsia" w:ascii="仿宋" w:hAnsi="仿宋" w:eastAsia="仿宋"/>
          <w:b w:val="0"/>
        </w:rPr>
        <w:t>二、收</w:t>
      </w:r>
      <w:r>
        <w:rPr>
          <w:rStyle w:val="29"/>
          <w:rFonts w:hint="eastAsia" w:ascii="仿宋" w:hAnsi="仿宋" w:eastAsia="仿宋"/>
          <w:b w:val="0"/>
          <w:bCs w:val="0"/>
        </w:rPr>
        <w:t>入决算表</w:t>
      </w:r>
      <w:bookmarkEnd w:id="57"/>
    </w:p>
    <w:p>
      <w:pPr>
        <w:pStyle w:val="3"/>
        <w:rPr>
          <w:rFonts w:ascii="仿宋" w:hAnsi="仿宋" w:eastAsia="仿宋"/>
        </w:rPr>
      </w:pPr>
      <w:bookmarkStart w:id="58"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8"/>
    </w:p>
    <w:p>
      <w:pPr>
        <w:pStyle w:val="3"/>
        <w:rPr>
          <w:rFonts w:ascii="仿宋" w:hAnsi="仿宋" w:eastAsia="仿宋"/>
          <w:b w:val="0"/>
        </w:rPr>
      </w:pPr>
      <w:bookmarkStart w:id="59"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9"/>
    </w:p>
    <w:p>
      <w:pPr>
        <w:pStyle w:val="3"/>
        <w:rPr>
          <w:rStyle w:val="29"/>
          <w:rFonts w:ascii="仿宋" w:hAnsi="仿宋" w:eastAsia="仿宋"/>
          <w:b w:val="0"/>
          <w:bCs w:val="0"/>
        </w:rPr>
      </w:pPr>
      <w:bookmarkStart w:id="60"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60"/>
      <w:bookmarkStart w:id="61" w:name="_Toc15396624"/>
    </w:p>
    <w:p>
      <w:pPr>
        <w:pStyle w:val="3"/>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61"/>
    </w:p>
    <w:p>
      <w:pPr>
        <w:pStyle w:val="3"/>
        <w:rPr>
          <w:rFonts w:ascii="仿宋" w:hAnsi="仿宋" w:eastAsia="仿宋"/>
        </w:rPr>
      </w:pPr>
      <w:bookmarkStart w:id="62"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2"/>
    </w:p>
    <w:p>
      <w:pPr>
        <w:pStyle w:val="3"/>
        <w:rPr>
          <w:rFonts w:ascii="仿宋" w:hAnsi="仿宋" w:eastAsia="仿宋"/>
        </w:rPr>
      </w:pPr>
      <w:bookmarkStart w:id="63"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3"/>
    </w:p>
    <w:p>
      <w:pPr>
        <w:pStyle w:val="3"/>
        <w:rPr>
          <w:rFonts w:ascii="仿宋" w:hAnsi="仿宋" w:eastAsia="仿宋"/>
        </w:rPr>
      </w:pPr>
      <w:bookmarkStart w:id="64"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64"/>
    </w:p>
    <w:p>
      <w:pPr>
        <w:pStyle w:val="3"/>
        <w:rPr>
          <w:rFonts w:ascii="仿宋" w:hAnsi="仿宋" w:eastAsia="仿宋"/>
        </w:rPr>
      </w:pPr>
      <w:bookmarkStart w:id="65" w:name="_Toc15396628"/>
      <w:r>
        <w:rPr>
          <w:rStyle w:val="29"/>
          <w:rFonts w:hint="eastAsia" w:ascii="仿宋" w:hAnsi="仿宋" w:eastAsia="仿宋"/>
          <w:b w:val="0"/>
          <w:bCs w:val="0"/>
        </w:rPr>
        <w:t>十、</w:t>
      </w:r>
      <w:bookmarkEnd w:id="65"/>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3"/>
        <w:rPr>
          <w:rFonts w:ascii="仿宋" w:hAnsi="仿宋" w:eastAsia="仿宋"/>
        </w:rPr>
      </w:pPr>
      <w:bookmarkStart w:id="66" w:name="_Toc15396629"/>
      <w:r>
        <w:rPr>
          <w:rStyle w:val="29"/>
          <w:rFonts w:hint="eastAsia" w:ascii="仿宋" w:hAnsi="仿宋" w:eastAsia="仿宋"/>
          <w:b w:val="0"/>
          <w:bCs w:val="0"/>
        </w:rPr>
        <w:t>十一、</w:t>
      </w:r>
      <w:bookmarkEnd w:id="66"/>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3"/>
        <w:rPr>
          <w:rFonts w:ascii="仿宋" w:hAnsi="仿宋" w:eastAsia="仿宋"/>
        </w:rPr>
      </w:pPr>
      <w:bookmarkStart w:id="67" w:name="_Toc15396630"/>
      <w:r>
        <w:rPr>
          <w:rStyle w:val="29"/>
          <w:rFonts w:hint="eastAsia" w:ascii="仿宋" w:hAnsi="仿宋" w:eastAsia="仿宋"/>
          <w:b w:val="0"/>
          <w:bCs w:val="0"/>
        </w:rPr>
        <w:t>十二、</w:t>
      </w:r>
      <w:bookmarkEnd w:id="67"/>
      <w:r>
        <w:rPr>
          <w:rStyle w:val="29"/>
          <w:rFonts w:hint="eastAsia" w:ascii="仿宋" w:hAnsi="仿宋" w:eastAsia="仿宋"/>
          <w:b w:val="0"/>
          <w:bCs w:val="0"/>
        </w:rPr>
        <w:t>国有资本经营预算财政拨款支出决算表</w:t>
      </w:r>
    </w:p>
    <w:p>
      <w:pPr>
        <w:pStyle w:val="3"/>
        <w:rPr>
          <w:rFonts w:eastAsia="仿宋"/>
        </w:rPr>
      </w:pPr>
      <w:bookmarkStart w:id="68" w:name="_Toc15396631"/>
      <w:r>
        <w:rPr>
          <w:rStyle w:val="29"/>
          <w:rFonts w:hint="eastAsia" w:ascii="仿宋" w:hAnsi="仿宋" w:eastAsia="仿宋"/>
          <w:b w:val="0"/>
          <w:bCs w:val="0"/>
        </w:rPr>
        <w:t>十三、</w:t>
      </w:r>
      <w:bookmarkEnd w:id="68"/>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A38BB7-CEBE-4097-8B2C-185AF59961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877AC7B-6085-4760-BF87-D83EFEB2A6B2}"/>
  </w:font>
  <w:font w:name="Cambria">
    <w:panose1 w:val="02040503050406030204"/>
    <w:charset w:val="00"/>
    <w:family w:val="roman"/>
    <w:pitch w:val="default"/>
    <w:sig w:usb0="E00006FF" w:usb1="420024FF" w:usb2="02000000" w:usb3="00000000" w:csb0="2000019F" w:csb1="00000000"/>
    <w:embedRegular r:id="rId3" w:fontKey="{67EAC7D3-4BC4-4EF2-8B7A-76318044E35E}"/>
  </w:font>
  <w:font w:name="仿宋_GB2312">
    <w:panose1 w:val="02010609030101010101"/>
    <w:charset w:val="86"/>
    <w:family w:val="modern"/>
    <w:pitch w:val="default"/>
    <w:sig w:usb0="00000001" w:usb1="080E0000" w:usb2="00000000" w:usb3="00000000" w:csb0="00040000" w:csb1="00000000"/>
    <w:embedRegular r:id="rId4" w:fontKey="{A8CD5102-0F8C-47E8-A23E-AA949ED26CCA}"/>
  </w:font>
  <w:font w:name="仿宋">
    <w:panose1 w:val="02010609060101010101"/>
    <w:charset w:val="86"/>
    <w:family w:val="modern"/>
    <w:pitch w:val="default"/>
    <w:sig w:usb0="800002BF" w:usb1="38CF7CFA" w:usb2="00000016" w:usb3="00000000" w:csb0="00040001" w:csb1="00000000"/>
    <w:embedRegular r:id="rId5" w:fontKey="{623FC4C6-37A6-408E-B902-7E35238CD8DC}"/>
  </w:font>
  <w:font w:name="Arial">
    <w:panose1 w:val="020B0604020202020204"/>
    <w:charset w:val="00"/>
    <w:family w:val="swiss"/>
    <w:pitch w:val="default"/>
    <w:sig w:usb0="E0002EFF" w:usb1="C000785B" w:usb2="00000009" w:usb3="00000000" w:csb0="400001FF" w:csb1="FFFF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8CF96BA7-BA6C-4E41-A647-05A2069C976F}"/>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9B33B3D"/>
    <w:multiLevelType w:val="singleLevel"/>
    <w:tmpl w:val="E9B33B3D"/>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OTQ3ZDVlZTZjMzBkNmI4YzQyM2Y5NTcxMzA1N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F09"/>
    <w:rsid w:val="004E0A2D"/>
    <w:rsid w:val="004E206B"/>
    <w:rsid w:val="004E6DF7"/>
    <w:rsid w:val="004F0FBD"/>
    <w:rsid w:val="00505A47"/>
    <w:rsid w:val="00512FDA"/>
    <w:rsid w:val="00520DA0"/>
    <w:rsid w:val="005516C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F30"/>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A609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1547"/>
    <w:rsid w:val="00CE44F6"/>
    <w:rsid w:val="00CE49DA"/>
    <w:rsid w:val="00CE7B61"/>
    <w:rsid w:val="00D00095"/>
    <w:rsid w:val="00D114F0"/>
    <w:rsid w:val="00D20620"/>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54A1"/>
    <w:rsid w:val="00F81FD9"/>
    <w:rsid w:val="00F841AA"/>
    <w:rsid w:val="00F84A94"/>
    <w:rsid w:val="00F87E96"/>
    <w:rsid w:val="00FA23E8"/>
    <w:rsid w:val="00FD3CC1"/>
    <w:rsid w:val="00FF1E02"/>
    <w:rsid w:val="00FF30B4"/>
    <w:rsid w:val="015975B8"/>
    <w:rsid w:val="02143E91"/>
    <w:rsid w:val="066E0107"/>
    <w:rsid w:val="07996F6E"/>
    <w:rsid w:val="09EF5765"/>
    <w:rsid w:val="0A2032A3"/>
    <w:rsid w:val="0F98263C"/>
    <w:rsid w:val="101860EC"/>
    <w:rsid w:val="10C055FF"/>
    <w:rsid w:val="118107EC"/>
    <w:rsid w:val="13D50BC4"/>
    <w:rsid w:val="16BB723D"/>
    <w:rsid w:val="1BE8440E"/>
    <w:rsid w:val="1D155CEE"/>
    <w:rsid w:val="1FF35744"/>
    <w:rsid w:val="23860B96"/>
    <w:rsid w:val="240371BF"/>
    <w:rsid w:val="28D22706"/>
    <w:rsid w:val="29FD04D3"/>
    <w:rsid w:val="2C8A61B5"/>
    <w:rsid w:val="2DF04E50"/>
    <w:rsid w:val="2F040D46"/>
    <w:rsid w:val="3057419D"/>
    <w:rsid w:val="319F7F4E"/>
    <w:rsid w:val="3304709D"/>
    <w:rsid w:val="36AA5135"/>
    <w:rsid w:val="376D39B2"/>
    <w:rsid w:val="37E16F03"/>
    <w:rsid w:val="38D469F0"/>
    <w:rsid w:val="3D98207C"/>
    <w:rsid w:val="3E78745D"/>
    <w:rsid w:val="406B7366"/>
    <w:rsid w:val="44E268DA"/>
    <w:rsid w:val="468A7F52"/>
    <w:rsid w:val="4A627F82"/>
    <w:rsid w:val="4B0E749A"/>
    <w:rsid w:val="4B4F25DA"/>
    <w:rsid w:val="4BE068DB"/>
    <w:rsid w:val="4D577224"/>
    <w:rsid w:val="4EAB630A"/>
    <w:rsid w:val="4ECE2238"/>
    <w:rsid w:val="537E6D0A"/>
    <w:rsid w:val="5AF92295"/>
    <w:rsid w:val="5CD71FC4"/>
    <w:rsid w:val="6C4A05C8"/>
    <w:rsid w:val="6E7E3605"/>
    <w:rsid w:val="6FF5CC65"/>
    <w:rsid w:val="706305CE"/>
    <w:rsid w:val="715C0E4B"/>
    <w:rsid w:val="72734D90"/>
    <w:rsid w:val="73AD73D5"/>
    <w:rsid w:val="73B6EB34"/>
    <w:rsid w:val="744731E5"/>
    <w:rsid w:val="74770631"/>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2"/>
    <w:qFormat/>
    <w:uiPriority w:val="9"/>
    <w:rPr>
      <w:rFonts w:ascii="Times New Roman" w:hAnsi="Times New Roman"/>
      <w:b/>
      <w:bCs/>
      <w:kern w:val="44"/>
      <w:sz w:val="44"/>
      <w:szCs w:val="44"/>
    </w:rPr>
  </w:style>
  <w:style w:type="character" w:customStyle="1" w:styleId="29">
    <w:name w:val="标题 2 字符"/>
    <w:basedOn w:val="16"/>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semiHidden/>
    <w:qFormat/>
    <w:uiPriority w:val="99"/>
    <w:rPr>
      <w:rFonts w:ascii="Times New Roman" w:hAnsi="Times New Roman"/>
      <w:kern w:val="2"/>
      <w:sz w:val="18"/>
      <w:szCs w:val="18"/>
    </w:rPr>
  </w:style>
  <w:style w:type="character" w:customStyle="1" w:styleId="32">
    <w:name w:val="标题 3 字符"/>
    <w:basedOn w:val="16"/>
    <w:link w:val="4"/>
    <w:qFormat/>
    <w:uiPriority w:val="9"/>
    <w:rPr>
      <w:rFonts w:ascii="Times New Roman" w:hAnsi="Times New Roman"/>
      <w:b/>
      <w:bCs/>
      <w:kern w:val="2"/>
      <w:sz w:val="32"/>
      <w:szCs w:val="32"/>
    </w:rPr>
  </w:style>
  <w:style w:type="paragraph" w:customStyle="1" w:styleId="33">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tencent%20files\734965237\filerecv\2020&#36130;&#25919;&#37096;&#20915;&#31639;&#30456;&#20851;&#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tencent%20files\734965237\filerecv\2020&#36130;&#25919;&#37096;&#20915;&#31639;&#30456;&#20851;&#2227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tencent%20files\734965237\filerecv\2020&#36130;&#25919;&#37096;&#20915;&#31639;&#30456;&#20851;&#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tencent%20files\734965237\filerecv\2020&#36130;&#25919;&#37096;&#20915;&#31639;&#30456;&#20851;&#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tencent%20files\734965237\filerecv\2020&#36130;&#25919;&#37096;&#20915;&#31639;&#30456;&#20851;&#2227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tencent%20files\734965237\filerecv\2020&#36130;&#25919;&#37096;&#20915;&#31639;&#30456;&#20851;&#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tencent%20files\734965237\filerecv\2020&#36130;&#25919;&#37096;&#20915;&#31639;&#30456;&#20851;&#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95"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年度收、支总计比较</a:t>
            </a:r>
            <a:endParaRPr sz="1095"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w="3175">
          <a:noFill/>
        </a:ln>
      </c:spPr>
    </c:title>
    <c:autoTitleDeleted val="0"/>
    <c:plotArea>
      <c:layout/>
      <c:barChart>
        <c:barDir val="col"/>
        <c:grouping val="clustered"/>
        <c:varyColors val="0"/>
        <c:ser>
          <c:idx val="0"/>
          <c:order val="0"/>
          <c:spPr>
            <a:solidFill>
              <a:srgbClr val="9999FF">
                <a:alpha val="100000"/>
              </a:srgbClr>
            </a:solidFill>
            <a:ln w="12700">
              <a:solidFill>
                <a:srgbClr val="333333">
                  <a:alpha val="100000"/>
                </a:srgbClr>
              </a:solidFill>
              <a:prstDash val="solid"/>
            </a:ln>
          </c:spPr>
          <c:invertIfNegative val="0"/>
          <c:dLbls>
            <c:dLbl>
              <c:idx val="0"/>
              <c:layout/>
              <c:numFmt formatCode="General" sourceLinked="1"/>
              <c:spPr>
                <a:noFill/>
                <a:ln w="3175">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w="3175">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0"/>
              <c:showBubbleSize val="0"/>
              <c:extLst>
                <c:ext xmlns:c15="http://schemas.microsoft.com/office/drawing/2012/chart" uri="{CE6537A1-D6FC-4f65-9D91-7224C49458BB}"/>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0"/>
                <c15:leaderLines/>
              </c:ext>
            </c:extLst>
          </c:dLbls>
          <c:cat>
            <c:strRef>
              <c:f>[2020财政部决算相关图.xls]Sheet1!$A$65:$B$65</c:f>
              <c:strCache>
                <c:ptCount val="2"/>
                <c:pt idx="0">
                  <c:v>2021年度收支总计</c:v>
                </c:pt>
                <c:pt idx="1">
                  <c:v>2022年度收支总计</c:v>
                </c:pt>
              </c:strCache>
            </c:strRef>
          </c:cat>
          <c:val>
            <c:numRef>
              <c:f>[2020财政部决算相关图.xls]Sheet1!$A$66:$B$66</c:f>
              <c:numCache>
                <c:formatCode>General</c:formatCode>
                <c:ptCount val="2"/>
                <c:pt idx="0">
                  <c:v>4438600</c:v>
                </c:pt>
                <c:pt idx="1">
                  <c:v>4095100</c:v>
                </c:pt>
              </c:numCache>
            </c:numRef>
          </c:val>
        </c:ser>
        <c:dLbls>
          <c:showLegendKey val="0"/>
          <c:showVal val="0"/>
          <c:showCatName val="0"/>
          <c:showSerName val="0"/>
          <c:showPercent val="0"/>
          <c:showBubbleSize val="0"/>
        </c:dLbls>
        <c:gapWidth val="150"/>
        <c:overlap val="0"/>
        <c:axId val="54551595"/>
        <c:axId val="336969559"/>
      </c:barChart>
      <c:catAx>
        <c:axId val="54551595"/>
        <c:scaling>
          <c:orientation val="minMax"/>
        </c:scaling>
        <c:delete val="0"/>
        <c:axPos val="b"/>
        <c:majorTickMark val="in"/>
        <c:minorTickMark val="none"/>
        <c:tickLblPos val="nextTo"/>
        <c:spPr>
          <a:ln w="3175" cap="flat" cmpd="sng" algn="ctr">
            <a:solidFill>
              <a:srgbClr val="333333">
                <a:alpha val="100000"/>
              </a:srgbClr>
            </a:solidFill>
            <a:prstDash val="solid"/>
            <a:round/>
          </a:ln>
        </c:spPr>
        <c:txPr>
          <a:bodyPr rot="-60000000" spcFirstLastPara="0" vertOverflow="ellipsis" vert="horz" wrap="square"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336969559"/>
        <c:crosses val="autoZero"/>
        <c:auto val="1"/>
        <c:lblAlgn val="ctr"/>
        <c:lblOffset val="100"/>
        <c:noMultiLvlLbl val="0"/>
      </c:catAx>
      <c:valAx>
        <c:axId val="336969559"/>
        <c:scaling>
          <c:orientation val="minMax"/>
        </c:scaling>
        <c:delete val="0"/>
        <c:axPos val="l"/>
        <c:majorGridlines>
          <c:spPr>
            <a:ln w="3175" cap="flat" cmpd="sng" algn="ctr">
              <a:solidFill>
                <a:srgbClr val="333333">
                  <a:alpha val="100000"/>
                </a:srgbClr>
              </a:solidFill>
              <a:prstDash val="solid"/>
              <a:round/>
            </a:ln>
          </c:spPr>
        </c:majorGridlines>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4551595"/>
        <c:crosses val="autoZero"/>
        <c:crossBetween val="between"/>
      </c:valAx>
      <c:spPr>
        <a:solidFill>
          <a:srgbClr val="C0C0C0">
            <a:alpha val="100000"/>
          </a:srgbClr>
        </a:solidFill>
        <a:ln w="3175">
          <a:solidFill>
            <a:srgbClr val="808080">
              <a:alpha val="100000"/>
            </a:srgbClr>
          </a:solidFill>
          <a:prstDash val="solid"/>
        </a:ln>
      </c:spPr>
    </c:plotArea>
    <c:legend>
      <c:legendPos val="r"/>
      <c:layout>
        <c:manualLayout>
          <c:xMode val="edge"/>
          <c:yMode val="edge"/>
          <c:x val="0.89525"/>
          <c:y val="0.48875"/>
          <c:w val="0.0965"/>
          <c:h val="0.07175"/>
        </c:manualLayout>
      </c:layout>
      <c:overlay val="0"/>
      <c:spPr>
        <a:solidFill>
          <a:srgbClr val="FFFFFF">
            <a:alpha val="100000"/>
          </a:srgbClr>
        </a:solidFill>
        <a:ln w="3175">
          <a:solidFill>
            <a:srgbClr val="333333">
              <a:alpha val="100000"/>
            </a:srgbClr>
          </a:solidFill>
          <a:prstDash val="solid"/>
        </a:ln>
      </c:spPr>
      <c:txPr>
        <a:bodyPr rot="0" spcFirstLastPara="0" vertOverflow="ellipsis" vert="horz" wrap="square"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333333">
          <a:alpha val="100000"/>
        </a:srgbClr>
      </a:solidFill>
      <a:prstDash val="solid"/>
      <a:round/>
    </a:ln>
  </c:spPr>
  <c:txPr>
    <a:bodyPr rot="0" wrap="square" anchor="ctr" anchorCtr="1"/>
    <a:lstStyle/>
    <a:p>
      <a:pPr>
        <a:defRPr lang="zh-CN" sz="8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315"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收入比例</a:t>
            </a:r>
            <a:endParaRPr sz="1315"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w="3175">
          <a:noFill/>
        </a:ln>
      </c:spPr>
    </c:title>
    <c:autoTitleDeleted val="0"/>
    <c:plotArea>
      <c:layout>
        <c:manualLayout>
          <c:layoutTarget val="inner"/>
          <c:xMode val="edge"/>
          <c:yMode val="edge"/>
          <c:x val="0.09325"/>
          <c:y val="0.27775"/>
          <c:w val="0.53875"/>
          <c:h val="0.55725"/>
        </c:manualLayout>
      </c:layout>
      <c:pieChart>
        <c:varyColors val="1"/>
        <c:ser>
          <c:idx val="0"/>
          <c:order val="0"/>
          <c:spPr>
            <a:solidFill>
              <a:srgbClr val="9999FF">
                <a:alpha val="100000"/>
              </a:srgbClr>
            </a:solidFill>
            <a:ln w="12700">
              <a:solidFill>
                <a:srgbClr val="333333">
                  <a:alpha val="100000"/>
                </a:srgbClr>
              </a:solidFill>
              <a:prstDash val="solid"/>
            </a:ln>
          </c:spPr>
          <c:explosion val="0"/>
          <c:dPt>
            <c:idx val="0"/>
            <c:bubble3D val="0"/>
            <c:explosion val="0"/>
            <c:spPr>
              <a:solidFill>
                <a:srgbClr val="9999FF">
                  <a:alpha val="100000"/>
                </a:srgbClr>
              </a:solidFill>
              <a:ln w="12700">
                <a:solidFill>
                  <a:srgbClr val="333333">
                    <a:alpha val="100000"/>
                  </a:srgbClr>
                </a:solidFill>
                <a:prstDash val="solid"/>
              </a:ln>
            </c:spPr>
          </c:dPt>
          <c:dPt>
            <c:idx val="1"/>
            <c:bubble3D val="0"/>
            <c:explosion val="0"/>
            <c:spPr>
              <a:solidFill>
                <a:srgbClr val="993366">
                  <a:alpha val="100000"/>
                </a:srgbClr>
              </a:solidFill>
              <a:ln w="12700">
                <a:solidFill>
                  <a:srgbClr val="333333">
                    <a:alpha val="100000"/>
                  </a:srgbClr>
                </a:solidFill>
                <a:prstDash val="solid"/>
              </a:ln>
            </c:spPr>
          </c:dPt>
          <c:dPt>
            <c:idx val="2"/>
            <c:bubble3D val="0"/>
            <c:explosion val="0"/>
            <c:spPr>
              <a:solidFill>
                <a:srgbClr val="FFFFCC">
                  <a:alpha val="100000"/>
                </a:srgbClr>
              </a:solidFill>
              <a:ln w="12700">
                <a:solidFill>
                  <a:srgbClr val="333333">
                    <a:alpha val="100000"/>
                  </a:srgbClr>
                </a:solidFill>
                <a:prstDash val="solid"/>
              </a:ln>
            </c:spPr>
          </c:dPt>
          <c:dLbls>
            <c:dLbl>
              <c:idx val="0"/>
              <c:layout/>
              <c:numFmt formatCode="0%" sourceLinked="0"/>
              <c:spPr>
                <a:noFill/>
                <a:ln w="3175">
                  <a:noFill/>
                </a:ln>
                <a:effectLst/>
              </c:spPr>
              <c:txPr>
                <a:bodyPr rot="0" spcFirstLastPara="0" vertOverflow="ellipsis" vert="horz" wrap="square" lIns="38100" tIns="19050" rIns="38100" bIns="19050" anchor="ctr" anchorCtr="1"/>
                <a:lstStyle/>
                <a:p>
                  <a:pPr>
                    <a:defRPr lang="zh-CN" sz="98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numFmt formatCode="0%" sourceLinked="0"/>
              <c:spPr>
                <a:noFill/>
                <a:ln w="3175">
                  <a:noFill/>
                </a:ln>
                <a:effectLst/>
              </c:spPr>
              <c:txPr>
                <a:bodyPr rot="0" spcFirstLastPara="0" vertOverflow="ellipsis" vert="horz" wrap="square" lIns="38100" tIns="19050" rIns="38100" bIns="19050" anchor="ctr" anchorCtr="1"/>
                <a:lstStyle/>
                <a:p>
                  <a:pPr>
                    <a:defRPr lang="zh-CN" sz="98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numFmt formatCode="0%" sourceLinked="0"/>
              <c:spPr>
                <a:noFill/>
                <a:ln w="3175">
                  <a:noFill/>
                </a:ln>
                <a:effectLst/>
              </c:spPr>
              <c:txPr>
                <a:bodyPr rot="0" spcFirstLastPara="0" vertOverflow="ellipsis" vert="horz" wrap="square" lIns="38100" tIns="19050" rIns="38100" bIns="19050" anchor="ctr" anchorCtr="1"/>
                <a:lstStyle/>
                <a:p>
                  <a:pPr>
                    <a:defRPr lang="zh-CN" sz="98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numFmt formatCode="0%" sourceLinked="0"/>
            <c:spPr>
              <a:noFill/>
              <a:ln w="3175">
                <a:noFill/>
              </a:ln>
              <a:effectLst/>
            </c:spPr>
            <c:txPr>
              <a:bodyPr rot="0" spcFirstLastPara="0" vertOverflow="ellipsis" vert="horz" wrap="square" lIns="38100" tIns="19050" rIns="38100" bIns="19050" anchor="ctr" anchorCtr="1"/>
              <a:lstStyle/>
              <a:p>
                <a:pPr>
                  <a:defRPr lang="zh-CN" sz="98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showLeaderLines val="0"/>
            <c:extLst>
              <c:ext xmlns:c15="http://schemas.microsoft.com/office/drawing/2012/chart" uri="{CE6537A1-D6FC-4f65-9D91-7224C49458BB}">
                <c15:layout/>
                <c15:showLeaderLines val="0"/>
                <c15:leaderLines/>
              </c:ext>
            </c:extLst>
          </c:dLbls>
          <c:cat>
            <c:strRef>
              <c:f>[2020财政部决算相关图.xls]Sheet1!$A$1:$C$1</c:f>
              <c:strCache>
                <c:ptCount val="3"/>
                <c:pt idx="0">
                  <c:v>财政拨款</c:v>
                </c:pt>
                <c:pt idx="1">
                  <c:v>事业收入</c:v>
                </c:pt>
                <c:pt idx="2">
                  <c:v>其他收入</c:v>
                </c:pt>
              </c:strCache>
            </c:strRef>
          </c:cat>
          <c:val>
            <c:numRef>
              <c:f>[2020财政部决算相关图.xls]Sheet1!$A$2:$C$2</c:f>
              <c:numCache>
                <c:formatCode>#,##0.00</c:formatCode>
                <c:ptCount val="3"/>
                <c:pt idx="0">
                  <c:v>1220900</c:v>
                </c:pt>
                <c:pt idx="1">
                  <c:v>2686500</c:v>
                </c:pt>
                <c:pt idx="2">
                  <c:v>112000</c:v>
                </c:pt>
              </c:numCache>
            </c:numRef>
          </c:val>
        </c:ser>
        <c:dLbls>
          <c:showLegendKey val="0"/>
          <c:showVal val="0"/>
          <c:showCatName val="0"/>
          <c:showSerName val="0"/>
          <c:showPercent val="0"/>
          <c:showBubbleSize val="0"/>
          <c:showLeaderLines val="0"/>
        </c:dLbls>
        <c:firstSliceAng val="0"/>
      </c:pieChart>
      <c:spPr>
        <a:noFill/>
        <a:ln w="3175">
          <a:noFill/>
        </a:ln>
      </c:spPr>
    </c:plotArea>
    <c:legend>
      <c:legendPos val="r"/>
      <c:layout>
        <c:manualLayout>
          <c:xMode val="edge"/>
          <c:yMode val="edge"/>
          <c:x val="0.6755"/>
          <c:y val="0.6475"/>
          <c:w val="0.2835"/>
          <c:h val="0.19"/>
        </c:manualLayout>
      </c:layout>
      <c:overlay val="0"/>
      <c:spPr>
        <a:solidFill>
          <a:srgbClr val="FFFFFF">
            <a:alpha val="100000"/>
          </a:srgbClr>
        </a:solidFill>
        <a:ln w="3175">
          <a:solidFill>
            <a:srgbClr val="333333">
              <a:alpha val="100000"/>
            </a:srgbClr>
          </a:solidFill>
          <a:prstDash val="solid"/>
        </a:ln>
      </c:spPr>
      <c:txPr>
        <a:bodyPr rot="0" spcFirstLastPara="0" vertOverflow="ellipsis" vert="horz" wrap="square" anchor="ctr" anchorCtr="1"/>
        <a:lstStyle/>
        <a:p>
          <a:pPr>
            <a:defRPr lang="zh-CN" sz="99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333333">
          <a:alpha val="100000"/>
        </a:srgbClr>
      </a:solidFill>
      <a:prstDash val="solid"/>
      <a:round/>
    </a:ln>
  </c:spPr>
  <c:txPr>
    <a:bodyPr rot="0" wrap="square" anchor="ctr" anchorCtr="1"/>
    <a:lstStyle/>
    <a:p>
      <a:pPr>
        <a:defRPr lang="zh-CN" sz="99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300"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支出比例</a:t>
            </a:r>
            <a:endParaRPr sz="13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w="3175">
          <a:noFill/>
        </a:ln>
      </c:spPr>
    </c:title>
    <c:autoTitleDeleted val="0"/>
    <c:plotArea>
      <c:layout>
        <c:manualLayout>
          <c:layoutTarget val="inner"/>
          <c:xMode val="edge"/>
          <c:yMode val="edge"/>
          <c:x val="0.1535"/>
          <c:y val="0.229001342072409"/>
          <c:w val="0.398"/>
          <c:h val="0.53925"/>
        </c:manualLayout>
      </c:layout>
      <c:pieChart>
        <c:varyColors val="1"/>
        <c:ser>
          <c:idx val="0"/>
          <c:order val="0"/>
          <c:spPr>
            <a:solidFill>
              <a:srgbClr val="9999FF">
                <a:alpha val="100000"/>
              </a:srgbClr>
            </a:solidFill>
            <a:ln w="12700">
              <a:solidFill>
                <a:srgbClr val="333333">
                  <a:alpha val="100000"/>
                </a:srgbClr>
              </a:solidFill>
              <a:prstDash val="solid"/>
            </a:ln>
          </c:spPr>
          <c:explosion val="0"/>
          <c:dPt>
            <c:idx val="0"/>
            <c:bubble3D val="0"/>
            <c:explosion val="0"/>
            <c:spPr>
              <a:solidFill>
                <a:srgbClr val="9999FF">
                  <a:alpha val="100000"/>
                </a:srgbClr>
              </a:solidFill>
              <a:ln w="12700">
                <a:solidFill>
                  <a:srgbClr val="333333">
                    <a:alpha val="100000"/>
                  </a:srgbClr>
                </a:solidFill>
                <a:prstDash val="solid"/>
              </a:ln>
            </c:spPr>
          </c:dPt>
          <c:dPt>
            <c:idx val="1"/>
            <c:bubble3D val="0"/>
            <c:explosion val="0"/>
            <c:spPr>
              <a:solidFill>
                <a:srgbClr val="993366">
                  <a:alpha val="100000"/>
                </a:srgbClr>
              </a:solidFill>
              <a:ln w="3175">
                <a:solidFill>
                  <a:srgbClr val="333333">
                    <a:alpha val="100000"/>
                  </a:srgbClr>
                </a:solidFill>
                <a:prstDash val="solid"/>
              </a:ln>
            </c:spPr>
          </c:dPt>
          <c:dLbls>
            <c:dLbl>
              <c:idx val="0"/>
              <c:layout/>
              <c:numFmt formatCode="0%" sourceLinked="0"/>
              <c:spPr>
                <a:noFill/>
                <a:ln w="3175">
                  <a:noFill/>
                </a:ln>
                <a:effectLst/>
              </c:spPr>
              <c:txPr>
                <a:bodyPr rot="0" spcFirstLastPara="0" vertOverflow="ellipsis" vert="horz" wrap="square" lIns="38100" tIns="19050" rIns="38100" bIns="19050" anchor="ctr" anchorCtr="1"/>
                <a:lstStyle/>
                <a:p>
                  <a:pPr>
                    <a:defRPr lang="zh-CN" sz="7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numFmt formatCode="0%" sourceLinked="0"/>
              <c:spPr>
                <a:noFill/>
                <a:ln w="3175">
                  <a:noFill/>
                </a:ln>
                <a:effectLst/>
              </c:spPr>
              <c:txPr>
                <a:bodyPr rot="0" spcFirstLastPara="0" vertOverflow="ellipsis" vert="horz" wrap="square" lIns="38100" tIns="19050" rIns="38100" bIns="19050" anchor="ctr" anchorCtr="1"/>
                <a:lstStyle/>
                <a:p>
                  <a:pPr>
                    <a:defRPr lang="zh-CN" sz="7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numFmt formatCode="0%" sourceLinked="0"/>
            <c:spPr>
              <a:noFill/>
              <a:ln w="3175">
                <a:noFill/>
              </a:ln>
              <a:effectLst/>
            </c:spPr>
            <c:txPr>
              <a:bodyPr rot="0" spcFirstLastPara="0" vertOverflow="ellipsis" vert="horz" wrap="square" lIns="38100" tIns="19050" rIns="38100" bIns="19050" anchor="ctr" anchorCtr="1"/>
              <a:lstStyle/>
              <a:p>
                <a:pPr>
                  <a:defRPr lang="zh-CN" sz="7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showLeaderLines val="0"/>
            <c:extLst>
              <c:ext xmlns:c15="http://schemas.microsoft.com/office/drawing/2012/chart" uri="{CE6537A1-D6FC-4f65-9D91-7224C49458BB}">
                <c15:layout/>
                <c15:showLeaderLines val="0"/>
                <c15:leaderLines/>
              </c:ext>
            </c:extLst>
          </c:dLbls>
          <c:cat>
            <c:strRef>
              <c:f>[2020财政部决算相关图.xls]Sheet1!$A$31:$B$31</c:f>
              <c:strCache>
                <c:ptCount val="2"/>
                <c:pt idx="0">
                  <c:v>人员经费</c:v>
                </c:pt>
                <c:pt idx="1">
                  <c:v>日常公用支出</c:v>
                </c:pt>
              </c:strCache>
            </c:strRef>
          </c:cat>
          <c:val>
            <c:numRef>
              <c:f>[2020财政部决算相关图.xls]Sheet1!$A$32:$B$32</c:f>
              <c:numCache>
                <c:formatCode>General</c:formatCode>
                <c:ptCount val="2"/>
                <c:pt idx="0">
                  <c:v>4714000</c:v>
                </c:pt>
                <c:pt idx="1">
                  <c:v>7496000</c:v>
                </c:pt>
              </c:numCache>
            </c:numRef>
          </c:val>
        </c:ser>
        <c:dLbls>
          <c:showLegendKey val="0"/>
          <c:showVal val="0"/>
          <c:showCatName val="0"/>
          <c:showSerName val="0"/>
          <c:showPercent val="0"/>
          <c:showBubbleSize val="0"/>
          <c:showLeaderLines val="0"/>
        </c:dLbls>
        <c:firstSliceAng val="0"/>
      </c:pieChart>
      <c:spPr>
        <a:noFill/>
        <a:ln w="3175">
          <a:noFill/>
        </a:ln>
      </c:spPr>
    </c:plotArea>
    <c:legend>
      <c:legendPos val="r"/>
      <c:layout>
        <c:manualLayout>
          <c:xMode val="edge"/>
          <c:yMode val="edge"/>
          <c:x val="0.686"/>
          <c:y val="0.198"/>
          <c:w val="0.283"/>
          <c:h val="0.12425"/>
        </c:manualLayout>
      </c:layout>
      <c:overlay val="0"/>
      <c:spPr>
        <a:solidFill>
          <a:srgbClr val="FFFFFF">
            <a:alpha val="100000"/>
          </a:srgbClr>
        </a:solidFill>
        <a:ln w="3175">
          <a:solidFill>
            <a:srgbClr val="333333">
              <a:alpha val="100000"/>
            </a:srgbClr>
          </a:solidFill>
          <a:prstDash val="solid"/>
        </a:ln>
      </c:spPr>
      <c:txPr>
        <a:bodyPr rot="0" spcFirstLastPara="0" vertOverflow="ellipsis" vert="horz" wrap="square" anchor="ctr" anchorCtr="1"/>
        <a:lstStyle/>
        <a:p>
          <a:pPr>
            <a:defRPr lang="zh-CN" sz="9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333333">
          <a:alpha val="100000"/>
        </a:srgbClr>
      </a:solidFill>
      <a:prstDash val="solid"/>
      <a:round/>
    </a:ln>
  </c:spPr>
  <c:txPr>
    <a:bodyPr rot="0" wrap="square" anchor="ctr" anchorCtr="1"/>
    <a:lstStyle/>
    <a:p>
      <a:pPr>
        <a:defRPr lang="zh-CN" sz="97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95"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年度财政拨款总计比较</a:t>
            </a:r>
            <a:endParaRPr sz="1095"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9749936852741"/>
          <c:y val="0.031496062992126"/>
        </c:manualLayout>
      </c:layout>
      <c:overlay val="0"/>
      <c:spPr>
        <a:noFill/>
        <a:ln w="3175">
          <a:noFill/>
        </a:ln>
      </c:spPr>
    </c:title>
    <c:autoTitleDeleted val="0"/>
    <c:plotArea>
      <c:layout/>
      <c:barChart>
        <c:barDir val="col"/>
        <c:grouping val="clustered"/>
        <c:varyColors val="0"/>
        <c:ser>
          <c:idx val="0"/>
          <c:order val="0"/>
          <c:spPr>
            <a:solidFill>
              <a:srgbClr val="9999FF">
                <a:alpha val="100000"/>
              </a:srgbClr>
            </a:solidFill>
            <a:ln w="12700">
              <a:solidFill>
                <a:srgbClr val="333333">
                  <a:alpha val="100000"/>
                </a:srgbClr>
              </a:solidFill>
              <a:prstDash val="solid"/>
            </a:ln>
          </c:spPr>
          <c:invertIfNegative val="0"/>
          <c:dLbls>
            <c:dLbl>
              <c:idx val="0"/>
              <c:layout/>
              <c:numFmt formatCode="General" sourceLinked="1"/>
              <c:spPr>
                <a:noFill/>
                <a:ln w="3175">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w="3175">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0"/>
              <c:showBubbleSize val="0"/>
              <c:extLst>
                <c:ext xmlns:c15="http://schemas.microsoft.com/office/drawing/2012/chart" uri="{CE6537A1-D6FC-4f65-9D91-7224C49458BB}"/>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0"/>
                <c15:leaderLines/>
              </c:ext>
            </c:extLst>
          </c:dLbls>
          <c:cat>
            <c:strRef>
              <c:f>[2020财政部决算相关图.xls]Sheet1!$A$65:$B$65</c:f>
              <c:strCache>
                <c:ptCount val="2"/>
                <c:pt idx="0">
                  <c:v>2021年度财政拨款总计</c:v>
                </c:pt>
                <c:pt idx="1">
                  <c:v>2022年度财政拨款总计</c:v>
                </c:pt>
              </c:strCache>
            </c:strRef>
          </c:cat>
          <c:val>
            <c:numRef>
              <c:f>[2020财政部决算相关图.xls]Sheet1!$A$66:$B$66</c:f>
              <c:numCache>
                <c:formatCode>General</c:formatCode>
                <c:ptCount val="2"/>
                <c:pt idx="0">
                  <c:v>1461000</c:v>
                </c:pt>
                <c:pt idx="1">
                  <c:v>1220900</c:v>
                </c:pt>
              </c:numCache>
            </c:numRef>
          </c:val>
        </c:ser>
        <c:dLbls>
          <c:showLegendKey val="0"/>
          <c:showVal val="0"/>
          <c:showCatName val="0"/>
          <c:showSerName val="0"/>
          <c:showPercent val="0"/>
          <c:showBubbleSize val="0"/>
        </c:dLbls>
        <c:gapWidth val="150"/>
        <c:overlap val="0"/>
        <c:axId val="54551595"/>
        <c:axId val="336969559"/>
      </c:barChart>
      <c:catAx>
        <c:axId val="54551595"/>
        <c:scaling>
          <c:orientation val="minMax"/>
        </c:scaling>
        <c:delete val="0"/>
        <c:axPos val="b"/>
        <c:majorTickMark val="in"/>
        <c:minorTickMark val="none"/>
        <c:tickLblPos val="nextTo"/>
        <c:spPr>
          <a:ln w="3175" cap="flat" cmpd="sng" algn="ctr">
            <a:solidFill>
              <a:srgbClr val="333333">
                <a:alpha val="100000"/>
              </a:srgbClr>
            </a:solidFill>
            <a:prstDash val="solid"/>
            <a:round/>
          </a:ln>
        </c:spPr>
        <c:txPr>
          <a:bodyPr rot="-60000000" spcFirstLastPara="0" vertOverflow="ellipsis" vert="horz" wrap="square"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336969559"/>
        <c:crosses val="autoZero"/>
        <c:auto val="1"/>
        <c:lblAlgn val="ctr"/>
        <c:lblOffset val="100"/>
        <c:noMultiLvlLbl val="0"/>
      </c:catAx>
      <c:valAx>
        <c:axId val="336969559"/>
        <c:scaling>
          <c:orientation val="minMax"/>
        </c:scaling>
        <c:delete val="0"/>
        <c:axPos val="l"/>
        <c:majorGridlines>
          <c:spPr>
            <a:ln w="3175" cap="flat" cmpd="sng" algn="ctr">
              <a:solidFill>
                <a:srgbClr val="333333">
                  <a:alpha val="100000"/>
                </a:srgbClr>
              </a:solidFill>
              <a:prstDash val="solid"/>
              <a:round/>
            </a:ln>
          </c:spPr>
        </c:majorGridlines>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4551595"/>
        <c:crosses val="autoZero"/>
        <c:crossBetween val="between"/>
      </c:valAx>
      <c:spPr>
        <a:solidFill>
          <a:srgbClr val="C0C0C0">
            <a:alpha val="100000"/>
          </a:srgbClr>
        </a:solidFill>
        <a:ln w="3175">
          <a:solidFill>
            <a:srgbClr val="808080">
              <a:alpha val="100000"/>
            </a:srgbClr>
          </a:solidFill>
          <a:prstDash val="solid"/>
        </a:ln>
      </c:spPr>
    </c:plotArea>
    <c:legend>
      <c:legendPos val="r"/>
      <c:layout>
        <c:manualLayout>
          <c:xMode val="edge"/>
          <c:yMode val="edge"/>
          <c:x val="0.89525"/>
          <c:y val="0.48875"/>
          <c:w val="0.0965"/>
          <c:h val="0.07175"/>
        </c:manualLayout>
      </c:layout>
      <c:overlay val="0"/>
      <c:spPr>
        <a:solidFill>
          <a:srgbClr val="FFFFFF">
            <a:alpha val="100000"/>
          </a:srgbClr>
        </a:solidFill>
        <a:ln w="3175">
          <a:solidFill>
            <a:srgbClr val="333333">
              <a:alpha val="100000"/>
            </a:srgbClr>
          </a:solidFill>
          <a:prstDash val="solid"/>
        </a:ln>
      </c:spPr>
      <c:txPr>
        <a:bodyPr rot="0" spcFirstLastPara="0" vertOverflow="ellipsis" vert="horz" wrap="square"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333333">
          <a:alpha val="100000"/>
        </a:srgbClr>
      </a:solidFill>
      <a:prstDash val="solid"/>
      <a:round/>
    </a:ln>
  </c:spPr>
  <c:txPr>
    <a:bodyPr rot="0" wrap="square" anchor="ctr" anchorCtr="1"/>
    <a:lstStyle/>
    <a:p>
      <a:pPr>
        <a:defRPr lang="zh-CN" sz="8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95"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年度一般公共财政拨款支出总计比较</a:t>
            </a:r>
            <a:endParaRPr sz="1095"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90060621369033"/>
          <c:y val="0.0243786252697061"/>
        </c:manualLayout>
      </c:layout>
      <c:overlay val="0"/>
      <c:spPr>
        <a:noFill/>
        <a:ln w="3175">
          <a:noFill/>
        </a:ln>
      </c:spPr>
    </c:title>
    <c:autoTitleDeleted val="0"/>
    <c:plotArea>
      <c:layout/>
      <c:barChart>
        <c:barDir val="col"/>
        <c:grouping val="clustered"/>
        <c:varyColors val="0"/>
        <c:ser>
          <c:idx val="0"/>
          <c:order val="0"/>
          <c:spPr>
            <a:solidFill>
              <a:srgbClr val="9999FF">
                <a:alpha val="100000"/>
              </a:srgbClr>
            </a:solidFill>
            <a:ln w="12700">
              <a:solidFill>
                <a:srgbClr val="333333">
                  <a:alpha val="100000"/>
                </a:srgbClr>
              </a:solidFill>
              <a:prstDash val="solid"/>
            </a:ln>
          </c:spPr>
          <c:invertIfNegative val="0"/>
          <c:dLbls>
            <c:dLbl>
              <c:idx val="0"/>
              <c:layout/>
              <c:numFmt formatCode="General" sourceLinked="1"/>
              <c:spPr>
                <a:noFill/>
                <a:ln w="3175">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w="3175">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0"/>
              <c:showBubbleSize val="0"/>
              <c:extLst>
                <c:ext xmlns:c15="http://schemas.microsoft.com/office/drawing/2012/chart" uri="{CE6537A1-D6FC-4f65-9D91-7224C49458BB}"/>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0"/>
                <c15:leaderLines/>
              </c:ext>
            </c:extLst>
          </c:dLbls>
          <c:cat>
            <c:strRef>
              <c:f>[2020财政部决算相关图.xls]Sheet1!$A$65:$B$65</c:f>
              <c:strCache>
                <c:ptCount val="2"/>
                <c:pt idx="0">
                  <c:v>2021年度一般公共财政拨款支出总计</c:v>
                </c:pt>
                <c:pt idx="1">
                  <c:v>2022年度一般公共财政拨款支出总计</c:v>
                </c:pt>
              </c:strCache>
            </c:strRef>
          </c:cat>
          <c:val>
            <c:numRef>
              <c:f>[2020财政部决算相关图.xls]Sheet1!$A$66:$B$66</c:f>
              <c:numCache>
                <c:formatCode>General</c:formatCode>
                <c:ptCount val="2"/>
                <c:pt idx="0">
                  <c:v>1461000</c:v>
                </c:pt>
                <c:pt idx="1">
                  <c:v>1220900</c:v>
                </c:pt>
              </c:numCache>
            </c:numRef>
          </c:val>
        </c:ser>
        <c:dLbls>
          <c:showLegendKey val="0"/>
          <c:showVal val="0"/>
          <c:showCatName val="0"/>
          <c:showSerName val="0"/>
          <c:showPercent val="0"/>
          <c:showBubbleSize val="0"/>
        </c:dLbls>
        <c:gapWidth val="150"/>
        <c:overlap val="0"/>
        <c:axId val="54551595"/>
        <c:axId val="336969559"/>
      </c:barChart>
      <c:catAx>
        <c:axId val="54551595"/>
        <c:scaling>
          <c:orientation val="minMax"/>
        </c:scaling>
        <c:delete val="0"/>
        <c:axPos val="b"/>
        <c:majorTickMark val="in"/>
        <c:minorTickMark val="none"/>
        <c:tickLblPos val="nextTo"/>
        <c:spPr>
          <a:ln w="3175" cap="flat" cmpd="sng" algn="ctr">
            <a:solidFill>
              <a:srgbClr val="333333">
                <a:alpha val="100000"/>
              </a:srgbClr>
            </a:solidFill>
            <a:prstDash val="solid"/>
            <a:round/>
          </a:ln>
        </c:spPr>
        <c:txPr>
          <a:bodyPr rot="-60000000" spcFirstLastPara="0" vertOverflow="ellipsis" vert="horz" wrap="square"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336969559"/>
        <c:crosses val="autoZero"/>
        <c:auto val="1"/>
        <c:lblAlgn val="ctr"/>
        <c:lblOffset val="100"/>
        <c:noMultiLvlLbl val="0"/>
      </c:catAx>
      <c:valAx>
        <c:axId val="336969559"/>
        <c:scaling>
          <c:orientation val="minMax"/>
        </c:scaling>
        <c:delete val="0"/>
        <c:axPos val="l"/>
        <c:majorGridlines>
          <c:spPr>
            <a:ln w="3175" cap="flat" cmpd="sng" algn="ctr">
              <a:solidFill>
                <a:srgbClr val="333333">
                  <a:alpha val="100000"/>
                </a:srgbClr>
              </a:solidFill>
              <a:prstDash val="solid"/>
              <a:round/>
            </a:ln>
          </c:spPr>
        </c:majorGridlines>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4551595"/>
        <c:crosses val="autoZero"/>
        <c:crossBetween val="between"/>
      </c:valAx>
      <c:spPr>
        <a:solidFill>
          <a:srgbClr val="C0C0C0">
            <a:alpha val="100000"/>
          </a:srgbClr>
        </a:solidFill>
        <a:ln w="3175">
          <a:solidFill>
            <a:srgbClr val="808080">
              <a:alpha val="100000"/>
            </a:srgbClr>
          </a:solidFill>
          <a:prstDash val="solid"/>
        </a:ln>
      </c:spPr>
    </c:plotArea>
    <c:legend>
      <c:legendPos val="r"/>
      <c:layout>
        <c:manualLayout>
          <c:xMode val="edge"/>
          <c:yMode val="edge"/>
          <c:x val="0.89525"/>
          <c:y val="0.48875"/>
          <c:w val="0.0965"/>
          <c:h val="0.07175"/>
        </c:manualLayout>
      </c:layout>
      <c:overlay val="0"/>
      <c:spPr>
        <a:solidFill>
          <a:srgbClr val="FFFFFF">
            <a:alpha val="100000"/>
          </a:srgbClr>
        </a:solidFill>
        <a:ln w="3175">
          <a:solidFill>
            <a:srgbClr val="333333">
              <a:alpha val="100000"/>
            </a:srgbClr>
          </a:solidFill>
          <a:prstDash val="solid"/>
        </a:ln>
      </c:spPr>
      <c:txPr>
        <a:bodyPr rot="0" spcFirstLastPara="0" vertOverflow="ellipsis" vert="horz" wrap="square" anchor="ctr" anchorCtr="1"/>
        <a:lstStyle/>
        <a:p>
          <a:pPr>
            <a:defRPr lang="zh-CN" sz="8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333333">
          <a:alpha val="100000"/>
        </a:srgbClr>
      </a:solidFill>
      <a:prstDash val="solid"/>
      <a:round/>
    </a:ln>
  </c:spPr>
  <c:txPr>
    <a:bodyPr rot="0" wrap="square" anchor="ctr" anchorCtr="1"/>
    <a:lstStyle/>
    <a:p>
      <a:pPr>
        <a:defRPr lang="zh-CN" sz="8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315"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收入比例</a:t>
            </a:r>
            <a:endParaRPr sz="1315"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0350811485642946"/>
          <c:y val="0.0268179473955647"/>
        </c:manualLayout>
      </c:layout>
      <c:overlay val="0"/>
      <c:spPr>
        <a:noFill/>
        <a:ln w="3175">
          <a:noFill/>
        </a:ln>
      </c:spPr>
    </c:title>
    <c:autoTitleDeleted val="0"/>
    <c:plotArea>
      <c:layout>
        <c:manualLayout>
          <c:layoutTarget val="inner"/>
          <c:xMode val="edge"/>
          <c:yMode val="edge"/>
          <c:x val="0.09325"/>
          <c:y val="0.27775"/>
          <c:w val="0.53875"/>
          <c:h val="0.55725"/>
        </c:manualLayout>
      </c:layout>
      <c:pieChart>
        <c:varyColors val="1"/>
        <c:ser>
          <c:idx val="0"/>
          <c:order val="0"/>
          <c:spPr>
            <a:solidFill>
              <a:srgbClr val="9999FF">
                <a:alpha val="100000"/>
              </a:srgbClr>
            </a:solidFill>
            <a:ln w="12700">
              <a:solidFill>
                <a:srgbClr val="333333">
                  <a:alpha val="100000"/>
                </a:srgbClr>
              </a:solidFill>
              <a:prstDash val="solid"/>
            </a:ln>
          </c:spPr>
          <c:explosion val="0"/>
          <c:dPt>
            <c:idx val="0"/>
            <c:bubble3D val="0"/>
            <c:explosion val="0"/>
            <c:spPr>
              <a:solidFill>
                <a:srgbClr val="9999FF">
                  <a:alpha val="100000"/>
                </a:srgbClr>
              </a:solidFill>
              <a:ln w="12700">
                <a:solidFill>
                  <a:srgbClr val="333333">
                    <a:alpha val="100000"/>
                  </a:srgbClr>
                </a:solidFill>
                <a:prstDash val="solid"/>
              </a:ln>
            </c:spPr>
          </c:dPt>
          <c:dPt>
            <c:idx val="1"/>
            <c:bubble3D val="0"/>
            <c:explosion val="0"/>
            <c:spPr>
              <a:solidFill>
                <a:srgbClr val="993366">
                  <a:alpha val="100000"/>
                </a:srgbClr>
              </a:solidFill>
              <a:ln w="12700">
                <a:solidFill>
                  <a:srgbClr val="333333">
                    <a:alpha val="100000"/>
                  </a:srgbClr>
                </a:solidFill>
                <a:prstDash val="solid"/>
              </a:ln>
            </c:spPr>
          </c:dPt>
          <c:dPt>
            <c:idx val="2"/>
            <c:bubble3D val="0"/>
            <c:explosion val="0"/>
            <c:spPr>
              <a:solidFill>
                <a:srgbClr val="FFFFCC">
                  <a:alpha val="100000"/>
                </a:srgbClr>
              </a:solidFill>
              <a:ln w="12700">
                <a:solidFill>
                  <a:srgbClr val="333333">
                    <a:alpha val="100000"/>
                  </a:srgbClr>
                </a:solidFill>
                <a:prstDash val="solid"/>
              </a:ln>
            </c:spPr>
          </c:dPt>
          <c:dLbls>
            <c:dLbl>
              <c:idx val="0"/>
              <c:layout/>
              <c:numFmt formatCode="0%" sourceLinked="0"/>
              <c:spPr>
                <a:noFill/>
                <a:ln w="3175">
                  <a:noFill/>
                </a:ln>
                <a:effectLst/>
              </c:spPr>
              <c:txPr>
                <a:bodyPr rot="0" spcFirstLastPara="0" vertOverflow="ellipsis" vert="horz" wrap="square" lIns="38100" tIns="19050" rIns="38100" bIns="19050" anchor="ctr" anchorCtr="1"/>
                <a:lstStyle/>
                <a:p>
                  <a:pPr>
                    <a:defRPr lang="zh-CN" sz="98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numFmt formatCode="0%" sourceLinked="0"/>
              <c:spPr>
                <a:noFill/>
                <a:ln w="3175">
                  <a:noFill/>
                </a:ln>
                <a:effectLst/>
              </c:spPr>
              <c:txPr>
                <a:bodyPr rot="0" spcFirstLastPara="0" vertOverflow="ellipsis" vert="horz" wrap="square" lIns="38100" tIns="19050" rIns="38100" bIns="19050" anchor="ctr" anchorCtr="1"/>
                <a:lstStyle/>
                <a:p>
                  <a:pPr>
                    <a:defRPr lang="zh-CN" sz="98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numFmt formatCode="0%" sourceLinked="0"/>
              <c:spPr>
                <a:noFill/>
                <a:ln w="3175">
                  <a:noFill/>
                </a:ln>
                <a:effectLst/>
              </c:spPr>
              <c:txPr>
                <a:bodyPr rot="0" spcFirstLastPara="0" vertOverflow="ellipsis" vert="horz" wrap="square" lIns="38100" tIns="19050" rIns="38100" bIns="19050" anchor="ctr" anchorCtr="1"/>
                <a:lstStyle/>
                <a:p>
                  <a:pPr>
                    <a:defRPr lang="zh-CN" sz="98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numFmt formatCode="0%" sourceLinked="0"/>
            <c:spPr>
              <a:noFill/>
              <a:ln w="3175">
                <a:noFill/>
              </a:ln>
              <a:effectLst/>
            </c:spPr>
            <c:txPr>
              <a:bodyPr rot="0" spcFirstLastPara="0" vertOverflow="ellipsis" vert="horz" wrap="square" lIns="38100" tIns="19050" rIns="38100" bIns="19050" anchor="ctr" anchorCtr="1"/>
              <a:lstStyle/>
              <a:p>
                <a:pPr>
                  <a:defRPr lang="zh-CN" sz="98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showLeaderLines val="0"/>
            <c:extLst>
              <c:ext xmlns:c15="http://schemas.microsoft.com/office/drawing/2012/chart" uri="{CE6537A1-D6FC-4f65-9D91-7224C49458BB}">
                <c15:layout/>
                <c15:showLeaderLines val="0"/>
                <c15:leaderLines/>
              </c:ext>
            </c:extLst>
          </c:dLbls>
          <c:cat>
            <c:strRef>
              <c:f>[2020财政部决算相关图.xls]Sheet1!$A$1:$C$1</c:f>
              <c:strCache>
                <c:ptCount val="3"/>
                <c:pt idx="1">
                  <c:v>社会保障和就业支出</c:v>
                </c:pt>
                <c:pt idx="2">
                  <c:v>卫生健康支出</c:v>
                </c:pt>
              </c:strCache>
            </c:strRef>
          </c:cat>
          <c:val>
            <c:numRef>
              <c:f>[2020财政部决算相关图.xls]Sheet1!$A$2:$C$2</c:f>
              <c:numCache>
                <c:formatCode>General</c:formatCode>
                <c:ptCount val="3"/>
                <c:pt idx="1" c:formatCode="#,##0.00">
                  <c:v>203900</c:v>
                </c:pt>
                <c:pt idx="2" c:formatCode="#,##0.00">
                  <c:v>1017100</c:v>
                </c:pt>
              </c:numCache>
            </c:numRef>
          </c:val>
        </c:ser>
        <c:dLbls>
          <c:showLegendKey val="0"/>
          <c:showVal val="0"/>
          <c:showCatName val="0"/>
          <c:showSerName val="0"/>
          <c:showPercent val="0"/>
          <c:showBubbleSize val="0"/>
          <c:showLeaderLines val="0"/>
        </c:dLbls>
        <c:firstSliceAng val="0"/>
      </c:pieChart>
      <c:spPr>
        <a:noFill/>
        <a:ln w="3175">
          <a:noFill/>
        </a:ln>
      </c:spPr>
    </c:plotArea>
    <c:legend>
      <c:legendPos val="r"/>
      <c:layout>
        <c:manualLayout>
          <c:xMode val="edge"/>
          <c:yMode val="edge"/>
          <c:x val="0.6755"/>
          <c:y val="0.6475"/>
          <c:w val="0.2835"/>
          <c:h val="0.19"/>
        </c:manualLayout>
      </c:layout>
      <c:overlay val="0"/>
      <c:spPr>
        <a:solidFill>
          <a:srgbClr val="FFFFFF">
            <a:alpha val="100000"/>
          </a:srgbClr>
        </a:solidFill>
        <a:ln w="3175">
          <a:solidFill>
            <a:srgbClr val="333333">
              <a:alpha val="100000"/>
            </a:srgbClr>
          </a:solidFill>
          <a:prstDash val="solid"/>
        </a:ln>
      </c:spPr>
      <c:txPr>
        <a:bodyPr rot="0" spcFirstLastPara="0" vertOverflow="ellipsis" vert="horz" wrap="square" anchor="ctr" anchorCtr="1"/>
        <a:lstStyle/>
        <a:p>
          <a:pPr>
            <a:defRPr lang="zh-CN" sz="99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333333">
          <a:alpha val="100000"/>
        </a:srgbClr>
      </a:solidFill>
      <a:prstDash val="solid"/>
      <a:round/>
    </a:ln>
  </c:spPr>
  <c:txPr>
    <a:bodyPr rot="0" wrap="square" anchor="ctr" anchorCtr="1"/>
    <a:lstStyle/>
    <a:p>
      <a:pPr>
        <a:defRPr lang="zh-CN" sz="99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315"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支出比例</a:t>
            </a:r>
            <a:endParaRPr sz="1315"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495890410958904"/>
          <c:y val="0.0371655104063429"/>
        </c:manualLayout>
      </c:layout>
      <c:overlay val="0"/>
      <c:spPr>
        <a:noFill/>
        <a:ln w="3175">
          <a:noFill/>
        </a:ln>
      </c:spPr>
    </c:title>
    <c:autoTitleDeleted val="0"/>
    <c:plotArea>
      <c:layout>
        <c:manualLayout>
          <c:layoutTarget val="inner"/>
          <c:xMode val="edge"/>
          <c:yMode val="edge"/>
          <c:x val="0.11525"/>
          <c:y val="0.19975"/>
          <c:w val="0.549"/>
          <c:h val="0.59825"/>
        </c:manualLayout>
      </c:layout>
      <c:pieChart>
        <c:varyColors val="1"/>
        <c:ser>
          <c:idx val="0"/>
          <c:order val="0"/>
          <c:spPr>
            <a:solidFill>
              <a:srgbClr val="9999FF">
                <a:alpha val="100000"/>
              </a:srgbClr>
            </a:solidFill>
            <a:ln w="3175">
              <a:noFill/>
            </a:ln>
          </c:spPr>
          <c:explosion val="0"/>
          <c:dPt>
            <c:idx val="0"/>
            <c:bubble3D val="0"/>
            <c:explosion val="0"/>
            <c:spPr>
              <a:solidFill>
                <a:srgbClr val="9999FF">
                  <a:alpha val="100000"/>
                </a:srgbClr>
              </a:solidFill>
              <a:ln w="9525">
                <a:noFill/>
              </a:ln>
            </c:spPr>
          </c:dPt>
          <c:dPt>
            <c:idx val="1"/>
            <c:bubble3D val="0"/>
            <c:explosion val="1"/>
            <c:spPr>
              <a:solidFill>
                <a:schemeClr val="bg2">
                  <a:lumMod val="90000"/>
                </a:schemeClr>
              </a:solidFill>
              <a:ln w="3175">
                <a:noFill/>
              </a:ln>
            </c:spPr>
          </c:dPt>
          <c:dLbls>
            <c:dLbl>
              <c:idx val="0"/>
              <c:layout/>
              <c:numFmt formatCode="0%" sourceLinked="0"/>
              <c:spPr>
                <a:noFill/>
                <a:ln w="3175">
                  <a:noFill/>
                </a:ln>
                <a:effectLst/>
              </c:spPr>
              <c:txPr>
                <a:bodyPr rot="0" spcFirstLastPara="0" vertOverflow="ellipsis" vert="horz" wrap="square" lIns="38100" tIns="19050" rIns="38100" bIns="19050" anchor="ctr" anchorCtr="1"/>
                <a:lstStyle/>
                <a:p>
                  <a:pPr>
                    <a:defRPr lang="zh-CN" sz="71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71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三公经费拨款支出, 0, 0%</a:t>
                    </a:r>
                  </a:p>
                </c:rich>
              </c:tx>
              <c:numFmt formatCode="0%" sourceLinked="0"/>
              <c:spPr>
                <a:noFill/>
                <a:ln w="3175">
                  <a:noFill/>
                </a:ln>
                <a:effectLst/>
              </c:spPr>
              <c:txPr>
                <a:bodyPr rot="0" spcFirstLastPara="0" vertOverflow="ellipsis" vert="horz" wrap="square" lIns="38100" tIns="19050" rIns="38100" bIns="19050" anchor="ctr" anchorCtr="1"/>
                <a:lstStyle/>
                <a:p>
                  <a:pPr>
                    <a:defRPr lang="zh-CN" sz="71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extLst>
                <c:ext xmlns:c15="http://schemas.microsoft.com/office/drawing/2012/chart" uri="{CE6537A1-D6FC-4f65-9D91-7224C49458BB}"/>
              </c:extLst>
            </c:dLbl>
            <c:numFmt formatCode="0%" sourceLinked="0"/>
            <c:spPr>
              <a:noFill/>
              <a:ln w="3175">
                <a:noFill/>
              </a:ln>
              <a:effectLst/>
            </c:spPr>
            <c:txPr>
              <a:bodyPr rot="0" spcFirstLastPara="0" vertOverflow="ellipsis" vert="horz" wrap="square" lIns="38100" tIns="19050" rIns="38100" bIns="19050" anchor="ctr" anchorCtr="1"/>
              <a:lstStyle/>
              <a:p>
                <a:pPr>
                  <a:defRPr lang="zh-CN" sz="71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1"/>
            <c:showSerName val="0"/>
            <c:showPercent val="1"/>
            <c:showBubbleSize val="0"/>
            <c:showLeaderLines val="0"/>
            <c:extLst>
              <c:ext xmlns:c15="http://schemas.microsoft.com/office/drawing/2012/chart" uri="{CE6537A1-D6FC-4f65-9D91-7224C49458BB}">
                <c15:layout/>
                <c15:showLeaderLines val="0"/>
                <c15:leaderLines/>
              </c:ext>
            </c:extLst>
          </c:dLbls>
          <c:cat>
            <c:strRef>
              <c:f>[2020财政部决算相关图.xls]Sheet1!$A$11:$B$11</c:f>
              <c:strCache>
                <c:ptCount val="2"/>
                <c:pt idx="0">
                  <c:v>三公经费拨款支出</c:v>
                </c:pt>
                <c:pt idx="1">
                  <c:v>三公经费拨款支出</c:v>
                </c:pt>
              </c:strCache>
            </c:strRef>
          </c:cat>
          <c:val>
            <c:numRef>
              <c:f>[2020财政部决算相关图.xls]Sheet1!$A$12:$B$12</c:f>
              <c:numCache>
                <c:formatCode>General</c:formatCode>
                <c:ptCount val="2"/>
                <c:pt idx="0">
                  <c:v>0</c:v>
                </c:pt>
                <c:pt idx="1">
                  <c:v>2686500</c:v>
                </c:pt>
              </c:numCache>
            </c:numRef>
          </c:val>
        </c:ser>
        <c:dLbls>
          <c:showLegendKey val="0"/>
          <c:showVal val="0"/>
          <c:showCatName val="0"/>
          <c:showSerName val="0"/>
          <c:showPercent val="0"/>
          <c:showBubbleSize val="0"/>
          <c:showLeaderLines val="0"/>
        </c:dLbls>
        <c:firstSliceAng val="0"/>
      </c:pieChart>
      <c:spPr>
        <a:noFill/>
        <a:ln w="3175">
          <a:noFill/>
        </a:ln>
      </c:spPr>
    </c:plotArea>
    <c:legend>
      <c:legendPos val="r"/>
      <c:layout>
        <c:manualLayout>
          <c:xMode val="edge"/>
          <c:yMode val="edge"/>
          <c:x val="0.6555"/>
          <c:y val="0.68025"/>
          <c:w val="0.25925"/>
          <c:h val="0.123"/>
        </c:manualLayout>
      </c:layout>
      <c:overlay val="0"/>
      <c:spPr>
        <a:solidFill>
          <a:srgbClr val="FFFFFF">
            <a:alpha val="100000"/>
          </a:srgbClr>
        </a:solidFill>
        <a:ln w="3175">
          <a:solidFill>
            <a:srgbClr val="333333">
              <a:alpha val="100000"/>
            </a:srgbClr>
          </a:solidFill>
          <a:prstDash val="solid"/>
        </a:ln>
      </c:spPr>
      <c:txPr>
        <a:bodyPr rot="0" spcFirstLastPara="0" vertOverflow="ellipsis" vert="horz" wrap="square" anchor="ctr" anchorCtr="1"/>
        <a:lstStyle/>
        <a:p>
          <a:pPr>
            <a:defRPr lang="zh-CN" sz="98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333333">
          <a:alpha val="100000"/>
        </a:srgbClr>
      </a:solidFill>
      <a:prstDash val="solid"/>
      <a:round/>
    </a:ln>
  </c:spPr>
  <c:txPr>
    <a:bodyPr rot="0" wrap="square" anchor="ctr" anchorCtr="1"/>
    <a:lstStyle/>
    <a:p>
      <a:pPr>
        <a:defRPr lang="zh-CN" sz="98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1189</Words>
  <Characters>6781</Characters>
  <Lines>56</Lines>
  <Paragraphs>15</Paragraphs>
  <TotalTime>0</TotalTime>
  <ScaleCrop>false</ScaleCrop>
  <LinksUpToDate>false</LinksUpToDate>
  <CharactersWithSpaces>7955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打爆你磕膝头</cp:lastModifiedBy>
  <cp:lastPrinted>2023-07-31T02:35:00Z</cp:lastPrinted>
  <dcterms:modified xsi:type="dcterms:W3CDTF">2023-10-31T07:39:24Z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E2E5D13AB83E43858B8095EC07A54B52_13</vt:lpwstr>
  </property>
</Properties>
</file>