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475"/>
      <w:bookmarkStart w:id="1" w:name="_Toc15377425"/>
      <w:bookmarkStart w:id="2" w:name="_Toc15396597"/>
      <w:bookmarkStart w:id="3" w:name="_Toc15377193"/>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96476"/>
      <w:bookmarkStart w:id="7" w:name="_Toc15396598"/>
      <w:bookmarkStart w:id="8" w:name="_Toc15378442"/>
      <w:bookmarkStart w:id="9" w:name="_Toc15377194"/>
      <w:bookmarkStart w:id="10" w:name="_Toc15377426"/>
      <w:r>
        <w:rPr>
          <w:rFonts w:hint="eastAsia" w:ascii="方正小标宋简体" w:hAnsi="方正小标宋简体" w:eastAsia="方正小标宋简体" w:cs="方正小标宋简体"/>
          <w:sz w:val="72"/>
          <w:szCs w:val="72"/>
        </w:rPr>
        <w:t>四川省</w:t>
      </w:r>
      <w:bookmarkEnd w:id="5"/>
      <w:bookmarkStart w:id="11" w:name="_Toc15306268"/>
      <w:r>
        <w:rPr>
          <w:rFonts w:hint="eastAsia" w:ascii="方正小标宋简体" w:hAnsi="方正小标宋简体" w:eastAsia="方正小标宋简体" w:cs="方正小标宋简体"/>
          <w:sz w:val="72"/>
          <w:szCs w:val="72"/>
          <w:lang w:eastAsia="zh-CN"/>
        </w:rPr>
        <w:t>资阳市乐至县</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佛星镇卫生院</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10</w:t>
      </w:r>
      <w:r>
        <w:rPr>
          <w:rFonts w:hint="eastAsia"/>
        </w:rPr>
        <w:t>月</w:t>
      </w:r>
      <w:r>
        <w:rPr>
          <w:rFonts w:hint="eastAsia"/>
          <w:lang w:val="en-US" w:eastAsia="zh-CN"/>
        </w:rPr>
        <w:t>20</w:t>
      </w:r>
      <w:r>
        <w:t xml:space="preserve"> </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rFonts w:hint="eastAsia"/>
          <w:sz w:val="24"/>
        </w:rPr>
      </w:pPr>
      <w:r>
        <w:rPr>
          <w:rFonts w:hint="eastAsia"/>
          <w:sz w:val="24"/>
        </w:rPr>
        <w:t>一、部门职责</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8"/>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rPr>
          <w:rFonts w:hint="eastAsia" w:ascii="黑体" w:hAnsi="黑体" w:eastAsia="黑体"/>
          <w:b w:val="0"/>
        </w:rPr>
      </w:pPr>
      <w:bookmarkStart w:id="14" w:name="_Toc15396600"/>
      <w:bookmarkStart w:id="15" w:name="_Toc15377197"/>
      <w:r>
        <w:rPr>
          <w:rFonts w:hint="eastAsia" w:ascii="黑体" w:hAnsi="黑体" w:eastAsia="黑体"/>
          <w:b w:val="0"/>
        </w:rPr>
        <w:t>一、</w:t>
      </w:r>
      <w:bookmarkEnd w:id="14"/>
      <w:bookmarkEnd w:id="15"/>
      <w:r>
        <w:rPr>
          <w:rFonts w:hint="eastAsia" w:ascii="黑体" w:hAnsi="黑体" w:eastAsia="黑体"/>
          <w:b w:val="0"/>
        </w:rPr>
        <w:t>部门职责</w:t>
      </w:r>
    </w:p>
    <w:p>
      <w:pPr>
        <w:ind w:firstLine="640" w:firstLineChars="200"/>
        <w:rPr>
          <w:rFonts w:hint="eastAsia" w:ascii="仿宋" w:hAnsi="仿宋" w:eastAsia="仿宋"/>
          <w:sz w:val="32"/>
          <w:szCs w:val="32"/>
        </w:rPr>
      </w:pPr>
      <w:r>
        <w:rPr>
          <w:rFonts w:hint="eastAsia" w:ascii="仿宋" w:hAnsi="仿宋" w:eastAsia="仿宋"/>
          <w:sz w:val="32"/>
          <w:szCs w:val="32"/>
        </w:rPr>
        <w:t>为辖区内的居民提供基本医疗服务及基本公共卫生服务。</w:t>
      </w:r>
    </w:p>
    <w:p>
      <w:pPr>
        <w:pStyle w:val="3"/>
        <w:rPr>
          <w:rStyle w:val="29"/>
          <w:b w:val="0"/>
          <w:bCs w:val="0"/>
        </w:rPr>
      </w:pPr>
      <w:bookmarkStart w:id="16" w:name="_Toc15396601"/>
      <w:bookmarkStart w:id="17" w:name="_Toc15377200"/>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16"/>
      <w:bookmarkEnd w:id="17"/>
    </w:p>
    <w:p>
      <w:pPr>
        <w:ind w:firstLine="640" w:firstLineChars="200"/>
        <w:rPr>
          <w:rFonts w:hint="eastAsia" w:ascii="仿宋" w:hAnsi="仿宋" w:eastAsia="仿宋"/>
          <w:sz w:val="32"/>
          <w:szCs w:val="32"/>
          <w:lang w:eastAsia="zh-CN"/>
        </w:rPr>
      </w:pPr>
      <w:r>
        <w:rPr>
          <w:rFonts w:hint="eastAsia" w:ascii="仿宋" w:hAnsi="仿宋" w:eastAsia="仿宋"/>
          <w:sz w:val="32"/>
          <w:szCs w:val="32"/>
        </w:rPr>
        <w:t>乐至县</w:t>
      </w:r>
      <w:r>
        <w:rPr>
          <w:rFonts w:hint="eastAsia" w:ascii="仿宋" w:hAnsi="仿宋" w:eastAsia="仿宋"/>
          <w:sz w:val="32"/>
          <w:szCs w:val="32"/>
          <w:lang w:eastAsia="zh-CN"/>
        </w:rPr>
        <w:t>佛星镇卫生院</w:t>
      </w:r>
      <w:r>
        <w:rPr>
          <w:rFonts w:hint="eastAsia" w:ascii="仿宋" w:hAnsi="仿宋" w:eastAsia="仿宋"/>
          <w:sz w:val="32"/>
          <w:szCs w:val="32"/>
        </w:rPr>
        <w:t>属乐至县卫生健康局的下属二级预算单位，</w:t>
      </w:r>
      <w:r>
        <w:rPr>
          <w:rFonts w:hint="eastAsia" w:ascii="仿宋_GB2312" w:hAnsi="仿宋" w:eastAsia="仿宋_GB2312"/>
          <w:sz w:val="32"/>
          <w:szCs w:val="32"/>
        </w:rPr>
        <w:t>属基层医疗卫生单位、事业性质，差额拨款。</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个。纳入2022年度部门决算编制范围的二级预算单位包括：</w:t>
      </w:r>
      <w:r>
        <w:rPr>
          <w:rFonts w:hint="eastAsia" w:ascii="仿宋" w:hAnsi="仿宋" w:eastAsia="仿宋"/>
          <w:sz w:val="32"/>
          <w:szCs w:val="32"/>
          <w:lang w:eastAsia="zh-CN"/>
        </w:rPr>
        <w:t>无。</w:t>
      </w:r>
    </w:p>
    <w:p>
      <w:pPr>
        <w:pStyle w:val="6"/>
        <w:spacing w:before="93"/>
      </w:pPr>
    </w:p>
    <w:p>
      <w:pPr>
        <w:pStyle w:val="2"/>
        <w:ind w:right="440"/>
        <w:jc w:val="center"/>
        <w:rPr>
          <w:rStyle w:val="28"/>
          <w:rFonts w:ascii="黑体" w:hAnsi="黑体" w:eastAsia="黑体"/>
          <w:b w:val="0"/>
          <w:bCs/>
        </w:rPr>
      </w:pPr>
      <w:bookmarkStart w:id="18" w:name="_Toc15396602"/>
      <w:bookmarkStart w:id="19" w:name="_Toc15377204"/>
      <w:r>
        <w:rPr>
          <w:rFonts w:hint="eastAsia" w:ascii="黑体" w:hAnsi="黑体" w:eastAsia="黑体"/>
          <w:b w:val="0"/>
        </w:rPr>
        <w:t>第二部分 2022年度</w:t>
      </w:r>
      <w:r>
        <w:rPr>
          <w:rStyle w:val="28"/>
          <w:rFonts w:hint="eastAsia" w:ascii="黑体" w:hAnsi="黑体" w:eastAsia="黑体"/>
          <w:b w:val="0"/>
          <w:bCs/>
        </w:rPr>
        <w:t>部门决算情况说明</w:t>
      </w:r>
      <w:bookmarkEnd w:id="18"/>
      <w:bookmarkEnd w:id="19"/>
    </w:p>
    <w:p/>
    <w:p>
      <w:pPr>
        <w:pStyle w:val="27"/>
        <w:numPr>
          <w:ilvl w:val="0"/>
          <w:numId w:val="1"/>
        </w:numPr>
        <w:spacing w:line="600" w:lineRule="exact"/>
        <w:ind w:firstLineChars="0"/>
        <w:outlineLvl w:val="1"/>
        <w:rPr>
          <w:rStyle w:val="29"/>
          <w:rFonts w:ascii="黑体" w:hAnsi="黑体" w:eastAsia="黑体"/>
          <w:b w:val="0"/>
        </w:rPr>
      </w:pPr>
      <w:bookmarkStart w:id="20" w:name="_Toc15396603"/>
      <w:bookmarkStart w:id="21"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入总计</w:t>
      </w:r>
      <w:r>
        <w:rPr>
          <w:rFonts w:hint="eastAsia" w:ascii="仿宋_GB2312" w:hAnsi="仿宋" w:eastAsia="仿宋_GB2312"/>
          <w:sz w:val="32"/>
          <w:szCs w:val="32"/>
          <w:lang w:val="en-US" w:eastAsia="zh-CN"/>
        </w:rPr>
        <w:t>742.55万</w:t>
      </w:r>
      <w:r>
        <w:rPr>
          <w:rFonts w:hint="eastAsia" w:ascii="仿宋_GB2312" w:hAnsi="仿宋" w:eastAsia="仿宋_GB2312"/>
          <w:sz w:val="32"/>
          <w:szCs w:val="32"/>
        </w:rPr>
        <w:t>元</w:t>
      </w:r>
      <w:r>
        <w:rPr>
          <w:rFonts w:hint="eastAsia" w:ascii="仿宋_GB2312" w:hAnsi="仿宋" w:eastAsia="仿宋_GB2312"/>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_GB2312" w:hAnsi="仿宋" w:eastAsia="仿宋_GB2312"/>
          <w:sz w:val="32"/>
          <w:szCs w:val="32"/>
          <w:lang w:val="en-US" w:eastAsia="zh-CN"/>
        </w:rPr>
        <w:t>742.55</w:t>
      </w:r>
      <w:r>
        <w:rPr>
          <w:rFonts w:hint="eastAsia" w:ascii="仿宋" w:hAnsi="仿宋" w:eastAsia="仿宋"/>
          <w:sz w:val="32"/>
          <w:szCs w:val="32"/>
        </w:rPr>
        <w:t>万元。与2021年相比，</w:t>
      </w:r>
      <w:r>
        <w:rPr>
          <w:rFonts w:hint="eastAsia" w:ascii="仿宋" w:hAnsi="仿宋" w:eastAsia="仿宋"/>
          <w:sz w:val="32"/>
          <w:szCs w:val="32"/>
          <w:lang w:val="en-US" w:eastAsia="zh-CN"/>
        </w:rPr>
        <w:t>2021年</w:t>
      </w:r>
      <w:r>
        <w:rPr>
          <w:rFonts w:hint="eastAsia" w:ascii="仿宋" w:hAnsi="仿宋" w:eastAsia="仿宋"/>
          <w:sz w:val="32"/>
          <w:szCs w:val="32"/>
        </w:rPr>
        <w:t>收入</w:t>
      </w:r>
      <w:r>
        <w:rPr>
          <w:rFonts w:hint="eastAsia" w:ascii="仿宋" w:hAnsi="仿宋" w:eastAsia="仿宋"/>
          <w:sz w:val="32"/>
          <w:szCs w:val="32"/>
          <w:lang w:eastAsia="zh-CN"/>
        </w:rPr>
        <w:t>总计</w:t>
      </w:r>
      <w:r>
        <w:rPr>
          <w:rFonts w:hint="eastAsia" w:ascii="仿宋" w:hAnsi="仿宋" w:eastAsia="仿宋"/>
          <w:sz w:val="32"/>
          <w:szCs w:val="32"/>
          <w:lang w:val="en-US" w:eastAsia="zh-CN"/>
        </w:rPr>
        <w:t>686.54</w:t>
      </w:r>
      <w:r>
        <w:rPr>
          <w:rFonts w:hint="eastAsia" w:ascii="仿宋" w:hAnsi="仿宋" w:eastAsia="仿宋"/>
          <w:sz w:val="32"/>
          <w:szCs w:val="32"/>
        </w:rPr>
        <w:t>万元，收</w:t>
      </w:r>
      <w:r>
        <w:rPr>
          <w:rFonts w:hint="eastAsia" w:ascii="仿宋" w:hAnsi="仿宋" w:eastAsia="仿宋"/>
          <w:sz w:val="32"/>
          <w:szCs w:val="32"/>
          <w:lang w:eastAsia="zh-CN"/>
        </w:rPr>
        <w:t>入总计</w:t>
      </w:r>
      <w:r>
        <w:rPr>
          <w:rFonts w:hint="eastAsia" w:ascii="仿宋" w:hAnsi="仿宋" w:eastAsia="仿宋"/>
          <w:sz w:val="32"/>
          <w:szCs w:val="32"/>
          <w:lang w:val="en-US" w:eastAsia="zh-CN"/>
        </w:rPr>
        <w:t>增加56.01万元，上升8.16</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2021年</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686.54万元，支出总计增加56.01万元，上升8.16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医疗业务增加，事业收入增加</w:t>
      </w:r>
      <w:r>
        <w:rPr>
          <w:rFonts w:hint="eastAsia" w:ascii="仿宋" w:hAnsi="仿宋" w:eastAsia="仿宋"/>
          <w:sz w:val="32"/>
          <w:szCs w:val="32"/>
        </w:rPr>
        <w:t>。</w:t>
      </w:r>
    </w:p>
    <w:p>
      <w:pPr>
        <w:pStyle w:val="6"/>
        <w:rPr>
          <w:rFonts w:hint="eastAsia" w:eastAsia="仿宋_GB2312"/>
          <w:lang w:eastAsia="zh-CN"/>
        </w:rPr>
      </w:pPr>
      <w:r>
        <w:drawing>
          <wp:inline distT="0" distB="0" distL="114300" distR="114300">
            <wp:extent cx="4826000" cy="2714625"/>
            <wp:effectExtent l="4445" t="4445" r="8255" b="5080"/>
            <wp:docPr id="1748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7"/>
        <w:numPr>
          <w:ilvl w:val="0"/>
          <w:numId w:val="1"/>
        </w:numPr>
        <w:spacing w:line="600" w:lineRule="exact"/>
        <w:ind w:firstLineChars="0"/>
        <w:outlineLvl w:val="1"/>
        <w:rPr>
          <w:rStyle w:val="29"/>
          <w:rFonts w:ascii="黑体" w:hAnsi="黑体" w:eastAsia="黑体"/>
          <w:b w:val="0"/>
        </w:rPr>
      </w:pPr>
      <w:bookmarkStart w:id="22" w:name="_Toc15396604"/>
      <w:bookmarkStart w:id="23" w:name="_Toc15377206"/>
      <w:r>
        <w:rPr>
          <w:rFonts w:hint="eastAsia" w:ascii="黑体" w:hAnsi="黑体" w:eastAsia="黑体"/>
          <w:sz w:val="32"/>
          <w:szCs w:val="32"/>
        </w:rPr>
        <w:t>收</w:t>
      </w:r>
      <w:r>
        <w:rPr>
          <w:rStyle w:val="29"/>
          <w:rFonts w:hint="eastAsia" w:ascii="黑体" w:hAnsi="黑体" w:eastAsia="黑体"/>
          <w:b w:val="0"/>
        </w:rPr>
        <w:t>入决算情况说明</w:t>
      </w:r>
      <w:bookmarkEnd w:id="22"/>
      <w:bookmarkEnd w:id="23"/>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22年本年收入合计</w:t>
      </w:r>
      <w:r>
        <w:rPr>
          <w:rFonts w:hint="eastAsia" w:ascii="仿宋_GB2312" w:hAnsi="仿宋" w:eastAsia="仿宋_GB2312"/>
          <w:sz w:val="32"/>
          <w:szCs w:val="32"/>
          <w:lang w:val="en-US" w:eastAsia="zh-CN"/>
        </w:rPr>
        <w:t>742.55</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146.76</w:t>
      </w:r>
      <w:r>
        <w:rPr>
          <w:rFonts w:hint="eastAsia" w:ascii="仿宋" w:hAnsi="仿宋" w:eastAsia="仿宋"/>
          <w:sz w:val="32"/>
          <w:szCs w:val="32"/>
        </w:rPr>
        <w:t>万元，占</w:t>
      </w:r>
      <w:r>
        <w:rPr>
          <w:rFonts w:hint="eastAsia" w:ascii="仿宋_GB2312" w:hAnsi="仿宋" w:eastAsia="仿宋_GB2312"/>
          <w:sz w:val="32"/>
          <w:szCs w:val="32"/>
          <w:lang w:val="en-US" w:eastAsia="zh-CN"/>
        </w:rPr>
        <w:t>19.8</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；事业收入</w:t>
      </w:r>
      <w:r>
        <w:rPr>
          <w:rFonts w:hint="eastAsia" w:ascii="仿宋_GB2312" w:hAnsi="仿宋" w:eastAsia="仿宋_GB2312"/>
          <w:sz w:val="32"/>
          <w:szCs w:val="32"/>
          <w:lang w:val="en-US" w:eastAsia="zh-CN"/>
        </w:rPr>
        <w:t>565.71</w:t>
      </w:r>
      <w:r>
        <w:rPr>
          <w:rFonts w:hint="eastAsia" w:ascii="仿宋" w:hAnsi="仿宋" w:eastAsia="仿宋"/>
          <w:sz w:val="32"/>
          <w:szCs w:val="32"/>
        </w:rPr>
        <w:t>万元，占</w:t>
      </w:r>
      <w:r>
        <w:rPr>
          <w:rFonts w:hint="eastAsia" w:ascii="仿宋_GB2312" w:hAnsi="仿宋" w:eastAsia="仿宋_GB2312"/>
          <w:sz w:val="32"/>
          <w:szCs w:val="32"/>
          <w:lang w:val="en-US" w:eastAsia="zh-CN"/>
        </w:rPr>
        <w:t>76.2</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30.08</w:t>
      </w:r>
      <w:r>
        <w:rPr>
          <w:rFonts w:hint="eastAsia" w:ascii="仿宋" w:hAnsi="仿宋" w:eastAsia="仿宋"/>
          <w:sz w:val="32"/>
          <w:szCs w:val="32"/>
        </w:rPr>
        <w:t>万元，占</w:t>
      </w:r>
      <w:r>
        <w:rPr>
          <w:rFonts w:hint="eastAsia" w:ascii="仿宋_GB2312" w:hAnsi="仿宋" w:eastAsia="仿宋_GB2312"/>
          <w:sz w:val="32"/>
          <w:szCs w:val="32"/>
          <w:lang w:val="en-US" w:eastAsia="zh-CN"/>
        </w:rPr>
        <w:t>4.1</w:t>
      </w:r>
      <w:r>
        <w:rPr>
          <w:rFonts w:ascii="仿宋" w:hAnsi="仿宋" w:eastAsia="仿宋"/>
          <w:sz w:val="32"/>
          <w:szCs w:val="32"/>
        </w:rPr>
        <w:t>%</w:t>
      </w:r>
      <w:r>
        <w:rPr>
          <w:rFonts w:hint="eastAsia" w:ascii="仿宋" w:hAnsi="仿宋" w:eastAsia="仿宋"/>
          <w:sz w:val="32"/>
          <w:szCs w:val="32"/>
        </w:rPr>
        <w:t>。</w:t>
      </w:r>
    </w:p>
    <w:p>
      <w:pPr>
        <w:pStyle w:val="6"/>
        <w:rPr>
          <w:rFonts w:hint="eastAsia" w:eastAsia="仿宋_GB2312"/>
          <w:lang w:eastAsia="zh-CN"/>
        </w:rPr>
      </w:pPr>
      <w:r>
        <w:drawing>
          <wp:inline distT="0" distB="0" distL="114300" distR="114300">
            <wp:extent cx="4826000" cy="2743200"/>
            <wp:effectExtent l="4445" t="4445" r="8255" b="14605"/>
            <wp:docPr id="17482" name="图表 12"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7"/>
        <w:numPr>
          <w:ilvl w:val="0"/>
          <w:numId w:val="1"/>
        </w:numPr>
        <w:spacing w:line="600" w:lineRule="exact"/>
        <w:ind w:firstLineChars="0"/>
        <w:outlineLvl w:val="1"/>
        <w:rPr>
          <w:rStyle w:val="29"/>
          <w:rFonts w:ascii="黑体" w:hAnsi="黑体" w:eastAsia="黑体"/>
          <w:b w:val="0"/>
        </w:rPr>
      </w:pPr>
      <w:bookmarkStart w:id="24" w:name="_Toc15377207"/>
      <w:bookmarkStart w:id="25" w:name="_Toc15396605"/>
      <w:r>
        <w:rPr>
          <w:rFonts w:hint="eastAsia" w:ascii="黑体" w:hAnsi="黑体" w:eastAsia="黑体"/>
          <w:sz w:val="32"/>
          <w:szCs w:val="32"/>
        </w:rPr>
        <w:t>支</w:t>
      </w:r>
      <w:r>
        <w:rPr>
          <w:rStyle w:val="29"/>
          <w:rFonts w:hint="eastAsia" w:ascii="黑体" w:hAnsi="黑体" w:eastAsia="黑体"/>
          <w:b w:val="0"/>
        </w:rPr>
        <w:t>出决算情况说明</w:t>
      </w:r>
      <w:bookmarkEnd w:id="24"/>
      <w:bookmarkEnd w:id="25"/>
    </w:p>
    <w:p>
      <w:pPr>
        <w:spacing w:line="600" w:lineRule="exact"/>
        <w:ind w:firstLine="640" w:firstLineChars="200"/>
        <w:outlineLvl w:val="1"/>
        <w:rPr>
          <w:rFonts w:hint="eastAsia" w:ascii="仿宋_GB2312" w:eastAsia="仿宋_GB2312"/>
          <w:sz w:val="32"/>
          <w:szCs w:val="32"/>
          <w:lang w:eastAsia="zh-CN"/>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_GB2312" w:hAnsi="仿宋" w:eastAsia="仿宋_GB2312"/>
          <w:sz w:val="32"/>
          <w:szCs w:val="32"/>
          <w:lang w:val="en-US" w:eastAsia="zh-CN"/>
        </w:rPr>
        <w:t>742.55</w:t>
      </w:r>
      <w:r>
        <w:rPr>
          <w:rFonts w:hint="eastAsia" w:ascii="仿宋" w:hAnsi="仿宋" w:eastAsia="仿宋"/>
          <w:sz w:val="32"/>
          <w:szCs w:val="32"/>
        </w:rPr>
        <w:t>万元，其中：基本支出</w:t>
      </w:r>
      <w:r>
        <w:rPr>
          <w:rFonts w:hint="eastAsia" w:ascii="仿宋" w:hAnsi="仿宋" w:eastAsia="仿宋"/>
          <w:sz w:val="32"/>
          <w:szCs w:val="32"/>
          <w:lang w:val="en-US" w:eastAsia="zh-CN"/>
        </w:rPr>
        <w:t>631.91</w:t>
      </w:r>
      <w:r>
        <w:rPr>
          <w:rFonts w:hint="eastAsia" w:ascii="仿宋" w:hAnsi="仿宋" w:eastAsia="仿宋"/>
          <w:sz w:val="32"/>
          <w:szCs w:val="32"/>
        </w:rPr>
        <w:t>万元，占</w:t>
      </w:r>
      <w:r>
        <w:rPr>
          <w:rFonts w:hint="eastAsia" w:ascii="仿宋" w:hAnsi="仿宋" w:eastAsia="仿宋"/>
          <w:sz w:val="32"/>
          <w:szCs w:val="32"/>
          <w:lang w:val="en-US" w:eastAsia="zh-CN"/>
        </w:rPr>
        <w:t>85.1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110.64</w:t>
      </w:r>
      <w:r>
        <w:rPr>
          <w:rFonts w:hint="eastAsia" w:ascii="仿宋" w:hAnsi="仿宋" w:eastAsia="仿宋"/>
          <w:sz w:val="32"/>
          <w:szCs w:val="32"/>
        </w:rPr>
        <w:t>万元，占</w:t>
      </w:r>
      <w:r>
        <w:rPr>
          <w:rFonts w:hint="eastAsia" w:ascii="仿宋" w:hAnsi="仿宋" w:eastAsia="仿宋"/>
          <w:sz w:val="32"/>
          <w:szCs w:val="32"/>
          <w:lang w:val="en-US" w:eastAsia="zh-CN"/>
        </w:rPr>
        <w:t>14.9</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p>
    <w:p>
      <w:pPr>
        <w:pStyle w:val="6"/>
        <w:rPr>
          <w:rFonts w:hint="eastAsia" w:eastAsia="仿宋_GB2312"/>
          <w:lang w:eastAsia="zh-CN"/>
        </w:rPr>
      </w:pPr>
      <w:r>
        <w:drawing>
          <wp:inline distT="0" distB="0" distL="114300" distR="114300">
            <wp:extent cx="4826000" cy="2819400"/>
            <wp:effectExtent l="4445" t="4445" r="8255" b="14605"/>
            <wp:docPr id="17483" name="图表 19"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9"/>
          <w:rFonts w:ascii="黑体" w:hAnsi="黑体" w:eastAsia="黑体"/>
          <w:b w:val="0"/>
        </w:rPr>
      </w:pPr>
      <w:bookmarkStart w:id="26" w:name="_Toc15396606"/>
      <w:bookmarkStart w:id="27" w:name="_Toc15377208"/>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6"/>
      <w:bookmarkEnd w:id="27"/>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22年财政拨款收</w:t>
      </w:r>
      <w:r>
        <w:rPr>
          <w:rFonts w:hint="eastAsia" w:ascii="仿宋" w:hAnsi="仿宋" w:eastAsia="仿宋"/>
          <w:sz w:val="32"/>
          <w:szCs w:val="32"/>
          <w:lang w:eastAsia="zh-CN"/>
        </w:rPr>
        <w:t>入总计</w:t>
      </w:r>
      <w:r>
        <w:rPr>
          <w:rFonts w:hint="eastAsia" w:ascii="仿宋_GB2312" w:hAnsi="仿宋" w:eastAsia="仿宋_GB2312"/>
          <w:sz w:val="32"/>
          <w:szCs w:val="32"/>
          <w:lang w:val="en-US" w:eastAsia="zh-CN"/>
        </w:rPr>
        <w:t>146.76</w:t>
      </w:r>
      <w:r>
        <w:rPr>
          <w:rFonts w:hint="eastAsia" w:ascii="仿宋" w:hAnsi="仿宋" w:eastAsia="仿宋"/>
          <w:sz w:val="32"/>
          <w:szCs w:val="32"/>
          <w:lang w:eastAsia="zh-CN"/>
        </w:rPr>
        <w:t>万元，支出</w:t>
      </w:r>
      <w:r>
        <w:rPr>
          <w:rFonts w:hint="eastAsia" w:ascii="仿宋" w:hAnsi="仿宋" w:eastAsia="仿宋"/>
          <w:sz w:val="32"/>
          <w:szCs w:val="32"/>
        </w:rPr>
        <w:t>总计</w:t>
      </w:r>
      <w:r>
        <w:rPr>
          <w:rFonts w:hint="eastAsia" w:ascii="仿宋_GB2312" w:hAnsi="仿宋" w:eastAsia="仿宋_GB2312"/>
          <w:sz w:val="32"/>
          <w:szCs w:val="32"/>
          <w:lang w:val="en-US" w:eastAsia="zh-CN"/>
        </w:rPr>
        <w:t>146.76</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w:t>
      </w:r>
      <w:r>
        <w:rPr>
          <w:rFonts w:hint="eastAsia" w:ascii="仿宋" w:hAnsi="仿宋" w:eastAsia="仿宋"/>
          <w:sz w:val="32"/>
          <w:szCs w:val="32"/>
          <w:lang w:val="en-US" w:eastAsia="zh-CN"/>
        </w:rPr>
        <w:t>2021年</w:t>
      </w:r>
      <w:r>
        <w:rPr>
          <w:rFonts w:hint="eastAsia" w:ascii="仿宋" w:hAnsi="仿宋" w:eastAsia="仿宋"/>
          <w:sz w:val="32"/>
          <w:szCs w:val="32"/>
        </w:rPr>
        <w:t>财政拨款收</w:t>
      </w:r>
      <w:r>
        <w:rPr>
          <w:rFonts w:hint="eastAsia" w:ascii="仿宋" w:hAnsi="仿宋" w:eastAsia="仿宋"/>
          <w:sz w:val="32"/>
          <w:szCs w:val="32"/>
          <w:lang w:eastAsia="zh-CN"/>
        </w:rPr>
        <w:t>入总计</w:t>
      </w:r>
      <w:r>
        <w:rPr>
          <w:rFonts w:hint="eastAsia" w:ascii="仿宋" w:hAnsi="仿宋" w:eastAsia="仿宋"/>
          <w:sz w:val="32"/>
          <w:szCs w:val="32"/>
          <w:lang w:val="en-US" w:eastAsia="zh-CN"/>
        </w:rPr>
        <w:t>184.93</w:t>
      </w:r>
      <w:r>
        <w:rPr>
          <w:rFonts w:hint="eastAsia" w:ascii="仿宋" w:hAnsi="仿宋" w:eastAsia="仿宋"/>
          <w:sz w:val="32"/>
          <w:szCs w:val="32"/>
          <w:lang w:eastAsia="zh-CN"/>
        </w:rPr>
        <w:t>万元，收入总计减少</w:t>
      </w:r>
      <w:r>
        <w:rPr>
          <w:rFonts w:hint="eastAsia" w:ascii="仿宋" w:hAnsi="仿宋" w:eastAsia="仿宋"/>
          <w:sz w:val="32"/>
          <w:szCs w:val="32"/>
          <w:lang w:val="en-US" w:eastAsia="zh-CN"/>
        </w:rPr>
        <w:t>38.17万元，下降20.64%，2021年财政拨款支出总计184.93万元，</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eastAsia="zh-CN"/>
        </w:rPr>
        <w:t>减少</w:t>
      </w:r>
      <w:r>
        <w:rPr>
          <w:rFonts w:hint="eastAsia" w:ascii="仿宋" w:hAnsi="仿宋" w:eastAsia="仿宋"/>
          <w:sz w:val="32"/>
          <w:szCs w:val="32"/>
          <w:lang w:val="en-US" w:eastAsia="zh-CN"/>
        </w:rPr>
        <w:t>38.17万元，下降20.64%</w:t>
      </w:r>
      <w:r>
        <w:rPr>
          <w:rFonts w:hint="eastAsia" w:ascii="仿宋" w:hAnsi="仿宋" w:eastAsia="仿宋"/>
          <w:sz w:val="32"/>
          <w:szCs w:val="32"/>
        </w:rPr>
        <w:t>。主要变动原因是</w:t>
      </w:r>
      <w:r>
        <w:rPr>
          <w:rFonts w:hint="eastAsia" w:ascii="仿宋" w:hAnsi="仿宋" w:eastAsia="仿宋"/>
          <w:sz w:val="32"/>
          <w:szCs w:val="32"/>
          <w:lang w:val="en-US" w:eastAsia="zh-CN"/>
        </w:rPr>
        <w:t>财政</w:t>
      </w:r>
      <w:r>
        <w:rPr>
          <w:rFonts w:hint="eastAsia" w:ascii="仿宋" w:hAnsi="仿宋" w:eastAsia="仿宋"/>
          <w:sz w:val="32"/>
          <w:szCs w:val="32"/>
          <w:lang w:eastAsia="zh-CN"/>
        </w:rPr>
        <w:t>拨款</w:t>
      </w:r>
      <w:r>
        <w:rPr>
          <w:rFonts w:hint="eastAsia" w:ascii="仿宋" w:hAnsi="仿宋" w:eastAsia="仿宋"/>
          <w:sz w:val="32"/>
          <w:szCs w:val="32"/>
          <w:lang w:val="en-US" w:eastAsia="zh-CN"/>
        </w:rPr>
        <w:t>减少，人员经费</w:t>
      </w:r>
      <w:r>
        <w:rPr>
          <w:rFonts w:hint="eastAsia" w:ascii="仿宋" w:hAnsi="仿宋" w:eastAsia="仿宋"/>
          <w:sz w:val="32"/>
          <w:szCs w:val="32"/>
          <w:lang w:eastAsia="zh-CN"/>
        </w:rPr>
        <w:t>支出减少。</w:t>
      </w:r>
    </w:p>
    <w:p>
      <w:pPr>
        <w:pStyle w:val="6"/>
        <w:rPr>
          <w:rFonts w:hint="eastAsia" w:ascii="仿宋" w:hAnsi="仿宋" w:eastAsia="仿宋"/>
          <w:b/>
          <w:sz w:val="32"/>
          <w:szCs w:val="32"/>
          <w:lang w:eastAsia="zh-CN"/>
        </w:rPr>
      </w:pPr>
      <w:r>
        <w:drawing>
          <wp:inline distT="0" distB="0" distL="114300" distR="114300">
            <wp:extent cx="4798060" cy="2667635"/>
            <wp:effectExtent l="4445" t="5080" r="17145" b="13335"/>
            <wp:docPr id="1748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9"/>
          <w:rFonts w:ascii="黑体" w:hAnsi="黑体" w:eastAsia="黑体"/>
          <w:b w:val="0"/>
        </w:rPr>
      </w:pPr>
      <w:bookmarkStart w:id="28" w:name="_Toc15396607"/>
      <w:bookmarkStart w:id="29"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hAnsi="仿宋" w:eastAsia="仿宋_GB2312"/>
          <w:sz w:val="32"/>
          <w:szCs w:val="32"/>
          <w:lang w:val="en-US" w:eastAsia="zh-CN"/>
        </w:rPr>
        <w:t>146.76</w:t>
      </w:r>
      <w:r>
        <w:rPr>
          <w:rFonts w:hint="eastAsia" w:ascii="仿宋" w:hAnsi="仿宋" w:eastAsia="仿宋"/>
          <w:sz w:val="32"/>
          <w:szCs w:val="32"/>
        </w:rPr>
        <w:t>万元，占本年支出合计的</w:t>
      </w:r>
      <w:r>
        <w:rPr>
          <w:rFonts w:hint="eastAsia" w:ascii="仿宋" w:hAnsi="仿宋" w:eastAsia="仿宋"/>
          <w:sz w:val="32"/>
          <w:szCs w:val="32"/>
          <w:lang w:val="en-US" w:eastAsia="zh-CN"/>
        </w:rPr>
        <w:t>36.7</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w:t>
      </w:r>
      <w:r>
        <w:rPr>
          <w:rFonts w:hint="eastAsia" w:ascii="仿宋" w:hAnsi="仿宋" w:eastAsia="仿宋"/>
          <w:sz w:val="32"/>
          <w:szCs w:val="32"/>
          <w:lang w:val="en-US" w:eastAsia="zh-CN"/>
        </w:rPr>
        <w:t>2021年</w:t>
      </w:r>
      <w:r>
        <w:rPr>
          <w:rFonts w:hint="eastAsia" w:ascii="仿宋" w:hAnsi="仿宋" w:eastAsia="仿宋"/>
          <w:sz w:val="32"/>
          <w:szCs w:val="32"/>
        </w:rPr>
        <w:t>一般公共预算财政拨款支出</w:t>
      </w:r>
      <w:r>
        <w:rPr>
          <w:rFonts w:hint="eastAsia" w:ascii="仿宋" w:hAnsi="仿宋" w:eastAsia="仿宋"/>
          <w:sz w:val="32"/>
          <w:szCs w:val="32"/>
          <w:lang w:val="en-US" w:eastAsia="zh-CN"/>
        </w:rPr>
        <w:t>184.93</w:t>
      </w:r>
      <w:r>
        <w:rPr>
          <w:rFonts w:hint="eastAsia" w:ascii="仿宋" w:hAnsi="仿宋" w:eastAsia="仿宋"/>
          <w:sz w:val="32"/>
          <w:szCs w:val="32"/>
          <w:lang w:eastAsia="zh-CN"/>
        </w:rPr>
        <w:t>万元，</w:t>
      </w:r>
      <w:r>
        <w:rPr>
          <w:rFonts w:hint="eastAsia" w:ascii="仿宋" w:hAnsi="仿宋" w:eastAsia="仿宋"/>
          <w:sz w:val="32"/>
          <w:szCs w:val="32"/>
        </w:rPr>
        <w:t>一般公共预算财政拨款支出</w:t>
      </w:r>
      <w:r>
        <w:rPr>
          <w:rFonts w:hint="eastAsia" w:ascii="仿宋" w:hAnsi="仿宋" w:eastAsia="仿宋"/>
          <w:sz w:val="32"/>
          <w:szCs w:val="32"/>
          <w:lang w:val="en-US" w:eastAsia="zh-CN"/>
        </w:rPr>
        <w:t>38.17万元，下降20.64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p>
    <w:p>
      <w:pPr>
        <w:pStyle w:val="6"/>
        <w:rPr>
          <w:rFonts w:ascii="仿宋" w:hAnsi="仿宋" w:eastAsia="仿宋"/>
          <w:sz w:val="32"/>
          <w:szCs w:val="32"/>
        </w:rPr>
      </w:pPr>
      <w:r>
        <w:drawing>
          <wp:inline distT="0" distB="0" distL="114300" distR="114300">
            <wp:extent cx="4826000" cy="2743200"/>
            <wp:effectExtent l="4445" t="4445" r="8255" b="14605"/>
            <wp:docPr id="17484"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hAnsi="仿宋" w:eastAsia="仿宋_GB2312"/>
          <w:sz w:val="32"/>
          <w:szCs w:val="32"/>
          <w:lang w:val="en-US" w:eastAsia="zh-CN"/>
        </w:rPr>
        <w:t>146.76</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10.15</w:t>
      </w:r>
      <w:r>
        <w:rPr>
          <w:rFonts w:hint="eastAsia" w:ascii="仿宋" w:hAnsi="仿宋" w:eastAsia="仿宋"/>
          <w:sz w:val="32"/>
          <w:szCs w:val="32"/>
        </w:rPr>
        <w:t>万元，占</w:t>
      </w:r>
      <w:r>
        <w:rPr>
          <w:rFonts w:hint="eastAsia" w:ascii="仿宋" w:hAnsi="仿宋" w:eastAsia="仿宋"/>
          <w:sz w:val="32"/>
          <w:szCs w:val="32"/>
          <w:lang w:val="en-US" w:eastAsia="zh-CN"/>
        </w:rPr>
        <w:t>6.9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136.61</w:t>
      </w:r>
      <w:r>
        <w:rPr>
          <w:rFonts w:hint="eastAsia" w:ascii="仿宋" w:hAnsi="仿宋" w:eastAsia="仿宋"/>
          <w:sz w:val="32"/>
          <w:szCs w:val="32"/>
        </w:rPr>
        <w:t>万元，占</w:t>
      </w:r>
      <w:r>
        <w:rPr>
          <w:rFonts w:hint="eastAsia" w:ascii="仿宋" w:hAnsi="仿宋" w:eastAsia="仿宋"/>
          <w:sz w:val="32"/>
          <w:szCs w:val="32"/>
          <w:lang w:val="en-US" w:eastAsia="zh-CN"/>
        </w:rPr>
        <w:t>93.1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p>
    <w:p>
      <w:pPr>
        <w:pStyle w:val="6"/>
        <w:rPr>
          <w:rFonts w:hint="eastAsia" w:ascii="仿宋" w:hAnsi="仿宋" w:eastAsia="仿宋"/>
          <w:b/>
          <w:sz w:val="32"/>
          <w:szCs w:val="32"/>
        </w:rPr>
      </w:pPr>
      <w:bookmarkStart w:id="32" w:name="_Toc15377212"/>
      <w:r>
        <w:drawing>
          <wp:inline distT="0" distB="0" distL="114300" distR="114300">
            <wp:extent cx="4826000" cy="2562225"/>
            <wp:effectExtent l="4445" t="4445" r="8255" b="5080"/>
            <wp:docPr id="17485" name="图表 22"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sz w:val="32"/>
          <w:szCs w:val="32"/>
        </w:rPr>
      </w:pPr>
      <w:bookmarkStart w:id="33" w:name="_Toc15377444"/>
      <w:bookmarkStart w:id="34" w:name="_Toc15377213"/>
      <w:bookmarkStart w:id="35"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146.76</w:t>
      </w:r>
      <w:r>
        <w:rPr>
          <w:rFonts w:hint="eastAsia" w:ascii="仿宋" w:hAnsi="仿宋" w:eastAsia="仿宋"/>
          <w:b/>
          <w:sz w:val="32"/>
          <w:szCs w:val="32"/>
          <w:lang w:eastAsia="zh-CN"/>
        </w:rPr>
        <w:t>万元</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33"/>
      <w:bookmarkEnd w:id="34"/>
      <w:bookmarkEnd w:id="35"/>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1.</w:t>
      </w:r>
      <w:r>
        <w:rPr>
          <w:rStyle w:val="17"/>
          <w:rFonts w:hint="eastAsia" w:ascii="仿宋" w:hAnsi="仿宋" w:eastAsia="仿宋"/>
          <w:bCs/>
          <w:sz w:val="32"/>
          <w:szCs w:val="32"/>
        </w:rPr>
        <w:t>一般公共服务（类）</w:t>
      </w:r>
      <w:r>
        <w:rPr>
          <w:rStyle w:val="17"/>
          <w:rFonts w:ascii="仿宋" w:hAnsi="仿宋" w:eastAsia="仿宋"/>
          <w:bCs/>
          <w:sz w:val="32"/>
          <w:szCs w:val="32"/>
        </w:rPr>
        <w:t>***</w:t>
      </w:r>
      <w:r>
        <w:rPr>
          <w:rStyle w:val="17"/>
          <w:rFonts w:hint="eastAsia" w:ascii="仿宋" w:hAnsi="仿宋" w:eastAsia="仿宋"/>
          <w:bCs/>
          <w:sz w:val="32"/>
          <w:szCs w:val="32"/>
        </w:rPr>
        <w:t>（款）</w:t>
      </w:r>
      <w:r>
        <w:rPr>
          <w:rStyle w:val="17"/>
          <w:rFonts w:ascii="仿宋" w:hAnsi="仿宋" w:eastAsia="仿宋"/>
          <w:bCs/>
          <w:sz w:val="32"/>
          <w:szCs w:val="32"/>
        </w:rPr>
        <w:t>***</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2.</w:t>
      </w:r>
      <w:r>
        <w:rPr>
          <w:rStyle w:val="17"/>
          <w:rFonts w:hint="eastAsia" w:ascii="仿宋" w:hAnsi="仿宋" w:eastAsia="仿宋"/>
          <w:bCs/>
          <w:sz w:val="32"/>
          <w:szCs w:val="32"/>
        </w:rPr>
        <w:t>教育（类）</w:t>
      </w:r>
      <w:r>
        <w:rPr>
          <w:rStyle w:val="17"/>
          <w:rFonts w:ascii="仿宋" w:hAnsi="仿宋" w:eastAsia="仿宋"/>
          <w:bCs/>
          <w:sz w:val="32"/>
          <w:szCs w:val="32"/>
        </w:rPr>
        <w:t>***</w:t>
      </w:r>
      <w:r>
        <w:rPr>
          <w:rStyle w:val="17"/>
          <w:rFonts w:hint="eastAsia" w:ascii="仿宋" w:hAnsi="仿宋" w:eastAsia="仿宋"/>
          <w:bCs/>
          <w:sz w:val="32"/>
          <w:szCs w:val="32"/>
        </w:rPr>
        <w:t>（款）</w:t>
      </w:r>
      <w:r>
        <w:rPr>
          <w:rStyle w:val="17"/>
          <w:rFonts w:ascii="仿宋" w:hAnsi="仿宋" w:eastAsia="仿宋"/>
          <w:bCs/>
          <w:sz w:val="32"/>
          <w:szCs w:val="32"/>
        </w:rPr>
        <w:t>***</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3.</w:t>
      </w:r>
      <w:r>
        <w:rPr>
          <w:rStyle w:val="17"/>
          <w:rFonts w:hint="eastAsia" w:ascii="仿宋" w:hAnsi="仿宋" w:eastAsia="仿宋"/>
          <w:bCs/>
          <w:sz w:val="32"/>
          <w:szCs w:val="32"/>
        </w:rPr>
        <w:t>科学技术（类）</w:t>
      </w:r>
      <w:r>
        <w:rPr>
          <w:rStyle w:val="17"/>
          <w:rFonts w:ascii="仿宋" w:hAnsi="仿宋" w:eastAsia="仿宋"/>
          <w:bCs/>
          <w:sz w:val="32"/>
          <w:szCs w:val="32"/>
        </w:rPr>
        <w:t>***</w:t>
      </w:r>
      <w:r>
        <w:rPr>
          <w:rStyle w:val="17"/>
          <w:rFonts w:hint="eastAsia" w:ascii="仿宋" w:hAnsi="仿宋" w:eastAsia="仿宋"/>
          <w:bCs/>
          <w:sz w:val="32"/>
          <w:szCs w:val="32"/>
        </w:rPr>
        <w:t>（款）</w:t>
      </w:r>
      <w:r>
        <w:rPr>
          <w:rStyle w:val="17"/>
          <w:rFonts w:ascii="仿宋" w:hAnsi="仿宋" w:eastAsia="仿宋"/>
          <w:bCs/>
          <w:sz w:val="32"/>
          <w:szCs w:val="32"/>
        </w:rPr>
        <w:t>***</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4.</w:t>
      </w:r>
      <w:r>
        <w:rPr>
          <w:rStyle w:val="17"/>
          <w:rFonts w:hint="eastAsia" w:ascii="仿宋" w:hAnsi="仿宋" w:eastAsia="仿宋"/>
          <w:bCs/>
          <w:sz w:val="32"/>
          <w:szCs w:val="32"/>
        </w:rPr>
        <w:t>文化旅游体育与传媒（类）</w:t>
      </w:r>
      <w:r>
        <w:rPr>
          <w:rStyle w:val="17"/>
          <w:rFonts w:ascii="仿宋" w:hAnsi="仿宋" w:eastAsia="仿宋"/>
          <w:bCs/>
          <w:sz w:val="32"/>
          <w:szCs w:val="32"/>
        </w:rPr>
        <w:t>***</w:t>
      </w:r>
      <w:r>
        <w:rPr>
          <w:rStyle w:val="17"/>
          <w:rFonts w:hint="eastAsia" w:ascii="仿宋" w:hAnsi="仿宋" w:eastAsia="仿宋"/>
          <w:bCs/>
          <w:sz w:val="32"/>
          <w:szCs w:val="32"/>
        </w:rPr>
        <w:t>（款）</w:t>
      </w:r>
      <w:r>
        <w:rPr>
          <w:rStyle w:val="17"/>
          <w:rFonts w:ascii="仿宋" w:hAnsi="仿宋" w:eastAsia="仿宋"/>
          <w:bCs/>
          <w:sz w:val="32"/>
          <w:szCs w:val="32"/>
        </w:rPr>
        <w:t>***</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5.</w:t>
      </w:r>
      <w:r>
        <w:rPr>
          <w:rStyle w:val="17"/>
          <w:rFonts w:hint="eastAsia" w:ascii="仿宋" w:hAnsi="仿宋" w:eastAsia="仿宋"/>
          <w:bCs/>
          <w:sz w:val="32"/>
          <w:szCs w:val="32"/>
        </w:rPr>
        <w:t>社会保障和就业（类）</w:t>
      </w:r>
      <w:r>
        <w:rPr>
          <w:rStyle w:val="17"/>
          <w:rFonts w:hint="eastAsia" w:ascii="仿宋" w:hAnsi="仿宋" w:eastAsia="仿宋"/>
          <w:bCs/>
          <w:sz w:val="32"/>
          <w:szCs w:val="32"/>
          <w:lang w:val="en-US" w:eastAsia="zh-CN"/>
        </w:rPr>
        <w:t>208</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05</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05机关事业单位基本养老保险缴费支出</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5.14</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Style w:val="17"/>
          <w:rFonts w:hint="eastAsia" w:ascii="仿宋" w:hAnsi="仿宋" w:eastAsia="仿宋"/>
          <w:bCs/>
          <w:sz w:val="32"/>
          <w:szCs w:val="32"/>
        </w:rPr>
        <w:t>社会保障和就业（类）</w:t>
      </w:r>
      <w:r>
        <w:rPr>
          <w:rStyle w:val="17"/>
          <w:rFonts w:hint="eastAsia" w:ascii="仿宋" w:hAnsi="仿宋" w:eastAsia="仿宋"/>
          <w:bCs/>
          <w:sz w:val="32"/>
          <w:szCs w:val="32"/>
          <w:lang w:val="en-US" w:eastAsia="zh-CN"/>
        </w:rPr>
        <w:t>208</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05</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06机关事业单位职业年金缴费支出</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5.01</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6.</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210</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03</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02乡镇卫生院</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25.97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210</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01</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99其他卫生健康管理事务支出</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210</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03</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99其他基层医疗卫生机构支出</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7.9</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210</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04</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08基本公共卫生服务</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73.68</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210</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04</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09重大公共卫生服务</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29.06</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tabs>
          <w:tab w:val="right" w:pos="8306"/>
        </w:tabs>
        <w:spacing w:line="600" w:lineRule="exact"/>
        <w:ind w:firstLine="640"/>
        <w:outlineLvl w:val="1"/>
        <w:rPr>
          <w:rStyle w:val="29"/>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36"/>
      <w:bookmarkEnd w:id="37"/>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36.12</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36.12</w:t>
      </w:r>
      <w:bookmarkStart w:id="69" w:name="_GoBack"/>
      <w:bookmarkEnd w:id="69"/>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0</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9"/>
          <w:rFonts w:ascii="黑体" w:hAnsi="黑体" w:eastAsia="黑体"/>
          <w:b w:val="0"/>
        </w:rPr>
      </w:pPr>
      <w:bookmarkStart w:id="38" w:name="_Toc15377215"/>
      <w:bookmarkStart w:id="39" w:name="_Toc15396609"/>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，较上年增加/减少</w:t>
      </w:r>
      <w:r>
        <w:rPr>
          <w:rFonts w:hint="eastAsia" w:ascii="仿宋" w:hAnsi="仿宋" w:eastAsia="仿宋"/>
          <w:sz w:val="32"/>
          <w:szCs w:val="32"/>
          <w:lang w:val="en-US" w:eastAsia="zh-CN"/>
        </w:rPr>
        <w:t>0</w:t>
      </w:r>
      <w:r>
        <w:rPr>
          <w:rFonts w:hint="eastAsia" w:ascii="仿宋" w:hAnsi="仿宋" w:eastAsia="仿宋"/>
          <w:sz w:val="32"/>
          <w:szCs w:val="32"/>
        </w:rPr>
        <w:t>万元，增长/下降</w:t>
      </w:r>
      <w:r>
        <w:rPr>
          <w:rFonts w:hint="eastAsia" w:ascii="仿宋" w:hAnsi="仿宋" w:eastAsia="仿宋"/>
          <w:sz w:val="32"/>
          <w:szCs w:val="32"/>
          <w:lang w:val="en-US" w:eastAsia="zh-CN"/>
        </w:rPr>
        <w:t>0.0</w:t>
      </w:r>
      <w:r>
        <w:rPr>
          <w:rFonts w:hint="eastAsia" w:ascii="仿宋" w:hAnsi="仿宋" w:eastAsia="仿宋"/>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eastAsia="仿宋"/>
          <w:color w:val="000000"/>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Style w:val="29"/>
          <w:rFonts w:ascii="黑体" w:hAnsi="黑体" w:eastAsia="黑体"/>
        </w:rPr>
      </w:pPr>
      <w:bookmarkStart w:id="42" w:name="_Toc15396610"/>
      <w:bookmarkStart w:id="43" w:name="_Toc15377218"/>
      <w:r>
        <w:rPr>
          <w:rFonts w:hint="eastAsia" w:ascii="黑体" w:eastAsia="黑体"/>
          <w:sz w:val="32"/>
          <w:szCs w:val="32"/>
        </w:rPr>
        <w:t>八、</w:t>
      </w:r>
      <w:r>
        <w:rPr>
          <w:rStyle w:val="29"/>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9"/>
          <w:rFonts w:ascii="黑体" w:hAnsi="黑体" w:eastAsia="黑体"/>
          <w:b w:val="0"/>
        </w:rPr>
      </w:pPr>
      <w:bookmarkStart w:id="44" w:name="_Toc15396611"/>
      <w:bookmarkStart w:id="45" w:name="_Toc15377219"/>
      <w:r>
        <w:rPr>
          <w:rStyle w:val="29"/>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9"/>
          <w:rFonts w:ascii="黑体" w:hAnsi="黑体" w:eastAsia="黑体"/>
          <w:b w:val="0"/>
        </w:rPr>
      </w:pPr>
      <w:bookmarkStart w:id="46" w:name="_Toc15377221"/>
      <w:bookmarkStart w:id="47" w:name="_Toc15396612"/>
      <w:r>
        <w:rPr>
          <w:rStyle w:val="29"/>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乐至县佛星镇卫生院</w:t>
      </w:r>
      <w:r>
        <w:rPr>
          <w:rFonts w:hint="eastAsia" w:ascii="仿宋_GB2312" w:eastAsia="仿宋_GB2312"/>
          <w:sz w:val="32"/>
          <w:szCs w:val="32"/>
        </w:rPr>
        <w:t>机关运行经费支出</w:t>
      </w:r>
      <w:r>
        <w:rPr>
          <w:rFonts w:hint="eastAsia" w:ascii="仿宋_GB2312" w:eastAsia="仿宋_GB2312"/>
          <w:sz w:val="32"/>
          <w:szCs w:val="32"/>
          <w:lang w:val="en-US" w:eastAsia="zh-CN"/>
        </w:rPr>
        <w:t>0.00</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0.00</w:t>
      </w:r>
      <w:r>
        <w:rPr>
          <w:rFonts w:hint="eastAsia" w:ascii="仿宋_GB2312" w:eastAsia="仿宋_GB2312"/>
          <w:sz w:val="32"/>
          <w:szCs w:val="32"/>
        </w:rPr>
        <w:t>万元，增长</w:t>
      </w:r>
      <w:r>
        <w:rPr>
          <w:rFonts w:hint="eastAsia" w:ascii="仿宋_GB2312" w:eastAsia="仿宋_GB2312"/>
          <w:sz w:val="32"/>
          <w:szCs w:val="32"/>
          <w:lang w:val="en-US" w:eastAsia="zh-CN"/>
        </w:rPr>
        <w:t>100.0</w:t>
      </w:r>
      <w:r>
        <w:rPr>
          <w:rFonts w:ascii="仿宋_GB2312" w:eastAsia="仿宋_GB2312"/>
          <w:sz w:val="32"/>
          <w:szCs w:val="32"/>
        </w:rPr>
        <w:t>%</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乐至县佛星镇卫生院</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乐至县佛星镇卫生院</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辆，其他用车主要是用于……。单价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eastAsia="仿宋_GB2312"/>
          <w:sz w:val="32"/>
          <w:szCs w:val="32"/>
          <w:lang w:eastAsia="zh-CN"/>
        </w:rPr>
        <w:t>乐至县佛星镇卫生院</w:t>
      </w:r>
      <w:r>
        <w:rPr>
          <w:rFonts w:hint="eastAsia" w:ascii="仿宋_GB2312" w:hAnsi="仿宋_GB2312" w:eastAsia="仿宋_GB2312" w:cs="仿宋_GB2312"/>
          <w:sz w:val="32"/>
          <w:szCs w:val="32"/>
        </w:rPr>
        <w:t>在2022年度预算编制阶段，组织对</w:t>
      </w:r>
      <w:r>
        <w:rPr>
          <w:rFonts w:hint="eastAsia" w:ascii="仿宋_GB2312" w:hAnsi="仿宋_GB2312" w:eastAsia="仿宋_GB2312" w:cs="仿宋_GB2312"/>
          <w:sz w:val="32"/>
          <w:szCs w:val="32"/>
          <w:lang w:eastAsia="zh-CN"/>
        </w:rPr>
        <w:t>基本公共卫生服务专项工作、基本药物制度补助、疫情防控工作经费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w:t>
      </w:r>
    </w:p>
    <w:p>
      <w:pPr>
        <w:snapToGrid w:val="0"/>
        <w:spacing w:line="52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rPr>
        <w:t>项目绩效目标完成情况。</w:t>
      </w:r>
      <w:r>
        <w:rPr>
          <w:rFonts w:hint="eastAsia" w:ascii="仿宋_GB2312" w:hAnsi="仿宋" w:eastAsia="仿宋_GB2312"/>
          <w:sz w:val="32"/>
          <w:szCs w:val="32"/>
          <w:lang w:eastAsia="zh-CN"/>
        </w:rPr>
        <w:t>今年项目总收入</w:t>
      </w:r>
      <w:r>
        <w:rPr>
          <w:rFonts w:hint="eastAsia" w:ascii="仿宋_GB2312" w:hAnsi="仿宋" w:eastAsia="仿宋_GB2312"/>
          <w:sz w:val="32"/>
          <w:szCs w:val="32"/>
          <w:lang w:val="en-US" w:eastAsia="zh-CN"/>
        </w:rPr>
        <w:t>110.64万元，其中，对村卫生室基药补助7.9万元，基本公共卫生服务项目73.68万元，重大公共卫生服务29.06万元。</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整体支出绩效目标实现情况。</w:t>
      </w:r>
      <w:r>
        <w:rPr>
          <w:rFonts w:hint="eastAsia" w:ascii="仿宋_GB2312" w:hAnsi="仿宋" w:eastAsia="仿宋_GB2312"/>
          <w:sz w:val="32"/>
          <w:szCs w:val="32"/>
          <w:lang w:eastAsia="zh-CN"/>
        </w:rPr>
        <w:t>今年预算总收入</w:t>
      </w:r>
      <w:r>
        <w:rPr>
          <w:rFonts w:hint="eastAsia" w:ascii="仿宋_GB2312" w:hAnsi="仿宋" w:eastAsia="仿宋_GB2312"/>
          <w:sz w:val="32"/>
          <w:szCs w:val="32"/>
          <w:lang w:val="en-US" w:eastAsia="zh-CN"/>
        </w:rPr>
        <w:t>675.29万</w:t>
      </w:r>
      <w:r>
        <w:rPr>
          <w:rFonts w:hint="eastAsia" w:ascii="仿宋_GB2312" w:hAnsi="仿宋" w:eastAsia="仿宋_GB2312"/>
          <w:sz w:val="32"/>
          <w:szCs w:val="32"/>
          <w:lang w:eastAsia="zh-CN"/>
        </w:rPr>
        <w:t>元，今年单位预算总支出</w:t>
      </w:r>
      <w:r>
        <w:rPr>
          <w:rFonts w:hint="eastAsia" w:ascii="仿宋_GB2312" w:hAnsi="仿宋" w:eastAsia="仿宋_GB2312"/>
          <w:sz w:val="32"/>
          <w:szCs w:val="32"/>
          <w:lang w:val="en-US" w:eastAsia="zh-CN"/>
        </w:rPr>
        <w:t>675.29万</w:t>
      </w:r>
      <w:r>
        <w:rPr>
          <w:rFonts w:hint="eastAsia" w:ascii="仿宋_GB2312" w:hAnsi="仿宋" w:eastAsia="仿宋_GB2312"/>
          <w:sz w:val="32"/>
          <w:szCs w:val="32"/>
          <w:lang w:eastAsia="zh-CN"/>
        </w:rPr>
        <w:t>元。今年决算总收入</w:t>
      </w:r>
      <w:r>
        <w:rPr>
          <w:rFonts w:hint="eastAsia" w:ascii="仿宋_GB2312" w:hAnsi="仿宋" w:eastAsia="仿宋_GB2312"/>
          <w:sz w:val="32"/>
          <w:szCs w:val="32"/>
          <w:lang w:val="en-US" w:eastAsia="zh-CN"/>
        </w:rPr>
        <w:t>742.55万</w:t>
      </w:r>
      <w:r>
        <w:rPr>
          <w:rFonts w:hint="eastAsia" w:ascii="仿宋_GB2312" w:hAnsi="仿宋" w:eastAsia="仿宋_GB2312"/>
          <w:sz w:val="32"/>
          <w:szCs w:val="32"/>
          <w:lang w:eastAsia="zh-CN"/>
        </w:rPr>
        <w:t>元，其中一般公共预算财政拨款收入</w:t>
      </w:r>
      <w:r>
        <w:rPr>
          <w:rFonts w:hint="eastAsia" w:ascii="仿宋_GB2312" w:hAnsi="仿宋" w:eastAsia="仿宋_GB2312"/>
          <w:sz w:val="32"/>
          <w:szCs w:val="32"/>
          <w:lang w:val="en-US" w:eastAsia="zh-CN"/>
        </w:rPr>
        <w:t>146.76万</w:t>
      </w:r>
      <w:r>
        <w:rPr>
          <w:rFonts w:hint="eastAsia" w:ascii="仿宋_GB2312" w:hAnsi="仿宋" w:eastAsia="仿宋_GB2312"/>
          <w:sz w:val="32"/>
          <w:szCs w:val="32"/>
          <w:lang w:eastAsia="zh-CN"/>
        </w:rPr>
        <w:t>元，占总收入的</w:t>
      </w:r>
      <w:r>
        <w:rPr>
          <w:rFonts w:hint="eastAsia" w:ascii="仿宋_GB2312" w:hAnsi="仿宋" w:eastAsia="仿宋_GB2312"/>
          <w:sz w:val="32"/>
          <w:szCs w:val="32"/>
          <w:lang w:val="en-US" w:eastAsia="zh-CN"/>
        </w:rPr>
        <w:t>19.8</w:t>
      </w:r>
      <w:r>
        <w:rPr>
          <w:rFonts w:hint="eastAsia" w:ascii="仿宋_GB2312" w:hAnsi="仿宋" w:eastAsia="仿宋_GB2312"/>
          <w:sz w:val="32"/>
          <w:szCs w:val="32"/>
          <w:lang w:eastAsia="zh-CN"/>
        </w:rPr>
        <w:t>%，政府性基金预算财政拨款收入</w:t>
      </w:r>
      <w:r>
        <w:rPr>
          <w:rFonts w:hint="eastAsia" w:ascii="仿宋_GB2312" w:hAnsi="仿宋" w:eastAsia="仿宋_GB2312"/>
          <w:sz w:val="32"/>
          <w:szCs w:val="32"/>
          <w:lang w:val="en-US" w:eastAsia="zh-CN"/>
        </w:rPr>
        <w:t>0元，</w:t>
      </w:r>
      <w:r>
        <w:rPr>
          <w:rFonts w:hint="eastAsia" w:ascii="仿宋_GB2312" w:hAnsi="仿宋" w:eastAsia="仿宋_GB2312"/>
          <w:sz w:val="32"/>
          <w:szCs w:val="32"/>
          <w:lang w:eastAsia="zh-CN"/>
        </w:rPr>
        <w:t>占总收入的</w:t>
      </w:r>
      <w:r>
        <w:rPr>
          <w:rFonts w:hint="eastAsia" w:ascii="仿宋_GB2312" w:hAnsi="仿宋" w:eastAsia="仿宋_GB2312"/>
          <w:sz w:val="32"/>
          <w:szCs w:val="32"/>
          <w:lang w:val="en-US" w:eastAsia="zh-CN"/>
        </w:rPr>
        <w:t>0.0</w:t>
      </w:r>
      <w:r>
        <w:rPr>
          <w:rFonts w:hint="eastAsia" w:ascii="仿宋_GB2312" w:hAnsi="仿宋" w:eastAsia="仿宋_GB2312"/>
          <w:sz w:val="32"/>
          <w:szCs w:val="32"/>
          <w:lang w:eastAsia="zh-CN"/>
        </w:rPr>
        <w:t>%，事业收入</w:t>
      </w:r>
      <w:r>
        <w:rPr>
          <w:rFonts w:hint="eastAsia" w:ascii="仿宋_GB2312" w:hAnsi="仿宋" w:eastAsia="仿宋_GB2312"/>
          <w:sz w:val="32"/>
          <w:szCs w:val="32"/>
          <w:lang w:val="en-US" w:eastAsia="zh-CN"/>
        </w:rPr>
        <w:t>565.71万</w:t>
      </w:r>
      <w:r>
        <w:rPr>
          <w:rFonts w:hint="eastAsia" w:ascii="仿宋_GB2312" w:hAnsi="仿宋" w:eastAsia="仿宋_GB2312"/>
          <w:sz w:val="32"/>
          <w:szCs w:val="32"/>
          <w:lang w:eastAsia="zh-CN"/>
        </w:rPr>
        <w:t>元，占总收入的</w:t>
      </w:r>
      <w:r>
        <w:rPr>
          <w:rFonts w:hint="eastAsia" w:ascii="仿宋_GB2312" w:hAnsi="仿宋" w:eastAsia="仿宋_GB2312"/>
          <w:sz w:val="32"/>
          <w:szCs w:val="32"/>
          <w:lang w:val="en-US" w:eastAsia="zh-CN"/>
        </w:rPr>
        <w:t>76.2</w:t>
      </w:r>
      <w:r>
        <w:rPr>
          <w:rFonts w:hint="eastAsia" w:ascii="仿宋_GB2312" w:hAnsi="仿宋" w:eastAsia="仿宋_GB2312"/>
          <w:sz w:val="32"/>
          <w:szCs w:val="32"/>
          <w:lang w:eastAsia="zh-CN"/>
        </w:rPr>
        <w:t>%，其他收入</w:t>
      </w:r>
      <w:r>
        <w:rPr>
          <w:rFonts w:hint="eastAsia" w:ascii="仿宋_GB2312" w:hAnsi="仿宋" w:eastAsia="仿宋_GB2312"/>
          <w:sz w:val="32"/>
          <w:szCs w:val="32"/>
          <w:lang w:val="en-US" w:eastAsia="zh-CN"/>
        </w:rPr>
        <w:t>30.08万</w:t>
      </w:r>
      <w:r>
        <w:rPr>
          <w:rFonts w:hint="eastAsia" w:ascii="仿宋_GB2312" w:hAnsi="仿宋" w:eastAsia="仿宋_GB2312"/>
          <w:sz w:val="32"/>
          <w:szCs w:val="32"/>
          <w:lang w:eastAsia="zh-CN"/>
        </w:rPr>
        <w:t>元，占总收入的</w:t>
      </w:r>
      <w:r>
        <w:rPr>
          <w:rFonts w:hint="eastAsia" w:ascii="仿宋_GB2312" w:hAnsi="仿宋" w:eastAsia="仿宋_GB2312"/>
          <w:sz w:val="32"/>
          <w:szCs w:val="32"/>
          <w:lang w:val="en-US" w:eastAsia="zh-CN"/>
        </w:rPr>
        <w:t>4.1</w:t>
      </w:r>
      <w:r>
        <w:rPr>
          <w:rFonts w:hint="eastAsia" w:ascii="仿宋_GB2312" w:hAnsi="仿宋" w:eastAsia="仿宋_GB2312"/>
          <w:sz w:val="32"/>
          <w:szCs w:val="32"/>
          <w:lang w:eastAsia="zh-CN"/>
        </w:rPr>
        <w:t>%。总支出</w:t>
      </w:r>
      <w:r>
        <w:rPr>
          <w:rFonts w:hint="eastAsia" w:ascii="仿宋_GB2312" w:hAnsi="仿宋" w:eastAsia="仿宋_GB2312"/>
          <w:sz w:val="32"/>
          <w:szCs w:val="32"/>
          <w:lang w:val="en-US" w:eastAsia="zh-CN"/>
        </w:rPr>
        <w:t>742.55万</w:t>
      </w:r>
      <w:r>
        <w:rPr>
          <w:rFonts w:hint="eastAsia" w:ascii="仿宋_GB2312" w:hAnsi="仿宋" w:eastAsia="仿宋_GB2312"/>
          <w:sz w:val="32"/>
          <w:szCs w:val="32"/>
          <w:lang w:eastAsia="zh-CN"/>
        </w:rPr>
        <w:t>元，其中人员经费</w:t>
      </w:r>
      <w:r>
        <w:rPr>
          <w:rFonts w:hint="eastAsia" w:ascii="仿宋_GB2312" w:hAnsi="仿宋" w:eastAsia="仿宋_GB2312"/>
          <w:sz w:val="32"/>
          <w:szCs w:val="32"/>
          <w:lang w:val="en-US" w:eastAsia="zh-CN"/>
        </w:rPr>
        <w:t>294.45万</w:t>
      </w:r>
      <w:r>
        <w:rPr>
          <w:rFonts w:hint="eastAsia" w:ascii="仿宋_GB2312" w:hAnsi="仿宋" w:eastAsia="仿宋_GB2312"/>
          <w:sz w:val="32"/>
          <w:szCs w:val="32"/>
          <w:lang w:eastAsia="zh-CN"/>
        </w:rPr>
        <w:t>元，占总支出的</w:t>
      </w:r>
      <w:r>
        <w:rPr>
          <w:rFonts w:hint="eastAsia" w:ascii="仿宋_GB2312" w:hAnsi="仿宋" w:eastAsia="仿宋_GB2312"/>
          <w:sz w:val="32"/>
          <w:szCs w:val="32"/>
          <w:lang w:val="en-US" w:eastAsia="zh-CN"/>
        </w:rPr>
        <w:t>39.65</w:t>
      </w:r>
      <w:r>
        <w:rPr>
          <w:rFonts w:hint="eastAsia" w:ascii="仿宋_GB2312" w:hAnsi="仿宋" w:eastAsia="仿宋_GB2312"/>
          <w:sz w:val="32"/>
          <w:szCs w:val="32"/>
          <w:lang w:eastAsia="zh-CN"/>
        </w:rPr>
        <w:t>%，日常公用支出</w:t>
      </w:r>
      <w:r>
        <w:rPr>
          <w:rFonts w:hint="eastAsia" w:ascii="仿宋_GB2312" w:hAnsi="仿宋" w:eastAsia="仿宋_GB2312"/>
          <w:sz w:val="32"/>
          <w:szCs w:val="32"/>
          <w:lang w:val="en-US" w:eastAsia="zh-CN"/>
        </w:rPr>
        <w:t>337.46万</w:t>
      </w:r>
      <w:r>
        <w:rPr>
          <w:rFonts w:hint="eastAsia" w:ascii="仿宋_GB2312" w:hAnsi="仿宋" w:eastAsia="仿宋_GB2312"/>
          <w:sz w:val="32"/>
          <w:szCs w:val="32"/>
          <w:lang w:eastAsia="zh-CN"/>
        </w:rPr>
        <w:t>元，占总支出的</w:t>
      </w:r>
      <w:r>
        <w:rPr>
          <w:rFonts w:hint="eastAsia" w:ascii="仿宋_GB2312" w:hAnsi="仿宋" w:eastAsia="仿宋_GB2312"/>
          <w:sz w:val="32"/>
          <w:szCs w:val="32"/>
          <w:lang w:val="en-US" w:eastAsia="zh-CN"/>
        </w:rPr>
        <w:t>45.45</w:t>
      </w:r>
      <w:r>
        <w:rPr>
          <w:rFonts w:hint="eastAsia" w:ascii="仿宋_GB2312" w:hAnsi="仿宋" w:eastAsia="仿宋_GB2312"/>
          <w:sz w:val="32"/>
          <w:szCs w:val="32"/>
          <w:lang w:eastAsia="zh-CN"/>
        </w:rPr>
        <w:t>%，项目支出</w:t>
      </w:r>
      <w:r>
        <w:rPr>
          <w:rFonts w:hint="eastAsia" w:ascii="仿宋_GB2312" w:hAnsi="仿宋" w:eastAsia="仿宋_GB2312"/>
          <w:sz w:val="32"/>
          <w:szCs w:val="32"/>
          <w:lang w:val="en-US" w:eastAsia="zh-CN"/>
        </w:rPr>
        <w:t>110.64万</w:t>
      </w:r>
      <w:r>
        <w:rPr>
          <w:rFonts w:hint="eastAsia" w:ascii="仿宋_GB2312" w:hAnsi="仿宋" w:eastAsia="仿宋_GB2312"/>
          <w:sz w:val="32"/>
          <w:szCs w:val="32"/>
          <w:lang w:eastAsia="zh-CN"/>
        </w:rPr>
        <w:t>元，占总支出的</w:t>
      </w:r>
      <w:r>
        <w:rPr>
          <w:rFonts w:hint="eastAsia" w:ascii="仿宋_GB2312" w:hAnsi="仿宋" w:eastAsia="仿宋_GB2312"/>
          <w:sz w:val="32"/>
          <w:szCs w:val="32"/>
          <w:lang w:val="en-US" w:eastAsia="zh-CN"/>
        </w:rPr>
        <w:t>14.9</w:t>
      </w:r>
      <w:r>
        <w:rPr>
          <w:rFonts w:hint="eastAsia" w:ascii="仿宋_GB2312" w:hAnsi="仿宋" w:eastAsia="仿宋_GB2312"/>
          <w:sz w:val="32"/>
          <w:szCs w:val="32"/>
          <w:lang w:eastAsia="zh-CN"/>
        </w:rPr>
        <w:t>%。</w:t>
      </w:r>
    </w:p>
    <w:p>
      <w:pPr>
        <w:widowControl/>
        <w:ind w:firstLine="640" w:firstLineChars="200"/>
        <w:jc w:val="left"/>
        <w:rPr>
          <w:rFonts w:hint="eastAsia" w:ascii="仿宋_GB2312" w:hAnsi="仿宋_GB2312" w:eastAsia="仿宋_GB2312" w:cs="仿宋_GB2312"/>
          <w:sz w:val="32"/>
          <w:szCs w:val="32"/>
        </w:rPr>
      </w:pPr>
    </w:p>
    <w:p>
      <w:pPr>
        <w:widowControl/>
        <w:ind w:firstLine="643" w:firstLineChars="200"/>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8"/>
          <w:rFonts w:ascii="黑体" w:hAnsi="黑体" w:eastAsia="黑体"/>
          <w:b w:val="0"/>
        </w:rPr>
      </w:pPr>
      <w:bookmarkStart w:id="51" w:name="_Toc15377225"/>
      <w:bookmarkStart w:id="52" w:name="_Toc15396613"/>
      <w:r>
        <w:rPr>
          <w:rFonts w:hint="eastAsia" w:ascii="黑体" w:hAnsi="黑体" w:eastAsia="黑体"/>
          <w:sz w:val="44"/>
          <w:szCs w:val="44"/>
        </w:rPr>
        <w:t>名</w:t>
      </w:r>
      <w:r>
        <w:rPr>
          <w:rStyle w:val="28"/>
          <w:rFonts w:hint="eastAsia" w:ascii="黑体" w:hAnsi="黑体" w:eastAsia="黑体"/>
          <w:b w:val="0"/>
        </w:rPr>
        <w:t>词解释</w:t>
      </w:r>
      <w:bookmarkEnd w:id="51"/>
      <w:bookmarkEnd w:id="52"/>
    </w:p>
    <w:p>
      <w:pPr>
        <w:spacing w:line="600" w:lineRule="exact"/>
        <w:jc w:val="left"/>
        <w:rPr>
          <w:rFonts w:ascii="宋体"/>
          <w:b/>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6"/>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社会保障和就业（类）…（款）…（项）：指社会保障和就业（类）208（款）05（项）05机关事业单位基本养老保险缴费支出，社会保障和就业（类）208（款）05（项）06机关事业单位职业年金缴费支出。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rPr>
        <w:t>卫生健康（类）…（款）…（项）：指卫生健康（类）210（款）03（项）02乡镇卫生院</w:t>
      </w:r>
      <w:r>
        <w:rPr>
          <w:rFonts w:hint="eastAsia" w:ascii="仿宋_GB2312" w:eastAsia="仿宋_GB2312"/>
          <w:sz w:val="32"/>
          <w:szCs w:val="32"/>
          <w:lang w:eastAsia="zh-CN"/>
        </w:rPr>
        <w:t>，</w:t>
      </w:r>
      <w:r>
        <w:rPr>
          <w:rFonts w:hint="eastAsia" w:ascii="仿宋_GB2312" w:eastAsia="仿宋_GB2312"/>
          <w:sz w:val="32"/>
          <w:szCs w:val="32"/>
        </w:rPr>
        <w:t>卫生健康（类）210（款）03（项）99其他基层医疗卫生机构支出，卫生健康（类）210（款）04（项）08基本公共卫生服务，卫生健康（类）210（款）04（项）09重大公共卫生服务。</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14</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ascii="黑体" w:hAnsi="黑体" w:eastAsia="黑体"/>
          <w:b w:val="0"/>
        </w:rPr>
      </w:pPr>
      <w:bookmarkStart w:id="53" w:name="_Toc15377226"/>
      <w:r>
        <w:rPr>
          <w:rFonts w:ascii="宋体"/>
          <w:b/>
          <w:sz w:val="44"/>
          <w:szCs w:val="44"/>
        </w:rPr>
        <w:br w:type="page"/>
      </w:r>
      <w:bookmarkStart w:id="54" w:name="_Toc15396614"/>
      <w:r>
        <w:rPr>
          <w:rFonts w:hint="eastAsia" w:ascii="黑体" w:hAnsi="黑体" w:eastAsia="黑体"/>
          <w:sz w:val="44"/>
          <w:szCs w:val="44"/>
        </w:rPr>
        <w:t>第</w:t>
      </w:r>
      <w:r>
        <w:rPr>
          <w:rStyle w:val="28"/>
          <w:rFonts w:hint="eastAsia" w:ascii="黑体" w:hAnsi="黑体" w:eastAsia="黑体"/>
          <w:b w:val="0"/>
        </w:rPr>
        <w:t>四部分 附件</w:t>
      </w:r>
      <w:bookmarkEnd w:id="54"/>
    </w:p>
    <w:p>
      <w:pPr>
        <w:spacing w:line="572" w:lineRule="exact"/>
        <w:jc w:val="left"/>
        <w:outlineLvl w:val="0"/>
        <w:rPr>
          <w:rFonts w:hint="eastAsia" w:ascii="黑体" w:hAnsi="黑体" w:eastAsia="黑体" w:cs="黑体"/>
          <w:sz w:val="32"/>
          <w:szCs w:val="32"/>
        </w:rPr>
      </w:pPr>
      <w:r>
        <w:rPr>
          <w:rFonts w:hint="eastAsia" w:ascii="黑体" w:hAnsi="黑体" w:eastAsia="黑体" w:cs="黑体"/>
          <w:sz w:val="32"/>
          <w:szCs w:val="32"/>
        </w:rPr>
        <w:t>附件</w:t>
      </w:r>
    </w:p>
    <w:p>
      <w:pPr>
        <w:pStyle w:val="6"/>
        <w:rPr>
          <w:rFonts w:hint="eastAsia" w:eastAsia="黑体"/>
          <w:lang w:eastAsia="zh-CN"/>
        </w:rPr>
      </w:pPr>
      <w:r>
        <w:rPr>
          <w:rFonts w:hint="eastAsia" w:ascii="黑体" w:hAnsi="黑体" w:eastAsia="黑体" w:cs="黑体"/>
          <w:sz w:val="32"/>
          <w:szCs w:val="32"/>
          <w:lang w:eastAsia="zh-CN"/>
        </w:rPr>
        <w:t>无</w:t>
      </w:r>
    </w:p>
    <w:p>
      <w:pPr>
        <w:spacing w:line="600" w:lineRule="exact"/>
        <w:jc w:val="center"/>
        <w:outlineLvl w:val="0"/>
        <w:rPr>
          <w:rFonts w:ascii="仿宋" w:hAnsi="仿宋" w:eastAsia="仿宋"/>
        </w:rPr>
      </w:pPr>
      <w:bookmarkStart w:id="55" w:name="_Toc15396618"/>
      <w:r>
        <w:rPr>
          <w:rFonts w:hint="eastAsia" w:ascii="黑体" w:hAnsi="黑体" w:eastAsia="黑体"/>
          <w:sz w:val="44"/>
          <w:szCs w:val="44"/>
        </w:rPr>
        <w:t>第</w:t>
      </w:r>
      <w:r>
        <w:rPr>
          <w:rStyle w:val="28"/>
          <w:rFonts w:hint="eastAsia" w:ascii="黑体" w:hAnsi="黑体" w:eastAsia="黑体"/>
          <w:b w:val="0"/>
        </w:rPr>
        <w:t>五部分 附表</w:t>
      </w:r>
      <w:bookmarkEnd w:id="53"/>
      <w:bookmarkEnd w:id="55"/>
      <w:bookmarkStart w:id="56" w:name="_Toc15396619"/>
    </w:p>
    <w:p>
      <w:pPr>
        <w:pStyle w:val="3"/>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56"/>
    </w:p>
    <w:p>
      <w:pPr>
        <w:pStyle w:val="3"/>
        <w:rPr>
          <w:rFonts w:ascii="仿宋" w:hAnsi="仿宋" w:eastAsia="仿宋"/>
        </w:rPr>
      </w:pPr>
      <w:bookmarkStart w:id="57" w:name="_Toc15396620"/>
      <w:r>
        <w:rPr>
          <w:rFonts w:hint="eastAsia" w:ascii="仿宋" w:hAnsi="仿宋" w:eastAsia="仿宋"/>
          <w:b w:val="0"/>
        </w:rPr>
        <w:t>二、收</w:t>
      </w:r>
      <w:r>
        <w:rPr>
          <w:rStyle w:val="29"/>
          <w:rFonts w:hint="eastAsia" w:ascii="仿宋" w:hAnsi="仿宋" w:eastAsia="仿宋"/>
          <w:b w:val="0"/>
          <w:bCs w:val="0"/>
        </w:rPr>
        <w:t>入决算表</w:t>
      </w:r>
      <w:bookmarkEnd w:id="57"/>
    </w:p>
    <w:p>
      <w:pPr>
        <w:pStyle w:val="3"/>
        <w:rPr>
          <w:rFonts w:ascii="仿宋" w:hAnsi="仿宋" w:eastAsia="仿宋"/>
        </w:rPr>
      </w:pPr>
      <w:bookmarkStart w:id="58"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58"/>
    </w:p>
    <w:p>
      <w:pPr>
        <w:pStyle w:val="3"/>
        <w:rPr>
          <w:rFonts w:ascii="仿宋" w:hAnsi="仿宋" w:eastAsia="仿宋"/>
          <w:b w:val="0"/>
        </w:rPr>
      </w:pPr>
      <w:bookmarkStart w:id="59"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59"/>
    </w:p>
    <w:p>
      <w:pPr>
        <w:pStyle w:val="3"/>
        <w:rPr>
          <w:rStyle w:val="29"/>
          <w:rFonts w:ascii="仿宋" w:hAnsi="仿宋" w:eastAsia="仿宋"/>
          <w:b w:val="0"/>
          <w:bCs w:val="0"/>
        </w:rPr>
      </w:pPr>
      <w:bookmarkStart w:id="60"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60"/>
      <w:bookmarkStart w:id="61" w:name="_Toc15396624"/>
    </w:p>
    <w:p>
      <w:pPr>
        <w:pStyle w:val="3"/>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61"/>
    </w:p>
    <w:p>
      <w:pPr>
        <w:pStyle w:val="3"/>
        <w:rPr>
          <w:rFonts w:ascii="仿宋" w:hAnsi="仿宋" w:eastAsia="仿宋"/>
        </w:rPr>
      </w:pPr>
      <w:bookmarkStart w:id="62"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62"/>
    </w:p>
    <w:p>
      <w:pPr>
        <w:pStyle w:val="3"/>
        <w:rPr>
          <w:rFonts w:ascii="仿宋" w:hAnsi="仿宋" w:eastAsia="仿宋"/>
        </w:rPr>
      </w:pPr>
      <w:bookmarkStart w:id="63"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63"/>
    </w:p>
    <w:p>
      <w:pPr>
        <w:pStyle w:val="3"/>
        <w:rPr>
          <w:rFonts w:ascii="仿宋" w:hAnsi="仿宋" w:eastAsia="仿宋"/>
        </w:rPr>
      </w:pPr>
      <w:bookmarkStart w:id="64"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64"/>
    </w:p>
    <w:p>
      <w:pPr>
        <w:pStyle w:val="3"/>
        <w:rPr>
          <w:rFonts w:ascii="仿宋" w:hAnsi="仿宋" w:eastAsia="仿宋"/>
        </w:rPr>
      </w:pPr>
      <w:bookmarkStart w:id="65" w:name="_Toc15396628"/>
      <w:r>
        <w:rPr>
          <w:rStyle w:val="29"/>
          <w:rFonts w:hint="eastAsia" w:ascii="仿宋" w:hAnsi="仿宋" w:eastAsia="仿宋"/>
          <w:b w:val="0"/>
          <w:bCs w:val="0"/>
        </w:rPr>
        <w:t>十、</w:t>
      </w:r>
      <w:bookmarkEnd w:id="65"/>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3"/>
        <w:rPr>
          <w:rFonts w:ascii="仿宋" w:hAnsi="仿宋" w:eastAsia="仿宋"/>
        </w:rPr>
      </w:pPr>
      <w:bookmarkStart w:id="66" w:name="_Toc15396629"/>
      <w:r>
        <w:rPr>
          <w:rStyle w:val="29"/>
          <w:rFonts w:hint="eastAsia" w:ascii="仿宋" w:hAnsi="仿宋" w:eastAsia="仿宋"/>
          <w:b w:val="0"/>
          <w:bCs w:val="0"/>
        </w:rPr>
        <w:t>十一、</w:t>
      </w:r>
      <w:bookmarkEnd w:id="66"/>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3"/>
        <w:rPr>
          <w:rFonts w:ascii="仿宋" w:hAnsi="仿宋" w:eastAsia="仿宋"/>
        </w:rPr>
      </w:pPr>
      <w:bookmarkStart w:id="67" w:name="_Toc15396630"/>
      <w:r>
        <w:rPr>
          <w:rStyle w:val="29"/>
          <w:rFonts w:hint="eastAsia" w:ascii="仿宋" w:hAnsi="仿宋" w:eastAsia="仿宋"/>
          <w:b w:val="0"/>
          <w:bCs w:val="0"/>
        </w:rPr>
        <w:t>十二、</w:t>
      </w:r>
      <w:bookmarkEnd w:id="67"/>
      <w:r>
        <w:rPr>
          <w:rStyle w:val="29"/>
          <w:rFonts w:hint="eastAsia" w:ascii="仿宋" w:hAnsi="仿宋" w:eastAsia="仿宋"/>
          <w:b w:val="0"/>
          <w:bCs w:val="0"/>
        </w:rPr>
        <w:t>国有资本经营预算财政拨款支出决算表</w:t>
      </w:r>
    </w:p>
    <w:p>
      <w:pPr>
        <w:pStyle w:val="3"/>
        <w:rPr>
          <w:rFonts w:eastAsia="仿宋"/>
        </w:rPr>
      </w:pPr>
      <w:bookmarkStart w:id="68" w:name="_Toc15396631"/>
      <w:r>
        <w:rPr>
          <w:rStyle w:val="29"/>
          <w:rFonts w:hint="eastAsia" w:ascii="仿宋" w:hAnsi="仿宋" w:eastAsia="仿宋"/>
          <w:b w:val="0"/>
          <w:bCs w:val="0"/>
        </w:rPr>
        <w:t>十三、</w:t>
      </w:r>
      <w:bookmarkEnd w:id="68"/>
      <w:r>
        <w:rPr>
          <w:rStyle w:val="29"/>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17620A-41B9-48A7-A542-BEB416D68EC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0E8AEF4-87BC-4BFA-87AD-D5531D31C716}"/>
  </w:font>
  <w:font w:name="Cambria">
    <w:panose1 w:val="02040503050406030204"/>
    <w:charset w:val="00"/>
    <w:family w:val="roman"/>
    <w:pitch w:val="default"/>
    <w:sig w:usb0="E00002FF" w:usb1="400004FF" w:usb2="00000000" w:usb3="00000000" w:csb0="2000019F" w:csb1="00000000"/>
    <w:embedRegular r:id="rId3" w:fontKey="{E8926E6A-547E-4B8C-AEC3-3B4D8D3BFAEB}"/>
  </w:font>
  <w:font w:name="仿宋_GB2312">
    <w:altName w:val="仿宋"/>
    <w:panose1 w:val="00000000000000000000"/>
    <w:charset w:val="86"/>
    <w:family w:val="modern"/>
    <w:pitch w:val="default"/>
    <w:sig w:usb0="00000000" w:usb1="00000000" w:usb2="00000000" w:usb3="00000000" w:csb0="00040000" w:csb1="00000000"/>
    <w:embedRegular r:id="rId4" w:fontKey="{06F77E59-11D7-4686-B840-0DEFD2DDF0D8}"/>
  </w:font>
  <w:font w:name="仿宋">
    <w:panose1 w:val="02010609060101010101"/>
    <w:charset w:val="86"/>
    <w:family w:val="modern"/>
    <w:pitch w:val="default"/>
    <w:sig w:usb0="800002BF" w:usb1="38CF7CFA" w:usb2="00000016" w:usb3="00000000" w:csb0="00040001" w:csb1="00000000"/>
    <w:embedRegular r:id="rId5" w:fontKey="{C1E6D504-94D3-4130-A677-2592234A6A9F}"/>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C3413716-625B-489D-B849-D6083F3960BB}"/>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ZTVmZTAyYTQwNDMxMTUwOWNkYWU5NzFjNmNlOW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7B7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2F09"/>
    <w:rsid w:val="004E0A2D"/>
    <w:rsid w:val="004E206B"/>
    <w:rsid w:val="004E6DF7"/>
    <w:rsid w:val="004F0FBD"/>
    <w:rsid w:val="00505A47"/>
    <w:rsid w:val="00512FDA"/>
    <w:rsid w:val="00520DA0"/>
    <w:rsid w:val="005516C4"/>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F30"/>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026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24C7"/>
    <w:rsid w:val="008B768C"/>
    <w:rsid w:val="008C4DB1"/>
    <w:rsid w:val="008C4EAF"/>
    <w:rsid w:val="008C5176"/>
    <w:rsid w:val="008C7FD0"/>
    <w:rsid w:val="008E1DE7"/>
    <w:rsid w:val="008E707C"/>
    <w:rsid w:val="008F3C39"/>
    <w:rsid w:val="008F6DF2"/>
    <w:rsid w:val="00900B08"/>
    <w:rsid w:val="00902155"/>
    <w:rsid w:val="00902FA3"/>
    <w:rsid w:val="00923564"/>
    <w:rsid w:val="0092392E"/>
    <w:rsid w:val="009315F9"/>
    <w:rsid w:val="00933499"/>
    <w:rsid w:val="00935C98"/>
    <w:rsid w:val="00946945"/>
    <w:rsid w:val="00951248"/>
    <w:rsid w:val="0095152F"/>
    <w:rsid w:val="00954C49"/>
    <w:rsid w:val="00955E37"/>
    <w:rsid w:val="00956BA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1678"/>
    <w:rsid w:val="00A422EB"/>
    <w:rsid w:val="00A45BB7"/>
    <w:rsid w:val="00A56DF2"/>
    <w:rsid w:val="00A56E6E"/>
    <w:rsid w:val="00A67AB5"/>
    <w:rsid w:val="00A733B2"/>
    <w:rsid w:val="00A741C2"/>
    <w:rsid w:val="00A91760"/>
    <w:rsid w:val="00A93B00"/>
    <w:rsid w:val="00A93C21"/>
    <w:rsid w:val="00AA609D"/>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164C"/>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1547"/>
    <w:rsid w:val="00CE44F6"/>
    <w:rsid w:val="00CE49DA"/>
    <w:rsid w:val="00CE7B61"/>
    <w:rsid w:val="00D00095"/>
    <w:rsid w:val="00D114F0"/>
    <w:rsid w:val="00D20620"/>
    <w:rsid w:val="00D2523B"/>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3B3F"/>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D16"/>
    <w:rsid w:val="00EF4C34"/>
    <w:rsid w:val="00EF77C6"/>
    <w:rsid w:val="00F05438"/>
    <w:rsid w:val="00F1361C"/>
    <w:rsid w:val="00F156F0"/>
    <w:rsid w:val="00F160C7"/>
    <w:rsid w:val="00F2408F"/>
    <w:rsid w:val="00F240E9"/>
    <w:rsid w:val="00F36D8F"/>
    <w:rsid w:val="00F417B1"/>
    <w:rsid w:val="00F45853"/>
    <w:rsid w:val="00F5047E"/>
    <w:rsid w:val="00F602DF"/>
    <w:rsid w:val="00F754A1"/>
    <w:rsid w:val="00F81FD9"/>
    <w:rsid w:val="00F841AA"/>
    <w:rsid w:val="00F84A94"/>
    <w:rsid w:val="00F87E96"/>
    <w:rsid w:val="00FA23E8"/>
    <w:rsid w:val="00FD3CC1"/>
    <w:rsid w:val="00FF1E02"/>
    <w:rsid w:val="00FF30B4"/>
    <w:rsid w:val="015975B8"/>
    <w:rsid w:val="01F13668"/>
    <w:rsid w:val="02143E91"/>
    <w:rsid w:val="04686C05"/>
    <w:rsid w:val="04AE6771"/>
    <w:rsid w:val="066E0107"/>
    <w:rsid w:val="07996F6E"/>
    <w:rsid w:val="09624E21"/>
    <w:rsid w:val="09EF5765"/>
    <w:rsid w:val="0A2032A3"/>
    <w:rsid w:val="0F98263C"/>
    <w:rsid w:val="101860EC"/>
    <w:rsid w:val="10C055FF"/>
    <w:rsid w:val="118107EC"/>
    <w:rsid w:val="13D50BC4"/>
    <w:rsid w:val="13F472FF"/>
    <w:rsid w:val="16BB723D"/>
    <w:rsid w:val="1BE8440E"/>
    <w:rsid w:val="1BFB6EBD"/>
    <w:rsid w:val="1D155CEE"/>
    <w:rsid w:val="1F9B085C"/>
    <w:rsid w:val="1FF35744"/>
    <w:rsid w:val="23860B96"/>
    <w:rsid w:val="240371BF"/>
    <w:rsid w:val="263806CD"/>
    <w:rsid w:val="292D1347"/>
    <w:rsid w:val="29FD04D3"/>
    <w:rsid w:val="2C8A61B5"/>
    <w:rsid w:val="2DF04E50"/>
    <w:rsid w:val="2F040D46"/>
    <w:rsid w:val="319F7F4E"/>
    <w:rsid w:val="3304709D"/>
    <w:rsid w:val="341B56FD"/>
    <w:rsid w:val="36AA5135"/>
    <w:rsid w:val="376D39B2"/>
    <w:rsid w:val="37E16F03"/>
    <w:rsid w:val="38D469F0"/>
    <w:rsid w:val="38D579B4"/>
    <w:rsid w:val="3D98207C"/>
    <w:rsid w:val="3E78745D"/>
    <w:rsid w:val="41D90B93"/>
    <w:rsid w:val="44E268DA"/>
    <w:rsid w:val="45DB0128"/>
    <w:rsid w:val="4A627F82"/>
    <w:rsid w:val="4B0E749A"/>
    <w:rsid w:val="4B4F25DA"/>
    <w:rsid w:val="4BE068DB"/>
    <w:rsid w:val="4CD06ED6"/>
    <w:rsid w:val="4CD25EF2"/>
    <w:rsid w:val="4D577224"/>
    <w:rsid w:val="4EAB630A"/>
    <w:rsid w:val="4ECE2238"/>
    <w:rsid w:val="503F37BF"/>
    <w:rsid w:val="53545996"/>
    <w:rsid w:val="537E6D0A"/>
    <w:rsid w:val="5AF92295"/>
    <w:rsid w:val="5CD71FC4"/>
    <w:rsid w:val="61A05C67"/>
    <w:rsid w:val="6C4A05C8"/>
    <w:rsid w:val="6E7E3605"/>
    <w:rsid w:val="6FF5CC65"/>
    <w:rsid w:val="706305CE"/>
    <w:rsid w:val="70673B2B"/>
    <w:rsid w:val="715C0E4B"/>
    <w:rsid w:val="71F45FB8"/>
    <w:rsid w:val="72734D90"/>
    <w:rsid w:val="739C76CB"/>
    <w:rsid w:val="73AD73D5"/>
    <w:rsid w:val="73B6EB34"/>
    <w:rsid w:val="744731E5"/>
    <w:rsid w:val="76A56E9B"/>
    <w:rsid w:val="76E3355F"/>
    <w:rsid w:val="773758DC"/>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字符"/>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字符"/>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字符"/>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6"/>
    <w:link w:val="2"/>
    <w:qFormat/>
    <w:uiPriority w:val="9"/>
    <w:rPr>
      <w:rFonts w:ascii="Times New Roman" w:hAnsi="Times New Roman"/>
      <w:b/>
      <w:bCs/>
      <w:kern w:val="44"/>
      <w:sz w:val="44"/>
      <w:szCs w:val="44"/>
    </w:rPr>
  </w:style>
  <w:style w:type="character" w:customStyle="1" w:styleId="29">
    <w:name w:val="标题 2 字符"/>
    <w:basedOn w:val="16"/>
    <w:link w:val="3"/>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6"/>
    <w:link w:val="9"/>
    <w:semiHidden/>
    <w:qFormat/>
    <w:uiPriority w:val="99"/>
    <w:rPr>
      <w:rFonts w:ascii="Times New Roman" w:hAnsi="Times New Roman"/>
      <w:kern w:val="2"/>
      <w:sz w:val="18"/>
      <w:szCs w:val="18"/>
    </w:rPr>
  </w:style>
  <w:style w:type="character" w:customStyle="1" w:styleId="32">
    <w:name w:val="标题 3 字符"/>
    <w:basedOn w:val="16"/>
    <w:link w:val="4"/>
    <w:qFormat/>
    <w:uiPriority w:val="9"/>
    <w:rPr>
      <w:rFonts w:ascii="Times New Roman" w:hAnsi="Times New Roman"/>
      <w:b/>
      <w:bCs/>
      <w:kern w:val="2"/>
      <w:sz w:val="32"/>
      <w:szCs w:val="32"/>
    </w:rPr>
  </w:style>
  <w:style w:type="paragraph" w:customStyle="1" w:styleId="33">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G:\&#36130;&#21153;&#22791;&#20221;\&#36130;&#25919;&#37096;&#24180;&#32456;&#20915;&#31639;\2022&#24180;&#36130;&#25919;&#37096;&#20915;&#31639;\2022&#20315;&#26143;\&#30456;&#20851;&#22270;.xls"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G:\&#36130;&#21153;&#22791;&#20221;\&#36130;&#25919;&#37096;&#24180;&#32456;&#20915;&#31639;\2022&#24180;&#36130;&#25919;&#37096;&#20915;&#31639;\2022&#20315;&#26143;\&#30456;&#20851;&#22270;.xls"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G:\&#36130;&#21153;&#22791;&#20221;\&#36130;&#25919;&#37096;&#24180;&#32456;&#20915;&#31639;\2022&#24180;&#36130;&#25919;&#37096;&#20915;&#31639;\2022&#20315;&#26143;\&#30456;&#20851;&#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36130;&#21153;&#22791;&#20221;\&#36130;&#25919;&#37096;&#24180;&#32456;&#20915;&#31639;\2022&#24180;&#36130;&#25919;&#37096;&#20915;&#31639;\2022&#20315;&#26143;\&#30456;&#20851;&#2227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36130;&#21153;&#22791;&#20221;\&#36130;&#25919;&#37096;&#24180;&#32456;&#20915;&#31639;\2022&#24180;&#36130;&#25919;&#37096;&#20915;&#31639;\2022&#20315;&#26143;\&#30456;&#20851;&#22270;.xls" TargetMode="External"/></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G:\&#36130;&#21153;&#22791;&#20221;\&#36130;&#25919;&#37096;&#24180;&#32456;&#20915;&#31639;\2022&#24180;&#36130;&#25919;&#37096;&#20915;&#31639;\2022&#20315;&#26143;\&#30456;&#20851;&#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收入支出决算总体情况</a:t>
            </a:r>
            <a:endParaRPr sz="1400" b="1" i="0" u="none" strike="noStrike" baseline="0">
              <a:solidFill>
                <a:srgbClr val="404040">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[相关图.xls]蟠龙!$A$3</c:f>
              <c:strCache>
                <c:ptCount val="1"/>
                <c:pt idx="0">
                  <c:v>2021年</c:v>
                </c:pt>
              </c:strCache>
            </c:strRef>
          </c:tx>
          <c:spPr>
            <a:solidFill>
              <a:schemeClr val="accent1"/>
            </a:solidFill>
            <a:ln>
              <a:noFill/>
            </a:ln>
            <a:effectLst/>
          </c:spPr>
          <c:invertIfNegative val="0"/>
          <c:dLbls>
            <c:delete val="1"/>
          </c:dLbls>
          <c:cat>
            <c:strRef>
              <c:f>[相关图.xls]蟠龙!$B$2:$C$2</c:f>
              <c:strCache>
                <c:ptCount val="2"/>
                <c:pt idx="0">
                  <c:v>总收入</c:v>
                </c:pt>
                <c:pt idx="1">
                  <c:v>总支出</c:v>
                </c:pt>
              </c:strCache>
            </c:strRef>
          </c:cat>
          <c:val>
            <c:numRef>
              <c:f>[相关图.xls]蟠龙!$B$3:$C$3</c:f>
              <c:numCache>
                <c:formatCode>General</c:formatCode>
                <c:ptCount val="2"/>
                <c:pt idx="0">
                  <c:v>686.54</c:v>
                </c:pt>
                <c:pt idx="1">
                  <c:v>686.54</c:v>
                </c:pt>
              </c:numCache>
            </c:numRef>
          </c:val>
        </c:ser>
        <c:ser>
          <c:idx val="1"/>
          <c:order val="1"/>
          <c:tx>
            <c:strRef>
              <c:f>[相关图.xls]蟠龙!$A$4</c:f>
              <c:strCache>
                <c:ptCount val="1"/>
                <c:pt idx="0">
                  <c:v>2022年</c:v>
                </c:pt>
              </c:strCache>
            </c:strRef>
          </c:tx>
          <c:spPr>
            <a:solidFill>
              <a:schemeClr val="accent2"/>
            </a:solidFill>
            <a:ln>
              <a:noFill/>
            </a:ln>
            <a:effectLst/>
          </c:spPr>
          <c:invertIfNegative val="0"/>
          <c:dLbls>
            <c:delete val="1"/>
          </c:dLbls>
          <c:cat>
            <c:strRef>
              <c:f>[相关图.xls]蟠龙!$B$2:$C$2</c:f>
              <c:strCache>
                <c:ptCount val="2"/>
                <c:pt idx="0">
                  <c:v>总收入</c:v>
                </c:pt>
                <c:pt idx="1">
                  <c:v>总支出</c:v>
                </c:pt>
              </c:strCache>
            </c:strRef>
          </c:cat>
          <c:val>
            <c:numRef>
              <c:f>[相关图.xls]蟠龙!$B$4:$C$4</c:f>
              <c:numCache>
                <c:formatCode>General</c:formatCode>
                <c:ptCount val="2"/>
                <c:pt idx="0">
                  <c:v>742.55</c:v>
                </c:pt>
                <c:pt idx="1">
                  <c:v>742.55</c:v>
                </c:pt>
              </c:numCache>
            </c:numRef>
          </c:val>
        </c:ser>
        <c:dLbls>
          <c:showLegendKey val="0"/>
          <c:showVal val="0"/>
          <c:showCatName val="0"/>
          <c:showSerName val="0"/>
          <c:showPercent val="0"/>
          <c:showBubbleSize val="0"/>
        </c:dLbls>
        <c:gapWidth val="246"/>
        <c:overlap val="-28"/>
        <c:axId val="946328615"/>
        <c:axId val="593064690"/>
      </c:barChart>
      <c:catAx>
        <c:axId val="946328615"/>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064690"/>
        <c:crosses val="autoZero"/>
        <c:auto val="1"/>
        <c:lblAlgn val="ctr"/>
        <c:lblOffset val="100"/>
        <c:noMultiLvlLbl val="0"/>
      </c:catAx>
      <c:valAx>
        <c:axId val="593064690"/>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63286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收入决算情况</a:t>
            </a:r>
            <a:endParaRPr sz="14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spPr>
            <a:solidFill>
              <a:schemeClr val="accent1"/>
            </a:solidFill>
            <a:ln w="12700">
              <a:noFill/>
            </a:ln>
            <a:effectLst/>
            <a:sp3d contourW="12700"/>
          </c:spPr>
          <c:explosion val="3"/>
          <c:dPt>
            <c:idx val="0"/>
            <c:bubble3D val="0"/>
            <c:explosion val="3"/>
            <c:spPr>
              <a:solidFill>
                <a:schemeClr val="accent1"/>
              </a:solidFill>
              <a:ln w="12700">
                <a:noFill/>
              </a:ln>
              <a:effectLst/>
              <a:sp3d contourW="12700"/>
            </c:spPr>
          </c:dPt>
          <c:dPt>
            <c:idx val="1"/>
            <c:bubble3D val="0"/>
            <c:explosion val="3"/>
            <c:spPr>
              <a:solidFill>
                <a:schemeClr val="accent2"/>
              </a:solidFill>
              <a:ln w="12700">
                <a:noFill/>
              </a:ln>
              <a:effectLst/>
              <a:sp3d contourW="12700"/>
            </c:spPr>
          </c:dPt>
          <c:dPt>
            <c:idx val="2"/>
            <c:bubble3D val="0"/>
            <c:explosion val="3"/>
            <c:spPr>
              <a:solidFill>
                <a:schemeClr val="accent3"/>
              </a:solidFill>
              <a:ln w="12700">
                <a:noFill/>
              </a:ln>
              <a:effectLst/>
              <a:sp3d contourW="12700"/>
            </c:spPr>
          </c:dPt>
          <c:dLbls>
            <c:dLbl>
              <c:idx val="0"/>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dLbl>
              <c:idx val="1"/>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dLbl>
              <c:idx val="2"/>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[相关图.xls]蟠龙!$A$20:$A$22</c:f>
              <c:strCache>
                <c:ptCount val="3"/>
                <c:pt idx="0">
                  <c:v>一般公共预算财政拨款收入</c:v>
                </c:pt>
                <c:pt idx="1">
                  <c:v>事业收入</c:v>
                </c:pt>
                <c:pt idx="2">
                  <c:v>其他收入</c:v>
                </c:pt>
              </c:strCache>
            </c:strRef>
          </c:cat>
          <c:val>
            <c:numRef>
              <c:f>[相关图.xls]蟠龙!$B$20:$B$22</c:f>
              <c:numCache>
                <c:formatCode>General</c:formatCode>
                <c:ptCount val="3"/>
                <c:pt idx="0">
                  <c:v>146.76</c:v>
                </c:pt>
                <c:pt idx="1">
                  <c:v>565.71</c:v>
                </c:pt>
                <c:pt idx="2">
                  <c:v>30.08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vert="horz"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支出决算情况</a:t>
            </a:r>
            <a:endParaRPr sz="14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spPr>
            <a:solidFill>
              <a:schemeClr val="accent1"/>
            </a:solidFill>
            <a:ln w="12700">
              <a:noFill/>
            </a:ln>
            <a:effectLst/>
            <a:sp3d contourW="12700"/>
          </c:spPr>
          <c:explosion val="3"/>
          <c:dPt>
            <c:idx val="0"/>
            <c:bubble3D val="0"/>
            <c:explosion val="3"/>
            <c:spPr>
              <a:solidFill>
                <a:schemeClr val="accent1"/>
              </a:solidFill>
              <a:ln w="12700">
                <a:noFill/>
              </a:ln>
              <a:effectLst/>
              <a:sp3d contourW="12700"/>
            </c:spPr>
          </c:dPt>
          <c:dPt>
            <c:idx val="1"/>
            <c:bubble3D val="0"/>
            <c:explosion val="3"/>
            <c:spPr>
              <a:solidFill>
                <a:schemeClr val="accent2"/>
              </a:solidFill>
              <a:ln w="12700">
                <a:noFill/>
              </a:ln>
              <a:effectLst/>
              <a:sp3d contourW="12700"/>
            </c:spPr>
          </c:dPt>
          <c:dLbls>
            <c:dLbl>
              <c:idx val="0"/>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dLbl>
              <c:idx val="1"/>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[相关图.xls]蟠龙!$A$37:$A$38</c:f>
              <c:strCache>
                <c:ptCount val="2"/>
                <c:pt idx="0">
                  <c:v>基本支出</c:v>
                </c:pt>
                <c:pt idx="1">
                  <c:v>项目支出</c:v>
                </c:pt>
              </c:strCache>
            </c:strRef>
          </c:cat>
          <c:val>
            <c:numRef>
              <c:f>[相关图.xls]蟠龙!$B$37:$B$38</c:f>
              <c:numCache>
                <c:formatCode>General</c:formatCode>
                <c:ptCount val="2"/>
                <c:pt idx="0">
                  <c:v>631.91</c:v>
                </c:pt>
                <c:pt idx="1">
                  <c:v>110.64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财政拨款收入支出情况</a:t>
            </a:r>
            <a:endParaRPr sz="1400" b="1" i="0" u="none" strike="noStrike" baseline="0">
              <a:solidFill>
                <a:srgbClr val="40404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59785182914937"/>
          <c:y val="0.0450405326774048"/>
        </c:manualLayout>
      </c:layout>
      <c:overlay val="0"/>
      <c:spPr>
        <a:noFill/>
        <a:ln>
          <a:noFill/>
        </a:ln>
        <a:effectLst/>
      </c:spPr>
    </c:title>
    <c:autoTitleDeleted val="0"/>
    <c:plotArea>
      <c:layout/>
      <c:barChart>
        <c:barDir val="col"/>
        <c:grouping val="clustered"/>
        <c:varyColors val="0"/>
        <c:ser>
          <c:idx val="0"/>
          <c:order val="0"/>
          <c:tx>
            <c:strRef>
              <c:f>[相关图.xls]蟠龙!$A$55</c:f>
              <c:strCache>
                <c:ptCount val="1"/>
                <c:pt idx="0">
                  <c:v>2021年</c:v>
                </c:pt>
              </c:strCache>
            </c:strRef>
          </c:tx>
          <c:spPr>
            <a:solidFill>
              <a:schemeClr val="accent1"/>
            </a:solidFill>
            <a:ln>
              <a:noFill/>
            </a:ln>
            <a:effectLst/>
          </c:spPr>
          <c:invertIfNegative val="0"/>
          <c:dLbls>
            <c:delete val="1"/>
          </c:dLbls>
          <c:cat>
            <c:strRef>
              <c:f>[相关图.xls]蟠龙!$B$54:$C$54</c:f>
              <c:strCache>
                <c:ptCount val="2"/>
                <c:pt idx="0">
                  <c:v>一般公共预算财政拨款收入</c:v>
                </c:pt>
                <c:pt idx="1">
                  <c:v>一般公共预算财政拨款支出</c:v>
                </c:pt>
              </c:strCache>
            </c:strRef>
          </c:cat>
          <c:val>
            <c:numRef>
              <c:f>[相关图.xls]蟠龙!$B$55:$C$55</c:f>
              <c:numCache>
                <c:formatCode>General</c:formatCode>
                <c:ptCount val="2"/>
                <c:pt idx="0">
                  <c:v>184.93</c:v>
                </c:pt>
                <c:pt idx="1">
                  <c:v>184.93</c:v>
                </c:pt>
              </c:numCache>
            </c:numRef>
          </c:val>
        </c:ser>
        <c:ser>
          <c:idx val="1"/>
          <c:order val="1"/>
          <c:tx>
            <c:strRef>
              <c:f>[相关图.xls]蟠龙!$A$56</c:f>
              <c:strCache>
                <c:ptCount val="1"/>
                <c:pt idx="0">
                  <c:v>2022年</c:v>
                </c:pt>
              </c:strCache>
            </c:strRef>
          </c:tx>
          <c:spPr>
            <a:solidFill>
              <a:schemeClr val="accent2"/>
            </a:solidFill>
            <a:ln>
              <a:noFill/>
            </a:ln>
            <a:effectLst/>
          </c:spPr>
          <c:invertIfNegative val="0"/>
          <c:dLbls>
            <c:delete val="1"/>
          </c:dLbls>
          <c:cat>
            <c:strRef>
              <c:f>[相关图.xls]蟠龙!$B$54:$C$54</c:f>
              <c:strCache>
                <c:ptCount val="2"/>
                <c:pt idx="0">
                  <c:v>一般公共预算财政拨款收入</c:v>
                </c:pt>
                <c:pt idx="1">
                  <c:v>一般公共预算财政拨款支出</c:v>
                </c:pt>
              </c:strCache>
            </c:strRef>
          </c:cat>
          <c:val>
            <c:numRef>
              <c:f>[相关图.xls]蟠龙!$B$56:$C$56</c:f>
              <c:numCache>
                <c:formatCode>General</c:formatCode>
                <c:ptCount val="2"/>
                <c:pt idx="0">
                  <c:v>146.76</c:v>
                </c:pt>
                <c:pt idx="1">
                  <c:v>146.76</c:v>
                </c:pt>
              </c:numCache>
            </c:numRef>
          </c:val>
        </c:ser>
        <c:dLbls>
          <c:showLegendKey val="0"/>
          <c:showVal val="0"/>
          <c:showCatName val="0"/>
          <c:showSerName val="0"/>
          <c:showPercent val="0"/>
          <c:showBubbleSize val="0"/>
        </c:dLbls>
        <c:gapWidth val="246"/>
        <c:overlap val="-28"/>
        <c:axId val="211789184"/>
        <c:axId val="44673437"/>
      </c:barChart>
      <c:catAx>
        <c:axId val="2117891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73437"/>
        <c:crosses val="autoZero"/>
        <c:auto val="1"/>
        <c:lblAlgn val="ctr"/>
        <c:lblOffset val="100"/>
        <c:noMultiLvlLbl val="0"/>
      </c:catAx>
      <c:valAx>
        <c:axId val="44673437"/>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7891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一般公共预算财政拨款支出决算总体情况</a:t>
            </a:r>
            <a:endParaRPr sz="1400" b="1" i="0" u="none" strike="noStrike" baseline="0">
              <a:solidFill>
                <a:srgbClr val="404040">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[相关图.xls]蟠龙!$A$73</c:f>
              <c:strCache>
                <c:ptCount val="1"/>
                <c:pt idx="0">
                  <c:v>2021年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[相关图.xls]蟠龙!$B$72</c:f>
              <c:strCache>
                <c:ptCount val="1"/>
                <c:pt idx="0">
                  <c:v>一般公共预算财政拨款支出</c:v>
                </c:pt>
              </c:strCache>
            </c:strRef>
          </c:cat>
          <c:val>
            <c:numRef>
              <c:f>[相关图.xls]蟠龙!$B$73</c:f>
              <c:numCache>
                <c:formatCode>General</c:formatCode>
                <c:ptCount val="1"/>
                <c:pt idx="0">
                  <c:v>184.93</c:v>
                </c:pt>
              </c:numCache>
            </c:numRef>
          </c:val>
        </c:ser>
        <c:ser>
          <c:idx val="1"/>
          <c:order val="1"/>
          <c:tx>
            <c:strRef>
              <c:f>[相关图.xls]蟠龙!$A$74</c:f>
              <c:strCache>
                <c:ptCount val="1"/>
                <c:pt idx="0">
                  <c:v>2022年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[相关图.xls]蟠龙!$B$72</c:f>
              <c:strCache>
                <c:ptCount val="1"/>
                <c:pt idx="0">
                  <c:v>一般公共预算财政拨款支出</c:v>
                </c:pt>
              </c:strCache>
            </c:strRef>
          </c:cat>
          <c:val>
            <c:numRef>
              <c:f>[相关图.xls]蟠龙!$B$74</c:f>
              <c:numCache>
                <c:formatCode>General</c:formatCode>
                <c:ptCount val="1"/>
                <c:pt idx="0">
                  <c:v>146.76</c:v>
                </c:pt>
              </c:numCache>
            </c:numRef>
          </c:val>
        </c:ser>
        <c:dLbls>
          <c:showLegendKey val="0"/>
          <c:showVal val="0"/>
          <c:showCatName val="0"/>
          <c:showSerName val="0"/>
          <c:showPercent val="0"/>
          <c:showBubbleSize val="0"/>
        </c:dLbls>
        <c:gapWidth val="246"/>
        <c:overlap val="-28"/>
        <c:axId val="796959771"/>
        <c:axId val="227654243"/>
      </c:barChart>
      <c:catAx>
        <c:axId val="796959771"/>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7654243"/>
        <c:crosses val="autoZero"/>
        <c:auto val="1"/>
        <c:lblAlgn val="ctr"/>
        <c:lblOffset val="100"/>
        <c:noMultiLvlLbl val="0"/>
      </c:catAx>
      <c:valAx>
        <c:axId val="227654243"/>
        <c:scaling>
          <c:orientation val="minMax"/>
        </c:scaling>
        <c:delete val="0"/>
        <c:axPos val="l"/>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69597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一般公共预算财政拨款支出决算结构情况</a:t>
            </a:r>
            <a:endParaRPr sz="14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spPr>
            <a:solidFill>
              <a:schemeClr val="accent1"/>
            </a:solidFill>
            <a:ln w="12700">
              <a:noFill/>
            </a:ln>
            <a:effectLst/>
            <a:sp3d contourW="12700"/>
          </c:spPr>
          <c:explosion val="3"/>
          <c:dPt>
            <c:idx val="0"/>
            <c:bubble3D val="0"/>
            <c:explosion val="3"/>
            <c:spPr>
              <a:solidFill>
                <a:schemeClr val="accent1"/>
              </a:solidFill>
              <a:ln w="12700">
                <a:noFill/>
              </a:ln>
              <a:effectLst/>
              <a:sp3d contourW="12700"/>
            </c:spPr>
          </c:dPt>
          <c:dPt>
            <c:idx val="1"/>
            <c:bubble3D val="0"/>
            <c:explosion val="3"/>
            <c:spPr>
              <a:solidFill>
                <a:schemeClr val="accent2"/>
              </a:solidFill>
              <a:ln w="12700">
                <a:noFill/>
              </a:ln>
              <a:effectLst/>
              <a:sp3d contourW="12700"/>
            </c:spPr>
          </c:dPt>
          <c:dLbls>
            <c:dLbl>
              <c:idx val="0"/>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dLbl>
              <c:idx val="1"/>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[相关图.xls]蟠龙!$A$91:$A$92</c:f>
              <c:strCache>
                <c:ptCount val="2"/>
                <c:pt idx="0">
                  <c:v>社会保障和就业支出</c:v>
                </c:pt>
                <c:pt idx="1">
                  <c:v>卫生健康支出</c:v>
                </c:pt>
              </c:strCache>
            </c:strRef>
          </c:cat>
          <c:val>
            <c:numRef>
              <c:f>[相关图.xls]蟠龙!$B$91:$B$92</c:f>
              <c:numCache>
                <c:formatCode>General</c:formatCode>
                <c:ptCount val="2"/>
                <c:pt idx="0">
                  <c:v>10.15</c:v>
                </c:pt>
                <c:pt idx="1">
                  <c:v>136.61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1189</Words>
  <Characters>6781</Characters>
  <Lines>56</Lines>
  <Paragraphs>15</Paragraphs>
  <TotalTime>24</TotalTime>
  <ScaleCrop>false</ScaleCrop>
  <LinksUpToDate>false</LinksUpToDate>
  <CharactersWithSpaces>7955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dori</cp:lastModifiedBy>
  <cp:lastPrinted>2023-10-31T01:53:00Z</cp:lastPrinted>
  <dcterms:modified xsi:type="dcterms:W3CDTF">2023-10-31T09:14:16Z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F5648C16695A4749AB7D6EAE8979F56E_13</vt:lpwstr>
  </property>
</Properties>
</file>