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theme/themeOverride1.xml" ContentType="application/vnd.openxmlformats-officedocument.themeOverride+xml"/>
  <Override PartName="/word/theme/themeOverride2.xml" ContentType="application/vnd.openxmlformats-officedocument.themeOverride+xml"/>
  <Override PartName="/word/theme/themeOverride3.xml" ContentType="application/vnd.openxmlformats-officedocument.themeOverrid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77425"/>
      <w:bookmarkStart w:id="1" w:name="_Toc15396597"/>
      <w:bookmarkStart w:id="2" w:name="_Toc15377193"/>
      <w:bookmarkStart w:id="3" w:name="_Toc15396475"/>
      <w:bookmarkStart w:id="4" w:name="_Toc15378441"/>
      <w:bookmarkStart w:id="5"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rPr>
        <w:t>2022年度</w:t>
      </w:r>
      <w:bookmarkEnd w:id="0"/>
      <w:bookmarkEnd w:id="1"/>
      <w:bookmarkEnd w:id="2"/>
      <w:bookmarkEnd w:id="3"/>
      <w:bookmarkEnd w:id="4"/>
    </w:p>
    <w:p>
      <w:pPr>
        <w:adjustRightInd w:val="0"/>
        <w:snapToGrid w:val="0"/>
        <w:spacing w:line="360" w:lineRule="auto"/>
        <w:jc w:val="center"/>
        <w:outlineLvl w:val="0"/>
        <w:rPr>
          <w:rFonts w:hint="eastAsia" w:ascii="方正小标宋简体" w:hAnsi="方正小标宋简体" w:eastAsia="方正小标宋简体" w:cs="方正小标宋简体"/>
          <w:sz w:val="72"/>
          <w:szCs w:val="72"/>
          <w:lang w:eastAsia="zh-CN"/>
        </w:rPr>
      </w:pPr>
      <w:bookmarkStart w:id="6" w:name="_Toc15377426"/>
      <w:bookmarkStart w:id="7" w:name="_Toc15396476"/>
      <w:bookmarkStart w:id="8" w:name="_Toc15378442"/>
      <w:bookmarkStart w:id="9" w:name="_Toc15377194"/>
      <w:bookmarkStart w:id="10" w:name="_Toc15396598"/>
      <w:r>
        <w:rPr>
          <w:rFonts w:hint="eastAsia" w:ascii="方正小标宋简体" w:hAnsi="方正小标宋简体" w:eastAsia="方正小标宋简体" w:cs="方正小标宋简体"/>
          <w:sz w:val="72"/>
          <w:szCs w:val="72"/>
        </w:rPr>
        <w:t>四川省</w:t>
      </w:r>
      <w:bookmarkEnd w:id="5"/>
      <w:bookmarkStart w:id="11" w:name="_Toc15306268"/>
      <w:r>
        <w:rPr>
          <w:rFonts w:hint="eastAsia" w:ascii="方正小标宋简体" w:hAnsi="方正小标宋简体" w:eastAsia="方正小标宋简体" w:cs="方正小标宋简体"/>
          <w:sz w:val="72"/>
          <w:szCs w:val="72"/>
          <w:lang w:eastAsia="zh-CN"/>
        </w:rPr>
        <w:t>资阳市乐至县</w:t>
      </w:r>
    </w:p>
    <w:p>
      <w:pPr>
        <w:adjustRightInd w:val="0"/>
        <w:snapToGrid w:val="0"/>
        <w:spacing w:line="360" w:lineRule="auto"/>
        <w:jc w:val="center"/>
        <w:outlineLvl w:val="0"/>
        <w:rPr>
          <w:rFonts w:ascii="方正小标宋简体" w:hAnsi="方正小标宋简体" w:eastAsia="方正小标宋简体" w:cs="方正小标宋简体"/>
          <w:sz w:val="72"/>
          <w:szCs w:val="72"/>
        </w:rPr>
      </w:pPr>
      <w:r>
        <w:rPr>
          <w:rFonts w:hint="eastAsia" w:ascii="方正小标宋简体" w:hAnsi="方正小标宋简体" w:eastAsia="方正小标宋简体" w:cs="方正小标宋简体"/>
          <w:sz w:val="72"/>
          <w:szCs w:val="72"/>
          <w:lang w:eastAsia="zh-CN"/>
        </w:rPr>
        <w:t>东山镇孔雀卫生院</w:t>
      </w:r>
      <w:r>
        <w:rPr>
          <w:rFonts w:hint="eastAsia" w:ascii="方正小标宋简体" w:hAnsi="方正小标宋简体" w:eastAsia="方正小标宋简体" w:cs="方正小标宋简体"/>
          <w:sz w:val="72"/>
          <w:szCs w:val="72"/>
        </w:rPr>
        <w:t>部门决算</w:t>
      </w:r>
      <w:bookmarkEnd w:id="6"/>
      <w:bookmarkEnd w:id="7"/>
      <w:bookmarkEnd w:id="8"/>
      <w:bookmarkEnd w:id="9"/>
      <w:bookmarkEnd w:id="10"/>
      <w:bookmarkEnd w:id="11"/>
    </w:p>
    <w:p>
      <w:pPr>
        <w:pStyle w:val="6"/>
        <w:spacing w:before="93"/>
        <w:rPr>
          <w:rFonts w:hint="eastAsia" w:eastAsia="仿宋"/>
          <w:bCs/>
          <w:i/>
          <w:color w:val="000000"/>
          <w:sz w:val="32"/>
          <w:szCs w:val="32"/>
          <w:highlight w:val="yellow"/>
        </w:rPr>
      </w:pPr>
    </w:p>
    <w:p>
      <w:pPr>
        <w:pStyle w:val="6"/>
        <w:spacing w:before="93"/>
        <w:rPr>
          <w:rFonts w:hint="eastAsia" w:eastAsia="仿宋"/>
          <w:bCs/>
          <w:i/>
          <w:color w:val="000000"/>
          <w:sz w:val="32"/>
          <w:szCs w:val="32"/>
          <w:highlight w:val="yellow"/>
        </w:rPr>
      </w:pPr>
    </w:p>
    <w:p>
      <w:pPr>
        <w:pStyle w:val="6"/>
        <w:spacing w:before="93"/>
        <w:rPr>
          <w:rFonts w:hint="eastAsia" w:eastAsia="仿宋"/>
          <w:bCs/>
          <w:i/>
          <w:color w:val="000000"/>
          <w:sz w:val="32"/>
          <w:szCs w:val="32"/>
          <w:highlight w:val="yellow"/>
        </w:rPr>
      </w:pPr>
    </w:p>
    <w:p>
      <w:pPr>
        <w:pStyle w:val="6"/>
        <w:spacing w:before="93"/>
        <w:rPr>
          <w:rFonts w:hint="eastAsia" w:eastAsia="仿宋"/>
          <w:bCs/>
          <w:i/>
          <w:color w:val="000000"/>
          <w:sz w:val="32"/>
          <w:szCs w:val="32"/>
          <w:highlight w:val="yellow"/>
        </w:rPr>
      </w:pPr>
    </w:p>
    <w:p>
      <w:pPr>
        <w:pStyle w:val="6"/>
        <w:spacing w:before="93"/>
        <w:rPr>
          <w:rFonts w:hint="eastAsia" w:eastAsia="仿宋"/>
          <w:bCs/>
          <w:i/>
          <w:color w:val="000000"/>
          <w:sz w:val="32"/>
          <w:szCs w:val="32"/>
          <w:highlight w:val="yellow"/>
        </w:rPr>
      </w:pPr>
    </w:p>
    <w:p>
      <w:pPr>
        <w:pStyle w:val="6"/>
        <w:spacing w:before="93"/>
        <w:rPr>
          <w:rFonts w:hint="eastAsia" w:eastAsia="仿宋"/>
          <w:bCs/>
          <w:i/>
          <w:color w:val="000000"/>
          <w:sz w:val="32"/>
          <w:szCs w:val="32"/>
          <w:highlight w:val="yellow"/>
        </w:rPr>
      </w:pPr>
    </w:p>
    <w:p>
      <w:pPr>
        <w:pStyle w:val="6"/>
        <w:spacing w:before="93"/>
        <w:rPr>
          <w:rFonts w:hint="eastAsia" w:eastAsia="仿宋"/>
          <w:bCs/>
          <w:i/>
          <w:color w:val="000000"/>
          <w:sz w:val="32"/>
          <w:szCs w:val="32"/>
          <w:highlight w:val="yellow"/>
        </w:rPr>
      </w:pPr>
    </w:p>
    <w:p>
      <w:pPr>
        <w:pStyle w:val="6"/>
        <w:spacing w:before="93"/>
        <w:rPr>
          <w:rFonts w:hint="eastAsia" w:eastAsia="仿宋"/>
          <w:bCs/>
          <w:i/>
          <w:color w:val="000000"/>
          <w:sz w:val="32"/>
          <w:szCs w:val="32"/>
          <w:highlight w:val="yellow"/>
        </w:rPr>
      </w:pPr>
    </w:p>
    <w:p>
      <w:pPr>
        <w:pStyle w:val="6"/>
        <w:spacing w:before="93"/>
        <w:rPr>
          <w:rFonts w:hint="eastAsia" w:eastAsia="仿宋"/>
          <w:bCs/>
          <w:i/>
          <w:color w:val="000000"/>
          <w:sz w:val="32"/>
          <w:szCs w:val="32"/>
          <w:highlight w:val="yellow"/>
        </w:rPr>
      </w:pPr>
    </w:p>
    <w:p>
      <w:pPr>
        <w:pStyle w:val="6"/>
        <w:spacing w:before="93"/>
        <w:rPr>
          <w:rFonts w:hint="eastAsia" w:eastAsia="仿宋"/>
          <w:bCs/>
          <w:i/>
          <w:color w:val="000000"/>
          <w:sz w:val="32"/>
          <w:szCs w:val="32"/>
          <w:highlight w:val="yellow"/>
        </w:rPr>
      </w:pPr>
    </w:p>
    <w:p>
      <w:pPr>
        <w:widowControl/>
        <w:jc w:val="center"/>
        <w:rPr>
          <w:rFonts w:ascii="黑体" w:hAnsi="黑体" w:eastAsia="黑体"/>
          <w:sz w:val="48"/>
          <w:szCs w:val="48"/>
        </w:rPr>
      </w:pP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2"/>
      </w:pPr>
      <w:r>
        <w:rPr>
          <w:rFonts w:hint="eastAsia"/>
        </w:rPr>
        <w:t>公开时间：2023年</w:t>
      </w:r>
      <w:r>
        <w:rPr>
          <w:rFonts w:hint="eastAsia"/>
          <w:lang w:val="en-US" w:eastAsia="zh-CN"/>
        </w:rPr>
        <w:t>10</w:t>
      </w:r>
      <w:r>
        <w:rPr>
          <w:rFonts w:hint="eastAsia"/>
        </w:rPr>
        <w:t>月</w:t>
      </w:r>
      <w:r>
        <w:rPr>
          <w:rFonts w:hint="eastAsia"/>
          <w:lang w:val="en-US" w:eastAsia="zh-CN"/>
        </w:rPr>
        <w:t>20</w:t>
      </w:r>
      <w:r>
        <w:t xml:space="preserve"> </w:t>
      </w:r>
      <w:r>
        <w:rPr>
          <w:rFonts w:hint="eastAsia"/>
        </w:rPr>
        <w:t>日</w:t>
      </w:r>
    </w:p>
    <w:p/>
    <w:p>
      <w:pPr>
        <w:pStyle w:val="12"/>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部门概况</w:t>
      </w:r>
    </w:p>
    <w:p>
      <w:pPr>
        <w:pStyle w:val="13"/>
        <w:adjustRightInd w:val="0"/>
        <w:snapToGrid w:val="0"/>
        <w:spacing w:line="440" w:lineRule="exact"/>
        <w:jc w:val="left"/>
        <w:rPr>
          <w:rFonts w:hint="eastAsia"/>
          <w:sz w:val="24"/>
        </w:rPr>
      </w:pPr>
      <w:r>
        <w:rPr>
          <w:rFonts w:hint="eastAsia"/>
          <w:sz w:val="24"/>
        </w:rPr>
        <w:t>一、部门职责</w:t>
      </w:r>
    </w:p>
    <w:p>
      <w:pPr>
        <w:pStyle w:val="13"/>
        <w:adjustRightInd w:val="0"/>
        <w:snapToGrid w:val="0"/>
        <w:spacing w:line="440" w:lineRule="exact"/>
        <w:jc w:val="left"/>
        <w:rPr>
          <w:rFonts w:ascii="仿宋" w:hAnsi="仿宋" w:eastAsia="仿宋" w:cstheme="minorBidi"/>
          <w:sz w:val="24"/>
        </w:rPr>
      </w:pPr>
      <w:r>
        <w:rPr>
          <w:rFonts w:hint="eastAsia"/>
          <w:sz w:val="24"/>
        </w:rPr>
        <w:t>二、机构设置</w:t>
      </w:r>
    </w:p>
    <w:p>
      <w:pPr>
        <w:pStyle w:val="12"/>
        <w:adjustRightInd w:val="0"/>
        <w:snapToGrid w:val="0"/>
        <w:spacing w:before="0" w:line="440" w:lineRule="exact"/>
        <w:jc w:val="left"/>
        <w:rPr>
          <w:sz w:val="24"/>
          <w:szCs w:val="24"/>
        </w:rPr>
      </w:pPr>
      <w:r>
        <w:rPr>
          <w:rFonts w:hint="eastAsia"/>
          <w:sz w:val="24"/>
        </w:rPr>
        <w:t>第二部分 2022年度部门决算情况说明</w:t>
      </w:r>
    </w:p>
    <w:p>
      <w:pPr>
        <w:pStyle w:val="13"/>
        <w:adjustRightInd w:val="0"/>
        <w:snapToGrid w:val="0"/>
        <w:spacing w:line="440" w:lineRule="exact"/>
        <w:jc w:val="left"/>
        <w:rPr>
          <w:rFonts w:ascii="仿宋" w:hAnsi="仿宋" w:eastAsia="仿宋" w:cstheme="minorBidi"/>
          <w:sz w:val="24"/>
        </w:rPr>
      </w:pPr>
      <w:r>
        <w:rPr>
          <w:rFonts w:hint="eastAsia"/>
          <w:sz w:val="24"/>
        </w:rPr>
        <w:t>一、收入支出决算总体情况说明</w:t>
      </w:r>
    </w:p>
    <w:p>
      <w:pPr>
        <w:pStyle w:val="13"/>
        <w:adjustRightInd w:val="0"/>
        <w:snapToGrid w:val="0"/>
        <w:spacing w:line="440" w:lineRule="exact"/>
        <w:jc w:val="left"/>
        <w:rPr>
          <w:rFonts w:ascii="仿宋" w:hAnsi="仿宋" w:eastAsia="仿宋" w:cstheme="minorBidi"/>
          <w:sz w:val="24"/>
        </w:rPr>
      </w:pPr>
      <w:r>
        <w:rPr>
          <w:rFonts w:hint="eastAsia"/>
          <w:sz w:val="24"/>
        </w:rPr>
        <w:t>二、收入决算情况说明</w:t>
      </w:r>
    </w:p>
    <w:p>
      <w:pPr>
        <w:pStyle w:val="13"/>
        <w:adjustRightInd w:val="0"/>
        <w:snapToGrid w:val="0"/>
        <w:spacing w:line="440" w:lineRule="exact"/>
        <w:jc w:val="left"/>
        <w:rPr>
          <w:rFonts w:ascii="仿宋" w:hAnsi="仿宋" w:eastAsia="仿宋" w:cstheme="minorBidi"/>
          <w:sz w:val="24"/>
        </w:rPr>
      </w:pPr>
      <w:r>
        <w:rPr>
          <w:rFonts w:hint="eastAsia"/>
          <w:sz w:val="24"/>
        </w:rPr>
        <w:t>三、支出决算情况说明</w:t>
      </w:r>
    </w:p>
    <w:p>
      <w:pPr>
        <w:pStyle w:val="13"/>
        <w:adjustRightInd w:val="0"/>
        <w:snapToGrid w:val="0"/>
        <w:spacing w:line="440" w:lineRule="exact"/>
        <w:jc w:val="left"/>
        <w:rPr>
          <w:rFonts w:ascii="仿宋" w:hAnsi="仿宋" w:eastAsia="仿宋" w:cstheme="minorBidi"/>
          <w:sz w:val="24"/>
        </w:rPr>
      </w:pPr>
      <w:r>
        <w:rPr>
          <w:rFonts w:hint="eastAsia"/>
          <w:sz w:val="24"/>
        </w:rPr>
        <w:t>四、财政拨款收入支出决算总体情况说明</w:t>
      </w:r>
    </w:p>
    <w:p>
      <w:pPr>
        <w:pStyle w:val="13"/>
        <w:adjustRightInd w:val="0"/>
        <w:snapToGrid w:val="0"/>
        <w:spacing w:line="440" w:lineRule="exact"/>
        <w:jc w:val="left"/>
        <w:rPr>
          <w:rFonts w:ascii="仿宋" w:hAnsi="仿宋" w:eastAsia="仿宋" w:cstheme="minorBidi"/>
          <w:sz w:val="24"/>
        </w:rPr>
      </w:pPr>
      <w:r>
        <w:rPr>
          <w:rFonts w:hint="eastAsia"/>
          <w:sz w:val="24"/>
        </w:rPr>
        <w:t>五、一般公共预算财政拨款支出决算情况说明</w:t>
      </w:r>
    </w:p>
    <w:p>
      <w:pPr>
        <w:pStyle w:val="13"/>
        <w:adjustRightInd w:val="0"/>
        <w:snapToGrid w:val="0"/>
        <w:spacing w:line="440" w:lineRule="exact"/>
        <w:jc w:val="left"/>
        <w:rPr>
          <w:rFonts w:ascii="仿宋" w:hAnsi="仿宋" w:eastAsia="仿宋" w:cstheme="minorBidi"/>
          <w:sz w:val="24"/>
        </w:rPr>
      </w:pPr>
      <w:r>
        <w:rPr>
          <w:rFonts w:hint="eastAsia"/>
          <w:sz w:val="24"/>
        </w:rPr>
        <w:t>六、一般公共预算财政拨款基本支出决算情况说明</w:t>
      </w:r>
    </w:p>
    <w:p>
      <w:pPr>
        <w:pStyle w:val="13"/>
        <w:adjustRightInd w:val="0"/>
        <w:snapToGrid w:val="0"/>
        <w:spacing w:line="440" w:lineRule="exact"/>
        <w:jc w:val="left"/>
        <w:rPr>
          <w:rFonts w:ascii="仿宋" w:hAnsi="仿宋" w:eastAsia="仿宋" w:cstheme="minorBidi"/>
          <w:sz w:val="24"/>
        </w:rPr>
      </w:pPr>
      <w:r>
        <w:rPr>
          <w:rFonts w:hint="eastAsia"/>
          <w:sz w:val="24"/>
        </w:rPr>
        <w:t>七、财政拨款“三公”经费支出决算情况说明</w:t>
      </w:r>
    </w:p>
    <w:p>
      <w:pPr>
        <w:pStyle w:val="13"/>
        <w:adjustRightInd w:val="0"/>
        <w:snapToGrid w:val="0"/>
        <w:spacing w:line="440" w:lineRule="exact"/>
        <w:jc w:val="left"/>
        <w:rPr>
          <w:rFonts w:ascii="仿宋" w:hAnsi="仿宋" w:eastAsia="仿宋" w:cstheme="minorBidi"/>
          <w:sz w:val="24"/>
        </w:rPr>
      </w:pPr>
      <w:r>
        <w:rPr>
          <w:rFonts w:hint="eastAsia"/>
          <w:sz w:val="24"/>
        </w:rPr>
        <w:t>八、政府性基金预算支出决算情况说明</w:t>
      </w:r>
    </w:p>
    <w:p>
      <w:pPr>
        <w:pStyle w:val="13"/>
        <w:adjustRightInd w:val="0"/>
        <w:snapToGrid w:val="0"/>
        <w:spacing w:line="440" w:lineRule="exact"/>
        <w:ind w:leftChars="0"/>
        <w:jc w:val="left"/>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九、国有资本经营预算支出决算情况说明</w:t>
      </w:r>
    </w:p>
    <w:p>
      <w:pPr>
        <w:adjustRightInd w:val="0"/>
        <w:snapToGrid w:val="0"/>
        <w:spacing w:line="440" w:lineRule="exact"/>
        <w:ind w:firstLine="420" w:firstLineChars="175"/>
        <w:jc w:val="left"/>
        <w:rPr>
          <w:rFonts w:asciiTheme="minorEastAsia" w:hAnsiTheme="minorEastAsia" w:eastAsiaTheme="minorEastAsia" w:cstheme="minorEastAsia"/>
          <w:sz w:val="24"/>
        </w:rPr>
      </w:pPr>
      <w:r>
        <w:rPr>
          <w:rStyle w:val="18"/>
          <w:rFonts w:hint="eastAsia" w:asciiTheme="minorEastAsia" w:hAnsiTheme="minorEastAsia" w:eastAsiaTheme="minorEastAsia" w:cstheme="minorEastAsia"/>
          <w:color w:val="auto"/>
          <w:sz w:val="24"/>
          <w:u w:val="none"/>
        </w:rPr>
        <w:t>十、</w:t>
      </w:r>
      <w:r>
        <w:rPr>
          <w:rFonts w:hint="eastAsia" w:asciiTheme="minorEastAsia" w:hAnsiTheme="minorEastAsia" w:eastAsiaTheme="minorEastAsia" w:cstheme="minorEastAsia"/>
          <w:sz w:val="24"/>
        </w:rPr>
        <w:t>其他重要事项的情况说明</w:t>
      </w:r>
      <w:r>
        <w:rPr>
          <w:rFonts w:hint="eastAsia" w:asciiTheme="minorEastAsia" w:hAnsiTheme="minorEastAsia" w:eastAsiaTheme="minorEastAsia" w:cstheme="minorEastAsia"/>
          <w:sz w:val="24"/>
        </w:rPr>
        <w:tab/>
      </w:r>
    </w:p>
    <w:p>
      <w:pPr>
        <w:pStyle w:val="12"/>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p>
    <w:p>
      <w:pPr>
        <w:pStyle w:val="12"/>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w:t>
      </w:r>
    </w:p>
    <w:p>
      <w:pPr>
        <w:pStyle w:val="12"/>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p>
    <w:p>
      <w:pPr>
        <w:pStyle w:val="13"/>
        <w:adjustRightInd w:val="0"/>
        <w:snapToGrid w:val="0"/>
        <w:spacing w:line="440" w:lineRule="exact"/>
        <w:jc w:val="left"/>
        <w:rPr>
          <w:sz w:val="24"/>
        </w:rPr>
      </w:pPr>
      <w:r>
        <w:rPr>
          <w:rFonts w:hint="eastAsia"/>
          <w:sz w:val="24"/>
        </w:rPr>
        <w:t>一、收入支出决算总表</w:t>
      </w:r>
    </w:p>
    <w:p>
      <w:pPr>
        <w:pStyle w:val="13"/>
        <w:adjustRightInd w:val="0"/>
        <w:snapToGrid w:val="0"/>
        <w:spacing w:line="440" w:lineRule="exact"/>
        <w:jc w:val="left"/>
        <w:rPr>
          <w:sz w:val="24"/>
        </w:rPr>
      </w:pPr>
      <w:r>
        <w:rPr>
          <w:rFonts w:hint="eastAsia"/>
          <w:sz w:val="24"/>
        </w:rPr>
        <w:t>二、收入决算表</w:t>
      </w:r>
    </w:p>
    <w:p>
      <w:pPr>
        <w:pStyle w:val="13"/>
        <w:adjustRightInd w:val="0"/>
        <w:snapToGrid w:val="0"/>
        <w:spacing w:line="440" w:lineRule="exact"/>
        <w:jc w:val="left"/>
        <w:rPr>
          <w:sz w:val="24"/>
        </w:rPr>
      </w:pPr>
      <w:r>
        <w:rPr>
          <w:rFonts w:hint="eastAsia"/>
          <w:sz w:val="24"/>
        </w:rPr>
        <w:t>三、支出决算表</w:t>
      </w:r>
    </w:p>
    <w:p>
      <w:pPr>
        <w:pStyle w:val="13"/>
        <w:adjustRightInd w:val="0"/>
        <w:snapToGrid w:val="0"/>
        <w:spacing w:line="440" w:lineRule="exact"/>
        <w:jc w:val="left"/>
        <w:rPr>
          <w:sz w:val="24"/>
        </w:rPr>
      </w:pPr>
      <w:r>
        <w:rPr>
          <w:rFonts w:hint="eastAsia"/>
          <w:sz w:val="24"/>
        </w:rPr>
        <w:t>四、财政拨款收入支出决算总表</w:t>
      </w:r>
    </w:p>
    <w:p>
      <w:pPr>
        <w:pStyle w:val="13"/>
        <w:adjustRightInd w:val="0"/>
        <w:snapToGrid w:val="0"/>
        <w:spacing w:line="440" w:lineRule="exact"/>
        <w:jc w:val="left"/>
        <w:rPr>
          <w:sz w:val="24"/>
        </w:rPr>
      </w:pPr>
      <w:r>
        <w:rPr>
          <w:rFonts w:hint="eastAsia"/>
          <w:sz w:val="24"/>
        </w:rPr>
        <w:t>五、财政拨款支出决算明细表</w:t>
      </w:r>
    </w:p>
    <w:p>
      <w:pPr>
        <w:pStyle w:val="13"/>
        <w:adjustRightInd w:val="0"/>
        <w:snapToGrid w:val="0"/>
        <w:spacing w:line="440" w:lineRule="exact"/>
        <w:jc w:val="left"/>
        <w:rPr>
          <w:sz w:val="24"/>
        </w:rPr>
      </w:pPr>
      <w:r>
        <w:rPr>
          <w:rFonts w:hint="eastAsia"/>
          <w:sz w:val="24"/>
        </w:rPr>
        <w:t>六、一般公共预算财政拨款支出决算表</w:t>
      </w:r>
    </w:p>
    <w:p>
      <w:pPr>
        <w:pStyle w:val="13"/>
        <w:adjustRightInd w:val="0"/>
        <w:snapToGrid w:val="0"/>
        <w:spacing w:line="440" w:lineRule="exact"/>
        <w:jc w:val="left"/>
        <w:rPr>
          <w:sz w:val="24"/>
        </w:rPr>
      </w:pPr>
      <w:r>
        <w:rPr>
          <w:rFonts w:hint="eastAsia"/>
          <w:sz w:val="24"/>
        </w:rPr>
        <w:t>七、一般公共预算财政拨款支出决算明细表</w:t>
      </w:r>
    </w:p>
    <w:p>
      <w:pPr>
        <w:pStyle w:val="13"/>
        <w:adjustRightInd w:val="0"/>
        <w:snapToGrid w:val="0"/>
        <w:spacing w:line="440" w:lineRule="exact"/>
        <w:jc w:val="left"/>
        <w:rPr>
          <w:sz w:val="24"/>
        </w:rPr>
      </w:pPr>
      <w:r>
        <w:rPr>
          <w:rFonts w:hint="eastAsia"/>
          <w:sz w:val="24"/>
        </w:rPr>
        <w:t>八、一般公共预算财政拨款基本支出决算明细表</w:t>
      </w:r>
    </w:p>
    <w:p>
      <w:pPr>
        <w:pStyle w:val="13"/>
        <w:adjustRightInd w:val="0"/>
        <w:snapToGrid w:val="0"/>
        <w:spacing w:line="440" w:lineRule="exact"/>
        <w:jc w:val="left"/>
        <w:rPr>
          <w:sz w:val="24"/>
        </w:rPr>
      </w:pPr>
      <w:r>
        <w:rPr>
          <w:rFonts w:hint="eastAsia"/>
          <w:sz w:val="24"/>
        </w:rPr>
        <w:t>九、一般公共预算财政拨款项目支出决算表</w:t>
      </w:r>
    </w:p>
    <w:p>
      <w:pPr>
        <w:pStyle w:val="13"/>
        <w:adjustRightInd w:val="0"/>
        <w:snapToGrid w:val="0"/>
        <w:spacing w:line="440" w:lineRule="exact"/>
        <w:jc w:val="left"/>
        <w:rPr>
          <w:sz w:val="24"/>
        </w:rPr>
      </w:pPr>
      <w:r>
        <w:rPr>
          <w:rFonts w:hint="eastAsia"/>
          <w:sz w:val="24"/>
        </w:rPr>
        <w:t>十、政府性基金预算财政拨款收入支出决算表</w:t>
      </w:r>
    </w:p>
    <w:p>
      <w:pPr>
        <w:pStyle w:val="13"/>
        <w:adjustRightInd w:val="0"/>
        <w:snapToGrid w:val="0"/>
        <w:spacing w:line="440" w:lineRule="exact"/>
        <w:jc w:val="left"/>
        <w:rPr>
          <w:sz w:val="24"/>
        </w:rPr>
      </w:pPr>
      <w:r>
        <w:rPr>
          <w:rFonts w:hint="eastAsia"/>
          <w:sz w:val="24"/>
        </w:rPr>
        <w:t>十一、国有资本经营预算财政拨款收入支出决算表</w:t>
      </w:r>
    </w:p>
    <w:p>
      <w:pPr>
        <w:pStyle w:val="13"/>
        <w:adjustRightInd w:val="0"/>
        <w:snapToGrid w:val="0"/>
        <w:spacing w:line="440" w:lineRule="exact"/>
        <w:jc w:val="left"/>
        <w:rPr>
          <w:sz w:val="24"/>
        </w:rPr>
      </w:pPr>
      <w:r>
        <w:rPr>
          <w:rFonts w:hint="eastAsia"/>
          <w:sz w:val="24"/>
        </w:rPr>
        <w:t>十二、国有资本经营预算财政拨款支出决算表</w:t>
      </w:r>
    </w:p>
    <w:p>
      <w:pPr>
        <w:pStyle w:val="13"/>
        <w:adjustRightInd w:val="0"/>
        <w:snapToGrid w:val="0"/>
        <w:spacing w:line="440" w:lineRule="exact"/>
        <w:jc w:val="left"/>
        <w:rPr>
          <w:rFonts w:asciiTheme="minorEastAsia" w:hAnsiTheme="minorEastAsia" w:eastAsiaTheme="minorEastAsia" w:cstheme="minorEastAsia"/>
          <w:sz w:val="24"/>
        </w:rPr>
      </w:pPr>
      <w:r>
        <w:rPr>
          <w:rFonts w:hint="eastAsia"/>
          <w:sz w:val="24"/>
        </w:rPr>
        <w:t>十三、财政拨款“三公”经费支出决算表</w:t>
      </w:r>
    </w:p>
    <w:p>
      <w:pPr>
        <w:widowControl/>
        <w:spacing w:line="440" w:lineRule="exact"/>
        <w:jc w:val="left"/>
        <w:rPr>
          <w:rFonts w:ascii="仿宋" w:hAnsi="仿宋" w:eastAsia="仿宋"/>
          <w:bCs/>
          <w:kern w:val="44"/>
          <w:sz w:val="24"/>
        </w:rPr>
      </w:pPr>
      <w:bookmarkStart w:id="12" w:name="_Toc15377196"/>
      <w:bookmarkStart w:id="13" w:name="_Toc15396599"/>
      <w:r>
        <w:rPr>
          <w:rFonts w:ascii="仿宋" w:hAnsi="仿宋" w:eastAsia="仿宋"/>
          <w:b/>
          <w:sz w:val="24"/>
        </w:rPr>
        <w:br w:type="page"/>
      </w:r>
    </w:p>
    <w:p>
      <w:pPr>
        <w:pStyle w:val="2"/>
        <w:jc w:val="center"/>
        <w:rPr>
          <w:rStyle w:val="28"/>
          <w:rFonts w:ascii="黑体" w:hAnsi="黑体" w:eastAsia="黑体"/>
          <w:b/>
          <w:bCs w:val="0"/>
        </w:rPr>
      </w:pPr>
      <w:r>
        <w:rPr>
          <w:rFonts w:hint="eastAsia" w:ascii="黑体" w:hAnsi="黑体" w:eastAsia="黑体"/>
          <w:b w:val="0"/>
        </w:rPr>
        <w:t xml:space="preserve">第一部分 </w:t>
      </w:r>
      <w:r>
        <w:rPr>
          <w:rStyle w:val="28"/>
          <w:rFonts w:hint="eastAsia" w:ascii="黑体" w:hAnsi="黑体" w:eastAsia="黑体"/>
          <w:b w:val="0"/>
          <w:bCs w:val="0"/>
        </w:rPr>
        <w:t>部门概况</w:t>
      </w:r>
      <w:bookmarkEnd w:id="12"/>
      <w:bookmarkEnd w:id="13"/>
    </w:p>
    <w:p>
      <w:pPr>
        <w:widowControl/>
        <w:jc w:val="left"/>
        <w:rPr>
          <w:rFonts w:ascii="黑体" w:eastAsia="黑体"/>
          <w:sz w:val="32"/>
          <w:szCs w:val="32"/>
        </w:rPr>
      </w:pPr>
    </w:p>
    <w:p>
      <w:pPr>
        <w:pStyle w:val="3"/>
        <w:rPr>
          <w:rFonts w:hint="eastAsia" w:ascii="黑体" w:hAnsi="黑体" w:eastAsia="黑体"/>
          <w:b w:val="0"/>
        </w:rPr>
      </w:pPr>
      <w:bookmarkStart w:id="14" w:name="_Toc15396600"/>
      <w:bookmarkStart w:id="15" w:name="_Toc15377197"/>
      <w:r>
        <w:rPr>
          <w:rFonts w:hint="eastAsia" w:ascii="黑体" w:hAnsi="黑体" w:eastAsia="黑体"/>
          <w:b w:val="0"/>
        </w:rPr>
        <w:t>一、</w:t>
      </w:r>
      <w:bookmarkEnd w:id="14"/>
      <w:bookmarkEnd w:id="15"/>
      <w:r>
        <w:rPr>
          <w:rFonts w:hint="eastAsia" w:ascii="黑体" w:hAnsi="黑体" w:eastAsia="黑体"/>
          <w:b w:val="0"/>
        </w:rPr>
        <w:t>部门职责</w:t>
      </w:r>
    </w:p>
    <w:p>
      <w:pPr>
        <w:ind w:firstLine="640" w:firstLineChars="200"/>
        <w:rPr>
          <w:rFonts w:hint="eastAsia" w:ascii="仿宋" w:hAnsi="仿宋" w:eastAsia="仿宋"/>
          <w:sz w:val="32"/>
          <w:szCs w:val="32"/>
        </w:rPr>
      </w:pPr>
      <w:r>
        <w:rPr>
          <w:rFonts w:hint="eastAsia" w:ascii="仿宋" w:hAnsi="仿宋" w:eastAsia="仿宋"/>
          <w:sz w:val="32"/>
          <w:szCs w:val="32"/>
        </w:rPr>
        <w:t>为辖区内的居民提供基本医疗服务及基本公共卫生服务。</w:t>
      </w:r>
    </w:p>
    <w:p>
      <w:pPr>
        <w:pStyle w:val="3"/>
        <w:rPr>
          <w:rStyle w:val="29"/>
          <w:b w:val="0"/>
          <w:bCs w:val="0"/>
        </w:rPr>
      </w:pPr>
      <w:bookmarkStart w:id="16" w:name="_Toc15396601"/>
      <w:bookmarkStart w:id="17" w:name="_Toc15377200"/>
      <w:r>
        <w:rPr>
          <w:rFonts w:hint="eastAsia" w:ascii="黑体" w:eastAsia="黑体"/>
          <w:b w:val="0"/>
        </w:rPr>
        <w:t>二、</w:t>
      </w:r>
      <w:r>
        <w:rPr>
          <w:rFonts w:hint="eastAsia" w:ascii="黑体" w:hAnsi="黑体" w:eastAsia="黑体"/>
          <w:b w:val="0"/>
        </w:rPr>
        <w:t>机</w:t>
      </w:r>
      <w:r>
        <w:rPr>
          <w:rStyle w:val="29"/>
          <w:rFonts w:hint="eastAsia" w:ascii="黑体" w:hAnsi="黑体" w:eastAsia="黑体"/>
          <w:b w:val="0"/>
          <w:bCs w:val="0"/>
        </w:rPr>
        <w:t>构设置</w:t>
      </w:r>
      <w:bookmarkEnd w:id="16"/>
      <w:bookmarkEnd w:id="17"/>
    </w:p>
    <w:p>
      <w:pPr>
        <w:ind w:firstLine="640" w:firstLineChars="200"/>
        <w:rPr>
          <w:rFonts w:hint="eastAsia" w:ascii="仿宋" w:hAnsi="仿宋" w:eastAsia="仿宋"/>
          <w:sz w:val="32"/>
          <w:szCs w:val="32"/>
          <w:lang w:eastAsia="zh-CN"/>
        </w:rPr>
      </w:pPr>
      <w:r>
        <w:rPr>
          <w:rFonts w:hint="eastAsia" w:ascii="仿宋" w:hAnsi="仿宋" w:eastAsia="仿宋"/>
          <w:sz w:val="32"/>
          <w:szCs w:val="32"/>
        </w:rPr>
        <w:t>乐至县</w:t>
      </w:r>
      <w:r>
        <w:rPr>
          <w:rFonts w:hint="eastAsia" w:ascii="仿宋" w:hAnsi="仿宋" w:eastAsia="仿宋"/>
          <w:sz w:val="32"/>
          <w:szCs w:val="32"/>
          <w:lang w:eastAsia="zh-CN"/>
        </w:rPr>
        <w:t>东山镇孔雀卫生院</w:t>
      </w:r>
      <w:r>
        <w:rPr>
          <w:rFonts w:hint="eastAsia" w:ascii="仿宋" w:hAnsi="仿宋" w:eastAsia="仿宋"/>
          <w:sz w:val="32"/>
          <w:szCs w:val="32"/>
        </w:rPr>
        <w:t>属乐至县卫生健康局的下属二级预算单位，</w:t>
      </w:r>
      <w:r>
        <w:rPr>
          <w:rFonts w:hint="eastAsia" w:ascii="仿宋_GB2312" w:hAnsi="仿宋" w:eastAsia="仿宋_GB2312"/>
          <w:sz w:val="32"/>
          <w:szCs w:val="32"/>
        </w:rPr>
        <w:t>属基层医疗卫生单位、事业性质，差额拨款。</w:t>
      </w:r>
      <w:r>
        <w:rPr>
          <w:rFonts w:hint="eastAsia" w:ascii="仿宋" w:hAnsi="仿宋" w:eastAsia="仿宋"/>
          <w:sz w:val="32"/>
          <w:szCs w:val="32"/>
        </w:rPr>
        <w:t>下属二级预算单位</w:t>
      </w:r>
      <w:r>
        <w:rPr>
          <w:rFonts w:hint="eastAsia" w:ascii="仿宋" w:hAnsi="仿宋" w:eastAsia="仿宋"/>
          <w:sz w:val="32"/>
          <w:szCs w:val="32"/>
          <w:lang w:val="en-US" w:eastAsia="zh-CN"/>
        </w:rPr>
        <w:t>0</w:t>
      </w:r>
      <w:r>
        <w:rPr>
          <w:rFonts w:hint="eastAsia" w:ascii="仿宋" w:hAnsi="仿宋" w:eastAsia="仿宋"/>
          <w:sz w:val="32"/>
          <w:szCs w:val="32"/>
        </w:rPr>
        <w:t>个，其中行政单位</w:t>
      </w:r>
      <w:r>
        <w:rPr>
          <w:rFonts w:hint="eastAsia" w:ascii="仿宋" w:hAnsi="仿宋" w:eastAsia="仿宋"/>
          <w:sz w:val="32"/>
          <w:szCs w:val="32"/>
          <w:lang w:val="en-US" w:eastAsia="zh-CN"/>
        </w:rPr>
        <w:t>0</w:t>
      </w:r>
      <w:r>
        <w:rPr>
          <w:rFonts w:hint="eastAsia" w:ascii="仿宋" w:hAnsi="仿宋" w:eastAsia="仿宋"/>
          <w:sz w:val="32"/>
          <w:szCs w:val="32"/>
        </w:rPr>
        <w:t>个，参照公务员法管理的事业单位</w:t>
      </w:r>
      <w:r>
        <w:rPr>
          <w:rFonts w:hint="eastAsia" w:ascii="仿宋" w:hAnsi="仿宋" w:eastAsia="仿宋"/>
          <w:bCs/>
          <w:sz w:val="32"/>
          <w:szCs w:val="32"/>
          <w:lang w:val="en-US" w:eastAsia="zh-CN"/>
        </w:rPr>
        <w:t>0</w:t>
      </w:r>
      <w:r>
        <w:rPr>
          <w:rFonts w:hint="eastAsia" w:ascii="仿宋" w:hAnsi="仿宋" w:eastAsia="仿宋"/>
          <w:sz w:val="32"/>
          <w:szCs w:val="32"/>
        </w:rPr>
        <w:t>个，其他事业单位</w:t>
      </w:r>
      <w:r>
        <w:rPr>
          <w:rFonts w:hint="eastAsia" w:ascii="仿宋" w:hAnsi="仿宋" w:eastAsia="仿宋"/>
          <w:sz w:val="32"/>
          <w:szCs w:val="32"/>
          <w:lang w:val="en-US" w:eastAsia="zh-CN"/>
        </w:rPr>
        <w:t>0</w:t>
      </w:r>
      <w:r>
        <w:rPr>
          <w:rFonts w:hint="eastAsia" w:ascii="仿宋" w:hAnsi="仿宋" w:eastAsia="仿宋"/>
          <w:sz w:val="32"/>
          <w:szCs w:val="32"/>
        </w:rPr>
        <w:t>个。纳入2022年度部门决算编制范围的二级预算单位包括：</w:t>
      </w:r>
      <w:r>
        <w:rPr>
          <w:rFonts w:hint="eastAsia" w:ascii="仿宋" w:hAnsi="仿宋" w:eastAsia="仿宋"/>
          <w:sz w:val="32"/>
          <w:szCs w:val="32"/>
          <w:lang w:eastAsia="zh-CN"/>
        </w:rPr>
        <w:t>无。</w:t>
      </w:r>
    </w:p>
    <w:p>
      <w:pPr>
        <w:pStyle w:val="6"/>
        <w:spacing w:before="93"/>
      </w:pPr>
    </w:p>
    <w:p>
      <w:pPr>
        <w:pStyle w:val="2"/>
        <w:ind w:right="440"/>
        <w:jc w:val="center"/>
        <w:rPr>
          <w:rStyle w:val="28"/>
          <w:rFonts w:ascii="黑体" w:hAnsi="黑体" w:eastAsia="黑体"/>
          <w:b w:val="0"/>
          <w:bCs/>
        </w:rPr>
      </w:pPr>
      <w:bookmarkStart w:id="18" w:name="_Toc15396602"/>
      <w:bookmarkStart w:id="19" w:name="_Toc15377204"/>
      <w:r>
        <w:rPr>
          <w:rFonts w:hint="eastAsia" w:ascii="黑体" w:hAnsi="黑体" w:eastAsia="黑体"/>
          <w:b w:val="0"/>
        </w:rPr>
        <w:t>第二部分 2022年度</w:t>
      </w:r>
      <w:r>
        <w:rPr>
          <w:rStyle w:val="28"/>
          <w:rFonts w:hint="eastAsia" w:ascii="黑体" w:hAnsi="黑体" w:eastAsia="黑体"/>
          <w:b w:val="0"/>
          <w:bCs/>
        </w:rPr>
        <w:t>部门决算情况说明</w:t>
      </w:r>
      <w:bookmarkEnd w:id="18"/>
      <w:bookmarkEnd w:id="19"/>
    </w:p>
    <w:p/>
    <w:p>
      <w:pPr>
        <w:pStyle w:val="27"/>
        <w:numPr>
          <w:ilvl w:val="0"/>
          <w:numId w:val="1"/>
        </w:numPr>
        <w:spacing w:line="600" w:lineRule="exact"/>
        <w:ind w:firstLineChars="0"/>
        <w:outlineLvl w:val="1"/>
        <w:rPr>
          <w:rStyle w:val="29"/>
          <w:rFonts w:ascii="黑体" w:hAnsi="黑体" w:eastAsia="黑体"/>
          <w:b w:val="0"/>
        </w:rPr>
      </w:pPr>
      <w:bookmarkStart w:id="20" w:name="_Toc15396603"/>
      <w:bookmarkStart w:id="21" w:name="_Toc15377205"/>
      <w:r>
        <w:rPr>
          <w:rFonts w:hint="eastAsia" w:ascii="黑体" w:hAnsi="黑体" w:eastAsia="黑体"/>
          <w:sz w:val="32"/>
          <w:szCs w:val="32"/>
        </w:rPr>
        <w:t>收</w:t>
      </w:r>
      <w:r>
        <w:rPr>
          <w:rStyle w:val="29"/>
          <w:rFonts w:hint="eastAsia" w:ascii="黑体" w:hAnsi="黑体" w:eastAsia="黑体"/>
          <w:b w:val="0"/>
        </w:rPr>
        <w:t>入支出决算总体情况说明</w:t>
      </w:r>
      <w:bookmarkEnd w:id="20"/>
      <w:bookmarkEnd w:id="21"/>
    </w:p>
    <w:p>
      <w:pPr>
        <w:spacing w:line="600" w:lineRule="exact"/>
        <w:ind w:firstLine="640" w:firstLineChars="200"/>
        <w:rPr>
          <w:rFonts w:ascii="仿宋" w:hAnsi="仿宋" w:eastAsia="仿宋"/>
          <w:sz w:val="32"/>
          <w:szCs w:val="32"/>
        </w:rPr>
      </w:pPr>
      <w:r>
        <w:rPr>
          <w:rFonts w:hint="eastAsia" w:ascii="仿宋" w:hAnsi="仿宋" w:eastAsia="仿宋"/>
          <w:sz w:val="32"/>
          <w:szCs w:val="32"/>
        </w:rPr>
        <w:t>2022年度收</w:t>
      </w:r>
      <w:r>
        <w:rPr>
          <w:rFonts w:hint="eastAsia" w:ascii="仿宋" w:hAnsi="仿宋" w:eastAsia="仿宋"/>
          <w:sz w:val="32"/>
          <w:szCs w:val="32"/>
          <w:lang w:eastAsia="zh-CN"/>
        </w:rPr>
        <w:t>入总计</w:t>
      </w:r>
      <w:r>
        <w:rPr>
          <w:rFonts w:hint="eastAsia" w:ascii="仿宋_GB2312" w:hAnsi="仿宋" w:eastAsia="仿宋_GB2312"/>
          <w:sz w:val="32"/>
          <w:szCs w:val="32"/>
          <w:lang w:val="en-US" w:eastAsia="zh-CN"/>
        </w:rPr>
        <w:t>530.11万</w:t>
      </w:r>
      <w:r>
        <w:rPr>
          <w:rFonts w:hint="eastAsia" w:ascii="仿宋_GB2312" w:hAnsi="仿宋" w:eastAsia="仿宋_GB2312"/>
          <w:sz w:val="32"/>
          <w:szCs w:val="32"/>
        </w:rPr>
        <w:t>元</w:t>
      </w:r>
      <w:r>
        <w:rPr>
          <w:rFonts w:hint="eastAsia" w:ascii="仿宋_GB2312" w:hAnsi="仿宋" w:eastAsia="仿宋_GB2312"/>
          <w:sz w:val="32"/>
          <w:szCs w:val="32"/>
          <w:lang w:eastAsia="zh-CN"/>
        </w:rPr>
        <w:t>，</w:t>
      </w:r>
      <w:r>
        <w:rPr>
          <w:rFonts w:hint="eastAsia" w:ascii="仿宋" w:hAnsi="仿宋" w:eastAsia="仿宋"/>
          <w:sz w:val="32"/>
          <w:szCs w:val="32"/>
        </w:rPr>
        <w:t>支</w:t>
      </w:r>
      <w:r>
        <w:rPr>
          <w:rFonts w:hint="eastAsia" w:ascii="仿宋" w:hAnsi="仿宋" w:eastAsia="仿宋"/>
          <w:sz w:val="32"/>
          <w:szCs w:val="32"/>
          <w:lang w:eastAsia="zh-CN"/>
        </w:rPr>
        <w:t>出</w:t>
      </w:r>
      <w:r>
        <w:rPr>
          <w:rFonts w:hint="eastAsia" w:ascii="仿宋" w:hAnsi="仿宋" w:eastAsia="仿宋"/>
          <w:sz w:val="32"/>
          <w:szCs w:val="32"/>
        </w:rPr>
        <w:t>总计</w:t>
      </w:r>
      <w:r>
        <w:rPr>
          <w:rFonts w:hint="eastAsia" w:ascii="仿宋_GB2312" w:hAnsi="仿宋" w:eastAsia="仿宋_GB2312"/>
          <w:sz w:val="32"/>
          <w:szCs w:val="32"/>
          <w:lang w:val="en-US" w:eastAsia="zh-CN"/>
        </w:rPr>
        <w:t>530.11</w:t>
      </w:r>
      <w:r>
        <w:rPr>
          <w:rFonts w:hint="eastAsia" w:ascii="仿宋" w:hAnsi="仿宋" w:eastAsia="仿宋"/>
          <w:sz w:val="32"/>
          <w:szCs w:val="32"/>
        </w:rPr>
        <w:t>万元。与2021年相比，</w:t>
      </w:r>
      <w:r>
        <w:rPr>
          <w:rFonts w:hint="eastAsia" w:ascii="仿宋" w:hAnsi="仿宋" w:eastAsia="仿宋"/>
          <w:sz w:val="32"/>
          <w:szCs w:val="32"/>
          <w:lang w:val="en-US" w:eastAsia="zh-CN"/>
        </w:rPr>
        <w:t>2021年</w:t>
      </w:r>
      <w:r>
        <w:rPr>
          <w:rFonts w:hint="eastAsia" w:ascii="仿宋" w:hAnsi="仿宋" w:eastAsia="仿宋"/>
          <w:sz w:val="32"/>
          <w:szCs w:val="32"/>
        </w:rPr>
        <w:t>收入</w:t>
      </w:r>
      <w:r>
        <w:rPr>
          <w:rFonts w:hint="eastAsia" w:ascii="仿宋" w:hAnsi="仿宋" w:eastAsia="仿宋"/>
          <w:sz w:val="32"/>
          <w:szCs w:val="32"/>
          <w:lang w:eastAsia="zh-CN"/>
        </w:rPr>
        <w:t>总计</w:t>
      </w:r>
      <w:r>
        <w:rPr>
          <w:rFonts w:hint="eastAsia" w:ascii="仿宋" w:hAnsi="仿宋" w:eastAsia="仿宋"/>
          <w:sz w:val="32"/>
          <w:szCs w:val="32"/>
          <w:lang w:val="en-US" w:eastAsia="zh-CN"/>
        </w:rPr>
        <w:t>496.44</w:t>
      </w:r>
      <w:r>
        <w:rPr>
          <w:rFonts w:hint="eastAsia" w:ascii="仿宋" w:hAnsi="仿宋" w:eastAsia="仿宋"/>
          <w:sz w:val="32"/>
          <w:szCs w:val="32"/>
        </w:rPr>
        <w:t>万元，收</w:t>
      </w:r>
      <w:r>
        <w:rPr>
          <w:rFonts w:hint="eastAsia" w:ascii="仿宋" w:hAnsi="仿宋" w:eastAsia="仿宋"/>
          <w:sz w:val="32"/>
          <w:szCs w:val="32"/>
          <w:lang w:eastAsia="zh-CN"/>
        </w:rPr>
        <w:t>入总计</w:t>
      </w:r>
      <w:r>
        <w:rPr>
          <w:rFonts w:hint="eastAsia" w:ascii="仿宋" w:hAnsi="仿宋" w:eastAsia="仿宋"/>
          <w:sz w:val="32"/>
          <w:szCs w:val="32"/>
          <w:lang w:val="en-US" w:eastAsia="zh-CN"/>
        </w:rPr>
        <w:t>增加33.68万元，上升6.78</w:t>
      </w:r>
      <w:r>
        <w:rPr>
          <w:rFonts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lang w:val="en-US" w:eastAsia="zh-CN"/>
        </w:rPr>
        <w:t>2021年</w:t>
      </w:r>
      <w:r>
        <w:rPr>
          <w:rFonts w:hint="eastAsia" w:ascii="仿宋" w:hAnsi="仿宋" w:eastAsia="仿宋"/>
          <w:sz w:val="32"/>
          <w:szCs w:val="32"/>
        </w:rPr>
        <w:t>支</w:t>
      </w:r>
      <w:r>
        <w:rPr>
          <w:rFonts w:hint="eastAsia" w:ascii="仿宋" w:hAnsi="仿宋" w:eastAsia="仿宋"/>
          <w:sz w:val="32"/>
          <w:szCs w:val="32"/>
          <w:lang w:eastAsia="zh-CN"/>
        </w:rPr>
        <w:t>出</w:t>
      </w:r>
      <w:r>
        <w:rPr>
          <w:rFonts w:hint="eastAsia" w:ascii="仿宋" w:hAnsi="仿宋" w:eastAsia="仿宋"/>
          <w:sz w:val="32"/>
          <w:szCs w:val="32"/>
        </w:rPr>
        <w:t>总计</w:t>
      </w:r>
      <w:r>
        <w:rPr>
          <w:rFonts w:hint="eastAsia" w:ascii="仿宋" w:hAnsi="仿宋" w:eastAsia="仿宋"/>
          <w:sz w:val="32"/>
          <w:szCs w:val="32"/>
          <w:lang w:val="en-US" w:eastAsia="zh-CN"/>
        </w:rPr>
        <w:t>496.44万元，支出总计增加33.68万元，上升6.78</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val="en-US" w:eastAsia="zh-CN"/>
        </w:rPr>
        <w:t>医疗业务增加，事业收入增加</w:t>
      </w:r>
      <w:r>
        <w:rPr>
          <w:rFonts w:hint="eastAsia" w:ascii="仿宋" w:hAnsi="仿宋" w:eastAsia="仿宋"/>
          <w:sz w:val="32"/>
          <w:szCs w:val="32"/>
        </w:rPr>
        <w:t>。</w:t>
      </w:r>
    </w:p>
    <w:p>
      <w:pPr>
        <w:pStyle w:val="6"/>
        <w:rPr>
          <w:rFonts w:hint="eastAsia" w:eastAsia="仿宋_GB2312"/>
          <w:lang w:eastAsia="zh-CN"/>
        </w:rPr>
      </w:pPr>
      <w:r>
        <w:drawing>
          <wp:inline distT="0" distB="0" distL="114300" distR="114300">
            <wp:extent cx="4826000" cy="2562225"/>
            <wp:effectExtent l="4445" t="4445" r="8255" b="5080"/>
            <wp:docPr id="17487"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pStyle w:val="27"/>
        <w:numPr>
          <w:ilvl w:val="0"/>
          <w:numId w:val="1"/>
        </w:numPr>
        <w:spacing w:line="600" w:lineRule="exact"/>
        <w:ind w:firstLineChars="0"/>
        <w:outlineLvl w:val="1"/>
        <w:rPr>
          <w:rStyle w:val="29"/>
          <w:rFonts w:ascii="黑体" w:hAnsi="黑体" w:eastAsia="黑体"/>
          <w:b w:val="0"/>
        </w:rPr>
      </w:pPr>
      <w:bookmarkStart w:id="22" w:name="_Toc15396604"/>
      <w:bookmarkStart w:id="23" w:name="_Toc15377206"/>
      <w:r>
        <w:rPr>
          <w:rFonts w:hint="eastAsia" w:ascii="黑体" w:hAnsi="黑体" w:eastAsia="黑体"/>
          <w:sz w:val="32"/>
          <w:szCs w:val="32"/>
        </w:rPr>
        <w:t>收</w:t>
      </w:r>
      <w:r>
        <w:rPr>
          <w:rStyle w:val="29"/>
          <w:rFonts w:hint="eastAsia" w:ascii="黑体" w:hAnsi="黑体" w:eastAsia="黑体"/>
          <w:b w:val="0"/>
        </w:rPr>
        <w:t>入决算情况说明</w:t>
      </w:r>
      <w:bookmarkEnd w:id="22"/>
      <w:bookmarkEnd w:id="23"/>
    </w:p>
    <w:p>
      <w:pPr>
        <w:spacing w:line="600" w:lineRule="exact"/>
        <w:ind w:firstLine="640" w:firstLineChars="200"/>
        <w:outlineLvl w:val="1"/>
      </w:pPr>
      <w:r>
        <w:rPr>
          <w:rFonts w:ascii="仿宋" w:hAnsi="仿宋" w:eastAsia="仿宋"/>
          <w:sz w:val="32"/>
          <w:szCs w:val="32"/>
        </w:rPr>
        <w:t>20</w:t>
      </w:r>
      <w:r>
        <w:rPr>
          <w:rFonts w:hint="eastAsia" w:ascii="仿宋" w:hAnsi="仿宋" w:eastAsia="仿宋"/>
          <w:sz w:val="32"/>
          <w:szCs w:val="32"/>
        </w:rPr>
        <w:t>22年本年收入合计</w:t>
      </w:r>
      <w:r>
        <w:rPr>
          <w:rFonts w:hint="eastAsia" w:ascii="仿宋_GB2312" w:hAnsi="仿宋" w:eastAsia="仿宋_GB2312"/>
          <w:sz w:val="32"/>
          <w:szCs w:val="32"/>
          <w:lang w:val="en-US" w:eastAsia="zh-CN"/>
        </w:rPr>
        <w:t>530.11</w:t>
      </w:r>
      <w:r>
        <w:rPr>
          <w:rFonts w:hint="eastAsia" w:ascii="仿宋" w:hAnsi="仿宋" w:eastAsia="仿宋"/>
          <w:sz w:val="32"/>
          <w:szCs w:val="32"/>
        </w:rPr>
        <w:t>万元，其中：一般公共预算财政拨款收入</w:t>
      </w:r>
      <w:r>
        <w:rPr>
          <w:rFonts w:hint="eastAsia" w:ascii="仿宋" w:hAnsi="仿宋" w:eastAsia="仿宋"/>
          <w:sz w:val="32"/>
          <w:szCs w:val="32"/>
          <w:lang w:val="en-US" w:eastAsia="zh-CN"/>
        </w:rPr>
        <w:t>109.52</w:t>
      </w:r>
      <w:r>
        <w:rPr>
          <w:rFonts w:hint="eastAsia" w:ascii="仿宋" w:hAnsi="仿宋" w:eastAsia="仿宋"/>
          <w:sz w:val="32"/>
          <w:szCs w:val="32"/>
        </w:rPr>
        <w:t>万元，占</w:t>
      </w:r>
      <w:r>
        <w:rPr>
          <w:rFonts w:hint="eastAsia" w:ascii="仿宋_GB2312" w:hAnsi="仿宋" w:eastAsia="仿宋_GB2312"/>
          <w:sz w:val="32"/>
          <w:szCs w:val="32"/>
          <w:lang w:val="en-US" w:eastAsia="zh-CN"/>
        </w:rPr>
        <w:t>20.7</w:t>
      </w:r>
      <w:r>
        <w:rPr>
          <w:rFonts w:ascii="仿宋" w:hAnsi="仿宋" w:eastAsia="仿宋"/>
          <w:sz w:val="32"/>
          <w:szCs w:val="32"/>
        </w:rPr>
        <w:t>%</w:t>
      </w:r>
      <w:r>
        <w:rPr>
          <w:rFonts w:hint="eastAsia" w:ascii="仿宋" w:hAnsi="仿宋" w:eastAsia="仿宋"/>
          <w:sz w:val="32"/>
          <w:szCs w:val="32"/>
        </w:rPr>
        <w:t>；政府性基金预算财政拨款收入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0.0</w:t>
      </w:r>
      <w:r>
        <w:rPr>
          <w:rFonts w:ascii="仿宋" w:hAnsi="仿宋" w:eastAsia="仿宋"/>
          <w:sz w:val="32"/>
          <w:szCs w:val="32"/>
        </w:rPr>
        <w:t>%</w:t>
      </w:r>
      <w:r>
        <w:rPr>
          <w:rFonts w:hint="eastAsia" w:ascii="仿宋" w:hAnsi="仿宋" w:eastAsia="仿宋"/>
          <w:sz w:val="32"/>
          <w:szCs w:val="32"/>
        </w:rPr>
        <w:t>；国有资本经营预算财政拨款收入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0.0</w:t>
      </w:r>
      <w:r>
        <w:rPr>
          <w:rFonts w:ascii="仿宋" w:hAnsi="仿宋" w:eastAsia="仿宋"/>
          <w:sz w:val="32"/>
          <w:szCs w:val="32"/>
        </w:rPr>
        <w:t>%</w:t>
      </w:r>
      <w:r>
        <w:rPr>
          <w:rFonts w:hint="eastAsia" w:ascii="仿宋" w:hAnsi="仿宋" w:eastAsia="仿宋"/>
          <w:sz w:val="32"/>
          <w:szCs w:val="32"/>
        </w:rPr>
        <w:t>；上级补助收入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0.0</w:t>
      </w:r>
      <w:r>
        <w:rPr>
          <w:rFonts w:ascii="仿宋" w:hAnsi="仿宋" w:eastAsia="仿宋"/>
          <w:sz w:val="32"/>
          <w:szCs w:val="32"/>
        </w:rPr>
        <w:t>%</w:t>
      </w:r>
      <w:r>
        <w:rPr>
          <w:rFonts w:hint="eastAsia" w:ascii="仿宋" w:hAnsi="仿宋" w:eastAsia="仿宋"/>
          <w:sz w:val="32"/>
          <w:szCs w:val="32"/>
        </w:rPr>
        <w:t>；事业收入</w:t>
      </w:r>
      <w:r>
        <w:rPr>
          <w:rFonts w:hint="eastAsia" w:ascii="仿宋_GB2312" w:hAnsi="仿宋" w:eastAsia="仿宋_GB2312"/>
          <w:sz w:val="32"/>
          <w:szCs w:val="32"/>
          <w:lang w:val="en-US" w:eastAsia="zh-CN"/>
        </w:rPr>
        <w:t>394.49</w:t>
      </w:r>
      <w:r>
        <w:rPr>
          <w:rFonts w:hint="eastAsia" w:ascii="仿宋" w:hAnsi="仿宋" w:eastAsia="仿宋"/>
          <w:sz w:val="32"/>
          <w:szCs w:val="32"/>
        </w:rPr>
        <w:t>万元，占</w:t>
      </w:r>
      <w:r>
        <w:rPr>
          <w:rFonts w:hint="eastAsia" w:ascii="仿宋_GB2312" w:hAnsi="仿宋" w:eastAsia="仿宋_GB2312"/>
          <w:sz w:val="32"/>
          <w:szCs w:val="32"/>
          <w:lang w:val="en-US" w:eastAsia="zh-CN"/>
        </w:rPr>
        <w:t>74.4</w:t>
      </w:r>
      <w:r>
        <w:rPr>
          <w:rFonts w:ascii="仿宋" w:hAnsi="仿宋" w:eastAsia="仿宋"/>
          <w:sz w:val="32"/>
          <w:szCs w:val="32"/>
        </w:rPr>
        <w:t>%</w:t>
      </w:r>
      <w:r>
        <w:rPr>
          <w:rFonts w:hint="eastAsia" w:ascii="仿宋" w:hAnsi="仿宋" w:eastAsia="仿宋"/>
          <w:sz w:val="32"/>
          <w:szCs w:val="32"/>
        </w:rPr>
        <w:t>；经营收入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0.0</w:t>
      </w:r>
      <w:r>
        <w:rPr>
          <w:rFonts w:ascii="仿宋" w:hAnsi="仿宋" w:eastAsia="仿宋"/>
          <w:sz w:val="32"/>
          <w:szCs w:val="32"/>
        </w:rPr>
        <w:t>%</w:t>
      </w:r>
      <w:r>
        <w:rPr>
          <w:rFonts w:hint="eastAsia" w:ascii="仿宋" w:hAnsi="仿宋" w:eastAsia="仿宋"/>
          <w:sz w:val="32"/>
          <w:szCs w:val="32"/>
        </w:rPr>
        <w:t>；附属单位上缴收入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0.0</w:t>
      </w:r>
      <w:r>
        <w:rPr>
          <w:rFonts w:ascii="仿宋" w:hAnsi="仿宋" w:eastAsia="仿宋"/>
          <w:sz w:val="32"/>
          <w:szCs w:val="32"/>
        </w:rPr>
        <w:t>%</w:t>
      </w:r>
      <w:r>
        <w:rPr>
          <w:rFonts w:hint="eastAsia" w:ascii="仿宋" w:hAnsi="仿宋" w:eastAsia="仿宋"/>
          <w:sz w:val="32"/>
          <w:szCs w:val="32"/>
        </w:rPr>
        <w:t>；其他收入</w:t>
      </w:r>
      <w:r>
        <w:rPr>
          <w:rFonts w:hint="eastAsia" w:ascii="仿宋" w:hAnsi="仿宋" w:eastAsia="仿宋"/>
          <w:sz w:val="32"/>
          <w:szCs w:val="32"/>
          <w:lang w:val="en-US" w:eastAsia="zh-CN"/>
        </w:rPr>
        <w:t>26.10</w:t>
      </w:r>
      <w:r>
        <w:rPr>
          <w:rFonts w:hint="eastAsia" w:ascii="仿宋" w:hAnsi="仿宋" w:eastAsia="仿宋"/>
          <w:sz w:val="32"/>
          <w:szCs w:val="32"/>
        </w:rPr>
        <w:t>万元，占</w:t>
      </w:r>
      <w:r>
        <w:rPr>
          <w:rFonts w:hint="eastAsia" w:ascii="仿宋_GB2312" w:hAnsi="仿宋" w:eastAsia="仿宋_GB2312"/>
          <w:sz w:val="32"/>
          <w:szCs w:val="32"/>
          <w:lang w:val="en-US" w:eastAsia="zh-CN"/>
        </w:rPr>
        <w:t>4.9</w:t>
      </w:r>
      <w:r>
        <w:rPr>
          <w:rFonts w:ascii="仿宋" w:hAnsi="仿宋" w:eastAsia="仿宋"/>
          <w:sz w:val="32"/>
          <w:szCs w:val="32"/>
        </w:rPr>
        <w:t>%</w:t>
      </w:r>
      <w:r>
        <w:rPr>
          <w:rFonts w:hint="eastAsia" w:ascii="仿宋" w:hAnsi="仿宋" w:eastAsia="仿宋"/>
          <w:sz w:val="32"/>
          <w:szCs w:val="32"/>
        </w:rPr>
        <w:t>。</w:t>
      </w:r>
    </w:p>
    <w:p>
      <w:pPr>
        <w:pStyle w:val="6"/>
        <w:rPr>
          <w:rFonts w:hint="eastAsia" w:eastAsia="仿宋_GB2312"/>
          <w:lang w:eastAsia="zh-CN"/>
        </w:rPr>
      </w:pPr>
      <w:r>
        <w:drawing>
          <wp:inline distT="0" distB="0" distL="114300" distR="114300">
            <wp:extent cx="4826000" cy="2743200"/>
            <wp:effectExtent l="4445" t="4445" r="8255" b="14605"/>
            <wp:docPr id="17482" name="图表 12" descr="7b0a202020202263686172745265734964223a20223230343639393934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27"/>
        <w:numPr>
          <w:ilvl w:val="0"/>
          <w:numId w:val="1"/>
        </w:numPr>
        <w:spacing w:line="600" w:lineRule="exact"/>
        <w:ind w:firstLineChars="0"/>
        <w:outlineLvl w:val="1"/>
        <w:rPr>
          <w:rStyle w:val="29"/>
          <w:rFonts w:ascii="黑体" w:hAnsi="黑体" w:eastAsia="黑体"/>
          <w:b w:val="0"/>
        </w:rPr>
      </w:pPr>
      <w:bookmarkStart w:id="24" w:name="_Toc15377207"/>
      <w:bookmarkStart w:id="25" w:name="_Toc15396605"/>
      <w:r>
        <w:rPr>
          <w:rFonts w:hint="eastAsia" w:ascii="黑体" w:hAnsi="黑体" w:eastAsia="黑体"/>
          <w:sz w:val="32"/>
          <w:szCs w:val="32"/>
        </w:rPr>
        <w:t>支</w:t>
      </w:r>
      <w:r>
        <w:rPr>
          <w:rStyle w:val="29"/>
          <w:rFonts w:hint="eastAsia" w:ascii="黑体" w:hAnsi="黑体" w:eastAsia="黑体"/>
          <w:b w:val="0"/>
        </w:rPr>
        <w:t>出决算情况说明</w:t>
      </w:r>
      <w:bookmarkEnd w:id="24"/>
      <w:bookmarkEnd w:id="25"/>
    </w:p>
    <w:p>
      <w:pPr>
        <w:spacing w:line="600" w:lineRule="exact"/>
        <w:ind w:firstLine="640" w:firstLineChars="200"/>
        <w:outlineLvl w:val="1"/>
        <w:rPr>
          <w:rFonts w:hint="eastAsia" w:ascii="仿宋_GB2312" w:eastAsia="仿宋_GB2312"/>
          <w:sz w:val="32"/>
          <w:szCs w:val="32"/>
          <w:lang w:eastAsia="zh-CN"/>
        </w:rPr>
      </w:pPr>
      <w:r>
        <w:rPr>
          <w:rFonts w:ascii="仿宋" w:hAnsi="仿宋" w:eastAsia="仿宋"/>
          <w:sz w:val="32"/>
          <w:szCs w:val="32"/>
        </w:rPr>
        <w:t>20</w:t>
      </w:r>
      <w:r>
        <w:rPr>
          <w:rFonts w:hint="eastAsia" w:ascii="仿宋" w:hAnsi="仿宋" w:eastAsia="仿宋"/>
          <w:sz w:val="32"/>
          <w:szCs w:val="32"/>
        </w:rPr>
        <w:t>22年本年支出合计</w:t>
      </w:r>
      <w:r>
        <w:rPr>
          <w:rFonts w:hint="eastAsia" w:ascii="仿宋_GB2312" w:hAnsi="仿宋" w:eastAsia="仿宋_GB2312"/>
          <w:sz w:val="32"/>
          <w:szCs w:val="32"/>
          <w:lang w:val="en-US" w:eastAsia="zh-CN"/>
        </w:rPr>
        <w:t>530.11</w:t>
      </w:r>
      <w:r>
        <w:rPr>
          <w:rFonts w:hint="eastAsia" w:ascii="仿宋" w:hAnsi="仿宋" w:eastAsia="仿宋"/>
          <w:sz w:val="32"/>
          <w:szCs w:val="32"/>
        </w:rPr>
        <w:t>万元，其中：基本支出</w:t>
      </w:r>
      <w:r>
        <w:rPr>
          <w:rFonts w:hint="eastAsia" w:ascii="仿宋" w:hAnsi="仿宋" w:eastAsia="仿宋"/>
          <w:sz w:val="32"/>
          <w:szCs w:val="32"/>
          <w:lang w:val="en-US" w:eastAsia="zh-CN"/>
        </w:rPr>
        <w:t>467.16</w:t>
      </w:r>
      <w:r>
        <w:rPr>
          <w:rFonts w:hint="eastAsia" w:ascii="仿宋" w:hAnsi="仿宋" w:eastAsia="仿宋"/>
          <w:sz w:val="32"/>
          <w:szCs w:val="32"/>
        </w:rPr>
        <w:t>万元，占</w:t>
      </w:r>
      <w:r>
        <w:rPr>
          <w:rFonts w:hint="eastAsia" w:ascii="仿宋" w:hAnsi="仿宋" w:eastAsia="仿宋"/>
          <w:sz w:val="32"/>
          <w:szCs w:val="32"/>
          <w:lang w:val="en-US" w:eastAsia="zh-CN"/>
        </w:rPr>
        <w:t>88.1</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sz w:val="32"/>
          <w:szCs w:val="32"/>
          <w:lang w:val="en-US" w:eastAsia="zh-CN"/>
        </w:rPr>
        <w:t>62.96</w:t>
      </w:r>
      <w:r>
        <w:rPr>
          <w:rFonts w:hint="eastAsia" w:ascii="仿宋" w:hAnsi="仿宋" w:eastAsia="仿宋"/>
          <w:sz w:val="32"/>
          <w:szCs w:val="32"/>
        </w:rPr>
        <w:t>万元，占</w:t>
      </w:r>
      <w:r>
        <w:rPr>
          <w:rFonts w:hint="eastAsia" w:ascii="仿宋" w:hAnsi="仿宋" w:eastAsia="仿宋"/>
          <w:sz w:val="32"/>
          <w:szCs w:val="32"/>
          <w:lang w:val="en-US" w:eastAsia="zh-CN"/>
        </w:rPr>
        <w:t>11.9</w:t>
      </w:r>
      <w:r>
        <w:rPr>
          <w:rFonts w:ascii="仿宋" w:hAnsi="仿宋" w:eastAsia="仿宋"/>
          <w:sz w:val="32"/>
          <w:szCs w:val="32"/>
        </w:rPr>
        <w:t>%</w:t>
      </w:r>
      <w:r>
        <w:rPr>
          <w:rFonts w:hint="eastAsia" w:ascii="仿宋" w:hAnsi="仿宋" w:eastAsia="仿宋"/>
          <w:sz w:val="32"/>
          <w:szCs w:val="32"/>
        </w:rPr>
        <w:t>；上缴上级支出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0.0</w:t>
      </w:r>
      <w:r>
        <w:rPr>
          <w:rFonts w:ascii="仿宋" w:hAnsi="仿宋" w:eastAsia="仿宋"/>
          <w:sz w:val="32"/>
          <w:szCs w:val="32"/>
        </w:rPr>
        <w:t>%</w:t>
      </w:r>
      <w:r>
        <w:rPr>
          <w:rFonts w:hint="eastAsia" w:ascii="仿宋" w:hAnsi="仿宋" w:eastAsia="仿宋"/>
          <w:sz w:val="32"/>
          <w:szCs w:val="32"/>
        </w:rPr>
        <w:t>；经营支出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0.0</w:t>
      </w:r>
      <w:r>
        <w:rPr>
          <w:rFonts w:ascii="仿宋" w:hAnsi="仿宋" w:eastAsia="仿宋"/>
          <w:sz w:val="32"/>
          <w:szCs w:val="32"/>
        </w:rPr>
        <w:t>%</w:t>
      </w:r>
      <w:r>
        <w:rPr>
          <w:rFonts w:hint="eastAsia" w:ascii="仿宋" w:hAnsi="仿宋" w:eastAsia="仿宋"/>
          <w:sz w:val="32"/>
          <w:szCs w:val="32"/>
        </w:rPr>
        <w:t>；对附属单位补助支出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0.0</w:t>
      </w:r>
      <w:r>
        <w:rPr>
          <w:rFonts w:ascii="仿宋" w:hAnsi="仿宋" w:eastAsia="仿宋"/>
          <w:sz w:val="32"/>
          <w:szCs w:val="32"/>
        </w:rPr>
        <w:t>%</w:t>
      </w:r>
      <w:r>
        <w:rPr>
          <w:rFonts w:hint="eastAsia" w:ascii="仿宋" w:hAnsi="仿宋" w:eastAsia="仿宋"/>
          <w:sz w:val="32"/>
          <w:szCs w:val="32"/>
        </w:rPr>
        <w:t>。</w:t>
      </w:r>
    </w:p>
    <w:p>
      <w:pPr>
        <w:pStyle w:val="6"/>
        <w:rPr>
          <w:rFonts w:hint="eastAsia" w:eastAsia="仿宋_GB2312"/>
          <w:lang w:eastAsia="zh-CN"/>
        </w:rPr>
      </w:pPr>
      <w:r>
        <w:drawing>
          <wp:inline distT="0" distB="0" distL="114300" distR="114300">
            <wp:extent cx="4826000" cy="2743200"/>
            <wp:effectExtent l="4445" t="4445" r="8255" b="14605"/>
            <wp:docPr id="17483" name="图表 19" descr="7b0a202020202263686172745265734964223a20223230343639393934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outlineLvl w:val="1"/>
        <w:rPr>
          <w:rStyle w:val="29"/>
          <w:rFonts w:ascii="黑体" w:hAnsi="黑体" w:eastAsia="黑体"/>
          <w:b w:val="0"/>
        </w:rPr>
      </w:pPr>
      <w:bookmarkStart w:id="26" w:name="_Toc15396606"/>
      <w:bookmarkStart w:id="27" w:name="_Toc15377208"/>
      <w:r>
        <w:rPr>
          <w:rFonts w:hint="eastAsia" w:ascii="黑体" w:hAnsi="黑体" w:eastAsia="黑体"/>
          <w:sz w:val="32"/>
          <w:szCs w:val="32"/>
        </w:rPr>
        <w:t>四、财</w:t>
      </w:r>
      <w:r>
        <w:rPr>
          <w:rStyle w:val="29"/>
          <w:rFonts w:hint="eastAsia" w:ascii="黑体" w:hAnsi="黑体" w:eastAsia="黑体"/>
          <w:b w:val="0"/>
        </w:rPr>
        <w:t>政拨款收入支出决算总体情况说明</w:t>
      </w:r>
      <w:bookmarkEnd w:id="26"/>
      <w:bookmarkEnd w:id="27"/>
    </w:p>
    <w:p>
      <w:pPr>
        <w:spacing w:line="600" w:lineRule="exact"/>
        <w:ind w:firstLine="640"/>
        <w:rPr>
          <w:rFonts w:hint="eastAsia" w:ascii="仿宋" w:hAnsi="仿宋" w:eastAsia="仿宋"/>
          <w:sz w:val="32"/>
          <w:szCs w:val="32"/>
          <w:lang w:eastAsia="zh-CN"/>
        </w:rPr>
      </w:pPr>
      <w:r>
        <w:rPr>
          <w:rFonts w:ascii="仿宋" w:hAnsi="仿宋" w:eastAsia="仿宋"/>
          <w:sz w:val="32"/>
          <w:szCs w:val="32"/>
        </w:rPr>
        <w:t>20</w:t>
      </w:r>
      <w:r>
        <w:rPr>
          <w:rFonts w:hint="eastAsia" w:ascii="仿宋" w:hAnsi="仿宋" w:eastAsia="仿宋"/>
          <w:sz w:val="32"/>
          <w:szCs w:val="32"/>
        </w:rPr>
        <w:t>22年财政拨款收</w:t>
      </w:r>
      <w:r>
        <w:rPr>
          <w:rFonts w:hint="eastAsia" w:ascii="仿宋" w:hAnsi="仿宋" w:eastAsia="仿宋"/>
          <w:sz w:val="32"/>
          <w:szCs w:val="32"/>
          <w:lang w:eastAsia="zh-CN"/>
        </w:rPr>
        <w:t>入总计</w:t>
      </w:r>
      <w:r>
        <w:rPr>
          <w:rFonts w:hint="eastAsia" w:ascii="仿宋_GB2312" w:hAnsi="仿宋" w:eastAsia="仿宋_GB2312"/>
          <w:sz w:val="32"/>
          <w:szCs w:val="32"/>
          <w:lang w:val="en-US" w:eastAsia="zh-CN"/>
        </w:rPr>
        <w:t>109.52</w:t>
      </w:r>
      <w:r>
        <w:rPr>
          <w:rFonts w:hint="eastAsia" w:ascii="仿宋" w:hAnsi="仿宋" w:eastAsia="仿宋"/>
          <w:sz w:val="32"/>
          <w:szCs w:val="32"/>
          <w:lang w:eastAsia="zh-CN"/>
        </w:rPr>
        <w:t>万元，支出</w:t>
      </w:r>
      <w:r>
        <w:rPr>
          <w:rFonts w:hint="eastAsia" w:ascii="仿宋" w:hAnsi="仿宋" w:eastAsia="仿宋"/>
          <w:sz w:val="32"/>
          <w:szCs w:val="32"/>
        </w:rPr>
        <w:t>总计</w:t>
      </w:r>
      <w:r>
        <w:rPr>
          <w:rFonts w:hint="eastAsia" w:ascii="仿宋_GB2312" w:hAnsi="仿宋" w:eastAsia="仿宋_GB2312"/>
          <w:sz w:val="32"/>
          <w:szCs w:val="32"/>
          <w:lang w:val="en-US" w:eastAsia="zh-CN"/>
        </w:rPr>
        <w:t>109.52</w:t>
      </w:r>
      <w:r>
        <w:rPr>
          <w:rFonts w:hint="eastAsia" w:ascii="仿宋" w:hAnsi="仿宋" w:eastAsia="仿宋"/>
          <w:sz w:val="32"/>
          <w:szCs w:val="32"/>
        </w:rPr>
        <w:t>万元。与</w:t>
      </w:r>
      <w:r>
        <w:rPr>
          <w:rFonts w:ascii="仿宋" w:hAnsi="仿宋" w:eastAsia="仿宋"/>
          <w:sz w:val="32"/>
          <w:szCs w:val="32"/>
        </w:rPr>
        <w:t>20</w:t>
      </w:r>
      <w:r>
        <w:rPr>
          <w:rFonts w:hint="eastAsia" w:ascii="仿宋" w:hAnsi="仿宋" w:eastAsia="仿宋"/>
          <w:sz w:val="32"/>
          <w:szCs w:val="32"/>
        </w:rPr>
        <w:t>21年相比，</w:t>
      </w:r>
      <w:r>
        <w:rPr>
          <w:rFonts w:hint="eastAsia" w:ascii="仿宋" w:hAnsi="仿宋" w:eastAsia="仿宋"/>
          <w:sz w:val="32"/>
          <w:szCs w:val="32"/>
          <w:lang w:val="en-US" w:eastAsia="zh-CN"/>
        </w:rPr>
        <w:t>2021年</w:t>
      </w:r>
      <w:r>
        <w:rPr>
          <w:rFonts w:hint="eastAsia" w:ascii="仿宋" w:hAnsi="仿宋" w:eastAsia="仿宋"/>
          <w:sz w:val="32"/>
          <w:szCs w:val="32"/>
        </w:rPr>
        <w:t>财政拨款收</w:t>
      </w:r>
      <w:r>
        <w:rPr>
          <w:rFonts w:hint="eastAsia" w:ascii="仿宋" w:hAnsi="仿宋" w:eastAsia="仿宋"/>
          <w:sz w:val="32"/>
          <w:szCs w:val="32"/>
          <w:lang w:eastAsia="zh-CN"/>
        </w:rPr>
        <w:t>入总计</w:t>
      </w:r>
      <w:r>
        <w:rPr>
          <w:rFonts w:hint="eastAsia" w:ascii="仿宋" w:hAnsi="仿宋" w:eastAsia="仿宋"/>
          <w:sz w:val="32"/>
          <w:szCs w:val="32"/>
          <w:lang w:val="en-US" w:eastAsia="zh-CN"/>
        </w:rPr>
        <w:t>143.16</w:t>
      </w:r>
      <w:r>
        <w:rPr>
          <w:rFonts w:hint="eastAsia" w:ascii="仿宋" w:hAnsi="仿宋" w:eastAsia="仿宋"/>
          <w:sz w:val="32"/>
          <w:szCs w:val="32"/>
          <w:lang w:eastAsia="zh-CN"/>
        </w:rPr>
        <w:t>万元，收入总计减少</w:t>
      </w:r>
      <w:r>
        <w:rPr>
          <w:rFonts w:hint="eastAsia" w:ascii="仿宋" w:hAnsi="仿宋" w:eastAsia="仿宋"/>
          <w:sz w:val="32"/>
          <w:szCs w:val="32"/>
          <w:lang w:val="en-US" w:eastAsia="zh-CN"/>
        </w:rPr>
        <w:t>33.64万元，下降23.5%，2021年财政拨款支出总计109.52万元，</w:t>
      </w:r>
      <w:r>
        <w:rPr>
          <w:rFonts w:hint="eastAsia" w:ascii="仿宋" w:hAnsi="仿宋" w:eastAsia="仿宋"/>
          <w:sz w:val="32"/>
          <w:szCs w:val="32"/>
        </w:rPr>
        <w:t>支</w:t>
      </w:r>
      <w:r>
        <w:rPr>
          <w:rFonts w:hint="eastAsia" w:ascii="仿宋" w:hAnsi="仿宋" w:eastAsia="仿宋"/>
          <w:sz w:val="32"/>
          <w:szCs w:val="32"/>
          <w:lang w:eastAsia="zh-CN"/>
        </w:rPr>
        <w:t>出</w:t>
      </w:r>
      <w:r>
        <w:rPr>
          <w:rFonts w:hint="eastAsia" w:ascii="仿宋" w:hAnsi="仿宋" w:eastAsia="仿宋"/>
          <w:sz w:val="32"/>
          <w:szCs w:val="32"/>
        </w:rPr>
        <w:t>总计</w:t>
      </w:r>
      <w:r>
        <w:rPr>
          <w:rFonts w:hint="eastAsia" w:ascii="仿宋" w:hAnsi="仿宋" w:eastAsia="仿宋"/>
          <w:sz w:val="32"/>
          <w:szCs w:val="32"/>
          <w:lang w:eastAsia="zh-CN"/>
        </w:rPr>
        <w:t>减少</w:t>
      </w:r>
      <w:r>
        <w:rPr>
          <w:rFonts w:hint="eastAsia" w:ascii="仿宋" w:hAnsi="仿宋" w:eastAsia="仿宋"/>
          <w:sz w:val="32"/>
          <w:szCs w:val="32"/>
          <w:lang w:val="en-US" w:eastAsia="zh-CN"/>
        </w:rPr>
        <w:t>33.64万元，下降23.5%</w:t>
      </w:r>
      <w:r>
        <w:rPr>
          <w:rFonts w:hint="eastAsia" w:ascii="仿宋" w:hAnsi="仿宋" w:eastAsia="仿宋"/>
          <w:sz w:val="32"/>
          <w:szCs w:val="32"/>
        </w:rPr>
        <w:t>。主要变动原因是</w:t>
      </w:r>
      <w:r>
        <w:rPr>
          <w:rFonts w:hint="eastAsia" w:ascii="仿宋" w:hAnsi="仿宋" w:eastAsia="仿宋"/>
          <w:sz w:val="32"/>
          <w:szCs w:val="32"/>
          <w:lang w:val="en-US" w:eastAsia="zh-CN"/>
        </w:rPr>
        <w:t>财政</w:t>
      </w:r>
      <w:r>
        <w:rPr>
          <w:rFonts w:hint="eastAsia" w:ascii="仿宋" w:hAnsi="仿宋" w:eastAsia="仿宋"/>
          <w:sz w:val="32"/>
          <w:szCs w:val="32"/>
          <w:lang w:eastAsia="zh-CN"/>
        </w:rPr>
        <w:t>拨款</w:t>
      </w:r>
      <w:r>
        <w:rPr>
          <w:rFonts w:hint="eastAsia" w:ascii="仿宋" w:hAnsi="仿宋" w:eastAsia="仿宋"/>
          <w:sz w:val="32"/>
          <w:szCs w:val="32"/>
          <w:lang w:val="en-US" w:eastAsia="zh-CN"/>
        </w:rPr>
        <w:t>减少，人员经费</w:t>
      </w:r>
      <w:r>
        <w:rPr>
          <w:rFonts w:hint="eastAsia" w:ascii="仿宋" w:hAnsi="仿宋" w:eastAsia="仿宋"/>
          <w:sz w:val="32"/>
          <w:szCs w:val="32"/>
          <w:lang w:eastAsia="zh-CN"/>
        </w:rPr>
        <w:t>支出减少。</w:t>
      </w:r>
    </w:p>
    <w:p>
      <w:pPr>
        <w:pStyle w:val="6"/>
        <w:rPr>
          <w:rFonts w:hint="eastAsia" w:ascii="仿宋" w:hAnsi="仿宋" w:eastAsia="仿宋"/>
          <w:b/>
          <w:sz w:val="32"/>
          <w:szCs w:val="32"/>
          <w:lang w:eastAsia="zh-CN"/>
        </w:rPr>
      </w:pPr>
      <w:r>
        <w:drawing>
          <wp:inline distT="0" distB="0" distL="114300" distR="114300">
            <wp:extent cx="4798060" cy="2667635"/>
            <wp:effectExtent l="4445" t="5080" r="17145" b="13335"/>
            <wp:docPr id="17486"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outlineLvl w:val="1"/>
        <w:rPr>
          <w:rStyle w:val="29"/>
          <w:rFonts w:ascii="黑体" w:hAnsi="黑体" w:eastAsia="黑体"/>
          <w:b w:val="0"/>
        </w:rPr>
      </w:pPr>
      <w:bookmarkStart w:id="28" w:name="_Toc15396607"/>
      <w:bookmarkStart w:id="29" w:name="_Toc15377209"/>
      <w:r>
        <w:rPr>
          <w:rFonts w:hint="eastAsia" w:ascii="黑体" w:hAnsi="黑体" w:eastAsia="黑体"/>
          <w:sz w:val="32"/>
          <w:szCs w:val="32"/>
        </w:rPr>
        <w:t>五、</w:t>
      </w:r>
      <w:r>
        <w:rPr>
          <w:rFonts w:hint="eastAsia" w:ascii="黑体" w:hAnsi="黑体" w:eastAsia="黑体"/>
          <w:b/>
          <w:sz w:val="32"/>
          <w:szCs w:val="32"/>
        </w:rPr>
        <w:t>一</w:t>
      </w:r>
      <w:r>
        <w:rPr>
          <w:rStyle w:val="29"/>
          <w:rFonts w:hint="eastAsia" w:ascii="黑体" w:hAnsi="黑体" w:eastAsia="黑体"/>
          <w:b w:val="0"/>
        </w:rPr>
        <w:t>般公共预算财政拨款支出决算情况说明</w:t>
      </w:r>
      <w:bookmarkEnd w:id="28"/>
      <w:bookmarkEnd w:id="29"/>
    </w:p>
    <w:p>
      <w:pPr>
        <w:spacing w:line="600" w:lineRule="exact"/>
        <w:ind w:firstLine="643" w:firstLineChars="200"/>
        <w:outlineLvl w:val="2"/>
        <w:rPr>
          <w:rFonts w:ascii="仿宋" w:hAnsi="仿宋" w:eastAsia="仿宋"/>
          <w:b/>
          <w:sz w:val="32"/>
          <w:szCs w:val="32"/>
        </w:rPr>
      </w:pPr>
      <w:bookmarkStart w:id="30" w:name="_Toc15377210"/>
      <w:r>
        <w:rPr>
          <w:rFonts w:hint="eastAsia" w:ascii="仿宋" w:hAnsi="仿宋" w:eastAsia="仿宋"/>
          <w:b/>
          <w:sz w:val="32"/>
          <w:szCs w:val="32"/>
        </w:rPr>
        <w:t>（一）一般公共预算财政拨款支出决算总体情况</w:t>
      </w:r>
      <w:bookmarkEnd w:id="30"/>
    </w:p>
    <w:p>
      <w:pPr>
        <w:spacing w:line="600" w:lineRule="exact"/>
        <w:ind w:firstLine="640" w:firstLineChars="200"/>
        <w:rPr>
          <w:rFonts w:hint="eastAsia" w:ascii="仿宋" w:hAnsi="仿宋" w:eastAsia="仿宋"/>
          <w:sz w:val="32"/>
          <w:szCs w:val="32"/>
          <w:lang w:eastAsia="zh-CN"/>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_GB2312" w:hAnsi="仿宋" w:eastAsia="仿宋_GB2312"/>
          <w:sz w:val="32"/>
          <w:szCs w:val="32"/>
          <w:lang w:val="en-US" w:eastAsia="zh-CN"/>
        </w:rPr>
        <w:t>109.52</w:t>
      </w:r>
      <w:r>
        <w:rPr>
          <w:rFonts w:hint="eastAsia" w:ascii="仿宋" w:hAnsi="仿宋" w:eastAsia="仿宋"/>
          <w:sz w:val="32"/>
          <w:szCs w:val="32"/>
        </w:rPr>
        <w:t>万元，占本年支出合计的</w:t>
      </w:r>
      <w:r>
        <w:rPr>
          <w:rFonts w:hint="eastAsia" w:ascii="仿宋" w:hAnsi="仿宋" w:eastAsia="仿宋"/>
          <w:sz w:val="32"/>
          <w:szCs w:val="32"/>
          <w:lang w:val="en-US" w:eastAsia="zh-CN"/>
        </w:rPr>
        <w:t>20.7</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21年相比，</w:t>
      </w:r>
      <w:r>
        <w:rPr>
          <w:rFonts w:hint="eastAsia" w:ascii="仿宋" w:hAnsi="仿宋" w:eastAsia="仿宋"/>
          <w:sz w:val="32"/>
          <w:szCs w:val="32"/>
          <w:lang w:val="en-US" w:eastAsia="zh-CN"/>
        </w:rPr>
        <w:t>2021年</w:t>
      </w:r>
      <w:r>
        <w:rPr>
          <w:rFonts w:hint="eastAsia" w:ascii="仿宋" w:hAnsi="仿宋" w:eastAsia="仿宋"/>
          <w:sz w:val="32"/>
          <w:szCs w:val="32"/>
        </w:rPr>
        <w:t>一般公共预算财政拨款支出</w:t>
      </w:r>
      <w:r>
        <w:rPr>
          <w:rFonts w:hint="eastAsia" w:ascii="仿宋" w:hAnsi="仿宋" w:eastAsia="仿宋"/>
          <w:sz w:val="32"/>
          <w:szCs w:val="32"/>
          <w:lang w:val="en-US" w:eastAsia="zh-CN"/>
        </w:rPr>
        <w:t>143.16</w:t>
      </w:r>
      <w:r>
        <w:rPr>
          <w:rFonts w:hint="eastAsia" w:ascii="仿宋" w:hAnsi="仿宋" w:eastAsia="仿宋"/>
          <w:sz w:val="32"/>
          <w:szCs w:val="32"/>
          <w:lang w:eastAsia="zh-CN"/>
        </w:rPr>
        <w:t>万元，</w:t>
      </w:r>
      <w:r>
        <w:rPr>
          <w:rFonts w:hint="eastAsia" w:ascii="仿宋" w:hAnsi="仿宋" w:eastAsia="仿宋"/>
          <w:sz w:val="32"/>
          <w:szCs w:val="32"/>
        </w:rPr>
        <w:t>一般公共预算财政拨款支出</w:t>
      </w:r>
      <w:r>
        <w:rPr>
          <w:rFonts w:hint="eastAsia" w:ascii="仿宋" w:hAnsi="仿宋" w:eastAsia="仿宋"/>
          <w:sz w:val="32"/>
          <w:szCs w:val="32"/>
          <w:lang w:val="en-US" w:eastAsia="zh-CN"/>
        </w:rPr>
        <w:t>33.64万元，下降23.5%</w:t>
      </w:r>
      <w:r>
        <w:rPr>
          <w:rFonts w:hint="eastAsia" w:ascii="仿宋" w:hAnsi="仿宋" w:eastAsia="仿宋"/>
          <w:sz w:val="32"/>
          <w:szCs w:val="32"/>
        </w:rPr>
        <w:t>。主要变动原因是</w:t>
      </w:r>
      <w:r>
        <w:rPr>
          <w:rFonts w:hint="eastAsia" w:ascii="仿宋" w:hAnsi="仿宋" w:eastAsia="仿宋"/>
          <w:sz w:val="32"/>
          <w:szCs w:val="32"/>
          <w:lang w:eastAsia="zh-CN"/>
        </w:rPr>
        <w:t>项目支出减少。</w:t>
      </w:r>
    </w:p>
    <w:p>
      <w:pPr>
        <w:pStyle w:val="6"/>
        <w:rPr>
          <w:rFonts w:ascii="仿宋" w:hAnsi="仿宋" w:eastAsia="仿宋"/>
          <w:sz w:val="32"/>
          <w:szCs w:val="32"/>
        </w:rPr>
      </w:pPr>
      <w:r>
        <w:drawing>
          <wp:inline distT="0" distB="0" distL="114300" distR="114300">
            <wp:extent cx="5015865" cy="2410460"/>
            <wp:effectExtent l="5080" t="4445" r="8255" b="23495"/>
            <wp:docPr id="17484" name="图表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3" w:firstLineChars="200"/>
        <w:outlineLvl w:val="2"/>
        <w:rPr>
          <w:rFonts w:ascii="仿宋" w:hAnsi="仿宋" w:eastAsia="仿宋"/>
          <w:b/>
          <w:sz w:val="32"/>
          <w:szCs w:val="32"/>
        </w:rPr>
      </w:pPr>
      <w:bookmarkStart w:id="31" w:name="_Toc15377211"/>
      <w:r>
        <w:rPr>
          <w:rFonts w:hint="eastAsia" w:ascii="仿宋" w:hAnsi="仿宋" w:eastAsia="仿宋"/>
          <w:b/>
          <w:sz w:val="32"/>
          <w:szCs w:val="32"/>
        </w:rPr>
        <w:t>（二）一般公共预算财政拨款支出决算结构情况</w:t>
      </w:r>
      <w:bookmarkEnd w:id="31"/>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_GB2312" w:hAnsi="仿宋" w:eastAsia="仿宋_GB2312"/>
          <w:sz w:val="32"/>
          <w:szCs w:val="32"/>
          <w:lang w:val="en-US" w:eastAsia="zh-CN"/>
        </w:rPr>
        <w:t>109.52</w:t>
      </w:r>
      <w:r>
        <w:rPr>
          <w:rFonts w:hint="eastAsia" w:ascii="仿宋" w:hAnsi="仿宋" w:eastAsia="仿宋"/>
          <w:sz w:val="32"/>
          <w:szCs w:val="32"/>
        </w:rPr>
        <w:t>万元，主要用于以下方面</w:t>
      </w:r>
      <w:r>
        <w:rPr>
          <w:rFonts w:ascii="仿宋" w:hAnsi="仿宋" w:eastAsia="仿宋"/>
          <w:sz w:val="32"/>
          <w:szCs w:val="32"/>
        </w:rPr>
        <w:t>:</w:t>
      </w:r>
      <w:r>
        <w:rPr>
          <w:rFonts w:hint="eastAsia" w:ascii="仿宋" w:hAnsi="仿宋" w:eastAsia="仿宋"/>
          <w:b/>
          <w:sz w:val="32"/>
          <w:szCs w:val="32"/>
        </w:rPr>
        <w:t>一般公共服务</w:t>
      </w:r>
      <w:r>
        <w:rPr>
          <w:rFonts w:hint="eastAsia" w:ascii="仿宋" w:hAnsi="仿宋" w:eastAsia="仿宋"/>
          <w:b/>
          <w:bCs/>
          <w:sz w:val="32"/>
          <w:szCs w:val="32"/>
        </w:rPr>
        <w:t>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教育支出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科学技术</w:t>
      </w:r>
      <w:r>
        <w:rPr>
          <w:rFonts w:hint="eastAsia" w:ascii="仿宋" w:hAnsi="仿宋" w:eastAsia="仿宋"/>
          <w:b/>
          <w:bCs/>
          <w:sz w:val="32"/>
          <w:szCs w:val="32"/>
        </w:rPr>
        <w:t>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文化旅游体育与传媒支出</w:t>
      </w:r>
      <w:r>
        <w:rPr>
          <w:rFonts w:hint="eastAsia" w:ascii="仿宋" w:hAnsi="仿宋" w:eastAsia="仿宋"/>
          <w:b/>
          <w:bCs/>
          <w:sz w:val="32"/>
          <w:szCs w:val="32"/>
          <w:lang w:val="en-US" w:eastAsia="zh-CN"/>
        </w:rPr>
        <w:t>0</w:t>
      </w:r>
      <w:r>
        <w:rPr>
          <w:rFonts w:hint="eastAsia" w:ascii="仿宋" w:hAnsi="仿宋" w:eastAsia="仿宋"/>
          <w:b/>
          <w:bCs/>
          <w:sz w:val="32"/>
          <w:szCs w:val="32"/>
        </w:rPr>
        <w:t>万元，占</w:t>
      </w:r>
      <w:r>
        <w:rPr>
          <w:rFonts w:hint="eastAsia" w:ascii="仿宋" w:hAnsi="仿宋" w:eastAsia="仿宋"/>
          <w:b/>
          <w:bCs/>
          <w:sz w:val="32"/>
          <w:szCs w:val="32"/>
          <w:lang w:val="en-US" w:eastAsia="zh-CN"/>
        </w:rPr>
        <w:t>0.0</w:t>
      </w:r>
      <w:r>
        <w:rPr>
          <w:rFonts w:ascii="仿宋" w:hAnsi="仿宋" w:eastAsia="仿宋"/>
          <w:b/>
          <w:bCs/>
          <w:sz w:val="32"/>
          <w:szCs w:val="32"/>
        </w:rPr>
        <w:t>%</w:t>
      </w:r>
      <w:r>
        <w:rPr>
          <w:rFonts w:hint="eastAsia" w:ascii="仿宋" w:hAnsi="仿宋" w:eastAsia="仿宋"/>
          <w:sz w:val="32"/>
          <w:szCs w:val="32"/>
        </w:rPr>
        <w:t>；</w:t>
      </w:r>
      <w:r>
        <w:rPr>
          <w:rFonts w:hint="eastAsia" w:ascii="仿宋" w:hAnsi="仿宋" w:eastAsia="仿宋"/>
          <w:b/>
          <w:sz w:val="32"/>
          <w:szCs w:val="32"/>
        </w:rPr>
        <w:t>社会保障和就业</w:t>
      </w:r>
      <w:r>
        <w:rPr>
          <w:rFonts w:hint="eastAsia" w:ascii="仿宋" w:hAnsi="仿宋" w:eastAsia="仿宋"/>
          <w:b/>
          <w:bCs/>
          <w:sz w:val="32"/>
          <w:szCs w:val="32"/>
        </w:rPr>
        <w:t>支出</w:t>
      </w:r>
      <w:r>
        <w:rPr>
          <w:rFonts w:hint="eastAsia" w:ascii="仿宋" w:hAnsi="仿宋" w:eastAsia="仿宋"/>
          <w:sz w:val="32"/>
          <w:szCs w:val="32"/>
          <w:lang w:val="en-US" w:eastAsia="zh-CN"/>
        </w:rPr>
        <w:t>22.08</w:t>
      </w:r>
      <w:r>
        <w:rPr>
          <w:rFonts w:hint="eastAsia" w:ascii="仿宋" w:hAnsi="仿宋" w:eastAsia="仿宋"/>
          <w:sz w:val="32"/>
          <w:szCs w:val="32"/>
        </w:rPr>
        <w:t>万元，占</w:t>
      </w:r>
      <w:r>
        <w:rPr>
          <w:rFonts w:hint="eastAsia" w:ascii="仿宋" w:hAnsi="仿宋" w:eastAsia="仿宋"/>
          <w:sz w:val="32"/>
          <w:szCs w:val="32"/>
          <w:lang w:val="en-US" w:eastAsia="zh-CN"/>
        </w:rPr>
        <w:t>20.2</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sz w:val="32"/>
          <w:szCs w:val="32"/>
          <w:lang w:val="en-US" w:eastAsia="zh-CN"/>
        </w:rPr>
        <w:t>87.44</w:t>
      </w:r>
      <w:r>
        <w:rPr>
          <w:rFonts w:hint="eastAsia" w:ascii="仿宋" w:hAnsi="仿宋" w:eastAsia="仿宋"/>
          <w:sz w:val="32"/>
          <w:szCs w:val="32"/>
        </w:rPr>
        <w:t>万元，占</w:t>
      </w:r>
      <w:r>
        <w:rPr>
          <w:rFonts w:hint="eastAsia" w:ascii="仿宋" w:hAnsi="仿宋" w:eastAsia="仿宋"/>
          <w:sz w:val="32"/>
          <w:szCs w:val="32"/>
          <w:lang w:val="en-US" w:eastAsia="zh-CN"/>
        </w:rPr>
        <w:t>79.8</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住房保障支出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0.0</w:t>
      </w:r>
      <w:r>
        <w:rPr>
          <w:rFonts w:ascii="仿宋" w:hAnsi="仿宋" w:eastAsia="仿宋"/>
          <w:sz w:val="32"/>
          <w:szCs w:val="32"/>
        </w:rPr>
        <w:t>%</w:t>
      </w:r>
      <w:r>
        <w:rPr>
          <w:rFonts w:hint="eastAsia" w:ascii="仿宋" w:hAnsi="仿宋" w:eastAsia="仿宋"/>
          <w:sz w:val="32"/>
          <w:szCs w:val="32"/>
        </w:rPr>
        <w:t>。</w:t>
      </w:r>
    </w:p>
    <w:p>
      <w:pPr>
        <w:pStyle w:val="6"/>
        <w:rPr>
          <w:rFonts w:hint="eastAsia" w:ascii="仿宋" w:hAnsi="仿宋" w:eastAsia="仿宋"/>
          <w:b/>
          <w:sz w:val="32"/>
          <w:szCs w:val="32"/>
        </w:rPr>
      </w:pPr>
      <w:bookmarkStart w:id="32" w:name="_Toc15377212"/>
      <w:r>
        <w:drawing>
          <wp:inline distT="0" distB="0" distL="114300" distR="114300">
            <wp:extent cx="4826000" cy="2562225"/>
            <wp:effectExtent l="4445" t="4445" r="8255" b="5080"/>
            <wp:docPr id="17485" name="图表 22" descr="7b0a202020202263686172745265734964223a20223230343639393934220a7d0a"/>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3" w:firstLineChars="200"/>
        <w:outlineLvl w:val="2"/>
        <w:rPr>
          <w:rFonts w:ascii="仿宋" w:hAnsi="仿宋" w:eastAsia="仿宋"/>
          <w:b/>
          <w:sz w:val="32"/>
          <w:szCs w:val="32"/>
        </w:rPr>
      </w:pPr>
      <w:r>
        <w:rPr>
          <w:rFonts w:hint="eastAsia" w:ascii="仿宋" w:hAnsi="仿宋" w:eastAsia="仿宋"/>
          <w:b/>
          <w:sz w:val="32"/>
          <w:szCs w:val="32"/>
        </w:rPr>
        <w:t>（三）一般公共预算财政拨款支出决算具体情况</w:t>
      </w:r>
      <w:bookmarkEnd w:id="32"/>
    </w:p>
    <w:p>
      <w:pPr>
        <w:spacing w:line="600" w:lineRule="exact"/>
        <w:ind w:firstLine="643" w:firstLineChars="200"/>
        <w:outlineLvl w:val="2"/>
        <w:rPr>
          <w:rFonts w:ascii="仿宋" w:hAnsi="仿宋" w:eastAsia="仿宋"/>
          <w:sz w:val="32"/>
          <w:szCs w:val="32"/>
        </w:rPr>
      </w:pPr>
      <w:bookmarkStart w:id="33" w:name="_Toc15377444"/>
      <w:bookmarkStart w:id="34" w:name="_Toc15377213"/>
      <w:bookmarkStart w:id="35" w:name="_Toc15378460"/>
      <w:r>
        <w:rPr>
          <w:rFonts w:hint="eastAsia" w:ascii="仿宋" w:hAnsi="仿宋" w:eastAsia="仿宋"/>
          <w:b/>
          <w:sz w:val="32"/>
          <w:szCs w:val="32"/>
        </w:rPr>
        <w:t>2022年一般公共预算支出决算数为</w:t>
      </w:r>
      <w:r>
        <w:rPr>
          <w:rFonts w:hint="eastAsia" w:ascii="仿宋" w:hAnsi="仿宋" w:eastAsia="仿宋"/>
          <w:b/>
          <w:sz w:val="32"/>
          <w:szCs w:val="32"/>
          <w:lang w:val="en-US" w:eastAsia="zh-CN"/>
        </w:rPr>
        <w:t>109.52</w:t>
      </w:r>
      <w:r>
        <w:rPr>
          <w:rFonts w:hint="eastAsia" w:ascii="仿宋" w:hAnsi="仿宋" w:eastAsia="仿宋"/>
          <w:b/>
          <w:sz w:val="32"/>
          <w:szCs w:val="32"/>
          <w:lang w:eastAsia="zh-CN"/>
        </w:rPr>
        <w:t>万元</w:t>
      </w:r>
      <w:r>
        <w:rPr>
          <w:rFonts w:hint="eastAsia" w:ascii="仿宋" w:hAnsi="仿宋" w:eastAsia="仿宋"/>
          <w:sz w:val="32"/>
          <w:szCs w:val="32"/>
        </w:rPr>
        <w:t>，</w:t>
      </w:r>
      <w:r>
        <w:rPr>
          <w:rStyle w:val="17"/>
          <w:rFonts w:hint="eastAsia" w:ascii="仿宋" w:hAnsi="仿宋" w:eastAsia="仿宋"/>
          <w:bCs/>
          <w:sz w:val="32"/>
          <w:szCs w:val="32"/>
        </w:rPr>
        <w:t>完成预算</w:t>
      </w:r>
      <w:r>
        <w:rPr>
          <w:rStyle w:val="17"/>
          <w:rFonts w:hint="eastAsia" w:ascii="仿宋" w:hAnsi="仿宋" w:eastAsia="仿宋"/>
          <w:bCs/>
          <w:sz w:val="32"/>
          <w:szCs w:val="32"/>
          <w:lang w:val="en-US" w:eastAsia="zh-CN"/>
        </w:rPr>
        <w:t>100</w:t>
      </w:r>
      <w:r>
        <w:rPr>
          <w:rStyle w:val="17"/>
          <w:rFonts w:ascii="仿宋" w:hAnsi="仿宋" w:eastAsia="仿宋"/>
          <w:bCs/>
          <w:sz w:val="32"/>
          <w:szCs w:val="32"/>
        </w:rPr>
        <w:t>%</w:t>
      </w:r>
      <w:r>
        <w:rPr>
          <w:rStyle w:val="17"/>
          <w:rFonts w:hint="eastAsia" w:ascii="仿宋" w:hAnsi="仿宋" w:eastAsia="仿宋"/>
          <w:bCs/>
          <w:sz w:val="32"/>
          <w:szCs w:val="32"/>
        </w:rPr>
        <w:t>。其中：</w:t>
      </w:r>
      <w:bookmarkEnd w:id="33"/>
      <w:bookmarkEnd w:id="34"/>
      <w:bookmarkEnd w:id="35"/>
    </w:p>
    <w:p>
      <w:pPr>
        <w:spacing w:line="600" w:lineRule="exact"/>
        <w:ind w:firstLine="643" w:firstLineChars="200"/>
        <w:rPr>
          <w:rFonts w:ascii="仿宋" w:hAnsi="仿宋" w:eastAsia="仿宋"/>
          <w:b/>
          <w:sz w:val="32"/>
          <w:szCs w:val="32"/>
        </w:rPr>
      </w:pPr>
      <w:r>
        <w:rPr>
          <w:rStyle w:val="17"/>
          <w:rFonts w:ascii="仿宋" w:hAnsi="仿宋" w:eastAsia="仿宋"/>
          <w:bCs/>
          <w:sz w:val="32"/>
          <w:szCs w:val="32"/>
        </w:rPr>
        <w:t>1.</w:t>
      </w:r>
      <w:r>
        <w:rPr>
          <w:rStyle w:val="17"/>
          <w:rFonts w:hint="eastAsia" w:ascii="仿宋" w:hAnsi="仿宋" w:eastAsia="仿宋"/>
          <w:bCs/>
          <w:sz w:val="32"/>
          <w:szCs w:val="32"/>
        </w:rPr>
        <w:t>一般公共服务（类）</w:t>
      </w:r>
      <w:r>
        <w:rPr>
          <w:rStyle w:val="17"/>
          <w:rFonts w:ascii="仿宋" w:hAnsi="仿宋" w:eastAsia="仿宋"/>
          <w:bCs/>
          <w:sz w:val="32"/>
          <w:szCs w:val="32"/>
        </w:rPr>
        <w:t>***</w:t>
      </w:r>
      <w:r>
        <w:rPr>
          <w:rStyle w:val="17"/>
          <w:rFonts w:hint="eastAsia" w:ascii="仿宋" w:hAnsi="仿宋" w:eastAsia="仿宋"/>
          <w:bCs/>
          <w:sz w:val="32"/>
          <w:szCs w:val="32"/>
        </w:rPr>
        <w:t>（款）</w:t>
      </w:r>
      <w:r>
        <w:rPr>
          <w:rStyle w:val="17"/>
          <w:rFonts w:ascii="仿宋" w:hAnsi="仿宋" w:eastAsia="仿宋"/>
          <w:bCs/>
          <w:sz w:val="32"/>
          <w:szCs w:val="32"/>
        </w:rPr>
        <w:t>***</w:t>
      </w:r>
      <w:r>
        <w:rPr>
          <w:rStyle w:val="17"/>
          <w:rFonts w:hint="eastAsia" w:ascii="仿宋" w:hAnsi="仿宋" w:eastAsia="仿宋"/>
          <w:bCs/>
          <w:sz w:val="32"/>
          <w:szCs w:val="32"/>
        </w:rPr>
        <w:t>（项）</w:t>
      </w:r>
      <w:r>
        <w:rPr>
          <w:rStyle w:val="17"/>
          <w:rFonts w:ascii="仿宋" w:hAnsi="仿宋" w:eastAsia="仿宋"/>
          <w:bCs/>
          <w:sz w:val="32"/>
          <w:szCs w:val="32"/>
        </w:rPr>
        <w:t>:</w:t>
      </w:r>
      <w:r>
        <w:rPr>
          <w:rStyle w:val="17"/>
          <w:rFonts w:ascii="仿宋" w:hAnsi="仿宋" w:eastAsia="仿宋"/>
          <w:b w:val="0"/>
          <w:bCs/>
          <w:sz w:val="32"/>
          <w:szCs w:val="32"/>
        </w:rPr>
        <w:t xml:space="preserve"> </w:t>
      </w:r>
      <w:r>
        <w:rPr>
          <w:rStyle w:val="17"/>
          <w:rFonts w:hint="eastAsia" w:ascii="仿宋" w:hAnsi="仿宋" w:eastAsia="仿宋"/>
          <w:b w:val="0"/>
          <w:bCs/>
          <w:sz w:val="32"/>
          <w:szCs w:val="32"/>
        </w:rPr>
        <w:t>支出决算为</w:t>
      </w:r>
      <w:r>
        <w:rPr>
          <w:rStyle w:val="17"/>
          <w:rFonts w:hint="eastAsia" w:ascii="仿宋" w:hAnsi="仿宋" w:eastAsia="仿宋"/>
          <w:b w:val="0"/>
          <w:bCs/>
          <w:sz w:val="32"/>
          <w:szCs w:val="32"/>
          <w:lang w:val="en-US" w:eastAsia="zh-CN"/>
        </w:rPr>
        <w:t>0</w:t>
      </w:r>
      <w:r>
        <w:rPr>
          <w:rStyle w:val="17"/>
          <w:rFonts w:hint="eastAsia" w:ascii="仿宋" w:hAnsi="仿宋" w:eastAsia="仿宋"/>
          <w:b w:val="0"/>
          <w:bCs/>
          <w:sz w:val="32"/>
          <w:szCs w:val="32"/>
        </w:rPr>
        <w:t>万元，完成预算</w:t>
      </w:r>
      <w:r>
        <w:rPr>
          <w:rStyle w:val="17"/>
          <w:rFonts w:hint="eastAsia" w:ascii="仿宋" w:hAnsi="仿宋" w:eastAsia="仿宋"/>
          <w:b w:val="0"/>
          <w:bCs/>
          <w:sz w:val="32"/>
          <w:szCs w:val="32"/>
          <w:lang w:val="en-US" w:eastAsia="zh-CN"/>
        </w:rPr>
        <w:t>100.0</w:t>
      </w:r>
      <w:r>
        <w:rPr>
          <w:rStyle w:val="17"/>
          <w:rFonts w:ascii="仿宋" w:hAnsi="仿宋" w:eastAsia="仿宋"/>
          <w:b w:val="0"/>
          <w:bCs/>
          <w:sz w:val="32"/>
          <w:szCs w:val="32"/>
        </w:rPr>
        <w:t>%</w:t>
      </w:r>
      <w:r>
        <w:rPr>
          <w:rStyle w:val="17"/>
          <w:rFonts w:hint="eastAsia" w:ascii="仿宋" w:hAnsi="仿宋" w:eastAsia="仿宋"/>
          <w:b w:val="0"/>
          <w:bCs/>
          <w:sz w:val="32"/>
          <w:szCs w:val="32"/>
        </w:rPr>
        <w:t>，决算数等于预算数的主要原因是</w:t>
      </w:r>
      <w:r>
        <w:rPr>
          <w:rStyle w:val="17"/>
          <w:rFonts w:hint="eastAsia" w:ascii="仿宋" w:hAnsi="仿宋" w:eastAsia="仿宋"/>
          <w:b w:val="0"/>
          <w:bCs/>
          <w:sz w:val="32"/>
          <w:szCs w:val="32"/>
          <w:lang w:eastAsia="zh-CN"/>
        </w:rPr>
        <w:t>严格按照年初预算数执行</w:t>
      </w:r>
      <w:r>
        <w:rPr>
          <w:rStyle w:val="17"/>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7"/>
          <w:rFonts w:ascii="仿宋" w:hAnsi="仿宋" w:eastAsia="仿宋"/>
          <w:bCs/>
          <w:sz w:val="32"/>
          <w:szCs w:val="32"/>
        </w:rPr>
        <w:t>2.</w:t>
      </w:r>
      <w:r>
        <w:rPr>
          <w:rStyle w:val="17"/>
          <w:rFonts w:hint="eastAsia" w:ascii="仿宋" w:hAnsi="仿宋" w:eastAsia="仿宋"/>
          <w:bCs/>
          <w:sz w:val="32"/>
          <w:szCs w:val="32"/>
        </w:rPr>
        <w:t>教育（类）</w:t>
      </w:r>
      <w:r>
        <w:rPr>
          <w:rStyle w:val="17"/>
          <w:rFonts w:ascii="仿宋" w:hAnsi="仿宋" w:eastAsia="仿宋"/>
          <w:bCs/>
          <w:sz w:val="32"/>
          <w:szCs w:val="32"/>
        </w:rPr>
        <w:t>***</w:t>
      </w:r>
      <w:r>
        <w:rPr>
          <w:rStyle w:val="17"/>
          <w:rFonts w:hint="eastAsia" w:ascii="仿宋" w:hAnsi="仿宋" w:eastAsia="仿宋"/>
          <w:bCs/>
          <w:sz w:val="32"/>
          <w:szCs w:val="32"/>
        </w:rPr>
        <w:t>（款）</w:t>
      </w:r>
      <w:r>
        <w:rPr>
          <w:rStyle w:val="17"/>
          <w:rFonts w:ascii="仿宋" w:hAnsi="仿宋" w:eastAsia="仿宋"/>
          <w:bCs/>
          <w:sz w:val="32"/>
          <w:szCs w:val="32"/>
        </w:rPr>
        <w:t>***</w:t>
      </w:r>
      <w:r>
        <w:rPr>
          <w:rStyle w:val="17"/>
          <w:rFonts w:hint="eastAsia" w:ascii="仿宋" w:hAnsi="仿宋" w:eastAsia="仿宋"/>
          <w:bCs/>
          <w:sz w:val="32"/>
          <w:szCs w:val="32"/>
        </w:rPr>
        <w:t>（项）</w:t>
      </w:r>
      <w:r>
        <w:rPr>
          <w:rStyle w:val="17"/>
          <w:rFonts w:ascii="仿宋" w:hAnsi="仿宋" w:eastAsia="仿宋"/>
          <w:bCs/>
          <w:sz w:val="32"/>
          <w:szCs w:val="32"/>
        </w:rPr>
        <w:t>:</w:t>
      </w:r>
      <w:r>
        <w:rPr>
          <w:rStyle w:val="17"/>
          <w:rFonts w:ascii="仿宋" w:hAnsi="仿宋" w:eastAsia="仿宋"/>
          <w:b w:val="0"/>
          <w:bCs/>
          <w:sz w:val="32"/>
          <w:szCs w:val="32"/>
        </w:rPr>
        <w:t xml:space="preserve"> </w:t>
      </w:r>
      <w:r>
        <w:rPr>
          <w:rStyle w:val="17"/>
          <w:rFonts w:hint="eastAsia" w:ascii="仿宋" w:hAnsi="仿宋" w:eastAsia="仿宋"/>
          <w:b w:val="0"/>
          <w:bCs/>
          <w:sz w:val="32"/>
          <w:szCs w:val="32"/>
        </w:rPr>
        <w:t>支出决算为</w:t>
      </w:r>
      <w:r>
        <w:rPr>
          <w:rStyle w:val="17"/>
          <w:rFonts w:hint="eastAsia" w:ascii="仿宋" w:hAnsi="仿宋" w:eastAsia="仿宋"/>
          <w:b w:val="0"/>
          <w:bCs/>
          <w:sz w:val="32"/>
          <w:szCs w:val="32"/>
          <w:lang w:val="en-US" w:eastAsia="zh-CN"/>
        </w:rPr>
        <w:t>0</w:t>
      </w:r>
      <w:r>
        <w:rPr>
          <w:rStyle w:val="17"/>
          <w:rFonts w:hint="eastAsia" w:ascii="仿宋" w:hAnsi="仿宋" w:eastAsia="仿宋"/>
          <w:b w:val="0"/>
          <w:bCs/>
          <w:sz w:val="32"/>
          <w:szCs w:val="32"/>
        </w:rPr>
        <w:t>万元，完成预算</w:t>
      </w:r>
      <w:r>
        <w:rPr>
          <w:rStyle w:val="17"/>
          <w:rFonts w:hint="eastAsia" w:ascii="仿宋" w:hAnsi="仿宋" w:eastAsia="仿宋"/>
          <w:b w:val="0"/>
          <w:bCs/>
          <w:sz w:val="32"/>
          <w:szCs w:val="32"/>
          <w:lang w:val="en-US" w:eastAsia="zh-CN"/>
        </w:rPr>
        <w:t>100.0</w:t>
      </w:r>
      <w:r>
        <w:rPr>
          <w:rStyle w:val="17"/>
          <w:rFonts w:ascii="仿宋" w:hAnsi="仿宋" w:eastAsia="仿宋"/>
          <w:b w:val="0"/>
          <w:bCs/>
          <w:sz w:val="32"/>
          <w:szCs w:val="32"/>
        </w:rPr>
        <w:t>%</w:t>
      </w:r>
      <w:r>
        <w:rPr>
          <w:rStyle w:val="17"/>
          <w:rFonts w:hint="eastAsia" w:ascii="仿宋" w:hAnsi="仿宋" w:eastAsia="仿宋"/>
          <w:b w:val="0"/>
          <w:bCs/>
          <w:sz w:val="32"/>
          <w:szCs w:val="32"/>
        </w:rPr>
        <w:t>，决算数等于预算数的主要原因是</w:t>
      </w:r>
      <w:r>
        <w:rPr>
          <w:rStyle w:val="17"/>
          <w:rFonts w:hint="eastAsia" w:ascii="仿宋" w:hAnsi="仿宋" w:eastAsia="仿宋"/>
          <w:b w:val="0"/>
          <w:bCs/>
          <w:sz w:val="32"/>
          <w:szCs w:val="32"/>
          <w:lang w:eastAsia="zh-CN"/>
        </w:rPr>
        <w:t>严格按照年初预算数执行</w:t>
      </w:r>
      <w:r>
        <w:rPr>
          <w:rStyle w:val="17"/>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7"/>
          <w:rFonts w:ascii="仿宋" w:hAnsi="仿宋" w:eastAsia="仿宋"/>
          <w:bCs/>
          <w:sz w:val="32"/>
          <w:szCs w:val="32"/>
        </w:rPr>
        <w:t>3.</w:t>
      </w:r>
      <w:r>
        <w:rPr>
          <w:rStyle w:val="17"/>
          <w:rFonts w:hint="eastAsia" w:ascii="仿宋" w:hAnsi="仿宋" w:eastAsia="仿宋"/>
          <w:bCs/>
          <w:sz w:val="32"/>
          <w:szCs w:val="32"/>
        </w:rPr>
        <w:t>科学技术（类）</w:t>
      </w:r>
      <w:r>
        <w:rPr>
          <w:rStyle w:val="17"/>
          <w:rFonts w:ascii="仿宋" w:hAnsi="仿宋" w:eastAsia="仿宋"/>
          <w:bCs/>
          <w:sz w:val="32"/>
          <w:szCs w:val="32"/>
        </w:rPr>
        <w:t>***</w:t>
      </w:r>
      <w:r>
        <w:rPr>
          <w:rStyle w:val="17"/>
          <w:rFonts w:hint="eastAsia" w:ascii="仿宋" w:hAnsi="仿宋" w:eastAsia="仿宋"/>
          <w:bCs/>
          <w:sz w:val="32"/>
          <w:szCs w:val="32"/>
        </w:rPr>
        <w:t>（款）</w:t>
      </w:r>
      <w:r>
        <w:rPr>
          <w:rStyle w:val="17"/>
          <w:rFonts w:ascii="仿宋" w:hAnsi="仿宋" w:eastAsia="仿宋"/>
          <w:bCs/>
          <w:sz w:val="32"/>
          <w:szCs w:val="32"/>
        </w:rPr>
        <w:t>***</w:t>
      </w:r>
      <w:r>
        <w:rPr>
          <w:rStyle w:val="17"/>
          <w:rFonts w:hint="eastAsia" w:ascii="仿宋" w:hAnsi="仿宋" w:eastAsia="仿宋"/>
          <w:bCs/>
          <w:sz w:val="32"/>
          <w:szCs w:val="32"/>
        </w:rPr>
        <w:t>（项）</w:t>
      </w:r>
      <w:r>
        <w:rPr>
          <w:rStyle w:val="17"/>
          <w:rFonts w:ascii="仿宋" w:hAnsi="仿宋" w:eastAsia="仿宋"/>
          <w:bCs/>
          <w:sz w:val="32"/>
          <w:szCs w:val="32"/>
        </w:rPr>
        <w:t>:</w:t>
      </w:r>
      <w:r>
        <w:rPr>
          <w:rStyle w:val="17"/>
          <w:rFonts w:ascii="仿宋" w:hAnsi="仿宋" w:eastAsia="仿宋"/>
          <w:b w:val="0"/>
          <w:bCs/>
          <w:sz w:val="32"/>
          <w:szCs w:val="32"/>
        </w:rPr>
        <w:t xml:space="preserve"> </w:t>
      </w:r>
      <w:r>
        <w:rPr>
          <w:rStyle w:val="17"/>
          <w:rFonts w:hint="eastAsia" w:ascii="仿宋" w:hAnsi="仿宋" w:eastAsia="仿宋"/>
          <w:b w:val="0"/>
          <w:bCs/>
          <w:sz w:val="32"/>
          <w:szCs w:val="32"/>
        </w:rPr>
        <w:t>支出决算为</w:t>
      </w:r>
      <w:r>
        <w:rPr>
          <w:rStyle w:val="17"/>
          <w:rFonts w:hint="eastAsia" w:ascii="仿宋" w:hAnsi="仿宋" w:eastAsia="仿宋"/>
          <w:b w:val="0"/>
          <w:bCs/>
          <w:sz w:val="32"/>
          <w:szCs w:val="32"/>
          <w:lang w:val="en-US" w:eastAsia="zh-CN"/>
        </w:rPr>
        <w:t>0</w:t>
      </w:r>
      <w:r>
        <w:rPr>
          <w:rStyle w:val="17"/>
          <w:rFonts w:hint="eastAsia" w:ascii="仿宋" w:hAnsi="仿宋" w:eastAsia="仿宋"/>
          <w:b w:val="0"/>
          <w:bCs/>
          <w:sz w:val="32"/>
          <w:szCs w:val="32"/>
        </w:rPr>
        <w:t>万元，完成预算</w:t>
      </w:r>
      <w:r>
        <w:rPr>
          <w:rStyle w:val="17"/>
          <w:rFonts w:hint="eastAsia" w:ascii="仿宋" w:hAnsi="仿宋" w:eastAsia="仿宋"/>
          <w:b w:val="0"/>
          <w:bCs/>
          <w:sz w:val="32"/>
          <w:szCs w:val="32"/>
          <w:lang w:val="en-US" w:eastAsia="zh-CN"/>
        </w:rPr>
        <w:t>100.0</w:t>
      </w:r>
      <w:r>
        <w:rPr>
          <w:rStyle w:val="17"/>
          <w:rFonts w:ascii="仿宋" w:hAnsi="仿宋" w:eastAsia="仿宋"/>
          <w:b w:val="0"/>
          <w:bCs/>
          <w:sz w:val="32"/>
          <w:szCs w:val="32"/>
        </w:rPr>
        <w:t>%</w:t>
      </w:r>
      <w:r>
        <w:rPr>
          <w:rStyle w:val="17"/>
          <w:rFonts w:hint="eastAsia" w:ascii="仿宋" w:hAnsi="仿宋" w:eastAsia="仿宋"/>
          <w:b w:val="0"/>
          <w:bCs/>
          <w:sz w:val="32"/>
          <w:szCs w:val="32"/>
        </w:rPr>
        <w:t>，决算数等于预算数的主要原因是</w:t>
      </w:r>
      <w:r>
        <w:rPr>
          <w:rStyle w:val="17"/>
          <w:rFonts w:hint="eastAsia" w:ascii="仿宋" w:hAnsi="仿宋" w:eastAsia="仿宋"/>
          <w:b w:val="0"/>
          <w:bCs/>
          <w:sz w:val="32"/>
          <w:szCs w:val="32"/>
          <w:lang w:eastAsia="zh-CN"/>
        </w:rPr>
        <w:t>严格按照年初预算数执行</w:t>
      </w:r>
      <w:r>
        <w:rPr>
          <w:rStyle w:val="17"/>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7"/>
          <w:rFonts w:ascii="仿宋" w:hAnsi="仿宋" w:eastAsia="仿宋"/>
          <w:bCs/>
          <w:sz w:val="32"/>
          <w:szCs w:val="32"/>
        </w:rPr>
        <w:t>4.</w:t>
      </w:r>
      <w:r>
        <w:rPr>
          <w:rStyle w:val="17"/>
          <w:rFonts w:hint="eastAsia" w:ascii="仿宋" w:hAnsi="仿宋" w:eastAsia="仿宋"/>
          <w:bCs/>
          <w:sz w:val="32"/>
          <w:szCs w:val="32"/>
        </w:rPr>
        <w:t>文化旅游体育与传媒（类）</w:t>
      </w:r>
      <w:r>
        <w:rPr>
          <w:rStyle w:val="17"/>
          <w:rFonts w:ascii="仿宋" w:hAnsi="仿宋" w:eastAsia="仿宋"/>
          <w:bCs/>
          <w:sz w:val="32"/>
          <w:szCs w:val="32"/>
        </w:rPr>
        <w:t>***</w:t>
      </w:r>
      <w:r>
        <w:rPr>
          <w:rStyle w:val="17"/>
          <w:rFonts w:hint="eastAsia" w:ascii="仿宋" w:hAnsi="仿宋" w:eastAsia="仿宋"/>
          <w:bCs/>
          <w:sz w:val="32"/>
          <w:szCs w:val="32"/>
        </w:rPr>
        <w:t>（款）</w:t>
      </w:r>
      <w:r>
        <w:rPr>
          <w:rStyle w:val="17"/>
          <w:rFonts w:ascii="仿宋" w:hAnsi="仿宋" w:eastAsia="仿宋"/>
          <w:bCs/>
          <w:sz w:val="32"/>
          <w:szCs w:val="32"/>
        </w:rPr>
        <w:t>***</w:t>
      </w:r>
      <w:r>
        <w:rPr>
          <w:rStyle w:val="17"/>
          <w:rFonts w:hint="eastAsia" w:ascii="仿宋" w:hAnsi="仿宋" w:eastAsia="仿宋"/>
          <w:bCs/>
          <w:sz w:val="32"/>
          <w:szCs w:val="32"/>
        </w:rPr>
        <w:t>（项）</w:t>
      </w:r>
      <w:r>
        <w:rPr>
          <w:rStyle w:val="17"/>
          <w:rFonts w:ascii="仿宋" w:hAnsi="仿宋" w:eastAsia="仿宋"/>
          <w:bCs/>
          <w:sz w:val="32"/>
          <w:szCs w:val="32"/>
        </w:rPr>
        <w:t>:</w:t>
      </w:r>
      <w:r>
        <w:rPr>
          <w:rStyle w:val="17"/>
          <w:rFonts w:ascii="仿宋" w:hAnsi="仿宋" w:eastAsia="仿宋"/>
          <w:b w:val="0"/>
          <w:bCs/>
          <w:sz w:val="32"/>
          <w:szCs w:val="32"/>
        </w:rPr>
        <w:t xml:space="preserve"> </w:t>
      </w:r>
      <w:r>
        <w:rPr>
          <w:rStyle w:val="17"/>
          <w:rFonts w:hint="eastAsia" w:ascii="仿宋" w:hAnsi="仿宋" w:eastAsia="仿宋"/>
          <w:b w:val="0"/>
          <w:bCs/>
          <w:sz w:val="32"/>
          <w:szCs w:val="32"/>
        </w:rPr>
        <w:t>支出决算为</w:t>
      </w:r>
      <w:r>
        <w:rPr>
          <w:rStyle w:val="17"/>
          <w:rFonts w:hint="eastAsia" w:ascii="仿宋" w:hAnsi="仿宋" w:eastAsia="仿宋"/>
          <w:b w:val="0"/>
          <w:bCs/>
          <w:sz w:val="32"/>
          <w:szCs w:val="32"/>
          <w:lang w:val="en-US" w:eastAsia="zh-CN"/>
        </w:rPr>
        <w:t>0</w:t>
      </w:r>
      <w:r>
        <w:rPr>
          <w:rStyle w:val="17"/>
          <w:rFonts w:hint="eastAsia" w:ascii="仿宋" w:hAnsi="仿宋" w:eastAsia="仿宋"/>
          <w:b w:val="0"/>
          <w:bCs/>
          <w:sz w:val="32"/>
          <w:szCs w:val="32"/>
        </w:rPr>
        <w:t>万元，完成预算</w:t>
      </w:r>
      <w:r>
        <w:rPr>
          <w:rStyle w:val="17"/>
          <w:rFonts w:hint="eastAsia" w:ascii="仿宋" w:hAnsi="仿宋" w:eastAsia="仿宋"/>
          <w:b w:val="0"/>
          <w:bCs/>
          <w:sz w:val="32"/>
          <w:szCs w:val="32"/>
          <w:lang w:val="en-US" w:eastAsia="zh-CN"/>
        </w:rPr>
        <w:t>100.0</w:t>
      </w:r>
      <w:r>
        <w:rPr>
          <w:rStyle w:val="17"/>
          <w:rFonts w:ascii="仿宋" w:hAnsi="仿宋" w:eastAsia="仿宋"/>
          <w:b w:val="0"/>
          <w:bCs/>
          <w:sz w:val="32"/>
          <w:szCs w:val="32"/>
        </w:rPr>
        <w:t>%</w:t>
      </w:r>
      <w:r>
        <w:rPr>
          <w:rStyle w:val="17"/>
          <w:rFonts w:hint="eastAsia" w:ascii="仿宋" w:hAnsi="仿宋" w:eastAsia="仿宋"/>
          <w:b w:val="0"/>
          <w:bCs/>
          <w:sz w:val="32"/>
          <w:szCs w:val="32"/>
        </w:rPr>
        <w:t>，决算数等于预算数的主要原因是</w:t>
      </w:r>
      <w:r>
        <w:rPr>
          <w:rStyle w:val="17"/>
          <w:rFonts w:hint="eastAsia" w:ascii="仿宋" w:hAnsi="仿宋" w:eastAsia="仿宋"/>
          <w:b w:val="0"/>
          <w:bCs/>
          <w:sz w:val="32"/>
          <w:szCs w:val="32"/>
          <w:lang w:eastAsia="zh-CN"/>
        </w:rPr>
        <w:t>严格按照年初预算数执行</w:t>
      </w:r>
      <w:r>
        <w:rPr>
          <w:rStyle w:val="17"/>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7"/>
          <w:rFonts w:ascii="仿宋" w:hAnsi="仿宋" w:eastAsia="仿宋"/>
          <w:bCs/>
          <w:sz w:val="32"/>
          <w:szCs w:val="32"/>
        </w:rPr>
        <w:t>5.</w:t>
      </w:r>
      <w:r>
        <w:rPr>
          <w:rStyle w:val="17"/>
          <w:rFonts w:hint="eastAsia" w:ascii="仿宋" w:hAnsi="仿宋" w:eastAsia="仿宋"/>
          <w:bCs/>
          <w:sz w:val="32"/>
          <w:szCs w:val="32"/>
        </w:rPr>
        <w:t>社会保障和就业（类）</w:t>
      </w:r>
      <w:r>
        <w:rPr>
          <w:rStyle w:val="17"/>
          <w:rFonts w:hint="eastAsia" w:ascii="仿宋" w:hAnsi="仿宋" w:eastAsia="仿宋"/>
          <w:bCs/>
          <w:sz w:val="32"/>
          <w:szCs w:val="32"/>
          <w:lang w:val="en-US" w:eastAsia="zh-CN"/>
        </w:rPr>
        <w:t>208</w:t>
      </w:r>
      <w:r>
        <w:rPr>
          <w:rStyle w:val="17"/>
          <w:rFonts w:hint="eastAsia" w:ascii="仿宋" w:hAnsi="仿宋" w:eastAsia="仿宋"/>
          <w:bCs/>
          <w:sz w:val="32"/>
          <w:szCs w:val="32"/>
        </w:rPr>
        <w:t>（款）</w:t>
      </w:r>
      <w:r>
        <w:rPr>
          <w:rStyle w:val="17"/>
          <w:rFonts w:hint="eastAsia" w:ascii="仿宋" w:hAnsi="仿宋" w:eastAsia="仿宋"/>
          <w:bCs/>
          <w:sz w:val="32"/>
          <w:szCs w:val="32"/>
          <w:lang w:val="en-US" w:eastAsia="zh-CN"/>
        </w:rPr>
        <w:t>05</w:t>
      </w:r>
      <w:r>
        <w:rPr>
          <w:rStyle w:val="17"/>
          <w:rFonts w:hint="eastAsia" w:ascii="仿宋" w:hAnsi="仿宋" w:eastAsia="仿宋"/>
          <w:bCs/>
          <w:sz w:val="32"/>
          <w:szCs w:val="32"/>
        </w:rPr>
        <w:t>（项）</w:t>
      </w:r>
      <w:r>
        <w:rPr>
          <w:rStyle w:val="17"/>
          <w:rFonts w:hint="eastAsia" w:ascii="仿宋" w:hAnsi="仿宋" w:eastAsia="仿宋"/>
          <w:bCs/>
          <w:sz w:val="32"/>
          <w:szCs w:val="32"/>
          <w:lang w:val="en-US" w:eastAsia="zh-CN"/>
        </w:rPr>
        <w:t>05机关事业单位基本养老保险缴费支出</w:t>
      </w:r>
      <w:r>
        <w:rPr>
          <w:rStyle w:val="17"/>
          <w:rFonts w:ascii="仿宋" w:hAnsi="仿宋" w:eastAsia="仿宋"/>
          <w:bCs/>
          <w:sz w:val="32"/>
          <w:szCs w:val="32"/>
        </w:rPr>
        <w:t>:</w:t>
      </w:r>
      <w:r>
        <w:rPr>
          <w:rStyle w:val="17"/>
          <w:rFonts w:ascii="仿宋" w:hAnsi="仿宋" w:eastAsia="仿宋"/>
          <w:b w:val="0"/>
          <w:bCs/>
          <w:sz w:val="32"/>
          <w:szCs w:val="32"/>
        </w:rPr>
        <w:t xml:space="preserve"> </w:t>
      </w:r>
      <w:r>
        <w:rPr>
          <w:rStyle w:val="17"/>
          <w:rFonts w:hint="eastAsia" w:ascii="仿宋" w:hAnsi="仿宋" w:eastAsia="仿宋"/>
          <w:b w:val="0"/>
          <w:bCs/>
          <w:sz w:val="32"/>
          <w:szCs w:val="32"/>
        </w:rPr>
        <w:t>支出决算为</w:t>
      </w:r>
      <w:r>
        <w:rPr>
          <w:rStyle w:val="17"/>
          <w:rFonts w:hint="eastAsia" w:ascii="仿宋" w:hAnsi="仿宋" w:eastAsia="仿宋"/>
          <w:b w:val="0"/>
          <w:bCs/>
          <w:sz w:val="32"/>
          <w:szCs w:val="32"/>
          <w:lang w:val="en-US" w:eastAsia="zh-CN"/>
        </w:rPr>
        <w:t>16.87</w:t>
      </w:r>
      <w:r>
        <w:rPr>
          <w:rStyle w:val="17"/>
          <w:rFonts w:hint="eastAsia" w:ascii="仿宋" w:hAnsi="仿宋" w:eastAsia="仿宋"/>
          <w:b w:val="0"/>
          <w:bCs/>
          <w:sz w:val="32"/>
          <w:szCs w:val="32"/>
        </w:rPr>
        <w:t>万元，完成预算</w:t>
      </w:r>
      <w:r>
        <w:rPr>
          <w:rStyle w:val="17"/>
          <w:rFonts w:hint="eastAsia" w:ascii="仿宋" w:hAnsi="仿宋" w:eastAsia="仿宋"/>
          <w:b w:val="0"/>
          <w:bCs/>
          <w:sz w:val="32"/>
          <w:szCs w:val="32"/>
          <w:lang w:val="en-US" w:eastAsia="zh-CN"/>
        </w:rPr>
        <w:t>100.0</w:t>
      </w:r>
      <w:r>
        <w:rPr>
          <w:rStyle w:val="17"/>
          <w:rFonts w:ascii="仿宋" w:hAnsi="仿宋" w:eastAsia="仿宋"/>
          <w:b w:val="0"/>
          <w:bCs/>
          <w:sz w:val="32"/>
          <w:szCs w:val="32"/>
        </w:rPr>
        <w:t>%</w:t>
      </w:r>
      <w:r>
        <w:rPr>
          <w:rStyle w:val="17"/>
          <w:rFonts w:hint="eastAsia" w:ascii="仿宋" w:hAnsi="仿宋" w:eastAsia="仿宋"/>
          <w:b w:val="0"/>
          <w:bCs/>
          <w:sz w:val="32"/>
          <w:szCs w:val="32"/>
        </w:rPr>
        <w:t>，</w:t>
      </w:r>
      <w:r>
        <w:rPr>
          <w:rStyle w:val="17"/>
          <w:rFonts w:hint="eastAsia" w:ascii="仿宋" w:hAnsi="仿宋" w:eastAsia="仿宋"/>
          <w:bCs/>
          <w:sz w:val="32"/>
          <w:szCs w:val="32"/>
        </w:rPr>
        <w:t>社会保障和就业（类）</w:t>
      </w:r>
      <w:r>
        <w:rPr>
          <w:rStyle w:val="17"/>
          <w:rFonts w:hint="eastAsia" w:ascii="仿宋" w:hAnsi="仿宋" w:eastAsia="仿宋"/>
          <w:bCs/>
          <w:sz w:val="32"/>
          <w:szCs w:val="32"/>
          <w:lang w:val="en-US" w:eastAsia="zh-CN"/>
        </w:rPr>
        <w:t>208</w:t>
      </w:r>
      <w:r>
        <w:rPr>
          <w:rStyle w:val="17"/>
          <w:rFonts w:hint="eastAsia" w:ascii="仿宋" w:hAnsi="仿宋" w:eastAsia="仿宋"/>
          <w:bCs/>
          <w:sz w:val="32"/>
          <w:szCs w:val="32"/>
        </w:rPr>
        <w:t>（款）</w:t>
      </w:r>
      <w:r>
        <w:rPr>
          <w:rStyle w:val="17"/>
          <w:rFonts w:hint="eastAsia" w:ascii="仿宋" w:hAnsi="仿宋" w:eastAsia="仿宋"/>
          <w:bCs/>
          <w:sz w:val="32"/>
          <w:szCs w:val="32"/>
          <w:lang w:val="en-US" w:eastAsia="zh-CN"/>
        </w:rPr>
        <w:t>05</w:t>
      </w:r>
      <w:r>
        <w:rPr>
          <w:rStyle w:val="17"/>
          <w:rFonts w:hint="eastAsia" w:ascii="仿宋" w:hAnsi="仿宋" w:eastAsia="仿宋"/>
          <w:bCs/>
          <w:sz w:val="32"/>
          <w:szCs w:val="32"/>
        </w:rPr>
        <w:t>（项）</w:t>
      </w:r>
      <w:r>
        <w:rPr>
          <w:rStyle w:val="17"/>
          <w:rFonts w:hint="eastAsia" w:ascii="仿宋" w:hAnsi="仿宋" w:eastAsia="仿宋"/>
          <w:bCs/>
          <w:sz w:val="32"/>
          <w:szCs w:val="32"/>
          <w:lang w:val="en-US" w:eastAsia="zh-CN"/>
        </w:rPr>
        <w:t>06机关事业单位职业年金缴费支出</w:t>
      </w:r>
      <w:r>
        <w:rPr>
          <w:rStyle w:val="17"/>
          <w:rFonts w:ascii="仿宋" w:hAnsi="仿宋" w:eastAsia="仿宋"/>
          <w:bCs/>
          <w:sz w:val="32"/>
          <w:szCs w:val="32"/>
        </w:rPr>
        <w:t>:</w:t>
      </w:r>
      <w:r>
        <w:rPr>
          <w:rStyle w:val="17"/>
          <w:rFonts w:ascii="仿宋" w:hAnsi="仿宋" w:eastAsia="仿宋"/>
          <w:b w:val="0"/>
          <w:bCs/>
          <w:sz w:val="32"/>
          <w:szCs w:val="32"/>
        </w:rPr>
        <w:t xml:space="preserve"> </w:t>
      </w:r>
      <w:r>
        <w:rPr>
          <w:rStyle w:val="17"/>
          <w:rFonts w:hint="eastAsia" w:ascii="仿宋" w:hAnsi="仿宋" w:eastAsia="仿宋"/>
          <w:b w:val="0"/>
          <w:bCs/>
          <w:sz w:val="32"/>
          <w:szCs w:val="32"/>
        </w:rPr>
        <w:t>支出决算为</w:t>
      </w:r>
      <w:r>
        <w:rPr>
          <w:rStyle w:val="17"/>
          <w:rFonts w:hint="eastAsia" w:ascii="仿宋" w:hAnsi="仿宋" w:eastAsia="仿宋"/>
          <w:b w:val="0"/>
          <w:bCs/>
          <w:sz w:val="32"/>
          <w:szCs w:val="32"/>
          <w:lang w:val="en-US" w:eastAsia="zh-CN"/>
        </w:rPr>
        <w:t>5.21</w:t>
      </w:r>
      <w:r>
        <w:rPr>
          <w:rStyle w:val="17"/>
          <w:rFonts w:hint="eastAsia" w:ascii="仿宋" w:hAnsi="仿宋" w:eastAsia="仿宋"/>
          <w:b w:val="0"/>
          <w:bCs/>
          <w:sz w:val="32"/>
          <w:szCs w:val="32"/>
        </w:rPr>
        <w:t>万元，完成预算</w:t>
      </w:r>
      <w:r>
        <w:rPr>
          <w:rStyle w:val="17"/>
          <w:rFonts w:hint="eastAsia" w:ascii="仿宋" w:hAnsi="仿宋" w:eastAsia="仿宋"/>
          <w:b w:val="0"/>
          <w:bCs/>
          <w:sz w:val="32"/>
          <w:szCs w:val="32"/>
          <w:lang w:val="en-US" w:eastAsia="zh-CN"/>
        </w:rPr>
        <w:t>100.0</w:t>
      </w:r>
      <w:r>
        <w:rPr>
          <w:rStyle w:val="17"/>
          <w:rFonts w:ascii="仿宋" w:hAnsi="仿宋" w:eastAsia="仿宋"/>
          <w:b w:val="0"/>
          <w:bCs/>
          <w:sz w:val="32"/>
          <w:szCs w:val="32"/>
        </w:rPr>
        <w:t>%</w:t>
      </w:r>
      <w:r>
        <w:rPr>
          <w:rStyle w:val="17"/>
          <w:rFonts w:hint="eastAsia" w:ascii="仿宋" w:hAnsi="仿宋" w:eastAsia="仿宋"/>
          <w:b w:val="0"/>
          <w:bCs/>
          <w:sz w:val="32"/>
          <w:szCs w:val="32"/>
        </w:rPr>
        <w:t>，决算数等于预算数的主要原因是</w:t>
      </w:r>
      <w:r>
        <w:rPr>
          <w:rStyle w:val="17"/>
          <w:rFonts w:hint="eastAsia" w:ascii="仿宋" w:hAnsi="仿宋" w:eastAsia="仿宋"/>
          <w:b w:val="0"/>
          <w:bCs/>
          <w:sz w:val="32"/>
          <w:szCs w:val="32"/>
          <w:lang w:eastAsia="zh-CN"/>
        </w:rPr>
        <w:t>严格按照年初预算数执行</w:t>
      </w:r>
      <w:r>
        <w:rPr>
          <w:rStyle w:val="17"/>
          <w:rFonts w:hint="eastAsia" w:ascii="仿宋" w:hAnsi="仿宋" w:eastAsia="仿宋"/>
          <w:b w:val="0"/>
          <w:bCs/>
          <w:sz w:val="32"/>
          <w:szCs w:val="32"/>
        </w:rPr>
        <w:t>。</w:t>
      </w:r>
    </w:p>
    <w:p>
      <w:pPr>
        <w:spacing w:line="600" w:lineRule="exact"/>
        <w:ind w:firstLine="643" w:firstLineChars="200"/>
        <w:rPr>
          <w:rFonts w:ascii="仿宋" w:hAnsi="仿宋" w:eastAsia="仿宋"/>
          <w:b/>
          <w:sz w:val="32"/>
          <w:szCs w:val="32"/>
        </w:rPr>
      </w:pPr>
      <w:r>
        <w:rPr>
          <w:rStyle w:val="17"/>
          <w:rFonts w:ascii="仿宋" w:hAnsi="仿宋" w:eastAsia="仿宋"/>
          <w:bCs/>
          <w:sz w:val="32"/>
          <w:szCs w:val="32"/>
        </w:rPr>
        <w:t>6.</w:t>
      </w:r>
      <w:r>
        <w:rPr>
          <w:rFonts w:hint="eastAsia" w:ascii="仿宋" w:hAnsi="仿宋" w:eastAsia="仿宋"/>
          <w:b/>
          <w:bCs/>
          <w:sz w:val="32"/>
          <w:szCs w:val="32"/>
        </w:rPr>
        <w:t>卫生健康</w:t>
      </w:r>
      <w:r>
        <w:rPr>
          <w:rStyle w:val="17"/>
          <w:rFonts w:hint="eastAsia" w:ascii="仿宋" w:hAnsi="仿宋" w:eastAsia="仿宋"/>
          <w:bCs/>
          <w:sz w:val="32"/>
          <w:szCs w:val="32"/>
        </w:rPr>
        <w:t>（类）</w:t>
      </w:r>
      <w:r>
        <w:rPr>
          <w:rStyle w:val="17"/>
          <w:rFonts w:hint="eastAsia" w:ascii="仿宋" w:hAnsi="仿宋" w:eastAsia="仿宋"/>
          <w:bCs/>
          <w:sz w:val="32"/>
          <w:szCs w:val="32"/>
          <w:lang w:val="en-US" w:eastAsia="zh-CN"/>
        </w:rPr>
        <w:t>210</w:t>
      </w:r>
      <w:r>
        <w:rPr>
          <w:rStyle w:val="17"/>
          <w:rFonts w:hint="eastAsia" w:ascii="仿宋" w:hAnsi="仿宋" w:eastAsia="仿宋"/>
          <w:bCs/>
          <w:sz w:val="32"/>
          <w:szCs w:val="32"/>
        </w:rPr>
        <w:t>（款）</w:t>
      </w:r>
      <w:r>
        <w:rPr>
          <w:rStyle w:val="17"/>
          <w:rFonts w:hint="eastAsia" w:ascii="仿宋" w:hAnsi="仿宋" w:eastAsia="仿宋"/>
          <w:bCs/>
          <w:sz w:val="32"/>
          <w:szCs w:val="32"/>
          <w:lang w:val="en-US" w:eastAsia="zh-CN"/>
        </w:rPr>
        <w:t>03</w:t>
      </w:r>
      <w:r>
        <w:rPr>
          <w:rStyle w:val="17"/>
          <w:rFonts w:hint="eastAsia" w:ascii="仿宋" w:hAnsi="仿宋" w:eastAsia="仿宋"/>
          <w:bCs/>
          <w:sz w:val="32"/>
          <w:szCs w:val="32"/>
        </w:rPr>
        <w:t>（项）</w:t>
      </w:r>
      <w:r>
        <w:rPr>
          <w:rStyle w:val="17"/>
          <w:rFonts w:hint="eastAsia" w:ascii="仿宋" w:hAnsi="仿宋" w:eastAsia="仿宋"/>
          <w:bCs/>
          <w:sz w:val="32"/>
          <w:szCs w:val="32"/>
          <w:lang w:val="en-US" w:eastAsia="zh-CN"/>
        </w:rPr>
        <w:t>02乡镇卫生院</w:t>
      </w:r>
      <w:r>
        <w:rPr>
          <w:rStyle w:val="17"/>
          <w:rFonts w:ascii="仿宋" w:hAnsi="仿宋" w:eastAsia="仿宋"/>
          <w:bCs/>
          <w:sz w:val="32"/>
          <w:szCs w:val="32"/>
        </w:rPr>
        <w:t>:</w:t>
      </w:r>
      <w:r>
        <w:rPr>
          <w:rStyle w:val="17"/>
          <w:rFonts w:hint="eastAsia" w:ascii="仿宋" w:hAnsi="仿宋" w:eastAsia="仿宋"/>
          <w:b w:val="0"/>
          <w:bCs/>
          <w:sz w:val="32"/>
          <w:szCs w:val="32"/>
        </w:rPr>
        <w:t>支出决算为</w:t>
      </w:r>
      <w:r>
        <w:rPr>
          <w:rStyle w:val="17"/>
          <w:rFonts w:hint="eastAsia" w:ascii="仿宋" w:hAnsi="仿宋" w:eastAsia="仿宋"/>
          <w:b w:val="0"/>
          <w:bCs/>
          <w:sz w:val="32"/>
          <w:szCs w:val="32"/>
          <w:lang w:val="en-US" w:eastAsia="zh-CN"/>
        </w:rPr>
        <w:t>24.48</w:t>
      </w:r>
      <w:r>
        <w:rPr>
          <w:rStyle w:val="17"/>
          <w:rFonts w:hint="eastAsia" w:ascii="仿宋" w:hAnsi="仿宋" w:eastAsia="仿宋"/>
          <w:b w:val="0"/>
          <w:bCs/>
          <w:sz w:val="32"/>
          <w:szCs w:val="32"/>
        </w:rPr>
        <w:t>万元，完成预算</w:t>
      </w:r>
      <w:r>
        <w:rPr>
          <w:rStyle w:val="17"/>
          <w:rFonts w:hint="eastAsia" w:ascii="仿宋" w:hAnsi="仿宋" w:eastAsia="仿宋"/>
          <w:b w:val="0"/>
          <w:bCs/>
          <w:sz w:val="32"/>
          <w:szCs w:val="32"/>
          <w:lang w:val="en-US" w:eastAsia="zh-CN"/>
        </w:rPr>
        <w:t>100.0</w:t>
      </w:r>
      <w:r>
        <w:rPr>
          <w:rStyle w:val="17"/>
          <w:rFonts w:ascii="仿宋" w:hAnsi="仿宋" w:eastAsia="仿宋"/>
          <w:b w:val="0"/>
          <w:bCs/>
          <w:sz w:val="32"/>
          <w:szCs w:val="32"/>
        </w:rPr>
        <w:t>%</w:t>
      </w:r>
      <w:r>
        <w:rPr>
          <w:rStyle w:val="17"/>
          <w:rFonts w:hint="eastAsia" w:ascii="仿宋" w:hAnsi="仿宋" w:eastAsia="仿宋"/>
          <w:b w:val="0"/>
          <w:bCs/>
          <w:sz w:val="32"/>
          <w:szCs w:val="32"/>
        </w:rPr>
        <w:t>，</w:t>
      </w:r>
      <w:r>
        <w:rPr>
          <w:rFonts w:hint="eastAsia" w:ascii="仿宋" w:hAnsi="仿宋" w:eastAsia="仿宋"/>
          <w:b/>
          <w:bCs/>
          <w:sz w:val="32"/>
          <w:szCs w:val="32"/>
        </w:rPr>
        <w:t>卫生健康</w:t>
      </w:r>
      <w:r>
        <w:rPr>
          <w:rStyle w:val="17"/>
          <w:rFonts w:hint="eastAsia" w:ascii="仿宋" w:hAnsi="仿宋" w:eastAsia="仿宋"/>
          <w:bCs/>
          <w:sz w:val="32"/>
          <w:szCs w:val="32"/>
        </w:rPr>
        <w:t>（类）</w:t>
      </w:r>
      <w:r>
        <w:rPr>
          <w:rStyle w:val="17"/>
          <w:rFonts w:hint="eastAsia" w:ascii="仿宋" w:hAnsi="仿宋" w:eastAsia="仿宋"/>
          <w:bCs/>
          <w:sz w:val="32"/>
          <w:szCs w:val="32"/>
          <w:lang w:val="en-US" w:eastAsia="zh-CN"/>
        </w:rPr>
        <w:t>210</w:t>
      </w:r>
      <w:r>
        <w:rPr>
          <w:rStyle w:val="17"/>
          <w:rFonts w:hint="eastAsia" w:ascii="仿宋" w:hAnsi="仿宋" w:eastAsia="仿宋"/>
          <w:bCs/>
          <w:sz w:val="32"/>
          <w:szCs w:val="32"/>
        </w:rPr>
        <w:t>（款）</w:t>
      </w:r>
      <w:r>
        <w:rPr>
          <w:rStyle w:val="17"/>
          <w:rFonts w:hint="eastAsia" w:ascii="仿宋" w:hAnsi="仿宋" w:eastAsia="仿宋"/>
          <w:bCs/>
          <w:sz w:val="32"/>
          <w:szCs w:val="32"/>
          <w:lang w:val="en-US" w:eastAsia="zh-CN"/>
        </w:rPr>
        <w:t>01</w:t>
      </w:r>
      <w:r>
        <w:rPr>
          <w:rStyle w:val="17"/>
          <w:rFonts w:hint="eastAsia" w:ascii="仿宋" w:hAnsi="仿宋" w:eastAsia="仿宋"/>
          <w:bCs/>
          <w:sz w:val="32"/>
          <w:szCs w:val="32"/>
        </w:rPr>
        <w:t>（项）</w:t>
      </w:r>
      <w:r>
        <w:rPr>
          <w:rStyle w:val="17"/>
          <w:rFonts w:hint="eastAsia" w:ascii="仿宋" w:hAnsi="仿宋" w:eastAsia="仿宋"/>
          <w:bCs/>
          <w:sz w:val="32"/>
          <w:szCs w:val="32"/>
          <w:lang w:val="en-US" w:eastAsia="zh-CN"/>
        </w:rPr>
        <w:t>99其他卫生健康管理事务支出</w:t>
      </w:r>
      <w:r>
        <w:rPr>
          <w:rStyle w:val="17"/>
          <w:rFonts w:ascii="仿宋" w:hAnsi="仿宋" w:eastAsia="仿宋"/>
          <w:bCs/>
          <w:sz w:val="32"/>
          <w:szCs w:val="32"/>
        </w:rPr>
        <w:t>:</w:t>
      </w:r>
      <w:r>
        <w:rPr>
          <w:rStyle w:val="17"/>
          <w:rFonts w:hint="eastAsia" w:ascii="仿宋" w:hAnsi="仿宋" w:eastAsia="仿宋"/>
          <w:b w:val="0"/>
          <w:bCs/>
          <w:sz w:val="32"/>
          <w:szCs w:val="32"/>
        </w:rPr>
        <w:t>支出决算为</w:t>
      </w:r>
      <w:r>
        <w:rPr>
          <w:rStyle w:val="17"/>
          <w:rFonts w:hint="eastAsia" w:ascii="仿宋" w:hAnsi="仿宋" w:eastAsia="仿宋"/>
          <w:b w:val="0"/>
          <w:bCs/>
          <w:sz w:val="32"/>
          <w:szCs w:val="32"/>
          <w:lang w:val="en-US" w:eastAsia="zh-CN"/>
        </w:rPr>
        <w:t>0</w:t>
      </w:r>
      <w:r>
        <w:rPr>
          <w:rStyle w:val="17"/>
          <w:rFonts w:hint="eastAsia" w:ascii="仿宋" w:hAnsi="仿宋" w:eastAsia="仿宋"/>
          <w:b w:val="0"/>
          <w:bCs/>
          <w:sz w:val="32"/>
          <w:szCs w:val="32"/>
        </w:rPr>
        <w:t>万元，完成预算</w:t>
      </w:r>
      <w:r>
        <w:rPr>
          <w:rStyle w:val="17"/>
          <w:rFonts w:hint="eastAsia" w:ascii="仿宋" w:hAnsi="仿宋" w:eastAsia="仿宋"/>
          <w:b w:val="0"/>
          <w:bCs/>
          <w:sz w:val="32"/>
          <w:szCs w:val="32"/>
          <w:lang w:val="en-US" w:eastAsia="zh-CN"/>
        </w:rPr>
        <w:t>100.0</w:t>
      </w:r>
      <w:r>
        <w:rPr>
          <w:rStyle w:val="17"/>
          <w:rFonts w:ascii="仿宋" w:hAnsi="仿宋" w:eastAsia="仿宋"/>
          <w:b w:val="0"/>
          <w:bCs/>
          <w:sz w:val="32"/>
          <w:szCs w:val="32"/>
        </w:rPr>
        <w:t>%</w:t>
      </w:r>
      <w:r>
        <w:rPr>
          <w:rStyle w:val="17"/>
          <w:rFonts w:hint="eastAsia" w:ascii="仿宋" w:hAnsi="仿宋" w:eastAsia="仿宋"/>
          <w:b w:val="0"/>
          <w:bCs/>
          <w:sz w:val="32"/>
          <w:szCs w:val="32"/>
        </w:rPr>
        <w:t>，</w:t>
      </w:r>
      <w:r>
        <w:rPr>
          <w:rFonts w:hint="eastAsia" w:ascii="仿宋" w:hAnsi="仿宋" w:eastAsia="仿宋"/>
          <w:b/>
          <w:bCs/>
          <w:sz w:val="32"/>
          <w:szCs w:val="32"/>
        </w:rPr>
        <w:t>卫生健康</w:t>
      </w:r>
      <w:r>
        <w:rPr>
          <w:rStyle w:val="17"/>
          <w:rFonts w:hint="eastAsia" w:ascii="仿宋" w:hAnsi="仿宋" w:eastAsia="仿宋"/>
          <w:bCs/>
          <w:sz w:val="32"/>
          <w:szCs w:val="32"/>
        </w:rPr>
        <w:t>（类）</w:t>
      </w:r>
      <w:r>
        <w:rPr>
          <w:rStyle w:val="17"/>
          <w:rFonts w:hint="eastAsia" w:ascii="仿宋" w:hAnsi="仿宋" w:eastAsia="仿宋"/>
          <w:bCs/>
          <w:sz w:val="32"/>
          <w:szCs w:val="32"/>
          <w:lang w:val="en-US" w:eastAsia="zh-CN"/>
        </w:rPr>
        <w:t>210</w:t>
      </w:r>
      <w:r>
        <w:rPr>
          <w:rStyle w:val="17"/>
          <w:rFonts w:hint="eastAsia" w:ascii="仿宋" w:hAnsi="仿宋" w:eastAsia="仿宋"/>
          <w:bCs/>
          <w:sz w:val="32"/>
          <w:szCs w:val="32"/>
        </w:rPr>
        <w:t>（款）</w:t>
      </w:r>
      <w:r>
        <w:rPr>
          <w:rStyle w:val="17"/>
          <w:rFonts w:hint="eastAsia" w:ascii="仿宋" w:hAnsi="仿宋" w:eastAsia="仿宋"/>
          <w:bCs/>
          <w:sz w:val="32"/>
          <w:szCs w:val="32"/>
          <w:lang w:val="en-US" w:eastAsia="zh-CN"/>
        </w:rPr>
        <w:t>03</w:t>
      </w:r>
      <w:r>
        <w:rPr>
          <w:rStyle w:val="17"/>
          <w:rFonts w:hint="eastAsia" w:ascii="仿宋" w:hAnsi="仿宋" w:eastAsia="仿宋"/>
          <w:bCs/>
          <w:sz w:val="32"/>
          <w:szCs w:val="32"/>
        </w:rPr>
        <w:t>（项）</w:t>
      </w:r>
      <w:r>
        <w:rPr>
          <w:rStyle w:val="17"/>
          <w:rFonts w:hint="eastAsia" w:ascii="仿宋" w:hAnsi="仿宋" w:eastAsia="仿宋"/>
          <w:bCs/>
          <w:sz w:val="32"/>
          <w:szCs w:val="32"/>
          <w:lang w:val="en-US" w:eastAsia="zh-CN"/>
        </w:rPr>
        <w:t>99其他基层医疗卫生机构支出</w:t>
      </w:r>
      <w:r>
        <w:rPr>
          <w:rStyle w:val="17"/>
          <w:rFonts w:ascii="仿宋" w:hAnsi="仿宋" w:eastAsia="仿宋"/>
          <w:bCs/>
          <w:sz w:val="32"/>
          <w:szCs w:val="32"/>
        </w:rPr>
        <w:t>:</w:t>
      </w:r>
      <w:r>
        <w:rPr>
          <w:rStyle w:val="17"/>
          <w:rFonts w:hint="eastAsia" w:ascii="仿宋" w:hAnsi="仿宋" w:eastAsia="仿宋"/>
          <w:b w:val="0"/>
          <w:bCs/>
          <w:sz w:val="32"/>
          <w:szCs w:val="32"/>
        </w:rPr>
        <w:t>支出决算为</w:t>
      </w:r>
      <w:r>
        <w:rPr>
          <w:rStyle w:val="17"/>
          <w:rFonts w:hint="eastAsia" w:ascii="仿宋" w:hAnsi="仿宋" w:eastAsia="仿宋"/>
          <w:b w:val="0"/>
          <w:bCs/>
          <w:sz w:val="32"/>
          <w:szCs w:val="32"/>
          <w:lang w:val="en-US" w:eastAsia="zh-CN"/>
        </w:rPr>
        <w:t>5.08</w:t>
      </w:r>
      <w:r>
        <w:rPr>
          <w:rStyle w:val="17"/>
          <w:rFonts w:hint="eastAsia" w:ascii="仿宋" w:hAnsi="仿宋" w:eastAsia="仿宋"/>
          <w:b w:val="0"/>
          <w:bCs/>
          <w:sz w:val="32"/>
          <w:szCs w:val="32"/>
        </w:rPr>
        <w:t>万元，完成预算</w:t>
      </w:r>
      <w:r>
        <w:rPr>
          <w:rStyle w:val="17"/>
          <w:rFonts w:hint="eastAsia" w:ascii="仿宋" w:hAnsi="仿宋" w:eastAsia="仿宋"/>
          <w:b w:val="0"/>
          <w:bCs/>
          <w:sz w:val="32"/>
          <w:szCs w:val="32"/>
          <w:lang w:val="en-US" w:eastAsia="zh-CN"/>
        </w:rPr>
        <w:t>100.0</w:t>
      </w:r>
      <w:r>
        <w:rPr>
          <w:rStyle w:val="17"/>
          <w:rFonts w:ascii="仿宋" w:hAnsi="仿宋" w:eastAsia="仿宋"/>
          <w:b w:val="0"/>
          <w:bCs/>
          <w:sz w:val="32"/>
          <w:szCs w:val="32"/>
        </w:rPr>
        <w:t>%</w:t>
      </w:r>
      <w:r>
        <w:rPr>
          <w:rStyle w:val="17"/>
          <w:rFonts w:hint="eastAsia" w:ascii="仿宋" w:hAnsi="仿宋" w:eastAsia="仿宋"/>
          <w:b w:val="0"/>
          <w:bCs/>
          <w:sz w:val="32"/>
          <w:szCs w:val="32"/>
        </w:rPr>
        <w:t>，</w:t>
      </w:r>
      <w:r>
        <w:rPr>
          <w:rFonts w:hint="eastAsia" w:ascii="仿宋" w:hAnsi="仿宋" w:eastAsia="仿宋"/>
          <w:b/>
          <w:bCs/>
          <w:sz w:val="32"/>
          <w:szCs w:val="32"/>
        </w:rPr>
        <w:t>卫生健康</w:t>
      </w:r>
      <w:r>
        <w:rPr>
          <w:rStyle w:val="17"/>
          <w:rFonts w:hint="eastAsia" w:ascii="仿宋" w:hAnsi="仿宋" w:eastAsia="仿宋"/>
          <w:bCs/>
          <w:sz w:val="32"/>
          <w:szCs w:val="32"/>
        </w:rPr>
        <w:t>（类）</w:t>
      </w:r>
      <w:r>
        <w:rPr>
          <w:rStyle w:val="17"/>
          <w:rFonts w:hint="eastAsia" w:ascii="仿宋" w:hAnsi="仿宋" w:eastAsia="仿宋"/>
          <w:bCs/>
          <w:sz w:val="32"/>
          <w:szCs w:val="32"/>
          <w:lang w:val="en-US" w:eastAsia="zh-CN"/>
        </w:rPr>
        <w:t>210</w:t>
      </w:r>
      <w:r>
        <w:rPr>
          <w:rStyle w:val="17"/>
          <w:rFonts w:hint="eastAsia" w:ascii="仿宋" w:hAnsi="仿宋" w:eastAsia="仿宋"/>
          <w:bCs/>
          <w:sz w:val="32"/>
          <w:szCs w:val="32"/>
        </w:rPr>
        <w:t>（款）</w:t>
      </w:r>
      <w:r>
        <w:rPr>
          <w:rStyle w:val="17"/>
          <w:rFonts w:hint="eastAsia" w:ascii="仿宋" w:hAnsi="仿宋" w:eastAsia="仿宋"/>
          <w:bCs/>
          <w:sz w:val="32"/>
          <w:szCs w:val="32"/>
          <w:lang w:val="en-US" w:eastAsia="zh-CN"/>
        </w:rPr>
        <w:t>04</w:t>
      </w:r>
      <w:r>
        <w:rPr>
          <w:rStyle w:val="17"/>
          <w:rFonts w:hint="eastAsia" w:ascii="仿宋" w:hAnsi="仿宋" w:eastAsia="仿宋"/>
          <w:bCs/>
          <w:sz w:val="32"/>
          <w:szCs w:val="32"/>
        </w:rPr>
        <w:t>（项）</w:t>
      </w:r>
      <w:r>
        <w:rPr>
          <w:rStyle w:val="17"/>
          <w:rFonts w:hint="eastAsia" w:ascii="仿宋" w:hAnsi="仿宋" w:eastAsia="仿宋"/>
          <w:bCs/>
          <w:sz w:val="32"/>
          <w:szCs w:val="32"/>
          <w:lang w:val="en-US" w:eastAsia="zh-CN"/>
        </w:rPr>
        <w:t>08基本公共卫生服务</w:t>
      </w:r>
      <w:r>
        <w:rPr>
          <w:rStyle w:val="17"/>
          <w:rFonts w:ascii="仿宋" w:hAnsi="仿宋" w:eastAsia="仿宋"/>
          <w:bCs/>
          <w:sz w:val="32"/>
          <w:szCs w:val="32"/>
        </w:rPr>
        <w:t>:</w:t>
      </w:r>
      <w:r>
        <w:rPr>
          <w:rStyle w:val="17"/>
          <w:rFonts w:hint="eastAsia" w:ascii="仿宋" w:hAnsi="仿宋" w:eastAsia="仿宋"/>
          <w:b w:val="0"/>
          <w:bCs/>
          <w:sz w:val="32"/>
          <w:szCs w:val="32"/>
        </w:rPr>
        <w:t>支出决算为</w:t>
      </w:r>
      <w:r>
        <w:rPr>
          <w:rStyle w:val="17"/>
          <w:rFonts w:hint="eastAsia" w:ascii="仿宋" w:hAnsi="仿宋" w:eastAsia="仿宋"/>
          <w:b w:val="0"/>
          <w:bCs/>
          <w:sz w:val="32"/>
          <w:szCs w:val="32"/>
          <w:lang w:val="en-US" w:eastAsia="zh-CN"/>
        </w:rPr>
        <w:t>44.73</w:t>
      </w:r>
      <w:r>
        <w:rPr>
          <w:rStyle w:val="17"/>
          <w:rFonts w:hint="eastAsia" w:ascii="仿宋" w:hAnsi="仿宋" w:eastAsia="仿宋"/>
          <w:b w:val="0"/>
          <w:bCs/>
          <w:sz w:val="32"/>
          <w:szCs w:val="32"/>
        </w:rPr>
        <w:t>万元，完成预算</w:t>
      </w:r>
      <w:r>
        <w:rPr>
          <w:rStyle w:val="17"/>
          <w:rFonts w:hint="eastAsia" w:ascii="仿宋" w:hAnsi="仿宋" w:eastAsia="仿宋"/>
          <w:b w:val="0"/>
          <w:bCs/>
          <w:sz w:val="32"/>
          <w:szCs w:val="32"/>
          <w:lang w:val="en-US" w:eastAsia="zh-CN"/>
        </w:rPr>
        <w:t>100.0</w:t>
      </w:r>
      <w:r>
        <w:rPr>
          <w:rStyle w:val="17"/>
          <w:rFonts w:ascii="仿宋" w:hAnsi="仿宋" w:eastAsia="仿宋"/>
          <w:b w:val="0"/>
          <w:bCs/>
          <w:sz w:val="32"/>
          <w:szCs w:val="32"/>
        </w:rPr>
        <w:t>%</w:t>
      </w:r>
      <w:r>
        <w:rPr>
          <w:rStyle w:val="17"/>
          <w:rFonts w:hint="eastAsia" w:ascii="仿宋" w:hAnsi="仿宋" w:eastAsia="仿宋"/>
          <w:b w:val="0"/>
          <w:bCs/>
          <w:sz w:val="32"/>
          <w:szCs w:val="32"/>
        </w:rPr>
        <w:t>，</w:t>
      </w:r>
      <w:r>
        <w:rPr>
          <w:rFonts w:hint="eastAsia" w:ascii="仿宋" w:hAnsi="仿宋" w:eastAsia="仿宋"/>
          <w:b/>
          <w:bCs/>
          <w:sz w:val="32"/>
          <w:szCs w:val="32"/>
        </w:rPr>
        <w:t>卫生健康</w:t>
      </w:r>
      <w:r>
        <w:rPr>
          <w:rStyle w:val="17"/>
          <w:rFonts w:hint="eastAsia" w:ascii="仿宋" w:hAnsi="仿宋" w:eastAsia="仿宋"/>
          <w:bCs/>
          <w:sz w:val="32"/>
          <w:szCs w:val="32"/>
        </w:rPr>
        <w:t>（类）</w:t>
      </w:r>
      <w:r>
        <w:rPr>
          <w:rStyle w:val="17"/>
          <w:rFonts w:hint="eastAsia" w:ascii="仿宋" w:hAnsi="仿宋" w:eastAsia="仿宋"/>
          <w:bCs/>
          <w:sz w:val="32"/>
          <w:szCs w:val="32"/>
          <w:lang w:val="en-US" w:eastAsia="zh-CN"/>
        </w:rPr>
        <w:t>210</w:t>
      </w:r>
      <w:r>
        <w:rPr>
          <w:rStyle w:val="17"/>
          <w:rFonts w:hint="eastAsia" w:ascii="仿宋" w:hAnsi="仿宋" w:eastAsia="仿宋"/>
          <w:bCs/>
          <w:sz w:val="32"/>
          <w:szCs w:val="32"/>
        </w:rPr>
        <w:t>（款）</w:t>
      </w:r>
      <w:r>
        <w:rPr>
          <w:rStyle w:val="17"/>
          <w:rFonts w:hint="eastAsia" w:ascii="仿宋" w:hAnsi="仿宋" w:eastAsia="仿宋"/>
          <w:bCs/>
          <w:sz w:val="32"/>
          <w:szCs w:val="32"/>
          <w:lang w:val="en-US" w:eastAsia="zh-CN"/>
        </w:rPr>
        <w:t>04</w:t>
      </w:r>
      <w:r>
        <w:rPr>
          <w:rStyle w:val="17"/>
          <w:rFonts w:hint="eastAsia" w:ascii="仿宋" w:hAnsi="仿宋" w:eastAsia="仿宋"/>
          <w:bCs/>
          <w:sz w:val="32"/>
          <w:szCs w:val="32"/>
        </w:rPr>
        <w:t>（项）</w:t>
      </w:r>
      <w:r>
        <w:rPr>
          <w:rStyle w:val="17"/>
          <w:rFonts w:hint="eastAsia" w:ascii="仿宋" w:hAnsi="仿宋" w:eastAsia="仿宋"/>
          <w:bCs/>
          <w:sz w:val="32"/>
          <w:szCs w:val="32"/>
          <w:lang w:val="en-US" w:eastAsia="zh-CN"/>
        </w:rPr>
        <w:t>09重大公共卫生服务</w:t>
      </w:r>
      <w:r>
        <w:rPr>
          <w:rStyle w:val="17"/>
          <w:rFonts w:ascii="仿宋" w:hAnsi="仿宋" w:eastAsia="仿宋"/>
          <w:bCs/>
          <w:sz w:val="32"/>
          <w:szCs w:val="32"/>
        </w:rPr>
        <w:t>:</w:t>
      </w:r>
      <w:r>
        <w:rPr>
          <w:rStyle w:val="17"/>
          <w:rFonts w:hint="eastAsia" w:ascii="仿宋" w:hAnsi="仿宋" w:eastAsia="仿宋"/>
          <w:b w:val="0"/>
          <w:bCs/>
          <w:sz w:val="32"/>
          <w:szCs w:val="32"/>
        </w:rPr>
        <w:t>支出决算为</w:t>
      </w:r>
      <w:r>
        <w:rPr>
          <w:rStyle w:val="17"/>
          <w:rFonts w:hint="eastAsia" w:ascii="仿宋" w:hAnsi="仿宋" w:eastAsia="仿宋"/>
          <w:b w:val="0"/>
          <w:bCs/>
          <w:sz w:val="32"/>
          <w:szCs w:val="32"/>
          <w:lang w:val="en-US" w:eastAsia="zh-CN"/>
        </w:rPr>
        <w:t>13.14</w:t>
      </w:r>
      <w:r>
        <w:rPr>
          <w:rStyle w:val="17"/>
          <w:rFonts w:hint="eastAsia" w:ascii="仿宋" w:hAnsi="仿宋" w:eastAsia="仿宋"/>
          <w:b w:val="0"/>
          <w:bCs/>
          <w:sz w:val="32"/>
          <w:szCs w:val="32"/>
        </w:rPr>
        <w:t>万元，完成预算</w:t>
      </w:r>
      <w:r>
        <w:rPr>
          <w:rStyle w:val="17"/>
          <w:rFonts w:hint="eastAsia" w:ascii="仿宋" w:hAnsi="仿宋" w:eastAsia="仿宋"/>
          <w:b w:val="0"/>
          <w:bCs/>
          <w:sz w:val="32"/>
          <w:szCs w:val="32"/>
          <w:lang w:val="en-US" w:eastAsia="zh-CN"/>
        </w:rPr>
        <w:t>100.0</w:t>
      </w:r>
      <w:r>
        <w:rPr>
          <w:rStyle w:val="17"/>
          <w:rFonts w:ascii="仿宋" w:hAnsi="仿宋" w:eastAsia="仿宋"/>
          <w:b w:val="0"/>
          <w:bCs/>
          <w:sz w:val="32"/>
          <w:szCs w:val="32"/>
        </w:rPr>
        <w:t>%</w:t>
      </w:r>
      <w:r>
        <w:rPr>
          <w:rStyle w:val="17"/>
          <w:rFonts w:hint="eastAsia" w:ascii="仿宋" w:hAnsi="仿宋" w:eastAsia="仿宋"/>
          <w:b w:val="0"/>
          <w:bCs/>
          <w:sz w:val="32"/>
          <w:szCs w:val="32"/>
        </w:rPr>
        <w:t>，决算数等于预算数的主要原因是</w:t>
      </w:r>
      <w:r>
        <w:rPr>
          <w:rStyle w:val="17"/>
          <w:rFonts w:hint="eastAsia" w:ascii="仿宋" w:hAnsi="仿宋" w:eastAsia="仿宋"/>
          <w:b w:val="0"/>
          <w:bCs/>
          <w:sz w:val="32"/>
          <w:szCs w:val="32"/>
          <w:lang w:eastAsia="zh-CN"/>
        </w:rPr>
        <w:t>严格按照年初预算数执行</w:t>
      </w:r>
      <w:r>
        <w:rPr>
          <w:rStyle w:val="17"/>
          <w:rFonts w:hint="eastAsia" w:ascii="仿宋" w:hAnsi="仿宋" w:eastAsia="仿宋"/>
          <w:b w:val="0"/>
          <w:bCs/>
          <w:sz w:val="32"/>
          <w:szCs w:val="32"/>
        </w:rPr>
        <w:t>。</w:t>
      </w:r>
    </w:p>
    <w:p>
      <w:pPr>
        <w:tabs>
          <w:tab w:val="right" w:pos="8306"/>
        </w:tabs>
        <w:spacing w:line="600" w:lineRule="exact"/>
        <w:ind w:firstLine="640"/>
        <w:outlineLvl w:val="1"/>
        <w:rPr>
          <w:rStyle w:val="29"/>
        </w:rPr>
      </w:pPr>
      <w:bookmarkStart w:id="36" w:name="_Toc15396608"/>
      <w:bookmarkStart w:id="37" w:name="_Toc1537721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9"/>
          <w:rFonts w:hint="eastAsia" w:ascii="黑体" w:hAnsi="黑体" w:eastAsia="黑体"/>
          <w:b w:val="0"/>
        </w:rPr>
        <w:t>般公共预算财政拨款基本支出决算情况说明</w:t>
      </w:r>
      <w:bookmarkEnd w:id="36"/>
      <w:bookmarkEnd w:id="37"/>
      <w:r>
        <w:rPr>
          <w:rStyle w:val="29"/>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w:t>
      </w:r>
      <w:r>
        <w:rPr>
          <w:rFonts w:hint="eastAsia" w:ascii="仿宋" w:hAnsi="仿宋" w:eastAsia="仿宋"/>
          <w:sz w:val="32"/>
          <w:szCs w:val="32"/>
          <w:lang w:val="en-US" w:eastAsia="zh-CN"/>
        </w:rPr>
        <w:t>46.56</w:t>
      </w:r>
      <w:r>
        <w:rPr>
          <w:rFonts w:hint="eastAsia" w:ascii="仿宋" w:hAnsi="仿宋" w:eastAsia="仿宋"/>
          <w:sz w:val="32"/>
          <w:szCs w:val="32"/>
        </w:rPr>
        <w:t>万元，其中：</w:t>
      </w:r>
    </w:p>
    <w:p>
      <w:pPr>
        <w:spacing w:line="600" w:lineRule="exact"/>
        <w:ind w:firstLine="645"/>
        <w:rPr>
          <w:rFonts w:ascii="仿宋" w:hAnsi="仿宋" w:eastAsia="仿宋"/>
          <w:b/>
          <w:sz w:val="32"/>
          <w:szCs w:val="32"/>
        </w:rPr>
      </w:pPr>
      <w:r>
        <w:rPr>
          <w:rFonts w:hint="eastAsia" w:ascii="仿宋" w:hAnsi="仿宋" w:eastAsia="仿宋"/>
          <w:sz w:val="32"/>
          <w:szCs w:val="32"/>
        </w:rPr>
        <w:t>人员经费</w:t>
      </w:r>
      <w:r>
        <w:rPr>
          <w:rFonts w:hint="eastAsia" w:ascii="仿宋" w:hAnsi="仿宋" w:eastAsia="仿宋"/>
          <w:sz w:val="32"/>
          <w:szCs w:val="32"/>
          <w:lang w:val="en-US" w:eastAsia="zh-CN"/>
        </w:rPr>
        <w:t>46.56</w:t>
      </w:r>
      <w:r>
        <w:rPr>
          <w:rFonts w:hint="eastAsia" w:ascii="仿宋" w:hAnsi="仿宋" w:eastAsia="仿宋"/>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sz w:val="32"/>
          <w:szCs w:val="32"/>
        </w:rPr>
        <w:br w:type="textWrapping"/>
      </w:r>
      <w:r>
        <w:rPr>
          <w:rFonts w:hint="eastAsia" w:ascii="仿宋" w:hAnsi="仿宋" w:eastAsia="仿宋"/>
          <w:sz w:val="32"/>
          <w:szCs w:val="32"/>
        </w:rPr>
        <w:t>　　公用经费</w:t>
      </w:r>
      <w:r>
        <w:rPr>
          <w:rFonts w:hint="eastAsia" w:ascii="仿宋" w:hAnsi="仿宋" w:eastAsia="仿宋"/>
          <w:sz w:val="32"/>
          <w:szCs w:val="32"/>
          <w:lang w:val="en-US" w:eastAsia="zh-CN"/>
        </w:rPr>
        <w:t>0</w:t>
      </w:r>
      <w:r>
        <w:rPr>
          <w:rFonts w:hint="eastAsia" w:ascii="仿宋" w:hAnsi="仿宋" w:eastAsia="仿宋"/>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9"/>
          <w:rFonts w:ascii="黑体" w:hAnsi="黑体" w:eastAsia="黑体"/>
          <w:b w:val="0"/>
        </w:rPr>
      </w:pPr>
      <w:bookmarkStart w:id="38" w:name="_Toc15377215"/>
      <w:bookmarkStart w:id="39" w:name="_Toc15396609"/>
      <w:r>
        <w:rPr>
          <w:rFonts w:hint="eastAsia" w:ascii="黑体" w:eastAsia="黑体"/>
          <w:sz w:val="32"/>
          <w:szCs w:val="32"/>
        </w:rPr>
        <w:t>七、</w:t>
      </w:r>
      <w:r>
        <w:rPr>
          <w:rStyle w:val="29"/>
          <w:rFonts w:hint="eastAsia" w:ascii="黑体" w:hAnsi="黑体" w:eastAsia="黑体"/>
          <w:b w:val="0"/>
        </w:rPr>
        <w:t>财政拨款</w:t>
      </w:r>
      <w:r>
        <w:rPr>
          <w:rStyle w:val="29"/>
          <w:rFonts w:hint="eastAsia" w:ascii="黑体" w:hAnsi="黑体" w:eastAsia="黑体"/>
        </w:rPr>
        <w:t>“</w:t>
      </w:r>
      <w:r>
        <w:rPr>
          <w:rStyle w:val="29"/>
          <w:rFonts w:hint="eastAsia" w:ascii="黑体" w:hAnsi="黑体" w:eastAsia="黑体"/>
          <w:b w:val="0"/>
        </w:rPr>
        <w:t>三公”经费支出决算情况说明</w:t>
      </w:r>
      <w:bookmarkEnd w:id="38"/>
      <w:bookmarkEnd w:id="39"/>
    </w:p>
    <w:p>
      <w:pPr>
        <w:spacing w:line="600" w:lineRule="exact"/>
        <w:ind w:firstLine="640"/>
        <w:outlineLvl w:val="2"/>
        <w:rPr>
          <w:rFonts w:ascii="仿宋" w:hAnsi="仿宋" w:eastAsia="仿宋"/>
          <w:b/>
          <w:sz w:val="32"/>
          <w:szCs w:val="32"/>
        </w:rPr>
      </w:pPr>
      <w:bookmarkStart w:id="40" w:name="_Toc15377216"/>
      <w:r>
        <w:rPr>
          <w:rFonts w:hint="eastAsia" w:ascii="仿宋" w:hAnsi="仿宋" w:eastAsia="仿宋"/>
          <w:b/>
          <w:sz w:val="32"/>
          <w:szCs w:val="32"/>
        </w:rPr>
        <w:t>（一）“三公”经费财政拨款支出决算总体情况说明</w:t>
      </w:r>
      <w:bookmarkEnd w:id="40"/>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22年“三公”经费财政拨款支出决算为</w:t>
      </w:r>
      <w:r>
        <w:rPr>
          <w:rFonts w:hint="eastAsia" w:ascii="仿宋" w:hAnsi="仿宋" w:eastAsia="仿宋"/>
          <w:sz w:val="32"/>
          <w:szCs w:val="32"/>
          <w:lang w:val="en-US" w:eastAsia="zh-CN"/>
        </w:rPr>
        <w:t>0</w:t>
      </w:r>
      <w:r>
        <w:rPr>
          <w:rFonts w:hint="eastAsia" w:ascii="仿宋" w:hAnsi="仿宋" w:eastAsia="仿宋"/>
          <w:sz w:val="32"/>
          <w:szCs w:val="32"/>
        </w:rPr>
        <w:t>万元，完成预算</w:t>
      </w:r>
      <w:r>
        <w:rPr>
          <w:rFonts w:hint="eastAsia" w:ascii="仿宋" w:hAnsi="仿宋" w:eastAsia="仿宋"/>
          <w:sz w:val="32"/>
          <w:szCs w:val="32"/>
          <w:lang w:val="en-US" w:eastAsia="zh-CN"/>
        </w:rPr>
        <w:t>100.0</w:t>
      </w:r>
      <w:r>
        <w:rPr>
          <w:rFonts w:ascii="仿宋" w:hAnsi="仿宋" w:eastAsia="仿宋"/>
          <w:sz w:val="32"/>
          <w:szCs w:val="32"/>
        </w:rPr>
        <w:t>%</w:t>
      </w:r>
      <w:r>
        <w:rPr>
          <w:rFonts w:hint="eastAsia" w:ascii="仿宋" w:hAnsi="仿宋" w:eastAsia="仿宋"/>
          <w:sz w:val="32"/>
          <w:szCs w:val="32"/>
        </w:rPr>
        <w:t>，较上年增加/减少</w:t>
      </w:r>
      <w:r>
        <w:rPr>
          <w:rFonts w:hint="eastAsia" w:ascii="仿宋" w:hAnsi="仿宋" w:eastAsia="仿宋"/>
          <w:sz w:val="32"/>
          <w:szCs w:val="32"/>
          <w:lang w:val="en-US" w:eastAsia="zh-CN"/>
        </w:rPr>
        <w:t>0</w:t>
      </w:r>
      <w:r>
        <w:rPr>
          <w:rFonts w:hint="eastAsia" w:ascii="仿宋" w:hAnsi="仿宋" w:eastAsia="仿宋"/>
          <w:sz w:val="32"/>
          <w:szCs w:val="32"/>
        </w:rPr>
        <w:t>万元，增长/下降</w:t>
      </w:r>
      <w:r>
        <w:rPr>
          <w:rFonts w:hint="eastAsia" w:ascii="仿宋" w:hAnsi="仿宋" w:eastAsia="仿宋"/>
          <w:sz w:val="32"/>
          <w:szCs w:val="32"/>
          <w:lang w:val="en-US" w:eastAsia="zh-CN"/>
        </w:rPr>
        <w:t>0.0</w:t>
      </w:r>
      <w:r>
        <w:rPr>
          <w:rFonts w:hint="eastAsia" w:ascii="仿宋" w:hAnsi="仿宋" w:eastAsia="仿宋"/>
          <w:sz w:val="32"/>
          <w:szCs w:val="32"/>
        </w:rPr>
        <w:t>%。</w:t>
      </w:r>
      <w:r>
        <w:rPr>
          <w:rStyle w:val="17"/>
          <w:rFonts w:hint="eastAsia" w:ascii="仿宋" w:hAnsi="仿宋" w:eastAsia="仿宋"/>
          <w:b w:val="0"/>
          <w:bCs/>
          <w:sz w:val="32"/>
          <w:szCs w:val="32"/>
        </w:rPr>
        <w:t>决算数等于预算数的主要原因是</w:t>
      </w:r>
      <w:r>
        <w:rPr>
          <w:rStyle w:val="17"/>
          <w:rFonts w:hint="eastAsia" w:ascii="仿宋" w:hAnsi="仿宋" w:eastAsia="仿宋"/>
          <w:b w:val="0"/>
          <w:bCs/>
          <w:sz w:val="32"/>
          <w:szCs w:val="32"/>
          <w:lang w:eastAsia="zh-CN"/>
        </w:rPr>
        <w:t>严格按照年初预算数执行</w:t>
      </w:r>
      <w:r>
        <w:rPr>
          <w:rStyle w:val="17"/>
          <w:rFonts w:hint="eastAsia" w:ascii="仿宋" w:hAnsi="仿宋" w:eastAsia="仿宋"/>
          <w:b w:val="0"/>
          <w:bCs/>
          <w:sz w:val="32"/>
          <w:szCs w:val="32"/>
        </w:rPr>
        <w:t>。</w:t>
      </w:r>
    </w:p>
    <w:p>
      <w:pPr>
        <w:spacing w:line="600" w:lineRule="exact"/>
        <w:ind w:firstLine="640"/>
        <w:outlineLvl w:val="2"/>
        <w:rPr>
          <w:rFonts w:ascii="仿宋" w:hAnsi="仿宋" w:eastAsia="仿宋"/>
          <w:b/>
          <w:sz w:val="32"/>
          <w:szCs w:val="32"/>
        </w:rPr>
      </w:pPr>
      <w:bookmarkStart w:id="41" w:name="_Toc15377217"/>
      <w:r>
        <w:rPr>
          <w:rFonts w:hint="eastAsia" w:ascii="仿宋" w:hAnsi="仿宋" w:eastAsia="仿宋"/>
          <w:b/>
          <w:sz w:val="32"/>
          <w:szCs w:val="32"/>
        </w:rPr>
        <w:t>（二）“三公”经费财政拨款支出决算具体情况说明</w:t>
      </w:r>
      <w:bookmarkEnd w:id="41"/>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100.0</w:t>
      </w:r>
      <w:r>
        <w:rPr>
          <w:rFonts w:ascii="仿宋" w:hAnsi="仿宋" w:eastAsia="仿宋"/>
          <w:sz w:val="32"/>
          <w:szCs w:val="32"/>
        </w:rPr>
        <w:t>%</w:t>
      </w:r>
      <w:r>
        <w:rPr>
          <w:rFonts w:hint="eastAsia" w:ascii="仿宋" w:hAnsi="仿宋" w:eastAsia="仿宋"/>
          <w:sz w:val="32"/>
          <w:szCs w:val="32"/>
        </w:rPr>
        <w:t>；公务用车购置及运行维护费支出决算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100.0</w:t>
      </w:r>
      <w:r>
        <w:rPr>
          <w:rFonts w:ascii="仿宋" w:hAnsi="仿宋" w:eastAsia="仿宋"/>
          <w:sz w:val="32"/>
          <w:szCs w:val="32"/>
        </w:rPr>
        <w:t>%</w:t>
      </w:r>
      <w:r>
        <w:rPr>
          <w:rFonts w:hint="eastAsia" w:ascii="仿宋" w:hAnsi="仿宋" w:eastAsia="仿宋"/>
          <w:sz w:val="32"/>
          <w:szCs w:val="32"/>
        </w:rPr>
        <w:t>；公务接待费支出决算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100.0</w:t>
      </w:r>
      <w:r>
        <w:rPr>
          <w:rFonts w:ascii="仿宋" w:hAnsi="仿宋" w:eastAsia="仿宋"/>
          <w:sz w:val="32"/>
          <w:szCs w:val="32"/>
        </w:rPr>
        <w:t>%</w:t>
      </w:r>
      <w:r>
        <w:rPr>
          <w:rFonts w:hint="eastAsia" w:ascii="仿宋" w:hAnsi="仿宋" w:eastAsia="仿宋"/>
          <w:sz w:val="32"/>
          <w:szCs w:val="32"/>
        </w:rPr>
        <w:t>。具体情况如下：</w:t>
      </w:r>
    </w:p>
    <w:p>
      <w:pPr>
        <w:spacing w:line="600" w:lineRule="exact"/>
        <w:ind w:firstLine="640"/>
        <w:rPr>
          <w:rFonts w:ascii="仿宋_GB2312" w:eastAsia="仿宋_GB2312"/>
          <w:b/>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Style w:val="17"/>
          <w:rFonts w:hint="eastAsia" w:ascii="仿宋" w:hAnsi="仿宋" w:eastAsia="仿宋"/>
          <w:b w:val="0"/>
          <w:bCs/>
          <w:sz w:val="32"/>
          <w:szCs w:val="32"/>
        </w:rPr>
        <w:t>完成预算</w:t>
      </w:r>
      <w:r>
        <w:rPr>
          <w:rStyle w:val="17"/>
          <w:rFonts w:hint="eastAsia" w:ascii="仿宋" w:hAnsi="仿宋" w:eastAsia="仿宋"/>
          <w:b w:val="0"/>
          <w:bCs/>
          <w:sz w:val="32"/>
          <w:szCs w:val="32"/>
          <w:lang w:val="en-US" w:eastAsia="zh-CN"/>
        </w:rPr>
        <w:t>100.0</w:t>
      </w:r>
      <w:r>
        <w:rPr>
          <w:rStyle w:val="17"/>
          <w:rFonts w:ascii="仿宋" w:hAnsi="仿宋" w:eastAsia="仿宋"/>
          <w:b w:val="0"/>
          <w:bCs/>
          <w:sz w:val="32"/>
          <w:szCs w:val="32"/>
        </w:rPr>
        <w:t>%</w:t>
      </w:r>
      <w:r>
        <w:rPr>
          <w:rStyle w:val="17"/>
          <w:rFonts w:hint="eastAsia" w:ascii="仿宋" w:hAnsi="仿宋" w:eastAsia="仿宋"/>
          <w:b w:val="0"/>
          <w:bCs/>
          <w:sz w:val="32"/>
          <w:szCs w:val="32"/>
        </w:rPr>
        <w:t>。</w:t>
      </w:r>
      <w:r>
        <w:rPr>
          <w:rFonts w:hint="eastAsia" w:ascii="仿宋_GB2312" w:eastAsia="仿宋_GB2312"/>
          <w:sz w:val="32"/>
          <w:szCs w:val="32"/>
        </w:rPr>
        <w:t>全年安排因公出国（境）团组</w:t>
      </w:r>
      <w:r>
        <w:rPr>
          <w:rFonts w:hint="eastAsia" w:ascii="仿宋_GB2312" w:eastAsia="仿宋_GB2312"/>
          <w:sz w:val="32"/>
          <w:szCs w:val="32"/>
          <w:lang w:val="en-US" w:eastAsia="zh-CN"/>
        </w:rPr>
        <w:t>0</w:t>
      </w:r>
      <w:r>
        <w:rPr>
          <w:rFonts w:hint="eastAsia" w:ascii="仿宋_GB2312" w:eastAsia="仿宋_GB2312"/>
          <w:sz w:val="32"/>
          <w:szCs w:val="32"/>
        </w:rPr>
        <w:t>次，出国（境）</w:t>
      </w:r>
      <w:r>
        <w:rPr>
          <w:rFonts w:hint="eastAsia" w:ascii="仿宋_GB2312" w:eastAsia="仿宋_GB2312"/>
          <w:sz w:val="32"/>
          <w:szCs w:val="32"/>
          <w:lang w:val="en-US" w:eastAsia="zh-CN"/>
        </w:rPr>
        <w:t>0</w:t>
      </w:r>
      <w:r>
        <w:rPr>
          <w:rFonts w:hint="eastAsia" w:ascii="仿宋_GB2312" w:eastAsia="仿宋_GB2312"/>
          <w:sz w:val="32"/>
          <w:szCs w:val="32"/>
        </w:rPr>
        <w:t>人。因公出国（境）支出决算比</w:t>
      </w:r>
      <w:r>
        <w:rPr>
          <w:rFonts w:ascii="仿宋_GB2312" w:eastAsia="仿宋_GB2312"/>
          <w:sz w:val="32"/>
          <w:szCs w:val="32"/>
        </w:rPr>
        <w:t>20</w:t>
      </w:r>
      <w:r>
        <w:rPr>
          <w:rFonts w:hint="eastAsia" w:ascii="仿宋_GB2312" w:eastAsia="仿宋_GB2312"/>
          <w:sz w:val="32"/>
          <w:szCs w:val="32"/>
        </w:rPr>
        <w:t>21年增加</w:t>
      </w:r>
      <w:r>
        <w:rPr>
          <w:rFonts w:ascii="仿宋_GB2312" w:eastAsia="仿宋_GB2312"/>
          <w:sz w:val="32"/>
          <w:szCs w:val="32"/>
        </w:rPr>
        <w:t>/</w:t>
      </w:r>
      <w:r>
        <w:rPr>
          <w:rFonts w:hint="eastAsia" w:ascii="仿宋_GB2312" w:eastAsia="仿宋_GB2312"/>
          <w:sz w:val="32"/>
          <w:szCs w:val="32"/>
        </w:rPr>
        <w:t>减少</w:t>
      </w:r>
      <w:r>
        <w:rPr>
          <w:rFonts w:hint="eastAsia" w:ascii="仿宋_GB2312" w:eastAsia="仿宋_GB2312"/>
          <w:sz w:val="32"/>
          <w:szCs w:val="32"/>
          <w:lang w:val="en-US" w:eastAsia="zh-CN"/>
        </w:rPr>
        <w:t>0</w:t>
      </w:r>
      <w:r>
        <w:rPr>
          <w:rFonts w:hint="eastAsia" w:ascii="仿宋_GB2312" w:eastAsia="仿宋_GB2312"/>
          <w:sz w:val="32"/>
          <w:szCs w:val="32"/>
        </w:rPr>
        <w:t>万元，增长</w:t>
      </w:r>
      <w:r>
        <w:rPr>
          <w:rFonts w:ascii="仿宋_GB2312" w:eastAsia="仿宋_GB2312"/>
          <w:sz w:val="32"/>
          <w:szCs w:val="32"/>
        </w:rPr>
        <w:t>/</w:t>
      </w:r>
      <w:r>
        <w:rPr>
          <w:rFonts w:hint="eastAsia" w:ascii="仿宋_GB2312" w:eastAsia="仿宋_GB2312"/>
          <w:sz w:val="32"/>
          <w:szCs w:val="32"/>
        </w:rPr>
        <w:t>下降</w:t>
      </w:r>
      <w:r>
        <w:rPr>
          <w:rFonts w:hint="eastAsia" w:ascii="仿宋_GB2312" w:eastAsia="仿宋_GB2312"/>
          <w:sz w:val="32"/>
          <w:szCs w:val="32"/>
          <w:lang w:val="en-US" w:eastAsia="zh-CN"/>
        </w:rPr>
        <w:t>0.0</w:t>
      </w:r>
      <w:r>
        <w:rPr>
          <w:rFonts w:ascii="仿宋_GB2312" w:eastAsia="仿宋_GB2312"/>
          <w:sz w:val="32"/>
          <w:szCs w:val="32"/>
        </w:rPr>
        <w:t>%</w:t>
      </w:r>
      <w:r>
        <w:rPr>
          <w:rFonts w:hint="eastAsia" w:ascii="仿宋_GB2312" w:eastAsia="仿宋_GB2312"/>
          <w:sz w:val="32"/>
          <w:szCs w:val="32"/>
        </w:rPr>
        <w:t>。</w:t>
      </w:r>
    </w:p>
    <w:p>
      <w:pPr>
        <w:spacing w:line="600" w:lineRule="exact"/>
        <w:ind w:firstLine="640"/>
        <w:rPr>
          <w:rFonts w:eastAsia="仿宋"/>
          <w:color w:val="000000"/>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Style w:val="17"/>
          <w:rFonts w:hint="eastAsia" w:ascii="仿宋" w:hAnsi="仿宋" w:eastAsia="仿宋"/>
          <w:b w:val="0"/>
          <w:bCs/>
          <w:sz w:val="32"/>
          <w:szCs w:val="32"/>
        </w:rPr>
        <w:t>完成预算</w:t>
      </w:r>
      <w:r>
        <w:rPr>
          <w:rStyle w:val="17"/>
          <w:rFonts w:hint="eastAsia" w:ascii="仿宋" w:hAnsi="仿宋" w:eastAsia="仿宋"/>
          <w:b w:val="0"/>
          <w:bCs/>
          <w:sz w:val="32"/>
          <w:szCs w:val="32"/>
          <w:lang w:val="en-US" w:eastAsia="zh-CN"/>
        </w:rPr>
        <w:t>100.0</w:t>
      </w:r>
      <w:r>
        <w:rPr>
          <w:rStyle w:val="17"/>
          <w:rFonts w:ascii="仿宋" w:hAnsi="仿宋" w:eastAsia="仿宋"/>
          <w:b w:val="0"/>
          <w:bCs/>
          <w:sz w:val="32"/>
          <w:szCs w:val="32"/>
        </w:rPr>
        <w:t>%</w:t>
      </w:r>
      <w:r>
        <w:rPr>
          <w:rStyle w:val="17"/>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rPr>
        <w:t>21年增加</w:t>
      </w:r>
      <w:r>
        <w:rPr>
          <w:rFonts w:ascii="仿宋_GB2312" w:eastAsia="仿宋_GB2312"/>
          <w:sz w:val="32"/>
          <w:szCs w:val="32"/>
        </w:rPr>
        <w:t>/</w:t>
      </w:r>
      <w:r>
        <w:rPr>
          <w:rFonts w:hint="eastAsia" w:ascii="仿宋_GB2312" w:eastAsia="仿宋_GB2312"/>
          <w:sz w:val="32"/>
          <w:szCs w:val="32"/>
        </w:rPr>
        <w:t>减少</w:t>
      </w:r>
      <w:r>
        <w:rPr>
          <w:rFonts w:hint="eastAsia" w:ascii="仿宋_GB2312" w:eastAsia="仿宋_GB2312"/>
          <w:sz w:val="32"/>
          <w:szCs w:val="32"/>
          <w:lang w:val="en-US" w:eastAsia="zh-CN"/>
        </w:rPr>
        <w:t>0</w:t>
      </w:r>
      <w:r>
        <w:rPr>
          <w:rFonts w:hint="eastAsia" w:ascii="仿宋_GB2312" w:eastAsia="仿宋_GB2312"/>
          <w:sz w:val="32"/>
          <w:szCs w:val="32"/>
        </w:rPr>
        <w:t>万元，增长</w:t>
      </w:r>
      <w:r>
        <w:rPr>
          <w:rFonts w:ascii="仿宋_GB2312" w:eastAsia="仿宋_GB2312"/>
          <w:sz w:val="32"/>
          <w:szCs w:val="32"/>
        </w:rPr>
        <w:t>/</w:t>
      </w:r>
      <w:r>
        <w:rPr>
          <w:rFonts w:hint="eastAsia" w:ascii="仿宋_GB2312" w:eastAsia="仿宋_GB2312"/>
          <w:sz w:val="32"/>
          <w:szCs w:val="32"/>
        </w:rPr>
        <w:t>下降</w:t>
      </w:r>
      <w:r>
        <w:rPr>
          <w:rFonts w:hint="eastAsia" w:ascii="仿宋_GB2312" w:eastAsia="仿宋_GB2312"/>
          <w:sz w:val="32"/>
          <w:szCs w:val="32"/>
          <w:lang w:val="en-US" w:eastAsia="zh-CN"/>
        </w:rPr>
        <w:t>0.0</w:t>
      </w:r>
      <w:r>
        <w:rPr>
          <w:rFonts w:ascii="仿宋_GB2312" w:eastAsia="仿宋_GB2312"/>
          <w:sz w:val="32"/>
          <w:szCs w:val="32"/>
        </w:rPr>
        <w:t>%</w:t>
      </w:r>
      <w:r>
        <w:rPr>
          <w:rFonts w:hint="eastAsia" w:ascii="仿宋_GB2312" w:eastAsia="仿宋_GB2312"/>
          <w:sz w:val="32"/>
          <w:szCs w:val="32"/>
        </w:rPr>
        <w:t>。</w:t>
      </w:r>
    </w:p>
    <w:p>
      <w:pPr>
        <w:spacing w:line="600" w:lineRule="exact"/>
        <w:ind w:firstLine="640"/>
        <w:rPr>
          <w:rFonts w:ascii="仿宋_GB2312" w:eastAsia="仿宋_GB2312"/>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lang w:val="en-US" w:eastAsia="zh-CN"/>
        </w:rPr>
        <w:t>0</w:t>
      </w:r>
      <w:r>
        <w:rPr>
          <w:rFonts w:hint="eastAsia" w:ascii="仿宋_GB2312" w:eastAsia="仿宋_GB2312"/>
          <w:sz w:val="32"/>
          <w:szCs w:val="32"/>
        </w:rPr>
        <w:t>万元。全年按规定更新购置公务用车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万元，越野车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万元，载客汽车</w:t>
      </w:r>
      <w:r>
        <w:rPr>
          <w:rFonts w:hint="eastAsia" w:ascii="仿宋_GB2312" w:eastAsia="仿宋_GB2312"/>
          <w:sz w:val="32"/>
          <w:szCs w:val="32"/>
          <w:lang w:val="en-US" w:eastAsia="zh-CN"/>
        </w:rPr>
        <w:t>0</w:t>
      </w:r>
      <w:r>
        <w:rPr>
          <w:rFonts w:hint="eastAsia" w:ascii="仿宋_GB2312" w:eastAsia="仿宋_GB2312"/>
          <w:sz w:val="32"/>
          <w:szCs w:val="32"/>
        </w:rPr>
        <w:t>辆、金额</w:t>
      </w:r>
      <w:r>
        <w:rPr>
          <w:rFonts w:hint="eastAsia" w:ascii="仿宋_GB2312" w:eastAsia="仿宋_GB2312"/>
          <w:sz w:val="32"/>
          <w:szCs w:val="32"/>
          <w:lang w:val="en-US" w:eastAsia="zh-CN"/>
        </w:rPr>
        <w:t>0</w:t>
      </w:r>
      <w:r>
        <w:rPr>
          <w:rFonts w:hint="eastAsia" w:ascii="仿宋_GB2312" w:eastAsia="仿宋_GB2312"/>
          <w:sz w:val="32"/>
          <w:szCs w:val="32"/>
        </w:rPr>
        <w:t>万元。截至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月底，单位共有公务用车</w:t>
      </w:r>
      <w:r>
        <w:rPr>
          <w:rFonts w:hint="eastAsia" w:ascii="仿宋_GB2312" w:eastAsia="仿宋_GB2312"/>
          <w:sz w:val="32"/>
          <w:szCs w:val="32"/>
          <w:lang w:val="en-US" w:eastAsia="zh-CN"/>
        </w:rPr>
        <w:t>0</w:t>
      </w:r>
      <w:r>
        <w:rPr>
          <w:rFonts w:hint="eastAsia" w:ascii="仿宋_GB2312" w:eastAsia="仿宋_GB2312"/>
          <w:sz w:val="32"/>
          <w:szCs w:val="32"/>
        </w:rPr>
        <w:t>辆，其中：轿车</w:t>
      </w:r>
      <w:r>
        <w:rPr>
          <w:rFonts w:hint="eastAsia" w:ascii="仿宋_GB2312" w:eastAsia="仿宋_GB2312"/>
          <w:sz w:val="32"/>
          <w:szCs w:val="32"/>
          <w:lang w:val="en-US" w:eastAsia="zh-CN"/>
        </w:rPr>
        <w:t>0</w:t>
      </w:r>
      <w:r>
        <w:rPr>
          <w:rFonts w:hint="eastAsia" w:ascii="仿宋_GB2312" w:eastAsia="仿宋_GB2312"/>
          <w:sz w:val="32"/>
          <w:szCs w:val="32"/>
        </w:rPr>
        <w:t>辆、越野车</w:t>
      </w:r>
      <w:r>
        <w:rPr>
          <w:rFonts w:hint="eastAsia" w:ascii="仿宋_GB2312" w:eastAsia="仿宋_GB2312"/>
          <w:sz w:val="32"/>
          <w:szCs w:val="32"/>
          <w:lang w:val="en-US" w:eastAsia="zh-CN"/>
        </w:rPr>
        <w:t>0</w:t>
      </w:r>
      <w:r>
        <w:rPr>
          <w:rFonts w:hint="eastAsia" w:ascii="仿宋_GB2312" w:eastAsia="仿宋_GB2312"/>
          <w:sz w:val="32"/>
          <w:szCs w:val="32"/>
        </w:rPr>
        <w:t>辆、载客汽车</w:t>
      </w:r>
      <w:r>
        <w:rPr>
          <w:rFonts w:hint="eastAsia" w:ascii="仿宋_GB2312" w:eastAsia="仿宋_GB2312"/>
          <w:sz w:val="32"/>
          <w:szCs w:val="32"/>
          <w:lang w:val="en-US" w:eastAsia="zh-CN"/>
        </w:rPr>
        <w:t>0</w:t>
      </w:r>
      <w:r>
        <w:rPr>
          <w:rFonts w:hint="eastAsia" w:ascii="仿宋_GB2312" w:eastAsia="仿宋_GB2312"/>
          <w:sz w:val="32"/>
          <w:szCs w:val="32"/>
        </w:rPr>
        <w:t>辆。</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Style w:val="17"/>
          <w:rFonts w:hint="eastAsia" w:ascii="仿宋" w:hAnsi="仿宋" w:eastAsia="仿宋"/>
          <w:b w:val="0"/>
          <w:bCs/>
          <w:sz w:val="32"/>
          <w:szCs w:val="32"/>
        </w:rPr>
        <w:t>完成预算</w:t>
      </w:r>
      <w:r>
        <w:rPr>
          <w:rStyle w:val="17"/>
          <w:rFonts w:hint="eastAsia" w:ascii="仿宋" w:hAnsi="仿宋" w:eastAsia="仿宋"/>
          <w:b w:val="0"/>
          <w:bCs/>
          <w:sz w:val="32"/>
          <w:szCs w:val="32"/>
          <w:lang w:val="en-US" w:eastAsia="zh-CN"/>
        </w:rPr>
        <w:t>100.0</w:t>
      </w:r>
      <w:r>
        <w:rPr>
          <w:rStyle w:val="17"/>
          <w:rFonts w:ascii="仿宋" w:hAnsi="仿宋" w:eastAsia="仿宋"/>
          <w:b w:val="0"/>
          <w:bCs/>
          <w:sz w:val="32"/>
          <w:szCs w:val="32"/>
        </w:rPr>
        <w:t>%</w:t>
      </w:r>
      <w:r>
        <w:rPr>
          <w:rStyle w:val="17"/>
          <w:rFonts w:hint="eastAsia" w:ascii="仿宋" w:hAnsi="仿宋" w:eastAsia="仿宋"/>
          <w:b w:val="0"/>
          <w:bCs/>
          <w:sz w:val="32"/>
          <w:szCs w:val="32"/>
        </w:rPr>
        <w:t>。</w:t>
      </w:r>
      <w:r>
        <w:rPr>
          <w:rFonts w:hint="eastAsia" w:ascii="仿宋_GB2312" w:eastAsia="仿宋_GB2312"/>
          <w:sz w:val="32"/>
          <w:szCs w:val="32"/>
        </w:rPr>
        <w:t>公务接待费支出决算比</w:t>
      </w:r>
      <w:r>
        <w:rPr>
          <w:rFonts w:ascii="仿宋_GB2312" w:eastAsia="仿宋_GB2312"/>
          <w:sz w:val="32"/>
          <w:szCs w:val="32"/>
        </w:rPr>
        <w:t>20</w:t>
      </w:r>
      <w:r>
        <w:rPr>
          <w:rFonts w:hint="eastAsia" w:ascii="仿宋_GB2312" w:eastAsia="仿宋_GB2312"/>
          <w:sz w:val="32"/>
          <w:szCs w:val="32"/>
        </w:rPr>
        <w:t>21年增加</w:t>
      </w:r>
      <w:r>
        <w:rPr>
          <w:rFonts w:ascii="仿宋_GB2312" w:eastAsia="仿宋_GB2312"/>
          <w:sz w:val="32"/>
          <w:szCs w:val="32"/>
        </w:rPr>
        <w:t>/</w:t>
      </w:r>
      <w:r>
        <w:rPr>
          <w:rFonts w:hint="eastAsia" w:ascii="仿宋_GB2312" w:eastAsia="仿宋_GB2312"/>
          <w:sz w:val="32"/>
          <w:szCs w:val="32"/>
        </w:rPr>
        <w:t>减少</w:t>
      </w:r>
      <w:r>
        <w:rPr>
          <w:rFonts w:hint="eastAsia" w:ascii="仿宋_GB2312" w:eastAsia="仿宋_GB2312"/>
          <w:sz w:val="32"/>
          <w:szCs w:val="32"/>
          <w:lang w:val="en-US" w:eastAsia="zh-CN"/>
        </w:rPr>
        <w:t>0</w:t>
      </w:r>
      <w:r>
        <w:rPr>
          <w:rFonts w:hint="eastAsia" w:ascii="仿宋_GB2312" w:eastAsia="仿宋_GB2312"/>
          <w:sz w:val="32"/>
          <w:szCs w:val="32"/>
        </w:rPr>
        <w:t>万元，增长</w:t>
      </w:r>
      <w:r>
        <w:rPr>
          <w:rFonts w:ascii="仿宋_GB2312" w:eastAsia="仿宋_GB2312"/>
          <w:sz w:val="32"/>
          <w:szCs w:val="32"/>
        </w:rPr>
        <w:t>/</w:t>
      </w:r>
      <w:r>
        <w:rPr>
          <w:rFonts w:hint="eastAsia" w:ascii="仿宋_GB2312" w:eastAsia="仿宋_GB2312"/>
          <w:sz w:val="32"/>
          <w:szCs w:val="32"/>
        </w:rPr>
        <w:t>下降</w:t>
      </w:r>
      <w:r>
        <w:rPr>
          <w:rFonts w:hint="eastAsia" w:ascii="仿宋_GB2312" w:eastAsia="仿宋_GB2312"/>
          <w:sz w:val="32"/>
          <w:szCs w:val="32"/>
          <w:lang w:val="en-US" w:eastAsia="zh-CN"/>
        </w:rPr>
        <w:t>0.0</w:t>
      </w:r>
      <w:r>
        <w:rPr>
          <w:rFonts w:ascii="仿宋_GB2312" w:eastAsia="仿宋_GB2312"/>
          <w:sz w:val="32"/>
          <w:szCs w:val="32"/>
        </w:rPr>
        <w:t>%</w:t>
      </w:r>
      <w:r>
        <w:rPr>
          <w:rFonts w:hint="eastAsia" w:ascii="仿宋_GB2312" w:eastAsia="仿宋_GB2312"/>
          <w:sz w:val="32"/>
          <w:szCs w:val="32"/>
        </w:rPr>
        <w:t>。其中：</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hint="eastAsia" w:ascii="仿宋" w:hAnsi="仿宋" w:eastAsia="仿宋"/>
          <w:sz w:val="32"/>
          <w:szCs w:val="32"/>
          <w:lang w:val="en-US" w:eastAsia="zh-CN"/>
        </w:rPr>
        <w:t>0</w:t>
      </w:r>
      <w:r>
        <w:rPr>
          <w:rFonts w:hint="eastAsia" w:ascii="仿宋_GB2312" w:eastAsia="仿宋_GB2312"/>
          <w:sz w:val="32"/>
          <w:szCs w:val="32"/>
        </w:rPr>
        <w:t>万元。国内公务接待</w:t>
      </w:r>
      <w:r>
        <w:rPr>
          <w:rFonts w:hint="eastAsia" w:ascii="仿宋_GB2312" w:eastAsia="仿宋_GB2312"/>
          <w:sz w:val="32"/>
          <w:szCs w:val="32"/>
          <w:lang w:val="en-US" w:eastAsia="zh-CN"/>
        </w:rPr>
        <w:t>0</w:t>
      </w:r>
      <w:r>
        <w:rPr>
          <w:rFonts w:hint="eastAsia" w:ascii="仿宋_GB2312" w:eastAsia="仿宋_GB2312"/>
          <w:sz w:val="32"/>
          <w:szCs w:val="32"/>
        </w:rPr>
        <w:t>批次，</w:t>
      </w:r>
      <w:r>
        <w:rPr>
          <w:rFonts w:hint="eastAsia" w:ascii="仿宋_GB2312" w:eastAsia="仿宋_GB2312"/>
          <w:sz w:val="32"/>
          <w:szCs w:val="32"/>
          <w:lang w:val="en-US" w:eastAsia="zh-CN"/>
        </w:rPr>
        <w:t>0</w:t>
      </w:r>
      <w:r>
        <w:rPr>
          <w:rFonts w:hint="eastAsia" w:ascii="仿宋_GB2312" w:eastAsia="仿宋_GB2312"/>
          <w:sz w:val="32"/>
          <w:szCs w:val="32"/>
        </w:rPr>
        <w:t>人次，共计支出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600" w:lineRule="exact"/>
        <w:ind w:firstLine="643" w:firstLineChars="200"/>
        <w:rPr>
          <w:rFonts w:ascii="仿宋_GB2312" w:eastAsia="仿宋_GB2312"/>
          <w:sz w:val="32"/>
          <w:szCs w:val="32"/>
        </w:rPr>
      </w:pPr>
      <w:r>
        <w:rPr>
          <w:rFonts w:hint="eastAsia" w:ascii="仿宋" w:hAnsi="仿宋" w:eastAsia="仿宋"/>
          <w:b/>
          <w:sz w:val="32"/>
          <w:szCs w:val="32"/>
        </w:rPr>
        <w:t>外事接待支出</w:t>
      </w:r>
      <w:r>
        <w:rPr>
          <w:rFonts w:hint="eastAsia" w:ascii="仿宋" w:hAnsi="仿宋" w:eastAsia="仿宋"/>
          <w:sz w:val="32"/>
          <w:szCs w:val="32"/>
          <w:lang w:val="en-US" w:eastAsia="zh-CN"/>
        </w:rPr>
        <w:t>0</w:t>
      </w:r>
      <w:r>
        <w:rPr>
          <w:rFonts w:hint="eastAsia" w:ascii="仿宋_GB2312" w:eastAsia="仿宋_GB2312"/>
          <w:sz w:val="32"/>
          <w:szCs w:val="32"/>
        </w:rPr>
        <w:t>万元。外事接待</w:t>
      </w:r>
      <w:r>
        <w:rPr>
          <w:rFonts w:hint="eastAsia" w:ascii="仿宋_GB2312" w:eastAsia="仿宋_GB2312"/>
          <w:sz w:val="32"/>
          <w:szCs w:val="32"/>
          <w:lang w:val="en-US" w:eastAsia="zh-CN"/>
        </w:rPr>
        <w:t>0</w:t>
      </w:r>
      <w:r>
        <w:rPr>
          <w:rFonts w:hint="eastAsia" w:ascii="仿宋_GB2312" w:eastAsia="仿宋_GB2312"/>
          <w:sz w:val="32"/>
          <w:szCs w:val="32"/>
        </w:rPr>
        <w:t>批次，</w:t>
      </w:r>
      <w:r>
        <w:rPr>
          <w:rFonts w:hint="eastAsia" w:ascii="仿宋_GB2312" w:eastAsia="仿宋_GB2312"/>
          <w:sz w:val="32"/>
          <w:szCs w:val="32"/>
          <w:lang w:val="en-US" w:eastAsia="zh-CN"/>
        </w:rPr>
        <w:t>0</w:t>
      </w:r>
      <w:r>
        <w:rPr>
          <w:rFonts w:hint="eastAsia" w:ascii="仿宋_GB2312" w:eastAsia="仿宋_GB2312"/>
          <w:sz w:val="32"/>
          <w:szCs w:val="32"/>
        </w:rPr>
        <w:t>人次共计支出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spacing w:line="600" w:lineRule="exact"/>
        <w:ind w:firstLine="640"/>
        <w:outlineLvl w:val="1"/>
        <w:rPr>
          <w:rStyle w:val="29"/>
          <w:rFonts w:ascii="黑体" w:hAnsi="黑体" w:eastAsia="黑体"/>
        </w:rPr>
      </w:pPr>
      <w:bookmarkStart w:id="42" w:name="_Toc15396610"/>
      <w:bookmarkStart w:id="43" w:name="_Toc15377218"/>
      <w:r>
        <w:rPr>
          <w:rFonts w:hint="eastAsia" w:ascii="黑体" w:eastAsia="黑体"/>
          <w:sz w:val="32"/>
          <w:szCs w:val="32"/>
        </w:rPr>
        <w:t>八、</w:t>
      </w:r>
      <w:r>
        <w:rPr>
          <w:rStyle w:val="29"/>
          <w:rFonts w:hint="eastAsia" w:ascii="黑体" w:hAnsi="黑体" w:eastAsia="黑体"/>
          <w:b w:val="0"/>
        </w:rPr>
        <w:t>政府性基金预算支出决算情况说明</w:t>
      </w:r>
      <w:bookmarkEnd w:id="42"/>
      <w:bookmarkEnd w:id="43"/>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numPr>
          <w:ilvl w:val="0"/>
          <w:numId w:val="2"/>
        </w:numPr>
        <w:spacing w:line="600" w:lineRule="exact"/>
        <w:ind w:firstLine="640"/>
        <w:outlineLvl w:val="1"/>
        <w:rPr>
          <w:rStyle w:val="29"/>
          <w:rFonts w:ascii="黑体" w:hAnsi="黑体" w:eastAsia="黑体"/>
          <w:b w:val="0"/>
        </w:rPr>
      </w:pPr>
      <w:bookmarkStart w:id="44" w:name="_Toc15396611"/>
      <w:bookmarkStart w:id="45" w:name="_Toc15377219"/>
      <w:r>
        <w:rPr>
          <w:rStyle w:val="29"/>
          <w:rFonts w:hint="eastAsia" w:ascii="黑体" w:hAnsi="黑体" w:eastAsia="黑体"/>
          <w:b w:val="0"/>
        </w:rPr>
        <w:t>国有资本经营预算支出决算情况说明</w:t>
      </w:r>
      <w:bookmarkEnd w:id="44"/>
      <w:bookmarkEnd w:id="45"/>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22年国有资本经营预算财政拨款支出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numPr>
          <w:ilvl w:val="0"/>
          <w:numId w:val="2"/>
        </w:numPr>
        <w:spacing w:line="600" w:lineRule="exact"/>
        <w:ind w:firstLine="640"/>
        <w:outlineLvl w:val="1"/>
        <w:rPr>
          <w:rStyle w:val="29"/>
          <w:rFonts w:ascii="黑体" w:hAnsi="黑体" w:eastAsia="黑体"/>
          <w:b w:val="0"/>
        </w:rPr>
      </w:pPr>
      <w:bookmarkStart w:id="46" w:name="_Toc15396612"/>
      <w:bookmarkStart w:id="47" w:name="_Toc15377221"/>
      <w:r>
        <w:rPr>
          <w:rStyle w:val="29"/>
          <w:rFonts w:hint="eastAsia" w:ascii="黑体" w:hAnsi="黑体" w:eastAsia="黑体"/>
          <w:b w:val="0"/>
        </w:rPr>
        <w:t>其他重要事项的情况说明</w:t>
      </w:r>
      <w:bookmarkEnd w:id="46"/>
      <w:bookmarkEnd w:id="47"/>
    </w:p>
    <w:p>
      <w:pPr>
        <w:spacing w:line="600" w:lineRule="exact"/>
        <w:ind w:firstLine="643" w:firstLineChars="200"/>
        <w:outlineLvl w:val="2"/>
        <w:rPr>
          <w:rFonts w:ascii="仿宋" w:hAnsi="仿宋" w:eastAsia="仿宋"/>
          <w:sz w:val="32"/>
          <w:szCs w:val="32"/>
        </w:rPr>
      </w:pPr>
      <w:bookmarkStart w:id="48" w:name="_Toc15377222"/>
      <w:r>
        <w:rPr>
          <w:rFonts w:hint="eastAsia" w:ascii="仿宋" w:hAnsi="仿宋" w:eastAsia="仿宋"/>
          <w:b/>
          <w:sz w:val="32"/>
          <w:szCs w:val="32"/>
        </w:rPr>
        <w:t>（一）机关运行经费支出情况</w:t>
      </w:r>
      <w:bookmarkEnd w:id="48"/>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eastAsia="zh-CN"/>
        </w:rPr>
        <w:t>乐至县东山镇孔雀卫生院</w:t>
      </w:r>
      <w:r>
        <w:rPr>
          <w:rFonts w:hint="eastAsia" w:ascii="仿宋_GB2312" w:eastAsia="仿宋_GB2312"/>
          <w:sz w:val="32"/>
          <w:szCs w:val="32"/>
        </w:rPr>
        <w:t>机关运行经费支出</w:t>
      </w:r>
      <w:r>
        <w:rPr>
          <w:rFonts w:hint="eastAsia" w:ascii="仿宋_GB2312" w:eastAsia="仿宋_GB2312"/>
          <w:sz w:val="32"/>
          <w:szCs w:val="32"/>
          <w:lang w:val="en-US" w:eastAsia="zh-CN"/>
        </w:rPr>
        <w:t>0.00</w:t>
      </w:r>
      <w:r>
        <w:rPr>
          <w:rFonts w:hint="eastAsia" w:ascii="仿宋_GB2312" w:eastAsia="仿宋_GB2312"/>
          <w:sz w:val="32"/>
          <w:szCs w:val="32"/>
        </w:rPr>
        <w:t>万元，比</w:t>
      </w:r>
      <w:r>
        <w:rPr>
          <w:rFonts w:ascii="仿宋_GB2312" w:eastAsia="仿宋_GB2312"/>
          <w:sz w:val="32"/>
          <w:szCs w:val="32"/>
        </w:rPr>
        <w:t>20</w:t>
      </w:r>
      <w:r>
        <w:rPr>
          <w:rFonts w:hint="eastAsia" w:ascii="仿宋_GB2312" w:eastAsia="仿宋_GB2312"/>
          <w:sz w:val="32"/>
          <w:szCs w:val="32"/>
        </w:rPr>
        <w:t>21年增加</w:t>
      </w:r>
      <w:r>
        <w:rPr>
          <w:rFonts w:hint="eastAsia" w:ascii="仿宋_GB2312" w:eastAsia="仿宋_GB2312"/>
          <w:sz w:val="32"/>
          <w:szCs w:val="32"/>
          <w:lang w:val="en-US" w:eastAsia="zh-CN"/>
        </w:rPr>
        <w:t>0.00</w:t>
      </w:r>
      <w:r>
        <w:rPr>
          <w:rFonts w:hint="eastAsia" w:ascii="仿宋_GB2312" w:eastAsia="仿宋_GB2312"/>
          <w:sz w:val="32"/>
          <w:szCs w:val="32"/>
        </w:rPr>
        <w:t>万元，增长</w:t>
      </w:r>
      <w:r>
        <w:rPr>
          <w:rFonts w:hint="eastAsia" w:ascii="仿宋_GB2312" w:eastAsia="仿宋_GB2312"/>
          <w:sz w:val="32"/>
          <w:szCs w:val="32"/>
          <w:lang w:val="en-US" w:eastAsia="zh-CN"/>
        </w:rPr>
        <w:t>100.0</w:t>
      </w:r>
      <w:r>
        <w:rPr>
          <w:rFonts w:ascii="仿宋_GB2312" w:eastAsia="仿宋_GB2312"/>
          <w:sz w:val="32"/>
          <w:szCs w:val="32"/>
        </w:rPr>
        <w:t>%</w:t>
      </w:r>
      <w:r>
        <w:rPr>
          <w:rFonts w:hint="eastAsia" w:ascii="仿宋_GB2312" w:eastAsia="仿宋_GB2312"/>
          <w:sz w:val="32"/>
          <w:szCs w:val="32"/>
          <w:lang w:eastAsia="zh-CN"/>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9" w:name="_Toc15377223"/>
      <w:r>
        <w:rPr>
          <w:rFonts w:hint="eastAsia" w:ascii="仿宋" w:hAnsi="仿宋" w:eastAsia="仿宋"/>
          <w:b/>
          <w:sz w:val="32"/>
          <w:szCs w:val="32"/>
        </w:rPr>
        <w:t>（二）政府采购支出情况</w:t>
      </w:r>
      <w:bookmarkEnd w:id="49"/>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w:t>
      </w:r>
      <w:r>
        <w:rPr>
          <w:rFonts w:hint="eastAsia" w:ascii="仿宋_GB2312" w:eastAsia="仿宋_GB2312"/>
          <w:sz w:val="32"/>
          <w:szCs w:val="32"/>
          <w:lang w:eastAsia="zh-CN"/>
        </w:rPr>
        <w:t>乐至县东山镇孔雀卫生院</w:t>
      </w:r>
      <w:r>
        <w:rPr>
          <w:rFonts w:hint="eastAsia" w:ascii="仿宋_GB2312" w:eastAsia="仿宋_GB2312"/>
          <w:sz w:val="32"/>
          <w:szCs w:val="32"/>
        </w:rPr>
        <w:t>政府采购支出总额</w:t>
      </w:r>
      <w:r>
        <w:rPr>
          <w:rFonts w:hint="eastAsia" w:ascii="仿宋_GB2312" w:eastAsia="仿宋_GB2312"/>
          <w:sz w:val="32"/>
          <w:szCs w:val="32"/>
          <w:lang w:val="en-US" w:eastAsia="zh-CN"/>
        </w:rPr>
        <w:t>0</w:t>
      </w:r>
      <w:r>
        <w:rPr>
          <w:rFonts w:hint="eastAsia" w:ascii="仿宋_GB2312" w:eastAsia="仿宋_GB2312"/>
          <w:sz w:val="32"/>
          <w:szCs w:val="32"/>
        </w:rPr>
        <w:t>万元，其中：政府采购货物支出</w:t>
      </w:r>
      <w:r>
        <w:rPr>
          <w:rFonts w:hint="eastAsia" w:ascii="仿宋_GB2312" w:eastAsia="仿宋_GB2312"/>
          <w:sz w:val="32"/>
          <w:szCs w:val="32"/>
          <w:lang w:val="en-US" w:eastAsia="zh-CN"/>
        </w:rPr>
        <w:t>0</w:t>
      </w:r>
      <w:r>
        <w:rPr>
          <w:rFonts w:hint="eastAsia" w:ascii="仿宋_GB2312" w:eastAsia="仿宋_GB2312"/>
          <w:sz w:val="32"/>
          <w:szCs w:val="32"/>
        </w:rPr>
        <w:t>万元、政府采购工程支出</w:t>
      </w:r>
      <w:r>
        <w:rPr>
          <w:rFonts w:hint="eastAsia" w:ascii="仿宋_GB2312" w:eastAsia="仿宋_GB2312"/>
          <w:sz w:val="32"/>
          <w:szCs w:val="32"/>
          <w:lang w:val="en-US" w:eastAsia="zh-CN"/>
        </w:rPr>
        <w:t>0</w:t>
      </w:r>
      <w:r>
        <w:rPr>
          <w:rFonts w:hint="eastAsia" w:ascii="仿宋_GB2312" w:eastAsia="仿宋_GB2312"/>
          <w:sz w:val="32"/>
          <w:szCs w:val="32"/>
        </w:rPr>
        <w:t>万元、政府采购服务支出</w:t>
      </w:r>
      <w:r>
        <w:rPr>
          <w:rFonts w:hint="eastAsia" w:ascii="仿宋_GB2312" w:eastAsia="仿宋_GB2312"/>
          <w:sz w:val="32"/>
          <w:szCs w:val="32"/>
          <w:lang w:val="en-US" w:eastAsia="zh-CN"/>
        </w:rPr>
        <w:t>0</w:t>
      </w:r>
      <w:r>
        <w:rPr>
          <w:rFonts w:hint="eastAsia" w:ascii="仿宋_GB2312" w:eastAsia="仿宋_GB2312"/>
          <w:sz w:val="32"/>
          <w:szCs w:val="32"/>
        </w:rPr>
        <w:t>万元。主要用于</w:t>
      </w:r>
      <w:r>
        <w:rPr>
          <w:rFonts w:ascii="仿宋_GB2312" w:eastAsia="仿宋_GB2312"/>
          <w:sz w:val="32"/>
          <w:szCs w:val="32"/>
        </w:rPr>
        <w:t>…</w:t>
      </w:r>
      <w:r>
        <w:rPr>
          <w:rFonts w:hint="eastAsia" w:ascii="仿宋_GB2312" w:eastAsia="仿宋_GB2312"/>
          <w:sz w:val="32"/>
          <w:szCs w:val="32"/>
        </w:rPr>
        <w:t>。授予中小企业合同金额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0.0</w:t>
      </w:r>
      <w:r>
        <w:rPr>
          <w:rFonts w:ascii="仿宋_GB2312" w:eastAsia="仿宋_GB2312"/>
          <w:sz w:val="32"/>
          <w:szCs w:val="32"/>
        </w:rPr>
        <w:t>%</w:t>
      </w:r>
      <w:r>
        <w:rPr>
          <w:rFonts w:hint="eastAsia" w:ascii="仿宋_GB2312" w:eastAsia="仿宋_GB2312"/>
          <w:sz w:val="32"/>
          <w:szCs w:val="32"/>
        </w:rPr>
        <w:t>，其中：授予小微企业合同金额</w:t>
      </w:r>
      <w:r>
        <w:rPr>
          <w:rFonts w:hint="eastAsia" w:ascii="仿宋_GB2312" w:eastAsia="仿宋_GB2312"/>
          <w:sz w:val="32"/>
          <w:szCs w:val="32"/>
          <w:lang w:val="en-US" w:eastAsia="zh-CN"/>
        </w:rPr>
        <w:t>0</w:t>
      </w:r>
      <w:r>
        <w:rPr>
          <w:rFonts w:hint="eastAsia" w:ascii="仿宋_GB2312" w:eastAsia="仿宋_GB2312"/>
          <w:sz w:val="32"/>
          <w:szCs w:val="32"/>
        </w:rPr>
        <w:t>万元，占政府采购支出总额的</w:t>
      </w:r>
      <w:r>
        <w:rPr>
          <w:rFonts w:hint="eastAsia" w:ascii="仿宋_GB2312" w:eastAsia="仿宋_GB2312"/>
          <w:sz w:val="32"/>
          <w:szCs w:val="32"/>
          <w:lang w:val="en-US" w:eastAsia="zh-CN"/>
        </w:rPr>
        <w:t>0.0</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50" w:name="_Toc15377224"/>
      <w:r>
        <w:rPr>
          <w:rFonts w:hint="eastAsia" w:ascii="仿宋" w:hAnsi="仿宋" w:eastAsia="仿宋"/>
          <w:b/>
          <w:sz w:val="32"/>
          <w:szCs w:val="32"/>
        </w:rPr>
        <w:t>（三）国有资产占有使用情况</w:t>
      </w:r>
      <w:bookmarkEnd w:id="50"/>
    </w:p>
    <w:p>
      <w:pPr>
        <w:autoSpaceDE w:val="0"/>
        <w:autoSpaceDN w:val="0"/>
        <w:adjustRightInd w:val="0"/>
        <w:spacing w:line="600" w:lineRule="exact"/>
        <w:ind w:firstLine="640" w:firstLineChars="200"/>
        <w:jc w:val="left"/>
        <w:rPr>
          <w:rFonts w:ascii="仿宋_GB2312" w:eastAsia="仿宋_GB2312"/>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ascii="仿宋_GB2312" w:eastAsia="仿宋_GB2312"/>
          <w:sz w:val="32"/>
          <w:szCs w:val="32"/>
          <w:lang w:eastAsia="zh-CN"/>
        </w:rPr>
        <w:t>乐至县东山镇孔雀卫生院</w:t>
      </w:r>
      <w:r>
        <w:rPr>
          <w:rFonts w:hint="eastAsia" w:ascii="仿宋_GB2312" w:eastAsia="仿宋_GB2312"/>
          <w:sz w:val="32"/>
          <w:szCs w:val="32"/>
        </w:rPr>
        <w:t>共有车辆</w:t>
      </w:r>
      <w:r>
        <w:rPr>
          <w:rFonts w:hint="eastAsia" w:ascii="仿宋_GB2312" w:eastAsia="仿宋_GB2312"/>
          <w:sz w:val="32"/>
          <w:szCs w:val="32"/>
          <w:lang w:val="en-US" w:eastAsia="zh-CN"/>
        </w:rPr>
        <w:t>0</w:t>
      </w:r>
      <w:r>
        <w:rPr>
          <w:rFonts w:hint="eastAsia" w:ascii="仿宋_GB2312" w:eastAsia="仿宋_GB2312"/>
          <w:sz w:val="32"/>
          <w:szCs w:val="32"/>
        </w:rPr>
        <w:t>辆，其中：主要领导干部用车</w:t>
      </w:r>
      <w:r>
        <w:rPr>
          <w:rFonts w:hint="eastAsia" w:ascii="仿宋_GB2312" w:eastAsia="仿宋_GB2312"/>
          <w:sz w:val="32"/>
          <w:szCs w:val="32"/>
          <w:lang w:val="en-US" w:eastAsia="zh-CN"/>
        </w:rPr>
        <w:t>0</w:t>
      </w:r>
      <w:r>
        <w:rPr>
          <w:rFonts w:hint="eastAsia" w:ascii="仿宋_GB2312" w:eastAsia="仿宋_GB2312"/>
          <w:sz w:val="32"/>
          <w:szCs w:val="32"/>
        </w:rPr>
        <w:t>辆、机要通信用车</w:t>
      </w:r>
      <w:r>
        <w:rPr>
          <w:rFonts w:hint="eastAsia" w:ascii="仿宋_GB2312" w:eastAsia="仿宋_GB2312"/>
          <w:sz w:val="32"/>
          <w:szCs w:val="32"/>
          <w:lang w:val="en-US" w:eastAsia="zh-CN"/>
        </w:rPr>
        <w:t>0</w:t>
      </w:r>
      <w:r>
        <w:rPr>
          <w:rFonts w:hint="eastAsia" w:ascii="仿宋_GB2312" w:eastAsia="仿宋_GB2312"/>
          <w:sz w:val="32"/>
          <w:szCs w:val="32"/>
        </w:rPr>
        <w:t>辆、应急保障用车</w:t>
      </w:r>
      <w:r>
        <w:rPr>
          <w:rFonts w:hint="eastAsia" w:ascii="仿宋_GB2312" w:eastAsia="仿宋_GB2312"/>
          <w:sz w:val="32"/>
          <w:szCs w:val="32"/>
          <w:lang w:val="en-US" w:eastAsia="zh-CN"/>
        </w:rPr>
        <w:t>0</w:t>
      </w:r>
      <w:r>
        <w:rPr>
          <w:rFonts w:hint="eastAsia" w:ascii="仿宋_GB2312" w:eastAsia="仿宋_GB2312"/>
          <w:sz w:val="32"/>
          <w:szCs w:val="32"/>
        </w:rPr>
        <w:t>辆、其他用车</w:t>
      </w:r>
      <w:r>
        <w:rPr>
          <w:rFonts w:hint="eastAsia" w:ascii="仿宋_GB2312" w:eastAsia="仿宋_GB2312"/>
          <w:sz w:val="32"/>
          <w:szCs w:val="32"/>
          <w:lang w:val="en-US" w:eastAsia="zh-CN"/>
        </w:rPr>
        <w:t>0</w:t>
      </w:r>
      <w:r>
        <w:rPr>
          <w:rFonts w:hint="eastAsia" w:ascii="仿宋_GB2312" w:eastAsia="仿宋_GB2312"/>
          <w:sz w:val="32"/>
          <w:szCs w:val="32"/>
        </w:rPr>
        <w:t>辆，其他用车主要是用于……。单价</w:t>
      </w:r>
      <w:r>
        <w:rPr>
          <w:rFonts w:ascii="仿宋_GB2312" w:eastAsia="仿宋_GB2312"/>
          <w:sz w:val="32"/>
          <w:szCs w:val="32"/>
        </w:rPr>
        <w:t>100</w:t>
      </w:r>
      <w:r>
        <w:rPr>
          <w:rFonts w:hint="eastAsia" w:ascii="仿宋_GB2312" w:eastAsia="仿宋_GB2312"/>
          <w:sz w:val="32"/>
          <w:szCs w:val="32"/>
        </w:rPr>
        <w:t>万元以上专用设备</w:t>
      </w:r>
      <w:r>
        <w:rPr>
          <w:rFonts w:hint="eastAsia" w:ascii="仿宋_GB2312" w:eastAsia="仿宋_GB2312"/>
          <w:sz w:val="32"/>
          <w:szCs w:val="32"/>
          <w:lang w:val="en-US" w:eastAsia="zh-CN"/>
        </w:rPr>
        <w:t>0</w:t>
      </w:r>
      <w:r>
        <w:rPr>
          <w:rFonts w:hint="eastAsia" w:ascii="仿宋_GB2312" w:eastAsia="仿宋_GB2312"/>
          <w:sz w:val="32"/>
          <w:szCs w:val="32"/>
        </w:rPr>
        <w:t>台（套）。</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widowControl/>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w:t>
      </w:r>
      <w:r>
        <w:rPr>
          <w:rFonts w:hint="eastAsia" w:ascii="仿宋_GB2312" w:eastAsia="仿宋_GB2312"/>
          <w:sz w:val="32"/>
          <w:szCs w:val="32"/>
          <w:lang w:eastAsia="zh-CN"/>
        </w:rPr>
        <w:t>乐至县东山镇孔雀卫生院</w:t>
      </w:r>
      <w:r>
        <w:rPr>
          <w:rFonts w:hint="eastAsia" w:ascii="仿宋_GB2312" w:hAnsi="仿宋_GB2312" w:eastAsia="仿宋_GB2312" w:cs="仿宋_GB2312"/>
          <w:sz w:val="32"/>
          <w:szCs w:val="32"/>
        </w:rPr>
        <w:t>在2022年度预算编制阶段，组织对</w:t>
      </w:r>
      <w:r>
        <w:rPr>
          <w:rFonts w:hint="eastAsia" w:ascii="仿宋_GB2312" w:hAnsi="仿宋_GB2312" w:eastAsia="仿宋_GB2312" w:cs="仿宋_GB2312"/>
          <w:sz w:val="32"/>
          <w:szCs w:val="32"/>
          <w:lang w:eastAsia="zh-CN"/>
        </w:rPr>
        <w:t>基本公共卫生服务专项工作、基本药物制度补助、疫情防控工作经费</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个项目开展了预算事前绩效评估，对</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个项目编制了绩效目标，预算执行过程中，选取</w:t>
      </w:r>
      <w:r>
        <w:rPr>
          <w:rFonts w:hint="eastAsia" w:ascii="仿宋_GB2312" w:hAnsi="仿宋_GB2312" w:eastAsia="仿宋_GB2312" w:cs="仿宋_GB2312"/>
          <w:sz w:val="32"/>
          <w:szCs w:val="32"/>
          <w:lang w:val="en-US" w:eastAsia="zh-CN"/>
        </w:rPr>
        <w:t>3</w:t>
      </w:r>
      <w:r>
        <w:rPr>
          <w:rFonts w:hint="eastAsia" w:ascii="仿宋_GB2312" w:hAnsi="仿宋_GB2312" w:eastAsia="仿宋_GB2312" w:cs="仿宋_GB2312"/>
          <w:sz w:val="32"/>
          <w:szCs w:val="32"/>
        </w:rPr>
        <w:t>个项目开展绩效监控。</w:t>
      </w:r>
    </w:p>
    <w:p>
      <w:pPr>
        <w:snapToGrid w:val="0"/>
        <w:spacing w:line="520" w:lineRule="exact"/>
        <w:ind w:firstLine="640" w:firstLineChars="200"/>
        <w:rPr>
          <w:rFonts w:hint="eastAsia" w:ascii="仿宋_GB2312" w:hAnsi="仿宋" w:eastAsia="仿宋_GB2312"/>
          <w:sz w:val="32"/>
          <w:szCs w:val="32"/>
          <w:highlight w:val="none"/>
        </w:rPr>
      </w:pPr>
      <w:r>
        <w:rPr>
          <w:rFonts w:hint="eastAsia" w:ascii="仿宋_GB2312" w:hAnsi="仿宋" w:eastAsia="仿宋_GB2312"/>
          <w:sz w:val="32"/>
          <w:szCs w:val="32"/>
        </w:rPr>
        <w:t>项目绩效目标完成情况。</w:t>
      </w:r>
      <w:r>
        <w:rPr>
          <w:rFonts w:hint="eastAsia" w:ascii="仿宋_GB2312" w:hAnsi="仿宋" w:eastAsia="仿宋_GB2312"/>
          <w:sz w:val="32"/>
          <w:szCs w:val="32"/>
          <w:lang w:eastAsia="zh-CN"/>
        </w:rPr>
        <w:t>今年项目总收入</w:t>
      </w:r>
      <w:r>
        <w:rPr>
          <w:rFonts w:hint="eastAsia" w:ascii="仿宋_GB2312" w:hAnsi="仿宋" w:eastAsia="仿宋_GB2312"/>
          <w:sz w:val="32"/>
          <w:szCs w:val="32"/>
          <w:lang w:val="en-US" w:eastAsia="zh-CN"/>
        </w:rPr>
        <w:t>62.96万元，其中，对村卫生室基药补助5.08万元，基本公共卫生服务项目44.73万元，重大公共卫生服务13.14万元。</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整体支出绩效目标实现情况。</w:t>
      </w:r>
      <w:r>
        <w:rPr>
          <w:rFonts w:hint="eastAsia" w:ascii="仿宋_GB2312" w:hAnsi="仿宋" w:eastAsia="仿宋_GB2312"/>
          <w:sz w:val="32"/>
          <w:szCs w:val="32"/>
          <w:lang w:eastAsia="zh-CN"/>
        </w:rPr>
        <w:t>今年预算总收入</w:t>
      </w:r>
      <w:r>
        <w:rPr>
          <w:rFonts w:hint="eastAsia" w:ascii="仿宋_GB2312" w:hAnsi="仿宋" w:eastAsia="仿宋_GB2312"/>
          <w:sz w:val="32"/>
          <w:szCs w:val="32"/>
          <w:lang w:val="en-US" w:eastAsia="zh-CN"/>
        </w:rPr>
        <w:t>428.98万</w:t>
      </w:r>
      <w:r>
        <w:rPr>
          <w:rFonts w:hint="eastAsia" w:ascii="仿宋_GB2312" w:hAnsi="仿宋" w:eastAsia="仿宋_GB2312"/>
          <w:sz w:val="32"/>
          <w:szCs w:val="32"/>
          <w:lang w:eastAsia="zh-CN"/>
        </w:rPr>
        <w:t>元，今年单位预算总支出</w:t>
      </w:r>
      <w:r>
        <w:rPr>
          <w:rFonts w:hint="eastAsia" w:ascii="仿宋_GB2312" w:hAnsi="仿宋" w:eastAsia="仿宋_GB2312"/>
          <w:sz w:val="32"/>
          <w:szCs w:val="32"/>
          <w:lang w:val="en-US" w:eastAsia="zh-CN"/>
        </w:rPr>
        <w:t>428.98万</w:t>
      </w:r>
      <w:r>
        <w:rPr>
          <w:rFonts w:hint="eastAsia" w:ascii="仿宋_GB2312" w:hAnsi="仿宋" w:eastAsia="仿宋_GB2312"/>
          <w:sz w:val="32"/>
          <w:szCs w:val="32"/>
          <w:lang w:eastAsia="zh-CN"/>
        </w:rPr>
        <w:t>元。今年决算总收入</w:t>
      </w:r>
      <w:r>
        <w:rPr>
          <w:rFonts w:hint="eastAsia" w:ascii="仿宋_GB2312" w:hAnsi="仿宋" w:eastAsia="仿宋_GB2312"/>
          <w:sz w:val="32"/>
          <w:szCs w:val="32"/>
          <w:lang w:val="en-US" w:eastAsia="zh-CN"/>
        </w:rPr>
        <w:t>530.11万</w:t>
      </w:r>
      <w:r>
        <w:rPr>
          <w:rFonts w:hint="eastAsia" w:ascii="仿宋_GB2312" w:hAnsi="仿宋" w:eastAsia="仿宋_GB2312"/>
          <w:sz w:val="32"/>
          <w:szCs w:val="32"/>
          <w:lang w:eastAsia="zh-CN"/>
        </w:rPr>
        <w:t>元，其中一般公共预算财政拨款收入</w:t>
      </w:r>
      <w:r>
        <w:rPr>
          <w:rFonts w:hint="eastAsia" w:ascii="仿宋_GB2312" w:hAnsi="仿宋" w:eastAsia="仿宋_GB2312"/>
          <w:sz w:val="32"/>
          <w:szCs w:val="32"/>
          <w:lang w:val="en-US" w:eastAsia="zh-CN"/>
        </w:rPr>
        <w:t>109.52万</w:t>
      </w:r>
      <w:r>
        <w:rPr>
          <w:rFonts w:hint="eastAsia" w:ascii="仿宋_GB2312" w:hAnsi="仿宋" w:eastAsia="仿宋_GB2312"/>
          <w:sz w:val="32"/>
          <w:szCs w:val="32"/>
          <w:lang w:eastAsia="zh-CN"/>
        </w:rPr>
        <w:t>元，占总收入的</w:t>
      </w:r>
      <w:r>
        <w:rPr>
          <w:rFonts w:hint="eastAsia" w:ascii="仿宋_GB2312" w:hAnsi="仿宋" w:eastAsia="仿宋_GB2312"/>
          <w:sz w:val="32"/>
          <w:szCs w:val="32"/>
          <w:lang w:val="en-US" w:eastAsia="zh-CN"/>
        </w:rPr>
        <w:t>20.7</w:t>
      </w:r>
      <w:r>
        <w:rPr>
          <w:rFonts w:hint="eastAsia" w:ascii="仿宋_GB2312" w:hAnsi="仿宋" w:eastAsia="仿宋_GB2312"/>
          <w:sz w:val="32"/>
          <w:szCs w:val="32"/>
          <w:lang w:eastAsia="zh-CN"/>
        </w:rPr>
        <w:t>%，政府性基金预算财政拨款收入</w:t>
      </w:r>
      <w:r>
        <w:rPr>
          <w:rFonts w:hint="eastAsia" w:ascii="仿宋_GB2312" w:hAnsi="仿宋" w:eastAsia="仿宋_GB2312"/>
          <w:sz w:val="32"/>
          <w:szCs w:val="32"/>
          <w:lang w:val="en-US" w:eastAsia="zh-CN"/>
        </w:rPr>
        <w:t>0元，</w:t>
      </w:r>
      <w:r>
        <w:rPr>
          <w:rFonts w:hint="eastAsia" w:ascii="仿宋_GB2312" w:hAnsi="仿宋" w:eastAsia="仿宋_GB2312"/>
          <w:sz w:val="32"/>
          <w:szCs w:val="32"/>
          <w:lang w:eastAsia="zh-CN"/>
        </w:rPr>
        <w:t>占</w:t>
      </w:r>
      <w:bookmarkStart w:id="69" w:name="_GoBack"/>
      <w:bookmarkEnd w:id="69"/>
      <w:r>
        <w:rPr>
          <w:rFonts w:hint="eastAsia" w:ascii="仿宋_GB2312" w:hAnsi="仿宋" w:eastAsia="仿宋_GB2312"/>
          <w:sz w:val="32"/>
          <w:szCs w:val="32"/>
          <w:lang w:eastAsia="zh-CN"/>
        </w:rPr>
        <w:t>总收入的</w:t>
      </w:r>
      <w:r>
        <w:rPr>
          <w:rFonts w:hint="eastAsia" w:ascii="仿宋_GB2312" w:hAnsi="仿宋" w:eastAsia="仿宋_GB2312"/>
          <w:sz w:val="32"/>
          <w:szCs w:val="32"/>
          <w:lang w:val="en-US" w:eastAsia="zh-CN"/>
        </w:rPr>
        <w:t>0.0</w:t>
      </w:r>
      <w:r>
        <w:rPr>
          <w:rFonts w:hint="eastAsia" w:ascii="仿宋_GB2312" w:hAnsi="仿宋" w:eastAsia="仿宋_GB2312"/>
          <w:sz w:val="32"/>
          <w:szCs w:val="32"/>
          <w:lang w:eastAsia="zh-CN"/>
        </w:rPr>
        <w:t>%，事业收入</w:t>
      </w:r>
      <w:r>
        <w:rPr>
          <w:rFonts w:hint="eastAsia" w:ascii="仿宋_GB2312" w:hAnsi="仿宋" w:eastAsia="仿宋_GB2312"/>
          <w:sz w:val="32"/>
          <w:szCs w:val="32"/>
          <w:lang w:val="en-US" w:eastAsia="zh-CN"/>
        </w:rPr>
        <w:t>394.49万</w:t>
      </w:r>
      <w:r>
        <w:rPr>
          <w:rFonts w:hint="eastAsia" w:ascii="仿宋_GB2312" w:hAnsi="仿宋" w:eastAsia="仿宋_GB2312"/>
          <w:sz w:val="32"/>
          <w:szCs w:val="32"/>
          <w:lang w:eastAsia="zh-CN"/>
        </w:rPr>
        <w:t>元，占总收入的</w:t>
      </w:r>
      <w:r>
        <w:rPr>
          <w:rFonts w:hint="eastAsia" w:ascii="仿宋_GB2312" w:hAnsi="仿宋" w:eastAsia="仿宋_GB2312"/>
          <w:sz w:val="32"/>
          <w:szCs w:val="32"/>
          <w:lang w:val="en-US" w:eastAsia="zh-CN"/>
        </w:rPr>
        <w:t>74.4</w:t>
      </w:r>
      <w:r>
        <w:rPr>
          <w:rFonts w:hint="eastAsia" w:ascii="仿宋_GB2312" w:hAnsi="仿宋" w:eastAsia="仿宋_GB2312"/>
          <w:sz w:val="32"/>
          <w:szCs w:val="32"/>
          <w:lang w:eastAsia="zh-CN"/>
        </w:rPr>
        <w:t>%，其他收入</w:t>
      </w:r>
      <w:r>
        <w:rPr>
          <w:rFonts w:hint="eastAsia" w:ascii="仿宋_GB2312" w:hAnsi="仿宋" w:eastAsia="仿宋_GB2312"/>
          <w:sz w:val="32"/>
          <w:szCs w:val="32"/>
          <w:lang w:val="en-US" w:eastAsia="zh-CN"/>
        </w:rPr>
        <w:t>26.1万</w:t>
      </w:r>
      <w:r>
        <w:rPr>
          <w:rFonts w:hint="eastAsia" w:ascii="仿宋_GB2312" w:hAnsi="仿宋" w:eastAsia="仿宋_GB2312"/>
          <w:sz w:val="32"/>
          <w:szCs w:val="32"/>
          <w:lang w:eastAsia="zh-CN"/>
        </w:rPr>
        <w:t>元，占总收入的</w:t>
      </w:r>
      <w:r>
        <w:rPr>
          <w:rFonts w:hint="eastAsia" w:ascii="仿宋_GB2312" w:hAnsi="仿宋" w:eastAsia="仿宋_GB2312"/>
          <w:sz w:val="32"/>
          <w:szCs w:val="32"/>
          <w:lang w:val="en-US" w:eastAsia="zh-CN"/>
        </w:rPr>
        <w:t>4.9</w:t>
      </w:r>
      <w:r>
        <w:rPr>
          <w:rFonts w:hint="eastAsia" w:ascii="仿宋_GB2312" w:hAnsi="仿宋" w:eastAsia="仿宋_GB2312"/>
          <w:sz w:val="32"/>
          <w:szCs w:val="32"/>
          <w:lang w:eastAsia="zh-CN"/>
        </w:rPr>
        <w:t>%。总支出</w:t>
      </w:r>
      <w:r>
        <w:rPr>
          <w:rFonts w:hint="eastAsia" w:ascii="仿宋_GB2312" w:hAnsi="仿宋" w:eastAsia="仿宋_GB2312"/>
          <w:sz w:val="32"/>
          <w:szCs w:val="32"/>
          <w:lang w:val="en-US" w:eastAsia="zh-CN"/>
        </w:rPr>
        <w:t>530.11万</w:t>
      </w:r>
      <w:r>
        <w:rPr>
          <w:rFonts w:hint="eastAsia" w:ascii="仿宋_GB2312" w:hAnsi="仿宋" w:eastAsia="仿宋_GB2312"/>
          <w:sz w:val="32"/>
          <w:szCs w:val="32"/>
          <w:lang w:eastAsia="zh-CN"/>
        </w:rPr>
        <w:t>元，其中人员经费</w:t>
      </w:r>
      <w:r>
        <w:rPr>
          <w:rFonts w:hint="eastAsia" w:ascii="仿宋_GB2312" w:hAnsi="仿宋" w:eastAsia="仿宋_GB2312"/>
          <w:sz w:val="32"/>
          <w:szCs w:val="32"/>
          <w:lang w:val="en-US" w:eastAsia="zh-CN"/>
        </w:rPr>
        <w:t>243.20万</w:t>
      </w:r>
      <w:r>
        <w:rPr>
          <w:rFonts w:hint="eastAsia" w:ascii="仿宋_GB2312" w:hAnsi="仿宋" w:eastAsia="仿宋_GB2312"/>
          <w:sz w:val="32"/>
          <w:szCs w:val="32"/>
          <w:lang w:eastAsia="zh-CN"/>
        </w:rPr>
        <w:t>元，占总支出的</w:t>
      </w:r>
      <w:r>
        <w:rPr>
          <w:rFonts w:hint="eastAsia" w:ascii="仿宋_GB2312" w:hAnsi="仿宋" w:eastAsia="仿宋_GB2312"/>
          <w:sz w:val="32"/>
          <w:szCs w:val="32"/>
          <w:lang w:val="en-US" w:eastAsia="zh-CN"/>
        </w:rPr>
        <w:t>45.88</w:t>
      </w:r>
      <w:r>
        <w:rPr>
          <w:rFonts w:hint="eastAsia" w:ascii="仿宋_GB2312" w:hAnsi="仿宋" w:eastAsia="仿宋_GB2312"/>
          <w:sz w:val="32"/>
          <w:szCs w:val="32"/>
          <w:lang w:eastAsia="zh-CN"/>
        </w:rPr>
        <w:t>%，日常公用支出</w:t>
      </w:r>
      <w:r>
        <w:rPr>
          <w:rFonts w:hint="eastAsia" w:ascii="仿宋_GB2312" w:hAnsi="仿宋" w:eastAsia="仿宋_GB2312"/>
          <w:sz w:val="32"/>
          <w:szCs w:val="32"/>
          <w:lang w:val="en-US" w:eastAsia="zh-CN"/>
        </w:rPr>
        <w:t>223.96万</w:t>
      </w:r>
      <w:r>
        <w:rPr>
          <w:rFonts w:hint="eastAsia" w:ascii="仿宋_GB2312" w:hAnsi="仿宋" w:eastAsia="仿宋_GB2312"/>
          <w:sz w:val="32"/>
          <w:szCs w:val="32"/>
          <w:lang w:eastAsia="zh-CN"/>
        </w:rPr>
        <w:t>元，占总支出的</w:t>
      </w:r>
      <w:r>
        <w:rPr>
          <w:rFonts w:hint="eastAsia" w:ascii="仿宋_GB2312" w:hAnsi="仿宋" w:eastAsia="仿宋_GB2312"/>
          <w:sz w:val="32"/>
          <w:szCs w:val="32"/>
          <w:lang w:val="en-US" w:eastAsia="zh-CN"/>
        </w:rPr>
        <w:t>42.25</w:t>
      </w:r>
      <w:r>
        <w:rPr>
          <w:rFonts w:hint="eastAsia" w:ascii="仿宋_GB2312" w:hAnsi="仿宋" w:eastAsia="仿宋_GB2312"/>
          <w:sz w:val="32"/>
          <w:szCs w:val="32"/>
          <w:lang w:eastAsia="zh-CN"/>
        </w:rPr>
        <w:t>%，项目支出</w:t>
      </w:r>
      <w:r>
        <w:rPr>
          <w:rFonts w:hint="eastAsia" w:ascii="仿宋_GB2312" w:hAnsi="仿宋" w:eastAsia="仿宋_GB2312"/>
          <w:sz w:val="32"/>
          <w:szCs w:val="32"/>
          <w:lang w:val="en-US" w:eastAsia="zh-CN"/>
        </w:rPr>
        <w:t>62.95万</w:t>
      </w:r>
      <w:r>
        <w:rPr>
          <w:rFonts w:hint="eastAsia" w:ascii="仿宋_GB2312" w:hAnsi="仿宋" w:eastAsia="仿宋_GB2312"/>
          <w:sz w:val="32"/>
          <w:szCs w:val="32"/>
          <w:lang w:eastAsia="zh-CN"/>
        </w:rPr>
        <w:t>元，占总支出的</w:t>
      </w:r>
      <w:r>
        <w:rPr>
          <w:rFonts w:hint="eastAsia" w:ascii="仿宋_GB2312" w:hAnsi="仿宋" w:eastAsia="仿宋_GB2312"/>
          <w:sz w:val="32"/>
          <w:szCs w:val="32"/>
          <w:lang w:val="en-US" w:eastAsia="zh-CN"/>
        </w:rPr>
        <w:t>11.87</w:t>
      </w:r>
      <w:r>
        <w:rPr>
          <w:rFonts w:hint="eastAsia" w:ascii="仿宋_GB2312" w:hAnsi="仿宋" w:eastAsia="仿宋_GB2312"/>
          <w:sz w:val="32"/>
          <w:szCs w:val="32"/>
          <w:lang w:eastAsia="zh-CN"/>
        </w:rPr>
        <w:t>%。</w:t>
      </w:r>
    </w:p>
    <w:p>
      <w:pPr>
        <w:widowControl/>
        <w:ind w:firstLine="640" w:firstLineChars="200"/>
        <w:jc w:val="left"/>
        <w:rPr>
          <w:rFonts w:hint="eastAsia" w:ascii="仿宋_GB2312" w:hAnsi="仿宋_GB2312" w:eastAsia="仿宋_GB2312" w:cs="仿宋_GB2312"/>
          <w:sz w:val="32"/>
          <w:szCs w:val="32"/>
        </w:rPr>
      </w:pPr>
    </w:p>
    <w:p>
      <w:pPr>
        <w:widowControl/>
        <w:ind w:firstLine="643" w:firstLineChars="200"/>
        <w:jc w:val="left"/>
        <w:rPr>
          <w:rFonts w:ascii="仿宋_GB2312" w:eastAsia="仿宋_GB2312"/>
          <w:b/>
          <w:sz w:val="32"/>
          <w:szCs w:val="32"/>
        </w:rPr>
      </w:pPr>
      <w:r>
        <w:rPr>
          <w:rFonts w:ascii="仿宋_GB2312" w:eastAsia="仿宋_GB2312"/>
          <w:b/>
          <w:sz w:val="32"/>
          <w:szCs w:val="32"/>
        </w:rPr>
        <w:br w:type="page"/>
      </w:r>
    </w:p>
    <w:p>
      <w:pPr>
        <w:numPr>
          <w:ilvl w:val="0"/>
          <w:numId w:val="3"/>
        </w:numPr>
        <w:spacing w:line="600" w:lineRule="exact"/>
        <w:ind w:firstLine="660" w:firstLineChars="150"/>
        <w:jc w:val="center"/>
        <w:outlineLvl w:val="0"/>
        <w:rPr>
          <w:rStyle w:val="28"/>
          <w:rFonts w:ascii="黑体" w:hAnsi="黑体" w:eastAsia="黑体"/>
          <w:b w:val="0"/>
        </w:rPr>
      </w:pPr>
      <w:bookmarkStart w:id="51" w:name="_Toc15377225"/>
      <w:bookmarkStart w:id="52" w:name="_Toc15396613"/>
      <w:r>
        <w:rPr>
          <w:rFonts w:hint="eastAsia" w:ascii="黑体" w:hAnsi="黑体" w:eastAsia="黑体"/>
          <w:sz w:val="44"/>
          <w:szCs w:val="44"/>
        </w:rPr>
        <w:t>名</w:t>
      </w:r>
      <w:r>
        <w:rPr>
          <w:rStyle w:val="28"/>
          <w:rFonts w:hint="eastAsia" w:ascii="黑体" w:hAnsi="黑体" w:eastAsia="黑体"/>
          <w:b w:val="0"/>
        </w:rPr>
        <w:t>词解释</w:t>
      </w:r>
      <w:bookmarkEnd w:id="51"/>
      <w:bookmarkEnd w:id="52"/>
    </w:p>
    <w:p>
      <w:pPr>
        <w:spacing w:line="600" w:lineRule="exact"/>
        <w:jc w:val="left"/>
        <w:rPr>
          <w:rFonts w:ascii="宋体"/>
          <w:b/>
          <w:sz w:val="44"/>
          <w:szCs w:val="44"/>
        </w:rPr>
      </w:pPr>
    </w:p>
    <w:p>
      <w:pPr>
        <w:pStyle w:val="26"/>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6"/>
        <w:spacing w:line="560" w:lineRule="exact"/>
        <w:ind w:firstLine="640" w:firstLineChars="200"/>
        <w:rPr>
          <w:rFonts w:hint="eastAsia"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事业收入：指事业单位开展专业业务活动及辅助活动取得的收入。</w:t>
      </w:r>
    </w:p>
    <w:p>
      <w:pPr>
        <w:pStyle w:val="26"/>
        <w:spacing w:line="560" w:lineRule="exact"/>
        <w:ind w:firstLine="640" w:firstLineChars="200"/>
        <w:rPr>
          <w:rFonts w:hint="eastAsia" w:ascii="仿宋_GB2312" w:eastAsia="仿宋_GB2312"/>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经营收入：指事业单位在专业业务活动及其辅助活动之外开展非独立核算经营活动取得的收入。</w:t>
      </w:r>
    </w:p>
    <w:p>
      <w:pPr>
        <w:pStyle w:val="26"/>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4.</w:t>
      </w:r>
      <w:r>
        <w:rPr>
          <w:rFonts w:hint="eastAsia" w:ascii="仿宋_GB2312" w:eastAsia="仿宋_GB2312"/>
          <w:color w:val="auto"/>
          <w:sz w:val="32"/>
          <w:szCs w:val="32"/>
        </w:rPr>
        <w:t>其他收入：指单位取得的除上述收入以外的各项收入。</w:t>
      </w:r>
    </w:p>
    <w:p>
      <w:pPr>
        <w:pStyle w:val="26"/>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5.</w:t>
      </w:r>
      <w:r>
        <w:rPr>
          <w:rFonts w:hint="eastAsia" w:ascii="仿宋_GB2312" w:eastAsia="仿宋_GB2312"/>
          <w:color w:val="auto"/>
          <w:sz w:val="32"/>
          <w:szCs w:val="32"/>
        </w:rPr>
        <w:t>使用非财政拨款结余：指事业单位使用以前年度积累的非财政拨款结余弥补当年收支差额的金额。</w:t>
      </w:r>
      <w:r>
        <w:rPr>
          <w:rFonts w:ascii="仿宋_GB2312" w:eastAsia="仿宋_GB2312"/>
          <w:color w:val="auto"/>
          <w:sz w:val="32"/>
          <w:szCs w:val="32"/>
        </w:rPr>
        <w:t xml:space="preserve"> </w:t>
      </w:r>
    </w:p>
    <w:p>
      <w:pPr>
        <w:pStyle w:val="26"/>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6.</w:t>
      </w:r>
      <w:r>
        <w:rPr>
          <w:rFonts w:hint="eastAsia" w:ascii="仿宋_GB2312" w:eastAsia="仿宋_GB2312"/>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pPr>
        <w:pStyle w:val="26"/>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7.</w:t>
      </w:r>
      <w:r>
        <w:rPr>
          <w:rFonts w:hint="eastAsia" w:ascii="仿宋_GB2312" w:eastAsia="仿宋_GB2312"/>
          <w:color w:val="auto"/>
          <w:sz w:val="32"/>
          <w:szCs w:val="32"/>
        </w:rPr>
        <w:t>结余分配：指事业单位按照会计制度规定缴纳的所得税、提取的专用结余以及转入非财政拨款结余的金额等。</w:t>
      </w:r>
    </w:p>
    <w:p>
      <w:pPr>
        <w:pStyle w:val="26"/>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8</w:t>
      </w:r>
      <w:r>
        <w:rPr>
          <w:rFonts w:hint="eastAsia" w:ascii="仿宋_GB2312" w:eastAsia="仿宋_GB2312"/>
          <w:color w:val="auto"/>
          <w:sz w:val="32"/>
          <w:szCs w:val="32"/>
        </w:rPr>
        <w:t>.年末结转和结余：指单位按有关规定结转到下年或以后年度继续使用的资金。</w:t>
      </w:r>
    </w:p>
    <w:p>
      <w:pPr>
        <w:ind w:firstLine="640" w:firstLineChars="200"/>
        <w:rPr>
          <w:rFonts w:ascii="仿宋_GB2312" w:eastAsia="仿宋_GB2312"/>
          <w:sz w:val="32"/>
          <w:szCs w:val="32"/>
        </w:rPr>
      </w:pPr>
      <w:r>
        <w:rPr>
          <w:rFonts w:hint="eastAsia" w:ascii="仿宋_GB2312" w:eastAsia="仿宋_GB2312"/>
          <w:sz w:val="32"/>
          <w:szCs w:val="32"/>
          <w:lang w:val="en-US" w:eastAsia="zh-CN"/>
        </w:rPr>
        <w:t>9</w:t>
      </w:r>
      <w:r>
        <w:rPr>
          <w:rFonts w:ascii="仿宋_GB2312" w:eastAsia="仿宋_GB2312"/>
          <w:sz w:val="32"/>
          <w:szCs w:val="32"/>
        </w:rPr>
        <w:t>.</w:t>
      </w:r>
      <w:r>
        <w:rPr>
          <w:rFonts w:hint="eastAsia" w:ascii="仿宋_GB2312" w:eastAsia="仿宋_GB2312"/>
          <w:sz w:val="32"/>
          <w:szCs w:val="32"/>
        </w:rPr>
        <w:t>社会保障和就业（类）…（款）…（项）：指社会保障和就业（类）208（款）05（项）05机关事业单位基本养老保险缴费支出，社会保障和就业（类）208（款）05（项）06机关事业单位职业年金缴费支出。</w:t>
      </w:r>
    </w:p>
    <w:p>
      <w:pPr>
        <w:ind w:firstLine="640" w:firstLineChars="200"/>
        <w:rPr>
          <w:rFonts w:ascii="仿宋_GB2312" w:eastAsia="仿宋_GB2312"/>
          <w:sz w:val="32"/>
          <w:szCs w:val="32"/>
        </w:rPr>
      </w:pPr>
      <w:r>
        <w:rPr>
          <w:rFonts w:hint="eastAsia" w:ascii="仿宋_GB2312" w:eastAsia="仿宋_GB2312"/>
          <w:sz w:val="32"/>
          <w:szCs w:val="32"/>
          <w:lang w:val="en-US" w:eastAsia="zh-CN"/>
        </w:rPr>
        <w:t>10</w:t>
      </w:r>
      <w:r>
        <w:rPr>
          <w:rFonts w:ascii="仿宋_GB2312" w:eastAsia="仿宋_GB2312"/>
          <w:sz w:val="32"/>
          <w:szCs w:val="32"/>
        </w:rPr>
        <w:t>.</w:t>
      </w:r>
      <w:r>
        <w:rPr>
          <w:rFonts w:hint="eastAsia" w:ascii="仿宋_GB2312" w:eastAsia="仿宋_GB2312"/>
          <w:sz w:val="32"/>
          <w:szCs w:val="32"/>
        </w:rPr>
        <w:t>卫生健康（类）…（款）…（项）：指卫生健康（类）210（款）03（项）02乡镇卫生院</w:t>
      </w:r>
      <w:r>
        <w:rPr>
          <w:rFonts w:hint="eastAsia" w:ascii="仿宋_GB2312" w:eastAsia="仿宋_GB2312"/>
          <w:sz w:val="32"/>
          <w:szCs w:val="32"/>
          <w:lang w:eastAsia="zh-CN"/>
        </w:rPr>
        <w:t>，</w:t>
      </w:r>
      <w:r>
        <w:rPr>
          <w:rFonts w:hint="eastAsia" w:ascii="仿宋_GB2312" w:eastAsia="仿宋_GB2312"/>
          <w:sz w:val="32"/>
          <w:szCs w:val="32"/>
        </w:rPr>
        <w:t>卫生健康（类）210（款）03（项）99其他基层医疗卫生机构支出，卫生健康（类）210（款）04（项）08基本公共卫生服务，卫生健康（类）210（款）04（项）09重大公共卫生服务。</w:t>
      </w:r>
    </w:p>
    <w:p>
      <w:pPr>
        <w:ind w:firstLine="640" w:firstLineChars="200"/>
        <w:rPr>
          <w:rFonts w:ascii="仿宋_GB2312" w:eastAsia="仿宋_GB2312"/>
          <w:sz w:val="32"/>
          <w:szCs w:val="32"/>
        </w:rPr>
      </w:pPr>
      <w:r>
        <w:rPr>
          <w:rFonts w:hint="eastAsia" w:ascii="仿宋_GB2312" w:eastAsia="仿宋_GB2312"/>
          <w:sz w:val="32"/>
          <w:szCs w:val="32"/>
          <w:lang w:val="en-US" w:eastAsia="zh-CN"/>
        </w:rPr>
        <w:t>11</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hint="eastAsia" w:ascii="仿宋_GB2312" w:eastAsia="仿宋_GB2312"/>
          <w:sz w:val="32"/>
          <w:szCs w:val="32"/>
          <w:lang w:val="en-US" w:eastAsia="zh-CN"/>
        </w:rPr>
        <w:t>12</w:t>
      </w:r>
      <w:r>
        <w:rPr>
          <w:rFonts w:ascii="仿宋_GB2312" w:eastAsia="仿宋_GB2312"/>
          <w:sz w:val="32"/>
          <w:szCs w:val="32"/>
        </w:rPr>
        <w:t>.</w:t>
      </w:r>
      <w:r>
        <w:rPr>
          <w:rFonts w:hint="eastAsia" w:ascii="仿宋_GB2312" w:eastAsia="仿宋_GB2312"/>
          <w:sz w:val="32"/>
          <w:szCs w:val="32"/>
        </w:rPr>
        <w:t>项目支出：指在基本支出之外为完成特定行政任务和事业发展目标所发生的支出。</w:t>
      </w:r>
      <w:r>
        <w:rPr>
          <w:rFonts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lang w:val="en-US" w:eastAsia="zh-CN"/>
        </w:rPr>
        <w:t>13</w:t>
      </w:r>
      <w:r>
        <w:rPr>
          <w:rFonts w:ascii="仿宋_GB2312" w:eastAsia="仿宋_GB2312"/>
          <w:sz w:val="32"/>
          <w:szCs w:val="32"/>
        </w:rPr>
        <w:t>.</w:t>
      </w:r>
      <w:r>
        <w:rPr>
          <w:rFonts w:hint="eastAsia" w:ascii="仿宋_GB2312" w:eastAsia="仿宋_GB2312"/>
          <w:sz w:val="32"/>
          <w:szCs w:val="32"/>
        </w:rPr>
        <w:t>经营支出：指事业单位在专业业务活动及其辅助活动之外开展非独立核算经营活动发生的支出。</w:t>
      </w:r>
    </w:p>
    <w:p>
      <w:pPr>
        <w:pStyle w:val="26"/>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14</w:t>
      </w:r>
      <w:r>
        <w:rPr>
          <w:rFonts w:ascii="仿宋_GB2312" w:eastAsia="仿宋_GB2312"/>
          <w:color w:val="auto"/>
          <w:sz w:val="32"/>
          <w:szCs w:val="32"/>
        </w:rPr>
        <w:t>.</w:t>
      </w:r>
      <w:r>
        <w:rPr>
          <w:rFonts w:hint="eastAsia" w:ascii="仿宋_GB2312" w:eastAsia="仿宋_GB2312"/>
          <w:color w:val="auto"/>
          <w:sz w:val="32"/>
          <w:szCs w:val="32"/>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6"/>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15</w:t>
      </w:r>
      <w:r>
        <w:rPr>
          <w:rFonts w:ascii="仿宋_GB2312" w:eastAsia="仿宋_GB2312"/>
          <w:color w:val="auto"/>
          <w:sz w:val="32"/>
          <w:szCs w:val="32"/>
        </w:rPr>
        <w:t>.</w:t>
      </w:r>
      <w:r>
        <w:rPr>
          <w:rFonts w:hint="eastAsia" w:ascii="仿宋_GB2312" w:eastAsia="仿宋_GB2312"/>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8"/>
          <w:rFonts w:ascii="黑体" w:hAnsi="黑体" w:eastAsia="黑体"/>
          <w:b w:val="0"/>
        </w:rPr>
      </w:pPr>
      <w:bookmarkStart w:id="53" w:name="_Toc15377226"/>
      <w:r>
        <w:rPr>
          <w:rFonts w:ascii="宋体"/>
          <w:b/>
          <w:sz w:val="44"/>
          <w:szCs w:val="44"/>
        </w:rPr>
        <w:br w:type="page"/>
      </w:r>
      <w:bookmarkStart w:id="54" w:name="_Toc15396614"/>
      <w:r>
        <w:rPr>
          <w:rFonts w:hint="eastAsia" w:ascii="黑体" w:hAnsi="黑体" w:eastAsia="黑体"/>
          <w:sz w:val="44"/>
          <w:szCs w:val="44"/>
        </w:rPr>
        <w:t>第</w:t>
      </w:r>
      <w:r>
        <w:rPr>
          <w:rStyle w:val="28"/>
          <w:rFonts w:hint="eastAsia" w:ascii="黑体" w:hAnsi="黑体" w:eastAsia="黑体"/>
          <w:b w:val="0"/>
        </w:rPr>
        <w:t>四部分 附件</w:t>
      </w:r>
      <w:bookmarkEnd w:id="54"/>
    </w:p>
    <w:p>
      <w:pPr>
        <w:spacing w:line="572" w:lineRule="exact"/>
        <w:jc w:val="left"/>
        <w:outlineLvl w:val="0"/>
        <w:rPr>
          <w:rFonts w:hint="eastAsia" w:ascii="黑体" w:hAnsi="黑体" w:eastAsia="黑体" w:cs="黑体"/>
          <w:sz w:val="32"/>
          <w:szCs w:val="32"/>
        </w:rPr>
      </w:pPr>
      <w:r>
        <w:rPr>
          <w:rFonts w:hint="eastAsia" w:ascii="黑体" w:hAnsi="黑体" w:eastAsia="黑体" w:cs="黑体"/>
          <w:sz w:val="32"/>
          <w:szCs w:val="32"/>
        </w:rPr>
        <w:t>附件</w:t>
      </w:r>
    </w:p>
    <w:p>
      <w:pPr>
        <w:pStyle w:val="6"/>
        <w:rPr>
          <w:rFonts w:hint="eastAsia" w:eastAsia="黑体"/>
          <w:lang w:eastAsia="zh-CN"/>
        </w:rPr>
      </w:pPr>
      <w:r>
        <w:rPr>
          <w:rFonts w:hint="eastAsia" w:ascii="黑体" w:hAnsi="黑体" w:eastAsia="黑体" w:cs="黑体"/>
          <w:sz w:val="32"/>
          <w:szCs w:val="32"/>
          <w:lang w:eastAsia="zh-CN"/>
        </w:rPr>
        <w:t>无</w:t>
      </w:r>
    </w:p>
    <w:p>
      <w:pPr>
        <w:spacing w:line="600" w:lineRule="exact"/>
        <w:jc w:val="center"/>
        <w:outlineLvl w:val="0"/>
        <w:rPr>
          <w:rFonts w:ascii="仿宋" w:hAnsi="仿宋" w:eastAsia="仿宋"/>
        </w:rPr>
      </w:pPr>
      <w:bookmarkStart w:id="55" w:name="_Toc15396618"/>
      <w:r>
        <w:rPr>
          <w:rFonts w:hint="eastAsia" w:ascii="黑体" w:hAnsi="黑体" w:eastAsia="黑体"/>
          <w:sz w:val="44"/>
          <w:szCs w:val="44"/>
        </w:rPr>
        <w:t>第</w:t>
      </w:r>
      <w:r>
        <w:rPr>
          <w:rStyle w:val="28"/>
          <w:rFonts w:hint="eastAsia" w:ascii="黑体" w:hAnsi="黑体" w:eastAsia="黑体"/>
          <w:b w:val="0"/>
        </w:rPr>
        <w:t>五部分 附表</w:t>
      </w:r>
      <w:bookmarkEnd w:id="53"/>
      <w:bookmarkEnd w:id="55"/>
      <w:bookmarkStart w:id="56" w:name="_Toc15396619"/>
    </w:p>
    <w:p>
      <w:pPr>
        <w:pStyle w:val="3"/>
        <w:rPr>
          <w:rFonts w:ascii="仿宋" w:hAnsi="仿宋" w:eastAsia="仿宋"/>
        </w:rPr>
      </w:pPr>
      <w:r>
        <w:rPr>
          <w:rFonts w:hint="eastAsia" w:ascii="仿宋" w:hAnsi="仿宋" w:eastAsia="仿宋"/>
          <w:b w:val="0"/>
        </w:rPr>
        <w:t>一、收</w:t>
      </w:r>
      <w:r>
        <w:rPr>
          <w:rStyle w:val="29"/>
          <w:rFonts w:hint="eastAsia" w:ascii="仿宋" w:hAnsi="仿宋" w:eastAsia="仿宋"/>
          <w:b w:val="0"/>
          <w:bCs w:val="0"/>
        </w:rPr>
        <w:t>入支出决算总表</w:t>
      </w:r>
      <w:bookmarkEnd w:id="56"/>
    </w:p>
    <w:p>
      <w:pPr>
        <w:pStyle w:val="3"/>
        <w:rPr>
          <w:rFonts w:ascii="仿宋" w:hAnsi="仿宋" w:eastAsia="仿宋"/>
        </w:rPr>
      </w:pPr>
      <w:bookmarkStart w:id="57" w:name="_Toc15396620"/>
      <w:r>
        <w:rPr>
          <w:rFonts w:hint="eastAsia" w:ascii="仿宋" w:hAnsi="仿宋" w:eastAsia="仿宋"/>
          <w:b w:val="0"/>
        </w:rPr>
        <w:t>二、收</w:t>
      </w:r>
      <w:r>
        <w:rPr>
          <w:rStyle w:val="29"/>
          <w:rFonts w:hint="eastAsia" w:ascii="仿宋" w:hAnsi="仿宋" w:eastAsia="仿宋"/>
          <w:b w:val="0"/>
          <w:bCs w:val="0"/>
        </w:rPr>
        <w:t>入决算表</w:t>
      </w:r>
      <w:bookmarkEnd w:id="57"/>
    </w:p>
    <w:p>
      <w:pPr>
        <w:pStyle w:val="3"/>
        <w:rPr>
          <w:rFonts w:ascii="仿宋" w:hAnsi="仿宋" w:eastAsia="仿宋"/>
        </w:rPr>
      </w:pPr>
      <w:bookmarkStart w:id="58" w:name="_Toc15396621"/>
      <w:r>
        <w:rPr>
          <w:rStyle w:val="29"/>
          <w:rFonts w:hint="eastAsia" w:ascii="仿宋" w:hAnsi="仿宋" w:eastAsia="仿宋"/>
          <w:b w:val="0"/>
          <w:bCs w:val="0"/>
        </w:rPr>
        <w:t>三、</w:t>
      </w:r>
      <w:r>
        <w:rPr>
          <w:rFonts w:hint="eastAsia" w:ascii="仿宋" w:hAnsi="仿宋" w:eastAsia="仿宋"/>
          <w:b w:val="0"/>
        </w:rPr>
        <w:t>支</w:t>
      </w:r>
      <w:r>
        <w:rPr>
          <w:rStyle w:val="29"/>
          <w:rFonts w:hint="eastAsia" w:ascii="仿宋" w:hAnsi="仿宋" w:eastAsia="仿宋"/>
          <w:b w:val="0"/>
          <w:bCs w:val="0"/>
        </w:rPr>
        <w:t>出决算表</w:t>
      </w:r>
      <w:bookmarkEnd w:id="58"/>
    </w:p>
    <w:p>
      <w:pPr>
        <w:pStyle w:val="3"/>
        <w:rPr>
          <w:rFonts w:ascii="仿宋" w:hAnsi="仿宋" w:eastAsia="仿宋"/>
          <w:b w:val="0"/>
        </w:rPr>
      </w:pPr>
      <w:bookmarkStart w:id="59" w:name="_Toc15396622"/>
      <w:r>
        <w:rPr>
          <w:rStyle w:val="29"/>
          <w:rFonts w:hint="eastAsia" w:ascii="仿宋" w:hAnsi="仿宋" w:eastAsia="仿宋"/>
          <w:b w:val="0"/>
          <w:bCs w:val="0"/>
        </w:rPr>
        <w:t>四、</w:t>
      </w:r>
      <w:r>
        <w:rPr>
          <w:rFonts w:hint="eastAsia" w:ascii="仿宋" w:hAnsi="仿宋" w:eastAsia="仿宋"/>
          <w:b w:val="0"/>
        </w:rPr>
        <w:t>财</w:t>
      </w:r>
      <w:r>
        <w:rPr>
          <w:rStyle w:val="29"/>
          <w:rFonts w:hint="eastAsia" w:ascii="仿宋" w:hAnsi="仿宋" w:eastAsia="仿宋"/>
          <w:b w:val="0"/>
          <w:bCs w:val="0"/>
        </w:rPr>
        <w:t>政拨款收入支出决算总表</w:t>
      </w:r>
      <w:bookmarkEnd w:id="59"/>
    </w:p>
    <w:p>
      <w:pPr>
        <w:pStyle w:val="3"/>
        <w:rPr>
          <w:rStyle w:val="29"/>
          <w:rFonts w:ascii="仿宋" w:hAnsi="仿宋" w:eastAsia="仿宋"/>
          <w:b w:val="0"/>
          <w:bCs w:val="0"/>
        </w:rPr>
      </w:pPr>
      <w:bookmarkStart w:id="60" w:name="_Toc15396623"/>
      <w:r>
        <w:rPr>
          <w:rStyle w:val="29"/>
          <w:rFonts w:hint="eastAsia" w:ascii="仿宋" w:hAnsi="仿宋" w:eastAsia="仿宋"/>
          <w:b w:val="0"/>
          <w:bCs w:val="0"/>
        </w:rPr>
        <w:t>五、</w:t>
      </w:r>
      <w:r>
        <w:rPr>
          <w:rFonts w:hint="eastAsia" w:ascii="仿宋" w:hAnsi="仿宋" w:eastAsia="仿宋"/>
          <w:b w:val="0"/>
        </w:rPr>
        <w:t>财</w:t>
      </w:r>
      <w:r>
        <w:rPr>
          <w:rStyle w:val="29"/>
          <w:rFonts w:hint="eastAsia" w:ascii="仿宋" w:hAnsi="仿宋" w:eastAsia="仿宋"/>
          <w:b w:val="0"/>
          <w:bCs w:val="0"/>
        </w:rPr>
        <w:t>政拨款支出决算明细表</w:t>
      </w:r>
      <w:bookmarkEnd w:id="60"/>
      <w:bookmarkStart w:id="61" w:name="_Toc15396624"/>
    </w:p>
    <w:p>
      <w:pPr>
        <w:pStyle w:val="3"/>
        <w:rPr>
          <w:rFonts w:ascii="仿宋" w:hAnsi="仿宋" w:eastAsia="仿宋"/>
        </w:rPr>
      </w:pPr>
      <w:r>
        <w:rPr>
          <w:rStyle w:val="29"/>
          <w:rFonts w:hint="eastAsia" w:ascii="仿宋" w:hAnsi="仿宋" w:eastAsia="仿宋"/>
          <w:b w:val="0"/>
          <w:bCs w:val="0"/>
        </w:rPr>
        <w:t>六、</w:t>
      </w:r>
      <w:r>
        <w:rPr>
          <w:rFonts w:hint="eastAsia" w:ascii="仿宋" w:hAnsi="仿宋" w:eastAsia="仿宋"/>
          <w:b w:val="0"/>
        </w:rPr>
        <w:t>一</w:t>
      </w:r>
      <w:r>
        <w:rPr>
          <w:rStyle w:val="29"/>
          <w:rFonts w:hint="eastAsia" w:ascii="仿宋" w:hAnsi="仿宋" w:eastAsia="仿宋"/>
          <w:b w:val="0"/>
          <w:bCs w:val="0"/>
        </w:rPr>
        <w:t>般公共预算财政拨款支出决算表</w:t>
      </w:r>
      <w:bookmarkEnd w:id="61"/>
    </w:p>
    <w:p>
      <w:pPr>
        <w:pStyle w:val="3"/>
        <w:rPr>
          <w:rFonts w:ascii="仿宋" w:hAnsi="仿宋" w:eastAsia="仿宋"/>
        </w:rPr>
      </w:pPr>
      <w:bookmarkStart w:id="62" w:name="_Toc15396625"/>
      <w:r>
        <w:rPr>
          <w:rStyle w:val="29"/>
          <w:rFonts w:hint="eastAsia" w:ascii="仿宋" w:hAnsi="仿宋" w:eastAsia="仿宋"/>
          <w:b w:val="0"/>
          <w:bCs w:val="0"/>
        </w:rPr>
        <w:t>七、</w:t>
      </w:r>
      <w:r>
        <w:rPr>
          <w:rFonts w:hint="eastAsia" w:ascii="仿宋" w:hAnsi="仿宋" w:eastAsia="仿宋"/>
          <w:b w:val="0"/>
        </w:rPr>
        <w:t>一</w:t>
      </w:r>
      <w:r>
        <w:rPr>
          <w:rStyle w:val="29"/>
          <w:rFonts w:hint="eastAsia" w:ascii="仿宋" w:hAnsi="仿宋" w:eastAsia="仿宋"/>
          <w:b w:val="0"/>
          <w:bCs w:val="0"/>
        </w:rPr>
        <w:t>般公共预算财政拨款支出决算明细表</w:t>
      </w:r>
      <w:bookmarkEnd w:id="62"/>
    </w:p>
    <w:p>
      <w:pPr>
        <w:pStyle w:val="3"/>
        <w:rPr>
          <w:rFonts w:ascii="仿宋" w:hAnsi="仿宋" w:eastAsia="仿宋"/>
        </w:rPr>
      </w:pPr>
      <w:bookmarkStart w:id="63" w:name="_Toc15396626"/>
      <w:r>
        <w:rPr>
          <w:rStyle w:val="29"/>
          <w:rFonts w:hint="eastAsia" w:ascii="仿宋" w:hAnsi="仿宋" w:eastAsia="仿宋"/>
          <w:b w:val="0"/>
          <w:bCs w:val="0"/>
        </w:rPr>
        <w:t>八、</w:t>
      </w:r>
      <w:r>
        <w:rPr>
          <w:rFonts w:hint="eastAsia" w:ascii="仿宋" w:hAnsi="仿宋" w:eastAsia="仿宋"/>
          <w:b w:val="0"/>
        </w:rPr>
        <w:t>一</w:t>
      </w:r>
      <w:r>
        <w:rPr>
          <w:rStyle w:val="29"/>
          <w:rFonts w:hint="eastAsia" w:ascii="仿宋" w:hAnsi="仿宋" w:eastAsia="仿宋"/>
          <w:b w:val="0"/>
          <w:bCs w:val="0"/>
        </w:rPr>
        <w:t>般公共预算财政拨款基本支出决算表</w:t>
      </w:r>
      <w:bookmarkEnd w:id="63"/>
    </w:p>
    <w:p>
      <w:pPr>
        <w:pStyle w:val="3"/>
        <w:rPr>
          <w:rFonts w:ascii="仿宋" w:hAnsi="仿宋" w:eastAsia="仿宋"/>
        </w:rPr>
      </w:pPr>
      <w:bookmarkStart w:id="64" w:name="_Toc15396627"/>
      <w:r>
        <w:rPr>
          <w:rStyle w:val="29"/>
          <w:rFonts w:hint="eastAsia" w:ascii="仿宋" w:hAnsi="仿宋" w:eastAsia="仿宋"/>
          <w:b w:val="0"/>
          <w:bCs w:val="0"/>
        </w:rPr>
        <w:t>九、</w:t>
      </w:r>
      <w:r>
        <w:rPr>
          <w:rFonts w:hint="eastAsia" w:ascii="仿宋" w:hAnsi="仿宋" w:eastAsia="仿宋"/>
          <w:b w:val="0"/>
        </w:rPr>
        <w:t>一</w:t>
      </w:r>
      <w:r>
        <w:rPr>
          <w:rStyle w:val="29"/>
          <w:rFonts w:hint="eastAsia" w:ascii="仿宋" w:hAnsi="仿宋" w:eastAsia="仿宋"/>
          <w:b w:val="0"/>
          <w:bCs w:val="0"/>
        </w:rPr>
        <w:t>般公共预算财政拨款项目支出决算表</w:t>
      </w:r>
      <w:bookmarkEnd w:id="64"/>
    </w:p>
    <w:p>
      <w:pPr>
        <w:pStyle w:val="3"/>
        <w:rPr>
          <w:rFonts w:ascii="仿宋" w:hAnsi="仿宋" w:eastAsia="仿宋"/>
        </w:rPr>
      </w:pPr>
      <w:bookmarkStart w:id="65" w:name="_Toc15396628"/>
      <w:r>
        <w:rPr>
          <w:rStyle w:val="29"/>
          <w:rFonts w:hint="eastAsia" w:ascii="仿宋" w:hAnsi="仿宋" w:eastAsia="仿宋"/>
          <w:b w:val="0"/>
          <w:bCs w:val="0"/>
        </w:rPr>
        <w:t>十、</w:t>
      </w:r>
      <w:bookmarkEnd w:id="65"/>
      <w:r>
        <w:rPr>
          <w:rFonts w:hint="eastAsia" w:ascii="仿宋" w:hAnsi="仿宋" w:eastAsia="仿宋"/>
          <w:b w:val="0"/>
        </w:rPr>
        <w:t>政</w:t>
      </w:r>
      <w:r>
        <w:rPr>
          <w:rStyle w:val="29"/>
          <w:rFonts w:hint="eastAsia" w:ascii="仿宋" w:hAnsi="仿宋" w:eastAsia="仿宋"/>
          <w:b w:val="0"/>
          <w:bCs w:val="0"/>
        </w:rPr>
        <w:t>府性基金预算财政拨款收入支出决算表</w:t>
      </w:r>
    </w:p>
    <w:p>
      <w:pPr>
        <w:pStyle w:val="3"/>
        <w:rPr>
          <w:rFonts w:ascii="仿宋" w:hAnsi="仿宋" w:eastAsia="仿宋"/>
        </w:rPr>
      </w:pPr>
      <w:bookmarkStart w:id="66" w:name="_Toc15396629"/>
      <w:r>
        <w:rPr>
          <w:rStyle w:val="29"/>
          <w:rFonts w:hint="eastAsia" w:ascii="仿宋" w:hAnsi="仿宋" w:eastAsia="仿宋"/>
          <w:b w:val="0"/>
          <w:bCs w:val="0"/>
        </w:rPr>
        <w:t>十一、</w:t>
      </w:r>
      <w:bookmarkEnd w:id="66"/>
      <w:r>
        <w:rPr>
          <w:rFonts w:hint="eastAsia" w:ascii="仿宋" w:hAnsi="仿宋" w:eastAsia="仿宋"/>
          <w:b w:val="0"/>
        </w:rPr>
        <w:t>国</w:t>
      </w:r>
      <w:r>
        <w:rPr>
          <w:rStyle w:val="29"/>
          <w:rFonts w:hint="eastAsia" w:ascii="仿宋" w:hAnsi="仿宋" w:eastAsia="仿宋"/>
          <w:b w:val="0"/>
          <w:bCs w:val="0"/>
        </w:rPr>
        <w:t>有资本经营预算财政拨款收入支出决算表</w:t>
      </w:r>
    </w:p>
    <w:p>
      <w:pPr>
        <w:pStyle w:val="3"/>
        <w:rPr>
          <w:rFonts w:ascii="仿宋" w:hAnsi="仿宋" w:eastAsia="仿宋"/>
        </w:rPr>
      </w:pPr>
      <w:bookmarkStart w:id="67" w:name="_Toc15396630"/>
      <w:r>
        <w:rPr>
          <w:rStyle w:val="29"/>
          <w:rFonts w:hint="eastAsia" w:ascii="仿宋" w:hAnsi="仿宋" w:eastAsia="仿宋"/>
          <w:b w:val="0"/>
          <w:bCs w:val="0"/>
        </w:rPr>
        <w:t>十二、</w:t>
      </w:r>
      <w:bookmarkEnd w:id="67"/>
      <w:r>
        <w:rPr>
          <w:rStyle w:val="29"/>
          <w:rFonts w:hint="eastAsia" w:ascii="仿宋" w:hAnsi="仿宋" w:eastAsia="仿宋"/>
          <w:b w:val="0"/>
          <w:bCs w:val="0"/>
        </w:rPr>
        <w:t>国有资本经营预算财政拨款支出决算表</w:t>
      </w:r>
    </w:p>
    <w:p>
      <w:pPr>
        <w:pStyle w:val="3"/>
        <w:rPr>
          <w:rFonts w:eastAsia="仿宋"/>
        </w:rPr>
      </w:pPr>
      <w:bookmarkStart w:id="68" w:name="_Toc15396631"/>
      <w:r>
        <w:rPr>
          <w:rStyle w:val="29"/>
          <w:rFonts w:hint="eastAsia" w:ascii="仿宋" w:hAnsi="仿宋" w:eastAsia="仿宋"/>
          <w:b w:val="0"/>
          <w:bCs w:val="0"/>
        </w:rPr>
        <w:t>十三、</w:t>
      </w:r>
      <w:bookmarkEnd w:id="68"/>
      <w:r>
        <w:rPr>
          <w:rStyle w:val="29"/>
          <w:rFonts w:hint="eastAsia" w:ascii="仿宋" w:hAnsi="仿宋" w:eastAsia="仿宋"/>
          <w:b w:val="0"/>
          <w:bCs w:val="0"/>
        </w:rPr>
        <w:t>财政拨款“三公”经费支出决算表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456147A-5C78-4514-890E-FDE98C3694D7}"/>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E2B8C623-404D-4435-B398-D1D343D702BD}"/>
  </w:font>
  <w:font w:name="Cambria">
    <w:panose1 w:val="02040503050406030204"/>
    <w:charset w:val="00"/>
    <w:family w:val="roman"/>
    <w:pitch w:val="default"/>
    <w:sig w:usb0="E00002FF" w:usb1="400004FF" w:usb2="00000000" w:usb3="00000000" w:csb0="2000019F" w:csb1="00000000"/>
    <w:embedRegular r:id="rId3" w:fontKey="{6A7DE922-3A66-4797-AAB8-F153DE92F04E}"/>
  </w:font>
  <w:font w:name="仿宋_GB2312">
    <w:altName w:val="仿宋"/>
    <w:panose1 w:val="00000000000000000000"/>
    <w:charset w:val="86"/>
    <w:family w:val="modern"/>
    <w:pitch w:val="default"/>
    <w:sig w:usb0="00000000" w:usb1="00000000" w:usb2="00000000" w:usb3="00000000" w:csb0="00040000" w:csb1="00000000"/>
    <w:embedRegular r:id="rId4" w:fontKey="{EE11CB47-2150-4380-BEEB-958E8C4D12AC}"/>
  </w:font>
  <w:font w:name="仿宋">
    <w:panose1 w:val="02010609060101010101"/>
    <w:charset w:val="86"/>
    <w:family w:val="modern"/>
    <w:pitch w:val="default"/>
    <w:sig w:usb0="800002BF" w:usb1="38CF7CFA" w:usb2="00000016" w:usb3="00000000" w:csb0="00040001" w:csb1="00000000"/>
    <w:embedRegular r:id="rId5" w:fontKey="{D0121A33-4F54-4750-91AB-BE7411A0ACCE}"/>
  </w:font>
  <w:font w:name="??">
    <w:altName w:val="Times New Roman"/>
    <w:panose1 w:val="00000000000000000000"/>
    <w:charset w:val="00"/>
    <w:family w:val="roman"/>
    <w:pitch w:val="default"/>
    <w:sig w:usb0="00000000" w:usb1="00000000" w:usb2="00000000" w:usb3="00000000" w:csb0="00000000" w:csb1="00000000"/>
  </w:font>
  <w:font w:name="方正小标宋简体">
    <w:panose1 w:val="02000000000000000000"/>
    <w:charset w:val="86"/>
    <w:family w:val="script"/>
    <w:pitch w:val="default"/>
    <w:sig w:usb0="00000001" w:usb1="08000000" w:usb2="00000000" w:usb3="00000000" w:csb0="00040000" w:csb1="00000000"/>
    <w:embedRegular r:id="rId6" w:fontKey="{C01AC5CF-0799-4C1C-9ED8-D174EE58CC84}"/>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10"/>
          <w:jc w:val="center"/>
        </w:pPr>
        <w:r>
          <w:fldChar w:fldCharType="begin"/>
        </w:r>
        <w:r>
          <w:instrText xml:space="preserve">PAGE   \* MERGEFORMAT</w:instrText>
        </w:r>
        <w:r>
          <w:fldChar w:fldCharType="separate"/>
        </w:r>
        <w:r>
          <w:rPr>
            <w:lang w:val="zh-CN"/>
          </w:rPr>
          <w:t>8</w:t>
        </w:r>
        <w: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yZTVmZTAyYTQwNDMxMTUwOWNkYWU5NzFjNmNlOWU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37B7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C2F09"/>
    <w:rsid w:val="004E0A2D"/>
    <w:rsid w:val="004E206B"/>
    <w:rsid w:val="004E6DF7"/>
    <w:rsid w:val="004F0FBD"/>
    <w:rsid w:val="00505A47"/>
    <w:rsid w:val="00512FDA"/>
    <w:rsid w:val="00520DA0"/>
    <w:rsid w:val="005516C4"/>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90F30"/>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A026C"/>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24C7"/>
    <w:rsid w:val="008B768C"/>
    <w:rsid w:val="008C4DB1"/>
    <w:rsid w:val="008C4EAF"/>
    <w:rsid w:val="008C5176"/>
    <w:rsid w:val="008C7FD0"/>
    <w:rsid w:val="008E1DE7"/>
    <w:rsid w:val="008E707C"/>
    <w:rsid w:val="008F3C39"/>
    <w:rsid w:val="008F6DF2"/>
    <w:rsid w:val="00900B08"/>
    <w:rsid w:val="00902155"/>
    <w:rsid w:val="00902FA3"/>
    <w:rsid w:val="00923564"/>
    <w:rsid w:val="0092392E"/>
    <w:rsid w:val="009315F9"/>
    <w:rsid w:val="00933499"/>
    <w:rsid w:val="00935C98"/>
    <w:rsid w:val="00946945"/>
    <w:rsid w:val="00951248"/>
    <w:rsid w:val="0095152F"/>
    <w:rsid w:val="00954C49"/>
    <w:rsid w:val="00955E37"/>
    <w:rsid w:val="00956BA6"/>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1678"/>
    <w:rsid w:val="00A422EB"/>
    <w:rsid w:val="00A45BB7"/>
    <w:rsid w:val="00A56DF2"/>
    <w:rsid w:val="00A56E6E"/>
    <w:rsid w:val="00A67AB5"/>
    <w:rsid w:val="00A733B2"/>
    <w:rsid w:val="00A741C2"/>
    <w:rsid w:val="00A91760"/>
    <w:rsid w:val="00A93B00"/>
    <w:rsid w:val="00A93C21"/>
    <w:rsid w:val="00AA609D"/>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E164C"/>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1547"/>
    <w:rsid w:val="00CE44F6"/>
    <w:rsid w:val="00CE49DA"/>
    <w:rsid w:val="00CE7B61"/>
    <w:rsid w:val="00D00095"/>
    <w:rsid w:val="00D114F0"/>
    <w:rsid w:val="00D20620"/>
    <w:rsid w:val="00D2523B"/>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3B3F"/>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E7D16"/>
    <w:rsid w:val="00EF4C34"/>
    <w:rsid w:val="00EF77C6"/>
    <w:rsid w:val="00F05438"/>
    <w:rsid w:val="00F1361C"/>
    <w:rsid w:val="00F156F0"/>
    <w:rsid w:val="00F160C7"/>
    <w:rsid w:val="00F2408F"/>
    <w:rsid w:val="00F240E9"/>
    <w:rsid w:val="00F36D8F"/>
    <w:rsid w:val="00F417B1"/>
    <w:rsid w:val="00F45853"/>
    <w:rsid w:val="00F5047E"/>
    <w:rsid w:val="00F602DF"/>
    <w:rsid w:val="00F754A1"/>
    <w:rsid w:val="00F81FD9"/>
    <w:rsid w:val="00F841AA"/>
    <w:rsid w:val="00F84A94"/>
    <w:rsid w:val="00F87E96"/>
    <w:rsid w:val="00FA23E8"/>
    <w:rsid w:val="00FD3CC1"/>
    <w:rsid w:val="00FF1E02"/>
    <w:rsid w:val="00FF30B4"/>
    <w:rsid w:val="015975B8"/>
    <w:rsid w:val="01F13668"/>
    <w:rsid w:val="02143E91"/>
    <w:rsid w:val="04686C05"/>
    <w:rsid w:val="04AE6771"/>
    <w:rsid w:val="066E0107"/>
    <w:rsid w:val="07996F6E"/>
    <w:rsid w:val="09624E21"/>
    <w:rsid w:val="09EF5765"/>
    <w:rsid w:val="0A2032A3"/>
    <w:rsid w:val="0F98263C"/>
    <w:rsid w:val="101860EC"/>
    <w:rsid w:val="10C055FF"/>
    <w:rsid w:val="118107EC"/>
    <w:rsid w:val="13D50BC4"/>
    <w:rsid w:val="13F472FF"/>
    <w:rsid w:val="16BB723D"/>
    <w:rsid w:val="1BE8440E"/>
    <w:rsid w:val="1BFB6EBD"/>
    <w:rsid w:val="1D155CEE"/>
    <w:rsid w:val="1F9B085C"/>
    <w:rsid w:val="1FF35744"/>
    <w:rsid w:val="23860B96"/>
    <w:rsid w:val="240371BF"/>
    <w:rsid w:val="263806CD"/>
    <w:rsid w:val="292D1347"/>
    <w:rsid w:val="29FD04D3"/>
    <w:rsid w:val="2C8A61B5"/>
    <w:rsid w:val="2DF04E50"/>
    <w:rsid w:val="2F040D46"/>
    <w:rsid w:val="319F7F4E"/>
    <w:rsid w:val="3304709D"/>
    <w:rsid w:val="36AA5135"/>
    <w:rsid w:val="376D39B2"/>
    <w:rsid w:val="37E16F03"/>
    <w:rsid w:val="38D469F0"/>
    <w:rsid w:val="38D579B4"/>
    <w:rsid w:val="3D98207C"/>
    <w:rsid w:val="3E78745D"/>
    <w:rsid w:val="41D90B93"/>
    <w:rsid w:val="44E268DA"/>
    <w:rsid w:val="45DB0128"/>
    <w:rsid w:val="4A627F82"/>
    <w:rsid w:val="4B0E749A"/>
    <w:rsid w:val="4B4F25DA"/>
    <w:rsid w:val="4BE068DB"/>
    <w:rsid w:val="4CD06ED6"/>
    <w:rsid w:val="4CD25EF2"/>
    <w:rsid w:val="4D577224"/>
    <w:rsid w:val="4EAB630A"/>
    <w:rsid w:val="4ECE2238"/>
    <w:rsid w:val="503F37BF"/>
    <w:rsid w:val="53545996"/>
    <w:rsid w:val="537E6D0A"/>
    <w:rsid w:val="58AD3649"/>
    <w:rsid w:val="5AF92295"/>
    <w:rsid w:val="5CD71FC4"/>
    <w:rsid w:val="61A05C67"/>
    <w:rsid w:val="6C4A05C8"/>
    <w:rsid w:val="6E7E3605"/>
    <w:rsid w:val="6FF5CC65"/>
    <w:rsid w:val="706305CE"/>
    <w:rsid w:val="70673B2B"/>
    <w:rsid w:val="715C0E4B"/>
    <w:rsid w:val="71F45FB8"/>
    <w:rsid w:val="72734D90"/>
    <w:rsid w:val="739C76CB"/>
    <w:rsid w:val="73AD73D5"/>
    <w:rsid w:val="73B6EB34"/>
    <w:rsid w:val="744731E5"/>
    <w:rsid w:val="76A56E9B"/>
    <w:rsid w:val="76E3355F"/>
    <w:rsid w:val="773758DC"/>
    <w:rsid w:val="778769C8"/>
    <w:rsid w:val="79EE5BA4"/>
    <w:rsid w:val="7A894339"/>
    <w:rsid w:val="7EEF11D3"/>
    <w:rsid w:val="7FA30C79"/>
    <w:rsid w:val="7FB7269E"/>
    <w:rsid w:val="7FC96657"/>
    <w:rsid w:val="D8D6DB89"/>
    <w:rsid w:val="DB6F4CAB"/>
    <w:rsid w:val="DF6F978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8"/>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2"/>
    <w:unhideWhenUsed/>
    <w:qFormat/>
    <w:uiPriority w:val="9"/>
    <w:pPr>
      <w:keepNext/>
      <w:keepLines/>
      <w:spacing w:before="260" w:after="260" w:line="416" w:lineRule="auto"/>
      <w:outlineLvl w:val="2"/>
    </w:pPr>
    <w:rPr>
      <w:b/>
      <w:bCs/>
      <w:sz w:val="32"/>
      <w:szCs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semiHidden/>
    <w:unhideWhenUsed/>
    <w:qFormat/>
    <w:uiPriority w:val="99"/>
    <w:pPr>
      <w:jc w:val="left"/>
    </w:pPr>
  </w:style>
  <w:style w:type="paragraph" w:styleId="6">
    <w:name w:val="Body Text"/>
    <w:basedOn w:val="1"/>
    <w:link w:val="25"/>
    <w:qFormat/>
    <w:uiPriority w:val="99"/>
    <w:pPr>
      <w:spacing w:beforeLines="30"/>
    </w:pPr>
    <w:rPr>
      <w:rFonts w:ascii="仿宋_GB2312" w:eastAsia="仿宋_GB2312"/>
      <w:kern w:val="0"/>
      <w:sz w:val="30"/>
    </w:rPr>
  </w:style>
  <w:style w:type="paragraph" w:styleId="7">
    <w:name w:val="Body Text Indent"/>
    <w:basedOn w:val="1"/>
    <w:qFormat/>
    <w:uiPriority w:val="0"/>
    <w:pPr>
      <w:spacing w:after="120"/>
      <w:ind w:left="200" w:leftChars="200"/>
    </w:pPr>
    <w:rPr>
      <w:rFonts w:ascii="仿宋_GB2312"/>
      <w:szCs w:val="32"/>
    </w:r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31"/>
    <w:semiHidden/>
    <w:unhideWhenUsed/>
    <w:qFormat/>
    <w:uiPriority w:val="99"/>
    <w:rPr>
      <w:sz w:val="18"/>
      <w:szCs w:val="18"/>
    </w:rPr>
  </w:style>
  <w:style w:type="paragraph" w:styleId="10">
    <w:name w:val="footer"/>
    <w:basedOn w:val="1"/>
    <w:link w:val="23"/>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21"/>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paragraph" w:styleId="14">
    <w:name w:val="Body Text First Indent 2"/>
    <w:basedOn w:val="7"/>
    <w:unhideWhenUsed/>
    <w:qFormat/>
    <w:uiPriority w:val="99"/>
    <w:pPr>
      <w:ind w:firstLine="420" w:firstLineChars="200"/>
    </w:pPr>
  </w:style>
  <w:style w:type="character" w:styleId="17">
    <w:name w:val="Strong"/>
    <w:basedOn w:val="16"/>
    <w:qFormat/>
    <w:uiPriority w:val="99"/>
    <w:rPr>
      <w:b/>
    </w:rPr>
  </w:style>
  <w:style w:type="character" w:styleId="18">
    <w:name w:val="Hyperlink"/>
    <w:basedOn w:val="16"/>
    <w:unhideWhenUsed/>
    <w:qFormat/>
    <w:uiPriority w:val="99"/>
    <w:rPr>
      <w:color w:val="0000FF" w:themeColor="hyperlink"/>
      <w:u w:val="single"/>
      <w14:textFill>
        <w14:solidFill>
          <w14:schemeClr w14:val="hlink"/>
        </w14:solidFill>
      </w14:textFill>
    </w:rPr>
  </w:style>
  <w:style w:type="paragraph" w:customStyle="1" w:styleId="19">
    <w:name w:val="标题 5（有编号）（绿盟科技）"/>
    <w:next w:val="1"/>
    <w:qFormat/>
    <w:uiPriority w:val="99"/>
    <w:pPr>
      <w:keepNext/>
      <w:keepLines/>
      <w:widowControl w:val="0"/>
      <w:spacing w:before="280" w:after="156" w:line="377" w:lineRule="auto"/>
      <w:outlineLvl w:val="4"/>
    </w:pPr>
    <w:rPr>
      <w:rFonts w:ascii="Arial" w:hAnsi="Arial" w:eastAsia="黑体" w:cs="Times New Roman"/>
      <w:b/>
      <w:kern w:val="2"/>
      <w:sz w:val="24"/>
      <w:szCs w:val="28"/>
      <w:lang w:val="en-US" w:eastAsia="zh-CN" w:bidi="ar-SA"/>
    </w:rPr>
  </w:style>
  <w:style w:type="character" w:customStyle="1" w:styleId="20">
    <w:name w:val="Header Char"/>
    <w:basedOn w:val="16"/>
    <w:semiHidden/>
    <w:qFormat/>
    <w:uiPriority w:val="99"/>
    <w:rPr>
      <w:rFonts w:ascii="Times New Roman" w:hAnsi="Times New Roman"/>
      <w:sz w:val="18"/>
      <w:szCs w:val="18"/>
    </w:rPr>
  </w:style>
  <w:style w:type="character" w:customStyle="1" w:styleId="21">
    <w:name w:val="页眉 字符"/>
    <w:link w:val="11"/>
    <w:semiHidden/>
    <w:qFormat/>
    <w:locked/>
    <w:uiPriority w:val="99"/>
    <w:rPr>
      <w:sz w:val="18"/>
    </w:rPr>
  </w:style>
  <w:style w:type="character" w:customStyle="1" w:styleId="22">
    <w:name w:val="Footer Char"/>
    <w:basedOn w:val="16"/>
    <w:semiHidden/>
    <w:qFormat/>
    <w:uiPriority w:val="99"/>
    <w:rPr>
      <w:rFonts w:ascii="Times New Roman" w:hAnsi="Times New Roman"/>
      <w:sz w:val="18"/>
      <w:szCs w:val="18"/>
    </w:rPr>
  </w:style>
  <w:style w:type="character" w:customStyle="1" w:styleId="23">
    <w:name w:val="页脚 字符"/>
    <w:link w:val="10"/>
    <w:qFormat/>
    <w:locked/>
    <w:uiPriority w:val="99"/>
    <w:rPr>
      <w:sz w:val="18"/>
    </w:rPr>
  </w:style>
  <w:style w:type="character" w:customStyle="1" w:styleId="24">
    <w:name w:val="Body Text Char"/>
    <w:basedOn w:val="16"/>
    <w:semiHidden/>
    <w:qFormat/>
    <w:uiPriority w:val="99"/>
    <w:rPr>
      <w:rFonts w:ascii="Times New Roman" w:hAnsi="Times New Roman"/>
      <w:szCs w:val="24"/>
    </w:rPr>
  </w:style>
  <w:style w:type="character" w:customStyle="1" w:styleId="25">
    <w:name w:val="正文文本 字符"/>
    <w:link w:val="6"/>
    <w:qFormat/>
    <w:locked/>
    <w:uiPriority w:val="99"/>
    <w:rPr>
      <w:rFonts w:ascii="仿宋_GB2312" w:hAnsi="Times New Roman" w:eastAsia="仿宋_GB2312"/>
      <w:sz w:val="24"/>
    </w:rPr>
  </w:style>
  <w:style w:type="paragraph" w:customStyle="1" w:styleId="26">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7">
    <w:name w:val="List Paragraph"/>
    <w:basedOn w:val="1"/>
    <w:qFormat/>
    <w:uiPriority w:val="34"/>
    <w:pPr>
      <w:ind w:firstLine="420" w:firstLineChars="200"/>
    </w:pPr>
  </w:style>
  <w:style w:type="character" w:customStyle="1" w:styleId="28">
    <w:name w:val="标题 1 字符"/>
    <w:basedOn w:val="16"/>
    <w:link w:val="2"/>
    <w:qFormat/>
    <w:uiPriority w:val="9"/>
    <w:rPr>
      <w:rFonts w:ascii="Times New Roman" w:hAnsi="Times New Roman"/>
      <w:b/>
      <w:bCs/>
      <w:kern w:val="44"/>
      <w:sz w:val="44"/>
      <w:szCs w:val="44"/>
    </w:rPr>
  </w:style>
  <w:style w:type="character" w:customStyle="1" w:styleId="29">
    <w:name w:val="标题 2 字符"/>
    <w:basedOn w:val="16"/>
    <w:link w:val="3"/>
    <w:qFormat/>
    <w:uiPriority w:val="9"/>
    <w:rPr>
      <w:rFonts w:asciiTheme="majorHAnsi" w:hAnsiTheme="majorHAnsi" w:eastAsiaTheme="majorEastAsia" w:cstheme="majorBidi"/>
      <w:b/>
      <w:bCs/>
      <w:kern w:val="2"/>
      <w:sz w:val="32"/>
      <w:szCs w:val="32"/>
    </w:rPr>
  </w:style>
  <w:style w:type="paragraph" w:customStyle="1" w:styleId="30">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1">
    <w:name w:val="批注框文本 字符"/>
    <w:basedOn w:val="16"/>
    <w:link w:val="9"/>
    <w:semiHidden/>
    <w:qFormat/>
    <w:uiPriority w:val="99"/>
    <w:rPr>
      <w:rFonts w:ascii="Times New Roman" w:hAnsi="Times New Roman"/>
      <w:kern w:val="2"/>
      <w:sz w:val="18"/>
      <w:szCs w:val="18"/>
    </w:rPr>
  </w:style>
  <w:style w:type="character" w:customStyle="1" w:styleId="32">
    <w:name w:val="标题 3 字符"/>
    <w:basedOn w:val="16"/>
    <w:link w:val="4"/>
    <w:qFormat/>
    <w:uiPriority w:val="9"/>
    <w:rPr>
      <w:rFonts w:ascii="Times New Roman" w:hAnsi="Times New Roman"/>
      <w:b/>
      <w:bCs/>
      <w:kern w:val="2"/>
      <w:sz w:val="32"/>
      <w:szCs w:val="32"/>
    </w:rPr>
  </w:style>
  <w:style w:type="paragraph" w:customStyle="1" w:styleId="33">
    <w:name w:val="TOC 标题2"/>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4">
    <w:name w:val="四号正文"/>
    <w:basedOn w:val="1"/>
    <w:qFormat/>
    <w:uiPriority w:val="0"/>
    <w:pPr>
      <w:spacing w:line="360" w:lineRule="auto"/>
    </w:pPr>
    <w:rPr>
      <w:rFonts w:ascii="??" w:hAnsi="??"/>
      <w:color w:val="000000"/>
      <w:kern w:val="0"/>
      <w:sz w:val="28"/>
      <w:szCs w:val="21"/>
      <w:lang w:val="zh-CN"/>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1" Type="http://schemas.openxmlformats.org/officeDocument/2006/relationships/oleObject" Target="file:///G:\&#36130;&#21153;&#22791;&#20221;\&#36130;&#25919;&#37096;&#24180;&#32456;&#20915;&#31639;\2022&#24180;&#36130;&#25919;&#37096;&#20915;&#31639;\2022&#21335;&#22612;\&#30456;&#20851;&#22270;.xls" TargetMode="External"/></Relationships>
</file>

<file path=word/charts/_rels/chart2.xml.rels><?xml version="1.0" encoding="UTF-8" standalone="yes"?>
<Relationships xmlns="http://schemas.openxmlformats.org/package/2006/relationships"><Relationship Id="rId2" Type="http://schemas.openxmlformats.org/officeDocument/2006/relationships/themeOverride" Target="../theme/themeOverride1.xml"/><Relationship Id="rId1" Type="http://schemas.openxmlformats.org/officeDocument/2006/relationships/oleObject" Target="file:///G:\&#36130;&#21153;&#22791;&#20221;\&#36130;&#25919;&#37096;&#24180;&#32456;&#20915;&#31639;\2022&#24180;&#36130;&#25919;&#37096;&#20915;&#31639;\2022&#21335;&#22612;\&#30456;&#20851;&#22270;.xls" TargetMode="External"/></Relationships>
</file>

<file path=word/charts/_rels/chart3.xml.rels><?xml version="1.0" encoding="UTF-8" standalone="yes"?>
<Relationships xmlns="http://schemas.openxmlformats.org/package/2006/relationships"><Relationship Id="rId2" Type="http://schemas.openxmlformats.org/officeDocument/2006/relationships/themeOverride" Target="../theme/themeOverride2.xml"/><Relationship Id="rId1" Type="http://schemas.openxmlformats.org/officeDocument/2006/relationships/oleObject" Target="file:///G:\&#36130;&#21153;&#22791;&#20221;\&#36130;&#25919;&#37096;&#24180;&#32456;&#20915;&#31639;\2022&#24180;&#36130;&#25919;&#37096;&#20915;&#31639;\2022&#21335;&#22612;\&#30456;&#20851;&#22270;.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G:\&#36130;&#21153;&#22791;&#20221;\&#36130;&#25919;&#37096;&#24180;&#32456;&#20915;&#31639;\2022&#24180;&#36130;&#25919;&#37096;&#20915;&#31639;\2022&#21335;&#22612;\&#30456;&#20851;&#22270;.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G:\&#36130;&#21153;&#22791;&#20221;\&#36130;&#25919;&#37096;&#24180;&#32456;&#20915;&#31639;\2022&#24180;&#36130;&#25919;&#37096;&#20915;&#31639;\2022&#21335;&#22612;\&#30456;&#20851;&#22270;.xls" TargetMode="External"/></Relationships>
</file>

<file path=word/charts/_rels/chart6.xml.rels><?xml version="1.0" encoding="UTF-8" standalone="yes"?>
<Relationships xmlns="http://schemas.openxmlformats.org/package/2006/relationships"><Relationship Id="rId2" Type="http://schemas.openxmlformats.org/officeDocument/2006/relationships/themeOverride" Target="../theme/themeOverride3.xml"/><Relationship Id="rId1" Type="http://schemas.openxmlformats.org/officeDocument/2006/relationships/oleObject" Target="file:///G:\&#36130;&#21153;&#22791;&#20221;\&#36130;&#25919;&#37096;&#24180;&#32456;&#20915;&#31639;\2022&#24180;&#36130;&#25919;&#37096;&#20915;&#31639;\2022&#21335;&#22612;\&#30456;&#20851;&#22270;.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收入支出决算总体情况</a:t>
            </a:r>
            <a:endParaRPr sz="1400" b="1" i="0" u="none" strike="noStrike" baseline="0">
              <a:solidFill>
                <a:srgbClr val="404040">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col"/>
        <c:grouping val="clustered"/>
        <c:varyColors val="0"/>
        <c:ser>
          <c:idx val="0"/>
          <c:order val="0"/>
          <c:tx>
            <c:strRef>
              <c:f>[相关图.xls]蟠龙!$A$3</c:f>
              <c:strCache>
                <c:ptCount val="1"/>
                <c:pt idx="0">
                  <c:v>2021年</c:v>
                </c:pt>
              </c:strCache>
            </c:strRef>
          </c:tx>
          <c:spPr>
            <a:solidFill>
              <a:schemeClr val="accent1"/>
            </a:solidFill>
            <a:ln>
              <a:noFill/>
            </a:ln>
            <a:effectLst/>
          </c:spPr>
          <c:invertIfNegative val="0"/>
          <c:dLbls>
            <c:delete val="1"/>
          </c:dLbls>
          <c:cat>
            <c:strRef>
              <c:f>[相关图.xls]蟠龙!$B$2:$C$2</c:f>
              <c:strCache>
                <c:ptCount val="2"/>
                <c:pt idx="0">
                  <c:v>总收入</c:v>
                </c:pt>
                <c:pt idx="1">
                  <c:v>总支出</c:v>
                </c:pt>
              </c:strCache>
            </c:strRef>
          </c:cat>
          <c:val>
            <c:numRef>
              <c:f>[相关图.xls]蟠龙!$B$3:$C$3</c:f>
              <c:numCache>
                <c:formatCode>General</c:formatCode>
                <c:ptCount val="2"/>
                <c:pt idx="0">
                  <c:v>496.44</c:v>
                </c:pt>
                <c:pt idx="1">
                  <c:v>496.44</c:v>
                </c:pt>
              </c:numCache>
            </c:numRef>
          </c:val>
        </c:ser>
        <c:ser>
          <c:idx val="1"/>
          <c:order val="1"/>
          <c:tx>
            <c:strRef>
              <c:f>[相关图.xls]蟠龙!$A$4</c:f>
              <c:strCache>
                <c:ptCount val="1"/>
                <c:pt idx="0">
                  <c:v>2022年</c:v>
                </c:pt>
              </c:strCache>
            </c:strRef>
          </c:tx>
          <c:spPr>
            <a:solidFill>
              <a:schemeClr val="accent2"/>
            </a:solidFill>
            <a:ln>
              <a:noFill/>
            </a:ln>
            <a:effectLst/>
          </c:spPr>
          <c:invertIfNegative val="0"/>
          <c:dLbls>
            <c:delete val="1"/>
          </c:dLbls>
          <c:cat>
            <c:strRef>
              <c:f>[相关图.xls]蟠龙!$B$2:$C$2</c:f>
              <c:strCache>
                <c:ptCount val="2"/>
                <c:pt idx="0">
                  <c:v>总收入</c:v>
                </c:pt>
                <c:pt idx="1">
                  <c:v>总支出</c:v>
                </c:pt>
              </c:strCache>
            </c:strRef>
          </c:cat>
          <c:val>
            <c:numRef>
              <c:f>[相关图.xls]蟠龙!$B$4:$C$4</c:f>
              <c:numCache>
                <c:formatCode>General</c:formatCode>
                <c:ptCount val="2"/>
                <c:pt idx="0">
                  <c:v>530.11</c:v>
                </c:pt>
                <c:pt idx="1">
                  <c:v>530.11</c:v>
                </c:pt>
              </c:numCache>
            </c:numRef>
          </c:val>
        </c:ser>
        <c:dLbls>
          <c:showLegendKey val="0"/>
          <c:showVal val="0"/>
          <c:showCatName val="0"/>
          <c:showSerName val="0"/>
          <c:showPercent val="0"/>
          <c:showBubbleSize val="0"/>
        </c:dLbls>
        <c:gapWidth val="246"/>
        <c:overlap val="-28"/>
        <c:axId val="368859156"/>
        <c:axId val="764561922"/>
      </c:barChart>
      <c:catAx>
        <c:axId val="368859156"/>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64561922"/>
        <c:crosses val="autoZero"/>
        <c:auto val="1"/>
        <c:lblAlgn val="ctr"/>
        <c:lblOffset val="100"/>
        <c:noMultiLvlLbl val="0"/>
      </c:catAx>
      <c:valAx>
        <c:axId val="764561922"/>
        <c:scaling>
          <c:orientation val="minMax"/>
        </c:scaling>
        <c:delete val="0"/>
        <c:axPos val="l"/>
        <c:majorGridlines>
          <c:spPr>
            <a:ln w="9525" cap="flat" cmpd="sng" algn="ctr">
              <a:solidFill>
                <a:schemeClr val="bg1">
                  <a:lumMod val="902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68859156"/>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a:defRPr lang="zh-CN" sz="1400" b="0" i="0" u="none" strike="noStrike" kern="1200" spc="0" baseline="0">
                <a:solidFill>
                  <a:schemeClr val="tx1"/>
                </a:solidFill>
                <a:latin typeface="+mn-lt"/>
                <a:ea typeface="+mn-ea"/>
                <a:cs typeface="+mn-cs"/>
              </a:defRPr>
            </a:pPr>
            <a:r>
              <a:t>收入决算情况</a:t>
            </a:r>
            <a:endParaRPr sz="1400" b="0" i="0" u="none" strike="noStrike" baseline="0">
              <a:solidFill>
                <a:srgbClr val="000000">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pieChart>
        <c:varyColors val="1"/>
        <c:ser>
          <c:idx val="0"/>
          <c:order val="0"/>
          <c:spPr>
            <a:solidFill>
              <a:schemeClr val="accent1"/>
            </a:solidFill>
            <a:ln w="12700">
              <a:noFill/>
            </a:ln>
            <a:effectLst/>
            <a:sp3d contourW="12700"/>
          </c:spPr>
          <c:explosion val="3"/>
          <c:dPt>
            <c:idx val="0"/>
            <c:bubble3D val="0"/>
            <c:explosion val="3"/>
            <c:spPr>
              <a:solidFill>
                <a:schemeClr val="accent1"/>
              </a:solidFill>
              <a:ln w="12700">
                <a:noFill/>
              </a:ln>
              <a:effectLst/>
              <a:sp3d contourW="12700"/>
            </c:spPr>
          </c:dPt>
          <c:dPt>
            <c:idx val="1"/>
            <c:bubble3D val="0"/>
            <c:explosion val="3"/>
            <c:spPr>
              <a:solidFill>
                <a:schemeClr val="accent2"/>
              </a:solidFill>
              <a:ln w="12700">
                <a:noFill/>
              </a:ln>
              <a:effectLst/>
              <a:sp3d contourW="12700"/>
            </c:spPr>
          </c:dPt>
          <c:dPt>
            <c:idx val="2"/>
            <c:bubble3D val="0"/>
            <c:explosion val="3"/>
            <c:spPr>
              <a:solidFill>
                <a:schemeClr val="accent3"/>
              </a:solidFill>
              <a:ln w="12700">
                <a:noFill/>
              </a:ln>
              <a:effectLst/>
              <a:sp3d contourW="12700"/>
            </c:spPr>
          </c:dPt>
          <c:dLbls>
            <c:dLbl>
              <c:idx val="0"/>
              <c:layout/>
              <c:numFmt formatCode="0.0%" sourceLinked="0"/>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tx1">
                          <a:lumMod val="50000"/>
                          <a:lumOff val="50000"/>
                        </a:schemeClr>
                      </a:solidFill>
                      <a:latin typeface="+mn-lt"/>
                      <a:ea typeface="+mn-ea"/>
                      <a:cs typeface="+mn-cs"/>
                    </a:defRPr>
                  </a:pPr>
                </a:p>
              </c:txPr>
              <c:dLblPos val="outEnd"/>
              <c:showLegendKey val="1"/>
              <c:showVal val="0"/>
              <c:showCatName val="0"/>
              <c:showSerName val="0"/>
              <c:showPercent val="1"/>
              <c:showBubbleSize val="0"/>
              <c:extLst>
                <c:ext xmlns:c15="http://schemas.microsoft.com/office/drawing/2012/chart" uri="{CE6537A1-D6FC-4f65-9D91-7224C49458BB}"/>
              </c:extLst>
            </c:dLbl>
            <c:dLbl>
              <c:idx val="1"/>
              <c:layout/>
              <c:numFmt formatCode="0.0%" sourceLinked="0"/>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tx1">
                          <a:lumMod val="50000"/>
                          <a:lumOff val="50000"/>
                        </a:schemeClr>
                      </a:solidFill>
                      <a:latin typeface="+mn-lt"/>
                      <a:ea typeface="+mn-ea"/>
                      <a:cs typeface="+mn-cs"/>
                    </a:defRPr>
                  </a:pPr>
                </a:p>
              </c:txPr>
              <c:dLblPos val="outEnd"/>
              <c:showLegendKey val="1"/>
              <c:showVal val="0"/>
              <c:showCatName val="0"/>
              <c:showSerName val="0"/>
              <c:showPercent val="1"/>
              <c:showBubbleSize val="0"/>
              <c:extLst>
                <c:ext xmlns:c15="http://schemas.microsoft.com/office/drawing/2012/chart" uri="{CE6537A1-D6FC-4f65-9D91-7224C49458BB}"/>
              </c:extLst>
            </c:dLbl>
            <c:dLbl>
              <c:idx val="2"/>
              <c:layout/>
              <c:numFmt formatCode="0.0%" sourceLinked="0"/>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tx1">
                          <a:lumMod val="50000"/>
                          <a:lumOff val="50000"/>
                        </a:schemeClr>
                      </a:solidFill>
                      <a:latin typeface="+mn-lt"/>
                      <a:ea typeface="+mn-ea"/>
                      <a:cs typeface="+mn-cs"/>
                    </a:defRPr>
                  </a:pPr>
                </a:p>
              </c:txPr>
              <c:dLblPos val="outEnd"/>
              <c:showLegendKey val="1"/>
              <c:showVal val="0"/>
              <c:showCatName val="0"/>
              <c:showSerName val="0"/>
              <c:showPercent val="1"/>
              <c:showBubbleSize val="0"/>
              <c:extLst>
                <c:ext xmlns:c15="http://schemas.microsoft.com/office/drawing/2012/chart" uri="{CE6537A1-D6FC-4f65-9D91-7224C49458BB}"/>
              </c:extLst>
            </c:dLbl>
            <c:numFmt formatCode="0.0%" sourceLinked="0"/>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tx1">
                        <a:lumMod val="50000"/>
                        <a:lumOff val="50000"/>
                      </a:schemeClr>
                    </a:solidFill>
                    <a:latin typeface="+mn-lt"/>
                    <a:ea typeface="+mn-ea"/>
                    <a:cs typeface="+mn-cs"/>
                  </a:defRPr>
                </a:pPr>
              </a:p>
            </c:txPr>
            <c:dLblPos val="outEnd"/>
            <c:showLegendKey val="1"/>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rgbClr val="969696">
                          <a:alpha val="100000"/>
                        </a:srgbClr>
                      </a:solidFill>
                      <a:prstDash val="solid"/>
                      <a:round/>
                    </a:ln>
                  </c:spPr>
                </c15:leaderLines>
              </c:ext>
            </c:extLst>
          </c:dLbls>
          <c:cat>
            <c:strRef>
              <c:f>[相关图.xls]蟠龙!$A$20:$A$22</c:f>
              <c:strCache>
                <c:ptCount val="3"/>
                <c:pt idx="0">
                  <c:v>一般公共预算财政拨款收入</c:v>
                </c:pt>
                <c:pt idx="1">
                  <c:v>事业收入</c:v>
                </c:pt>
                <c:pt idx="2">
                  <c:v>其他收入</c:v>
                </c:pt>
              </c:strCache>
            </c:strRef>
          </c:cat>
          <c:val>
            <c:numRef>
              <c:f>[相关图.xls]蟠龙!$B$20:$B$22</c:f>
              <c:numCache>
                <c:formatCode>General</c:formatCode>
                <c:ptCount val="3"/>
                <c:pt idx="0">
                  <c:v>109.52</c:v>
                </c:pt>
                <c:pt idx="1">
                  <c:v>394.49</c:v>
                </c:pt>
                <c:pt idx="2">
                  <c:v>26.1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rot="0" vert="horz" wrap="square"/>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a:defRPr lang="zh-CN" sz="1400" b="0" i="0" u="none" strike="noStrike" kern="1200" spc="0" baseline="0">
                <a:solidFill>
                  <a:schemeClr val="tx1"/>
                </a:solidFill>
                <a:latin typeface="+mn-lt"/>
                <a:ea typeface="+mn-ea"/>
                <a:cs typeface="+mn-cs"/>
              </a:defRPr>
            </a:pPr>
            <a:r>
              <a:t>支出决算情况</a:t>
            </a:r>
            <a:endParaRPr sz="1400" b="0" i="0" u="none" strike="noStrike" baseline="0">
              <a:solidFill>
                <a:srgbClr val="000000">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pieChart>
        <c:varyColors val="1"/>
        <c:ser>
          <c:idx val="0"/>
          <c:order val="0"/>
          <c:spPr>
            <a:solidFill>
              <a:schemeClr val="accent1"/>
            </a:solidFill>
            <a:ln w="12700">
              <a:noFill/>
            </a:ln>
            <a:effectLst/>
            <a:sp3d contourW="12700"/>
          </c:spPr>
          <c:explosion val="3"/>
          <c:dPt>
            <c:idx val="0"/>
            <c:bubble3D val="0"/>
            <c:explosion val="3"/>
            <c:spPr>
              <a:solidFill>
                <a:schemeClr val="accent1"/>
              </a:solidFill>
              <a:ln w="12700">
                <a:noFill/>
              </a:ln>
              <a:effectLst/>
              <a:sp3d contourW="12700"/>
            </c:spPr>
          </c:dPt>
          <c:dPt>
            <c:idx val="1"/>
            <c:bubble3D val="0"/>
            <c:explosion val="3"/>
            <c:spPr>
              <a:solidFill>
                <a:schemeClr val="accent2"/>
              </a:solidFill>
              <a:ln w="12700">
                <a:noFill/>
              </a:ln>
              <a:effectLst/>
              <a:sp3d contourW="12700"/>
            </c:spPr>
          </c:dPt>
          <c:dLbls>
            <c:dLbl>
              <c:idx val="0"/>
              <c:layout/>
              <c:numFmt formatCode="0.0%" sourceLinked="0"/>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tx1">
                          <a:lumMod val="50000"/>
                          <a:lumOff val="50000"/>
                        </a:schemeClr>
                      </a:solidFill>
                      <a:latin typeface="+mn-lt"/>
                      <a:ea typeface="+mn-ea"/>
                      <a:cs typeface="+mn-cs"/>
                    </a:defRPr>
                  </a:pPr>
                </a:p>
              </c:txPr>
              <c:dLblPos val="outEnd"/>
              <c:showLegendKey val="1"/>
              <c:showVal val="0"/>
              <c:showCatName val="0"/>
              <c:showSerName val="0"/>
              <c:showPercent val="1"/>
              <c:showBubbleSize val="0"/>
              <c:extLst>
                <c:ext xmlns:c15="http://schemas.microsoft.com/office/drawing/2012/chart" uri="{CE6537A1-D6FC-4f65-9D91-7224C49458BB}"/>
              </c:extLst>
            </c:dLbl>
            <c:dLbl>
              <c:idx val="1"/>
              <c:layout/>
              <c:numFmt formatCode="0.0%" sourceLinked="0"/>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tx1">
                          <a:lumMod val="50000"/>
                          <a:lumOff val="50000"/>
                        </a:schemeClr>
                      </a:solidFill>
                      <a:latin typeface="+mn-lt"/>
                      <a:ea typeface="+mn-ea"/>
                      <a:cs typeface="+mn-cs"/>
                    </a:defRPr>
                  </a:pPr>
                </a:p>
              </c:txPr>
              <c:dLblPos val="outEnd"/>
              <c:showLegendKey val="1"/>
              <c:showVal val="0"/>
              <c:showCatName val="0"/>
              <c:showSerName val="0"/>
              <c:showPercent val="1"/>
              <c:showBubbleSize val="0"/>
              <c:extLst>
                <c:ext xmlns:c15="http://schemas.microsoft.com/office/drawing/2012/chart" uri="{CE6537A1-D6FC-4f65-9D91-7224C49458BB}"/>
              </c:extLst>
            </c:dLbl>
            <c:numFmt formatCode="0.0%" sourceLinked="0"/>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tx1">
                        <a:lumMod val="50000"/>
                        <a:lumOff val="50000"/>
                      </a:schemeClr>
                    </a:solidFill>
                    <a:latin typeface="+mn-lt"/>
                    <a:ea typeface="+mn-ea"/>
                    <a:cs typeface="+mn-cs"/>
                  </a:defRPr>
                </a:pPr>
              </a:p>
            </c:txPr>
            <c:dLblPos val="outEnd"/>
            <c:showLegendKey val="1"/>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rgbClr val="969696">
                          <a:alpha val="100000"/>
                        </a:srgbClr>
                      </a:solidFill>
                      <a:prstDash val="solid"/>
                      <a:round/>
                    </a:ln>
                  </c:spPr>
                </c15:leaderLines>
              </c:ext>
            </c:extLst>
          </c:dLbls>
          <c:cat>
            <c:strRef>
              <c:f>[相关图.xls]蟠龙!$A$37:$A$38</c:f>
              <c:strCache>
                <c:ptCount val="2"/>
                <c:pt idx="0">
                  <c:v>基本支出</c:v>
                </c:pt>
                <c:pt idx="1">
                  <c:v>项目支出</c:v>
                </c:pt>
              </c:strCache>
            </c:strRef>
          </c:cat>
          <c:val>
            <c:numRef>
              <c:f>[相关图.xls]蟠龙!$B$37:$B$38</c:f>
              <c:numCache>
                <c:formatCode>General</c:formatCode>
                <c:ptCount val="2"/>
                <c:pt idx="0">
                  <c:v>467.16</c:v>
                </c:pt>
                <c:pt idx="1">
                  <c:v>62.95</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财政拨款收入支出情况</a:t>
            </a:r>
            <a:endParaRPr sz="1400" b="1" i="0" u="none" strike="noStrike" baseline="0">
              <a:solidFill>
                <a:srgbClr val="404040">
                  <a:alpha val="100000"/>
                </a:srgbClr>
              </a:solidFill>
              <a:latin typeface="宋体" panose="02010600030101010101" charset="-122"/>
              <a:ea typeface="宋体" panose="02010600030101010101" charset="-122"/>
              <a:cs typeface="宋体" panose="02010600030101010101" charset="-122"/>
            </a:endParaRPr>
          </a:p>
        </c:rich>
      </c:tx>
      <c:layout>
        <c:manualLayout>
          <c:xMode val="edge"/>
          <c:yMode val="edge"/>
          <c:x val="0.359785182914937"/>
          <c:y val="0.0450405326774048"/>
        </c:manualLayout>
      </c:layout>
      <c:overlay val="0"/>
      <c:spPr>
        <a:noFill/>
        <a:ln>
          <a:noFill/>
        </a:ln>
        <a:effectLst/>
      </c:spPr>
    </c:title>
    <c:autoTitleDeleted val="0"/>
    <c:plotArea>
      <c:layout/>
      <c:barChart>
        <c:barDir val="col"/>
        <c:grouping val="clustered"/>
        <c:varyColors val="0"/>
        <c:ser>
          <c:idx val="0"/>
          <c:order val="0"/>
          <c:tx>
            <c:strRef>
              <c:f>[相关图.xls]蟠龙!$A$55</c:f>
              <c:strCache>
                <c:ptCount val="1"/>
                <c:pt idx="0">
                  <c:v>2021年</c:v>
                </c:pt>
              </c:strCache>
            </c:strRef>
          </c:tx>
          <c:spPr>
            <a:solidFill>
              <a:schemeClr val="accent1"/>
            </a:solidFill>
            <a:ln>
              <a:noFill/>
            </a:ln>
            <a:effectLst/>
          </c:spPr>
          <c:invertIfNegative val="0"/>
          <c:dLbls>
            <c:delete val="1"/>
          </c:dLbls>
          <c:cat>
            <c:strRef>
              <c:f>[相关图.xls]蟠龙!$B$54:$C$54</c:f>
              <c:strCache>
                <c:ptCount val="2"/>
                <c:pt idx="0">
                  <c:v>一般公共预算财政拨款收入</c:v>
                </c:pt>
                <c:pt idx="1">
                  <c:v>一般公共预算财政拨款支出</c:v>
                </c:pt>
              </c:strCache>
            </c:strRef>
          </c:cat>
          <c:val>
            <c:numRef>
              <c:f>[相关图.xls]蟠龙!$B$55:$C$55</c:f>
              <c:numCache>
                <c:formatCode>General</c:formatCode>
                <c:ptCount val="2"/>
                <c:pt idx="0">
                  <c:v>143.16</c:v>
                </c:pt>
                <c:pt idx="1">
                  <c:v>143.16</c:v>
                </c:pt>
              </c:numCache>
            </c:numRef>
          </c:val>
        </c:ser>
        <c:ser>
          <c:idx val="1"/>
          <c:order val="1"/>
          <c:tx>
            <c:strRef>
              <c:f>[相关图.xls]蟠龙!$A$56</c:f>
              <c:strCache>
                <c:ptCount val="1"/>
                <c:pt idx="0">
                  <c:v>2022年</c:v>
                </c:pt>
              </c:strCache>
            </c:strRef>
          </c:tx>
          <c:spPr>
            <a:solidFill>
              <a:schemeClr val="accent2"/>
            </a:solidFill>
            <a:ln>
              <a:noFill/>
            </a:ln>
            <a:effectLst/>
          </c:spPr>
          <c:invertIfNegative val="0"/>
          <c:dLbls>
            <c:delete val="1"/>
          </c:dLbls>
          <c:cat>
            <c:strRef>
              <c:f>[相关图.xls]蟠龙!$B$54:$C$54</c:f>
              <c:strCache>
                <c:ptCount val="2"/>
                <c:pt idx="0">
                  <c:v>一般公共预算财政拨款收入</c:v>
                </c:pt>
                <c:pt idx="1">
                  <c:v>一般公共预算财政拨款支出</c:v>
                </c:pt>
              </c:strCache>
            </c:strRef>
          </c:cat>
          <c:val>
            <c:numRef>
              <c:f>[相关图.xls]蟠龙!$B$56:$C$56</c:f>
              <c:numCache>
                <c:formatCode>General</c:formatCode>
                <c:ptCount val="2"/>
                <c:pt idx="0">
                  <c:v>109.52</c:v>
                </c:pt>
                <c:pt idx="1">
                  <c:v>109.52</c:v>
                </c:pt>
              </c:numCache>
            </c:numRef>
          </c:val>
        </c:ser>
        <c:dLbls>
          <c:showLegendKey val="0"/>
          <c:showVal val="0"/>
          <c:showCatName val="0"/>
          <c:showSerName val="0"/>
          <c:showPercent val="0"/>
          <c:showBubbleSize val="0"/>
        </c:dLbls>
        <c:gapWidth val="246"/>
        <c:overlap val="-28"/>
        <c:axId val="147863529"/>
        <c:axId val="308553901"/>
      </c:barChart>
      <c:catAx>
        <c:axId val="147863529"/>
        <c:scaling>
          <c:orientation val="minMax"/>
        </c:scaling>
        <c:delete val="0"/>
        <c:axPos val="b"/>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08553901"/>
        <c:crosses val="autoZero"/>
        <c:auto val="1"/>
        <c:lblAlgn val="ctr"/>
        <c:lblOffset val="100"/>
        <c:noMultiLvlLbl val="0"/>
      </c:catAx>
      <c:valAx>
        <c:axId val="308553901"/>
        <c:scaling>
          <c:orientation val="minMax"/>
        </c:scaling>
        <c:delete val="0"/>
        <c:axPos val="l"/>
        <c:majorGridlines>
          <c:spPr>
            <a:ln w="9525" cap="flat" cmpd="sng" algn="ctr">
              <a:solidFill>
                <a:schemeClr val="bg1">
                  <a:lumMod val="902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4786352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baseline="0">
                <a:solidFill>
                  <a:schemeClr val="dk1">
                    <a:lumMod val="75000"/>
                    <a:lumOff val="25000"/>
                  </a:schemeClr>
                </a:solidFill>
                <a:latin typeface="+mn-lt"/>
                <a:ea typeface="+mn-ea"/>
                <a:cs typeface="+mn-cs"/>
              </a:defRPr>
            </a:pPr>
            <a:r>
              <a:t>一般公共预算财政拨款支出决算总体情况</a:t>
            </a:r>
            <a:endParaRPr sz="1400" b="1" i="0" u="none" strike="noStrike" baseline="0">
              <a:solidFill>
                <a:srgbClr val="404040">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barChart>
        <c:barDir val="col"/>
        <c:grouping val="clustered"/>
        <c:varyColors val="0"/>
        <c:ser>
          <c:idx val="0"/>
          <c:order val="0"/>
          <c:tx>
            <c:strRef>
              <c:f>[相关图.xls]蟠龙!$A$73</c:f>
              <c:strCache>
                <c:ptCount val="1"/>
                <c:pt idx="0">
                  <c:v>2021年</c:v>
                </c:pt>
              </c:strCache>
            </c:strRef>
          </c:tx>
          <c:spPr>
            <a:solidFill>
              <a:schemeClr val="accent1"/>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[相关图.xls]蟠龙!$B$72</c:f>
              <c:strCache>
                <c:ptCount val="1"/>
                <c:pt idx="0">
                  <c:v>一般公共预算财政拨款支出</c:v>
                </c:pt>
              </c:strCache>
            </c:strRef>
          </c:cat>
          <c:val>
            <c:numRef>
              <c:f>[相关图.xls]蟠龙!$B$73</c:f>
              <c:numCache>
                <c:formatCode>General</c:formatCode>
                <c:ptCount val="1"/>
                <c:pt idx="0">
                  <c:v>143.16</c:v>
                </c:pt>
              </c:numCache>
            </c:numRef>
          </c:val>
        </c:ser>
        <c:ser>
          <c:idx val="1"/>
          <c:order val="1"/>
          <c:tx>
            <c:strRef>
              <c:f>[相关图.xls]蟠龙!$A$74</c:f>
              <c:strCache>
                <c:ptCount val="1"/>
                <c:pt idx="0">
                  <c:v>2022年</c:v>
                </c:pt>
              </c:strCache>
            </c:strRef>
          </c:tx>
          <c:spPr>
            <a:solidFill>
              <a:schemeClr val="accent2"/>
            </a:solidFill>
            <a:ln>
              <a:noFill/>
            </a:ln>
            <a:effectLst/>
          </c:spPr>
          <c:invertIfNegative val="0"/>
          <c:dLbls>
            <c:numFmt formatCode="General" sourceLinked="1"/>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[相关图.xls]蟠龙!$B$72</c:f>
              <c:strCache>
                <c:ptCount val="1"/>
                <c:pt idx="0">
                  <c:v>一般公共预算财政拨款支出</c:v>
                </c:pt>
              </c:strCache>
            </c:strRef>
          </c:cat>
          <c:val>
            <c:numRef>
              <c:f>[相关图.xls]蟠龙!$B$74</c:f>
              <c:numCache>
                <c:formatCode>General</c:formatCode>
                <c:ptCount val="1"/>
                <c:pt idx="0">
                  <c:v>109.52</c:v>
                </c:pt>
              </c:numCache>
            </c:numRef>
          </c:val>
        </c:ser>
        <c:dLbls>
          <c:showLegendKey val="0"/>
          <c:showVal val="0"/>
          <c:showCatName val="0"/>
          <c:showSerName val="0"/>
          <c:showPercent val="0"/>
          <c:showBubbleSize val="0"/>
        </c:dLbls>
        <c:gapWidth val="246"/>
        <c:overlap val="-28"/>
        <c:axId val="797462239"/>
        <c:axId val="199578346"/>
      </c:barChart>
      <c:catAx>
        <c:axId val="797462239"/>
        <c:scaling>
          <c:orientation val="minMax"/>
        </c:scaling>
        <c:delete val="0"/>
        <c:axPos val="b"/>
        <c:majorTickMark val="out"/>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99578346"/>
        <c:crosses val="autoZero"/>
        <c:auto val="1"/>
        <c:lblAlgn val="ctr"/>
        <c:lblOffset val="100"/>
        <c:noMultiLvlLbl val="0"/>
      </c:catAx>
      <c:valAx>
        <c:axId val="199578346"/>
        <c:scaling>
          <c:orientation val="minMax"/>
        </c:scaling>
        <c:delete val="0"/>
        <c:axPos val="l"/>
        <c:numFmt formatCode="General" sourceLinked="1"/>
        <c:majorTickMark val="out"/>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797462239"/>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0" vertOverflow="ellipsis" vert="horz" wrap="square" anchor="ctr" anchorCtr="1" forceAA="0"/>
          <a:lstStyle/>
          <a:p>
            <a:pPr>
              <a:defRPr lang="zh-CN" sz="1400" b="0" i="0" u="none" strike="noStrike" kern="1200" spc="0" baseline="0">
                <a:solidFill>
                  <a:schemeClr val="tx1"/>
                </a:solidFill>
                <a:latin typeface="+mn-lt"/>
                <a:ea typeface="+mn-ea"/>
                <a:cs typeface="+mn-cs"/>
              </a:defRPr>
            </a:pPr>
            <a:r>
              <a:t>一般公共预算财政拨款支出决算结构情况</a:t>
            </a:r>
            <a:endParaRPr sz="1400" b="0" i="0" u="none" strike="noStrike" baseline="0">
              <a:solidFill>
                <a:srgbClr val="000000">
                  <a:alpha val="100000"/>
                </a:srgbClr>
              </a:solidFill>
              <a:latin typeface="宋体" panose="02010600030101010101" charset="-122"/>
              <a:ea typeface="宋体" panose="02010600030101010101" charset="-122"/>
              <a:cs typeface="宋体" panose="02010600030101010101" charset="-122"/>
            </a:endParaRPr>
          </a:p>
        </c:rich>
      </c:tx>
      <c:layout/>
      <c:overlay val="0"/>
      <c:spPr>
        <a:noFill/>
        <a:ln>
          <a:noFill/>
        </a:ln>
        <a:effectLst/>
      </c:spPr>
    </c:title>
    <c:autoTitleDeleted val="0"/>
    <c:plotArea>
      <c:layout/>
      <c:pieChart>
        <c:varyColors val="1"/>
        <c:ser>
          <c:idx val="0"/>
          <c:order val="0"/>
          <c:spPr>
            <a:solidFill>
              <a:schemeClr val="accent1"/>
            </a:solidFill>
            <a:ln w="12700">
              <a:noFill/>
            </a:ln>
            <a:effectLst/>
            <a:sp3d contourW="12700"/>
          </c:spPr>
          <c:explosion val="3"/>
          <c:dPt>
            <c:idx val="0"/>
            <c:bubble3D val="0"/>
            <c:explosion val="3"/>
            <c:spPr>
              <a:solidFill>
                <a:schemeClr val="accent1"/>
              </a:solidFill>
              <a:ln w="12700">
                <a:noFill/>
              </a:ln>
              <a:effectLst/>
              <a:sp3d contourW="12700"/>
            </c:spPr>
          </c:dPt>
          <c:dPt>
            <c:idx val="1"/>
            <c:bubble3D val="0"/>
            <c:explosion val="3"/>
            <c:spPr>
              <a:solidFill>
                <a:schemeClr val="accent2"/>
              </a:solidFill>
              <a:ln w="12700">
                <a:noFill/>
              </a:ln>
              <a:effectLst/>
              <a:sp3d contourW="12700"/>
            </c:spPr>
          </c:dPt>
          <c:dLbls>
            <c:dLbl>
              <c:idx val="0"/>
              <c:layout/>
              <c:numFmt formatCode="0.0%" sourceLinked="0"/>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tx1">
                          <a:lumMod val="50000"/>
                          <a:lumOff val="50000"/>
                        </a:schemeClr>
                      </a:solidFill>
                      <a:latin typeface="+mn-lt"/>
                      <a:ea typeface="+mn-ea"/>
                      <a:cs typeface="+mn-cs"/>
                    </a:defRPr>
                  </a:pPr>
                </a:p>
              </c:txPr>
              <c:dLblPos val="outEnd"/>
              <c:showLegendKey val="1"/>
              <c:showVal val="0"/>
              <c:showCatName val="0"/>
              <c:showSerName val="0"/>
              <c:showPercent val="1"/>
              <c:showBubbleSize val="0"/>
              <c:extLst>
                <c:ext xmlns:c15="http://schemas.microsoft.com/office/drawing/2012/chart" uri="{CE6537A1-D6FC-4f65-9D91-7224C49458BB}"/>
              </c:extLst>
            </c:dLbl>
            <c:dLbl>
              <c:idx val="1"/>
              <c:layout/>
              <c:numFmt formatCode="0.0%" sourceLinked="0"/>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tx1">
                          <a:lumMod val="50000"/>
                          <a:lumOff val="50000"/>
                        </a:schemeClr>
                      </a:solidFill>
                      <a:latin typeface="+mn-lt"/>
                      <a:ea typeface="+mn-ea"/>
                      <a:cs typeface="+mn-cs"/>
                    </a:defRPr>
                  </a:pPr>
                </a:p>
              </c:txPr>
              <c:dLblPos val="outEnd"/>
              <c:showLegendKey val="1"/>
              <c:showVal val="0"/>
              <c:showCatName val="0"/>
              <c:showSerName val="0"/>
              <c:showPercent val="1"/>
              <c:showBubbleSize val="0"/>
              <c:extLst>
                <c:ext xmlns:c15="http://schemas.microsoft.com/office/drawing/2012/chart" uri="{CE6537A1-D6FC-4f65-9D91-7224C49458BB}"/>
              </c:extLst>
            </c:dLbl>
            <c:numFmt formatCode="0.0%" sourceLinked="0"/>
            <c:spPr>
              <a:noFill/>
              <a:ln>
                <a:noFill/>
              </a:ln>
              <a:effectLst/>
            </c:spPr>
            <c:txPr>
              <a:bodyPr rot="0" spcFirstLastPara="0" vertOverflow="ellipsis" vert="horz" wrap="square" lIns="38100" tIns="19050" rIns="38100" bIns="19050" anchor="ctr" anchorCtr="1" forceAA="0"/>
              <a:lstStyle/>
              <a:p>
                <a:pPr>
                  <a:defRPr lang="zh-CN" sz="900" b="0" i="0" u="none" strike="noStrike" kern="1200" baseline="0">
                    <a:solidFill>
                      <a:schemeClr val="tx1">
                        <a:lumMod val="50000"/>
                        <a:lumOff val="50000"/>
                      </a:schemeClr>
                    </a:solidFill>
                    <a:latin typeface="+mn-lt"/>
                    <a:ea typeface="+mn-ea"/>
                    <a:cs typeface="+mn-cs"/>
                  </a:defRPr>
                </a:pPr>
              </a:p>
            </c:txPr>
            <c:dLblPos val="outEnd"/>
            <c:showLegendKey val="1"/>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rgbClr val="969696">
                          <a:alpha val="100000"/>
                        </a:srgbClr>
                      </a:solidFill>
                      <a:prstDash val="solid"/>
                      <a:round/>
                    </a:ln>
                  </c:spPr>
                </c15:leaderLines>
              </c:ext>
            </c:extLst>
          </c:dLbls>
          <c:cat>
            <c:strRef>
              <c:f>[相关图.xls]蟠龙!$A$91:$A$92</c:f>
              <c:strCache>
                <c:ptCount val="2"/>
                <c:pt idx="0">
                  <c:v>社会保障和就业支出</c:v>
                </c:pt>
                <c:pt idx="1">
                  <c:v>卫生健康支出</c:v>
                </c:pt>
              </c:strCache>
            </c:strRef>
          </c:cat>
          <c:val>
            <c:numRef>
              <c:f>[相关图.xls]蟠龙!$B$91:$B$92</c:f>
              <c:numCache>
                <c:formatCode>General</c:formatCode>
                <c:ptCount val="2"/>
                <c:pt idx="0">
                  <c:v>22.08</c:v>
                </c:pt>
                <c:pt idx="1">
                  <c:v>87.44</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forceAA="0"/>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wrap="square"/>
    <a:lstStyle/>
    <a:p>
      <a:pPr>
        <a:defRPr lang="zh-CN"/>
      </a:pPr>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word/theme/themeOverride1.xml><?xml version="1.0" encoding="utf-8"?>
<a:themeOverride xmlns:a="http://schemas.openxmlformats.org/drawingml/2006/main">
  <a:clrScheme name="自定义 94">
    <a:dk1>
      <a:srgbClr val="000000"/>
    </a:dk1>
    <a:lt1>
      <a:srgbClr val="FFFFFF"/>
    </a:lt1>
    <a:dk2>
      <a:srgbClr val="0C0E1F"/>
    </a:dk2>
    <a:lt2>
      <a:srgbClr val="FEFFFF"/>
    </a:lt2>
    <a:accent1>
      <a:srgbClr val="00B2CC"/>
    </a:accent1>
    <a:accent2>
      <a:srgbClr val="FCB040"/>
    </a:accent2>
    <a:accent3>
      <a:srgbClr val="BFD546"/>
    </a:accent3>
    <a:accent4>
      <a:srgbClr val="2E6480"/>
    </a:accent4>
    <a:accent5>
      <a:srgbClr val="FF7B00"/>
    </a:accent5>
    <a:accent6>
      <a:srgbClr val="BE1D2C"/>
    </a:accent6>
    <a:hlink>
      <a:srgbClr val="304FFE"/>
    </a:hlink>
    <a:folHlink>
      <a:srgbClr val="492067"/>
    </a:folHlink>
  </a:clrScheme>
  <a:fontScheme name="自定义 2">
    <a:majorFont>
      <a:latin typeface="微软雅黑"/>
      <a:ea typeface="微软雅黑"/>
      <a:cs typeface=""/>
    </a:majorFont>
    <a:minorFont>
      <a:latin typeface="微软雅黑"/>
      <a:ea typeface="微软雅黑"/>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自定义 94">
    <a:dk1>
      <a:srgbClr val="000000"/>
    </a:dk1>
    <a:lt1>
      <a:srgbClr val="FFFFFF"/>
    </a:lt1>
    <a:dk2>
      <a:srgbClr val="0C0E1F"/>
    </a:dk2>
    <a:lt2>
      <a:srgbClr val="FEFFFF"/>
    </a:lt2>
    <a:accent1>
      <a:srgbClr val="00B2CC"/>
    </a:accent1>
    <a:accent2>
      <a:srgbClr val="FCB040"/>
    </a:accent2>
    <a:accent3>
      <a:srgbClr val="BFD546"/>
    </a:accent3>
    <a:accent4>
      <a:srgbClr val="2E6480"/>
    </a:accent4>
    <a:accent5>
      <a:srgbClr val="FF7B00"/>
    </a:accent5>
    <a:accent6>
      <a:srgbClr val="BE1D2C"/>
    </a:accent6>
    <a:hlink>
      <a:srgbClr val="304FFE"/>
    </a:hlink>
    <a:folHlink>
      <a:srgbClr val="492067"/>
    </a:folHlink>
  </a:clrScheme>
  <a:fontScheme name="自定义 2">
    <a:majorFont>
      <a:latin typeface="微软雅黑"/>
      <a:ea typeface="微软雅黑"/>
      <a:cs typeface=""/>
    </a:majorFont>
    <a:minorFont>
      <a:latin typeface="微软雅黑"/>
      <a:ea typeface="微软雅黑"/>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自定义 94">
    <a:dk1>
      <a:srgbClr val="000000"/>
    </a:dk1>
    <a:lt1>
      <a:srgbClr val="FFFFFF"/>
    </a:lt1>
    <a:dk2>
      <a:srgbClr val="0C0E1F"/>
    </a:dk2>
    <a:lt2>
      <a:srgbClr val="FEFFFF"/>
    </a:lt2>
    <a:accent1>
      <a:srgbClr val="00B2CC"/>
    </a:accent1>
    <a:accent2>
      <a:srgbClr val="FCB040"/>
    </a:accent2>
    <a:accent3>
      <a:srgbClr val="BFD546"/>
    </a:accent3>
    <a:accent4>
      <a:srgbClr val="2E6480"/>
    </a:accent4>
    <a:accent5>
      <a:srgbClr val="FF7B00"/>
    </a:accent5>
    <a:accent6>
      <a:srgbClr val="BE1D2C"/>
    </a:accent6>
    <a:hlink>
      <a:srgbClr val="304FFE"/>
    </a:hlink>
    <a:folHlink>
      <a:srgbClr val="492067"/>
    </a:folHlink>
  </a:clrScheme>
  <a:fontScheme name="自定义 2">
    <a:majorFont>
      <a:latin typeface="微软雅黑"/>
      <a:ea typeface="微软雅黑"/>
      <a:cs typeface=""/>
    </a:majorFont>
    <a:minorFont>
      <a:latin typeface="微软雅黑"/>
      <a:ea typeface="微软雅黑"/>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Company>四川省财政厅</Company>
  <Pages>21</Pages>
  <Words>1189</Words>
  <Characters>6781</Characters>
  <Lines>56</Lines>
  <Paragraphs>15</Paragraphs>
  <TotalTime>42</TotalTime>
  <ScaleCrop>false</ScaleCrop>
  <LinksUpToDate>false</LinksUpToDate>
  <CharactersWithSpaces>7955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dori</cp:lastModifiedBy>
  <cp:lastPrinted>2023-10-31T01:53:00Z</cp:lastPrinted>
  <dcterms:modified xsi:type="dcterms:W3CDTF">2023-10-31T08:43:53Z</dcterms:modified>
  <dc:title>四川省***</dc:title>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F5648C16695A4749AB7D6EAE8979F56E_13</vt:lpwstr>
  </property>
</Properties>
</file>