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96475"/>
      <w:bookmarkStart w:id="1" w:name="_Toc15377193"/>
      <w:bookmarkStart w:id="2" w:name="_Toc15396597"/>
      <w:bookmarkStart w:id="3" w:name="_Toc15378441"/>
      <w:bookmarkStart w:id="4" w:name="_Toc15377425"/>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6" w:name="_Toc15378442"/>
      <w:bookmarkStart w:id="7" w:name="_Toc15396598"/>
      <w:bookmarkStart w:id="8" w:name="_Toc15377194"/>
      <w:bookmarkStart w:id="9" w:name="_Toc15396476"/>
      <w:bookmarkStart w:id="10" w:name="_Toc15377426"/>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eastAsia="zh-CN"/>
        </w:rPr>
        <w:t>资阳市乐至县</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lang w:val="en-US" w:eastAsia="zh-CN"/>
        </w:rPr>
        <w:t>公路养护管理段</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pPr>
        <w:pStyle w:val="7"/>
        <w:spacing w:before="93"/>
        <w:rPr>
          <w:rFonts w:hint="eastAsia" w:eastAsia="仿宋"/>
          <w:bCs/>
          <w:i/>
          <w:color w:val="000000"/>
          <w:sz w:val="32"/>
          <w:szCs w:val="32"/>
          <w:highlight w:val="yellow"/>
        </w:rPr>
      </w:pPr>
    </w:p>
    <w:p>
      <w:pPr>
        <w:pStyle w:val="7"/>
        <w:spacing w:before="93"/>
        <w:rPr>
          <w:rFonts w:hint="eastAsia" w:eastAsia="仿宋"/>
          <w:bCs/>
          <w:i/>
          <w:color w:val="000000"/>
          <w:sz w:val="32"/>
          <w:szCs w:val="32"/>
          <w:highlight w:val="yellow"/>
        </w:rPr>
      </w:pPr>
    </w:p>
    <w:p>
      <w:pPr>
        <w:pStyle w:val="7"/>
        <w:spacing w:before="93"/>
        <w:rPr>
          <w:rFonts w:hint="eastAsia" w:eastAsia="仿宋"/>
          <w:bCs/>
          <w:i/>
          <w:color w:val="000000"/>
          <w:sz w:val="32"/>
          <w:szCs w:val="32"/>
          <w:highlight w:val="yellow"/>
        </w:rPr>
      </w:pPr>
    </w:p>
    <w:p>
      <w:pPr>
        <w:pStyle w:val="7"/>
        <w:spacing w:before="93"/>
        <w:rPr>
          <w:rFonts w:hint="eastAsia" w:eastAsia="仿宋"/>
          <w:bCs/>
          <w:i/>
          <w:color w:val="000000"/>
          <w:sz w:val="32"/>
          <w:szCs w:val="32"/>
          <w:highlight w:val="yellow"/>
        </w:rPr>
      </w:pPr>
    </w:p>
    <w:p>
      <w:pPr>
        <w:pStyle w:val="7"/>
        <w:spacing w:before="93"/>
        <w:rPr>
          <w:rFonts w:hint="eastAsia" w:eastAsia="仿宋"/>
          <w:bCs/>
          <w:i/>
          <w:color w:val="000000"/>
          <w:sz w:val="32"/>
          <w:szCs w:val="32"/>
          <w:highlight w:val="yellow"/>
        </w:rPr>
      </w:pPr>
    </w:p>
    <w:p>
      <w:pPr>
        <w:pStyle w:val="7"/>
        <w:spacing w:before="93"/>
        <w:rPr>
          <w:rFonts w:hint="eastAsia" w:eastAsia="仿宋"/>
          <w:bCs/>
          <w:i/>
          <w:color w:val="000000"/>
          <w:sz w:val="32"/>
          <w:szCs w:val="32"/>
          <w:highlight w:val="yellow"/>
        </w:rPr>
      </w:pPr>
    </w:p>
    <w:p>
      <w:pPr>
        <w:pStyle w:val="7"/>
        <w:spacing w:before="93"/>
        <w:rPr>
          <w:rFonts w:hint="eastAsia" w:eastAsia="仿宋"/>
          <w:bCs/>
          <w:i/>
          <w:color w:val="000000"/>
          <w:sz w:val="32"/>
          <w:szCs w:val="32"/>
          <w:highlight w:val="yellow"/>
        </w:rPr>
      </w:pPr>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3"/>
      </w:pPr>
      <w:r>
        <w:rPr>
          <w:rFonts w:hint="eastAsia"/>
        </w:rPr>
        <w:t>公开时间：2023年</w:t>
      </w:r>
      <w:r>
        <w:rPr>
          <w:rFonts w:hint="eastAsia"/>
          <w:lang w:val="en-US" w:eastAsia="zh-CN"/>
        </w:rPr>
        <w:t>10</w:t>
      </w:r>
      <w:r>
        <w:rPr>
          <w:rFonts w:hint="eastAsia"/>
        </w:rPr>
        <w:t>月</w:t>
      </w:r>
      <w:r>
        <w:rPr>
          <w:rFonts w:hint="eastAsia"/>
          <w:lang w:val="en-US" w:eastAsia="zh-CN"/>
        </w:rPr>
        <w:t>20</w:t>
      </w:r>
      <w:r>
        <w:t xml:space="preserve"> </w:t>
      </w:r>
      <w:r>
        <w:rPr>
          <w:rFonts w:hint="eastAsia"/>
        </w:rPr>
        <w:t>日</w:t>
      </w:r>
    </w:p>
    <w:p/>
    <w:p>
      <w:pPr>
        <w:pStyle w:val="13"/>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r>
        <w:rPr>
          <w:b/>
        </w:rPr>
        <w:tab/>
      </w:r>
      <w:r>
        <w:rPr>
          <w:rFonts w:hint="eastAsia" w:ascii="Times New Roman" w:hAnsi="Times New Roman" w:eastAsia="宋体" w:cs="Times New Roman"/>
          <w:b/>
          <w:kern w:val="2"/>
          <w:sz w:val="21"/>
          <w:szCs w:val="24"/>
          <w:lang w:val="en-US" w:eastAsia="zh-CN" w:bidi="ar-SA"/>
        </w:rPr>
        <w:t>4</w:t>
      </w:r>
    </w:p>
    <w:p>
      <w:pPr>
        <w:pStyle w:val="14"/>
        <w:adjustRightInd w:val="0"/>
        <w:snapToGrid w:val="0"/>
        <w:spacing w:line="440" w:lineRule="exact"/>
        <w:jc w:val="left"/>
        <w:rPr>
          <w:rFonts w:hint="eastAsia"/>
          <w:sz w:val="24"/>
        </w:rPr>
      </w:pPr>
      <w:r>
        <w:rPr>
          <w:rFonts w:hint="eastAsia"/>
          <w:sz w:val="24"/>
        </w:rPr>
        <w:t>一、部门职责</w:t>
      </w:r>
      <w:r>
        <w:rPr>
          <w:b/>
        </w:rPr>
        <w:tab/>
      </w:r>
      <w:r>
        <w:rPr>
          <w:rFonts w:hint="eastAsia" w:ascii="Times New Roman" w:hAnsi="Times New Roman" w:eastAsia="宋体" w:cs="Times New Roman"/>
          <w:b/>
          <w:kern w:val="2"/>
          <w:sz w:val="21"/>
          <w:szCs w:val="24"/>
          <w:lang w:val="en-US" w:eastAsia="zh-CN" w:bidi="ar-SA"/>
        </w:rPr>
        <w:t>4</w:t>
      </w:r>
    </w:p>
    <w:p>
      <w:pPr>
        <w:pStyle w:val="14"/>
        <w:adjustRightInd w:val="0"/>
        <w:snapToGrid w:val="0"/>
        <w:spacing w:line="440" w:lineRule="exact"/>
        <w:jc w:val="left"/>
        <w:rPr>
          <w:rFonts w:ascii="仿宋" w:hAnsi="仿宋" w:eastAsia="仿宋" w:cstheme="minorBidi"/>
          <w:sz w:val="24"/>
        </w:rPr>
      </w:pPr>
      <w:r>
        <w:rPr>
          <w:rFonts w:hint="eastAsia"/>
          <w:sz w:val="24"/>
        </w:rPr>
        <w:t>二、机构设置</w:t>
      </w:r>
      <w:r>
        <w:rPr>
          <w:b/>
        </w:rPr>
        <w:tab/>
      </w:r>
      <w:r>
        <w:rPr>
          <w:rFonts w:hint="eastAsia" w:ascii="Times New Roman" w:hAnsi="Times New Roman" w:eastAsia="宋体" w:cs="Times New Roman"/>
          <w:b/>
          <w:kern w:val="2"/>
          <w:sz w:val="21"/>
          <w:szCs w:val="24"/>
          <w:lang w:val="en-US" w:eastAsia="zh-CN" w:bidi="ar-SA"/>
        </w:rPr>
        <w:t>4</w:t>
      </w:r>
    </w:p>
    <w:p>
      <w:pPr>
        <w:pStyle w:val="13"/>
        <w:adjustRightInd w:val="0"/>
        <w:snapToGrid w:val="0"/>
        <w:spacing w:before="0" w:line="440" w:lineRule="exact"/>
        <w:jc w:val="left"/>
        <w:rPr>
          <w:sz w:val="24"/>
          <w:szCs w:val="24"/>
        </w:rPr>
      </w:pPr>
      <w:r>
        <w:rPr>
          <w:rFonts w:hint="eastAsia"/>
          <w:sz w:val="24"/>
        </w:rPr>
        <w:t>第二部分 2022年度部门决算情况说明</w:t>
      </w:r>
      <w:r>
        <w:rPr>
          <w:b/>
        </w:rPr>
        <w:tab/>
      </w:r>
      <w:r>
        <w:rPr>
          <w:rFonts w:hint="eastAsia" w:ascii="Times New Roman" w:hAnsi="Times New Roman" w:eastAsia="宋体" w:cs="Times New Roman"/>
          <w:b/>
          <w:kern w:val="2"/>
          <w:sz w:val="21"/>
          <w:szCs w:val="24"/>
          <w:lang w:val="en-US" w:eastAsia="zh-CN" w:bidi="ar-SA"/>
        </w:rPr>
        <w:t>4</w:t>
      </w:r>
    </w:p>
    <w:p>
      <w:pPr>
        <w:pStyle w:val="14"/>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b/>
        </w:rPr>
        <w:tab/>
      </w:r>
      <w:r>
        <w:rPr>
          <w:rFonts w:hint="eastAsia" w:ascii="Times New Roman" w:hAnsi="Times New Roman" w:eastAsia="宋体" w:cs="Times New Roman"/>
          <w:b/>
          <w:kern w:val="2"/>
          <w:sz w:val="21"/>
          <w:szCs w:val="24"/>
          <w:lang w:val="en-US" w:eastAsia="zh-CN" w:bidi="ar-SA"/>
        </w:rPr>
        <w:t>4</w:t>
      </w:r>
    </w:p>
    <w:p>
      <w:pPr>
        <w:pStyle w:val="14"/>
        <w:adjustRightInd w:val="0"/>
        <w:snapToGrid w:val="0"/>
        <w:spacing w:line="440" w:lineRule="exact"/>
        <w:jc w:val="left"/>
        <w:rPr>
          <w:rFonts w:ascii="仿宋" w:hAnsi="仿宋" w:eastAsia="仿宋" w:cstheme="minorBidi"/>
          <w:sz w:val="24"/>
        </w:rPr>
      </w:pPr>
      <w:r>
        <w:rPr>
          <w:rFonts w:hint="eastAsia"/>
          <w:sz w:val="24"/>
        </w:rPr>
        <w:t>二、收入决算情况说明</w:t>
      </w:r>
      <w:r>
        <w:rPr>
          <w:b/>
        </w:rPr>
        <w:tab/>
      </w:r>
      <w:r>
        <w:rPr>
          <w:rFonts w:hint="eastAsia" w:ascii="Times New Roman" w:hAnsi="Times New Roman" w:eastAsia="宋体" w:cs="Times New Roman"/>
          <w:b/>
          <w:kern w:val="2"/>
          <w:sz w:val="21"/>
          <w:szCs w:val="24"/>
          <w:lang w:val="en-US" w:eastAsia="zh-CN" w:bidi="ar-SA"/>
        </w:rPr>
        <w:t>5</w:t>
      </w:r>
    </w:p>
    <w:p>
      <w:pPr>
        <w:pStyle w:val="14"/>
        <w:adjustRightInd w:val="0"/>
        <w:snapToGrid w:val="0"/>
        <w:spacing w:line="440" w:lineRule="exact"/>
        <w:jc w:val="left"/>
        <w:rPr>
          <w:rFonts w:ascii="仿宋" w:hAnsi="仿宋" w:eastAsia="仿宋" w:cstheme="minorBidi"/>
          <w:sz w:val="24"/>
        </w:rPr>
      </w:pPr>
      <w:r>
        <w:rPr>
          <w:rFonts w:hint="eastAsia"/>
          <w:sz w:val="24"/>
        </w:rPr>
        <w:t>三、支出决算情况说明</w:t>
      </w:r>
      <w:r>
        <w:rPr>
          <w:b/>
        </w:rPr>
        <w:tab/>
      </w:r>
      <w:r>
        <w:rPr>
          <w:rFonts w:hint="eastAsia" w:ascii="Times New Roman" w:hAnsi="Times New Roman" w:eastAsia="宋体" w:cs="Times New Roman"/>
          <w:b/>
          <w:kern w:val="2"/>
          <w:sz w:val="21"/>
          <w:szCs w:val="24"/>
          <w:lang w:val="en-US" w:eastAsia="zh-CN" w:bidi="ar-SA"/>
        </w:rPr>
        <w:t>6</w:t>
      </w:r>
    </w:p>
    <w:p>
      <w:pPr>
        <w:pStyle w:val="14"/>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r>
        <w:rPr>
          <w:b/>
        </w:rPr>
        <w:tab/>
      </w:r>
      <w:r>
        <w:rPr>
          <w:rFonts w:hint="eastAsia" w:ascii="Times New Roman" w:hAnsi="Times New Roman" w:eastAsia="宋体" w:cs="Times New Roman"/>
          <w:b/>
          <w:kern w:val="2"/>
          <w:sz w:val="21"/>
          <w:szCs w:val="24"/>
          <w:lang w:val="en-US" w:eastAsia="zh-CN" w:bidi="ar-SA"/>
        </w:rPr>
        <w:t>6</w:t>
      </w:r>
    </w:p>
    <w:p>
      <w:pPr>
        <w:pStyle w:val="14"/>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r>
        <w:rPr>
          <w:b/>
        </w:rPr>
        <w:tab/>
      </w:r>
      <w:r>
        <w:rPr>
          <w:rFonts w:hint="eastAsia" w:ascii="Times New Roman" w:hAnsi="Times New Roman" w:eastAsia="宋体" w:cs="Times New Roman"/>
          <w:b/>
          <w:kern w:val="2"/>
          <w:sz w:val="21"/>
          <w:szCs w:val="24"/>
          <w:lang w:val="en-US" w:eastAsia="zh-CN" w:bidi="ar-SA"/>
        </w:rPr>
        <w:t>7</w:t>
      </w:r>
    </w:p>
    <w:p>
      <w:pPr>
        <w:pStyle w:val="14"/>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r>
        <w:rPr>
          <w:b/>
        </w:rPr>
        <w:tab/>
      </w:r>
      <w:r>
        <w:rPr>
          <w:rFonts w:hint="eastAsia" w:ascii="Times New Roman" w:hAnsi="Times New Roman" w:eastAsia="宋体" w:cs="Times New Roman"/>
          <w:b/>
          <w:kern w:val="2"/>
          <w:sz w:val="21"/>
          <w:szCs w:val="24"/>
          <w:lang w:val="en-US" w:eastAsia="zh-CN" w:bidi="ar-SA"/>
        </w:rPr>
        <w:t>9</w:t>
      </w:r>
    </w:p>
    <w:p>
      <w:pPr>
        <w:pStyle w:val="14"/>
        <w:adjustRightInd w:val="0"/>
        <w:snapToGrid w:val="0"/>
        <w:spacing w:line="440" w:lineRule="exact"/>
        <w:jc w:val="left"/>
        <w:rPr>
          <w:rFonts w:hint="default" w:ascii="仿宋" w:hAnsi="仿宋" w:eastAsia="仿宋" w:cstheme="minorBidi"/>
          <w:sz w:val="24"/>
          <w:lang w:val="en-US"/>
        </w:rPr>
      </w:pPr>
      <w:r>
        <w:rPr>
          <w:rFonts w:hint="eastAsia"/>
          <w:sz w:val="24"/>
        </w:rPr>
        <w:t>七、财政拨款“三公”经费支出决算情况说明</w:t>
      </w:r>
      <w:r>
        <w:rPr>
          <w:b/>
        </w:rPr>
        <w:tab/>
      </w:r>
      <w:r>
        <w:rPr>
          <w:rFonts w:hint="eastAsia" w:ascii="Times New Roman" w:hAnsi="Times New Roman" w:eastAsia="宋体" w:cs="Times New Roman"/>
          <w:b/>
          <w:kern w:val="2"/>
          <w:sz w:val="21"/>
          <w:szCs w:val="24"/>
          <w:lang w:val="en-US" w:eastAsia="zh-CN" w:bidi="ar-SA"/>
        </w:rPr>
        <w:t>10</w:t>
      </w:r>
    </w:p>
    <w:p>
      <w:pPr>
        <w:pStyle w:val="14"/>
        <w:adjustRightInd w:val="0"/>
        <w:snapToGrid w:val="0"/>
        <w:spacing w:line="440" w:lineRule="exact"/>
        <w:jc w:val="left"/>
        <w:rPr>
          <w:rFonts w:hint="default" w:ascii="仿宋" w:hAnsi="仿宋" w:eastAsia="仿宋" w:cstheme="minorBidi"/>
          <w:sz w:val="24"/>
          <w:lang w:val="en-US"/>
        </w:rPr>
      </w:pPr>
      <w:r>
        <w:rPr>
          <w:rFonts w:hint="eastAsia"/>
          <w:sz w:val="24"/>
        </w:rPr>
        <w:t>八、政府性基金预算支出决算情况说明</w:t>
      </w:r>
      <w:r>
        <w:rPr>
          <w:b/>
        </w:rPr>
        <w:tab/>
      </w:r>
      <w:r>
        <w:rPr>
          <w:rFonts w:hint="eastAsia" w:ascii="Times New Roman" w:hAnsi="Times New Roman" w:eastAsia="宋体" w:cs="Times New Roman"/>
          <w:b/>
          <w:kern w:val="2"/>
          <w:sz w:val="21"/>
          <w:szCs w:val="24"/>
          <w:lang w:val="en-US" w:eastAsia="zh-CN" w:bidi="ar-SA"/>
        </w:rPr>
        <w:t>11</w:t>
      </w:r>
    </w:p>
    <w:p>
      <w:pPr>
        <w:pStyle w:val="14"/>
        <w:adjustRightInd w:val="0"/>
        <w:snapToGrid w:val="0"/>
        <w:spacing w:line="440" w:lineRule="exact"/>
        <w:ind w:leftChars="0"/>
        <w:jc w:val="left"/>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rPr>
        <w:t>九、国有资本经营预算支出决算情况说明</w:t>
      </w:r>
      <w:r>
        <w:rPr>
          <w:b/>
        </w:rPr>
        <w:tab/>
      </w:r>
      <w:r>
        <w:rPr>
          <w:rFonts w:hint="eastAsia" w:ascii="Times New Roman" w:hAnsi="Times New Roman" w:eastAsia="宋体" w:cs="Times New Roman"/>
          <w:b/>
          <w:kern w:val="2"/>
          <w:sz w:val="21"/>
          <w:szCs w:val="24"/>
          <w:lang w:val="en-US" w:eastAsia="zh-CN" w:bidi="ar-SA"/>
        </w:rPr>
        <w:t>11</w:t>
      </w:r>
    </w:p>
    <w:p>
      <w:pPr>
        <w:adjustRightInd w:val="0"/>
        <w:snapToGrid w:val="0"/>
        <w:spacing w:line="440" w:lineRule="exact"/>
        <w:ind w:firstLine="420" w:firstLineChars="175"/>
        <w:jc w:val="left"/>
        <w:rPr>
          <w:rFonts w:hint="default" w:asciiTheme="minorEastAsia" w:hAnsiTheme="minorEastAsia" w:eastAsiaTheme="minorEastAsia" w:cstheme="minorEastAsia"/>
          <w:sz w:val="24"/>
          <w:lang w:val="en-US" w:eastAsia="zh-CN"/>
        </w:rPr>
      </w:pPr>
      <w:r>
        <w:rPr>
          <w:rStyle w:val="21"/>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lang w:val="en-US" w:eastAsia="zh-CN"/>
        </w:rPr>
        <w:t>......................................</w:t>
      </w:r>
      <w:r>
        <w:rPr>
          <w:rFonts w:hint="eastAsia" w:ascii="Times New Roman" w:hAnsi="Times New Roman" w:eastAsia="宋体" w:cs="Times New Roman"/>
          <w:b/>
          <w:kern w:val="2"/>
          <w:sz w:val="21"/>
          <w:szCs w:val="24"/>
          <w:lang w:val="en-US" w:eastAsia="zh-CN" w:bidi="ar-SA"/>
        </w:rPr>
        <w:t>12</w:t>
      </w:r>
    </w:p>
    <w:p>
      <w:pPr>
        <w:pStyle w:val="13"/>
        <w:adjustRightInd w:val="0"/>
        <w:snapToGrid w:val="0"/>
        <w:spacing w:before="0" w:line="440" w:lineRule="exact"/>
        <w:jc w:val="left"/>
        <w:rPr>
          <w:rFonts w:hint="default" w:cstheme="minorBidi"/>
          <w:sz w:val="24"/>
          <w:szCs w:val="24"/>
          <w:lang w:val="en-US"/>
        </w:rPr>
      </w:pPr>
      <w:r>
        <w:rPr>
          <w:rFonts w:hint="eastAsia"/>
          <w:sz w:val="24"/>
        </w:rPr>
        <w:t>第三部分</w:t>
      </w:r>
      <w:r>
        <w:rPr>
          <w:sz w:val="24"/>
        </w:rPr>
        <w:t xml:space="preserve"> </w:t>
      </w:r>
      <w:r>
        <w:rPr>
          <w:rFonts w:hint="eastAsia"/>
          <w:sz w:val="24"/>
        </w:rPr>
        <w:t>名词解释</w:t>
      </w:r>
      <w:r>
        <w:rPr>
          <w:b/>
        </w:rPr>
        <w:tab/>
      </w:r>
      <w:r>
        <w:rPr>
          <w:rFonts w:hint="eastAsia" w:ascii="Times New Roman" w:hAnsi="Times New Roman" w:eastAsia="宋体" w:cs="Times New Roman"/>
          <w:b/>
          <w:kern w:val="2"/>
          <w:sz w:val="21"/>
          <w:szCs w:val="24"/>
          <w:lang w:val="en-US" w:eastAsia="zh-CN" w:bidi="ar-SA"/>
        </w:rPr>
        <w:t>14</w:t>
      </w:r>
    </w:p>
    <w:p>
      <w:pPr>
        <w:pStyle w:val="13"/>
        <w:adjustRightInd w:val="0"/>
        <w:snapToGrid w:val="0"/>
        <w:spacing w:before="0" w:line="440" w:lineRule="exact"/>
        <w:jc w:val="left"/>
        <w:rPr>
          <w:rFonts w:hint="default" w:cstheme="minorBidi"/>
          <w:sz w:val="24"/>
          <w:szCs w:val="24"/>
          <w:lang w:val="en-US"/>
        </w:rPr>
      </w:pPr>
      <w:r>
        <w:rPr>
          <w:rFonts w:hint="eastAsia"/>
          <w:sz w:val="24"/>
        </w:rPr>
        <w:t>第四部分</w:t>
      </w:r>
      <w:r>
        <w:rPr>
          <w:sz w:val="24"/>
        </w:rPr>
        <w:t xml:space="preserve"> </w:t>
      </w:r>
      <w:r>
        <w:rPr>
          <w:rFonts w:hint="eastAsia"/>
          <w:sz w:val="24"/>
        </w:rPr>
        <w:t>附件</w:t>
      </w:r>
      <w:r>
        <w:rPr>
          <w:b/>
        </w:rPr>
        <w:tab/>
      </w:r>
      <w:r>
        <w:rPr>
          <w:rFonts w:hint="eastAsia" w:ascii="Times New Roman" w:hAnsi="Times New Roman" w:eastAsia="宋体" w:cs="Times New Roman"/>
          <w:b/>
          <w:kern w:val="2"/>
          <w:sz w:val="21"/>
          <w:szCs w:val="24"/>
          <w:lang w:val="en-US" w:eastAsia="zh-CN" w:bidi="ar-SA"/>
        </w:rPr>
        <w:t>16</w:t>
      </w:r>
    </w:p>
    <w:p>
      <w:pPr>
        <w:pStyle w:val="13"/>
        <w:adjustRightInd w:val="0"/>
        <w:snapToGrid w:val="0"/>
        <w:spacing w:before="0" w:line="440" w:lineRule="exact"/>
        <w:jc w:val="left"/>
        <w:rPr>
          <w:rFonts w:hint="default" w:cstheme="minorBidi"/>
          <w:sz w:val="24"/>
          <w:szCs w:val="24"/>
          <w:lang w:val="en-US"/>
        </w:rPr>
      </w:pPr>
      <w:r>
        <w:rPr>
          <w:rFonts w:hint="eastAsia"/>
          <w:sz w:val="24"/>
        </w:rPr>
        <w:t>第五部分</w:t>
      </w:r>
      <w:r>
        <w:rPr>
          <w:sz w:val="24"/>
        </w:rPr>
        <w:t xml:space="preserve"> </w:t>
      </w:r>
      <w:r>
        <w:rPr>
          <w:rFonts w:hint="eastAsia"/>
          <w:sz w:val="24"/>
        </w:rPr>
        <w:t>附表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一、收入支出决算总表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二、收入决算表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三、支出决算表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四、财政拨款收入支出决算总表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五、财政拨款支出决算明细表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六、一般公共预算财政拨款支出决算表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七、一般公共预算财政拨款支出决算明细表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八、一般公共预算财政拨款基本支出决算明细表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九、一般公共预算财政拨款项目支出决算表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十、政府性基金预算财政拨款收入支出决算表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十一、国有资本经营预算财政拨款收入支出决算表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sz w:val="24"/>
          <w:lang w:val="en-US"/>
        </w:rPr>
      </w:pPr>
      <w:r>
        <w:rPr>
          <w:rFonts w:hint="eastAsia"/>
          <w:sz w:val="24"/>
        </w:rPr>
        <w:t>十二、国有资本经营预算财政拨款支出决算表</w:t>
      </w:r>
      <w:r>
        <w:rPr>
          <w:b/>
        </w:rPr>
        <w:tab/>
      </w:r>
      <w:r>
        <w:rPr>
          <w:rFonts w:hint="eastAsia" w:ascii="Times New Roman" w:hAnsi="Times New Roman" w:eastAsia="宋体" w:cs="Times New Roman"/>
          <w:b/>
          <w:kern w:val="2"/>
          <w:sz w:val="21"/>
          <w:szCs w:val="24"/>
          <w:lang w:val="en-US" w:eastAsia="zh-CN" w:bidi="ar-SA"/>
        </w:rPr>
        <w:t>16</w:t>
      </w:r>
    </w:p>
    <w:p>
      <w:pPr>
        <w:pStyle w:val="14"/>
        <w:adjustRightInd w:val="0"/>
        <w:snapToGrid w:val="0"/>
        <w:spacing w:line="440" w:lineRule="exact"/>
        <w:jc w:val="left"/>
        <w:rPr>
          <w:rFonts w:hint="default" w:asciiTheme="minorEastAsia" w:hAnsiTheme="minorEastAsia" w:eastAsiaTheme="minorEastAsia" w:cstheme="minorEastAsia"/>
          <w:sz w:val="24"/>
          <w:lang w:val="en-US"/>
        </w:rPr>
      </w:pPr>
      <w:r>
        <w:rPr>
          <w:rFonts w:hint="eastAsia"/>
          <w:sz w:val="24"/>
        </w:rPr>
        <w:t>十三、财政拨款“三公”经费支出决算表</w:t>
      </w:r>
      <w:r>
        <w:rPr>
          <w:b/>
        </w:rPr>
        <w:tab/>
      </w:r>
      <w:r>
        <w:rPr>
          <w:rFonts w:hint="eastAsia" w:ascii="Times New Roman" w:hAnsi="Times New Roman" w:eastAsia="宋体" w:cs="Times New Roman"/>
          <w:b/>
          <w:kern w:val="2"/>
          <w:sz w:val="21"/>
          <w:szCs w:val="24"/>
          <w:lang w:val="en-US" w:eastAsia="zh-CN" w:bidi="ar-SA"/>
        </w:rPr>
        <w:t>16</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Style w:val="31"/>
          <w:rFonts w:ascii="黑体" w:hAnsi="黑体" w:eastAsia="黑体"/>
          <w:b/>
          <w:bCs w:val="0"/>
        </w:rPr>
      </w:pPr>
      <w:r>
        <w:rPr>
          <w:rFonts w:hint="eastAsia" w:ascii="黑体" w:hAnsi="黑体" w:eastAsia="黑体"/>
          <w:b w:val="0"/>
        </w:rPr>
        <w:t xml:space="preserve">第一部分 </w:t>
      </w:r>
      <w:r>
        <w:rPr>
          <w:rStyle w:val="31"/>
          <w:rFonts w:hint="eastAsia" w:ascii="黑体" w:hAnsi="黑体" w:eastAsia="黑体"/>
          <w:b w:val="0"/>
          <w:bCs w:val="0"/>
        </w:rPr>
        <w:t>部门概况</w:t>
      </w:r>
      <w:bookmarkEnd w:id="12"/>
      <w:bookmarkEnd w:id="13"/>
    </w:p>
    <w:p>
      <w:pPr>
        <w:widowControl/>
        <w:jc w:val="left"/>
        <w:rPr>
          <w:rFonts w:ascii="黑体" w:eastAsia="黑体"/>
          <w:sz w:val="32"/>
          <w:szCs w:val="32"/>
        </w:rPr>
      </w:pPr>
    </w:p>
    <w:p>
      <w:pPr>
        <w:pStyle w:val="4"/>
        <w:rPr>
          <w:rFonts w:hint="eastAsia" w:ascii="黑体" w:hAnsi="黑体" w:eastAsia="黑体"/>
          <w:b w:val="0"/>
        </w:rPr>
      </w:pPr>
      <w:bookmarkStart w:id="14" w:name="_Toc15377197"/>
      <w:bookmarkStart w:id="15" w:name="_Toc15396600"/>
      <w:r>
        <w:rPr>
          <w:rFonts w:hint="eastAsia" w:ascii="黑体" w:hAnsi="黑体" w:eastAsia="黑体"/>
          <w:b w:val="0"/>
        </w:rPr>
        <w:t>一、</w:t>
      </w:r>
      <w:bookmarkEnd w:id="14"/>
      <w:bookmarkEnd w:id="15"/>
      <w:r>
        <w:rPr>
          <w:rFonts w:hint="eastAsia" w:ascii="黑体" w:hAnsi="黑体" w:eastAsia="黑体"/>
          <w:b w:val="0"/>
        </w:rPr>
        <w:t>部门职责</w:t>
      </w:r>
    </w:p>
    <w:p>
      <w:pPr>
        <w:pStyle w:val="7"/>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16" w:name="_Toc15377200"/>
      <w:bookmarkStart w:id="17" w:name="_Toc15396601"/>
      <w:r>
        <w:rPr>
          <w:rFonts w:hint="eastAsia" w:ascii="仿宋" w:hAnsi="仿宋" w:eastAsia="仿宋"/>
          <w:bCs/>
          <w:color w:val="000000"/>
          <w:sz w:val="32"/>
          <w:szCs w:val="32"/>
        </w:rPr>
        <w:t>对全县的国省干道进行日常养护，管养国省干道167.67公里。</w:t>
      </w:r>
    </w:p>
    <w:p>
      <w:pPr>
        <w:pStyle w:val="4"/>
        <w:rPr>
          <w:rStyle w:val="32"/>
          <w:b w:val="0"/>
          <w:bCs w:val="0"/>
        </w:rPr>
      </w:pPr>
      <w:r>
        <w:rPr>
          <w:rFonts w:hint="eastAsia" w:ascii="黑体" w:eastAsia="黑体"/>
          <w:b w:val="0"/>
        </w:rPr>
        <w:t>二、</w:t>
      </w:r>
      <w:r>
        <w:rPr>
          <w:rFonts w:hint="eastAsia" w:ascii="黑体" w:hAnsi="黑体" w:eastAsia="黑体"/>
          <w:b w:val="0"/>
        </w:rPr>
        <w:t>机</w:t>
      </w:r>
      <w:r>
        <w:rPr>
          <w:rStyle w:val="32"/>
          <w:rFonts w:hint="eastAsia" w:ascii="黑体" w:hAnsi="黑体" w:eastAsia="黑体"/>
          <w:b w:val="0"/>
          <w:bCs w:val="0"/>
        </w:rPr>
        <w:t>构设置</w:t>
      </w:r>
      <w:bookmarkEnd w:id="16"/>
      <w:bookmarkEnd w:id="17"/>
    </w:p>
    <w:p>
      <w:pPr>
        <w:ind w:firstLine="800" w:firstLineChars="250"/>
      </w:pPr>
      <w:r>
        <w:rPr>
          <w:rFonts w:hint="eastAsia" w:ascii="仿宋" w:hAnsi="仿宋" w:eastAsia="仿宋"/>
          <w:sz w:val="32"/>
          <w:szCs w:val="32"/>
        </w:rPr>
        <w:t>乐至县</w:t>
      </w:r>
      <w:r>
        <w:rPr>
          <w:rFonts w:hint="eastAsia" w:ascii="仿宋" w:hAnsi="仿宋" w:eastAsia="仿宋"/>
          <w:sz w:val="32"/>
          <w:szCs w:val="32"/>
          <w:lang w:val="en-US" w:eastAsia="zh-CN"/>
        </w:rPr>
        <w:t>公路养护管理段</w:t>
      </w:r>
      <w:r>
        <w:rPr>
          <w:rFonts w:hint="eastAsia" w:ascii="仿宋" w:hAnsi="仿宋" w:eastAsia="仿宋"/>
          <w:sz w:val="32"/>
          <w:szCs w:val="32"/>
        </w:rPr>
        <w:t>属乐至县</w:t>
      </w:r>
      <w:r>
        <w:rPr>
          <w:rFonts w:hint="eastAsia" w:ascii="仿宋" w:hAnsi="仿宋" w:eastAsia="仿宋"/>
          <w:sz w:val="32"/>
          <w:szCs w:val="32"/>
          <w:lang w:val="en-US" w:eastAsia="zh-CN"/>
        </w:rPr>
        <w:t>交通运输</w:t>
      </w:r>
      <w:r>
        <w:rPr>
          <w:rFonts w:hint="eastAsia" w:ascii="仿宋" w:hAnsi="仿宋" w:eastAsia="仿宋"/>
          <w:sz w:val="32"/>
          <w:szCs w:val="32"/>
        </w:rPr>
        <w:t>局的下属二级预算单位，</w:t>
      </w:r>
      <w:r>
        <w:rPr>
          <w:rFonts w:hint="eastAsia" w:ascii="仿宋_GB2312" w:hAnsi="仿宋" w:eastAsia="仿宋_GB2312"/>
          <w:sz w:val="32"/>
          <w:szCs w:val="32"/>
        </w:rPr>
        <w:t>事业性质，差额拨款。</w:t>
      </w:r>
      <w:r>
        <w:rPr>
          <w:rFonts w:hint="eastAsia" w:ascii="仿宋" w:hAnsi="仿宋" w:eastAsia="仿宋"/>
          <w:sz w:val="32"/>
          <w:szCs w:val="32"/>
        </w:rPr>
        <w:t>下属二级预算单位</w:t>
      </w:r>
      <w:r>
        <w:rPr>
          <w:rFonts w:hint="eastAsia" w:ascii="仿宋" w:hAnsi="仿宋" w:eastAsia="仿宋"/>
          <w:sz w:val="32"/>
          <w:szCs w:val="32"/>
          <w:lang w:val="en-US" w:eastAsia="zh-CN"/>
        </w:rPr>
        <w:t>0</w:t>
      </w:r>
      <w:r>
        <w:rPr>
          <w:rFonts w:hint="eastAsia" w:ascii="仿宋" w:hAnsi="仿宋" w:eastAsia="仿宋"/>
          <w:sz w:val="32"/>
          <w:szCs w:val="32"/>
        </w:rPr>
        <w:t>个，其中行政单位</w:t>
      </w:r>
      <w:r>
        <w:rPr>
          <w:rFonts w:hint="eastAsia" w:ascii="仿宋" w:hAnsi="仿宋" w:eastAsia="仿宋"/>
          <w:sz w:val="32"/>
          <w:szCs w:val="32"/>
          <w:lang w:val="en-US" w:eastAsia="zh-CN"/>
        </w:rPr>
        <w:t>0</w:t>
      </w:r>
      <w:r>
        <w:rPr>
          <w:rFonts w:hint="eastAsia" w:ascii="仿宋" w:hAnsi="仿宋" w:eastAsia="仿宋"/>
          <w:sz w:val="32"/>
          <w:szCs w:val="32"/>
        </w:rPr>
        <w:t>个，参照公务员法管理的事业单位</w:t>
      </w:r>
      <w:r>
        <w:rPr>
          <w:rFonts w:hint="eastAsia" w:ascii="仿宋" w:hAnsi="仿宋" w:eastAsia="仿宋"/>
          <w:bCs/>
          <w:sz w:val="32"/>
          <w:szCs w:val="32"/>
          <w:lang w:val="en-US" w:eastAsia="zh-CN"/>
        </w:rPr>
        <w:t>0</w:t>
      </w:r>
      <w:r>
        <w:rPr>
          <w:rFonts w:hint="eastAsia" w:ascii="仿宋" w:hAnsi="仿宋" w:eastAsia="仿宋"/>
          <w:sz w:val="32"/>
          <w:szCs w:val="32"/>
        </w:rPr>
        <w:t>个，其他事业单位</w:t>
      </w:r>
      <w:r>
        <w:rPr>
          <w:rFonts w:hint="eastAsia" w:ascii="仿宋" w:hAnsi="仿宋" w:eastAsia="仿宋"/>
          <w:sz w:val="32"/>
          <w:szCs w:val="32"/>
          <w:lang w:val="en-US" w:eastAsia="zh-CN"/>
        </w:rPr>
        <w:t>0</w:t>
      </w:r>
      <w:r>
        <w:rPr>
          <w:rFonts w:hint="eastAsia" w:ascii="仿宋" w:hAnsi="仿宋" w:eastAsia="仿宋"/>
          <w:sz w:val="32"/>
          <w:szCs w:val="32"/>
        </w:rPr>
        <w:t>个。纳入2022年度部门决算编制范围的二级预算单位包括：</w:t>
      </w:r>
      <w:r>
        <w:rPr>
          <w:rFonts w:hint="eastAsia" w:ascii="仿宋" w:hAnsi="仿宋" w:eastAsia="仿宋"/>
          <w:sz w:val="32"/>
          <w:szCs w:val="32"/>
          <w:lang w:val="en-US" w:eastAsia="zh-CN"/>
        </w:rPr>
        <w:t>四川省</w:t>
      </w:r>
      <w:r>
        <w:rPr>
          <w:rFonts w:hint="eastAsia" w:ascii="仿宋" w:hAnsi="仿宋" w:eastAsia="仿宋"/>
          <w:sz w:val="32"/>
          <w:szCs w:val="32"/>
          <w:lang w:eastAsia="zh-CN"/>
        </w:rPr>
        <w:t>乐至县</w:t>
      </w:r>
      <w:r>
        <w:rPr>
          <w:rFonts w:hint="eastAsia" w:ascii="仿宋" w:hAnsi="仿宋" w:eastAsia="仿宋"/>
          <w:sz w:val="32"/>
          <w:szCs w:val="32"/>
          <w:lang w:val="en-US" w:eastAsia="zh-CN"/>
        </w:rPr>
        <w:t>公路养护管理段</w:t>
      </w:r>
      <w:r>
        <w:rPr>
          <w:rFonts w:hint="eastAsia" w:ascii="仿宋" w:hAnsi="仿宋" w:eastAsia="仿宋"/>
          <w:sz w:val="32"/>
          <w:szCs w:val="32"/>
          <w:lang w:eastAsia="zh-CN"/>
        </w:rPr>
        <w:t>。</w:t>
      </w:r>
    </w:p>
    <w:p>
      <w:pPr>
        <w:pStyle w:val="3"/>
        <w:ind w:right="440"/>
        <w:jc w:val="center"/>
      </w:pPr>
      <w:bookmarkStart w:id="18" w:name="_Toc15396602"/>
      <w:bookmarkStart w:id="19" w:name="_Toc15377204"/>
      <w:r>
        <w:rPr>
          <w:rFonts w:hint="eastAsia" w:ascii="黑体" w:hAnsi="黑体" w:eastAsia="黑体"/>
          <w:b w:val="0"/>
        </w:rPr>
        <w:t>第二部分 2022年度</w:t>
      </w:r>
      <w:r>
        <w:rPr>
          <w:rStyle w:val="31"/>
          <w:rFonts w:hint="eastAsia" w:ascii="黑体" w:hAnsi="黑体" w:eastAsia="黑体"/>
          <w:b w:val="0"/>
          <w:bCs/>
        </w:rPr>
        <w:t>部门决算情况说明</w:t>
      </w:r>
      <w:bookmarkEnd w:id="18"/>
      <w:bookmarkEnd w:id="19"/>
    </w:p>
    <w:p>
      <w:pPr>
        <w:pStyle w:val="30"/>
        <w:numPr>
          <w:ilvl w:val="0"/>
          <w:numId w:val="1"/>
        </w:numPr>
        <w:spacing w:line="600" w:lineRule="exact"/>
        <w:ind w:firstLineChars="0"/>
        <w:outlineLvl w:val="1"/>
        <w:rPr>
          <w:rStyle w:val="32"/>
          <w:rFonts w:ascii="黑体" w:hAnsi="黑体" w:eastAsia="黑体"/>
          <w:b w:val="0"/>
        </w:rPr>
      </w:pPr>
      <w:bookmarkStart w:id="20" w:name="_Toc15377205"/>
      <w:bookmarkStart w:id="21" w:name="_Toc15396603"/>
      <w:r>
        <w:rPr>
          <w:rFonts w:hint="eastAsia" w:ascii="黑体" w:hAnsi="黑体" w:eastAsia="黑体"/>
          <w:sz w:val="32"/>
          <w:szCs w:val="32"/>
        </w:rPr>
        <w:t>收</w:t>
      </w:r>
      <w:r>
        <w:rPr>
          <w:rStyle w:val="32"/>
          <w:rFonts w:hint="eastAsia" w:ascii="黑体" w:hAnsi="黑体" w:eastAsia="黑体"/>
          <w:b w:val="0"/>
        </w:rPr>
        <w:t>入支出决算总体情况说明</w:t>
      </w:r>
      <w:bookmarkEnd w:id="20"/>
      <w:bookmarkEnd w:id="21"/>
    </w:p>
    <w:p>
      <w:pPr>
        <w:spacing w:line="600" w:lineRule="exact"/>
        <w:ind w:firstLine="640" w:firstLineChars="200"/>
        <w:rPr>
          <w:rFonts w:ascii="仿宋" w:hAnsi="仿宋" w:eastAsia="仿宋"/>
          <w:sz w:val="32"/>
          <w:szCs w:val="32"/>
        </w:rPr>
      </w:pPr>
      <w:r>
        <w:rPr>
          <w:rFonts w:hint="eastAsia" w:ascii="仿宋" w:hAnsi="仿宋" w:eastAsia="仿宋"/>
          <w:sz w:val="32"/>
          <w:szCs w:val="32"/>
        </w:rPr>
        <w:t>2022年度收</w:t>
      </w:r>
      <w:r>
        <w:rPr>
          <w:rFonts w:hint="eastAsia" w:ascii="仿宋" w:hAnsi="仿宋" w:eastAsia="仿宋"/>
          <w:sz w:val="32"/>
          <w:szCs w:val="32"/>
          <w:lang w:eastAsia="zh-CN"/>
        </w:rPr>
        <w:t>入总计</w:t>
      </w:r>
      <w:r>
        <w:rPr>
          <w:rFonts w:hint="eastAsia" w:ascii="仿宋" w:hAnsi="仿宋" w:eastAsia="仿宋"/>
          <w:sz w:val="32"/>
          <w:szCs w:val="32"/>
          <w:lang w:val="en-US" w:eastAsia="zh-CN"/>
        </w:rPr>
        <w:t>1156.76</w:t>
      </w:r>
      <w:r>
        <w:rPr>
          <w:rFonts w:hint="eastAsia" w:ascii="仿宋_GB2312" w:hAnsi="仿宋" w:eastAsia="仿宋_GB2312"/>
          <w:sz w:val="32"/>
          <w:szCs w:val="32"/>
          <w:lang w:val="en-US" w:eastAsia="zh-CN"/>
        </w:rPr>
        <w:t xml:space="preserve"> 万</w:t>
      </w:r>
      <w:r>
        <w:rPr>
          <w:rFonts w:hint="eastAsia" w:ascii="仿宋_GB2312" w:hAnsi="仿宋" w:eastAsia="仿宋_GB2312"/>
          <w:sz w:val="32"/>
          <w:szCs w:val="32"/>
        </w:rPr>
        <w:t>元</w:t>
      </w:r>
      <w:r>
        <w:rPr>
          <w:rFonts w:hint="eastAsia" w:ascii="仿宋_GB2312" w:hAnsi="仿宋" w:eastAsia="仿宋_GB2312"/>
          <w:sz w:val="32"/>
          <w:szCs w:val="32"/>
          <w:lang w:eastAsia="zh-CN"/>
        </w:rPr>
        <w:t>，</w:t>
      </w:r>
      <w:r>
        <w:rPr>
          <w:rFonts w:hint="eastAsia" w:ascii="仿宋" w:hAnsi="仿宋" w:eastAsia="仿宋"/>
          <w:sz w:val="32"/>
          <w:szCs w:val="32"/>
        </w:rPr>
        <w:t>支</w:t>
      </w:r>
      <w:r>
        <w:rPr>
          <w:rFonts w:hint="eastAsia" w:ascii="仿宋" w:hAnsi="仿宋" w:eastAsia="仿宋"/>
          <w:sz w:val="32"/>
          <w:szCs w:val="32"/>
          <w:lang w:eastAsia="zh-CN"/>
        </w:rPr>
        <w:t>出</w:t>
      </w:r>
      <w:r>
        <w:rPr>
          <w:rFonts w:hint="eastAsia" w:ascii="仿宋" w:hAnsi="仿宋" w:eastAsia="仿宋"/>
          <w:sz w:val="32"/>
          <w:szCs w:val="32"/>
        </w:rPr>
        <w:t>总计</w:t>
      </w:r>
      <w:r>
        <w:rPr>
          <w:rFonts w:hint="eastAsia" w:ascii="仿宋" w:hAnsi="仿宋" w:eastAsia="仿宋"/>
          <w:sz w:val="32"/>
          <w:szCs w:val="32"/>
          <w:lang w:val="en-US" w:eastAsia="zh-CN"/>
        </w:rPr>
        <w:t>1190.76</w:t>
      </w:r>
      <w:r>
        <w:rPr>
          <w:rFonts w:hint="eastAsia" w:ascii="仿宋_GB2312" w:hAnsi="仿宋" w:eastAsia="仿宋_GB2312"/>
          <w:sz w:val="32"/>
          <w:szCs w:val="32"/>
          <w:lang w:val="en-US" w:eastAsia="zh-CN"/>
        </w:rPr>
        <w:t xml:space="preserve">   </w:t>
      </w:r>
      <w:r>
        <w:rPr>
          <w:rFonts w:hint="eastAsia" w:ascii="仿宋" w:hAnsi="仿宋" w:eastAsia="仿宋"/>
          <w:sz w:val="32"/>
          <w:szCs w:val="32"/>
        </w:rPr>
        <w:t>万元。与2021年相比，</w:t>
      </w:r>
      <w:r>
        <w:rPr>
          <w:rFonts w:hint="eastAsia" w:ascii="仿宋" w:hAnsi="仿宋" w:eastAsia="仿宋"/>
          <w:sz w:val="32"/>
          <w:szCs w:val="32"/>
          <w:lang w:val="en-US" w:eastAsia="zh-CN"/>
        </w:rPr>
        <w:t xml:space="preserve"> </w:t>
      </w:r>
      <w:r>
        <w:rPr>
          <w:rFonts w:hint="eastAsia" w:ascii="仿宋" w:hAnsi="仿宋" w:eastAsia="仿宋"/>
          <w:sz w:val="32"/>
          <w:szCs w:val="32"/>
        </w:rPr>
        <w:t>收</w:t>
      </w:r>
      <w:r>
        <w:rPr>
          <w:rFonts w:hint="eastAsia" w:ascii="仿宋" w:hAnsi="仿宋" w:eastAsia="仿宋"/>
          <w:sz w:val="32"/>
          <w:szCs w:val="32"/>
          <w:lang w:eastAsia="zh-CN"/>
        </w:rPr>
        <w:t>入总计减少</w:t>
      </w:r>
      <w:r>
        <w:rPr>
          <w:rFonts w:hint="eastAsia" w:ascii="仿宋" w:hAnsi="仿宋" w:eastAsia="仿宋"/>
          <w:sz w:val="32"/>
          <w:szCs w:val="32"/>
          <w:lang w:val="en-US" w:eastAsia="zh-CN"/>
        </w:rPr>
        <w:t xml:space="preserve">152.08 万元，下降12 </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支出总计</w:t>
      </w:r>
      <w:r>
        <w:rPr>
          <w:rFonts w:hint="eastAsia" w:ascii="仿宋" w:hAnsi="仿宋" w:eastAsia="仿宋"/>
          <w:sz w:val="32"/>
          <w:szCs w:val="32"/>
          <w:lang w:eastAsia="zh-CN"/>
        </w:rPr>
        <w:t>减少</w:t>
      </w:r>
      <w:r>
        <w:rPr>
          <w:rFonts w:hint="eastAsia" w:ascii="仿宋" w:hAnsi="仿宋" w:eastAsia="仿宋"/>
          <w:sz w:val="32"/>
          <w:szCs w:val="32"/>
          <w:lang w:val="en-US" w:eastAsia="zh-CN"/>
        </w:rPr>
        <w:t xml:space="preserve">422.08 </w:t>
      </w:r>
      <w:r>
        <w:rPr>
          <w:rFonts w:hint="eastAsia" w:ascii="仿宋" w:hAnsi="仿宋" w:eastAsia="仿宋"/>
          <w:sz w:val="32"/>
          <w:szCs w:val="32"/>
        </w:rPr>
        <w:t>万元，</w:t>
      </w:r>
      <w:r>
        <w:rPr>
          <w:rFonts w:hint="eastAsia" w:ascii="仿宋" w:hAnsi="仿宋" w:eastAsia="仿宋"/>
          <w:sz w:val="32"/>
          <w:szCs w:val="32"/>
          <w:lang w:val="en-US" w:eastAsia="zh-CN"/>
        </w:rPr>
        <w:t>下降26.17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财政拨款减少</w:t>
      </w:r>
      <w:r>
        <w:rPr>
          <w:rFonts w:hint="eastAsia" w:ascii="仿宋" w:hAnsi="仿宋" w:eastAsia="仿宋"/>
          <w:sz w:val="32"/>
          <w:szCs w:val="32"/>
        </w:rPr>
        <w:t>。</w:t>
      </w:r>
    </w:p>
    <w:p>
      <w:pPr>
        <w:pStyle w:val="7"/>
        <w:rPr>
          <w:rFonts w:hint="eastAsia" w:eastAsia="仿宋_GB2312"/>
          <w:lang w:eastAsia="zh-CN"/>
        </w:rPr>
      </w:pPr>
      <w:r>
        <w:drawing>
          <wp:inline distT="0" distB="0" distL="114300" distR="114300">
            <wp:extent cx="4826000" cy="2562225"/>
            <wp:effectExtent l="4445" t="4445" r="8255" b="5080"/>
            <wp:docPr id="1751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30"/>
        <w:numPr>
          <w:ilvl w:val="0"/>
          <w:numId w:val="1"/>
        </w:numPr>
        <w:spacing w:line="600" w:lineRule="exact"/>
        <w:ind w:firstLineChars="0"/>
        <w:outlineLvl w:val="1"/>
        <w:rPr>
          <w:rStyle w:val="32"/>
          <w:rFonts w:ascii="黑体" w:hAnsi="黑体" w:eastAsia="黑体"/>
          <w:b w:val="0"/>
        </w:rPr>
      </w:pPr>
      <w:bookmarkStart w:id="22" w:name="_Toc15396604"/>
      <w:bookmarkStart w:id="23" w:name="_Toc15377206"/>
      <w:r>
        <w:rPr>
          <w:rFonts w:hint="eastAsia" w:ascii="黑体" w:hAnsi="黑体" w:eastAsia="黑体"/>
          <w:sz w:val="32"/>
          <w:szCs w:val="32"/>
        </w:rPr>
        <w:t>收</w:t>
      </w:r>
      <w:r>
        <w:rPr>
          <w:rStyle w:val="32"/>
          <w:rFonts w:hint="eastAsia" w:ascii="黑体" w:hAnsi="黑体" w:eastAsia="黑体"/>
          <w:b w:val="0"/>
        </w:rPr>
        <w:t>入决算情况说明</w:t>
      </w:r>
      <w:bookmarkEnd w:id="22"/>
      <w:bookmarkEnd w:id="23"/>
    </w:p>
    <w:p>
      <w:pPr>
        <w:spacing w:line="600" w:lineRule="exact"/>
        <w:ind w:firstLine="640" w:firstLineChars="200"/>
        <w:outlineLvl w:val="1"/>
      </w:pPr>
      <w:r>
        <w:rPr>
          <w:rFonts w:ascii="仿宋" w:hAnsi="仿宋" w:eastAsia="仿宋"/>
          <w:sz w:val="32"/>
          <w:szCs w:val="32"/>
        </w:rPr>
        <w:t>20</w:t>
      </w:r>
      <w:r>
        <w:rPr>
          <w:rFonts w:hint="eastAsia" w:ascii="仿宋" w:hAnsi="仿宋" w:eastAsia="仿宋"/>
          <w:sz w:val="32"/>
          <w:szCs w:val="32"/>
        </w:rPr>
        <w:t>22年本年收入合计</w:t>
      </w:r>
      <w:r>
        <w:rPr>
          <w:rFonts w:hint="eastAsia" w:ascii="仿宋" w:hAnsi="仿宋" w:eastAsia="仿宋"/>
          <w:sz w:val="32"/>
          <w:szCs w:val="32"/>
          <w:lang w:val="en-US" w:eastAsia="zh-CN"/>
        </w:rPr>
        <w:t>1156.76</w:t>
      </w:r>
      <w:r>
        <w:rPr>
          <w:rFonts w:hint="eastAsia" w:ascii="仿宋_GB2312" w:hAnsi="仿宋" w:eastAsia="仿宋_GB2312"/>
          <w:sz w:val="32"/>
          <w:szCs w:val="32"/>
          <w:lang w:val="en-US" w:eastAsia="zh-CN"/>
        </w:rPr>
        <w:t xml:space="preserve">  </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 xml:space="preserve">1084.07 </w:t>
      </w:r>
      <w:r>
        <w:rPr>
          <w:rFonts w:hint="eastAsia" w:ascii="仿宋" w:hAnsi="仿宋" w:eastAsia="仿宋"/>
          <w:sz w:val="32"/>
          <w:szCs w:val="32"/>
        </w:rPr>
        <w:t>万元，占</w:t>
      </w:r>
      <w:r>
        <w:rPr>
          <w:rFonts w:hint="eastAsia" w:ascii="仿宋" w:hAnsi="仿宋" w:eastAsia="仿宋"/>
          <w:sz w:val="32"/>
          <w:szCs w:val="32"/>
          <w:lang w:val="en-US" w:eastAsia="zh-CN"/>
        </w:rPr>
        <w:t>93.72</w:t>
      </w:r>
      <w:r>
        <w:rPr>
          <w:rFonts w:hint="eastAsia" w:ascii="仿宋_GB2312" w:hAnsi="仿宋" w:eastAsia="仿宋_GB2312"/>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；事业收入</w:t>
      </w:r>
      <w:r>
        <w:rPr>
          <w:rFonts w:hint="eastAsia" w:ascii="仿宋_GB2312" w:hAnsi="仿宋" w:eastAsia="仿宋_GB2312"/>
          <w:sz w:val="32"/>
          <w:szCs w:val="32"/>
          <w:lang w:val="en-US" w:eastAsia="zh-CN"/>
        </w:rPr>
        <w:t xml:space="preserve"> 0 </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hint="eastAsia" w:ascii="仿宋_GB2312" w:hAnsi="仿宋" w:eastAsia="仿宋_GB2312"/>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 xml:space="preserve">72.69 </w:t>
      </w:r>
      <w:r>
        <w:rPr>
          <w:rFonts w:hint="eastAsia" w:ascii="仿宋" w:hAnsi="仿宋" w:eastAsia="仿宋"/>
          <w:sz w:val="32"/>
          <w:szCs w:val="32"/>
        </w:rPr>
        <w:t>万元，占</w:t>
      </w:r>
      <w:r>
        <w:rPr>
          <w:rFonts w:hint="eastAsia" w:ascii="仿宋" w:hAnsi="仿宋" w:eastAsia="仿宋"/>
          <w:sz w:val="32"/>
          <w:szCs w:val="32"/>
          <w:lang w:val="en-US" w:eastAsia="zh-CN"/>
        </w:rPr>
        <w:t>6.28</w:t>
      </w:r>
      <w:r>
        <w:rPr>
          <w:rFonts w:hint="eastAsia" w:ascii="仿宋_GB2312" w:hAnsi="仿宋" w:eastAsia="仿宋_GB2312"/>
          <w:sz w:val="32"/>
          <w:szCs w:val="32"/>
          <w:lang w:val="en-US" w:eastAsia="zh-CN"/>
        </w:rPr>
        <w:t xml:space="preserve">  </w:t>
      </w:r>
      <w:r>
        <w:rPr>
          <w:rFonts w:ascii="仿宋" w:hAnsi="仿宋" w:eastAsia="仿宋"/>
          <w:sz w:val="32"/>
          <w:szCs w:val="32"/>
        </w:rPr>
        <w:t>%</w:t>
      </w:r>
      <w:r>
        <w:rPr>
          <w:rFonts w:hint="eastAsia" w:ascii="仿宋" w:hAnsi="仿宋" w:eastAsia="仿宋"/>
          <w:sz w:val="32"/>
          <w:szCs w:val="32"/>
        </w:rPr>
        <w:t>。</w:t>
      </w:r>
    </w:p>
    <w:p>
      <w:pPr>
        <w:pStyle w:val="7"/>
        <w:rPr>
          <w:rFonts w:hint="eastAsia" w:eastAsia="仿宋_GB2312"/>
          <w:lang w:eastAsia="zh-CN"/>
        </w:rPr>
      </w:pPr>
      <w:r>
        <w:drawing>
          <wp:inline distT="0" distB="0" distL="114300" distR="114300">
            <wp:extent cx="4826000" cy="2743200"/>
            <wp:effectExtent l="4445" t="4445" r="8255" b="14605"/>
            <wp:docPr id="17488" name="图表 12" descr="7b0a202020202263686172745265734964223a202232303436393939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0"/>
        <w:numPr>
          <w:ilvl w:val="0"/>
          <w:numId w:val="1"/>
        </w:numPr>
        <w:spacing w:line="600" w:lineRule="exact"/>
        <w:ind w:firstLineChars="0"/>
        <w:outlineLvl w:val="1"/>
        <w:rPr>
          <w:rStyle w:val="32"/>
          <w:rFonts w:ascii="黑体" w:hAnsi="黑体" w:eastAsia="黑体"/>
          <w:b w:val="0"/>
        </w:rPr>
      </w:pPr>
      <w:bookmarkStart w:id="24" w:name="_Toc15396605"/>
      <w:bookmarkStart w:id="25" w:name="_Toc15377207"/>
      <w:r>
        <w:rPr>
          <w:rFonts w:hint="eastAsia" w:ascii="黑体" w:hAnsi="黑体" w:eastAsia="黑体"/>
          <w:sz w:val="32"/>
          <w:szCs w:val="32"/>
        </w:rPr>
        <w:t>支</w:t>
      </w:r>
      <w:r>
        <w:rPr>
          <w:rStyle w:val="32"/>
          <w:rFonts w:hint="eastAsia" w:ascii="黑体" w:hAnsi="黑体" w:eastAsia="黑体"/>
          <w:b w:val="0"/>
        </w:rPr>
        <w:t>出决算情况说明</w:t>
      </w:r>
      <w:bookmarkEnd w:id="24"/>
      <w:bookmarkEnd w:id="25"/>
    </w:p>
    <w:p>
      <w:pPr>
        <w:spacing w:line="600" w:lineRule="exact"/>
        <w:ind w:firstLine="640" w:firstLineChars="200"/>
        <w:outlineLvl w:val="1"/>
        <w:rPr>
          <w:rFonts w:hint="eastAsia" w:ascii="仿宋_GB2312" w:eastAsia="仿宋_GB2312"/>
          <w:sz w:val="32"/>
          <w:szCs w:val="32"/>
          <w:lang w:eastAsia="zh-CN"/>
        </w:rPr>
      </w:pPr>
      <w:r>
        <w:rPr>
          <w:rFonts w:ascii="仿宋" w:hAnsi="仿宋" w:eastAsia="仿宋"/>
          <w:sz w:val="32"/>
          <w:szCs w:val="32"/>
        </w:rPr>
        <w:t>20</w:t>
      </w:r>
      <w:r>
        <w:rPr>
          <w:rFonts w:hint="eastAsia" w:ascii="仿宋" w:hAnsi="仿宋" w:eastAsia="仿宋"/>
          <w:sz w:val="32"/>
          <w:szCs w:val="32"/>
        </w:rPr>
        <w:t>22年本年支出合计</w:t>
      </w:r>
      <w:r>
        <w:rPr>
          <w:rFonts w:hint="eastAsia" w:ascii="仿宋" w:hAnsi="仿宋" w:eastAsia="仿宋"/>
          <w:sz w:val="32"/>
          <w:szCs w:val="32"/>
          <w:lang w:val="en-US" w:eastAsia="zh-CN"/>
        </w:rPr>
        <w:t>1190.76</w:t>
      </w:r>
      <w:r>
        <w:rPr>
          <w:rFonts w:hint="eastAsia" w:ascii="仿宋_GB2312" w:hAnsi="仿宋" w:eastAsia="仿宋_GB2312"/>
          <w:sz w:val="32"/>
          <w:szCs w:val="32"/>
          <w:lang w:val="en-US" w:eastAsia="zh-CN"/>
        </w:rPr>
        <w:t xml:space="preserve"> </w:t>
      </w:r>
      <w:r>
        <w:rPr>
          <w:rFonts w:hint="eastAsia" w:ascii="仿宋" w:hAnsi="仿宋" w:eastAsia="仿宋"/>
          <w:sz w:val="32"/>
          <w:szCs w:val="32"/>
        </w:rPr>
        <w:t>万元，其中：基本支出</w:t>
      </w:r>
      <w:r>
        <w:rPr>
          <w:rFonts w:hint="eastAsia" w:ascii="仿宋" w:hAnsi="仿宋" w:eastAsia="仿宋"/>
          <w:sz w:val="32"/>
          <w:szCs w:val="32"/>
          <w:lang w:val="en-US" w:eastAsia="zh-CN"/>
        </w:rPr>
        <w:t xml:space="preserve">1034.91 </w:t>
      </w:r>
      <w:r>
        <w:rPr>
          <w:rFonts w:hint="eastAsia" w:ascii="仿宋" w:hAnsi="仿宋" w:eastAsia="仿宋"/>
          <w:sz w:val="32"/>
          <w:szCs w:val="32"/>
        </w:rPr>
        <w:t>万元，占</w:t>
      </w:r>
      <w:r>
        <w:rPr>
          <w:rFonts w:hint="eastAsia" w:ascii="仿宋" w:hAnsi="仿宋" w:eastAsia="仿宋"/>
          <w:sz w:val="32"/>
          <w:szCs w:val="32"/>
          <w:lang w:val="en-US" w:eastAsia="zh-CN"/>
        </w:rPr>
        <w:t xml:space="preserve"> 86.91</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 xml:space="preserve">155.86 </w:t>
      </w:r>
      <w:r>
        <w:rPr>
          <w:rFonts w:hint="eastAsia" w:ascii="仿宋" w:hAnsi="仿宋" w:eastAsia="仿宋"/>
          <w:sz w:val="32"/>
          <w:szCs w:val="32"/>
        </w:rPr>
        <w:t>万元，占</w:t>
      </w:r>
      <w:r>
        <w:rPr>
          <w:rFonts w:hint="eastAsia" w:ascii="仿宋" w:hAnsi="仿宋" w:eastAsia="仿宋"/>
          <w:sz w:val="32"/>
          <w:szCs w:val="32"/>
          <w:lang w:val="en-US" w:eastAsia="zh-CN"/>
        </w:rPr>
        <w:t xml:space="preserve"> 13.08</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w:t>
      </w:r>
    </w:p>
    <w:p>
      <w:pPr>
        <w:pStyle w:val="7"/>
        <w:rPr>
          <w:rFonts w:hint="eastAsia" w:eastAsia="仿宋_GB2312"/>
          <w:lang w:eastAsia="zh-CN"/>
        </w:rPr>
      </w:pPr>
      <w:r>
        <w:drawing>
          <wp:inline distT="0" distB="0" distL="114300" distR="114300">
            <wp:extent cx="4826000" cy="2743200"/>
            <wp:effectExtent l="4445" t="4445" r="8255" b="14605"/>
            <wp:docPr id="17513" name="图表 19" descr="7b0a202020202263686172745265734964223a202232303436393939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32"/>
          <w:rFonts w:ascii="黑体" w:hAnsi="黑体" w:eastAsia="黑体"/>
          <w:b w:val="0"/>
        </w:rPr>
      </w:pPr>
      <w:bookmarkStart w:id="26" w:name="_Toc15396606"/>
      <w:bookmarkStart w:id="27" w:name="_Toc15377208"/>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26"/>
      <w:bookmarkEnd w:id="27"/>
    </w:p>
    <w:p>
      <w:pPr>
        <w:spacing w:line="600" w:lineRule="exact"/>
        <w:ind w:firstLine="640"/>
        <w:rPr>
          <w:rFonts w:hint="eastAsia" w:ascii="仿宋" w:hAnsi="仿宋" w:eastAsia="仿宋"/>
          <w:sz w:val="32"/>
          <w:szCs w:val="32"/>
          <w:lang w:eastAsia="zh-CN"/>
        </w:rPr>
      </w:pPr>
      <w:r>
        <w:rPr>
          <w:rFonts w:ascii="仿宋" w:hAnsi="仿宋" w:eastAsia="仿宋"/>
          <w:sz w:val="32"/>
          <w:szCs w:val="32"/>
        </w:rPr>
        <w:t>20</w:t>
      </w:r>
      <w:r>
        <w:rPr>
          <w:rFonts w:hint="eastAsia" w:ascii="仿宋" w:hAnsi="仿宋" w:eastAsia="仿宋"/>
          <w:sz w:val="32"/>
          <w:szCs w:val="32"/>
        </w:rPr>
        <w:t>22年财政拨款收</w:t>
      </w:r>
      <w:r>
        <w:rPr>
          <w:rFonts w:hint="eastAsia" w:ascii="仿宋" w:hAnsi="仿宋" w:eastAsia="仿宋"/>
          <w:sz w:val="32"/>
          <w:szCs w:val="32"/>
          <w:lang w:eastAsia="zh-CN"/>
        </w:rPr>
        <w:t>入总计</w:t>
      </w:r>
      <w:r>
        <w:rPr>
          <w:rFonts w:hint="eastAsia" w:ascii="仿宋" w:hAnsi="仿宋" w:eastAsia="仿宋"/>
          <w:sz w:val="32"/>
          <w:szCs w:val="32"/>
          <w:lang w:val="en-US" w:eastAsia="zh-CN"/>
        </w:rPr>
        <w:t>1084.07</w:t>
      </w:r>
      <w:r>
        <w:rPr>
          <w:rFonts w:hint="eastAsia" w:ascii="仿宋_GB2312" w:hAnsi="仿宋" w:eastAsia="仿宋_GB2312"/>
          <w:sz w:val="32"/>
          <w:szCs w:val="32"/>
          <w:lang w:val="en-US" w:eastAsia="zh-CN"/>
        </w:rPr>
        <w:t xml:space="preserve"> </w:t>
      </w:r>
      <w:r>
        <w:rPr>
          <w:rFonts w:hint="eastAsia" w:ascii="仿宋" w:hAnsi="仿宋" w:eastAsia="仿宋"/>
          <w:sz w:val="32"/>
          <w:szCs w:val="32"/>
          <w:lang w:eastAsia="zh-CN"/>
        </w:rPr>
        <w:t>万元，支出</w:t>
      </w:r>
      <w:r>
        <w:rPr>
          <w:rFonts w:hint="eastAsia" w:ascii="仿宋" w:hAnsi="仿宋" w:eastAsia="仿宋"/>
          <w:sz w:val="32"/>
          <w:szCs w:val="32"/>
        </w:rPr>
        <w:t>总计</w:t>
      </w:r>
      <w:r>
        <w:rPr>
          <w:rFonts w:hint="eastAsia" w:ascii="仿宋" w:hAnsi="仿宋" w:eastAsia="仿宋"/>
          <w:sz w:val="32"/>
          <w:szCs w:val="32"/>
          <w:lang w:val="en-US" w:eastAsia="zh-CN"/>
        </w:rPr>
        <w:t>1084.07</w:t>
      </w:r>
      <w:r>
        <w:rPr>
          <w:rFonts w:hint="eastAsia" w:ascii="仿宋_GB2312" w:hAnsi="仿宋" w:eastAsia="仿宋_GB2312"/>
          <w:sz w:val="32"/>
          <w:szCs w:val="32"/>
          <w:lang w:val="en-US" w:eastAsia="zh-CN"/>
        </w:rPr>
        <w:t xml:space="preserve"> </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21年相比，</w:t>
      </w: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收入总计减少</w:t>
      </w:r>
      <w:r>
        <w:rPr>
          <w:rFonts w:hint="eastAsia" w:ascii="仿宋" w:hAnsi="仿宋" w:eastAsia="仿宋"/>
          <w:sz w:val="32"/>
          <w:szCs w:val="32"/>
          <w:lang w:val="en-US" w:eastAsia="zh-CN"/>
        </w:rPr>
        <w:t xml:space="preserve">4.77 万元，下降0.44 %， </w:t>
      </w:r>
      <w:r>
        <w:rPr>
          <w:rFonts w:hint="eastAsia" w:ascii="仿宋" w:hAnsi="仿宋" w:eastAsia="仿宋"/>
          <w:sz w:val="32"/>
          <w:szCs w:val="32"/>
        </w:rPr>
        <w:t>支</w:t>
      </w:r>
      <w:r>
        <w:rPr>
          <w:rFonts w:hint="eastAsia" w:ascii="仿宋" w:hAnsi="仿宋" w:eastAsia="仿宋"/>
          <w:sz w:val="32"/>
          <w:szCs w:val="32"/>
          <w:lang w:eastAsia="zh-CN"/>
        </w:rPr>
        <w:t>出</w:t>
      </w:r>
      <w:r>
        <w:rPr>
          <w:rFonts w:hint="eastAsia" w:ascii="仿宋" w:hAnsi="仿宋" w:eastAsia="仿宋"/>
          <w:sz w:val="32"/>
          <w:szCs w:val="32"/>
        </w:rPr>
        <w:t>总计</w:t>
      </w:r>
      <w:r>
        <w:rPr>
          <w:rFonts w:hint="eastAsia" w:ascii="仿宋" w:hAnsi="仿宋" w:eastAsia="仿宋"/>
          <w:sz w:val="32"/>
          <w:szCs w:val="32"/>
          <w:lang w:eastAsia="zh-CN"/>
        </w:rPr>
        <w:t>减少</w:t>
      </w:r>
      <w:r>
        <w:rPr>
          <w:rFonts w:hint="eastAsia" w:ascii="仿宋" w:hAnsi="仿宋" w:eastAsia="仿宋"/>
          <w:sz w:val="32"/>
          <w:szCs w:val="32"/>
          <w:lang w:val="en-US" w:eastAsia="zh-CN"/>
        </w:rPr>
        <w:t xml:space="preserve"> 4.77</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 xml:space="preserve">0.44 </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基本支出拨款减少，项目支出拨款减少。</w:t>
      </w:r>
    </w:p>
    <w:p>
      <w:pPr>
        <w:pStyle w:val="7"/>
        <w:rPr>
          <w:rFonts w:hint="eastAsia" w:ascii="仿宋" w:hAnsi="仿宋" w:eastAsia="仿宋"/>
          <w:b/>
          <w:sz w:val="32"/>
          <w:szCs w:val="32"/>
          <w:lang w:eastAsia="zh-CN"/>
        </w:rPr>
      </w:pPr>
      <w:r>
        <w:drawing>
          <wp:inline distT="0" distB="0" distL="114300" distR="114300">
            <wp:extent cx="4798060" cy="2667635"/>
            <wp:effectExtent l="4445" t="5080" r="17145" b="13335"/>
            <wp:docPr id="1751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Style w:val="32"/>
          <w:rFonts w:ascii="黑体" w:hAnsi="黑体" w:eastAsia="黑体"/>
          <w:b w:val="0"/>
        </w:rPr>
      </w:pPr>
      <w:bookmarkStart w:id="28" w:name="_Toc15377209"/>
      <w:bookmarkStart w:id="29" w:name="_Toc15396607"/>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28"/>
      <w:bookmarkEnd w:id="29"/>
    </w:p>
    <w:p>
      <w:pPr>
        <w:spacing w:line="600" w:lineRule="exact"/>
        <w:ind w:firstLine="643" w:firstLineChars="200"/>
        <w:outlineLvl w:val="2"/>
        <w:rPr>
          <w:rFonts w:ascii="仿宋" w:hAnsi="仿宋" w:eastAsia="仿宋"/>
          <w:b/>
          <w:sz w:val="32"/>
          <w:szCs w:val="32"/>
        </w:rPr>
      </w:pPr>
      <w:bookmarkStart w:id="30" w:name="_Toc15377210"/>
      <w:r>
        <w:rPr>
          <w:rFonts w:hint="eastAsia" w:ascii="仿宋" w:hAnsi="仿宋" w:eastAsia="仿宋"/>
          <w:b/>
          <w:sz w:val="32"/>
          <w:szCs w:val="32"/>
        </w:rPr>
        <w:t>（一）一般公共预算财政拨款支出决算总体情况</w:t>
      </w:r>
      <w:bookmarkEnd w:id="30"/>
    </w:p>
    <w:p>
      <w:pPr>
        <w:spacing w:line="600" w:lineRule="exact"/>
        <w:ind w:firstLine="640" w:firstLineChars="200"/>
        <w:rPr>
          <w:rFonts w:hint="eastAsia" w:ascii="仿宋" w:hAnsi="仿宋" w:eastAsia="仿宋"/>
          <w:sz w:val="32"/>
          <w:szCs w:val="32"/>
          <w:lang w:eastAsia="zh-CN"/>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 w:hAnsi="仿宋" w:eastAsia="仿宋"/>
          <w:sz w:val="32"/>
          <w:szCs w:val="32"/>
          <w:lang w:val="en-US" w:eastAsia="zh-CN"/>
        </w:rPr>
        <w:t>1084.07</w:t>
      </w:r>
      <w:r>
        <w:rPr>
          <w:rFonts w:hint="eastAsia" w:ascii="仿宋_GB2312" w:hAnsi="仿宋" w:eastAsia="仿宋_GB2312"/>
          <w:sz w:val="32"/>
          <w:szCs w:val="32"/>
          <w:lang w:val="en-US" w:eastAsia="zh-CN"/>
        </w:rPr>
        <w:t xml:space="preserve"> </w:t>
      </w:r>
      <w:r>
        <w:rPr>
          <w:rFonts w:hint="eastAsia" w:ascii="仿宋" w:hAnsi="仿宋" w:eastAsia="仿宋"/>
          <w:sz w:val="32"/>
          <w:szCs w:val="32"/>
        </w:rPr>
        <w:t>万元，占本年支出合计的</w:t>
      </w:r>
      <w:r>
        <w:rPr>
          <w:rFonts w:hint="eastAsia" w:ascii="仿宋" w:hAnsi="仿宋" w:eastAsia="仿宋"/>
          <w:sz w:val="32"/>
          <w:szCs w:val="32"/>
          <w:lang w:val="en-US" w:eastAsia="zh-CN"/>
        </w:rPr>
        <w:t xml:space="preserve">91.04 </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w:t>
      </w:r>
      <w:r>
        <w:rPr>
          <w:rFonts w:hint="eastAsia" w:ascii="仿宋" w:hAnsi="仿宋" w:eastAsia="仿宋"/>
          <w:sz w:val="32"/>
          <w:szCs w:val="32"/>
          <w:lang w:val="en-US" w:eastAsia="zh-CN"/>
        </w:rPr>
        <w:t xml:space="preserve"> </w:t>
      </w:r>
      <w:r>
        <w:rPr>
          <w:rFonts w:hint="eastAsia" w:ascii="仿宋" w:hAnsi="仿宋" w:eastAsia="仿宋"/>
          <w:sz w:val="32"/>
          <w:szCs w:val="32"/>
        </w:rPr>
        <w:t>一般公共预算财政拨款支出</w:t>
      </w:r>
      <w:r>
        <w:rPr>
          <w:rFonts w:hint="eastAsia" w:ascii="仿宋" w:hAnsi="仿宋" w:eastAsia="仿宋"/>
          <w:sz w:val="32"/>
          <w:szCs w:val="32"/>
          <w:lang w:eastAsia="zh-CN"/>
        </w:rPr>
        <w:t>减少</w:t>
      </w:r>
      <w:r>
        <w:rPr>
          <w:rFonts w:hint="eastAsia" w:ascii="仿宋" w:hAnsi="仿宋" w:eastAsia="仿宋"/>
          <w:sz w:val="32"/>
          <w:szCs w:val="32"/>
          <w:lang w:val="en-US" w:eastAsia="zh-CN"/>
        </w:rPr>
        <w:t xml:space="preserve">4.77 </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 xml:space="preserve">0.44 </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基本支出拨款减少，项目支出拨款减少。</w:t>
      </w:r>
    </w:p>
    <w:p>
      <w:pPr>
        <w:pStyle w:val="7"/>
        <w:rPr>
          <w:rFonts w:hint="eastAsia" w:ascii="仿宋" w:hAnsi="仿宋" w:eastAsia="仿宋"/>
          <w:sz w:val="32"/>
          <w:szCs w:val="32"/>
          <w:lang w:eastAsia="zh-CN"/>
        </w:rPr>
      </w:pPr>
      <w:r>
        <w:drawing>
          <wp:inline distT="0" distB="0" distL="114300" distR="114300">
            <wp:extent cx="4826000" cy="2743200"/>
            <wp:effectExtent l="4445" t="4445" r="8255" b="14605"/>
            <wp:docPr id="17514"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3" w:firstLineChars="200"/>
        <w:outlineLvl w:val="2"/>
        <w:rPr>
          <w:rFonts w:hint="eastAsia" w:ascii="仿宋" w:hAnsi="仿宋" w:eastAsia="仿宋"/>
          <w:b/>
          <w:sz w:val="32"/>
          <w:szCs w:val="32"/>
        </w:rPr>
      </w:pPr>
      <w:bookmarkStart w:id="31" w:name="_Toc15377211"/>
    </w:p>
    <w:p>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（二）一般公共预算财政拨款支出决算结构情况</w:t>
      </w:r>
      <w:bookmarkEnd w:id="31"/>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仿宋_GB2312" w:hAnsi="仿宋" w:eastAsia="仿宋_GB2312"/>
          <w:sz w:val="32"/>
          <w:szCs w:val="32"/>
          <w:lang w:val="en-US" w:eastAsia="zh-CN"/>
        </w:rPr>
        <w:t xml:space="preserve"> 1084.07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 xml:space="preserve"> 65.56</w:t>
      </w:r>
      <w:r>
        <w:rPr>
          <w:rFonts w:hint="eastAsia" w:ascii="仿宋" w:hAnsi="仿宋" w:eastAsia="仿宋"/>
          <w:sz w:val="32"/>
          <w:szCs w:val="32"/>
        </w:rPr>
        <w:t>万元，占</w:t>
      </w:r>
      <w:r>
        <w:rPr>
          <w:rFonts w:hint="eastAsia" w:ascii="仿宋" w:hAnsi="仿宋" w:eastAsia="仿宋"/>
          <w:sz w:val="32"/>
          <w:szCs w:val="32"/>
          <w:lang w:val="en-US" w:eastAsia="zh-CN"/>
        </w:rPr>
        <w:t xml:space="preserve">6.05 </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b/>
          <w:bCs/>
          <w:sz w:val="32"/>
          <w:szCs w:val="32"/>
          <w:lang w:val="en-US" w:eastAsia="zh-CN"/>
        </w:rPr>
        <w:t>48.99</w:t>
      </w:r>
      <w:r>
        <w:rPr>
          <w:rFonts w:hint="eastAsia" w:ascii="仿宋" w:hAnsi="仿宋" w:eastAsia="仿宋"/>
          <w:sz w:val="32"/>
          <w:szCs w:val="32"/>
          <w:lang w:val="en-US" w:eastAsia="zh-CN"/>
        </w:rPr>
        <w:t xml:space="preserve"> </w:t>
      </w:r>
      <w:r>
        <w:rPr>
          <w:rFonts w:hint="eastAsia" w:ascii="仿宋" w:hAnsi="仿宋" w:eastAsia="仿宋"/>
          <w:sz w:val="32"/>
          <w:szCs w:val="32"/>
        </w:rPr>
        <w:t>万元，占</w:t>
      </w:r>
      <w:r>
        <w:rPr>
          <w:rFonts w:hint="eastAsia" w:ascii="仿宋" w:hAnsi="仿宋" w:eastAsia="仿宋"/>
          <w:sz w:val="32"/>
          <w:szCs w:val="32"/>
          <w:lang w:val="en-US" w:eastAsia="zh-CN"/>
        </w:rPr>
        <w:t xml:space="preserve">4.52 </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64.7</w:t>
      </w:r>
      <w:r>
        <w:rPr>
          <w:rFonts w:hint="eastAsia" w:ascii="仿宋" w:hAnsi="仿宋" w:eastAsia="仿宋"/>
          <w:sz w:val="32"/>
          <w:szCs w:val="32"/>
        </w:rPr>
        <w:t>万元，占</w:t>
      </w:r>
      <w:r>
        <w:rPr>
          <w:rFonts w:hint="eastAsia" w:ascii="仿宋" w:hAnsi="仿宋" w:eastAsia="仿宋"/>
          <w:sz w:val="32"/>
          <w:szCs w:val="32"/>
          <w:lang w:val="en-US" w:eastAsia="zh-CN"/>
        </w:rPr>
        <w:t>5.96</w:t>
      </w:r>
      <w:r>
        <w:rPr>
          <w:rFonts w:ascii="仿宋" w:hAnsi="仿宋" w:eastAsia="仿宋"/>
          <w:sz w:val="32"/>
          <w:szCs w:val="32"/>
        </w:rPr>
        <w:t>%</w:t>
      </w:r>
      <w:r>
        <w:rPr>
          <w:rFonts w:hint="eastAsia" w:ascii="仿宋" w:hAnsi="仿宋" w:eastAsia="仿宋"/>
          <w:sz w:val="32"/>
          <w:szCs w:val="32"/>
        </w:rPr>
        <w:t>。</w:t>
      </w:r>
    </w:p>
    <w:p>
      <w:pPr>
        <w:pStyle w:val="7"/>
        <w:rPr>
          <w:rFonts w:hint="eastAsia" w:ascii="仿宋" w:hAnsi="仿宋" w:eastAsia="仿宋"/>
          <w:b/>
          <w:sz w:val="32"/>
          <w:szCs w:val="32"/>
          <w:lang w:eastAsia="zh-CN"/>
        </w:rPr>
      </w:pPr>
      <w:bookmarkStart w:id="32" w:name="_Toc15377212"/>
      <w:r>
        <w:drawing>
          <wp:inline distT="0" distB="0" distL="114300" distR="114300">
            <wp:extent cx="4826000" cy="2743200"/>
            <wp:effectExtent l="4445" t="4445" r="8255" b="14605"/>
            <wp:docPr id="17515" name="图表 22" descr="7b0a202020202263686172745265734964223a202232303436393939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2"/>
    </w:p>
    <w:p>
      <w:pPr>
        <w:spacing w:line="600" w:lineRule="exact"/>
        <w:ind w:firstLine="643" w:firstLineChars="200"/>
        <w:outlineLvl w:val="2"/>
        <w:rPr>
          <w:rFonts w:ascii="仿宋" w:hAnsi="仿宋" w:eastAsia="仿宋"/>
          <w:sz w:val="32"/>
          <w:szCs w:val="32"/>
        </w:rPr>
      </w:pPr>
      <w:bookmarkStart w:id="33" w:name="_Toc15378460"/>
      <w:bookmarkStart w:id="34" w:name="_Toc15377444"/>
      <w:bookmarkStart w:id="35" w:name="_Toc15377213"/>
      <w:r>
        <w:rPr>
          <w:rFonts w:hint="eastAsia" w:ascii="仿宋" w:hAnsi="仿宋" w:eastAsia="仿宋"/>
          <w:b/>
          <w:sz w:val="32"/>
          <w:szCs w:val="32"/>
        </w:rPr>
        <w:t>2022年一般公共预算支出决算数为</w:t>
      </w:r>
      <w:r>
        <w:rPr>
          <w:rFonts w:hint="eastAsia" w:ascii="仿宋" w:hAnsi="仿宋" w:eastAsia="仿宋"/>
          <w:b/>
          <w:sz w:val="32"/>
          <w:szCs w:val="32"/>
          <w:lang w:val="en-US" w:eastAsia="zh-CN"/>
        </w:rPr>
        <w:t>1084.07</w:t>
      </w:r>
      <w:r>
        <w:rPr>
          <w:rFonts w:hint="eastAsia" w:ascii="仿宋_GB2312" w:hAnsi="仿宋" w:eastAsia="仿宋_GB2312"/>
          <w:sz w:val="32"/>
          <w:szCs w:val="32"/>
          <w:lang w:val="en-US" w:eastAsia="zh-CN"/>
        </w:rPr>
        <w:t xml:space="preserve"> </w:t>
      </w:r>
      <w:r>
        <w:rPr>
          <w:rFonts w:hint="eastAsia" w:ascii="仿宋" w:hAnsi="仿宋" w:eastAsia="仿宋"/>
          <w:b/>
          <w:sz w:val="32"/>
          <w:szCs w:val="32"/>
          <w:lang w:eastAsia="zh-CN"/>
        </w:rPr>
        <w:t>万元</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hint="eastAsia" w:ascii="仿宋" w:hAnsi="仿宋" w:eastAsia="仿宋"/>
          <w:bCs/>
          <w:sz w:val="32"/>
          <w:szCs w:val="32"/>
          <w:lang w:val="en-US" w:eastAsia="zh-CN"/>
        </w:rPr>
        <w:t>100.0</w:t>
      </w:r>
      <w:r>
        <w:rPr>
          <w:rStyle w:val="19"/>
          <w:rFonts w:ascii="仿宋" w:hAnsi="仿宋" w:eastAsia="仿宋"/>
          <w:bCs/>
          <w:sz w:val="32"/>
          <w:szCs w:val="32"/>
        </w:rPr>
        <w:t>%</w:t>
      </w:r>
      <w:r>
        <w:rPr>
          <w:rStyle w:val="19"/>
          <w:rFonts w:hint="eastAsia" w:ascii="仿宋" w:hAnsi="仿宋" w:eastAsia="仿宋"/>
          <w:bCs/>
          <w:sz w:val="32"/>
          <w:szCs w:val="32"/>
        </w:rPr>
        <w:t>。其中：</w:t>
      </w:r>
      <w:bookmarkEnd w:id="33"/>
      <w:bookmarkEnd w:id="34"/>
      <w:bookmarkEnd w:id="35"/>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1.</w:t>
      </w:r>
      <w:r>
        <w:rPr>
          <w:rStyle w:val="19"/>
          <w:rFonts w:hint="eastAsia" w:ascii="仿宋" w:hAnsi="仿宋" w:eastAsia="仿宋"/>
          <w:bCs/>
          <w:sz w:val="32"/>
          <w:szCs w:val="32"/>
        </w:rPr>
        <w:t>一般公共服务（类）</w:t>
      </w:r>
      <w:r>
        <w:rPr>
          <w:rStyle w:val="19"/>
          <w:rFonts w:ascii="仿宋" w:hAnsi="仿宋" w:eastAsia="仿宋"/>
          <w:bCs/>
          <w:sz w:val="32"/>
          <w:szCs w:val="32"/>
        </w:rPr>
        <w:t>***</w:t>
      </w:r>
      <w:r>
        <w:rPr>
          <w:rStyle w:val="19"/>
          <w:rFonts w:hint="eastAsia" w:ascii="仿宋" w:hAnsi="仿宋" w:eastAsia="仿宋"/>
          <w:bCs/>
          <w:sz w:val="32"/>
          <w:szCs w:val="32"/>
        </w:rPr>
        <w:t>（款）</w:t>
      </w:r>
      <w:r>
        <w:rPr>
          <w:rStyle w:val="19"/>
          <w:rFonts w:ascii="仿宋" w:hAnsi="仿宋" w:eastAsia="仿宋"/>
          <w:bCs/>
          <w:sz w:val="32"/>
          <w:szCs w:val="32"/>
        </w:rPr>
        <w:t>***</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0</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，决算数等于预算数的主要原因是</w:t>
      </w:r>
      <w:r>
        <w:rPr>
          <w:rStyle w:val="19"/>
          <w:rFonts w:hint="eastAsia" w:ascii="仿宋" w:hAnsi="仿宋" w:eastAsia="仿宋"/>
          <w:b w:val="0"/>
          <w:bCs/>
          <w:sz w:val="32"/>
          <w:szCs w:val="32"/>
          <w:lang w:eastAsia="zh-CN"/>
        </w:rPr>
        <w:t>严格按照年初预算数执行</w:t>
      </w:r>
      <w:r>
        <w:rPr>
          <w:rStyle w:val="19"/>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2.</w:t>
      </w:r>
      <w:r>
        <w:rPr>
          <w:rStyle w:val="19"/>
          <w:rFonts w:hint="eastAsia" w:ascii="仿宋" w:hAnsi="仿宋" w:eastAsia="仿宋"/>
          <w:bCs/>
          <w:sz w:val="32"/>
          <w:szCs w:val="32"/>
        </w:rPr>
        <w:t>教育（类）</w:t>
      </w:r>
      <w:r>
        <w:rPr>
          <w:rStyle w:val="19"/>
          <w:rFonts w:ascii="仿宋" w:hAnsi="仿宋" w:eastAsia="仿宋"/>
          <w:bCs/>
          <w:sz w:val="32"/>
          <w:szCs w:val="32"/>
        </w:rPr>
        <w:t>***</w:t>
      </w:r>
      <w:r>
        <w:rPr>
          <w:rStyle w:val="19"/>
          <w:rFonts w:hint="eastAsia" w:ascii="仿宋" w:hAnsi="仿宋" w:eastAsia="仿宋"/>
          <w:bCs/>
          <w:sz w:val="32"/>
          <w:szCs w:val="32"/>
        </w:rPr>
        <w:t>（款）</w:t>
      </w:r>
      <w:r>
        <w:rPr>
          <w:rStyle w:val="19"/>
          <w:rFonts w:ascii="仿宋" w:hAnsi="仿宋" w:eastAsia="仿宋"/>
          <w:bCs/>
          <w:sz w:val="32"/>
          <w:szCs w:val="32"/>
        </w:rPr>
        <w:t>***</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0</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，决算数等于预算数的主要原因是</w:t>
      </w:r>
      <w:r>
        <w:rPr>
          <w:rStyle w:val="19"/>
          <w:rFonts w:hint="eastAsia" w:ascii="仿宋" w:hAnsi="仿宋" w:eastAsia="仿宋"/>
          <w:b w:val="0"/>
          <w:bCs/>
          <w:sz w:val="32"/>
          <w:szCs w:val="32"/>
          <w:lang w:eastAsia="zh-CN"/>
        </w:rPr>
        <w:t>严格按照年初预算数执行</w:t>
      </w:r>
      <w:r>
        <w:rPr>
          <w:rStyle w:val="19"/>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3.</w:t>
      </w:r>
      <w:r>
        <w:rPr>
          <w:rStyle w:val="19"/>
          <w:rFonts w:hint="eastAsia" w:ascii="仿宋" w:hAnsi="仿宋" w:eastAsia="仿宋"/>
          <w:bCs/>
          <w:sz w:val="32"/>
          <w:szCs w:val="32"/>
        </w:rPr>
        <w:t>科学技术（类）</w:t>
      </w:r>
      <w:r>
        <w:rPr>
          <w:rStyle w:val="19"/>
          <w:rFonts w:ascii="仿宋" w:hAnsi="仿宋" w:eastAsia="仿宋"/>
          <w:bCs/>
          <w:sz w:val="32"/>
          <w:szCs w:val="32"/>
        </w:rPr>
        <w:t>***</w:t>
      </w:r>
      <w:r>
        <w:rPr>
          <w:rStyle w:val="19"/>
          <w:rFonts w:hint="eastAsia" w:ascii="仿宋" w:hAnsi="仿宋" w:eastAsia="仿宋"/>
          <w:bCs/>
          <w:sz w:val="32"/>
          <w:szCs w:val="32"/>
        </w:rPr>
        <w:t>（款）</w:t>
      </w:r>
      <w:r>
        <w:rPr>
          <w:rStyle w:val="19"/>
          <w:rFonts w:ascii="仿宋" w:hAnsi="仿宋" w:eastAsia="仿宋"/>
          <w:bCs/>
          <w:sz w:val="32"/>
          <w:szCs w:val="32"/>
        </w:rPr>
        <w:t>***</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0</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，决算数等于预算数的主要原因是</w:t>
      </w:r>
      <w:r>
        <w:rPr>
          <w:rStyle w:val="19"/>
          <w:rFonts w:hint="eastAsia" w:ascii="仿宋" w:hAnsi="仿宋" w:eastAsia="仿宋"/>
          <w:b w:val="0"/>
          <w:bCs/>
          <w:sz w:val="32"/>
          <w:szCs w:val="32"/>
          <w:lang w:eastAsia="zh-CN"/>
        </w:rPr>
        <w:t>严格按照年初预算数执行</w:t>
      </w:r>
      <w:r>
        <w:rPr>
          <w:rStyle w:val="19"/>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4.</w:t>
      </w:r>
      <w:r>
        <w:rPr>
          <w:rStyle w:val="19"/>
          <w:rFonts w:hint="eastAsia" w:ascii="仿宋" w:hAnsi="仿宋" w:eastAsia="仿宋"/>
          <w:bCs/>
          <w:sz w:val="32"/>
          <w:szCs w:val="32"/>
        </w:rPr>
        <w:t>文化旅游体育与传媒（类）</w:t>
      </w:r>
      <w:r>
        <w:rPr>
          <w:rStyle w:val="19"/>
          <w:rFonts w:ascii="仿宋" w:hAnsi="仿宋" w:eastAsia="仿宋"/>
          <w:bCs/>
          <w:sz w:val="32"/>
          <w:szCs w:val="32"/>
        </w:rPr>
        <w:t>***</w:t>
      </w:r>
      <w:r>
        <w:rPr>
          <w:rStyle w:val="19"/>
          <w:rFonts w:hint="eastAsia" w:ascii="仿宋" w:hAnsi="仿宋" w:eastAsia="仿宋"/>
          <w:bCs/>
          <w:sz w:val="32"/>
          <w:szCs w:val="32"/>
        </w:rPr>
        <w:t>（款）</w:t>
      </w:r>
      <w:r>
        <w:rPr>
          <w:rStyle w:val="19"/>
          <w:rFonts w:ascii="仿宋" w:hAnsi="仿宋" w:eastAsia="仿宋"/>
          <w:bCs/>
          <w:sz w:val="32"/>
          <w:szCs w:val="32"/>
        </w:rPr>
        <w:t>***</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0</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，决算数等于预算数的主要原因是</w:t>
      </w:r>
      <w:r>
        <w:rPr>
          <w:rStyle w:val="19"/>
          <w:rFonts w:hint="eastAsia" w:ascii="仿宋" w:hAnsi="仿宋" w:eastAsia="仿宋"/>
          <w:b w:val="0"/>
          <w:bCs/>
          <w:sz w:val="32"/>
          <w:szCs w:val="32"/>
          <w:lang w:eastAsia="zh-CN"/>
        </w:rPr>
        <w:t>严格按照年初预算数执行</w:t>
      </w:r>
      <w:r>
        <w:rPr>
          <w:rStyle w:val="19"/>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5.</w:t>
      </w:r>
      <w:r>
        <w:rPr>
          <w:rStyle w:val="19"/>
          <w:rFonts w:hint="eastAsia" w:ascii="仿宋" w:hAnsi="仿宋" w:eastAsia="仿宋"/>
          <w:bCs/>
          <w:sz w:val="32"/>
          <w:szCs w:val="32"/>
        </w:rPr>
        <w:t>社会保障和就业（类）</w:t>
      </w:r>
      <w:r>
        <w:rPr>
          <w:rStyle w:val="19"/>
          <w:rFonts w:hint="eastAsia" w:ascii="仿宋" w:hAnsi="仿宋" w:eastAsia="仿宋"/>
          <w:bCs/>
          <w:sz w:val="32"/>
          <w:szCs w:val="32"/>
          <w:lang w:val="en-US" w:eastAsia="zh-CN"/>
        </w:rPr>
        <w:t>208</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05</w:t>
      </w:r>
      <w:r>
        <w:rPr>
          <w:rStyle w:val="19"/>
          <w:rFonts w:hint="eastAsia" w:ascii="仿宋" w:hAnsi="仿宋" w:eastAsia="仿宋"/>
          <w:bCs/>
          <w:sz w:val="32"/>
          <w:szCs w:val="32"/>
        </w:rPr>
        <w:t>（项）</w:t>
      </w:r>
      <w:r>
        <w:rPr>
          <w:rStyle w:val="19"/>
          <w:rFonts w:hint="eastAsia" w:ascii="仿宋" w:hAnsi="仿宋" w:eastAsia="仿宋"/>
          <w:bCs/>
          <w:sz w:val="32"/>
          <w:szCs w:val="32"/>
          <w:lang w:val="en-US" w:eastAsia="zh-CN"/>
        </w:rPr>
        <w:t>05机关事业单位基本养老保险缴费支出</w:t>
      </w:r>
      <w:r>
        <w:rPr>
          <w:rStyle w:val="19"/>
          <w:rFonts w:ascii="仿宋" w:hAnsi="仿宋" w:eastAsia="仿宋"/>
          <w:bCs/>
          <w:sz w:val="32"/>
          <w:szCs w:val="32"/>
        </w:rPr>
        <w:t>:</w:t>
      </w:r>
      <w:r>
        <w:rPr>
          <w:rStyle w:val="19"/>
          <w:rFonts w:ascii="仿宋" w:hAnsi="仿宋" w:eastAsia="仿宋"/>
          <w:b w:val="0"/>
          <w:bCs/>
          <w:sz w:val="32"/>
          <w:szCs w:val="32"/>
        </w:rPr>
        <w:t xml:space="preserve"> </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 xml:space="preserve">60.84 </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，决算数等于预算数的主要原因是</w:t>
      </w:r>
      <w:r>
        <w:rPr>
          <w:rStyle w:val="19"/>
          <w:rFonts w:hint="eastAsia" w:ascii="仿宋" w:hAnsi="仿宋" w:eastAsia="仿宋"/>
          <w:b w:val="0"/>
          <w:bCs/>
          <w:sz w:val="32"/>
          <w:szCs w:val="32"/>
          <w:lang w:eastAsia="zh-CN"/>
        </w:rPr>
        <w:t>严格按照年初预算数执行</w:t>
      </w:r>
      <w:r>
        <w:rPr>
          <w:rStyle w:val="19"/>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6.</w:t>
      </w: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210</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01</w:t>
      </w:r>
      <w:r>
        <w:rPr>
          <w:rStyle w:val="19"/>
          <w:rFonts w:hint="eastAsia" w:ascii="仿宋" w:hAnsi="仿宋" w:eastAsia="仿宋"/>
          <w:bCs/>
          <w:sz w:val="32"/>
          <w:szCs w:val="32"/>
        </w:rPr>
        <w:t>（项）</w:t>
      </w:r>
      <w:r>
        <w:rPr>
          <w:rStyle w:val="19"/>
          <w:rFonts w:hint="eastAsia" w:ascii="仿宋" w:hAnsi="仿宋" w:eastAsia="仿宋"/>
          <w:bCs/>
          <w:sz w:val="32"/>
          <w:szCs w:val="32"/>
          <w:lang w:val="en-US" w:eastAsia="zh-CN"/>
        </w:rPr>
        <w:t>99 其他卫生健康管理事务支出</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 xml:space="preserve">0  </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210</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03</w:t>
      </w:r>
      <w:r>
        <w:rPr>
          <w:rStyle w:val="19"/>
          <w:rFonts w:hint="eastAsia" w:ascii="仿宋" w:hAnsi="仿宋" w:eastAsia="仿宋"/>
          <w:bCs/>
          <w:sz w:val="32"/>
          <w:szCs w:val="32"/>
        </w:rPr>
        <w:t>（项）</w:t>
      </w:r>
      <w:r>
        <w:rPr>
          <w:rStyle w:val="19"/>
          <w:rFonts w:hint="eastAsia" w:ascii="仿宋" w:hAnsi="仿宋" w:eastAsia="仿宋"/>
          <w:bCs/>
          <w:sz w:val="32"/>
          <w:szCs w:val="32"/>
          <w:lang w:val="en-US" w:eastAsia="zh-CN"/>
        </w:rPr>
        <w:t>02乡镇卫生院</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 xml:space="preserve">  0</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210</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03</w:t>
      </w:r>
      <w:r>
        <w:rPr>
          <w:rStyle w:val="19"/>
          <w:rFonts w:hint="eastAsia" w:ascii="仿宋" w:hAnsi="仿宋" w:eastAsia="仿宋"/>
          <w:bCs/>
          <w:sz w:val="32"/>
          <w:szCs w:val="32"/>
        </w:rPr>
        <w:t>（项）</w:t>
      </w:r>
      <w:r>
        <w:rPr>
          <w:rStyle w:val="19"/>
          <w:rFonts w:hint="eastAsia" w:ascii="仿宋" w:hAnsi="仿宋" w:eastAsia="仿宋"/>
          <w:bCs/>
          <w:sz w:val="32"/>
          <w:szCs w:val="32"/>
          <w:lang w:val="en-US" w:eastAsia="zh-CN"/>
        </w:rPr>
        <w:t>99其他基层医疗卫生机构支出</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 xml:space="preserve">0 </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210</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04</w:t>
      </w:r>
      <w:r>
        <w:rPr>
          <w:rStyle w:val="19"/>
          <w:rFonts w:hint="eastAsia" w:ascii="仿宋" w:hAnsi="仿宋" w:eastAsia="仿宋"/>
          <w:bCs/>
          <w:sz w:val="32"/>
          <w:szCs w:val="32"/>
        </w:rPr>
        <w:t>（项）</w:t>
      </w:r>
      <w:r>
        <w:rPr>
          <w:rStyle w:val="19"/>
          <w:rFonts w:hint="eastAsia" w:ascii="仿宋" w:hAnsi="仿宋" w:eastAsia="仿宋"/>
          <w:bCs/>
          <w:sz w:val="32"/>
          <w:szCs w:val="32"/>
          <w:lang w:val="en-US" w:eastAsia="zh-CN"/>
        </w:rPr>
        <w:t>08基本公共卫生服务</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 xml:space="preserve"> 0</w:t>
      </w:r>
      <w:r>
        <w:rPr>
          <w:rStyle w:val="19"/>
          <w:rFonts w:hint="eastAsia" w:ascii="仿宋" w:hAnsi="仿宋" w:eastAsia="仿宋"/>
          <w:b w:val="0"/>
          <w:bCs/>
          <w:sz w:val="32"/>
          <w:szCs w:val="32"/>
        </w:rPr>
        <w:t>万元，完成预算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 w:hAnsi="仿宋" w:eastAsia="仿宋"/>
          <w:b/>
          <w:bCs/>
          <w:sz w:val="32"/>
          <w:szCs w:val="32"/>
        </w:rPr>
        <w:t>卫生健康</w:t>
      </w:r>
      <w:r>
        <w:rPr>
          <w:rStyle w:val="19"/>
          <w:rFonts w:hint="eastAsia" w:ascii="仿宋" w:hAnsi="仿宋" w:eastAsia="仿宋"/>
          <w:bCs/>
          <w:sz w:val="32"/>
          <w:szCs w:val="32"/>
        </w:rPr>
        <w:t>（类）</w:t>
      </w:r>
      <w:r>
        <w:rPr>
          <w:rStyle w:val="19"/>
          <w:rFonts w:hint="eastAsia" w:ascii="仿宋" w:hAnsi="仿宋" w:eastAsia="仿宋"/>
          <w:bCs/>
          <w:sz w:val="32"/>
          <w:szCs w:val="32"/>
          <w:lang w:val="en-US" w:eastAsia="zh-CN"/>
        </w:rPr>
        <w:t>210</w:t>
      </w:r>
      <w:r>
        <w:rPr>
          <w:rStyle w:val="19"/>
          <w:rFonts w:hint="eastAsia" w:ascii="仿宋" w:hAnsi="仿宋" w:eastAsia="仿宋"/>
          <w:bCs/>
          <w:sz w:val="32"/>
          <w:szCs w:val="32"/>
        </w:rPr>
        <w:t>（款）</w:t>
      </w:r>
      <w:r>
        <w:rPr>
          <w:rStyle w:val="19"/>
          <w:rFonts w:hint="eastAsia" w:ascii="仿宋" w:hAnsi="仿宋" w:eastAsia="仿宋"/>
          <w:bCs/>
          <w:sz w:val="32"/>
          <w:szCs w:val="32"/>
          <w:lang w:val="en-US" w:eastAsia="zh-CN"/>
        </w:rPr>
        <w:t>04</w:t>
      </w:r>
      <w:r>
        <w:rPr>
          <w:rStyle w:val="19"/>
          <w:rFonts w:hint="eastAsia" w:ascii="仿宋" w:hAnsi="仿宋" w:eastAsia="仿宋"/>
          <w:bCs/>
          <w:sz w:val="32"/>
          <w:szCs w:val="32"/>
        </w:rPr>
        <w:t>（项）</w:t>
      </w:r>
      <w:r>
        <w:rPr>
          <w:rStyle w:val="19"/>
          <w:rFonts w:hint="eastAsia" w:ascii="仿宋" w:hAnsi="仿宋" w:eastAsia="仿宋"/>
          <w:bCs/>
          <w:sz w:val="32"/>
          <w:szCs w:val="32"/>
          <w:lang w:val="en-US" w:eastAsia="zh-CN"/>
        </w:rPr>
        <w:t>09重大公共卫生服务</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 xml:space="preserve"> </w:t>
      </w:r>
      <w:r>
        <w:rPr>
          <w:rStyle w:val="19"/>
          <w:rFonts w:hint="eastAsia" w:ascii="仿宋" w:hAnsi="仿宋" w:eastAsia="仿宋"/>
          <w:b w:val="0"/>
          <w:bCs/>
          <w:sz w:val="32"/>
          <w:szCs w:val="32"/>
        </w:rPr>
        <w:t>万</w:t>
      </w:r>
      <w:r>
        <w:rPr>
          <w:rStyle w:val="19"/>
          <w:rFonts w:hint="eastAsia" w:ascii="仿宋" w:hAnsi="仿宋" w:eastAsia="仿宋"/>
          <w:b w:val="0"/>
          <w:bCs/>
          <w:sz w:val="32"/>
          <w:szCs w:val="32"/>
          <w:lang w:val="en-US" w:eastAsia="zh-CN"/>
        </w:rPr>
        <w:t>0</w:t>
      </w:r>
      <w:r>
        <w:rPr>
          <w:rStyle w:val="19"/>
          <w:rFonts w:hint="eastAsia" w:ascii="仿宋" w:hAnsi="仿宋" w:eastAsia="仿宋"/>
          <w:b w:val="0"/>
          <w:bCs/>
          <w:sz w:val="32"/>
          <w:szCs w:val="32"/>
        </w:rPr>
        <w:t>元，完成预算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，决算数等于预算数的主要原因是</w:t>
      </w:r>
      <w:r>
        <w:rPr>
          <w:rStyle w:val="19"/>
          <w:rFonts w:hint="eastAsia" w:ascii="仿宋" w:hAnsi="仿宋" w:eastAsia="仿宋"/>
          <w:b w:val="0"/>
          <w:bCs/>
          <w:sz w:val="32"/>
          <w:szCs w:val="32"/>
          <w:lang w:eastAsia="zh-CN"/>
        </w:rPr>
        <w:t>严格按照年初预算数执行</w:t>
      </w:r>
      <w:r>
        <w:rPr>
          <w:rStyle w:val="19"/>
          <w:rFonts w:hint="eastAsia" w:ascii="仿宋" w:hAnsi="仿宋" w:eastAsia="仿宋"/>
          <w:b w:val="0"/>
          <w:bCs/>
          <w:sz w:val="32"/>
          <w:szCs w:val="32"/>
        </w:rPr>
        <w:t>。</w:t>
      </w:r>
    </w:p>
    <w:p>
      <w:pPr>
        <w:tabs>
          <w:tab w:val="right" w:pos="8306"/>
        </w:tabs>
        <w:spacing w:line="600" w:lineRule="exact"/>
        <w:ind w:firstLine="640"/>
        <w:outlineLvl w:val="1"/>
        <w:rPr>
          <w:rStyle w:val="32"/>
        </w:rPr>
      </w:pPr>
      <w:bookmarkStart w:id="36" w:name="_Toc15396608"/>
      <w:bookmarkStart w:id="37"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36"/>
      <w:bookmarkEnd w:id="37"/>
      <w:r>
        <w:rPr>
          <w:rStyle w:val="32"/>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仿宋" w:hAnsi="仿宋" w:eastAsia="仿宋"/>
          <w:sz w:val="32"/>
          <w:szCs w:val="32"/>
          <w:lang w:val="en-US" w:eastAsia="zh-CN"/>
        </w:rPr>
        <w:t>1030.91</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 xml:space="preserve">940.02  </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90.89</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32"/>
          <w:rFonts w:ascii="黑体" w:hAnsi="黑体" w:eastAsia="黑体"/>
          <w:b w:val="0"/>
        </w:rPr>
      </w:pPr>
      <w:bookmarkStart w:id="38" w:name="_Toc15396609"/>
      <w:bookmarkStart w:id="39" w:name="_Toc15377215"/>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38"/>
      <w:bookmarkEnd w:id="39"/>
    </w:p>
    <w:p>
      <w:pPr>
        <w:spacing w:line="600" w:lineRule="exact"/>
        <w:ind w:firstLine="640"/>
        <w:outlineLvl w:val="2"/>
        <w:rPr>
          <w:rFonts w:ascii="仿宋" w:hAnsi="仿宋" w:eastAsia="仿宋"/>
          <w:b/>
          <w:sz w:val="32"/>
          <w:szCs w:val="32"/>
        </w:rPr>
      </w:pPr>
      <w:bookmarkStart w:id="40" w:name="_Toc15377216"/>
      <w:r>
        <w:rPr>
          <w:rFonts w:hint="eastAsia" w:ascii="仿宋" w:hAnsi="仿宋" w:eastAsia="仿宋"/>
          <w:b/>
          <w:sz w:val="32"/>
          <w:szCs w:val="32"/>
        </w:rPr>
        <w:t>（一）“三公”经费财政拨款支出决算总体情况说明</w:t>
      </w:r>
      <w:bookmarkEnd w:id="40"/>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3.84</w:t>
      </w:r>
      <w:r>
        <w:rPr>
          <w:rFonts w:hint="eastAsia" w:ascii="仿宋" w:hAnsi="仿宋" w:eastAsia="仿宋"/>
          <w:sz w:val="32"/>
          <w:szCs w:val="32"/>
        </w:rPr>
        <w:t>万元，完成预算</w:t>
      </w:r>
      <w:r>
        <w:rPr>
          <w:rFonts w:hint="eastAsia" w:ascii="仿宋" w:hAnsi="仿宋" w:eastAsia="仿宋"/>
          <w:sz w:val="32"/>
          <w:szCs w:val="32"/>
          <w:lang w:val="en-US" w:eastAsia="zh-CN"/>
        </w:rPr>
        <w:t>91.86</w:t>
      </w:r>
      <w:r>
        <w:rPr>
          <w:rFonts w:ascii="仿宋" w:hAnsi="仿宋" w:eastAsia="仿宋"/>
          <w:sz w:val="32"/>
          <w:szCs w:val="32"/>
        </w:rPr>
        <w:t>%</w:t>
      </w:r>
      <w:r>
        <w:rPr>
          <w:rFonts w:hint="eastAsia" w:ascii="仿宋" w:hAnsi="仿宋" w:eastAsia="仿宋"/>
          <w:sz w:val="32"/>
          <w:szCs w:val="32"/>
        </w:rPr>
        <w:t>，较上年减少</w:t>
      </w:r>
      <w:r>
        <w:rPr>
          <w:rFonts w:hint="eastAsia" w:ascii="仿宋" w:hAnsi="仿宋" w:eastAsia="仿宋"/>
          <w:sz w:val="32"/>
          <w:szCs w:val="32"/>
          <w:lang w:val="en-US" w:eastAsia="zh-CN"/>
        </w:rPr>
        <w:t>1.8</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31.91</w:t>
      </w:r>
      <w:r>
        <w:rPr>
          <w:rFonts w:hint="eastAsia" w:ascii="仿宋" w:hAnsi="仿宋" w:eastAsia="仿宋"/>
          <w:sz w:val="32"/>
          <w:szCs w:val="32"/>
        </w:rPr>
        <w:t>%。</w:t>
      </w:r>
      <w:r>
        <w:rPr>
          <w:rStyle w:val="19"/>
          <w:rFonts w:hint="eastAsia" w:ascii="仿宋" w:hAnsi="仿宋" w:eastAsia="仿宋"/>
          <w:b w:val="0"/>
          <w:bCs/>
          <w:sz w:val="32"/>
          <w:szCs w:val="32"/>
        </w:rPr>
        <w:t>决算数</w:t>
      </w:r>
      <w:r>
        <w:rPr>
          <w:rStyle w:val="19"/>
          <w:rFonts w:hint="eastAsia" w:ascii="仿宋" w:hAnsi="仿宋" w:eastAsia="仿宋"/>
          <w:b w:val="0"/>
          <w:bCs/>
          <w:sz w:val="32"/>
          <w:szCs w:val="32"/>
          <w:lang w:val="en-US" w:eastAsia="zh-CN"/>
        </w:rPr>
        <w:t>小于</w:t>
      </w:r>
      <w:r>
        <w:rPr>
          <w:rStyle w:val="19"/>
          <w:rFonts w:hint="eastAsia" w:ascii="仿宋" w:hAnsi="仿宋" w:eastAsia="仿宋"/>
          <w:b w:val="0"/>
          <w:bCs/>
          <w:sz w:val="32"/>
          <w:szCs w:val="32"/>
        </w:rPr>
        <w:t>预算数的主要原因是</w:t>
      </w:r>
      <w:r>
        <w:rPr>
          <w:rStyle w:val="19"/>
          <w:rFonts w:hint="eastAsia" w:ascii="仿宋" w:hAnsi="仿宋" w:eastAsia="仿宋"/>
          <w:b w:val="0"/>
          <w:bCs/>
          <w:sz w:val="32"/>
          <w:szCs w:val="32"/>
          <w:lang w:eastAsia="zh-CN"/>
        </w:rPr>
        <w:t>严格按照年初预算数执行</w:t>
      </w:r>
      <w:r>
        <w:rPr>
          <w:rStyle w:val="19"/>
          <w:rFonts w:hint="eastAsia" w:ascii="仿宋" w:hAnsi="仿宋" w:eastAsia="仿宋"/>
          <w:b w:val="0"/>
          <w:bCs/>
          <w:sz w:val="32"/>
          <w:szCs w:val="32"/>
        </w:rPr>
        <w:t>。</w:t>
      </w:r>
    </w:p>
    <w:p>
      <w:pPr>
        <w:spacing w:line="600" w:lineRule="exact"/>
        <w:ind w:firstLine="640"/>
        <w:outlineLvl w:val="2"/>
        <w:rPr>
          <w:rFonts w:ascii="仿宋" w:hAnsi="仿宋" w:eastAsia="仿宋"/>
          <w:b/>
          <w:sz w:val="32"/>
          <w:szCs w:val="32"/>
        </w:rPr>
      </w:pPr>
      <w:bookmarkStart w:id="41" w:name="_Toc15377217"/>
      <w:r>
        <w:rPr>
          <w:rFonts w:hint="eastAsia" w:ascii="仿宋" w:hAnsi="仿宋" w:eastAsia="仿宋"/>
          <w:b/>
          <w:sz w:val="32"/>
          <w:szCs w:val="32"/>
        </w:rPr>
        <w:t>（二）“三公”经费财政拨款支出决算具体情况说明</w:t>
      </w:r>
      <w:bookmarkEnd w:id="41"/>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100.0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3.34</w:t>
      </w:r>
      <w:r>
        <w:rPr>
          <w:rFonts w:hint="eastAsia" w:ascii="仿宋" w:hAnsi="仿宋" w:eastAsia="仿宋"/>
          <w:sz w:val="32"/>
          <w:szCs w:val="32"/>
        </w:rPr>
        <w:t>万元，占</w:t>
      </w:r>
      <w:r>
        <w:rPr>
          <w:rFonts w:hint="eastAsia" w:ascii="仿宋" w:hAnsi="仿宋" w:eastAsia="仿宋"/>
          <w:sz w:val="32"/>
          <w:szCs w:val="32"/>
          <w:lang w:val="en-US" w:eastAsia="zh-CN"/>
        </w:rPr>
        <w:t>86.97</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0.5</w:t>
      </w:r>
      <w:r>
        <w:rPr>
          <w:rFonts w:hint="eastAsia" w:ascii="仿宋" w:hAnsi="仿宋" w:eastAsia="仿宋"/>
          <w:sz w:val="32"/>
          <w:szCs w:val="32"/>
        </w:rPr>
        <w:t>万元，占</w:t>
      </w:r>
      <w:r>
        <w:rPr>
          <w:rFonts w:hint="eastAsia" w:ascii="仿宋" w:hAnsi="仿宋" w:eastAsia="仿宋"/>
          <w:sz w:val="32"/>
          <w:szCs w:val="32"/>
          <w:lang w:val="en-US" w:eastAsia="zh-CN"/>
        </w:rPr>
        <w:t>13.02</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lang w:eastAsia="zh-CN"/>
        </w:rPr>
        <w:t>下降/增长</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eastAsia="仿宋"/>
          <w:color w:val="000000"/>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3.34</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hint="eastAsia" w:ascii="仿宋" w:hAnsi="仿宋" w:eastAsia="仿宋"/>
          <w:b w:val="0"/>
          <w:bCs/>
          <w:sz w:val="32"/>
          <w:szCs w:val="32"/>
          <w:lang w:val="en-US" w:eastAsia="zh-CN"/>
        </w:rPr>
        <w:t>90.76</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21年减少</w:t>
      </w:r>
      <w:r>
        <w:rPr>
          <w:rFonts w:hint="eastAsia" w:ascii="仿宋_GB2312" w:eastAsia="仿宋_GB2312"/>
          <w:sz w:val="32"/>
          <w:szCs w:val="32"/>
          <w:lang w:val="en-US" w:eastAsia="zh-CN"/>
        </w:rPr>
        <w:t>1.89</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36.13</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ascii="仿宋_GB2312" w:eastAsia="仿宋_GB2312"/>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hint="eastAsia" w:ascii="仿宋_GB2312" w:eastAsia="仿宋_GB2312"/>
          <w:color w:val="000000"/>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3.34</w:t>
      </w:r>
      <w:r>
        <w:rPr>
          <w:rFonts w:hint="eastAsia" w:ascii="仿宋_GB2312" w:eastAsia="仿宋_GB2312"/>
          <w:sz w:val="32"/>
          <w:szCs w:val="32"/>
        </w:rPr>
        <w:t>万元。</w:t>
      </w:r>
      <w:r>
        <w:rPr>
          <w:rFonts w:hint="eastAsia" w:ascii="仿宋_GB2312" w:eastAsia="仿宋_GB2312"/>
          <w:color w:val="000000"/>
          <w:sz w:val="32"/>
          <w:szCs w:val="32"/>
        </w:rPr>
        <w:t>主要用于主要用于主要用于</w:t>
      </w:r>
      <w:r>
        <w:rPr>
          <w:rFonts w:hint="eastAsia" w:ascii="仿宋_GB2312" w:eastAsia="仿宋_GB2312"/>
          <w:color w:val="000000"/>
          <w:sz w:val="32"/>
          <w:szCs w:val="32"/>
          <w:lang w:eastAsia="zh-CN"/>
        </w:rPr>
        <w:t>川</w:t>
      </w:r>
      <w:r>
        <w:rPr>
          <w:rFonts w:hint="eastAsia" w:ascii="仿宋_GB2312" w:eastAsia="仿宋_GB2312"/>
          <w:color w:val="000000"/>
          <w:sz w:val="32"/>
          <w:szCs w:val="32"/>
          <w:lang w:val="en-US" w:eastAsia="zh-CN"/>
        </w:rPr>
        <w:t>M26287、川M09899车辆</w:t>
      </w:r>
      <w:r>
        <w:rPr>
          <w:rFonts w:hint="eastAsia" w:ascii="仿宋_GB2312" w:eastAsia="仿宋_GB2312"/>
          <w:color w:val="000000"/>
          <w:sz w:val="32"/>
          <w:szCs w:val="32"/>
        </w:rPr>
        <w:t>等所需的公务用车燃料费、维修费、过路过桥费、保险费等支出。</w:t>
      </w:r>
    </w:p>
    <w:p>
      <w:pPr>
        <w:spacing w:line="600" w:lineRule="exact"/>
        <w:ind w:firstLine="321" w:firstLineChars="10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0.5</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hint="eastAsia" w:ascii="仿宋" w:hAnsi="仿宋" w:eastAsia="仿宋"/>
          <w:b w:val="0"/>
          <w:bCs/>
          <w:sz w:val="32"/>
          <w:szCs w:val="32"/>
          <w:lang w:val="en-US" w:eastAsia="zh-CN"/>
        </w:rPr>
        <w:t>100.0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21年增加</w:t>
      </w:r>
      <w:r>
        <w:rPr>
          <w:rFonts w:hint="eastAsia" w:ascii="仿宋_GB2312" w:eastAsia="仿宋_GB2312"/>
          <w:sz w:val="32"/>
          <w:szCs w:val="32"/>
          <w:lang w:val="en-US" w:eastAsia="zh-CN"/>
        </w:rPr>
        <w:t>0.09</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21.95</w:t>
      </w:r>
      <w:r>
        <w:rPr>
          <w:rFonts w:ascii="仿宋_GB2312" w:eastAsia="仿宋_GB2312"/>
          <w:sz w:val="32"/>
          <w:szCs w:val="32"/>
        </w:rPr>
        <w:t>%</w:t>
      </w:r>
      <w:r>
        <w:rPr>
          <w:rFonts w:hint="eastAsia" w:ascii="仿宋_GB2312" w:eastAsia="仿宋_GB2312"/>
          <w:sz w:val="32"/>
          <w:szCs w:val="32"/>
        </w:rPr>
        <w:t>。其中：</w:t>
      </w:r>
    </w:p>
    <w:p>
      <w:pPr>
        <w:spacing w:line="600" w:lineRule="exact"/>
        <w:ind w:firstLine="640"/>
        <w:rPr>
          <w:rFonts w:ascii="仿宋_GB2312" w:eastAsia="仿宋_GB2312"/>
          <w:color w:val="000000"/>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0.5</w:t>
      </w:r>
      <w:r>
        <w:rPr>
          <w:rFonts w:hint="eastAsia" w:ascii="仿宋_GB2312" w:eastAsia="仿宋_GB2312"/>
          <w:sz w:val="32"/>
          <w:szCs w:val="32"/>
        </w:rPr>
        <w:t>万元。国内公务接待</w:t>
      </w:r>
      <w:r>
        <w:rPr>
          <w:rFonts w:hint="eastAsia" w:ascii="仿宋_GB2312" w:eastAsia="仿宋_GB2312"/>
          <w:sz w:val="32"/>
          <w:szCs w:val="32"/>
          <w:lang w:val="en-US" w:eastAsia="zh-CN"/>
        </w:rPr>
        <w:t>6</w:t>
      </w:r>
      <w:r>
        <w:rPr>
          <w:rFonts w:hint="eastAsia" w:ascii="仿宋_GB2312" w:eastAsia="仿宋_GB2312"/>
          <w:sz w:val="32"/>
          <w:szCs w:val="32"/>
        </w:rPr>
        <w:t>批次，</w:t>
      </w:r>
      <w:r>
        <w:rPr>
          <w:rFonts w:hint="eastAsia" w:ascii="仿宋_GB2312" w:eastAsia="仿宋_GB2312"/>
          <w:sz w:val="32"/>
          <w:szCs w:val="32"/>
          <w:lang w:val="en-US" w:eastAsia="zh-CN"/>
        </w:rPr>
        <w:t>45</w:t>
      </w:r>
      <w:r>
        <w:rPr>
          <w:rFonts w:hint="eastAsia" w:ascii="仿宋_GB2312" w:eastAsia="仿宋_GB2312"/>
          <w:sz w:val="32"/>
          <w:szCs w:val="32"/>
        </w:rPr>
        <w:t>人次，共计支出</w:t>
      </w:r>
      <w:r>
        <w:rPr>
          <w:rFonts w:hint="eastAsia" w:ascii="仿宋_GB2312" w:eastAsia="仿宋_GB2312"/>
          <w:sz w:val="32"/>
          <w:szCs w:val="32"/>
          <w:lang w:val="en-US" w:eastAsia="zh-CN"/>
        </w:rPr>
        <w:t>0.5</w:t>
      </w:r>
      <w:r>
        <w:rPr>
          <w:rFonts w:hint="eastAsia" w:ascii="仿宋_GB2312" w:eastAsia="仿宋_GB2312"/>
          <w:sz w:val="32"/>
          <w:szCs w:val="32"/>
        </w:rPr>
        <w:t>万元。</w:t>
      </w:r>
      <w:r>
        <w:rPr>
          <w:rFonts w:hint="eastAsia" w:ascii="仿宋_GB2312" w:eastAsia="仿宋_GB2312"/>
          <w:color w:val="000000"/>
          <w:sz w:val="32"/>
          <w:szCs w:val="32"/>
        </w:rPr>
        <w:t>具体内容包括：</w:t>
      </w:r>
      <w:r>
        <w:rPr>
          <w:rFonts w:hint="eastAsia" w:ascii="仿宋_GB2312" w:eastAsia="仿宋_GB2312"/>
          <w:color w:val="000000"/>
          <w:sz w:val="32"/>
          <w:szCs w:val="32"/>
          <w:lang w:val="en-US" w:eastAsia="zh-CN"/>
        </w:rPr>
        <w:t>接待市资阳市雁江区公路养护管理段学习养护安全管理工作560元；接待市公路事业发展中心开展省道PQI情况测评工作600元等。</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outlineLvl w:val="1"/>
        <w:rPr>
          <w:rStyle w:val="32"/>
          <w:rFonts w:ascii="黑体" w:hAnsi="黑体" w:eastAsia="黑体"/>
        </w:rPr>
      </w:pPr>
      <w:bookmarkStart w:id="42" w:name="_Toc15377218"/>
      <w:bookmarkStart w:id="43" w:name="_Toc15396610"/>
      <w:r>
        <w:rPr>
          <w:rFonts w:hint="eastAsia" w:ascii="黑体" w:eastAsia="黑体"/>
          <w:sz w:val="32"/>
          <w:szCs w:val="32"/>
        </w:rPr>
        <w:t>八、</w:t>
      </w:r>
      <w:r>
        <w:rPr>
          <w:rStyle w:val="32"/>
          <w:rFonts w:hint="eastAsia" w:ascii="黑体" w:hAnsi="黑体" w:eastAsia="黑体"/>
          <w:b w:val="0"/>
        </w:rPr>
        <w:t>政府性基金预算支出决算情况说明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32"/>
          <w:rFonts w:ascii="黑体" w:hAnsi="黑体" w:eastAsia="黑体"/>
          <w:b w:val="0"/>
        </w:rPr>
      </w:pPr>
      <w:bookmarkStart w:id="44" w:name="_Toc15396611"/>
      <w:bookmarkStart w:id="45" w:name="_Toc15377219"/>
      <w:r>
        <w:rPr>
          <w:rStyle w:val="32"/>
          <w:rFonts w:hint="eastAsia" w:ascii="黑体" w:hAnsi="黑体" w:eastAsia="黑体"/>
          <w:b w:val="0"/>
        </w:rPr>
        <w:t>国有资本经营预算支出决算情况说明</w:t>
      </w:r>
      <w:bookmarkEnd w:id="44"/>
      <w:bookmarkEnd w:id="45"/>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32"/>
          <w:rFonts w:ascii="黑体" w:hAnsi="黑体" w:eastAsia="黑体"/>
          <w:b w:val="0"/>
        </w:rPr>
      </w:pPr>
      <w:bookmarkStart w:id="46" w:name="_Toc15377221"/>
      <w:bookmarkStart w:id="47" w:name="_Toc15396612"/>
      <w:r>
        <w:rPr>
          <w:rStyle w:val="32"/>
          <w:rFonts w:hint="eastAsia" w:ascii="黑体" w:hAnsi="黑体" w:eastAsia="黑体"/>
          <w:b w:val="0"/>
        </w:rPr>
        <w:t>其他重要事项的情况说明</w:t>
      </w:r>
      <w:bookmarkEnd w:id="46"/>
      <w:bookmarkEnd w:id="47"/>
    </w:p>
    <w:p>
      <w:pPr>
        <w:spacing w:line="600" w:lineRule="exact"/>
        <w:ind w:firstLine="643" w:firstLineChars="200"/>
        <w:outlineLvl w:val="2"/>
        <w:rPr>
          <w:rFonts w:ascii="仿宋" w:hAnsi="仿宋" w:eastAsia="仿宋"/>
          <w:sz w:val="32"/>
          <w:szCs w:val="32"/>
        </w:rPr>
      </w:pPr>
      <w:bookmarkStart w:id="48" w:name="_Toc15377222"/>
      <w:r>
        <w:rPr>
          <w:rFonts w:hint="eastAsia" w:ascii="仿宋" w:hAnsi="仿宋" w:eastAsia="仿宋"/>
          <w:b/>
          <w:sz w:val="32"/>
          <w:szCs w:val="32"/>
        </w:rPr>
        <w:t>（一）机关运行经费支出情况</w:t>
      </w:r>
      <w:bookmarkEnd w:id="48"/>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color w:val="000000"/>
          <w:sz w:val="32"/>
          <w:szCs w:val="32"/>
          <w:lang w:val="en-US" w:eastAsia="zh-CN"/>
        </w:rPr>
        <w:t>我单位无</w:t>
      </w:r>
      <w:r>
        <w:rPr>
          <w:rFonts w:hint="eastAsia" w:ascii="仿宋_GB2312" w:eastAsia="仿宋_GB2312"/>
          <w:color w:val="000000"/>
          <w:sz w:val="32"/>
          <w:szCs w:val="32"/>
        </w:rPr>
        <w:t>机关运行经费支出</w:t>
      </w:r>
      <w:r>
        <w:rPr>
          <w:rFonts w:hint="eastAsia" w:ascii="仿宋_GB2312" w:eastAsia="仿宋_GB2312"/>
          <w:color w:val="000000"/>
          <w:sz w:val="32"/>
          <w:szCs w:val="32"/>
          <w:lang w:eastAsia="zh-CN"/>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9" w:name="_Toc15377223"/>
      <w:r>
        <w:rPr>
          <w:rFonts w:hint="eastAsia" w:ascii="仿宋" w:hAnsi="仿宋" w:eastAsia="仿宋"/>
          <w:b/>
          <w:sz w:val="32"/>
          <w:szCs w:val="32"/>
        </w:rPr>
        <w:t>（二）政府采购支出情况</w:t>
      </w:r>
      <w:bookmarkEnd w:id="49"/>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eastAsia="zh-CN"/>
        </w:rPr>
        <w:t>乐至县</w:t>
      </w:r>
      <w:r>
        <w:rPr>
          <w:rFonts w:hint="eastAsia" w:ascii="仿宋_GB2312" w:eastAsia="仿宋_GB2312"/>
          <w:sz w:val="32"/>
          <w:szCs w:val="32"/>
          <w:lang w:val="en-US" w:eastAsia="zh-CN"/>
        </w:rPr>
        <w:t>公路养护管理段</w:t>
      </w:r>
      <w:r>
        <w:rPr>
          <w:rFonts w:hint="eastAsia" w:ascii="仿宋_GB2312" w:eastAsia="仿宋_GB2312"/>
          <w:sz w:val="32"/>
          <w:szCs w:val="32"/>
        </w:rPr>
        <w:t>政府采购支出总额</w:t>
      </w:r>
      <w:r>
        <w:rPr>
          <w:rFonts w:hint="eastAsia" w:ascii="仿宋_GB2312" w:eastAsia="仿宋_GB2312"/>
          <w:sz w:val="32"/>
          <w:szCs w:val="32"/>
          <w:lang w:val="en-US" w:eastAsia="zh-CN"/>
        </w:rPr>
        <w:t>1.493</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1.493</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万元。主要用于</w:t>
      </w:r>
      <w:r>
        <w:rPr>
          <w:rFonts w:hint="eastAsia" w:ascii="仿宋_GB2312" w:eastAsia="仿宋_GB2312"/>
          <w:sz w:val="32"/>
          <w:szCs w:val="32"/>
          <w:lang w:val="en-US" w:eastAsia="zh-CN"/>
        </w:rPr>
        <w:t>3台电脑采购</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50" w:name="_Toc15377224"/>
      <w:r>
        <w:rPr>
          <w:rFonts w:hint="eastAsia" w:ascii="仿宋" w:hAnsi="仿宋" w:eastAsia="仿宋"/>
          <w:b/>
          <w:sz w:val="32"/>
          <w:szCs w:val="32"/>
        </w:rPr>
        <w:t>（三）国有资产占有使用情况</w:t>
      </w:r>
      <w:bookmarkEnd w:id="50"/>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乐至县</w:t>
      </w:r>
      <w:r>
        <w:rPr>
          <w:rFonts w:hint="eastAsia" w:ascii="仿宋_GB2312" w:eastAsia="仿宋_GB2312"/>
          <w:sz w:val="32"/>
          <w:szCs w:val="32"/>
          <w:lang w:val="en-US" w:eastAsia="zh-CN"/>
        </w:rPr>
        <w:t>公路养护管理段</w:t>
      </w:r>
      <w:r>
        <w:rPr>
          <w:rFonts w:hint="eastAsia" w:ascii="仿宋_GB2312" w:eastAsia="仿宋_GB2312"/>
          <w:sz w:val="32"/>
          <w:szCs w:val="32"/>
        </w:rPr>
        <w:t>共有车辆</w:t>
      </w:r>
      <w:r>
        <w:rPr>
          <w:rFonts w:hint="eastAsia" w:ascii="仿宋_GB2312" w:eastAsia="仿宋_GB2312"/>
          <w:sz w:val="32"/>
          <w:szCs w:val="32"/>
          <w:lang w:val="en-US" w:eastAsia="zh-CN"/>
        </w:rPr>
        <w:t>9</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eastAsia="zh-CN"/>
        </w:rPr>
        <w:t>（</w:t>
      </w:r>
      <w:r>
        <w:rPr>
          <w:rFonts w:hint="eastAsia" w:ascii="仿宋_GB2312" w:eastAsia="仿宋_GB2312"/>
          <w:sz w:val="32"/>
          <w:szCs w:val="32"/>
          <w:lang w:val="en-US" w:eastAsia="zh-CN"/>
        </w:rPr>
        <w:t>特种车辆</w:t>
      </w: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rPr>
        <w:t>辆、其他用车</w:t>
      </w:r>
      <w:r>
        <w:rPr>
          <w:rFonts w:hint="eastAsia" w:ascii="仿宋_GB2312" w:eastAsia="仿宋_GB2312"/>
          <w:sz w:val="32"/>
          <w:szCs w:val="32"/>
          <w:lang w:val="en-US" w:eastAsia="zh-CN"/>
        </w:rPr>
        <w:t>2</w:t>
      </w:r>
      <w:r>
        <w:rPr>
          <w:rFonts w:hint="eastAsia" w:ascii="仿宋_GB2312" w:eastAsia="仿宋_GB2312"/>
          <w:sz w:val="32"/>
          <w:szCs w:val="32"/>
        </w:rPr>
        <w:t>辆，其他用车主要是</w:t>
      </w:r>
      <w:r>
        <w:rPr>
          <w:rFonts w:hint="eastAsia" w:ascii="仿宋_GB2312" w:eastAsia="仿宋_GB2312"/>
          <w:color w:val="000000"/>
          <w:sz w:val="32"/>
          <w:szCs w:val="32"/>
        </w:rPr>
        <w:t>用于</w:t>
      </w:r>
      <w:r>
        <w:rPr>
          <w:rFonts w:hint="eastAsia" w:ascii="仿宋_GB2312" w:eastAsia="仿宋_GB2312"/>
          <w:color w:val="000000"/>
          <w:sz w:val="32"/>
          <w:szCs w:val="32"/>
          <w:lang w:eastAsia="zh-CN"/>
        </w:rPr>
        <w:t>办理日常外出工作</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w:t>
      </w:r>
      <w:r>
        <w:rPr>
          <w:rFonts w:hint="eastAsia" w:ascii="仿宋_GB2312" w:eastAsia="仿宋_GB2312"/>
          <w:sz w:val="32"/>
          <w:szCs w:val="32"/>
          <w:lang w:eastAsia="zh-CN"/>
        </w:rPr>
        <w:t>乐至县</w:t>
      </w:r>
      <w:r>
        <w:rPr>
          <w:rFonts w:hint="eastAsia" w:ascii="仿宋_GB2312" w:eastAsia="仿宋_GB2312"/>
          <w:sz w:val="32"/>
          <w:szCs w:val="32"/>
          <w:lang w:val="en-US" w:eastAsia="zh-CN"/>
        </w:rPr>
        <w:t>公路养护管理段</w:t>
      </w:r>
      <w:r>
        <w:rPr>
          <w:rFonts w:hint="eastAsia" w:ascii="仿宋_GB2312" w:hAnsi="仿宋_GB2312" w:eastAsia="仿宋_GB2312" w:cs="仿宋_GB2312"/>
          <w:sz w:val="32"/>
          <w:szCs w:val="32"/>
        </w:rPr>
        <w:t>在2022年度预算编制阶段，组织对历年公路养护人员劳务费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乐至县公路机械化养护中心及童家停车区建设工程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个项目开展绩效监控。</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rPr>
        <w:t>项目绩效目标完成情况。</w:t>
      </w:r>
      <w:r>
        <w:rPr>
          <w:rFonts w:hint="eastAsia" w:ascii="仿宋_GB2312" w:hAnsi="仿宋" w:eastAsia="仿宋_GB2312"/>
          <w:sz w:val="32"/>
          <w:szCs w:val="32"/>
          <w:lang w:eastAsia="zh-CN"/>
        </w:rPr>
        <w:t>今年项目总收入</w:t>
      </w:r>
      <w:r>
        <w:rPr>
          <w:rFonts w:hint="eastAsia" w:ascii="仿宋_GB2312" w:hAnsi="仿宋" w:eastAsia="仿宋_GB2312"/>
          <w:sz w:val="32"/>
          <w:szCs w:val="32"/>
          <w:lang w:val="en-US" w:eastAsia="zh-CN"/>
        </w:rPr>
        <w:t>59.6 万元，其中，对</w:t>
      </w:r>
      <w:r>
        <w:rPr>
          <w:rFonts w:hint="eastAsia" w:ascii="仿宋_GB2312" w:hAnsi="仿宋_GB2312" w:eastAsia="仿宋_GB2312" w:cs="仿宋_GB2312"/>
          <w:sz w:val="32"/>
          <w:szCs w:val="32"/>
        </w:rPr>
        <w:t>历年公路养护人员劳务费</w:t>
      </w:r>
      <w:r>
        <w:rPr>
          <w:rFonts w:hint="eastAsia" w:ascii="仿宋_GB2312" w:hAnsi="仿宋_GB2312" w:eastAsia="仿宋_GB2312" w:cs="仿宋_GB2312"/>
          <w:sz w:val="32"/>
          <w:szCs w:val="32"/>
          <w:lang w:val="en-US" w:eastAsia="zh-CN"/>
        </w:rPr>
        <w:t>30</w:t>
      </w:r>
      <w:r>
        <w:rPr>
          <w:rFonts w:hint="eastAsia" w:ascii="仿宋_GB2312" w:hAnsi="仿宋" w:eastAsia="仿宋_GB2312"/>
          <w:sz w:val="32"/>
          <w:szCs w:val="32"/>
          <w:lang w:val="en-US" w:eastAsia="zh-CN"/>
        </w:rPr>
        <w:t xml:space="preserve"> 万元，</w:t>
      </w:r>
      <w:r>
        <w:rPr>
          <w:rFonts w:hint="eastAsia" w:ascii="仿宋_GB2312" w:hAnsi="仿宋_GB2312" w:eastAsia="仿宋_GB2312" w:cs="仿宋_GB2312"/>
          <w:sz w:val="32"/>
          <w:szCs w:val="32"/>
        </w:rPr>
        <w:t>乐至县公路机械化养护中心及童家停车区建设工程</w:t>
      </w:r>
      <w:r>
        <w:rPr>
          <w:rFonts w:hint="eastAsia" w:ascii="仿宋_GB2312" w:hAnsi="仿宋_GB2312" w:eastAsia="仿宋_GB2312" w:cs="仿宋_GB2312"/>
          <w:sz w:val="32"/>
          <w:szCs w:val="32"/>
          <w:lang w:val="en-US" w:eastAsia="zh-CN"/>
        </w:rPr>
        <w:t>20</w:t>
      </w:r>
      <w:r>
        <w:rPr>
          <w:rFonts w:hint="eastAsia" w:ascii="仿宋_GB2312" w:hAnsi="仿宋" w:eastAsia="仿宋_GB2312"/>
          <w:sz w:val="32"/>
          <w:szCs w:val="32"/>
          <w:lang w:val="en-US" w:eastAsia="zh-CN"/>
        </w:rPr>
        <w:t xml:space="preserve"> 万元，</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val="en-US" w:eastAsia="zh-CN"/>
        </w:rPr>
        <w:t>9.6</w:t>
      </w:r>
      <w:r>
        <w:rPr>
          <w:rFonts w:hint="eastAsia" w:ascii="仿宋_GB2312" w:hAnsi="仿宋" w:eastAsia="仿宋_GB2312"/>
          <w:sz w:val="32"/>
          <w:szCs w:val="32"/>
          <w:lang w:val="en-US" w:eastAsia="zh-CN"/>
        </w:rPr>
        <w:t xml:space="preserve"> 万元。项目总支出54.1975 万元，</w:t>
      </w:r>
      <w:r>
        <w:rPr>
          <w:rFonts w:hint="eastAsia" w:ascii="仿宋_GB2312" w:hAnsi="仿宋" w:eastAsia="仿宋_GB2312"/>
          <w:sz w:val="32"/>
          <w:szCs w:val="32"/>
          <w:highlight w:val="none"/>
          <w:lang w:eastAsia="zh-CN"/>
        </w:rPr>
        <w:t>结转</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元，</w:t>
      </w:r>
      <w:r>
        <w:rPr>
          <w:rFonts w:hint="eastAsia" w:ascii="仿宋_GB2312" w:hAnsi="仿宋" w:eastAsia="仿宋_GB2312"/>
          <w:sz w:val="32"/>
          <w:szCs w:val="32"/>
          <w:lang w:val="en-US" w:eastAsia="zh-CN"/>
        </w:rPr>
        <w:t>绩效自评报告详细见附件四</w:t>
      </w:r>
      <w:r>
        <w:rPr>
          <w:rFonts w:hint="eastAsia" w:ascii="仿宋_GB2312" w:hAnsi="仿宋" w:eastAsia="仿宋_GB2312"/>
          <w:sz w:val="32"/>
          <w:szCs w:val="32"/>
          <w:highlight w:val="none"/>
          <w:lang w:eastAsia="zh-CN"/>
        </w:rPr>
        <w:t>。</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整体支出绩效目标实现情况。</w:t>
      </w:r>
      <w:r>
        <w:rPr>
          <w:rFonts w:hint="eastAsia" w:ascii="仿宋_GB2312" w:hAnsi="仿宋" w:eastAsia="仿宋_GB2312"/>
          <w:sz w:val="32"/>
          <w:szCs w:val="32"/>
          <w:lang w:eastAsia="zh-CN"/>
        </w:rPr>
        <w:t>今年预算总收入</w:t>
      </w:r>
      <w:r>
        <w:rPr>
          <w:rFonts w:hint="eastAsia" w:ascii="仿宋_GB2312" w:hAnsi="仿宋" w:eastAsia="仿宋_GB2312"/>
          <w:sz w:val="32"/>
          <w:szCs w:val="32"/>
          <w:lang w:val="en-US" w:eastAsia="zh-CN"/>
        </w:rPr>
        <w:t>673.53 万</w:t>
      </w:r>
      <w:r>
        <w:rPr>
          <w:rFonts w:hint="eastAsia" w:ascii="仿宋_GB2312" w:hAnsi="仿宋" w:eastAsia="仿宋_GB2312"/>
          <w:sz w:val="32"/>
          <w:szCs w:val="32"/>
          <w:lang w:eastAsia="zh-CN"/>
        </w:rPr>
        <w:t>元，今年单位预算总支出</w:t>
      </w:r>
      <w:r>
        <w:rPr>
          <w:rFonts w:hint="eastAsia" w:ascii="仿宋_GB2312" w:hAnsi="仿宋" w:eastAsia="仿宋_GB2312"/>
          <w:sz w:val="32"/>
          <w:szCs w:val="32"/>
          <w:lang w:val="en-US" w:eastAsia="zh-CN"/>
        </w:rPr>
        <w:t>673.53 万</w:t>
      </w:r>
      <w:r>
        <w:rPr>
          <w:rFonts w:hint="eastAsia" w:ascii="仿宋_GB2312" w:hAnsi="仿宋" w:eastAsia="仿宋_GB2312"/>
          <w:sz w:val="32"/>
          <w:szCs w:val="32"/>
          <w:lang w:eastAsia="zh-CN"/>
        </w:rPr>
        <w:t>元。今年总收入</w:t>
      </w:r>
      <w:r>
        <w:rPr>
          <w:rFonts w:hint="eastAsia" w:ascii="仿宋_GB2312" w:hAnsi="仿宋" w:eastAsia="仿宋_GB2312"/>
          <w:sz w:val="32"/>
          <w:szCs w:val="32"/>
          <w:lang w:val="en-US" w:eastAsia="zh-CN"/>
        </w:rPr>
        <w:t>1156.76 万</w:t>
      </w:r>
      <w:r>
        <w:rPr>
          <w:rFonts w:hint="eastAsia" w:ascii="仿宋_GB2312" w:hAnsi="仿宋" w:eastAsia="仿宋_GB2312"/>
          <w:sz w:val="32"/>
          <w:szCs w:val="32"/>
          <w:lang w:eastAsia="zh-CN"/>
        </w:rPr>
        <w:t>元，其中一般公共预算财政拨款收入</w:t>
      </w:r>
      <w:r>
        <w:rPr>
          <w:rFonts w:hint="eastAsia" w:ascii="仿宋_GB2312" w:hAnsi="仿宋" w:eastAsia="仿宋_GB2312"/>
          <w:sz w:val="32"/>
          <w:szCs w:val="32"/>
          <w:lang w:val="en-US" w:eastAsia="zh-CN"/>
        </w:rPr>
        <w:t>1084.07 万元</w:t>
      </w:r>
      <w:r>
        <w:rPr>
          <w:rFonts w:hint="eastAsia" w:ascii="仿宋_GB2312" w:hAnsi="仿宋" w:eastAsia="仿宋_GB2312"/>
          <w:sz w:val="32"/>
          <w:szCs w:val="32"/>
          <w:lang w:eastAsia="zh-CN"/>
        </w:rPr>
        <w:t>元，占总收入的</w:t>
      </w:r>
      <w:r>
        <w:rPr>
          <w:rFonts w:hint="eastAsia" w:ascii="仿宋_GB2312" w:hAnsi="仿宋" w:eastAsia="仿宋_GB2312"/>
          <w:sz w:val="32"/>
          <w:szCs w:val="32"/>
          <w:lang w:val="en-US" w:eastAsia="zh-CN"/>
        </w:rPr>
        <w:t xml:space="preserve">93.71 </w:t>
      </w:r>
      <w:r>
        <w:rPr>
          <w:rFonts w:hint="eastAsia" w:ascii="仿宋_GB2312" w:hAnsi="仿宋" w:eastAsia="仿宋_GB2312"/>
          <w:sz w:val="32"/>
          <w:szCs w:val="32"/>
          <w:lang w:eastAsia="zh-CN"/>
        </w:rPr>
        <w:t>%，政府性基金预算财政拨款收入</w:t>
      </w:r>
      <w:r>
        <w:rPr>
          <w:rFonts w:hint="eastAsia" w:ascii="仿宋_GB2312" w:hAnsi="仿宋" w:eastAsia="仿宋_GB2312"/>
          <w:sz w:val="32"/>
          <w:szCs w:val="32"/>
          <w:lang w:val="en-US" w:eastAsia="zh-CN"/>
        </w:rPr>
        <w:t>0元，</w:t>
      </w:r>
      <w:r>
        <w:rPr>
          <w:rFonts w:hint="eastAsia" w:ascii="仿宋_GB2312" w:hAnsi="仿宋" w:eastAsia="仿宋_GB2312"/>
          <w:sz w:val="32"/>
          <w:szCs w:val="32"/>
          <w:lang w:eastAsia="zh-CN"/>
        </w:rPr>
        <w:t>占总收入的</w:t>
      </w:r>
      <w:r>
        <w:rPr>
          <w:rFonts w:hint="eastAsia" w:ascii="仿宋_GB2312" w:hAnsi="仿宋" w:eastAsia="仿宋_GB2312"/>
          <w:sz w:val="32"/>
          <w:szCs w:val="32"/>
          <w:lang w:val="en-US" w:eastAsia="zh-CN"/>
        </w:rPr>
        <w:t>0</w:t>
      </w:r>
      <w:r>
        <w:rPr>
          <w:rFonts w:hint="eastAsia" w:ascii="仿宋_GB2312" w:hAnsi="仿宋" w:eastAsia="仿宋_GB2312"/>
          <w:sz w:val="32"/>
          <w:szCs w:val="32"/>
          <w:lang w:eastAsia="zh-CN"/>
        </w:rPr>
        <w:t>%，事业收入</w:t>
      </w:r>
      <w:r>
        <w:rPr>
          <w:rFonts w:hint="eastAsia" w:ascii="仿宋_GB2312" w:hAnsi="仿宋" w:eastAsia="仿宋_GB2312"/>
          <w:sz w:val="32"/>
          <w:szCs w:val="32"/>
          <w:lang w:val="en-US" w:eastAsia="zh-CN"/>
        </w:rPr>
        <w:t xml:space="preserve"> 0万</w:t>
      </w:r>
      <w:r>
        <w:rPr>
          <w:rFonts w:hint="eastAsia" w:ascii="仿宋_GB2312" w:hAnsi="仿宋" w:eastAsia="仿宋_GB2312"/>
          <w:sz w:val="32"/>
          <w:szCs w:val="32"/>
          <w:lang w:eastAsia="zh-CN"/>
        </w:rPr>
        <w:t>元，占总收入的</w:t>
      </w:r>
      <w:r>
        <w:rPr>
          <w:rFonts w:hint="eastAsia" w:ascii="仿宋_GB2312" w:hAnsi="仿宋" w:eastAsia="仿宋_GB2312"/>
          <w:sz w:val="32"/>
          <w:szCs w:val="32"/>
          <w:lang w:val="en-US" w:eastAsia="zh-CN"/>
        </w:rPr>
        <w:t xml:space="preserve"> </w:t>
      </w:r>
      <w:r>
        <w:rPr>
          <w:rFonts w:hint="eastAsia" w:ascii="仿宋_GB2312" w:hAnsi="仿宋" w:eastAsia="仿宋_GB2312"/>
          <w:sz w:val="32"/>
          <w:szCs w:val="32"/>
          <w:lang w:eastAsia="zh-CN"/>
        </w:rPr>
        <w:t>%，其他收入</w:t>
      </w:r>
      <w:r>
        <w:rPr>
          <w:rFonts w:hint="eastAsia" w:ascii="仿宋_GB2312" w:hAnsi="仿宋" w:eastAsia="仿宋_GB2312"/>
          <w:sz w:val="32"/>
          <w:szCs w:val="32"/>
          <w:lang w:val="en-US" w:eastAsia="zh-CN"/>
        </w:rPr>
        <w:t>72.69 万</w:t>
      </w:r>
      <w:r>
        <w:rPr>
          <w:rFonts w:hint="eastAsia" w:ascii="仿宋_GB2312" w:hAnsi="仿宋" w:eastAsia="仿宋_GB2312"/>
          <w:sz w:val="32"/>
          <w:szCs w:val="32"/>
          <w:lang w:eastAsia="zh-CN"/>
        </w:rPr>
        <w:t>元，占总收入的</w:t>
      </w:r>
      <w:r>
        <w:rPr>
          <w:rFonts w:hint="eastAsia" w:ascii="仿宋_GB2312" w:hAnsi="仿宋" w:eastAsia="仿宋_GB2312"/>
          <w:sz w:val="32"/>
          <w:szCs w:val="32"/>
          <w:lang w:val="en-US" w:eastAsia="zh-CN"/>
        </w:rPr>
        <w:t xml:space="preserve">6.28 </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今年</w:t>
      </w:r>
      <w:r>
        <w:rPr>
          <w:rFonts w:hint="eastAsia" w:ascii="仿宋_GB2312" w:hAnsi="仿宋" w:eastAsia="仿宋_GB2312"/>
          <w:sz w:val="32"/>
          <w:szCs w:val="32"/>
          <w:lang w:eastAsia="zh-CN"/>
        </w:rPr>
        <w:t>总支出</w:t>
      </w:r>
      <w:r>
        <w:rPr>
          <w:rFonts w:hint="eastAsia" w:ascii="仿宋_GB2312" w:hAnsi="仿宋" w:eastAsia="仿宋_GB2312"/>
          <w:sz w:val="32"/>
          <w:szCs w:val="32"/>
          <w:lang w:val="en-US" w:eastAsia="zh-CN"/>
        </w:rPr>
        <w:t xml:space="preserve"> 1190.76万</w:t>
      </w:r>
      <w:r>
        <w:rPr>
          <w:rFonts w:hint="eastAsia" w:ascii="仿宋_GB2312" w:hAnsi="仿宋" w:eastAsia="仿宋_GB2312"/>
          <w:sz w:val="32"/>
          <w:szCs w:val="32"/>
          <w:lang w:eastAsia="zh-CN"/>
        </w:rPr>
        <w:t>元，其中人员经费</w:t>
      </w:r>
      <w:r>
        <w:rPr>
          <w:rFonts w:hint="eastAsia" w:ascii="仿宋_GB2312" w:hAnsi="仿宋" w:eastAsia="仿宋_GB2312"/>
          <w:sz w:val="32"/>
          <w:szCs w:val="32"/>
          <w:lang w:val="en-US" w:eastAsia="zh-CN"/>
        </w:rPr>
        <w:t>940.02 万</w:t>
      </w:r>
      <w:r>
        <w:rPr>
          <w:rFonts w:hint="eastAsia" w:ascii="仿宋_GB2312" w:hAnsi="仿宋" w:eastAsia="仿宋_GB2312"/>
          <w:sz w:val="32"/>
          <w:szCs w:val="32"/>
          <w:lang w:eastAsia="zh-CN"/>
        </w:rPr>
        <w:t>元，占总支出的</w:t>
      </w:r>
      <w:r>
        <w:rPr>
          <w:rFonts w:hint="eastAsia" w:ascii="仿宋_GB2312" w:hAnsi="仿宋" w:eastAsia="仿宋_GB2312"/>
          <w:sz w:val="32"/>
          <w:szCs w:val="32"/>
          <w:lang w:val="en-US" w:eastAsia="zh-CN"/>
        </w:rPr>
        <w:t xml:space="preserve">78.94 </w:t>
      </w:r>
      <w:r>
        <w:rPr>
          <w:rFonts w:hint="eastAsia" w:ascii="仿宋_GB2312" w:hAnsi="仿宋" w:eastAsia="仿宋_GB2312"/>
          <w:sz w:val="32"/>
          <w:szCs w:val="32"/>
          <w:lang w:eastAsia="zh-CN"/>
        </w:rPr>
        <w:t>%，日常公用支出</w:t>
      </w:r>
      <w:r>
        <w:rPr>
          <w:rFonts w:hint="eastAsia" w:ascii="仿宋_GB2312" w:hAnsi="仿宋" w:eastAsia="仿宋_GB2312"/>
          <w:sz w:val="32"/>
          <w:szCs w:val="32"/>
          <w:lang w:val="en-US" w:eastAsia="zh-CN"/>
        </w:rPr>
        <w:t>90.89 万</w:t>
      </w:r>
      <w:r>
        <w:rPr>
          <w:rFonts w:hint="eastAsia" w:ascii="仿宋_GB2312" w:hAnsi="仿宋" w:eastAsia="仿宋_GB2312"/>
          <w:sz w:val="32"/>
          <w:szCs w:val="32"/>
          <w:lang w:eastAsia="zh-CN"/>
        </w:rPr>
        <w:t>元，占总支出的</w:t>
      </w:r>
      <w:r>
        <w:rPr>
          <w:rFonts w:hint="eastAsia" w:ascii="仿宋_GB2312" w:hAnsi="仿宋" w:eastAsia="仿宋_GB2312"/>
          <w:sz w:val="32"/>
          <w:szCs w:val="32"/>
          <w:lang w:val="en-US" w:eastAsia="zh-CN"/>
        </w:rPr>
        <w:t xml:space="preserve">7.63 </w:t>
      </w:r>
      <w:r>
        <w:rPr>
          <w:rFonts w:hint="eastAsia" w:ascii="仿宋_GB2312" w:hAnsi="仿宋" w:eastAsia="仿宋_GB2312"/>
          <w:sz w:val="32"/>
          <w:szCs w:val="32"/>
          <w:lang w:eastAsia="zh-CN"/>
        </w:rPr>
        <w:t>%，项目支出</w:t>
      </w:r>
      <w:r>
        <w:rPr>
          <w:rFonts w:hint="eastAsia" w:ascii="仿宋_GB2312" w:hAnsi="仿宋" w:eastAsia="仿宋_GB2312"/>
          <w:sz w:val="32"/>
          <w:szCs w:val="32"/>
          <w:lang w:val="en-US" w:eastAsia="zh-CN"/>
        </w:rPr>
        <w:t>53.16 万</w:t>
      </w:r>
      <w:r>
        <w:rPr>
          <w:rFonts w:hint="eastAsia" w:ascii="仿宋_GB2312" w:hAnsi="仿宋" w:eastAsia="仿宋_GB2312"/>
          <w:sz w:val="32"/>
          <w:szCs w:val="32"/>
          <w:lang w:eastAsia="zh-CN"/>
        </w:rPr>
        <w:t>元，占总支出的</w:t>
      </w:r>
      <w:r>
        <w:rPr>
          <w:rFonts w:hint="eastAsia" w:ascii="仿宋_GB2312" w:hAnsi="仿宋" w:eastAsia="仿宋_GB2312"/>
          <w:sz w:val="32"/>
          <w:szCs w:val="32"/>
          <w:lang w:val="en-US" w:eastAsia="zh-CN"/>
        </w:rPr>
        <w:t xml:space="preserve">4.46 </w:t>
      </w:r>
      <w:r>
        <w:rPr>
          <w:rFonts w:hint="eastAsia" w:ascii="仿宋_GB2312" w:hAnsi="仿宋" w:eastAsia="仿宋_GB2312"/>
          <w:sz w:val="32"/>
          <w:szCs w:val="32"/>
          <w:lang w:eastAsia="zh-CN"/>
        </w:rPr>
        <w:t>%。</w:t>
      </w:r>
    </w:p>
    <w:p>
      <w:pPr>
        <w:snapToGrid w:val="0"/>
        <w:spacing w:line="520" w:lineRule="exact"/>
        <w:ind w:firstLine="640" w:firstLineChars="200"/>
        <w:rPr>
          <w:rFonts w:hint="eastAsia" w:ascii="仿宋_GB2312" w:hAnsi="仿宋" w:eastAsia="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3" w:firstLineChars="200"/>
        <w:jc w:val="left"/>
        <w:rPr>
          <w:rFonts w:ascii="仿宋_GB2312" w:eastAsia="仿宋_GB2312"/>
          <w:b/>
          <w:sz w:val="32"/>
          <w:szCs w:val="32"/>
        </w:rPr>
      </w:pPr>
      <w:r>
        <w:rPr>
          <w:rFonts w:ascii="仿宋_GB2312" w:eastAsia="仿宋_GB2312"/>
          <w:b/>
          <w:sz w:val="32"/>
          <w:szCs w:val="32"/>
        </w:rPr>
        <w:br w:type="page"/>
      </w:r>
    </w:p>
    <w:p>
      <w:pPr>
        <w:numPr>
          <w:ilvl w:val="0"/>
          <w:numId w:val="3"/>
        </w:numPr>
        <w:spacing w:line="600" w:lineRule="exact"/>
        <w:ind w:firstLine="660" w:firstLineChars="150"/>
        <w:jc w:val="center"/>
        <w:outlineLvl w:val="0"/>
        <w:rPr>
          <w:rStyle w:val="31"/>
          <w:rFonts w:ascii="黑体" w:hAnsi="黑体" w:eastAsia="黑体"/>
          <w:b w:val="0"/>
        </w:rPr>
      </w:pPr>
      <w:bookmarkStart w:id="51" w:name="_Toc15377225"/>
      <w:bookmarkStart w:id="52" w:name="_Toc15396613"/>
      <w:r>
        <w:rPr>
          <w:rFonts w:hint="eastAsia" w:ascii="黑体" w:hAnsi="黑体" w:eastAsia="黑体"/>
          <w:sz w:val="44"/>
          <w:szCs w:val="44"/>
        </w:rPr>
        <w:t>名</w:t>
      </w:r>
      <w:r>
        <w:rPr>
          <w:rStyle w:val="31"/>
          <w:rFonts w:hint="eastAsia" w:ascii="黑体" w:hAnsi="黑体" w:eastAsia="黑体"/>
          <w:b w:val="0"/>
        </w:rPr>
        <w:t>词解释</w:t>
      </w:r>
      <w:bookmarkEnd w:id="51"/>
      <w:bookmarkEnd w:id="52"/>
    </w:p>
    <w:p>
      <w:pPr>
        <w:spacing w:line="600" w:lineRule="exact"/>
        <w:jc w:val="left"/>
        <w:rPr>
          <w:rFonts w:ascii="宋体"/>
          <w:b/>
          <w:sz w:val="44"/>
          <w:szCs w:val="44"/>
        </w:rPr>
      </w:pP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hint="eastAsia" w:ascii="仿宋_GB2312" w:eastAsia="仿宋_GB2312"/>
          <w:sz w:val="32"/>
          <w:szCs w:val="32"/>
          <w:lang w:val="en-US" w:eastAsia="zh-CN"/>
        </w:rPr>
        <w:t>9</w:t>
      </w:r>
      <w:r>
        <w:rPr>
          <w:rFonts w:ascii="仿宋_GB2312" w:eastAsia="仿宋_GB2312"/>
          <w:sz w:val="32"/>
          <w:szCs w:val="32"/>
        </w:rPr>
        <w:t>.</w:t>
      </w:r>
      <w:r>
        <w:rPr>
          <w:rFonts w:hint="eastAsia" w:ascii="仿宋_GB2312" w:eastAsia="仿宋_GB2312"/>
          <w:sz w:val="32"/>
          <w:szCs w:val="32"/>
        </w:rPr>
        <w:t>社会保障和就业（类）…（款）…（项）：指社会保障和就业（类）208（款）05（项）05机关事业单位基本养老保险缴费支出，社会保障和就业（类）208（款）05（项）06机关事业单位职业年金缴费支出。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10</w:t>
      </w:r>
      <w:r>
        <w:rPr>
          <w:rFonts w:ascii="仿宋_GB2312" w:eastAsia="仿宋_GB2312"/>
          <w:sz w:val="32"/>
          <w:szCs w:val="32"/>
        </w:rPr>
        <w:t>.</w:t>
      </w:r>
      <w:r>
        <w:rPr>
          <w:rFonts w:hint="eastAsia" w:ascii="仿宋_GB2312" w:eastAsia="仿宋_GB2312"/>
          <w:sz w:val="32"/>
          <w:szCs w:val="32"/>
        </w:rPr>
        <w:t>卫生健康（类）…（款）…（项）：指卫生健康（类）210（款）03（项）02乡镇卫生院</w:t>
      </w:r>
      <w:r>
        <w:rPr>
          <w:rFonts w:hint="eastAsia" w:ascii="仿宋_GB2312" w:eastAsia="仿宋_GB2312"/>
          <w:sz w:val="32"/>
          <w:szCs w:val="32"/>
          <w:lang w:eastAsia="zh-CN"/>
        </w:rPr>
        <w:t>，</w:t>
      </w:r>
      <w:r>
        <w:rPr>
          <w:rFonts w:hint="eastAsia" w:ascii="仿宋_GB2312" w:eastAsia="仿宋_GB2312"/>
          <w:sz w:val="32"/>
          <w:szCs w:val="32"/>
        </w:rPr>
        <w:t>卫生健康（类）210（款）03（项）99其他基层医疗卫生机构支出，卫生健康（类）210（款）04（项）08基本公共卫生服务，卫生健康（类）210（款）04（项）09重大公共卫生服务。</w:t>
      </w:r>
    </w:p>
    <w:p>
      <w:pPr>
        <w:ind w:firstLine="640" w:firstLineChars="200"/>
        <w:rPr>
          <w:rFonts w:ascii="仿宋_GB2312" w:eastAsia="仿宋_GB2312"/>
          <w:sz w:val="32"/>
          <w:szCs w:val="32"/>
        </w:rPr>
      </w:pPr>
      <w:r>
        <w:rPr>
          <w:rFonts w:hint="eastAsia" w:ascii="仿宋_GB2312" w:eastAsia="仿宋_GB2312"/>
          <w:sz w:val="32"/>
          <w:szCs w:val="32"/>
          <w:lang w:val="en-US" w:eastAsia="zh-CN"/>
        </w:rPr>
        <w:t>11</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12</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14</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15</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1"/>
          <w:rFonts w:ascii="黑体" w:hAnsi="黑体" w:eastAsia="黑体"/>
          <w:b w:val="0"/>
        </w:rPr>
      </w:pPr>
      <w:bookmarkStart w:id="53" w:name="_Toc15377226"/>
      <w:r>
        <w:rPr>
          <w:rFonts w:ascii="宋体"/>
          <w:b/>
          <w:sz w:val="44"/>
          <w:szCs w:val="44"/>
        </w:rPr>
        <w:br w:type="page"/>
      </w:r>
      <w:bookmarkStart w:id="54" w:name="_Toc15396614"/>
      <w:r>
        <w:rPr>
          <w:rFonts w:hint="eastAsia" w:ascii="黑体" w:hAnsi="黑体" w:eastAsia="黑体"/>
          <w:sz w:val="44"/>
          <w:szCs w:val="44"/>
        </w:rPr>
        <w:t>第</w:t>
      </w:r>
      <w:r>
        <w:rPr>
          <w:rStyle w:val="31"/>
          <w:rFonts w:hint="eastAsia" w:ascii="黑体" w:hAnsi="黑体" w:eastAsia="黑体"/>
          <w:b w:val="0"/>
        </w:rPr>
        <w:t>四部分 附件</w:t>
      </w:r>
      <w:bookmarkEnd w:id="54"/>
    </w:p>
    <w:p>
      <w:pPr>
        <w:spacing w:line="572" w:lineRule="exact"/>
        <w:jc w:val="left"/>
        <w:outlineLvl w:val="0"/>
        <w:rPr>
          <w:rFonts w:hint="eastAsia" w:ascii="黑体" w:hAnsi="黑体" w:eastAsia="黑体" w:cs="黑体"/>
          <w:sz w:val="32"/>
          <w:szCs w:val="32"/>
        </w:rPr>
      </w:pPr>
      <w:r>
        <w:rPr>
          <w:rFonts w:hint="eastAsia" w:ascii="黑体" w:hAnsi="黑体" w:eastAsia="黑体" w:cs="黑体"/>
          <w:sz w:val="32"/>
          <w:szCs w:val="32"/>
        </w:rPr>
        <w:t>附件</w:t>
      </w:r>
    </w:p>
    <w:p>
      <w:pPr>
        <w:keepNext w:val="0"/>
        <w:keepLines w:val="0"/>
        <w:pageBreakBefore w:val="0"/>
        <w:kinsoku/>
        <w:wordWrap/>
        <w:overflowPunct/>
        <w:topLinePunct w:val="0"/>
        <w:autoSpaceDE/>
        <w:autoSpaceDN/>
        <w:bidi w:val="0"/>
        <w:adjustRightInd/>
        <w:snapToGrid/>
        <w:spacing w:line="240" w:lineRule="auto"/>
        <w:jc w:val="center"/>
        <w:textAlignment w:val="auto"/>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keepNext w:val="0"/>
        <w:keepLines w:val="0"/>
        <w:pageBreakBefore w:val="0"/>
        <w:kinsoku/>
        <w:wordWrap/>
        <w:overflowPunct/>
        <w:topLinePunct w:val="0"/>
        <w:autoSpaceDE/>
        <w:autoSpaceDN/>
        <w:bidi w:val="0"/>
        <w:adjustRightInd/>
        <w:snapToGrid/>
        <w:spacing w:line="240" w:lineRule="auto"/>
        <w:jc w:val="center"/>
        <w:textAlignment w:val="auto"/>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历年公路养护人员劳务费</w:t>
      </w:r>
      <w:r>
        <w:rPr>
          <w:rFonts w:hint="eastAsia" w:eastAsia="方正楷体简体"/>
          <w:b/>
          <w:sz w:val="32"/>
          <w:szCs w:val="32"/>
        </w:rPr>
        <w:t>）</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eastAsia="方正黑体简体"/>
          <w:sz w:val="32"/>
          <w:szCs w:val="32"/>
        </w:rPr>
      </w:pPr>
      <w:r>
        <w:rPr>
          <w:rFonts w:hint="eastAsia" w:eastAsia="方正黑体简体"/>
          <w:sz w:val="32"/>
          <w:szCs w:val="32"/>
        </w:rPr>
        <w:t>一、项目基本情况</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eastAsia="方正楷体简体"/>
          <w:b/>
          <w:sz w:val="32"/>
          <w:szCs w:val="32"/>
        </w:rPr>
      </w:pPr>
      <w:r>
        <w:rPr>
          <w:rFonts w:hint="eastAsia" w:eastAsia="方正楷体简体"/>
          <w:b/>
          <w:sz w:val="32"/>
          <w:szCs w:val="32"/>
        </w:rPr>
        <w:t>（一）概况</w:t>
      </w:r>
    </w:p>
    <w:p>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eastAsia="方正仿宋简体"/>
          <w:sz w:val="32"/>
          <w:szCs w:val="32"/>
        </w:rPr>
      </w:pPr>
      <w:r>
        <w:rPr>
          <w:rFonts w:eastAsia="方正仿宋简体"/>
          <w:b/>
          <w:sz w:val="32"/>
          <w:szCs w:val="32"/>
        </w:rPr>
        <w:t>1.</w:t>
      </w:r>
      <w:r>
        <w:rPr>
          <w:rFonts w:hint="eastAsia" w:eastAsia="方正仿宋简体"/>
          <w:sz w:val="32"/>
          <w:szCs w:val="32"/>
        </w:rPr>
        <w:t>立项背景及目的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乐至县公路养护管理段隶属于乐至县交通</w:t>
      </w:r>
      <w:r>
        <w:rPr>
          <w:rFonts w:hint="eastAsia" w:ascii="方正仿宋简体" w:hAnsi="方正仿宋简体" w:eastAsia="方正仿宋简体" w:cs="方正仿宋简体"/>
          <w:sz w:val="32"/>
          <w:szCs w:val="32"/>
          <w:lang w:val="en-US" w:eastAsia="zh-CN"/>
        </w:rPr>
        <w:t>运输</w:t>
      </w:r>
      <w:r>
        <w:rPr>
          <w:rFonts w:hint="eastAsia" w:ascii="方正仿宋简体" w:hAnsi="方正仿宋简体" w:eastAsia="方正仿宋简体" w:cs="方正仿宋简体"/>
          <w:sz w:val="32"/>
          <w:szCs w:val="32"/>
        </w:rPr>
        <w:t>局，是乐至交通</w:t>
      </w:r>
      <w:r>
        <w:rPr>
          <w:rFonts w:hint="eastAsia" w:ascii="方正仿宋简体" w:hAnsi="方正仿宋简体" w:eastAsia="方正仿宋简体" w:cs="方正仿宋简体"/>
          <w:sz w:val="32"/>
          <w:szCs w:val="32"/>
          <w:lang w:val="en-US" w:eastAsia="zh-CN"/>
        </w:rPr>
        <w:t>运输</w:t>
      </w:r>
      <w:r>
        <w:rPr>
          <w:rFonts w:hint="eastAsia" w:ascii="方正仿宋简体" w:hAnsi="方正仿宋简体" w:eastAsia="方正仿宋简体" w:cs="方正仿宋简体"/>
          <w:sz w:val="32"/>
          <w:szCs w:val="32"/>
        </w:rPr>
        <w:t>局下的二级单位，属公益一类事业单位，</w:t>
      </w:r>
      <w:r>
        <w:rPr>
          <w:rFonts w:hint="eastAsia" w:ascii="方正仿宋简体" w:hAnsi="方正仿宋简体" w:eastAsia="方正仿宋简体" w:cs="方正仿宋简体"/>
          <w:sz w:val="32"/>
          <w:szCs w:val="32"/>
          <w:lang w:val="en-US" w:eastAsia="zh-CN"/>
        </w:rPr>
        <w:t>主要组织实施国省干线公路及县道的日常养护与管理、小修保养、应急抢险、公路战备等工作，</w:t>
      </w:r>
      <w:r>
        <w:rPr>
          <w:rFonts w:hint="eastAsia" w:ascii="方正仿宋简体" w:hAnsi="方正仿宋简体" w:eastAsia="方正仿宋简体" w:cs="方正仿宋简体"/>
          <w:color w:val="auto"/>
          <w:sz w:val="32"/>
          <w:szCs w:val="32"/>
          <w:lang w:val="en-US" w:eastAsia="zh-CN"/>
        </w:rPr>
        <w:t>我</w:t>
      </w:r>
      <w:r>
        <w:rPr>
          <w:rFonts w:hint="eastAsia" w:ascii="方正仿宋简体" w:hAnsi="方正仿宋简体" w:eastAsia="方正仿宋简体" w:cs="方正仿宋简体"/>
          <w:color w:val="auto"/>
          <w:sz w:val="32"/>
          <w:szCs w:val="32"/>
        </w:rPr>
        <w:t>段</w:t>
      </w:r>
      <w:r>
        <w:rPr>
          <w:rFonts w:hint="eastAsia" w:ascii="方正仿宋简体" w:hAnsi="方正仿宋简体" w:eastAsia="方正仿宋简体" w:cs="方正仿宋简体"/>
          <w:color w:val="auto"/>
          <w:sz w:val="32"/>
          <w:szCs w:val="32"/>
          <w:lang w:val="en-US" w:eastAsia="zh-CN"/>
        </w:rPr>
        <w:t>主要管辖</w:t>
      </w:r>
      <w:r>
        <w:rPr>
          <w:rFonts w:hint="eastAsia" w:ascii="方正仿宋简体" w:hAnsi="方正仿宋简体" w:eastAsia="方正仿宋简体" w:cs="方正仿宋简体"/>
          <w:color w:val="auto"/>
          <w:sz w:val="32"/>
          <w:szCs w:val="32"/>
        </w:rPr>
        <w:t>3条国道、</w:t>
      </w:r>
      <w:r>
        <w:rPr>
          <w:rFonts w:hint="eastAsia" w:ascii="方正仿宋简体" w:hAnsi="方正仿宋简体" w:eastAsia="方正仿宋简体" w:cs="方正仿宋简体"/>
          <w:color w:val="auto"/>
          <w:sz w:val="32"/>
          <w:szCs w:val="32"/>
          <w:lang w:val="en-US" w:eastAsia="zh-CN"/>
        </w:rPr>
        <w:t>3</w:t>
      </w:r>
      <w:r>
        <w:rPr>
          <w:rFonts w:hint="eastAsia" w:ascii="方正仿宋简体" w:hAnsi="方正仿宋简体" w:eastAsia="方正仿宋简体" w:cs="方正仿宋简体"/>
          <w:color w:val="auto"/>
          <w:sz w:val="32"/>
          <w:szCs w:val="32"/>
        </w:rPr>
        <w:t>条省道近</w:t>
      </w:r>
      <w:r>
        <w:rPr>
          <w:rFonts w:hint="eastAsia" w:ascii="方正仿宋简体" w:hAnsi="方正仿宋简体" w:eastAsia="方正仿宋简体" w:cs="方正仿宋简体"/>
          <w:color w:val="auto"/>
          <w:sz w:val="32"/>
          <w:szCs w:val="32"/>
          <w:lang w:val="en-US" w:eastAsia="zh-CN"/>
        </w:rPr>
        <w:t>167</w:t>
      </w:r>
      <w:r>
        <w:rPr>
          <w:rFonts w:hint="eastAsia" w:ascii="方正仿宋简体" w:hAnsi="方正仿宋简体" w:eastAsia="方正仿宋简体" w:cs="方正仿宋简体"/>
          <w:color w:val="auto"/>
          <w:sz w:val="32"/>
          <w:szCs w:val="32"/>
        </w:rPr>
        <w:t>公里</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管养国省线上桥梁42座</w:t>
      </w:r>
      <w:r>
        <w:rPr>
          <w:rFonts w:hint="eastAsia" w:ascii="方正仿宋简体" w:hAnsi="方正仿宋简体" w:eastAsia="方正仿宋简体" w:cs="方正仿宋简体"/>
          <w:color w:val="auto"/>
          <w:sz w:val="32"/>
          <w:szCs w:val="32"/>
        </w:rPr>
        <w:t>，在职职工67人</w:t>
      </w:r>
      <w:r>
        <w:rPr>
          <w:rFonts w:hint="eastAsia" w:ascii="方正仿宋简体" w:hAnsi="方正仿宋简体" w:eastAsia="方正仿宋简体" w:cs="方正仿宋简体"/>
          <w:sz w:val="32"/>
          <w:szCs w:val="32"/>
        </w:rPr>
        <w:t>（管理人员26人，各养护站一线职工41人）</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sz w:val="32"/>
          <w:szCs w:val="32"/>
          <w:lang w:val="en-US" w:eastAsia="zh-CN"/>
        </w:rPr>
        <w:t>共7</w:t>
      </w:r>
      <w:r>
        <w:rPr>
          <w:rFonts w:hint="eastAsia" w:ascii="方正仿宋简体" w:hAnsi="方正仿宋简体" w:eastAsia="方正仿宋简体" w:cs="方正仿宋简体"/>
          <w:sz w:val="32"/>
          <w:szCs w:val="32"/>
        </w:rPr>
        <w:t>个养护站</w:t>
      </w:r>
      <w:r>
        <w:rPr>
          <w:rFonts w:hint="eastAsia" w:ascii="方正仿宋简体" w:hAnsi="方正仿宋简体" w:eastAsia="方正仿宋简体" w:cs="方正仿宋简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近年来，我段认真贯彻落实上级部门工作精神与部署，以“畅、安、舒、美”为标准，突出重点、强化措施，</w:t>
      </w:r>
      <w:r>
        <w:rPr>
          <w:rFonts w:hint="eastAsia" w:ascii="方正仿宋简体" w:hAnsi="方正仿宋简体" w:eastAsia="方正仿宋简体" w:cs="方正仿宋简体"/>
          <w:sz w:val="32"/>
          <w:szCs w:val="32"/>
          <w:lang w:val="en-US" w:eastAsia="zh-CN"/>
        </w:rPr>
        <w:t>使我段的</w:t>
      </w:r>
      <w:r>
        <w:rPr>
          <w:rFonts w:hint="eastAsia" w:ascii="方正仿宋简体" w:hAnsi="方正仿宋简体" w:eastAsia="方正仿宋简体" w:cs="方正仿宋简体"/>
          <w:sz w:val="32"/>
          <w:szCs w:val="32"/>
        </w:rPr>
        <w:t>公路养护管理工作得到了扎实稳步推进，但也存在问题</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主要集中体现在</w:t>
      </w:r>
      <w:r>
        <w:rPr>
          <w:rFonts w:hint="eastAsia" w:ascii="方正仿宋简体" w:hAnsi="方正仿宋简体" w:eastAsia="方正仿宋简体" w:cs="方正仿宋简体"/>
          <w:sz w:val="32"/>
          <w:szCs w:val="32"/>
          <w:lang w:eastAsia="zh-CN"/>
        </w:rPr>
        <w:t>养护人员定员不足</w:t>
      </w:r>
      <w:r>
        <w:rPr>
          <w:rFonts w:hint="eastAsia" w:ascii="方正仿宋简体" w:hAnsi="方正仿宋简体" w:eastAsia="方正仿宋简体" w:cs="方正仿宋简体"/>
          <w:sz w:val="32"/>
          <w:szCs w:val="32"/>
          <w:lang w:val="en-US" w:eastAsia="zh-CN"/>
        </w:rPr>
        <w:t>问题上</w:t>
      </w:r>
      <w:r>
        <w:rPr>
          <w:rFonts w:hint="eastAsia" w:ascii="方正仿宋简体" w:hAnsi="方正仿宋简体" w:eastAsia="方正仿宋简体" w:cs="方正仿宋简体"/>
          <w:sz w:val="32"/>
          <w:szCs w:val="32"/>
          <w:lang w:eastAsia="zh-CN"/>
        </w:rPr>
        <w:t>，根据川交函〔2007〕181号文关于《四川省公路养护费分成资金使用监督管理办法》中文件核定的国省道路养护生产人员定员标准，</w:t>
      </w:r>
      <w:r>
        <w:rPr>
          <w:rFonts w:hint="eastAsia" w:ascii="方正仿宋简体" w:hAnsi="方正仿宋简体" w:eastAsia="方正仿宋简体" w:cs="方正仿宋简体"/>
          <w:sz w:val="32"/>
          <w:szCs w:val="32"/>
          <w:lang w:val="en-US" w:eastAsia="zh-CN"/>
        </w:rPr>
        <w:t>对</w:t>
      </w:r>
      <w:r>
        <w:rPr>
          <w:rFonts w:hint="eastAsia" w:ascii="方正仿宋简体" w:hAnsi="方正仿宋简体" w:eastAsia="方正仿宋简体" w:cs="方正仿宋简体"/>
          <w:sz w:val="32"/>
          <w:szCs w:val="32"/>
          <w:lang w:eastAsia="zh-CN"/>
        </w:rPr>
        <w:t>国省道二级沥青路面1人/公里，</w:t>
      </w:r>
      <w:r>
        <w:rPr>
          <w:rFonts w:hint="eastAsia" w:ascii="方正仿宋简体" w:hAnsi="方正仿宋简体" w:eastAsia="方正仿宋简体" w:cs="方正仿宋简体"/>
          <w:sz w:val="32"/>
          <w:szCs w:val="32"/>
          <w:lang w:val="en-US" w:eastAsia="zh-CN"/>
        </w:rPr>
        <w:t>根据文件</w:t>
      </w:r>
      <w:r>
        <w:rPr>
          <w:rFonts w:hint="eastAsia" w:ascii="方正仿宋简体" w:hAnsi="方正仿宋简体" w:eastAsia="方正仿宋简体" w:cs="方正仿宋简体"/>
          <w:sz w:val="32"/>
          <w:szCs w:val="32"/>
          <w:lang w:eastAsia="zh-CN"/>
        </w:rPr>
        <w:t>我段现管养</w:t>
      </w:r>
      <w:r>
        <w:rPr>
          <w:rFonts w:hint="eastAsia" w:ascii="方正仿宋简体" w:hAnsi="方正仿宋简体" w:eastAsia="方正仿宋简体" w:cs="方正仿宋简体"/>
          <w:sz w:val="32"/>
          <w:szCs w:val="32"/>
          <w:lang w:val="en-US" w:eastAsia="zh-CN"/>
        </w:rPr>
        <w:t>167</w:t>
      </w:r>
      <w:r>
        <w:rPr>
          <w:rFonts w:hint="eastAsia" w:ascii="方正仿宋简体" w:hAnsi="方正仿宋简体" w:eastAsia="方正仿宋简体" w:cs="方正仿宋简体"/>
          <w:sz w:val="32"/>
          <w:szCs w:val="32"/>
          <w:lang w:eastAsia="zh-CN"/>
        </w:rPr>
        <w:t>公里</w:t>
      </w:r>
      <w:r>
        <w:rPr>
          <w:rFonts w:hint="eastAsia" w:ascii="方正仿宋简体" w:hAnsi="方正仿宋简体" w:eastAsia="方正仿宋简体" w:cs="方正仿宋简体"/>
          <w:sz w:val="32"/>
          <w:szCs w:val="32"/>
          <w:lang w:val="en-US" w:eastAsia="zh-CN"/>
        </w:rPr>
        <w:t>就</w:t>
      </w:r>
      <w:r>
        <w:rPr>
          <w:rFonts w:hint="eastAsia" w:ascii="方正仿宋简体" w:hAnsi="方正仿宋简体" w:eastAsia="方正仿宋简体" w:cs="方正仿宋简体"/>
          <w:sz w:val="32"/>
          <w:szCs w:val="32"/>
          <w:lang w:eastAsia="zh-CN"/>
        </w:rPr>
        <w:t>需配备</w:t>
      </w:r>
      <w:r>
        <w:rPr>
          <w:rFonts w:hint="eastAsia" w:ascii="方正仿宋简体" w:hAnsi="方正仿宋简体" w:eastAsia="方正仿宋简体" w:cs="方正仿宋简体"/>
          <w:sz w:val="32"/>
          <w:szCs w:val="32"/>
          <w:lang w:val="en-US" w:eastAsia="zh-CN"/>
        </w:rPr>
        <w:t>167</w:t>
      </w:r>
      <w:r>
        <w:rPr>
          <w:rFonts w:hint="eastAsia" w:ascii="方正仿宋简体" w:hAnsi="方正仿宋简体" w:eastAsia="方正仿宋简体" w:cs="方正仿宋简体"/>
          <w:sz w:val="32"/>
          <w:szCs w:val="32"/>
          <w:lang w:eastAsia="zh-CN"/>
        </w:rPr>
        <w:t>名养护工人，但</w:t>
      </w:r>
      <w:r>
        <w:rPr>
          <w:rFonts w:hint="eastAsia" w:ascii="方正仿宋简体" w:hAnsi="方正仿宋简体" w:eastAsia="方正仿宋简体" w:cs="方正仿宋简体"/>
          <w:sz w:val="32"/>
          <w:szCs w:val="32"/>
          <w:lang w:val="en-US" w:eastAsia="zh-CN"/>
        </w:rPr>
        <w:t>实际实际情况</w:t>
      </w:r>
      <w:r>
        <w:rPr>
          <w:rFonts w:hint="eastAsia" w:ascii="方正仿宋简体" w:hAnsi="方正仿宋简体" w:eastAsia="方正仿宋简体" w:cs="方正仿宋简体"/>
          <w:sz w:val="32"/>
          <w:szCs w:val="32"/>
          <w:lang w:eastAsia="zh-CN"/>
        </w:rPr>
        <w:t>我段在岗一线养护人员只有</w:t>
      </w:r>
      <w:r>
        <w:rPr>
          <w:rFonts w:hint="eastAsia" w:ascii="方正仿宋简体" w:hAnsi="方正仿宋简体" w:eastAsia="方正仿宋简体" w:cs="方正仿宋简体"/>
          <w:sz w:val="32"/>
          <w:szCs w:val="32"/>
          <w:lang w:val="en-US" w:eastAsia="zh-CN"/>
        </w:rPr>
        <w:t>41</w:t>
      </w:r>
      <w:r>
        <w:rPr>
          <w:rFonts w:hint="eastAsia" w:ascii="方正仿宋简体" w:hAnsi="方正仿宋简体" w:eastAsia="方正仿宋简体" w:cs="方正仿宋简体"/>
          <w:sz w:val="32"/>
          <w:szCs w:val="32"/>
          <w:lang w:eastAsia="zh-CN"/>
        </w:rPr>
        <w:t>人，人均1人管养</w:t>
      </w:r>
      <w:r>
        <w:rPr>
          <w:rFonts w:hint="eastAsia" w:ascii="方正仿宋简体" w:hAnsi="方正仿宋简体" w:eastAsia="方正仿宋简体" w:cs="方正仿宋简体"/>
          <w:sz w:val="32"/>
          <w:szCs w:val="32"/>
          <w:lang w:val="en-US" w:eastAsia="zh-CN"/>
        </w:rPr>
        <w:t>接近5</w:t>
      </w:r>
      <w:r>
        <w:rPr>
          <w:rFonts w:hint="eastAsia" w:ascii="方正仿宋简体" w:hAnsi="方正仿宋简体" w:eastAsia="方正仿宋简体" w:cs="方正仿宋简体"/>
          <w:sz w:val="32"/>
          <w:szCs w:val="32"/>
          <w:lang w:eastAsia="zh-CN"/>
        </w:rPr>
        <w:t>公里，同时在岗大部分员工年龄分布在</w:t>
      </w:r>
      <w:r>
        <w:rPr>
          <w:rFonts w:hint="eastAsia" w:ascii="方正仿宋简体" w:hAnsi="方正仿宋简体" w:eastAsia="方正仿宋简体" w:cs="方正仿宋简体"/>
          <w:sz w:val="32"/>
          <w:szCs w:val="32"/>
          <w:lang w:val="en-US" w:eastAsia="zh-CN"/>
        </w:rPr>
        <w:t>45-</w:t>
      </w:r>
      <w:r>
        <w:rPr>
          <w:rFonts w:hint="eastAsia" w:ascii="方正仿宋简体" w:hAnsi="方正仿宋简体" w:eastAsia="方正仿宋简体" w:cs="方正仿宋简体"/>
          <w:sz w:val="32"/>
          <w:szCs w:val="32"/>
          <w:lang w:eastAsia="zh-CN"/>
        </w:rPr>
        <w:t>50岁，对于长期从事养护外业工作来说，工作任务</w:t>
      </w:r>
      <w:r>
        <w:rPr>
          <w:rFonts w:hint="eastAsia" w:ascii="方正仿宋简体" w:hAnsi="方正仿宋简体" w:eastAsia="方正仿宋简体" w:cs="方正仿宋简体"/>
          <w:sz w:val="32"/>
          <w:szCs w:val="32"/>
          <w:lang w:val="en-US" w:eastAsia="zh-CN"/>
        </w:rPr>
        <w:t>十分艰巨且</w:t>
      </w:r>
      <w:r>
        <w:rPr>
          <w:rFonts w:hint="eastAsia" w:ascii="方正仿宋简体" w:hAnsi="方正仿宋简体" w:eastAsia="方正仿宋简体" w:cs="方正仿宋简体"/>
          <w:sz w:val="32"/>
          <w:szCs w:val="32"/>
          <w:lang w:eastAsia="zh-CN"/>
        </w:rPr>
        <w:t>体力方面也难以跟上。</w:t>
      </w:r>
      <w:r>
        <w:rPr>
          <w:rFonts w:hint="eastAsia" w:ascii="方正仿宋简体" w:hAnsi="方正仿宋简体" w:eastAsia="方正仿宋简体" w:cs="方正仿宋简体"/>
          <w:sz w:val="32"/>
          <w:szCs w:val="32"/>
          <w:lang w:val="en-US" w:eastAsia="zh-CN"/>
        </w:rPr>
        <w:t>对此，为解决养护人员定员不足情况聘请相关临工一起开展相关养护工作，通过公路养护人员劳务费专项资金来解决养护人员定员不足，提高公路养护效率。</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sz w:val="32"/>
          <w:szCs w:val="32"/>
        </w:rPr>
        <w:t>2.</w:t>
      </w:r>
      <w:r>
        <w:rPr>
          <w:rFonts w:hint="eastAsia" w:ascii="方正仿宋简体" w:hAnsi="方正仿宋简体" w:eastAsia="方正仿宋简体" w:cs="方正仿宋简体"/>
          <w:sz w:val="32"/>
          <w:szCs w:val="32"/>
        </w:rPr>
        <w:t>预算资金来源及使用情况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简体" w:hAnsi="方正仿宋简体" w:eastAsia="方正仿宋简体" w:cs="方正仿宋简体"/>
          <w:color w:val="0000FF"/>
          <w:sz w:val="32"/>
          <w:szCs w:val="32"/>
          <w:lang w:val="en-US" w:eastAsia="zh-CN"/>
        </w:rPr>
      </w:pPr>
      <w:r>
        <w:rPr>
          <w:rFonts w:hint="eastAsia" w:ascii="方正仿宋简体" w:hAnsi="方正仿宋简体" w:eastAsia="方正仿宋简体" w:cs="方正仿宋简体"/>
          <w:sz w:val="32"/>
          <w:szCs w:val="32"/>
          <w:lang w:val="en-US" w:eastAsia="zh-CN"/>
        </w:rPr>
        <w:t>公路养护人员劳务费预算总投资117.6万元，资金采用县级财政拨款方式，该项目资金使用严格按审批程序办理，操作规范，会计核算结果真实、准确。</w:t>
      </w:r>
      <w:r>
        <w:rPr>
          <w:rFonts w:hint="eastAsia" w:ascii="方正仿宋简体" w:hAnsi="方正仿宋简体" w:eastAsia="方正仿宋简体" w:cs="方正仿宋简体"/>
          <w:color w:val="auto"/>
          <w:sz w:val="32"/>
          <w:szCs w:val="32"/>
          <w:lang w:val="en-US" w:eastAsia="zh-CN"/>
        </w:rPr>
        <w:t>该项资金主要于2022年12月底拨出30万元，全部是用于聘用临工进行公路养护作业</w:t>
      </w:r>
      <w:r>
        <w:rPr>
          <w:rFonts w:hint="eastAsia" w:ascii="方正仿宋简体" w:hAnsi="方正仿宋简体" w:eastAsia="方正仿宋简体" w:cs="方正仿宋简体"/>
          <w:color w:val="0000FF"/>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lang w:val="en-US" w:eastAsia="zh-CN"/>
        </w:rPr>
        <w:t>3.</w:t>
      </w:r>
      <w:r>
        <w:rPr>
          <w:rFonts w:hint="eastAsia" w:ascii="方正仿宋简体" w:hAnsi="方正仿宋简体" w:eastAsia="方正仿宋简体" w:cs="方正仿宋简体"/>
          <w:sz w:val="32"/>
          <w:szCs w:val="32"/>
        </w:rPr>
        <w:t>实施情况（项目完成情况）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为了确保公路养护管理工作顺利开展，打造“畅、安、舒、美、洁”的乐至公路，2017年至2020年，我段因养护人员定员不足问题聘用相关临工分布各养护站与站上养护人员一起开展日常养护作业，涉及到道路清扫、路肩水沟整治、国省干线行道树刷白、桥梁粉刷和清理、涵洞清理、路面小修整治等养护作业。</w:t>
      </w:r>
    </w:p>
    <w:p>
      <w:pPr>
        <w:numPr>
          <w:ilvl w:val="0"/>
          <w:numId w:val="0"/>
        </w:numPr>
        <w:ind w:firstLine="643" w:firstLineChars="200"/>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bCs/>
          <w:sz w:val="32"/>
          <w:szCs w:val="32"/>
          <w:lang w:val="en-US" w:eastAsia="zh-CN"/>
        </w:rPr>
        <w:t>4.</w:t>
      </w:r>
      <w:r>
        <w:rPr>
          <w:rFonts w:hint="eastAsia" w:ascii="方正仿宋简体" w:hAnsi="方正仿宋简体" w:eastAsia="方正仿宋简体" w:cs="方正仿宋简体"/>
          <w:b w:val="0"/>
          <w:bCs w:val="0"/>
          <w:sz w:val="32"/>
          <w:szCs w:val="32"/>
          <w:lang w:val="en-US" w:eastAsia="zh-CN"/>
        </w:rPr>
        <w:t>组织及管理（项目组织、管理流程及实际执行情况）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sz w:val="32"/>
          <w:szCs w:val="32"/>
          <w:lang w:val="en-US" w:eastAsia="zh-CN"/>
        </w:rPr>
        <w:t>此项专项经费的下达对公路养护开展提供了有力的经费保障，为国省干线道路</w:t>
      </w:r>
      <w:r>
        <w:rPr>
          <w:rFonts w:hint="eastAsia" w:ascii="方正仿宋简体" w:hAnsi="方正仿宋简体" w:eastAsia="方正仿宋简体" w:cs="方正仿宋简体"/>
          <w:color w:val="auto"/>
          <w:sz w:val="32"/>
          <w:szCs w:val="32"/>
          <w:lang w:val="en-US" w:eastAsia="zh-CN"/>
        </w:rPr>
        <w:t>公路管养水平</w:t>
      </w:r>
      <w:r>
        <w:rPr>
          <w:rFonts w:hint="eastAsia" w:ascii="方正仿宋简体" w:hAnsi="方正仿宋简体" w:eastAsia="方正仿宋简体" w:cs="方正仿宋简体"/>
          <w:sz w:val="32"/>
          <w:szCs w:val="32"/>
          <w:lang w:val="en-US" w:eastAsia="zh-CN"/>
        </w:rPr>
        <w:t>的提升和乐至县交通条件的改善起到了有力的助推作用，主要做了以下工作：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⑴建立项目管理组织机构。为了规范单位临时用管理工作，我段安排由分管养护工作的副段长牵头负责组织，段养护股具体负责实施与管理工作。制定临时用工管理制度，严格按照相关规定，明确责任，合理分工，密切协作，为临工的聘用及管理工作顺利实施提供了保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⑵管理流程。因临工管理等方面内容较为单一，对此我段以制定临工聘用及管理制度开展工作。①发布用工招聘信息；②人员信息登记和审核；③签订协议；④日常管理与考核。</w:t>
      </w:r>
    </w:p>
    <w:p>
      <w:pPr>
        <w:ind w:firstLine="600"/>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b w:val="0"/>
          <w:bCs w:val="0"/>
          <w:sz w:val="32"/>
          <w:szCs w:val="32"/>
          <w:lang w:val="en-US" w:eastAsia="zh-CN"/>
        </w:rPr>
        <w:t>⑶</w:t>
      </w:r>
      <w:r>
        <w:rPr>
          <w:rFonts w:hint="eastAsia" w:ascii="方正仿宋简体" w:hAnsi="方正仿宋简体" w:eastAsia="方正仿宋简体" w:cs="方正仿宋简体"/>
          <w:sz w:val="32"/>
          <w:szCs w:val="32"/>
          <w:lang w:val="en-US" w:eastAsia="zh-CN"/>
        </w:rPr>
        <w:t>实际执行情况。养护股负责实施与管理工作。①流程把控。严格审查被用人员的身份，建立临时用工人员安全管理台账，做到人来登记，人走注销，数据变动及时准确。</w:t>
      </w:r>
      <w:r>
        <w:rPr>
          <w:rFonts w:hint="eastAsia" w:ascii="方正仿宋简体" w:hAnsi="方正仿宋简体" w:eastAsia="方正仿宋简体" w:cs="方正仿宋简体"/>
          <w:kern w:val="0"/>
          <w:sz w:val="32"/>
          <w:szCs w:val="32"/>
        </w:rPr>
        <w:t>为</w:t>
      </w:r>
      <w:r>
        <w:rPr>
          <w:rFonts w:hint="eastAsia" w:ascii="方正仿宋简体" w:hAnsi="方正仿宋简体" w:eastAsia="方正仿宋简体" w:cs="方正仿宋简体"/>
          <w:kern w:val="0"/>
          <w:sz w:val="32"/>
          <w:szCs w:val="32"/>
          <w:lang w:val="en-US" w:eastAsia="zh-CN"/>
        </w:rPr>
        <w:t>临工</w:t>
      </w:r>
      <w:r>
        <w:rPr>
          <w:rFonts w:hint="eastAsia" w:ascii="方正仿宋简体" w:hAnsi="方正仿宋简体" w:eastAsia="方正仿宋简体" w:cs="方正仿宋简体"/>
          <w:kern w:val="0"/>
          <w:sz w:val="32"/>
          <w:szCs w:val="32"/>
        </w:rPr>
        <w:t>购买意外保险一份（200元保险额）。</w:t>
      </w:r>
      <w:r>
        <w:rPr>
          <w:rFonts w:hint="eastAsia" w:ascii="方正仿宋简体" w:hAnsi="方正仿宋简体" w:eastAsia="方正仿宋简体" w:cs="方正仿宋简体"/>
          <w:sz w:val="32"/>
          <w:szCs w:val="32"/>
          <w:lang w:val="en-US" w:eastAsia="zh-CN"/>
        </w:rPr>
        <w:t>②日常质量管理。与临工明确</w:t>
      </w:r>
      <w:r>
        <w:rPr>
          <w:rFonts w:hint="eastAsia" w:ascii="方正仿宋简体" w:hAnsi="方正仿宋简体" w:eastAsia="方正仿宋简体" w:cs="方正仿宋简体"/>
          <w:kern w:val="0"/>
          <w:sz w:val="32"/>
          <w:szCs w:val="32"/>
        </w:rPr>
        <w:t>养护质量、安全生产管理，</w:t>
      </w:r>
      <w:r>
        <w:rPr>
          <w:rFonts w:hint="eastAsia" w:ascii="方正仿宋简体" w:hAnsi="方正仿宋简体" w:eastAsia="方正仿宋简体" w:cs="方正仿宋简体"/>
          <w:kern w:val="0"/>
          <w:sz w:val="32"/>
          <w:szCs w:val="32"/>
          <w:lang w:val="en-US" w:eastAsia="zh-CN"/>
        </w:rPr>
        <w:t>明确</w:t>
      </w:r>
      <w:r>
        <w:rPr>
          <w:rFonts w:hint="eastAsia" w:ascii="方正仿宋简体" w:hAnsi="方正仿宋简体" w:eastAsia="方正仿宋简体" w:cs="方正仿宋简体"/>
          <w:kern w:val="0"/>
          <w:sz w:val="32"/>
          <w:szCs w:val="32"/>
        </w:rPr>
        <w:t>段和站上各项管理制度和规定</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lang w:val="en-US" w:eastAsia="zh-CN"/>
        </w:rPr>
        <w:t>养护股人员</w:t>
      </w:r>
      <w:r>
        <w:rPr>
          <w:rFonts w:hint="eastAsia" w:ascii="方正仿宋简体" w:hAnsi="方正仿宋简体" w:eastAsia="方正仿宋简体" w:cs="方正仿宋简体"/>
          <w:sz w:val="32"/>
          <w:szCs w:val="32"/>
          <w:lang w:val="en-US" w:eastAsia="zh-CN"/>
        </w:rPr>
        <w:t>不</w:t>
      </w:r>
      <w:r>
        <w:rPr>
          <w:rFonts w:hint="eastAsia" w:ascii="方正仿宋简体" w:hAnsi="方正仿宋简体" w:eastAsia="方正仿宋简体" w:cs="方正仿宋简体"/>
          <w:kern w:val="0"/>
          <w:sz w:val="32"/>
          <w:szCs w:val="32"/>
          <w:lang w:val="en-US" w:eastAsia="zh-CN"/>
        </w:rPr>
        <w:t>定期</w:t>
      </w:r>
      <w:r>
        <w:rPr>
          <w:rFonts w:hint="eastAsia" w:ascii="方正仿宋简体" w:hAnsi="方正仿宋简体" w:eastAsia="方正仿宋简体" w:cs="方正仿宋简体"/>
          <w:kern w:val="0"/>
          <w:sz w:val="32"/>
          <w:szCs w:val="32"/>
        </w:rPr>
        <w:t>对承包路段养护工程质量和安全生产进行检查验收</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lang w:val="en-US" w:eastAsia="zh-CN"/>
        </w:rPr>
        <w:t>负责养护方面</w:t>
      </w:r>
      <w:r>
        <w:rPr>
          <w:rFonts w:hint="eastAsia" w:ascii="方正仿宋简体" w:hAnsi="方正仿宋简体" w:eastAsia="方正仿宋简体" w:cs="方正仿宋简体"/>
          <w:kern w:val="0"/>
          <w:sz w:val="32"/>
          <w:szCs w:val="32"/>
        </w:rPr>
        <w:t>技术指导</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提供相应的养护生产作业工具和安全标志服。</w:t>
      </w:r>
      <w:r>
        <w:rPr>
          <w:rFonts w:hint="eastAsia" w:ascii="方正仿宋简体" w:hAnsi="方正仿宋简体" w:eastAsia="方正仿宋简体" w:cs="方正仿宋简体"/>
          <w:sz w:val="32"/>
          <w:szCs w:val="32"/>
          <w:lang w:val="en-US" w:eastAsia="zh-CN"/>
        </w:rPr>
        <w:t>③验收与考核管理。对临工</w:t>
      </w:r>
      <w:r>
        <w:rPr>
          <w:rFonts w:hint="eastAsia" w:ascii="方正仿宋简体" w:hAnsi="方正仿宋简体" w:eastAsia="方正仿宋简体" w:cs="方正仿宋简体"/>
          <w:kern w:val="0"/>
          <w:sz w:val="32"/>
          <w:szCs w:val="32"/>
        </w:rPr>
        <w:t>承包路段的养护</w:t>
      </w:r>
      <w:r>
        <w:rPr>
          <w:rFonts w:hint="eastAsia" w:ascii="方正仿宋简体" w:hAnsi="方正仿宋简体" w:eastAsia="方正仿宋简体" w:cs="方正仿宋简体"/>
          <w:kern w:val="0"/>
          <w:sz w:val="32"/>
          <w:szCs w:val="32"/>
          <w:lang w:val="en-US" w:eastAsia="zh-CN"/>
        </w:rPr>
        <w:t>质量进行</w:t>
      </w:r>
      <w:r>
        <w:rPr>
          <w:rFonts w:hint="eastAsia" w:ascii="方正仿宋简体" w:hAnsi="方正仿宋简体" w:eastAsia="方正仿宋简体" w:cs="方正仿宋简体"/>
          <w:kern w:val="0"/>
          <w:sz w:val="32"/>
          <w:szCs w:val="32"/>
        </w:rPr>
        <w:t>验收</w:t>
      </w:r>
      <w:r>
        <w:rPr>
          <w:rFonts w:hint="eastAsia" w:ascii="方正仿宋简体" w:hAnsi="方正仿宋简体" w:eastAsia="方正仿宋简体" w:cs="方正仿宋简体"/>
          <w:kern w:val="0"/>
          <w:sz w:val="32"/>
          <w:szCs w:val="32"/>
          <w:lang w:eastAsia="zh-CN"/>
        </w:rPr>
        <w:t>，</w:t>
      </w:r>
      <w:r>
        <w:rPr>
          <w:rFonts w:hint="eastAsia" w:ascii="方正仿宋简体" w:hAnsi="方正仿宋简体" w:eastAsia="方正仿宋简体" w:cs="方正仿宋简体"/>
          <w:kern w:val="0"/>
          <w:sz w:val="32"/>
          <w:szCs w:val="32"/>
        </w:rPr>
        <w:t>不合格的扣除</w:t>
      </w:r>
      <w:r>
        <w:rPr>
          <w:rFonts w:hint="eastAsia" w:ascii="方正仿宋简体" w:hAnsi="方正仿宋简体" w:eastAsia="方正仿宋简体" w:cs="方正仿宋简体"/>
          <w:kern w:val="0"/>
          <w:sz w:val="32"/>
          <w:szCs w:val="32"/>
          <w:lang w:val="en-US" w:eastAsia="zh-CN"/>
        </w:rPr>
        <w:t>临工</w:t>
      </w:r>
      <w:r>
        <w:rPr>
          <w:rFonts w:hint="eastAsia" w:ascii="方正仿宋简体" w:hAnsi="方正仿宋简体" w:eastAsia="方正仿宋简体" w:cs="方正仿宋简体"/>
          <w:kern w:val="0"/>
          <w:sz w:val="32"/>
          <w:szCs w:val="32"/>
        </w:rPr>
        <w:t>当月养护承包费的20%—50%。对于经常不养护，造成严重后果或致</w:t>
      </w:r>
      <w:r>
        <w:rPr>
          <w:rFonts w:hint="eastAsia" w:ascii="方正仿宋简体" w:hAnsi="方正仿宋简体" w:eastAsia="方正仿宋简体" w:cs="方正仿宋简体"/>
          <w:kern w:val="0"/>
          <w:sz w:val="32"/>
          <w:szCs w:val="32"/>
          <w:lang w:val="en-US" w:eastAsia="zh-CN"/>
        </w:rPr>
        <w:t>我段</w:t>
      </w:r>
      <w:r>
        <w:rPr>
          <w:rFonts w:hint="eastAsia" w:ascii="方正仿宋简体" w:hAnsi="方正仿宋简体" w:eastAsia="方正仿宋简体" w:cs="方正仿宋简体"/>
          <w:kern w:val="0"/>
          <w:sz w:val="32"/>
          <w:szCs w:val="32"/>
        </w:rPr>
        <w:t>受到上级主管部门通报批评的，可不给付</w:t>
      </w:r>
      <w:r>
        <w:rPr>
          <w:rFonts w:hint="eastAsia" w:ascii="方正仿宋简体" w:hAnsi="方正仿宋简体" w:eastAsia="方正仿宋简体" w:cs="方正仿宋简体"/>
          <w:kern w:val="0"/>
          <w:sz w:val="32"/>
          <w:szCs w:val="32"/>
          <w:lang w:val="en-US" w:eastAsia="zh-CN"/>
        </w:rPr>
        <w:t>临工</w:t>
      </w:r>
      <w:r>
        <w:rPr>
          <w:rFonts w:hint="eastAsia" w:ascii="方正仿宋简体" w:hAnsi="方正仿宋简体" w:eastAsia="方正仿宋简体" w:cs="方正仿宋简体"/>
          <w:kern w:val="0"/>
          <w:sz w:val="32"/>
          <w:szCs w:val="32"/>
        </w:rPr>
        <w:t>当月养护承包费，给</w:t>
      </w:r>
      <w:r>
        <w:rPr>
          <w:rFonts w:hint="eastAsia" w:ascii="方正仿宋简体" w:hAnsi="方正仿宋简体" w:eastAsia="方正仿宋简体" w:cs="方正仿宋简体"/>
          <w:kern w:val="0"/>
          <w:sz w:val="32"/>
          <w:szCs w:val="32"/>
          <w:lang w:val="en-US" w:eastAsia="zh-CN"/>
        </w:rPr>
        <w:t>我段</w:t>
      </w:r>
      <w:r>
        <w:rPr>
          <w:rFonts w:hint="eastAsia" w:ascii="方正仿宋简体" w:hAnsi="方正仿宋简体" w:eastAsia="方正仿宋简体" w:cs="方正仿宋简体"/>
          <w:kern w:val="0"/>
          <w:sz w:val="32"/>
          <w:szCs w:val="32"/>
        </w:rPr>
        <w:t>造成损失的，还应赔偿。对在工作时间及工作日中午饮酒的，解除</w:t>
      </w:r>
      <w:r>
        <w:rPr>
          <w:rFonts w:hint="eastAsia" w:ascii="方正仿宋简体" w:hAnsi="方正仿宋简体" w:eastAsia="方正仿宋简体" w:cs="方正仿宋简体"/>
          <w:kern w:val="0"/>
          <w:sz w:val="32"/>
          <w:szCs w:val="32"/>
          <w:lang w:val="en-US" w:eastAsia="zh-CN"/>
        </w:rPr>
        <w:t>临工协议</w:t>
      </w:r>
      <w:r>
        <w:rPr>
          <w:rFonts w:hint="eastAsia" w:ascii="方正仿宋简体" w:hAnsi="方正仿宋简体" w:eastAsia="方正仿宋简体" w:cs="方正仿宋简体"/>
          <w:kern w:val="0"/>
          <w:sz w:val="32"/>
          <w:szCs w:val="32"/>
        </w:rPr>
        <w:t>并扣除当季全部应发工资，饮酒引起的一切后果，均由本人自负有其它违约行为的，由违约方向守约方给付违约金人民币1000元。</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历年公路养护人员劳务费绩效总目标：对国省道进行保洁、清理路肩、水沟、桥涵、刷白行道树等日常养护工作，确保养护管理工作的顺利开展，保障公路的“畅、安、舒、美、洁的环境。</w:t>
      </w:r>
    </w:p>
    <w:p>
      <w:pPr>
        <w:spacing w:line="560" w:lineRule="exact"/>
        <w:ind w:firstLine="640" w:firstLineChars="200"/>
        <w:jc w:val="left"/>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val="en-US" w:eastAsia="zh-CN"/>
        </w:rPr>
        <w:t>具体绩效目标：2017年至2020年，具体</w:t>
      </w:r>
      <w:r>
        <w:rPr>
          <w:rFonts w:hint="eastAsia" w:ascii="方正仿宋简体" w:hAnsi="方正仿宋简体" w:eastAsia="方正仿宋简体" w:cs="方正仿宋简体"/>
          <w:sz w:val="32"/>
          <w:szCs w:val="32"/>
          <w:lang w:eastAsia="zh-CN"/>
        </w:rPr>
        <w:t>完成</w:t>
      </w:r>
      <w:r>
        <w:rPr>
          <w:rFonts w:hint="eastAsia" w:ascii="方正仿宋简体" w:hAnsi="方正仿宋简体" w:eastAsia="方正仿宋简体" w:cs="方正仿宋简体"/>
          <w:sz w:val="32"/>
          <w:szCs w:val="32"/>
          <w:lang w:val="en-US" w:eastAsia="zh-CN"/>
        </w:rPr>
        <w:t xml:space="preserve">路面保洁162公里，清理路肩水沟162公里，刷白行道树2万株，清理涵洞421座，清理及粉刷桥梁42座。 </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成立绩效评价工作小组：结合绩效评价的要求，组建交通项目资金绩效评价组，为项目开展提供组织基础。本着客观公正和有效原则，评价小组人员由单位中层以上干部组成，评价组按照设定的指标体系进行评价，并从各科室抽选人员进行打分，由负责人进行梳理并整改。</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组  长：杨俊波   段党支部书记、段长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副组长：吕  杨   支部委员、副段长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 xml:space="preserve">        田培春   支部委员、副段长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 xml:space="preserve">        陈  华   工会主席</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成  员：蒲红红   支部委员、办公室主任</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许应平  支部委员、养护股股长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陈  军  支部委员</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熊  辉  安全股股长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杨国春  政工股股长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杨钧凯  综治办主任</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莫尔均  乐至站站长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杨留军  石佛站站长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冉  林  宝林站站长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李先军  放生站站长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袁华彬  高寺站站长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陈明德  永兴站站长</w:t>
      </w:r>
    </w:p>
    <w:p>
      <w:pPr>
        <w:spacing w:line="560" w:lineRule="exact"/>
        <w:ind w:firstLine="640" w:firstLineChars="200"/>
        <w:jc w:val="left"/>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袁志全  朝阳站站长</w:t>
      </w:r>
    </w:p>
    <w:p>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rPr>
          <w:rFonts w:hint="eastAsia" w:ascii="方正仿宋简体" w:hAnsi="方正仿宋简体" w:eastAsia="方正仿宋简体" w:cs="方正仿宋简体"/>
          <w:i w:val="0"/>
          <w:iCs w:val="0"/>
          <w:caps w:val="0"/>
          <w:color w:val="auto"/>
          <w:spacing w:val="0"/>
          <w:sz w:val="32"/>
          <w:szCs w:val="32"/>
        </w:rPr>
      </w:pP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2、</w:t>
      </w:r>
      <w:r>
        <w:rPr>
          <w:rFonts w:hint="eastAsia" w:ascii="方正仿宋简体" w:hAnsi="方正仿宋简体" w:eastAsia="方正仿宋简体" w:cs="方正仿宋简体"/>
          <w:i w:val="0"/>
          <w:iCs w:val="0"/>
          <w:caps w:val="0"/>
          <w:color w:val="auto"/>
          <w:spacing w:val="0"/>
          <w:sz w:val="32"/>
          <w:szCs w:val="32"/>
          <w:shd w:val="clear" w:color="auto" w:fill="FFFFFF"/>
        </w:rPr>
        <w:t>工作职责</w:t>
      </w:r>
    </w:p>
    <w:p>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rPr>
          <w:rFonts w:hint="eastAsia" w:ascii="方正仿宋简体" w:hAnsi="方正仿宋简体" w:eastAsia="方正仿宋简体" w:cs="方正仿宋简体"/>
          <w:i w:val="0"/>
          <w:iCs w:val="0"/>
          <w:caps w:val="0"/>
          <w:color w:val="auto"/>
          <w:spacing w:val="0"/>
          <w:sz w:val="32"/>
          <w:szCs w:val="32"/>
        </w:rPr>
      </w:pPr>
      <w:r>
        <w:rPr>
          <w:rFonts w:hint="eastAsia" w:ascii="方正仿宋简体" w:hAnsi="方正仿宋简体" w:eastAsia="方正仿宋简体" w:cs="方正仿宋简体"/>
          <w:i w:val="0"/>
          <w:iCs w:val="0"/>
          <w:caps w:val="0"/>
          <w:color w:val="auto"/>
          <w:spacing w:val="0"/>
          <w:sz w:val="32"/>
          <w:szCs w:val="32"/>
          <w:shd w:val="clear" w:color="auto" w:fill="FFFFFF"/>
        </w:rPr>
        <w:t>（1）组长职责：审批绩效自评方案，监督、检查、核实绩效自评结果；</w:t>
      </w:r>
    </w:p>
    <w:p>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rPr>
          <w:rFonts w:hint="eastAsia" w:ascii="方正仿宋简体" w:hAnsi="方正仿宋简体" w:eastAsia="方正仿宋简体" w:cs="方正仿宋简体"/>
          <w:i w:val="0"/>
          <w:iCs w:val="0"/>
          <w:caps w:val="0"/>
          <w:color w:val="auto"/>
          <w:spacing w:val="0"/>
          <w:sz w:val="32"/>
          <w:szCs w:val="32"/>
        </w:rPr>
      </w:pPr>
      <w:r>
        <w:rPr>
          <w:rFonts w:hint="eastAsia" w:ascii="方正仿宋简体" w:hAnsi="方正仿宋简体" w:eastAsia="方正仿宋简体" w:cs="方正仿宋简体"/>
          <w:i w:val="0"/>
          <w:iCs w:val="0"/>
          <w:caps w:val="0"/>
          <w:color w:val="auto"/>
          <w:spacing w:val="0"/>
          <w:sz w:val="32"/>
          <w:szCs w:val="32"/>
          <w:shd w:val="clear" w:color="auto" w:fill="FFFFFF"/>
        </w:rPr>
        <w:t>（2）副组长职责：审核修改拟定的绩效自评方案，并提交考评工作组会议讨论通过；监督、部署、确认绩效自评过程及反馈意见的处理。</w:t>
      </w:r>
    </w:p>
    <w:p>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rPr>
          <w:rFonts w:hint="eastAsia" w:ascii="方正仿宋简体" w:hAnsi="方正仿宋简体" w:eastAsia="方正仿宋简体" w:cs="方正仿宋简体"/>
          <w:i w:val="0"/>
          <w:iCs w:val="0"/>
          <w:caps w:val="0"/>
          <w:color w:val="auto"/>
          <w:spacing w:val="0"/>
          <w:sz w:val="32"/>
          <w:szCs w:val="32"/>
        </w:rPr>
      </w:pPr>
      <w:r>
        <w:rPr>
          <w:rFonts w:hint="eastAsia" w:ascii="方正仿宋简体" w:hAnsi="方正仿宋简体" w:eastAsia="方正仿宋简体" w:cs="方正仿宋简体"/>
          <w:i w:val="0"/>
          <w:iCs w:val="0"/>
          <w:caps w:val="0"/>
          <w:color w:val="auto"/>
          <w:spacing w:val="0"/>
          <w:sz w:val="32"/>
          <w:szCs w:val="32"/>
          <w:shd w:val="clear" w:color="auto" w:fill="FFFFFF"/>
        </w:rPr>
        <w:t>（3）小组成员职责：起草和修改绩效考评方案报自评领导工作组会议讨论通过，实施执行绩效自评方案；牵头组织并实施年度绩效自评，根据组长、副组长指示，对考评结果进行复核，完成绩效自核工作组安排的其他工作。</w:t>
      </w:r>
    </w:p>
    <w:p>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795"/>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i w:val="0"/>
          <w:iCs w:val="0"/>
          <w:caps w:val="0"/>
          <w:color w:val="auto"/>
          <w:spacing w:val="0"/>
          <w:sz w:val="32"/>
          <w:szCs w:val="32"/>
          <w:shd w:val="clear" w:color="auto" w:fill="FFFFFF"/>
        </w:rPr>
        <w:t>202</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2</w:t>
      </w:r>
      <w:r>
        <w:rPr>
          <w:rFonts w:hint="eastAsia" w:ascii="方正仿宋简体" w:hAnsi="方正仿宋简体" w:eastAsia="方正仿宋简体" w:cs="方正仿宋简体"/>
          <w:i w:val="0"/>
          <w:iCs w:val="0"/>
          <w:caps w:val="0"/>
          <w:color w:val="auto"/>
          <w:spacing w:val="0"/>
          <w:sz w:val="32"/>
          <w:szCs w:val="32"/>
          <w:shd w:val="clear" w:color="auto" w:fill="FFFFFF"/>
        </w:rPr>
        <w:t>年1</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2</w:t>
      </w:r>
      <w:r>
        <w:rPr>
          <w:rFonts w:hint="eastAsia" w:ascii="方正仿宋简体" w:hAnsi="方正仿宋简体" w:eastAsia="方正仿宋简体" w:cs="方正仿宋简体"/>
          <w:i w:val="0"/>
          <w:iCs w:val="0"/>
          <w:caps w:val="0"/>
          <w:color w:val="auto"/>
          <w:spacing w:val="0"/>
          <w:sz w:val="32"/>
          <w:szCs w:val="32"/>
          <w:shd w:val="clear" w:color="auto" w:fill="FFFFFF"/>
        </w:rPr>
        <w:t>月</w:t>
      </w:r>
      <w:r>
        <w:rPr>
          <w:rFonts w:hint="eastAsia" w:ascii="方正仿宋简体" w:hAnsi="方正仿宋简体" w:eastAsia="方正仿宋简体" w:cs="方正仿宋简体"/>
          <w:i w:val="0"/>
          <w:iCs w:val="0"/>
          <w:caps w:val="0"/>
          <w:color w:val="auto"/>
          <w:spacing w:val="0"/>
          <w:sz w:val="32"/>
          <w:szCs w:val="32"/>
          <w:shd w:val="clear" w:color="auto" w:fill="FFFFFF"/>
          <w:lang w:val="en-US" w:eastAsia="zh-CN"/>
        </w:rPr>
        <w:t>5</w:t>
      </w:r>
      <w:r>
        <w:rPr>
          <w:rFonts w:hint="eastAsia" w:ascii="方正仿宋简体" w:hAnsi="方正仿宋简体" w:eastAsia="方正仿宋简体" w:cs="方正仿宋简体"/>
          <w:i w:val="0"/>
          <w:iCs w:val="0"/>
          <w:caps w:val="0"/>
          <w:color w:val="auto"/>
          <w:spacing w:val="0"/>
          <w:sz w:val="32"/>
          <w:szCs w:val="32"/>
          <w:shd w:val="clear" w:color="auto" w:fill="FFFFFF"/>
        </w:rPr>
        <w:t>日，考评工作组到项目现场，按照《乐至县财政支出绩效评价管理办法》相关管理规定，检查项目依据，项目经费开支情况，开展自评检查工作，对项目整体实施情况和质量进行评定，核实资金拨付情况等。</w:t>
      </w:r>
    </w:p>
    <w:p>
      <w:pPr>
        <w:numPr>
          <w:ilvl w:val="0"/>
          <w:numId w:val="4"/>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pStyle w:val="2"/>
        <w:numPr>
          <w:ilvl w:val="0"/>
          <w:numId w:val="0"/>
        </w:numPr>
        <w:ind w:leftChars="0" w:firstLine="640" w:firstLineChars="200"/>
      </w:pPr>
      <w:r>
        <w:rPr>
          <w:rFonts w:hint="eastAsia" w:ascii="方正仿宋简体" w:hAnsi="方正仿宋简体" w:eastAsia="方正仿宋简体" w:cs="方正仿宋简体"/>
          <w:color w:val="auto"/>
          <w:sz w:val="32"/>
          <w:szCs w:val="32"/>
          <w:lang w:val="en-US" w:eastAsia="zh-CN"/>
        </w:rPr>
        <w:t>根据实际情况，我单位选用评价指标投入、产出、效果、项目管理过程情况等四个大项目20个细化项目。我单位</w:t>
      </w:r>
      <w:r>
        <w:rPr>
          <w:rFonts w:hint="eastAsia" w:ascii="方正仿宋简体" w:hAnsi="方正仿宋简体" w:eastAsia="方正仿宋简体" w:cs="方正仿宋简体"/>
          <w:sz w:val="32"/>
          <w:szCs w:val="32"/>
          <w:lang w:val="en-US" w:eastAsia="zh-CN"/>
        </w:rPr>
        <w:t>选用评价方法为比较法和询问查询法，经收集资料、核实情况、数据比对，比较原先设定和实际完成的工作任务和目标、比较原先经费预算安排和实际的各项经费开支。</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评价工作小组依据《乐至县财政支出绩效评价管理办法》规定，通过资料收集分析、指标体系搭建等方式，对历年公路养护人员劳务费进行综合绩效评分，项目绩效指标分值总分为100分，其中投入25分、过程25分、产出20分、效果30分。经对本项目评价指标评分，项目绩效评分结果：总得分94分，绩效评价等级为“优秀”，达到预期绩效目标。</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对照项目实施情况，对各评价指标目标值与实际值的差异程度及产生原因进行分析</w:t>
      </w:r>
      <w:r>
        <w:rPr>
          <w:rFonts w:hint="eastAsia" w:ascii="方正仿宋简体" w:hAnsi="方正仿宋简体" w:eastAsia="方正仿宋简体" w:cs="方正仿宋简体"/>
          <w:sz w:val="32"/>
          <w:szCs w:val="32"/>
          <w:lang w:val="en-US" w:eastAsia="zh-CN"/>
        </w:rPr>
        <w:t>一级指标投入满分25分，自评20分，其中包含二级</w:t>
      </w:r>
      <w:r>
        <w:rPr>
          <w:rFonts w:hint="eastAsia" w:ascii="方正仿宋简体" w:hAnsi="方正仿宋简体" w:eastAsia="方正仿宋简体" w:cs="方正仿宋简体"/>
          <w:sz w:val="32"/>
          <w:szCs w:val="32"/>
        </w:rPr>
        <w:t>项目立项</w:t>
      </w:r>
      <w:r>
        <w:rPr>
          <w:rFonts w:hint="eastAsia" w:ascii="方正仿宋简体" w:hAnsi="方正仿宋简体" w:eastAsia="方正仿宋简体" w:cs="方正仿宋简体"/>
          <w:sz w:val="32"/>
          <w:szCs w:val="32"/>
          <w:lang w:val="en-US" w:eastAsia="zh-CN"/>
        </w:rPr>
        <w:t>指标满分15分，自评11，包含项目立项规范性2分，绩效目标合理性4分，绩效指标明确性5分；二级资金落实指标满分10分，自评9分，其中资金到位率4分，到位及时率5分；</w:t>
      </w:r>
    </w:p>
    <w:p>
      <w:pPr>
        <w:pStyle w:val="2"/>
        <w:ind w:left="0" w:leftChars="0"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级指标过程满分25分，自评24分，其中包含二级业务管理指标满分13分，自评12分，包含管理制度健全3分，制度执行有效性6分，项目质量可控性3分；二级财务管理指标满分12分，自评12分，包含管理制度健全3分，资金使用合规7分，财务监控有效2分；</w:t>
      </w:r>
    </w:p>
    <w:p>
      <w:pPr>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一级指标产出满分20分，自评20分，其中包含二级项目产出指标满分20分，自评20分，包含实际完成率4分，完成及时率6分，质量达标率5分，成本节约率5分，</w:t>
      </w:r>
    </w:p>
    <w:p>
      <w:pPr>
        <w:pStyle w:val="2"/>
        <w:ind w:left="0" w:leftChars="0"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一级指标效果满分30分，自评30分，其中二级项目效益30分，自评30分，包含经济效益5分，社会效益5分，生态效益5分，可持续影响5分，社会公众或服务对象满意度10分。</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eastAsia" w:ascii="方正仿宋简体" w:hAnsi="方正仿宋简体" w:eastAsia="方正仿宋简体" w:cs="方正仿宋简体"/>
          <w:b w:val="0"/>
          <w:bCs/>
          <w:sz w:val="32"/>
          <w:szCs w:val="32"/>
          <w:lang w:val="en-US" w:eastAsia="zh-CN"/>
        </w:rPr>
      </w:pPr>
      <w:r>
        <w:rPr>
          <w:rFonts w:hint="eastAsia" w:ascii="方正仿宋简体" w:hAnsi="方正仿宋简体" w:eastAsia="方正仿宋简体" w:cs="方正仿宋简体"/>
          <w:b w:val="0"/>
          <w:bCs/>
          <w:sz w:val="32"/>
          <w:szCs w:val="32"/>
          <w:lang w:val="en-US" w:eastAsia="zh-CN"/>
        </w:rPr>
        <w:t>面对</w:t>
      </w:r>
      <w:r>
        <w:rPr>
          <w:rFonts w:hint="eastAsia" w:ascii="方正仿宋简体" w:hAnsi="方正仿宋简体" w:eastAsia="方正仿宋简体" w:cs="方正仿宋简体"/>
          <w:color w:val="auto"/>
          <w:sz w:val="32"/>
          <w:szCs w:val="32"/>
          <w:lang w:val="en-US" w:eastAsia="zh-CN"/>
        </w:rPr>
        <w:t>定员不足问题，能及时制定聘用管理制度和聘用临工解决相关问题，同时将工作落实到具体股室、落实到人，责任落实到位，相关股室人员也能与聘用人员紧密联系，及时了解状况紧抓质量的推进，最后认真贯彻落实厉行勤俭节约、反对铺张浪费的一系列政策规定，严格执行财务制度。</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numPr>
          <w:ilvl w:val="0"/>
          <w:numId w:val="0"/>
        </w:numPr>
        <w:spacing w:line="580" w:lineRule="exact"/>
        <w:ind w:firstLine="640" w:firstLineChars="200"/>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333333"/>
          <w:spacing w:val="0"/>
          <w:sz w:val="31"/>
          <w:szCs w:val="31"/>
          <w:shd w:val="clear" w:color="auto" w:fill="FFFFFF"/>
          <w:lang w:val="en-US" w:eastAsia="zh-CN"/>
        </w:rPr>
        <w:t>无</w:t>
      </w:r>
    </w:p>
    <w:p>
      <w:pPr>
        <w:pStyle w:val="2"/>
      </w:pPr>
    </w:p>
    <w:p/>
    <w:p>
      <w:pPr>
        <w:spacing w:line="620" w:lineRule="exact"/>
        <w:jc w:val="left"/>
      </w:pP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历年公路养护人员劳务费</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乐至县公路养护管理</w:t>
      </w:r>
      <w:r>
        <w:rPr>
          <w:bCs/>
          <w:kern w:val="0"/>
          <w:sz w:val="24"/>
        </w:rPr>
        <w:t xml:space="preserve"> </w:t>
      </w:r>
      <w:r>
        <w:rPr>
          <w:rFonts w:hint="eastAsia"/>
          <w:bCs/>
          <w:kern w:val="0"/>
          <w:sz w:val="24"/>
          <w:lang w:val="en-US" w:eastAsia="zh-CN"/>
        </w:rPr>
        <w:t xml:space="preserve">   </w:t>
      </w:r>
      <w:r>
        <w:rPr>
          <w:rFonts w:hint="eastAsia"/>
          <w:bCs/>
          <w:kern w:val="0"/>
          <w:sz w:val="24"/>
        </w:rPr>
        <w:t>预算单位编码：</w:t>
      </w:r>
      <w:r>
        <w:rPr>
          <w:rFonts w:hint="eastAsia"/>
          <w:bCs/>
          <w:kern w:val="0"/>
          <w:sz w:val="24"/>
          <w:lang w:val="en-US" w:eastAsia="zh-CN"/>
        </w:rPr>
        <w:t>414101</w:t>
      </w:r>
      <w:r>
        <w:rPr>
          <w:bCs/>
          <w:kern w:val="0"/>
          <w:sz w:val="24"/>
        </w:rPr>
        <w:t xml:space="preserve">   </w:t>
      </w:r>
      <w:r>
        <w:rPr>
          <w:rFonts w:hint="eastAsia"/>
          <w:bCs/>
          <w:kern w:val="0"/>
          <w:sz w:val="24"/>
        </w:rPr>
        <w:t>自评等级：</w:t>
      </w:r>
      <w:r>
        <w:rPr>
          <w:rFonts w:hint="eastAsia"/>
          <w:bCs/>
          <w:kern w:val="0"/>
          <w:sz w:val="24"/>
          <w:lang w:val="en-US" w:eastAsia="zh-CN"/>
        </w:rPr>
        <w:t>优秀</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94</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hint="eastAsia"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2年度乐至县项目支出绩效目标完成情况表</w:t>
      </w:r>
    </w:p>
    <w:tbl>
      <w:tblPr>
        <w:tblStyle w:val="17"/>
        <w:tblW w:w="924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6"/>
        <w:gridCol w:w="828"/>
        <w:gridCol w:w="886"/>
        <w:gridCol w:w="1750"/>
        <w:gridCol w:w="1638"/>
        <w:gridCol w:w="1906"/>
        <w:gridCol w:w="13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400" w:type="dxa"/>
            <w:gridSpan w:val="6"/>
            <w:tcBorders>
              <w:top w:val="single" w:color="auto" w:sz="12" w:space="0"/>
            </w:tcBorders>
            <w:noWrap/>
            <w:vAlign w:val="center"/>
          </w:tcPr>
          <w:p>
            <w:pPr>
              <w:widowControl/>
              <w:spacing w:line="240" w:lineRule="exact"/>
              <w:jc w:val="center"/>
              <w:rPr>
                <w:rFonts w:hint="default"/>
                <w:color w:val="000000"/>
                <w:kern w:val="0"/>
                <w:szCs w:val="21"/>
                <w:lang w:val="en-US"/>
              </w:rPr>
            </w:pPr>
            <w:r>
              <w:rPr>
                <w:rFonts w:hint="eastAsia" w:cs="Times New Roman"/>
                <w:color w:val="000000"/>
                <w:kern w:val="0"/>
                <w:szCs w:val="21"/>
                <w:lang w:val="en-US" w:eastAsia="zh-CN"/>
              </w:rPr>
              <w:t>历年公路养护人员劳务费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5" w:hRule="atLeast"/>
          <w:jc w:val="center"/>
        </w:trPr>
        <w:tc>
          <w:tcPr>
            <w:tcW w:w="84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886"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3388"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29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3"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886" w:type="dxa"/>
            <w:noWrap/>
            <w:vAlign w:val="center"/>
          </w:tcPr>
          <w:p>
            <w:pPr>
              <w:spacing w:line="240" w:lineRule="exact"/>
              <w:jc w:val="center"/>
              <w:rPr>
                <w:szCs w:val="21"/>
              </w:rPr>
            </w:pPr>
            <w:r>
              <w:rPr>
                <w:rFonts w:hint="eastAsia"/>
                <w:color w:val="000000"/>
                <w:kern w:val="0"/>
                <w:szCs w:val="21"/>
              </w:rPr>
              <w:sym w:font="Wingdings 2" w:char="0052"/>
            </w:r>
          </w:p>
        </w:tc>
        <w:tc>
          <w:tcPr>
            <w:tcW w:w="3388" w:type="dxa"/>
            <w:gridSpan w:val="2"/>
            <w:noWrap/>
            <w:vAlign w:val="center"/>
          </w:tcPr>
          <w:p>
            <w:pPr>
              <w:spacing w:line="240" w:lineRule="exact"/>
              <w:jc w:val="center"/>
              <w:rPr>
                <w:szCs w:val="21"/>
              </w:rPr>
            </w:pPr>
            <w:r>
              <w:rPr>
                <w:rFonts w:hint="eastAsia"/>
                <w:color w:val="000000"/>
                <w:kern w:val="0"/>
                <w:szCs w:val="21"/>
              </w:rPr>
              <w:sym w:font="Wingdings 2" w:char="00A3"/>
            </w:r>
          </w:p>
        </w:tc>
        <w:tc>
          <w:tcPr>
            <w:tcW w:w="3298" w:type="dxa"/>
            <w:gridSpan w:val="2"/>
            <w:noWrap/>
            <w:vAlign w:val="center"/>
          </w:tcPr>
          <w:p>
            <w:pPr>
              <w:spacing w:line="240" w:lineRule="exact"/>
              <w:jc w:val="center"/>
              <w:rPr>
                <w:szCs w:val="21"/>
              </w:rPr>
            </w:pPr>
            <w:r>
              <w:rPr>
                <w:rFonts w:hint="eastAsia"/>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102" w:type="dxa"/>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乐至县公路养护管理段</w:t>
            </w:r>
            <w:r>
              <w:rPr>
                <w:rFonts w:hint="eastAsia"/>
                <w:color w:val="000000"/>
                <w:kern w:val="0"/>
                <w:szCs w:val="21"/>
              </w:rPr>
              <w:t>　</w:t>
            </w:r>
          </w:p>
        </w:tc>
        <w:tc>
          <w:tcPr>
            <w:tcW w:w="1906"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46"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86"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百元</w:t>
            </w:r>
            <w:r>
              <w:rPr>
                <w:color w:val="000000"/>
                <w:kern w:val="0"/>
                <w:szCs w:val="21"/>
              </w:rPr>
              <w:t>)</w:t>
            </w:r>
          </w:p>
        </w:tc>
        <w:tc>
          <w:tcPr>
            <w:tcW w:w="1750"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百元</w:t>
            </w:r>
            <w:r>
              <w:rPr>
                <w:color w:val="000000"/>
                <w:kern w:val="0"/>
                <w:szCs w:val="21"/>
              </w:rPr>
              <w:t>)</w:t>
            </w:r>
          </w:p>
        </w:tc>
        <w:tc>
          <w:tcPr>
            <w:tcW w:w="1638"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190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39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8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1176000</w:t>
            </w:r>
          </w:p>
        </w:tc>
        <w:tc>
          <w:tcPr>
            <w:tcW w:w="175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300000</w:t>
            </w:r>
          </w:p>
        </w:tc>
        <w:tc>
          <w:tcPr>
            <w:tcW w:w="163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1906" w:type="dxa"/>
            <w:noWrap/>
            <w:vAlign w:val="center"/>
          </w:tcPr>
          <w:p>
            <w:pPr>
              <w:widowControl/>
              <w:spacing w:line="240" w:lineRule="exact"/>
              <w:jc w:val="left"/>
              <w:rPr>
                <w:rFonts w:hint="default" w:eastAsia="宋体"/>
                <w:color w:val="000000"/>
                <w:kern w:val="0"/>
                <w:szCs w:val="21"/>
                <w:lang w:val="en-US" w:eastAsia="zh-CN"/>
              </w:rPr>
            </w:pP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88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1176000</w:t>
            </w:r>
          </w:p>
        </w:tc>
        <w:tc>
          <w:tcPr>
            <w:tcW w:w="1750" w:type="dxa"/>
            <w:noWrap/>
            <w:vAlign w:val="center"/>
          </w:tcPr>
          <w:p>
            <w:pPr>
              <w:widowControl/>
              <w:spacing w:line="240" w:lineRule="exact"/>
              <w:ind w:firstLine="630" w:firstLineChars="300"/>
              <w:jc w:val="both"/>
              <w:rPr>
                <w:rFonts w:hint="eastAsia" w:eastAsia="宋体"/>
                <w:color w:val="000000"/>
                <w:kern w:val="0"/>
                <w:szCs w:val="21"/>
                <w:lang w:val="en-US" w:eastAsia="zh-CN"/>
              </w:rPr>
            </w:pPr>
            <w:r>
              <w:rPr>
                <w:rFonts w:hint="eastAsia"/>
                <w:color w:val="000000"/>
                <w:kern w:val="0"/>
                <w:szCs w:val="21"/>
                <w:lang w:val="en-US" w:eastAsia="zh-CN"/>
              </w:rPr>
              <w:t>300000</w:t>
            </w:r>
          </w:p>
        </w:tc>
        <w:tc>
          <w:tcPr>
            <w:tcW w:w="163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190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8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5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46"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86"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750"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638"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906"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392"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5"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88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1176000</w:t>
            </w:r>
          </w:p>
        </w:tc>
        <w:tc>
          <w:tcPr>
            <w:tcW w:w="175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 xml:space="preserve">   1176000</w:t>
            </w:r>
          </w:p>
        </w:tc>
        <w:tc>
          <w:tcPr>
            <w:tcW w:w="163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百元</w:t>
            </w:r>
            <w:r>
              <w:rPr>
                <w:color w:val="000000"/>
                <w:kern w:val="0"/>
                <w:szCs w:val="21"/>
              </w:rPr>
              <w:t>)</w:t>
            </w:r>
          </w:p>
        </w:tc>
        <w:tc>
          <w:tcPr>
            <w:tcW w:w="88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300000</w:t>
            </w:r>
          </w:p>
        </w:tc>
        <w:tc>
          <w:tcPr>
            <w:tcW w:w="175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300000</w:t>
            </w:r>
          </w:p>
        </w:tc>
        <w:tc>
          <w:tcPr>
            <w:tcW w:w="163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8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5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5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5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92"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atLeast"/>
          <w:jc w:val="center"/>
        </w:trPr>
        <w:tc>
          <w:tcPr>
            <w:tcW w:w="846"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714"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33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29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25" w:hRule="atLeast"/>
          <w:jc w:val="center"/>
        </w:trPr>
        <w:tc>
          <w:tcPr>
            <w:tcW w:w="846" w:type="dxa"/>
            <w:vMerge w:val="continue"/>
            <w:noWrap w:val="0"/>
            <w:vAlign w:val="center"/>
          </w:tcPr>
          <w:p>
            <w:pPr>
              <w:widowControl/>
              <w:spacing w:line="240" w:lineRule="exact"/>
              <w:jc w:val="left"/>
              <w:rPr>
                <w:color w:val="000000"/>
                <w:kern w:val="0"/>
                <w:szCs w:val="21"/>
              </w:rPr>
            </w:pPr>
          </w:p>
        </w:tc>
        <w:tc>
          <w:tcPr>
            <w:tcW w:w="1714" w:type="dxa"/>
            <w:gridSpan w:val="2"/>
            <w:noWrap/>
            <w:vAlign w:val="center"/>
          </w:tcPr>
          <w:p>
            <w:pPr>
              <w:widowControl/>
              <w:spacing w:line="240" w:lineRule="exact"/>
              <w:jc w:val="left"/>
              <w:rPr>
                <w:color w:val="000000"/>
                <w:kern w:val="0"/>
                <w:szCs w:val="21"/>
              </w:rPr>
            </w:pPr>
            <w:r>
              <w:rPr>
                <w:rFonts w:hint="eastAsia" w:ascii="Times New Roman" w:hAnsi="Times New Roman" w:eastAsia="宋体"/>
                <w:kern w:val="0"/>
                <w:sz w:val="21"/>
                <w:szCs w:val="21"/>
              </w:rPr>
              <w:t>国省道进行保洁、清理路肩、水沟</w:t>
            </w:r>
            <w:r>
              <w:rPr>
                <w:rFonts w:hint="eastAsia"/>
                <w:kern w:val="0"/>
                <w:sz w:val="21"/>
                <w:szCs w:val="21"/>
                <w:lang w:eastAsia="zh-CN"/>
              </w:rPr>
              <w:t>、</w:t>
            </w:r>
            <w:r>
              <w:rPr>
                <w:rFonts w:hint="eastAsia"/>
                <w:kern w:val="0"/>
                <w:sz w:val="21"/>
                <w:szCs w:val="21"/>
                <w:lang w:val="en-US" w:eastAsia="zh-CN"/>
              </w:rPr>
              <w:t>桥涵、刷白行道树等</w:t>
            </w:r>
            <w:r>
              <w:rPr>
                <w:rFonts w:hint="eastAsia" w:ascii="Times New Roman" w:hAnsi="Times New Roman" w:eastAsia="宋体"/>
                <w:kern w:val="0"/>
                <w:sz w:val="21"/>
                <w:szCs w:val="21"/>
              </w:rPr>
              <w:t>日常养护工作</w:t>
            </w:r>
            <w:r>
              <w:rPr>
                <w:rFonts w:hint="eastAsia" w:ascii="Times New Roman" w:hAnsi="Times New Roman" w:eastAsia="宋体" w:cs="Times New Roman"/>
                <w:color w:val="000000"/>
                <w:kern w:val="0"/>
                <w:szCs w:val="21"/>
                <w:lang w:val="en-US" w:eastAsia="zh-CN"/>
              </w:rPr>
              <w:t>。</w:t>
            </w:r>
          </w:p>
        </w:tc>
        <w:tc>
          <w:tcPr>
            <w:tcW w:w="3388" w:type="dxa"/>
            <w:gridSpan w:val="2"/>
            <w:noWrap/>
            <w:vAlign w:val="center"/>
          </w:tcPr>
          <w:p>
            <w:pPr>
              <w:widowControl/>
              <w:spacing w:line="240" w:lineRule="exact"/>
              <w:jc w:val="both"/>
              <w:rPr>
                <w:color w:val="000000"/>
                <w:kern w:val="0"/>
                <w:szCs w:val="21"/>
              </w:rPr>
            </w:pPr>
            <w:r>
              <w:rPr>
                <w:rFonts w:hint="eastAsia"/>
                <w:color w:val="000000"/>
                <w:kern w:val="0"/>
                <w:szCs w:val="21"/>
              </w:rPr>
              <w:t>确保养护管理工作的顺利开展，保障公路的“畅、安、舒、美、洁”</w:t>
            </w:r>
          </w:p>
        </w:tc>
        <w:tc>
          <w:tcPr>
            <w:tcW w:w="3298" w:type="dxa"/>
            <w:gridSpan w:val="2"/>
            <w:noWrap/>
            <w:vAlign w:val="center"/>
          </w:tcPr>
          <w:p>
            <w:pPr>
              <w:widowControl/>
              <w:spacing w:line="240" w:lineRule="exact"/>
              <w:jc w:val="center"/>
              <w:rPr>
                <w:rFonts w:hint="eastAsia"/>
                <w:color w:val="000000"/>
                <w:kern w:val="0"/>
                <w:szCs w:val="21"/>
              </w:rPr>
            </w:pP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rPr>
              <w:t>　</w:t>
            </w:r>
          </w:p>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46" w:type="dxa"/>
            <w:vMerge w:val="restart"/>
            <w:noWrap/>
            <w:vAlign w:val="center"/>
          </w:tcPr>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886"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750"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638"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906"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392"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45"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restart"/>
            <w:noWrap/>
            <w:vAlign w:val="center"/>
          </w:tcPr>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886" w:type="dxa"/>
            <w:vMerge w:val="restart"/>
            <w:noWrap/>
            <w:vAlign w:val="center"/>
          </w:tcPr>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rFonts w:hint="eastAsia"/>
                <w:color w:val="000000"/>
                <w:kern w:val="0"/>
                <w:szCs w:val="21"/>
              </w:rPr>
            </w:pPr>
          </w:p>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750" w:type="dxa"/>
            <w:noWrap/>
            <w:vAlign w:val="center"/>
          </w:tcPr>
          <w:p>
            <w:pPr>
              <w:widowControl/>
              <w:spacing w:line="240" w:lineRule="exact"/>
              <w:jc w:val="center"/>
              <w:rPr>
                <w:rFonts w:hint="eastAsia" w:eastAsia="宋体"/>
                <w:kern w:val="0"/>
                <w:sz w:val="24"/>
                <w:szCs w:val="24"/>
                <w:lang w:val="en-US" w:eastAsia="zh-CN"/>
              </w:rPr>
            </w:pPr>
            <w:r>
              <w:rPr>
                <w:rFonts w:hint="eastAsia" w:eastAsia="宋体"/>
                <w:kern w:val="0"/>
                <w:sz w:val="24"/>
                <w:szCs w:val="24"/>
                <w:lang w:val="en-US" w:eastAsia="zh-CN"/>
              </w:rPr>
              <w:t>路面保洁</w:t>
            </w:r>
          </w:p>
        </w:tc>
        <w:tc>
          <w:tcPr>
            <w:tcW w:w="1638"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162公里</w:t>
            </w:r>
          </w:p>
        </w:tc>
        <w:tc>
          <w:tcPr>
            <w:tcW w:w="1906"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162公里</w:t>
            </w:r>
          </w:p>
        </w:tc>
        <w:tc>
          <w:tcPr>
            <w:tcW w:w="1392" w:type="dxa"/>
            <w:noWrap/>
            <w:vAlign w:val="center"/>
          </w:tcPr>
          <w:p>
            <w:pPr>
              <w:widowControl/>
              <w:spacing w:line="240" w:lineRule="exact"/>
              <w:jc w:val="center"/>
              <w:rPr>
                <w:rFonts w:hint="default"/>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03"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ign w:val="center"/>
          </w:tcPr>
          <w:p>
            <w:pPr>
              <w:widowControl/>
              <w:spacing w:line="240" w:lineRule="exact"/>
              <w:jc w:val="center"/>
              <w:rPr>
                <w:rFonts w:hint="eastAsia"/>
                <w:color w:val="000000"/>
                <w:kern w:val="0"/>
                <w:szCs w:val="21"/>
              </w:rPr>
            </w:pPr>
          </w:p>
        </w:tc>
        <w:tc>
          <w:tcPr>
            <w:tcW w:w="886" w:type="dxa"/>
            <w:vMerge w:val="continue"/>
            <w:noWrap/>
            <w:vAlign w:val="center"/>
          </w:tcPr>
          <w:p>
            <w:pPr>
              <w:widowControl/>
              <w:spacing w:line="240" w:lineRule="exact"/>
              <w:jc w:val="center"/>
              <w:rPr>
                <w:rFonts w:hint="eastAsia"/>
                <w:color w:val="000000"/>
                <w:kern w:val="0"/>
                <w:szCs w:val="21"/>
              </w:rPr>
            </w:pPr>
          </w:p>
        </w:tc>
        <w:tc>
          <w:tcPr>
            <w:tcW w:w="1750" w:type="dxa"/>
            <w:noWrap/>
            <w:vAlign w:val="center"/>
          </w:tcPr>
          <w:p>
            <w:pPr>
              <w:widowControl/>
              <w:spacing w:line="240" w:lineRule="exact"/>
              <w:jc w:val="center"/>
              <w:rPr>
                <w:rFonts w:hint="eastAsia" w:eastAsia="宋体"/>
                <w:kern w:val="0"/>
                <w:sz w:val="24"/>
                <w:szCs w:val="24"/>
                <w:lang w:val="en-US" w:eastAsia="zh-CN"/>
              </w:rPr>
            </w:pPr>
            <w:r>
              <w:rPr>
                <w:rFonts w:hint="eastAsia" w:eastAsia="宋体"/>
                <w:kern w:val="0"/>
                <w:sz w:val="24"/>
                <w:szCs w:val="24"/>
                <w:lang w:val="en-US" w:eastAsia="zh-CN"/>
              </w:rPr>
              <w:t>清理涵洞</w:t>
            </w:r>
          </w:p>
        </w:tc>
        <w:tc>
          <w:tcPr>
            <w:tcW w:w="1638"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421座</w:t>
            </w:r>
          </w:p>
        </w:tc>
        <w:tc>
          <w:tcPr>
            <w:tcW w:w="1906"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421座</w:t>
            </w:r>
          </w:p>
        </w:tc>
        <w:tc>
          <w:tcPr>
            <w:tcW w:w="1392" w:type="dxa"/>
            <w:noWrap/>
            <w:vAlign w:val="center"/>
          </w:tcPr>
          <w:p>
            <w:pPr>
              <w:widowControl/>
              <w:spacing w:line="240" w:lineRule="exact"/>
              <w:jc w:val="center"/>
              <w:rPr>
                <w:rFonts w:hint="default"/>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4"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ign w:val="center"/>
          </w:tcPr>
          <w:p>
            <w:pPr>
              <w:widowControl/>
              <w:spacing w:line="240" w:lineRule="exact"/>
              <w:jc w:val="center"/>
              <w:rPr>
                <w:rFonts w:hint="eastAsia"/>
                <w:color w:val="000000"/>
                <w:kern w:val="0"/>
                <w:szCs w:val="21"/>
              </w:rPr>
            </w:pPr>
          </w:p>
        </w:tc>
        <w:tc>
          <w:tcPr>
            <w:tcW w:w="886" w:type="dxa"/>
            <w:vMerge w:val="continue"/>
            <w:noWrap/>
            <w:vAlign w:val="center"/>
          </w:tcPr>
          <w:p>
            <w:pPr>
              <w:widowControl/>
              <w:spacing w:line="240" w:lineRule="exact"/>
              <w:jc w:val="center"/>
              <w:rPr>
                <w:rFonts w:hint="eastAsia"/>
                <w:color w:val="000000"/>
                <w:kern w:val="0"/>
                <w:szCs w:val="21"/>
              </w:rPr>
            </w:pPr>
          </w:p>
        </w:tc>
        <w:tc>
          <w:tcPr>
            <w:tcW w:w="1750" w:type="dxa"/>
            <w:noWrap/>
            <w:vAlign w:val="center"/>
          </w:tcPr>
          <w:p>
            <w:pPr>
              <w:widowControl/>
              <w:spacing w:line="240" w:lineRule="exact"/>
              <w:jc w:val="center"/>
              <w:rPr>
                <w:rFonts w:hint="eastAsia" w:eastAsia="宋体"/>
                <w:kern w:val="0"/>
                <w:sz w:val="24"/>
                <w:szCs w:val="24"/>
                <w:lang w:val="en-US" w:eastAsia="zh-CN"/>
              </w:rPr>
            </w:pPr>
            <w:r>
              <w:rPr>
                <w:rFonts w:hint="eastAsia" w:eastAsia="宋体"/>
                <w:kern w:val="0"/>
                <w:sz w:val="24"/>
                <w:szCs w:val="24"/>
                <w:lang w:val="en-US" w:eastAsia="zh-CN"/>
              </w:rPr>
              <w:t>清理及粉刷桥梁</w:t>
            </w:r>
          </w:p>
        </w:tc>
        <w:tc>
          <w:tcPr>
            <w:tcW w:w="1638"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42座</w:t>
            </w:r>
          </w:p>
        </w:tc>
        <w:tc>
          <w:tcPr>
            <w:tcW w:w="1906"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42座</w:t>
            </w:r>
          </w:p>
        </w:tc>
        <w:tc>
          <w:tcPr>
            <w:tcW w:w="1392" w:type="dxa"/>
            <w:noWrap/>
            <w:vAlign w:val="center"/>
          </w:tcPr>
          <w:p>
            <w:pPr>
              <w:widowControl/>
              <w:spacing w:line="240" w:lineRule="exact"/>
              <w:jc w:val="center"/>
              <w:rPr>
                <w:rFonts w:hint="default"/>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3"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ign w:val="center"/>
          </w:tcPr>
          <w:p>
            <w:pPr>
              <w:widowControl/>
              <w:spacing w:line="240" w:lineRule="exact"/>
              <w:jc w:val="center"/>
              <w:rPr>
                <w:rFonts w:hint="eastAsia"/>
                <w:color w:val="000000"/>
                <w:kern w:val="0"/>
                <w:szCs w:val="21"/>
              </w:rPr>
            </w:pPr>
          </w:p>
        </w:tc>
        <w:tc>
          <w:tcPr>
            <w:tcW w:w="886" w:type="dxa"/>
            <w:vMerge w:val="continue"/>
            <w:noWrap/>
            <w:vAlign w:val="center"/>
          </w:tcPr>
          <w:p>
            <w:pPr>
              <w:widowControl/>
              <w:spacing w:line="240" w:lineRule="exact"/>
              <w:jc w:val="center"/>
              <w:rPr>
                <w:rFonts w:hint="eastAsia"/>
                <w:color w:val="000000"/>
                <w:kern w:val="0"/>
                <w:szCs w:val="21"/>
              </w:rPr>
            </w:pPr>
          </w:p>
        </w:tc>
        <w:tc>
          <w:tcPr>
            <w:tcW w:w="1750" w:type="dxa"/>
            <w:noWrap/>
            <w:vAlign w:val="center"/>
          </w:tcPr>
          <w:p>
            <w:pPr>
              <w:widowControl/>
              <w:spacing w:line="240" w:lineRule="exact"/>
              <w:jc w:val="center"/>
              <w:rPr>
                <w:rFonts w:hint="eastAsia" w:eastAsia="宋体"/>
                <w:kern w:val="0"/>
                <w:sz w:val="24"/>
                <w:szCs w:val="24"/>
                <w:lang w:val="en-US" w:eastAsia="zh-CN"/>
              </w:rPr>
            </w:pPr>
            <w:r>
              <w:rPr>
                <w:rFonts w:hint="eastAsia" w:eastAsia="宋体"/>
                <w:kern w:val="0"/>
                <w:sz w:val="24"/>
                <w:szCs w:val="24"/>
                <w:lang w:val="en-US" w:eastAsia="zh-CN"/>
              </w:rPr>
              <w:t>清理路肩水沟</w:t>
            </w:r>
          </w:p>
        </w:tc>
        <w:tc>
          <w:tcPr>
            <w:tcW w:w="1638"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162公里</w:t>
            </w:r>
          </w:p>
        </w:tc>
        <w:tc>
          <w:tcPr>
            <w:tcW w:w="1906" w:type="dxa"/>
            <w:noWrap/>
            <w:vAlign w:val="center"/>
          </w:tcPr>
          <w:p>
            <w:pPr>
              <w:widowControl/>
              <w:spacing w:line="240" w:lineRule="exact"/>
              <w:jc w:val="center"/>
              <w:rPr>
                <w:rFonts w:hint="default" w:eastAsia="宋体"/>
                <w:kern w:val="0"/>
                <w:sz w:val="24"/>
                <w:szCs w:val="24"/>
                <w:lang w:val="en-US" w:eastAsia="zh-CN"/>
              </w:rPr>
            </w:pPr>
            <w:r>
              <w:rPr>
                <w:rFonts w:hint="eastAsia"/>
                <w:kern w:val="0"/>
                <w:sz w:val="24"/>
                <w:szCs w:val="24"/>
                <w:lang w:val="en-US" w:eastAsia="zh-CN"/>
              </w:rPr>
              <w:t>162公里</w:t>
            </w:r>
          </w:p>
        </w:tc>
        <w:tc>
          <w:tcPr>
            <w:tcW w:w="1392" w:type="dxa"/>
            <w:noWrap/>
            <w:vAlign w:val="center"/>
          </w:tcPr>
          <w:p>
            <w:pPr>
              <w:widowControl/>
              <w:spacing w:line="240" w:lineRule="exact"/>
              <w:jc w:val="center"/>
              <w:rPr>
                <w:rFonts w:hint="default"/>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45"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ign w:val="center"/>
          </w:tcPr>
          <w:p>
            <w:pPr>
              <w:widowControl/>
              <w:spacing w:line="240" w:lineRule="exact"/>
              <w:jc w:val="center"/>
              <w:rPr>
                <w:color w:val="000000"/>
                <w:kern w:val="0"/>
                <w:szCs w:val="21"/>
              </w:rPr>
            </w:pPr>
          </w:p>
        </w:tc>
        <w:tc>
          <w:tcPr>
            <w:tcW w:w="886" w:type="dxa"/>
            <w:vMerge w:val="continue"/>
            <w:noWrap/>
            <w:vAlign w:val="center"/>
          </w:tcPr>
          <w:p>
            <w:pPr>
              <w:widowControl/>
              <w:spacing w:line="240" w:lineRule="exact"/>
              <w:jc w:val="center"/>
              <w:rPr>
                <w:color w:val="000000"/>
                <w:kern w:val="0"/>
                <w:szCs w:val="21"/>
              </w:rPr>
            </w:pPr>
          </w:p>
        </w:tc>
        <w:tc>
          <w:tcPr>
            <w:tcW w:w="175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刷白行道树</w:t>
            </w:r>
          </w:p>
        </w:tc>
        <w:tc>
          <w:tcPr>
            <w:tcW w:w="1638" w:type="dxa"/>
            <w:noWrap/>
            <w:vAlign w:val="center"/>
          </w:tcPr>
          <w:p>
            <w:pPr>
              <w:widowControl/>
              <w:spacing w:line="240" w:lineRule="exact"/>
              <w:jc w:val="center"/>
              <w:rPr>
                <w:rFonts w:hint="default"/>
                <w:color w:val="000000"/>
                <w:kern w:val="0"/>
                <w:szCs w:val="21"/>
                <w:lang w:val="en-US"/>
              </w:rPr>
            </w:pPr>
            <w:r>
              <w:rPr>
                <w:rFonts w:hint="eastAsia"/>
                <w:kern w:val="0"/>
                <w:sz w:val="24"/>
                <w:szCs w:val="24"/>
                <w:lang w:val="en-US" w:eastAsia="zh-CN"/>
              </w:rPr>
              <w:t>2万余株</w:t>
            </w:r>
          </w:p>
        </w:tc>
        <w:tc>
          <w:tcPr>
            <w:tcW w:w="1906" w:type="dxa"/>
            <w:noWrap/>
            <w:vAlign w:val="center"/>
          </w:tcPr>
          <w:p>
            <w:pPr>
              <w:widowControl/>
              <w:spacing w:line="240" w:lineRule="exact"/>
              <w:jc w:val="center"/>
              <w:rPr>
                <w:rFonts w:hint="default"/>
                <w:color w:val="000000"/>
                <w:kern w:val="0"/>
                <w:szCs w:val="21"/>
                <w:lang w:val="en-US"/>
              </w:rPr>
            </w:pPr>
            <w:r>
              <w:rPr>
                <w:rFonts w:hint="eastAsia"/>
                <w:kern w:val="0"/>
                <w:sz w:val="24"/>
                <w:szCs w:val="24"/>
                <w:lang w:val="en-US" w:eastAsia="zh-CN"/>
              </w:rPr>
              <w:t>2万余株</w:t>
            </w:r>
          </w:p>
        </w:tc>
        <w:tc>
          <w:tcPr>
            <w:tcW w:w="139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75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合格率</w:t>
            </w:r>
          </w:p>
        </w:tc>
        <w:tc>
          <w:tcPr>
            <w:tcW w:w="163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190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139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continue"/>
            <w:noWrap w:val="0"/>
            <w:vAlign w:val="center"/>
          </w:tcPr>
          <w:p>
            <w:pPr>
              <w:widowControl/>
              <w:spacing w:line="240" w:lineRule="exact"/>
              <w:jc w:val="left"/>
              <w:rPr>
                <w:color w:val="000000"/>
                <w:kern w:val="0"/>
                <w:szCs w:val="21"/>
              </w:rPr>
            </w:pPr>
          </w:p>
        </w:tc>
        <w:tc>
          <w:tcPr>
            <w:tcW w:w="1750" w:type="dxa"/>
            <w:noWrap/>
            <w:vAlign w:val="center"/>
          </w:tcPr>
          <w:p>
            <w:pPr>
              <w:widowControl/>
              <w:spacing w:line="240" w:lineRule="exact"/>
              <w:jc w:val="center"/>
              <w:rPr>
                <w:color w:val="000000"/>
                <w:kern w:val="0"/>
                <w:szCs w:val="21"/>
              </w:rPr>
            </w:pPr>
            <w:r>
              <w:rPr>
                <w:rFonts w:hint="eastAsia" w:eastAsia="宋体"/>
                <w:kern w:val="0"/>
                <w:sz w:val="21"/>
                <w:szCs w:val="21"/>
                <w:lang w:val="en-US" w:eastAsia="zh-CN"/>
              </w:rPr>
              <w:t>巡查安排</w:t>
            </w:r>
          </w:p>
        </w:tc>
        <w:tc>
          <w:tcPr>
            <w:tcW w:w="1638" w:type="dxa"/>
            <w:noWrap/>
            <w:vAlign w:val="center"/>
          </w:tcPr>
          <w:p>
            <w:pPr>
              <w:widowControl/>
              <w:spacing w:line="240" w:lineRule="exact"/>
              <w:jc w:val="center"/>
              <w:rPr>
                <w:rFonts w:hint="eastAsia" w:eastAsia="宋体"/>
                <w:color w:val="000000"/>
                <w:kern w:val="0"/>
                <w:sz w:val="21"/>
                <w:szCs w:val="21"/>
                <w:lang w:val="en-US" w:eastAsia="zh-CN" w:bidi="ar-SA"/>
              </w:rPr>
            </w:pPr>
            <w:r>
              <w:rPr>
                <w:rFonts w:hint="eastAsia"/>
                <w:color w:val="000000"/>
                <w:kern w:val="0"/>
                <w:szCs w:val="21"/>
                <w:lang w:val="en-US" w:eastAsia="zh-CN"/>
              </w:rPr>
              <w:t>合格</w:t>
            </w:r>
          </w:p>
        </w:tc>
        <w:tc>
          <w:tcPr>
            <w:tcW w:w="1906" w:type="dxa"/>
            <w:noWrap/>
            <w:vAlign w:val="center"/>
          </w:tcPr>
          <w:p>
            <w:pPr>
              <w:widowControl/>
              <w:spacing w:line="240" w:lineRule="exact"/>
              <w:jc w:val="center"/>
              <w:rPr>
                <w:rFonts w:hint="eastAsia" w:eastAsia="宋体"/>
                <w:color w:val="000000"/>
                <w:kern w:val="0"/>
                <w:sz w:val="21"/>
                <w:szCs w:val="21"/>
                <w:lang w:val="en-US" w:eastAsia="zh-CN" w:bidi="ar-SA"/>
              </w:rPr>
            </w:pPr>
            <w:r>
              <w:rPr>
                <w:rFonts w:hint="eastAsia"/>
                <w:color w:val="000000"/>
                <w:kern w:val="0"/>
                <w:szCs w:val="21"/>
                <w:lang w:val="en-US" w:eastAsia="zh-CN"/>
              </w:rPr>
              <w:t>合格</w:t>
            </w:r>
          </w:p>
        </w:tc>
        <w:tc>
          <w:tcPr>
            <w:tcW w:w="1392"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75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完成日期</w:t>
            </w:r>
          </w:p>
        </w:tc>
        <w:tc>
          <w:tcPr>
            <w:tcW w:w="1638" w:type="dxa"/>
            <w:noWrap/>
            <w:vAlign w:val="center"/>
          </w:tcPr>
          <w:p>
            <w:pPr>
              <w:widowControl/>
              <w:spacing w:line="240" w:lineRule="exact"/>
              <w:jc w:val="center"/>
              <w:rPr>
                <w:rFonts w:hint="default" w:ascii="Times New Roman" w:hAnsi="Times New Roman" w:eastAsia="宋体" w:cs="Times New Roman"/>
                <w:color w:val="000000"/>
                <w:kern w:val="0"/>
                <w:szCs w:val="21"/>
                <w:lang w:val="en-US" w:eastAsia="zh-CN"/>
              </w:rPr>
            </w:pPr>
            <w:r>
              <w:rPr>
                <w:rFonts w:hint="eastAsia" w:cs="Times New Roman"/>
                <w:color w:val="000000"/>
                <w:kern w:val="0"/>
                <w:szCs w:val="21"/>
                <w:lang w:val="en-US" w:eastAsia="zh-CN"/>
              </w:rPr>
              <w:t>2020年底</w:t>
            </w:r>
          </w:p>
        </w:tc>
        <w:tc>
          <w:tcPr>
            <w:tcW w:w="1906" w:type="dxa"/>
            <w:noWrap/>
            <w:vAlign w:val="center"/>
          </w:tcPr>
          <w:p>
            <w:pPr>
              <w:widowControl/>
              <w:spacing w:line="240" w:lineRule="exact"/>
              <w:jc w:val="center"/>
              <w:rPr>
                <w:rFonts w:hint="default" w:ascii="Times New Roman" w:hAnsi="Times New Roman" w:eastAsia="宋体" w:cs="Times New Roman"/>
                <w:color w:val="000000"/>
                <w:kern w:val="0"/>
                <w:szCs w:val="21"/>
                <w:lang w:val="en-US" w:eastAsia="zh-CN"/>
              </w:rPr>
            </w:pPr>
            <w:r>
              <w:rPr>
                <w:rFonts w:hint="eastAsia" w:cs="Times New Roman"/>
                <w:color w:val="000000"/>
                <w:kern w:val="0"/>
                <w:szCs w:val="21"/>
                <w:lang w:val="en-US" w:eastAsia="zh-CN"/>
              </w:rPr>
              <w:t>2020年底</w:t>
            </w:r>
          </w:p>
        </w:tc>
        <w:tc>
          <w:tcPr>
            <w:tcW w:w="1392" w:type="dxa"/>
            <w:noWrap/>
            <w:vAlign w:val="center"/>
          </w:tcPr>
          <w:p>
            <w:pPr>
              <w:widowControl/>
              <w:spacing w:line="240" w:lineRule="exact"/>
              <w:jc w:val="center"/>
              <w:rPr>
                <w:rFonts w:hint="default" w:ascii="Times New Roman" w:hAnsi="Times New Roman" w:eastAsia="宋体" w:cs="Times New Roman"/>
                <w:color w:val="000000"/>
                <w:kern w:val="0"/>
                <w:szCs w:val="21"/>
                <w:lang w:val="en-US" w:eastAsia="zh-CN"/>
              </w:rPr>
            </w:pPr>
            <w:r>
              <w:rPr>
                <w:rFonts w:hint="eastAsia" w:cs="Times New Roman"/>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1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75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成本控制</w:t>
            </w:r>
          </w:p>
        </w:tc>
        <w:tc>
          <w:tcPr>
            <w:tcW w:w="1638" w:type="dxa"/>
            <w:noWrap/>
            <w:vAlign w:val="center"/>
          </w:tcPr>
          <w:p>
            <w:pPr>
              <w:widowControl/>
              <w:spacing w:line="240" w:lineRule="exact"/>
              <w:jc w:val="center"/>
              <w:rPr>
                <w:rFonts w:hint="default"/>
                <w:color w:val="000000"/>
                <w:kern w:val="0"/>
                <w:szCs w:val="21"/>
                <w:lang w:val="en-US"/>
              </w:rPr>
            </w:pPr>
            <w:r>
              <w:rPr>
                <w:rFonts w:hint="eastAsia" w:cs="Times New Roman"/>
                <w:color w:val="000000"/>
                <w:kern w:val="0"/>
                <w:szCs w:val="21"/>
                <w:lang w:val="en-US" w:eastAsia="zh-CN"/>
              </w:rPr>
              <w:t>117.6</w:t>
            </w:r>
            <w:r>
              <w:rPr>
                <w:rFonts w:hint="eastAsia" w:ascii="Times New Roman" w:hAnsi="Times New Roman" w:eastAsia="宋体" w:cs="Times New Roman"/>
                <w:color w:val="000000"/>
                <w:kern w:val="0"/>
                <w:szCs w:val="21"/>
                <w:lang w:val="en-US" w:eastAsia="zh-CN"/>
              </w:rPr>
              <w:t>万</w:t>
            </w:r>
          </w:p>
        </w:tc>
        <w:tc>
          <w:tcPr>
            <w:tcW w:w="1906" w:type="dxa"/>
            <w:noWrap/>
            <w:vAlign w:val="center"/>
          </w:tcPr>
          <w:p>
            <w:pPr>
              <w:widowControl/>
              <w:spacing w:line="240" w:lineRule="exact"/>
              <w:jc w:val="center"/>
              <w:rPr>
                <w:rFonts w:hint="default" w:eastAsia="宋体"/>
                <w:color w:val="000000"/>
                <w:kern w:val="0"/>
                <w:szCs w:val="21"/>
                <w:lang w:val="en-US" w:eastAsia="zh-CN"/>
              </w:rPr>
            </w:pPr>
            <w:r>
              <w:rPr>
                <w:rFonts w:hint="eastAsia" w:ascii="Times New Roman" w:hAnsi="Times New Roman" w:eastAsia="宋体"/>
                <w:color w:val="auto"/>
                <w:kern w:val="0"/>
                <w:sz w:val="21"/>
                <w:szCs w:val="21"/>
                <w:lang w:val="en-US" w:eastAsia="zh-CN"/>
              </w:rPr>
              <w:t>《</w:t>
            </w:r>
            <w:r>
              <w:rPr>
                <w:rFonts w:hint="eastAsia"/>
                <w:color w:val="auto"/>
                <w:kern w:val="0"/>
                <w:sz w:val="21"/>
                <w:szCs w:val="21"/>
                <w:lang w:val="en-US" w:eastAsia="zh-CN"/>
              </w:rPr>
              <w:t>117.6</w:t>
            </w:r>
            <w:r>
              <w:rPr>
                <w:rFonts w:hint="eastAsia"/>
                <w:color w:val="000000"/>
                <w:kern w:val="0"/>
                <w:szCs w:val="21"/>
                <w:lang w:val="en-US" w:eastAsia="zh-CN"/>
              </w:rPr>
              <w:t>万</w:t>
            </w:r>
          </w:p>
        </w:tc>
        <w:tc>
          <w:tcPr>
            <w:tcW w:w="1392" w:type="dxa"/>
            <w:noWrap/>
            <w:vAlign w:val="center"/>
          </w:tcPr>
          <w:p>
            <w:pPr>
              <w:widowControl/>
              <w:spacing w:line="240" w:lineRule="exact"/>
              <w:jc w:val="center"/>
              <w:rPr>
                <w:rFonts w:hint="default" w:eastAsia="宋体"/>
                <w:color w:val="000000"/>
                <w:kern w:val="0"/>
                <w:szCs w:val="21"/>
                <w:lang w:val="en-US" w:eastAsia="zh-CN"/>
              </w:rPr>
            </w:pPr>
            <w:r>
              <w:rPr>
                <w:rFonts w:hint="eastAsia" w:ascii="Times New Roman" w:hAnsi="Times New Roman" w:eastAsia="宋体"/>
                <w:kern w:val="0"/>
                <w:sz w:val="21"/>
                <w:szCs w:val="21"/>
                <w:lang w:val="en-US" w:eastAsia="zh-CN"/>
              </w:rPr>
              <w:t>财政拨款</w:t>
            </w:r>
            <w:r>
              <w:rPr>
                <w:rFonts w:hint="eastAsia"/>
                <w:kern w:val="0"/>
                <w:sz w:val="21"/>
                <w:szCs w:val="21"/>
                <w:lang w:val="en-US" w:eastAsia="zh-CN"/>
              </w:rPr>
              <w:t>30万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5" w:hRule="atLeast"/>
          <w:jc w:val="center"/>
        </w:trPr>
        <w:tc>
          <w:tcPr>
            <w:tcW w:w="846"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828"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886" w:type="dxa"/>
            <w:noWrap/>
            <w:vAlign w:val="center"/>
          </w:tcPr>
          <w:p>
            <w:pPr>
              <w:widowControl/>
              <w:spacing w:line="240" w:lineRule="exact"/>
              <w:jc w:val="center"/>
              <w:rPr>
                <w:color w:val="auto"/>
                <w:kern w:val="0"/>
                <w:szCs w:val="21"/>
              </w:rPr>
            </w:pPr>
            <w:r>
              <w:rPr>
                <w:rFonts w:hint="eastAsia"/>
                <w:color w:val="auto"/>
                <w:kern w:val="0"/>
                <w:szCs w:val="21"/>
              </w:rPr>
              <w:t>经济效益指标</w:t>
            </w:r>
          </w:p>
        </w:tc>
        <w:tc>
          <w:tcPr>
            <w:tcW w:w="1750" w:type="dxa"/>
            <w:noWrap/>
            <w:vAlign w:val="center"/>
          </w:tcPr>
          <w:p>
            <w:pPr>
              <w:widowControl/>
              <w:spacing w:line="240" w:lineRule="exact"/>
              <w:jc w:val="center"/>
              <w:rPr>
                <w:rFonts w:hint="default"/>
                <w:color w:val="auto"/>
                <w:kern w:val="0"/>
                <w:szCs w:val="21"/>
                <w:lang w:val="en-US"/>
              </w:rPr>
            </w:pPr>
            <w:r>
              <w:rPr>
                <w:rFonts w:hint="eastAsia"/>
                <w:color w:val="auto"/>
                <w:kern w:val="0"/>
                <w:szCs w:val="21"/>
                <w:lang w:val="en-US" w:eastAsia="zh-CN"/>
              </w:rPr>
              <w:t>县域和周边地区经济发展程度</w:t>
            </w:r>
          </w:p>
        </w:tc>
        <w:tc>
          <w:tcPr>
            <w:tcW w:w="1638" w:type="dxa"/>
            <w:noWrap/>
            <w:vAlign w:val="center"/>
          </w:tcPr>
          <w:p>
            <w:pPr>
              <w:widowControl/>
              <w:spacing w:line="240" w:lineRule="exact"/>
              <w:jc w:val="center"/>
              <w:rPr>
                <w:rFonts w:hint="default" w:eastAsia="宋体"/>
                <w:color w:val="auto"/>
                <w:kern w:val="0"/>
                <w:szCs w:val="21"/>
                <w:lang w:val="en-US" w:eastAsia="zh-CN"/>
              </w:rPr>
            </w:pPr>
            <w:r>
              <w:rPr>
                <w:rFonts w:hint="eastAsia" w:eastAsia="宋体"/>
                <w:color w:val="auto"/>
                <w:kern w:val="0"/>
                <w:szCs w:val="21"/>
                <w:lang w:val="en-US" w:eastAsia="zh-CN"/>
              </w:rPr>
              <w:t>提升</w:t>
            </w:r>
          </w:p>
        </w:tc>
        <w:tc>
          <w:tcPr>
            <w:tcW w:w="1906" w:type="dxa"/>
            <w:noWrap/>
            <w:vAlign w:val="center"/>
          </w:tcPr>
          <w:p>
            <w:pPr>
              <w:widowControl/>
              <w:spacing w:line="240" w:lineRule="exact"/>
              <w:jc w:val="center"/>
              <w:rPr>
                <w:color w:val="auto"/>
                <w:kern w:val="0"/>
                <w:szCs w:val="21"/>
              </w:rPr>
            </w:pPr>
            <w:r>
              <w:rPr>
                <w:rFonts w:hint="eastAsia"/>
                <w:color w:val="auto"/>
                <w:kern w:val="0"/>
                <w:szCs w:val="21"/>
                <w:lang w:val="en-US" w:eastAsia="zh-CN"/>
              </w:rPr>
              <w:t>提升</w:t>
            </w:r>
          </w:p>
        </w:tc>
        <w:tc>
          <w:tcPr>
            <w:tcW w:w="1392" w:type="dxa"/>
            <w:noWrap/>
            <w:vAlign w:val="center"/>
          </w:tcPr>
          <w:p>
            <w:pPr>
              <w:widowControl/>
              <w:spacing w:line="240" w:lineRule="exact"/>
              <w:jc w:val="center"/>
              <w:rPr>
                <w:color w:val="auto"/>
                <w:kern w:val="0"/>
                <w:szCs w:val="21"/>
              </w:rPr>
            </w:pPr>
            <w:r>
              <w:rPr>
                <w:rFonts w:hint="eastAsia"/>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5"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restart"/>
            <w:noWrap/>
            <w:vAlign w:val="center"/>
          </w:tcPr>
          <w:p>
            <w:pPr>
              <w:widowControl/>
              <w:spacing w:line="240" w:lineRule="exact"/>
              <w:jc w:val="center"/>
              <w:rPr>
                <w:color w:val="auto"/>
                <w:kern w:val="0"/>
                <w:szCs w:val="21"/>
              </w:rPr>
            </w:pPr>
            <w:r>
              <w:rPr>
                <w:rFonts w:hint="eastAsia"/>
                <w:color w:val="auto"/>
                <w:kern w:val="0"/>
                <w:szCs w:val="21"/>
              </w:rPr>
              <w:t>社会效益指标</w:t>
            </w:r>
          </w:p>
        </w:tc>
        <w:tc>
          <w:tcPr>
            <w:tcW w:w="1750" w:type="dxa"/>
            <w:noWrap/>
            <w:vAlign w:val="center"/>
          </w:tcPr>
          <w:p>
            <w:pPr>
              <w:widowControl/>
              <w:spacing w:line="240" w:lineRule="exact"/>
              <w:jc w:val="center"/>
              <w:rPr>
                <w:color w:val="auto"/>
                <w:kern w:val="0"/>
                <w:szCs w:val="21"/>
              </w:rPr>
            </w:pPr>
            <w:r>
              <w:rPr>
                <w:rFonts w:hint="eastAsia"/>
                <w:color w:val="auto"/>
                <w:kern w:val="0"/>
                <w:szCs w:val="21"/>
                <w:lang w:val="en-US" w:eastAsia="zh-CN"/>
              </w:rPr>
              <w:t>交通运行条件改善程度</w:t>
            </w:r>
          </w:p>
        </w:tc>
        <w:tc>
          <w:tcPr>
            <w:tcW w:w="1638" w:type="dxa"/>
            <w:noWrap/>
            <w:vAlign w:val="center"/>
          </w:tcPr>
          <w:p>
            <w:pPr>
              <w:widowControl/>
              <w:spacing w:line="240" w:lineRule="exact"/>
              <w:jc w:val="center"/>
              <w:rPr>
                <w:rFonts w:hint="default" w:eastAsia="宋体"/>
                <w:color w:val="auto"/>
                <w:kern w:val="0"/>
                <w:szCs w:val="21"/>
                <w:lang w:val="en-US" w:eastAsia="zh-CN"/>
              </w:rPr>
            </w:pPr>
            <w:r>
              <w:rPr>
                <w:rFonts w:hint="eastAsia"/>
                <w:color w:val="auto"/>
                <w:kern w:val="0"/>
                <w:szCs w:val="21"/>
                <w:lang w:val="en-US" w:eastAsia="zh-CN"/>
              </w:rPr>
              <w:t>提升</w:t>
            </w:r>
          </w:p>
        </w:tc>
        <w:tc>
          <w:tcPr>
            <w:tcW w:w="1906" w:type="dxa"/>
            <w:noWrap/>
            <w:vAlign w:val="center"/>
          </w:tcPr>
          <w:p>
            <w:pPr>
              <w:widowControl/>
              <w:spacing w:line="240" w:lineRule="exact"/>
              <w:jc w:val="center"/>
              <w:rPr>
                <w:rFonts w:hint="default" w:eastAsia="宋体"/>
                <w:color w:val="auto"/>
                <w:kern w:val="0"/>
                <w:sz w:val="21"/>
                <w:szCs w:val="21"/>
                <w:lang w:val="en-US" w:eastAsia="zh-CN" w:bidi="ar-SA"/>
              </w:rPr>
            </w:pPr>
            <w:r>
              <w:rPr>
                <w:rFonts w:hint="eastAsia"/>
                <w:color w:val="auto"/>
                <w:kern w:val="0"/>
                <w:szCs w:val="21"/>
                <w:lang w:val="en-US" w:eastAsia="zh-CN"/>
              </w:rPr>
              <w:t>提升</w:t>
            </w:r>
          </w:p>
        </w:tc>
        <w:tc>
          <w:tcPr>
            <w:tcW w:w="1392" w:type="dxa"/>
            <w:noWrap/>
            <w:vAlign w:val="center"/>
          </w:tcPr>
          <w:p>
            <w:pPr>
              <w:widowControl/>
              <w:spacing w:line="240" w:lineRule="exact"/>
              <w:jc w:val="center"/>
              <w:rPr>
                <w:color w:val="auto"/>
                <w:kern w:val="0"/>
                <w:szCs w:val="21"/>
              </w:rPr>
            </w:pPr>
            <w:r>
              <w:rPr>
                <w:rFonts w:hint="eastAsia"/>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continue"/>
            <w:noWrap w:val="0"/>
            <w:vAlign w:val="center"/>
          </w:tcPr>
          <w:p>
            <w:pPr>
              <w:widowControl/>
              <w:spacing w:line="240" w:lineRule="exact"/>
              <w:jc w:val="left"/>
              <w:rPr>
                <w:color w:val="C0504D" w:themeColor="accent2"/>
                <w:kern w:val="0"/>
                <w:szCs w:val="21"/>
                <w14:textFill>
                  <w14:solidFill>
                    <w14:schemeClr w14:val="accent2"/>
                  </w14:solidFill>
                </w14:textFill>
              </w:rPr>
            </w:pPr>
          </w:p>
        </w:tc>
        <w:tc>
          <w:tcPr>
            <w:tcW w:w="1750" w:type="dxa"/>
            <w:noWrap/>
            <w:vAlign w:val="center"/>
          </w:tcPr>
          <w:p>
            <w:pPr>
              <w:widowControl/>
              <w:spacing w:line="240" w:lineRule="exact"/>
              <w:jc w:val="center"/>
              <w:rPr>
                <w:color w:val="C0504D" w:themeColor="accent2"/>
                <w:kern w:val="0"/>
                <w:szCs w:val="21"/>
                <w14:textFill>
                  <w14:solidFill>
                    <w14:schemeClr w14:val="accent2"/>
                  </w14:solidFill>
                </w14:textFill>
              </w:rPr>
            </w:pPr>
            <w:r>
              <w:rPr>
                <w:rFonts w:hint="eastAsia"/>
                <w:color w:val="000000"/>
                <w:kern w:val="0"/>
                <w:szCs w:val="21"/>
              </w:rPr>
              <w:t>公路养护水平</w:t>
            </w:r>
          </w:p>
        </w:tc>
        <w:tc>
          <w:tcPr>
            <w:tcW w:w="1638" w:type="dxa"/>
            <w:noWrap/>
            <w:vAlign w:val="center"/>
          </w:tcPr>
          <w:p>
            <w:pPr>
              <w:widowControl/>
              <w:spacing w:line="240" w:lineRule="exact"/>
              <w:jc w:val="center"/>
              <w:rPr>
                <w:rFonts w:hint="default"/>
                <w:color w:val="C0504D" w:themeColor="accent2"/>
                <w:kern w:val="0"/>
                <w:szCs w:val="21"/>
                <w:lang w:val="en-US"/>
                <w14:textFill>
                  <w14:solidFill>
                    <w14:schemeClr w14:val="accent2"/>
                  </w14:solidFill>
                </w14:textFill>
              </w:rPr>
            </w:pPr>
            <w:r>
              <w:rPr>
                <w:rFonts w:hint="eastAsia"/>
                <w:color w:val="000000"/>
                <w:kern w:val="0"/>
                <w:szCs w:val="21"/>
              </w:rPr>
              <w:t>提升</w:t>
            </w:r>
          </w:p>
        </w:tc>
        <w:tc>
          <w:tcPr>
            <w:tcW w:w="1906" w:type="dxa"/>
            <w:noWrap/>
            <w:vAlign w:val="center"/>
          </w:tcPr>
          <w:p>
            <w:pPr>
              <w:widowControl/>
              <w:spacing w:line="240" w:lineRule="exact"/>
              <w:jc w:val="center"/>
              <w:rPr>
                <w:color w:val="C0504D" w:themeColor="accent2"/>
                <w:kern w:val="0"/>
                <w:sz w:val="21"/>
                <w:szCs w:val="21"/>
                <w:lang w:val="en-US" w:eastAsia="zh-CN" w:bidi="ar-SA"/>
                <w14:textFill>
                  <w14:solidFill>
                    <w14:schemeClr w14:val="accent2"/>
                  </w14:solidFill>
                </w14:textFill>
              </w:rPr>
            </w:pPr>
            <w:r>
              <w:rPr>
                <w:rFonts w:hint="eastAsia"/>
                <w:color w:val="000000"/>
                <w:kern w:val="0"/>
                <w:szCs w:val="21"/>
              </w:rPr>
              <w:t>提升</w:t>
            </w:r>
          </w:p>
        </w:tc>
        <w:tc>
          <w:tcPr>
            <w:tcW w:w="1392" w:type="dxa"/>
            <w:noWrap/>
            <w:vAlign w:val="center"/>
          </w:tcPr>
          <w:p>
            <w:pPr>
              <w:widowControl/>
              <w:spacing w:line="240" w:lineRule="exact"/>
              <w:jc w:val="center"/>
              <w:rPr>
                <w:color w:val="C0504D" w:themeColor="accent2"/>
                <w:kern w:val="0"/>
                <w:szCs w:val="21"/>
                <w14:textFill>
                  <w14:solidFill>
                    <w14:schemeClr w14:val="accent2"/>
                  </w14:solidFill>
                </w14:textFill>
              </w:rPr>
            </w:pPr>
            <w:r>
              <w:rPr>
                <w:rFonts w:hint="eastAsia"/>
                <w:color w:val="000000"/>
                <w:kern w:val="0"/>
                <w:szCs w:val="21"/>
              </w:rPr>
              <w:t>公路养护水平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175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道路运行环境</w:t>
            </w:r>
          </w:p>
        </w:tc>
        <w:tc>
          <w:tcPr>
            <w:tcW w:w="163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改善</w:t>
            </w:r>
          </w:p>
        </w:tc>
        <w:tc>
          <w:tcPr>
            <w:tcW w:w="1906"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改善</w:t>
            </w:r>
          </w:p>
        </w:tc>
        <w:tc>
          <w:tcPr>
            <w:tcW w:w="139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0"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continue"/>
            <w:noWrap w:val="0"/>
            <w:vAlign w:val="center"/>
          </w:tcPr>
          <w:p>
            <w:pPr>
              <w:widowControl/>
              <w:spacing w:line="240" w:lineRule="exact"/>
              <w:jc w:val="left"/>
              <w:rPr>
                <w:color w:val="000000"/>
                <w:kern w:val="0"/>
                <w:szCs w:val="21"/>
              </w:rPr>
            </w:pPr>
          </w:p>
        </w:tc>
        <w:tc>
          <w:tcPr>
            <w:tcW w:w="175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提升公路环境</w:t>
            </w:r>
          </w:p>
        </w:tc>
        <w:tc>
          <w:tcPr>
            <w:tcW w:w="1638"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降低</w:t>
            </w:r>
          </w:p>
        </w:tc>
        <w:tc>
          <w:tcPr>
            <w:tcW w:w="1906"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降低</w:t>
            </w:r>
          </w:p>
        </w:tc>
        <w:tc>
          <w:tcPr>
            <w:tcW w:w="139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5"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1750" w:type="dxa"/>
            <w:noWrap/>
            <w:vAlign w:val="center"/>
          </w:tcPr>
          <w:p>
            <w:pPr>
              <w:widowControl/>
              <w:spacing w:line="240" w:lineRule="exact"/>
              <w:jc w:val="center"/>
              <w:rPr>
                <w:color w:val="000000"/>
                <w:kern w:val="0"/>
                <w:szCs w:val="21"/>
              </w:rPr>
            </w:pPr>
            <w:r>
              <w:rPr>
                <w:rFonts w:hint="eastAsia"/>
                <w:color w:val="000000"/>
                <w:kern w:val="0"/>
                <w:szCs w:val="21"/>
                <w:lang w:eastAsia="zh-CN"/>
              </w:rPr>
              <w:t>保障我县</w:t>
            </w:r>
            <w:r>
              <w:rPr>
                <w:rFonts w:hint="eastAsia"/>
                <w:color w:val="000000"/>
                <w:kern w:val="0"/>
                <w:szCs w:val="21"/>
                <w:lang w:val="en-US" w:eastAsia="zh-CN"/>
              </w:rPr>
              <w:t>公路养护</w:t>
            </w:r>
            <w:r>
              <w:rPr>
                <w:rFonts w:hint="eastAsia"/>
                <w:color w:val="000000"/>
                <w:kern w:val="0"/>
                <w:szCs w:val="21"/>
                <w:lang w:eastAsia="zh-CN"/>
              </w:rPr>
              <w:t>工作</w:t>
            </w:r>
          </w:p>
        </w:tc>
        <w:tc>
          <w:tcPr>
            <w:tcW w:w="1638" w:type="dxa"/>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val="en-US" w:eastAsia="zh-CN"/>
              </w:rPr>
              <w:t>长期</w:t>
            </w:r>
          </w:p>
        </w:tc>
        <w:tc>
          <w:tcPr>
            <w:tcW w:w="1906" w:type="dxa"/>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lang w:val="en-US" w:eastAsia="zh-CN"/>
              </w:rPr>
              <w:t>长期</w:t>
            </w:r>
          </w:p>
        </w:tc>
        <w:tc>
          <w:tcPr>
            <w:tcW w:w="139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5"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vMerge w:val="continue"/>
            <w:noWrap w:val="0"/>
            <w:vAlign w:val="center"/>
          </w:tcPr>
          <w:p>
            <w:pPr>
              <w:widowControl/>
              <w:spacing w:line="240" w:lineRule="exact"/>
              <w:jc w:val="left"/>
              <w:rPr>
                <w:color w:val="000000"/>
                <w:kern w:val="0"/>
                <w:szCs w:val="21"/>
              </w:rPr>
            </w:pPr>
          </w:p>
        </w:tc>
        <w:tc>
          <w:tcPr>
            <w:tcW w:w="886" w:type="dxa"/>
            <w:vMerge w:val="continue"/>
            <w:noWrap w:val="0"/>
            <w:vAlign w:val="center"/>
          </w:tcPr>
          <w:p>
            <w:pPr>
              <w:widowControl/>
              <w:spacing w:line="240" w:lineRule="exact"/>
              <w:jc w:val="left"/>
              <w:rPr>
                <w:color w:val="000000"/>
                <w:kern w:val="0"/>
                <w:szCs w:val="21"/>
              </w:rPr>
            </w:pPr>
          </w:p>
        </w:tc>
        <w:tc>
          <w:tcPr>
            <w:tcW w:w="175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促进公路事业可持续发展</w:t>
            </w:r>
          </w:p>
        </w:tc>
        <w:tc>
          <w:tcPr>
            <w:tcW w:w="163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促进</w:t>
            </w:r>
          </w:p>
        </w:tc>
        <w:tc>
          <w:tcPr>
            <w:tcW w:w="1906"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促进</w:t>
            </w:r>
          </w:p>
        </w:tc>
        <w:tc>
          <w:tcPr>
            <w:tcW w:w="139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5" w:hRule="atLeast"/>
          <w:jc w:val="center"/>
        </w:trPr>
        <w:tc>
          <w:tcPr>
            <w:tcW w:w="846" w:type="dxa"/>
            <w:vMerge w:val="continue"/>
            <w:noWrap w:val="0"/>
            <w:vAlign w:val="center"/>
          </w:tcPr>
          <w:p>
            <w:pPr>
              <w:widowControl/>
              <w:spacing w:line="240" w:lineRule="exact"/>
              <w:jc w:val="left"/>
              <w:rPr>
                <w:color w:val="000000"/>
                <w:kern w:val="0"/>
                <w:szCs w:val="21"/>
              </w:rPr>
            </w:pPr>
          </w:p>
        </w:tc>
        <w:tc>
          <w:tcPr>
            <w:tcW w:w="828"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886"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75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群众满意度</w:t>
            </w:r>
          </w:p>
        </w:tc>
        <w:tc>
          <w:tcPr>
            <w:tcW w:w="163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＞98%</w:t>
            </w:r>
          </w:p>
        </w:tc>
        <w:tc>
          <w:tcPr>
            <w:tcW w:w="1906"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＞98%</w:t>
            </w:r>
          </w:p>
        </w:tc>
        <w:tc>
          <w:tcPr>
            <w:tcW w:w="139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bl>
    <w:p>
      <w:pPr>
        <w:spacing w:line="620" w:lineRule="exact"/>
        <w:jc w:val="center"/>
        <w:rPr>
          <w:rFonts w:eastAsia="方正小标宋简体"/>
          <w:color w:val="000000"/>
          <w:spacing w:val="-12"/>
          <w:kern w:val="0"/>
          <w:sz w:val="44"/>
          <w:szCs w:val="44"/>
        </w:rPr>
      </w:pP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年乐至县项目支出绩效自评报告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0"/>
        <w:jc w:val="center"/>
        <w:rPr>
          <w:rFonts w:hint="eastAsia" w:eastAsia="方正楷体简体"/>
          <w:b/>
          <w:sz w:val="32"/>
          <w:szCs w:val="32"/>
          <w:lang w:val="en-US" w:eastAsia="zh-CN"/>
        </w:rPr>
      </w:pPr>
      <w:r>
        <w:rPr>
          <w:rFonts w:hint="eastAsia" w:eastAsia="方正楷体简体"/>
          <w:b/>
          <w:sz w:val="32"/>
          <w:szCs w:val="32"/>
          <w:lang w:val="en-US" w:eastAsia="zh-CN"/>
        </w:rPr>
        <w:t>（</w:t>
      </w:r>
      <w:r>
        <w:rPr>
          <w:rFonts w:hint="default" w:eastAsia="方正楷体简体"/>
          <w:b/>
          <w:sz w:val="32"/>
          <w:szCs w:val="32"/>
          <w:lang w:val="en-US" w:eastAsia="zh-CN"/>
        </w:rPr>
        <w:fldChar w:fldCharType="begin"/>
      </w:r>
      <w:r>
        <w:rPr>
          <w:rFonts w:hint="default" w:eastAsia="方正楷体简体"/>
          <w:b/>
          <w:sz w:val="32"/>
          <w:szCs w:val="32"/>
          <w:lang w:val="en-US" w:eastAsia="zh-CN"/>
        </w:rPr>
        <w:instrText xml:space="preserve"> HYPERLINK "http://www.baidu.com/link?url=3gS0AwZ1AmOUTLpnmMu3qMiqdF4_gXepBGiYRS7laboJ5Z1rAiztREx_uN_H7neac9ytZUMBhNqSTvStFV8HAK" \t "https://www.baidu.com/_blank" </w:instrText>
      </w:r>
      <w:r>
        <w:rPr>
          <w:rFonts w:hint="default" w:eastAsia="方正楷体简体"/>
          <w:b/>
          <w:sz w:val="32"/>
          <w:szCs w:val="32"/>
          <w:lang w:val="en-US" w:eastAsia="zh-CN"/>
        </w:rPr>
        <w:fldChar w:fldCharType="separate"/>
      </w:r>
      <w:r>
        <w:rPr>
          <w:rFonts w:hint="default" w:eastAsia="方正楷体简体"/>
          <w:b/>
          <w:sz w:val="32"/>
          <w:szCs w:val="32"/>
          <w:lang w:val="en-US" w:eastAsia="zh-CN"/>
        </w:rPr>
        <w:t>乐至县公路机械化养护中心及童家停车区</w:t>
      </w:r>
      <w:r>
        <w:rPr>
          <w:rFonts w:hint="default" w:eastAsia="方正楷体简体"/>
          <w:b/>
          <w:sz w:val="32"/>
          <w:szCs w:val="32"/>
          <w:lang w:val="en-US" w:eastAsia="zh-CN"/>
        </w:rPr>
        <w:fldChar w:fldCharType="end"/>
      </w:r>
      <w:r>
        <w:rPr>
          <w:rFonts w:hint="eastAsia" w:eastAsia="方正楷体简体"/>
          <w:b/>
          <w:sz w:val="32"/>
          <w:szCs w:val="32"/>
          <w:lang w:val="en-US" w:eastAsia="zh-CN"/>
        </w:rPr>
        <w:t>工程项目）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eastAsia="方正仿宋简体"/>
          <w:b w:val="0"/>
          <w:bCs/>
          <w:sz w:val="32"/>
          <w:szCs w:val="32"/>
        </w:rPr>
      </w:pPr>
      <w:r>
        <w:rPr>
          <w:rFonts w:hint="eastAsia" w:eastAsia="方正仿宋简体"/>
          <w:b w:val="0"/>
          <w:bCs/>
          <w:sz w:val="32"/>
          <w:szCs w:val="32"/>
          <w:lang w:val="en-US" w:eastAsia="zh-CN"/>
        </w:rPr>
        <w:t>1</w:t>
      </w:r>
      <w:r>
        <w:rPr>
          <w:rFonts w:hint="eastAsia" w:eastAsia="方正仿宋简体"/>
          <w:b w:val="0"/>
          <w:bCs/>
          <w:sz w:val="32"/>
          <w:szCs w:val="32"/>
        </w:rPr>
        <w:t>.1 项目建设背景</w:t>
      </w:r>
    </w:p>
    <w:p>
      <w:pPr>
        <w:spacing w:line="580" w:lineRule="exact"/>
        <w:ind w:firstLine="640" w:firstLineChars="200"/>
        <w:rPr>
          <w:rFonts w:hint="eastAsia" w:eastAsia="方正仿宋简体"/>
          <w:b w:val="0"/>
          <w:bCs/>
          <w:sz w:val="32"/>
          <w:szCs w:val="32"/>
        </w:rPr>
      </w:pPr>
      <w:r>
        <w:rPr>
          <w:rFonts w:hint="eastAsia" w:eastAsia="方正仿宋简体"/>
          <w:b w:val="0"/>
          <w:bCs/>
          <w:sz w:val="32"/>
          <w:szCs w:val="32"/>
        </w:rPr>
        <w:t>乐至县公路机械化养护中心及童家停车区是2015年和2018年省交通运输厅公路局下达的目标任务（川交函〔2015〕556号和川交运便〔2018〕164号）</w:t>
      </w:r>
      <w:r>
        <w:rPr>
          <w:rFonts w:hint="eastAsia" w:eastAsia="方正仿宋简体"/>
          <w:b w:val="0"/>
          <w:bCs/>
          <w:sz w:val="32"/>
          <w:szCs w:val="32"/>
          <w:lang w:eastAsia="zh-CN"/>
        </w:rPr>
        <w:t>，该项目占地15475平方米（约23.2亩），位于乐至县童家镇白果村1社、6社境内（G318线老公里桩K2355+780—K2356+030段左侧），</w:t>
      </w:r>
      <w:r>
        <w:rPr>
          <w:rFonts w:hint="eastAsia" w:eastAsia="方正仿宋简体"/>
          <w:b w:val="0"/>
          <w:bCs/>
          <w:sz w:val="32"/>
          <w:szCs w:val="32"/>
          <w:lang w:val="en-US" w:eastAsia="zh-CN"/>
        </w:rPr>
        <w:t>同时，在</w:t>
      </w:r>
      <w:r>
        <w:rPr>
          <w:rFonts w:hint="eastAsia" w:eastAsia="方正仿宋简体"/>
          <w:b w:val="0"/>
          <w:bCs/>
          <w:sz w:val="32"/>
          <w:szCs w:val="32"/>
        </w:rPr>
        <w:t>《“十三五”公路管理与发展纲要》中指出“十三五”期是全面建成小康社会的决胜时期，也是全面建设“四个交通”的战略机遇期。加强公路养护管理工作对保持公路基础设施良好技术状况，保障路网整体效能发挥，服务经济社会发展和人民群众安全便捷出行等具有十分重要的意义。</w:t>
      </w:r>
    </w:p>
    <w:p>
      <w:pPr>
        <w:spacing w:line="580" w:lineRule="exact"/>
        <w:ind w:firstLine="640" w:firstLineChars="200"/>
        <w:rPr>
          <w:rFonts w:hint="eastAsia" w:eastAsia="方正仿宋简体"/>
          <w:b w:val="0"/>
          <w:bCs/>
          <w:sz w:val="32"/>
          <w:szCs w:val="32"/>
        </w:rPr>
      </w:pPr>
      <w:r>
        <w:rPr>
          <w:rFonts w:hint="eastAsia" w:eastAsia="方正仿宋简体"/>
          <w:b w:val="0"/>
          <w:bCs/>
          <w:sz w:val="32"/>
          <w:szCs w:val="32"/>
        </w:rPr>
        <w:t>面对经济社会发展的新形势，广大人民群众出行的新需求，公路养护管理还存在一些短板和问题:</w:t>
      </w:r>
    </w:p>
    <w:p>
      <w:pPr>
        <w:spacing w:line="580" w:lineRule="exact"/>
        <w:ind w:firstLine="640" w:firstLineChars="200"/>
        <w:rPr>
          <w:rFonts w:hint="eastAsia" w:eastAsia="方正仿宋简体"/>
          <w:b w:val="0"/>
          <w:bCs/>
          <w:sz w:val="32"/>
          <w:szCs w:val="32"/>
        </w:rPr>
      </w:pPr>
      <w:r>
        <w:rPr>
          <w:rFonts w:hint="eastAsia" w:eastAsia="方正仿宋简体"/>
          <w:b w:val="0"/>
          <w:bCs/>
          <w:sz w:val="32"/>
          <w:szCs w:val="32"/>
        </w:rPr>
        <w:t>一是公路出行服务水平有待提升，养护工程市场机制尚不健全;二是公路事权主体责任不清晰、管理主体分散多元等体制性问题有待破解;三是普通国省道、农村公路养护管理资金保障机制尚不健全资金供需矛盾突出;四是养护精细化程度不高，公路管理信息化、智能化水平偏低，高素质技术型、复合型人才缺乏，等等。这些矛盾和问题，有的是历史遗留的，有的是发展过程中新形成的，制约和影响了公路可持续发展，</w:t>
      </w:r>
      <w:r>
        <w:rPr>
          <w:rFonts w:hint="eastAsia" w:eastAsia="方正仿宋简体"/>
          <w:b w:val="0"/>
          <w:bCs/>
          <w:sz w:val="32"/>
          <w:szCs w:val="32"/>
          <w:lang w:val="en-US" w:eastAsia="zh-CN"/>
        </w:rPr>
        <w:t>急</w:t>
      </w:r>
      <w:r>
        <w:rPr>
          <w:rFonts w:hint="eastAsia" w:eastAsia="方正仿宋简体"/>
          <w:b w:val="0"/>
          <w:bCs/>
          <w:sz w:val="32"/>
          <w:szCs w:val="32"/>
        </w:rPr>
        <w:t>需通过改革创新、转型发展来解决。</w:t>
      </w:r>
    </w:p>
    <w:p>
      <w:pPr>
        <w:spacing w:line="580" w:lineRule="exact"/>
        <w:ind w:firstLine="640" w:firstLineChars="200"/>
        <w:rPr>
          <w:rFonts w:hint="eastAsia" w:eastAsia="方正仿宋简体"/>
          <w:b w:val="0"/>
          <w:bCs/>
          <w:sz w:val="32"/>
          <w:szCs w:val="32"/>
          <w:lang w:eastAsia="zh-CN"/>
        </w:rPr>
      </w:pPr>
      <w:r>
        <w:rPr>
          <w:rFonts w:hint="eastAsia" w:eastAsia="方正仿宋简体"/>
          <w:b w:val="0"/>
          <w:bCs/>
          <w:sz w:val="32"/>
          <w:szCs w:val="32"/>
        </w:rPr>
        <w:t>随着布局合理、功能完善的公路网基本形成，公路发展重点应逐步转向加强养护、规范管理、提升服务、完善路网支撑系统等方面。随着经济社会快速发展,我国公路发展的主要矛盾由基础设施供给不足的供需矛盾，转向公共服务能力与社会要求不适应的新矛盾。适应公路发展新趋势，必须由过去以基础设施建设为主向建设、养护、管理、服务并重转变，更加突出养护、管理、服务工作</w:t>
      </w:r>
      <w:r>
        <w:rPr>
          <w:rFonts w:hint="eastAsia" w:eastAsia="方正仿宋简体"/>
          <w:b w:val="0"/>
          <w:bCs/>
          <w:sz w:val="32"/>
          <w:szCs w:val="32"/>
          <w:lang w:eastAsia="zh-CN"/>
        </w:rPr>
        <w:t>。</w:t>
      </w:r>
    </w:p>
    <w:p>
      <w:pPr>
        <w:spacing w:line="580" w:lineRule="exact"/>
        <w:ind w:firstLine="640" w:firstLineChars="200"/>
        <w:rPr>
          <w:rFonts w:hint="eastAsia" w:eastAsia="方正仿宋简体"/>
          <w:b w:val="0"/>
          <w:bCs/>
          <w:sz w:val="32"/>
          <w:szCs w:val="32"/>
          <w:lang w:eastAsia="zh-CN"/>
        </w:rPr>
      </w:pPr>
      <w:r>
        <w:rPr>
          <w:rFonts w:hint="eastAsia" w:eastAsia="方正仿宋简体"/>
          <w:b w:val="0"/>
          <w:bCs/>
          <w:sz w:val="32"/>
          <w:szCs w:val="32"/>
          <w:lang w:val="en-US" w:eastAsia="zh-CN"/>
        </w:rPr>
        <w:t>1</w:t>
      </w:r>
      <w:r>
        <w:rPr>
          <w:rFonts w:hint="eastAsia" w:eastAsia="方正仿宋简体"/>
          <w:b w:val="0"/>
          <w:bCs/>
          <w:sz w:val="32"/>
          <w:szCs w:val="32"/>
        </w:rPr>
        <w:t>.2 项目建设</w:t>
      </w:r>
      <w:r>
        <w:rPr>
          <w:rFonts w:hint="eastAsia" w:eastAsia="方正仿宋简体"/>
          <w:b w:val="0"/>
          <w:bCs/>
          <w:sz w:val="32"/>
          <w:szCs w:val="32"/>
          <w:lang w:val="en-US" w:eastAsia="zh-CN"/>
        </w:rPr>
        <w:t>目的</w:t>
      </w:r>
    </w:p>
    <w:p>
      <w:pPr>
        <w:spacing w:line="580" w:lineRule="exact"/>
        <w:ind w:firstLine="640" w:firstLineChars="200"/>
        <w:rPr>
          <w:rFonts w:hint="default" w:eastAsia="方正仿宋简体"/>
          <w:b w:val="0"/>
          <w:bCs/>
          <w:sz w:val="32"/>
          <w:szCs w:val="32"/>
          <w:lang w:val="en-US"/>
        </w:rPr>
      </w:pPr>
      <w:r>
        <w:rPr>
          <w:rFonts w:hint="eastAsia" w:eastAsia="方正仿宋简体"/>
          <w:b w:val="0"/>
          <w:bCs/>
          <w:sz w:val="32"/>
          <w:szCs w:val="32"/>
        </w:rPr>
        <w:t>1.</w:t>
      </w:r>
      <w:r>
        <w:rPr>
          <w:rFonts w:hint="eastAsia" w:eastAsia="方正仿宋简体"/>
          <w:b w:val="0"/>
          <w:bCs/>
          <w:sz w:val="32"/>
          <w:szCs w:val="32"/>
          <w:lang w:val="en-US" w:eastAsia="zh-CN"/>
        </w:rPr>
        <w:t>2.1</w:t>
      </w:r>
      <w:r>
        <w:rPr>
          <w:rFonts w:hint="eastAsia" w:eastAsia="方正仿宋简体"/>
          <w:b w:val="0"/>
          <w:bCs/>
          <w:sz w:val="32"/>
          <w:szCs w:val="32"/>
        </w:rPr>
        <w:t>项目建设</w:t>
      </w:r>
      <w:r>
        <w:rPr>
          <w:rFonts w:hint="eastAsia" w:eastAsia="方正仿宋简体"/>
          <w:b w:val="0"/>
          <w:bCs/>
          <w:sz w:val="32"/>
          <w:szCs w:val="32"/>
          <w:lang w:val="en-US" w:eastAsia="zh-CN"/>
        </w:rPr>
        <w:t>将</w:t>
      </w:r>
      <w:r>
        <w:rPr>
          <w:rFonts w:hint="eastAsia" w:eastAsia="方正仿宋简体"/>
          <w:b w:val="0"/>
          <w:bCs/>
          <w:sz w:val="32"/>
          <w:szCs w:val="32"/>
        </w:rPr>
        <w:t>增强</w:t>
      </w:r>
      <w:r>
        <w:rPr>
          <w:rFonts w:hint="eastAsia" w:eastAsia="方正仿宋简体"/>
          <w:b w:val="0"/>
          <w:bCs/>
          <w:sz w:val="32"/>
          <w:szCs w:val="32"/>
          <w:lang w:val="en-US" w:eastAsia="zh-CN"/>
        </w:rPr>
        <w:t>乐至县公路养护管理的养护能力</w:t>
      </w:r>
    </w:p>
    <w:p>
      <w:pPr>
        <w:spacing w:line="580" w:lineRule="exact"/>
        <w:ind w:firstLine="640" w:firstLineChars="200"/>
        <w:rPr>
          <w:rFonts w:hint="eastAsia" w:eastAsia="方正仿宋简体"/>
          <w:b w:val="0"/>
          <w:bCs/>
          <w:sz w:val="32"/>
          <w:szCs w:val="32"/>
        </w:rPr>
      </w:pPr>
      <w:r>
        <w:rPr>
          <w:rFonts w:hint="eastAsia" w:eastAsia="方正仿宋简体"/>
          <w:b w:val="0"/>
          <w:bCs/>
          <w:sz w:val="32"/>
          <w:szCs w:val="32"/>
        </w:rPr>
        <w:t>项目的建设将大大提高</w:t>
      </w:r>
      <w:r>
        <w:rPr>
          <w:rFonts w:hint="eastAsia" w:eastAsia="方正仿宋简体"/>
          <w:b w:val="0"/>
          <w:bCs/>
          <w:sz w:val="32"/>
          <w:szCs w:val="32"/>
          <w:lang w:val="en-US" w:eastAsia="zh-CN"/>
        </w:rPr>
        <w:t>乐至县公路养护管理</w:t>
      </w:r>
      <w:r>
        <w:rPr>
          <w:rFonts w:hint="eastAsia" w:eastAsia="方正仿宋简体"/>
          <w:b w:val="0"/>
          <w:bCs/>
          <w:sz w:val="32"/>
          <w:szCs w:val="32"/>
        </w:rPr>
        <w:t>公路的养护能力、适应社会的需要</w:t>
      </w:r>
      <w:r>
        <w:rPr>
          <w:rFonts w:hint="eastAsia" w:eastAsia="方正仿宋简体"/>
          <w:b w:val="0"/>
          <w:bCs/>
          <w:sz w:val="32"/>
          <w:szCs w:val="32"/>
          <w:lang w:eastAsia="zh-CN"/>
        </w:rPr>
        <w:t>，</w:t>
      </w:r>
      <w:r>
        <w:rPr>
          <w:rFonts w:hint="eastAsia" w:eastAsia="方正仿宋简体"/>
          <w:b w:val="0"/>
          <w:bCs/>
          <w:sz w:val="32"/>
          <w:szCs w:val="32"/>
        </w:rPr>
        <w:t>提</w:t>
      </w:r>
      <w:r>
        <w:rPr>
          <w:rFonts w:hint="eastAsia" w:eastAsia="方正仿宋简体"/>
          <w:b w:val="0"/>
          <w:bCs/>
          <w:sz w:val="32"/>
          <w:szCs w:val="32"/>
          <w:lang w:val="en-US" w:eastAsia="zh-CN"/>
        </w:rPr>
        <w:t>高</w:t>
      </w:r>
      <w:r>
        <w:rPr>
          <w:rFonts w:hint="eastAsia" w:eastAsia="方正仿宋简体"/>
          <w:b w:val="0"/>
          <w:bCs/>
          <w:sz w:val="32"/>
          <w:szCs w:val="32"/>
        </w:rPr>
        <w:t>企业的规模经济效益和技术装备水平，提高企业的竞争力。</w:t>
      </w:r>
    </w:p>
    <w:p>
      <w:pPr>
        <w:pStyle w:val="2"/>
        <w:ind w:left="1059" w:leftChars="352" w:hanging="320" w:hangingChars="100"/>
        <w:rPr>
          <w:rFonts w:hint="eastAsia" w:eastAsia="方正仿宋简体"/>
          <w:b w:val="0"/>
          <w:bCs/>
          <w:sz w:val="32"/>
          <w:szCs w:val="32"/>
        </w:rPr>
      </w:pPr>
      <w:r>
        <w:rPr>
          <w:rFonts w:hint="eastAsia" w:eastAsia="方正仿宋简体"/>
          <w:b w:val="0"/>
          <w:bCs/>
          <w:sz w:val="32"/>
          <w:szCs w:val="32"/>
          <w:lang w:val="en-US" w:eastAsia="zh-CN"/>
        </w:rPr>
        <w:t>1.</w:t>
      </w:r>
      <w:r>
        <w:rPr>
          <w:rFonts w:hint="eastAsia" w:eastAsia="方正仿宋简体"/>
          <w:b w:val="0"/>
          <w:bCs/>
          <w:sz w:val="32"/>
          <w:szCs w:val="32"/>
        </w:rPr>
        <w:t>2.</w:t>
      </w:r>
      <w:r>
        <w:rPr>
          <w:rFonts w:hint="eastAsia" w:eastAsia="方正仿宋简体"/>
          <w:b w:val="0"/>
          <w:bCs/>
          <w:sz w:val="32"/>
          <w:szCs w:val="32"/>
          <w:lang w:val="en-US" w:eastAsia="zh-CN"/>
        </w:rPr>
        <w:t>2</w:t>
      </w:r>
      <w:r>
        <w:rPr>
          <w:rFonts w:hint="eastAsia" w:eastAsia="方正仿宋简体"/>
          <w:b w:val="0"/>
          <w:bCs/>
          <w:sz w:val="32"/>
          <w:szCs w:val="32"/>
        </w:rPr>
        <w:t xml:space="preserve"> 项目建设</w:t>
      </w:r>
      <w:r>
        <w:rPr>
          <w:rFonts w:hint="eastAsia" w:eastAsia="方正仿宋简体"/>
          <w:b w:val="0"/>
          <w:bCs/>
          <w:sz w:val="32"/>
          <w:szCs w:val="32"/>
          <w:lang w:val="en-US" w:eastAsia="zh-CN"/>
        </w:rPr>
        <w:t>将</w:t>
      </w:r>
      <w:r>
        <w:rPr>
          <w:rFonts w:hint="eastAsia" w:eastAsia="方正仿宋简体"/>
          <w:b w:val="0"/>
          <w:bCs/>
          <w:sz w:val="32"/>
          <w:szCs w:val="32"/>
        </w:rPr>
        <w:t>提高</w:t>
      </w:r>
      <w:r>
        <w:rPr>
          <w:rFonts w:hint="eastAsia" w:eastAsia="方正仿宋简体"/>
          <w:b w:val="0"/>
          <w:bCs/>
          <w:sz w:val="32"/>
          <w:szCs w:val="32"/>
          <w:lang w:val="en-US" w:eastAsia="zh-CN"/>
        </w:rPr>
        <w:t>当地</w:t>
      </w:r>
      <w:r>
        <w:rPr>
          <w:rFonts w:hint="eastAsia" w:eastAsia="方正仿宋简体"/>
          <w:b w:val="0"/>
          <w:bCs/>
          <w:sz w:val="32"/>
          <w:szCs w:val="32"/>
        </w:rPr>
        <w:t>群众收入和保持社会繁荣稳定</w:t>
      </w:r>
    </w:p>
    <w:p>
      <w:pPr>
        <w:pStyle w:val="2"/>
        <w:ind w:left="0" w:leftChars="0" w:firstLine="739" w:firstLineChars="231"/>
        <w:jc w:val="left"/>
        <w:rPr>
          <w:rFonts w:hint="eastAsia" w:eastAsia="方正仿宋简体"/>
          <w:b w:val="0"/>
          <w:bCs/>
          <w:sz w:val="32"/>
          <w:szCs w:val="32"/>
        </w:rPr>
      </w:pPr>
      <w:r>
        <w:rPr>
          <w:rFonts w:hint="eastAsia" w:eastAsia="方正仿宋简体"/>
          <w:b w:val="0"/>
          <w:bCs/>
          <w:sz w:val="32"/>
          <w:szCs w:val="32"/>
        </w:rPr>
        <w:t>项目的建设可直接提供约 100 个就业岗位，可创造直接和间接就业机会，可提高当地群众的收入水平，带动当地群众致富，推进区域经济协调发展，有利于维护地区稳定，社会进步和经济繁荣。</w:t>
      </w:r>
    </w:p>
    <w:p>
      <w:pPr>
        <w:pStyle w:val="2"/>
        <w:ind w:left="0" w:leftChars="0" w:firstLine="640" w:firstLineChars="200"/>
        <w:rPr>
          <w:rFonts w:hint="eastAsia" w:eastAsia="方正仿宋简体"/>
          <w:b w:val="0"/>
          <w:bCs/>
          <w:sz w:val="32"/>
          <w:szCs w:val="32"/>
        </w:rPr>
      </w:pPr>
      <w:r>
        <w:rPr>
          <w:rFonts w:hint="eastAsia" w:eastAsia="方正仿宋简体"/>
          <w:b w:val="0"/>
          <w:bCs/>
          <w:sz w:val="32"/>
          <w:szCs w:val="32"/>
          <w:lang w:val="en-US" w:eastAsia="zh-CN"/>
        </w:rPr>
        <w:t>1.</w:t>
      </w:r>
      <w:r>
        <w:rPr>
          <w:rFonts w:hint="eastAsia" w:eastAsia="方正仿宋简体"/>
          <w:b w:val="0"/>
          <w:bCs/>
          <w:sz w:val="32"/>
          <w:szCs w:val="32"/>
        </w:rPr>
        <w:t>2.</w:t>
      </w:r>
      <w:r>
        <w:rPr>
          <w:rFonts w:hint="eastAsia" w:eastAsia="方正仿宋简体"/>
          <w:b w:val="0"/>
          <w:bCs/>
          <w:sz w:val="32"/>
          <w:szCs w:val="32"/>
          <w:lang w:val="en-US" w:eastAsia="zh-CN"/>
        </w:rPr>
        <w:t>3</w:t>
      </w:r>
      <w:r>
        <w:rPr>
          <w:rFonts w:hint="eastAsia" w:eastAsia="方正仿宋简体"/>
          <w:b w:val="0"/>
          <w:bCs/>
          <w:sz w:val="32"/>
          <w:szCs w:val="32"/>
        </w:rPr>
        <w:t>项目建设</w:t>
      </w:r>
      <w:r>
        <w:rPr>
          <w:rFonts w:hint="eastAsia" w:eastAsia="方正仿宋简体"/>
          <w:b w:val="0"/>
          <w:bCs/>
          <w:sz w:val="32"/>
          <w:szCs w:val="32"/>
          <w:lang w:val="en-US" w:eastAsia="zh-CN"/>
        </w:rPr>
        <w:t>将保障</w:t>
      </w:r>
      <w:r>
        <w:rPr>
          <w:rFonts w:hint="eastAsia" w:eastAsia="方正仿宋简体"/>
          <w:b w:val="0"/>
          <w:bCs/>
          <w:sz w:val="32"/>
          <w:szCs w:val="32"/>
        </w:rPr>
        <w:t>乐至县境内段公路畅通</w:t>
      </w:r>
    </w:p>
    <w:p>
      <w:pPr>
        <w:pStyle w:val="2"/>
        <w:ind w:left="0" w:leftChars="0" w:firstLine="640" w:firstLineChars="200"/>
        <w:rPr>
          <w:rFonts w:hint="eastAsia"/>
        </w:rPr>
      </w:pPr>
      <w:r>
        <w:rPr>
          <w:rFonts w:hint="eastAsia" w:eastAsia="方正仿宋简体"/>
          <w:b w:val="0"/>
          <w:bCs/>
          <w:sz w:val="32"/>
          <w:szCs w:val="32"/>
        </w:rPr>
        <w:t>项目建成后，可为公路养护与应急救援提供服务。通过高素质的技术力量人员以及先进的技术装备水平，可快速处理各种问题，保持公路的畅通，同时通过平时的养护，提高了道路的行车安全。</w:t>
      </w:r>
      <w:r>
        <w:rPr>
          <w:rFonts w:hint="eastAsia" w:eastAsia="方正仿宋简体"/>
          <w:b w:val="0"/>
          <w:bCs/>
          <w:sz w:val="32"/>
          <w:szCs w:val="32"/>
          <w:lang w:val="en-US" w:eastAsia="zh-CN"/>
        </w:rPr>
        <w:t>对乐至地区</w:t>
      </w:r>
      <w:r>
        <w:rPr>
          <w:rFonts w:hint="eastAsia" w:eastAsia="方正仿宋简体"/>
          <w:b w:val="0"/>
          <w:bCs/>
          <w:sz w:val="32"/>
          <w:szCs w:val="32"/>
        </w:rPr>
        <w:t>的交通发展</w:t>
      </w:r>
      <w:r>
        <w:rPr>
          <w:rFonts w:hint="eastAsia" w:eastAsia="方正仿宋简体"/>
          <w:b w:val="0"/>
          <w:bCs/>
          <w:sz w:val="32"/>
          <w:szCs w:val="32"/>
          <w:lang w:val="en-US" w:eastAsia="zh-CN"/>
        </w:rPr>
        <w:t>起到</w:t>
      </w:r>
      <w:r>
        <w:rPr>
          <w:rFonts w:hint="eastAsia" w:eastAsia="方正仿宋简体"/>
          <w:b w:val="0"/>
          <w:bCs/>
          <w:sz w:val="32"/>
          <w:szCs w:val="32"/>
        </w:rPr>
        <w:t>重要的作用</w:t>
      </w:r>
      <w:r>
        <w:rPr>
          <w:rFonts w:hint="eastAsia" w:eastAsia="方正仿宋简体"/>
          <w:b w:val="0"/>
          <w:bCs/>
          <w:sz w:val="32"/>
          <w:szCs w:val="32"/>
          <w:lang w:eastAsia="zh-CN"/>
        </w:rPr>
        <w:t>。</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乐至县公路机械化养护中心及童家停车区工程项目，预算总投资2014万元。资金来源为省补资金445万，乐至财政投入1569万元（其中：563万元用于机械设备采购，464万元用于征地拆迁，987万元用于基础建设）。</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2018年12月经县财政投资评审中心审核，</w:t>
      </w:r>
      <w:r>
        <w:rPr>
          <w:rFonts w:hint="eastAsia" w:eastAsia="方正仿宋简体"/>
          <w:color w:val="auto"/>
          <w:sz w:val="32"/>
          <w:szCs w:val="32"/>
          <w:lang w:val="en-US" w:eastAsia="zh-CN"/>
        </w:rPr>
        <w:t>审定招标控制价为7782612.23元。</w:t>
      </w:r>
      <w:r>
        <w:rPr>
          <w:rFonts w:hint="eastAsia" w:eastAsia="方正仿宋简体"/>
          <w:sz w:val="32"/>
          <w:szCs w:val="32"/>
          <w:lang w:val="en-US" w:eastAsia="zh-CN"/>
        </w:rPr>
        <w:t>该项目资金使用严格按审批程序办理，操作规范，会计核算结果真实、准确。</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实施情况（项目完成情况）</w:t>
      </w:r>
    </w:p>
    <w:p>
      <w:pPr>
        <w:spacing w:line="58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该项目于2019年5月1日开工建设，2023年4月7日竣工。完成建设计划任务的100%。在项目竣工后我段委托具有专业资质的第三方检测机构对项目质量进行专业检测，同时依据施工方提供</w:t>
      </w:r>
      <w:bookmarkStart w:id="55" w:name="_Hlk22745718"/>
      <w:r>
        <w:rPr>
          <w:rFonts w:hint="eastAsia" w:ascii="仿宋_GB2312" w:hAnsi="Calibri" w:eastAsia="仿宋_GB2312" w:cs="Times New Roman"/>
          <w:sz w:val="32"/>
          <w:szCs w:val="32"/>
          <w:lang w:val="en-US" w:eastAsia="zh-CN"/>
        </w:rPr>
        <w:t>采购产品（材料）合格证书、相关材料试验检测报告</w:t>
      </w:r>
      <w:bookmarkEnd w:id="55"/>
      <w:r>
        <w:rPr>
          <w:rFonts w:hint="eastAsia" w:ascii="仿宋_GB2312" w:hAnsi="Calibri" w:eastAsia="仿宋_GB2312" w:cs="Times New Roman"/>
          <w:sz w:val="32"/>
          <w:szCs w:val="32"/>
          <w:lang w:val="en-US" w:eastAsia="zh-CN"/>
        </w:rPr>
        <w:t>，进行检查评定</w:t>
      </w:r>
      <w:r>
        <w:rPr>
          <w:rFonts w:hint="default" w:ascii="仿宋_GB2312" w:hAnsi="Calibri" w:eastAsia="仿宋_GB2312" w:cs="Times New Roman"/>
          <w:sz w:val="32"/>
          <w:szCs w:val="32"/>
          <w:lang w:val="en-US" w:eastAsia="zh-CN"/>
        </w:rPr>
        <w:t>,</w:t>
      </w:r>
      <w:r>
        <w:rPr>
          <w:rFonts w:hint="eastAsia" w:ascii="仿宋_GB2312" w:hAnsi="Calibri" w:eastAsia="仿宋_GB2312" w:cs="Times New Roman"/>
          <w:sz w:val="32"/>
          <w:szCs w:val="32"/>
          <w:lang w:val="en-US" w:eastAsia="zh-CN"/>
        </w:rPr>
        <w:t>工程评定为合格。2023年4月7日，我段组织相关部门对本工程进行交竣工验收，质量鉴定为合格。</w:t>
      </w:r>
    </w:p>
    <w:p>
      <w:p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组织及管理（项目组织、管理流程及实际执行情况）</w:t>
      </w:r>
    </w:p>
    <w:p>
      <w:pPr>
        <w:spacing w:line="58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4.1项目组织</w:t>
      </w:r>
    </w:p>
    <w:p>
      <w:pPr>
        <w:spacing w:line="58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为了使该项目能够顺利实施，我段安排由分管养护工作副段长牵头负责组织项目实施，段养护股具体负责项目的实施与管理工作。严格按照相关规定，明确责任，合理分工，密切协作，为项目顺利实施提供保障。</w:t>
      </w:r>
    </w:p>
    <w:p>
      <w:pPr>
        <w:spacing w:line="58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4.2管理流程</w:t>
      </w:r>
    </w:p>
    <w:p>
      <w:pPr>
        <w:spacing w:line="580" w:lineRule="exact"/>
        <w:ind w:firstLine="640" w:firstLineChars="200"/>
        <w:rPr>
          <w:rFonts w:hint="eastAsia" w:eastAsia="方正仿宋简体"/>
          <w:color w:val="0000FF"/>
          <w:sz w:val="32"/>
          <w:szCs w:val="32"/>
          <w:lang w:val="en-US" w:eastAsia="zh-CN"/>
        </w:rPr>
      </w:pPr>
      <w:r>
        <w:rPr>
          <w:rFonts w:hint="eastAsia" w:ascii="仿宋_GB2312" w:hAnsi="Calibri" w:eastAsia="仿宋_GB2312" w:cs="Times New Roman"/>
          <w:sz w:val="32"/>
          <w:szCs w:val="32"/>
          <w:lang w:val="en-US" w:eastAsia="zh-CN"/>
        </w:rPr>
        <w:t>因该项目属2015年和2018年省交通运输厅公路局下达的目标任务，鉴于时间紧急，逐处立项、设计、财评、施工相关资料“容缺后补”，政府、发改、财政、住建、国土、水务、电力、环保等相关部门共同配合完善项目相关手续。</w:t>
      </w:r>
    </w:p>
    <w:p>
      <w:pPr>
        <w:spacing w:line="580" w:lineRule="exact"/>
        <w:ind w:firstLine="640" w:firstLineChars="200"/>
        <w:rPr>
          <w:rFonts w:hint="eastAsia" w:ascii="方正仿宋简体" w:hAnsi="方正仿宋简体" w:eastAsia="方正仿宋简体" w:cs="方正仿宋简体"/>
          <w:color w:val="0000FF"/>
          <w:sz w:val="32"/>
          <w:szCs w:val="32"/>
          <w:lang w:val="en-US" w:eastAsia="zh-CN"/>
        </w:rPr>
      </w:pPr>
      <w:r>
        <w:rPr>
          <w:rFonts w:hint="eastAsia" w:ascii="仿宋_GB2312" w:hAnsi="Calibri" w:eastAsia="仿宋_GB2312" w:cs="Times New Roman"/>
          <w:sz w:val="32"/>
          <w:szCs w:val="32"/>
          <w:lang w:val="en-US" w:eastAsia="zh-CN"/>
        </w:rPr>
        <w:t>4.3实际执行情况</w:t>
      </w:r>
    </w:p>
    <w:p>
      <w:pPr>
        <w:pStyle w:val="2"/>
        <w:ind w:left="0" w:leftChars="0"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4.3.1工程中的质量管理</w:t>
      </w:r>
    </w:p>
    <w:p>
      <w:pPr>
        <w:pStyle w:val="2"/>
        <w:ind w:left="0" w:leftChars="0"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4.3.1.1加强材料管理</w:t>
      </w:r>
    </w:p>
    <w:p>
      <w:pPr>
        <w:pStyle w:val="2"/>
        <w:numPr>
          <w:ilvl w:val="0"/>
          <w:numId w:val="0"/>
        </w:numPr>
        <w:ind w:leftChars="0"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要求进场材料，牌证齐全，对进场材料进行严格检验，确保材料的质量。严格要求施工单位，一是要建立科学合理的材料管理制度。制定明确的材料验收标准、储存标准、使用标准和管理程序，严格执行材料的验收、储存、领用和使用等各项规定。同时，加强对材料使用情况的监督和管理，对超出计划使用的材料进行及时处理和妥善保存。二是加强对材料的质量检验。施工现场应建立完善的材料检验制度，对进入现场的材料进行严格检验，确保材料质量符合施工要求。并对不合格材料进行处理，避免不合格材料对工程质量造成影响。三是施工现场应合理规划材料储存场所，采取防潮、防晒、防鼠、防火等措施，确保材料的安全储存和保护。同时，要建立材料管理台账，记录材料的进出库情况、储存期限、存储位置等信息，便于材料的管理和监控。四是提高材料使用效率。施工现场应严格按照施工计划和施工要求使用材料，避免过度消耗和浪费。同时，要加强对材料使用情况的监督和管理，对材料的使用进行统计和分析，及时调整材料的使用计划，以提高材料使用效率。</w:t>
      </w:r>
    </w:p>
    <w:p>
      <w:pPr>
        <w:pStyle w:val="2"/>
        <w:numPr>
          <w:ilvl w:val="0"/>
          <w:numId w:val="0"/>
        </w:numPr>
        <w:ind w:leftChars="0"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4.3.1.2改进施工质量管理方法</w:t>
      </w:r>
    </w:p>
    <w:p>
      <w:pPr>
        <w:pStyle w:val="2"/>
        <w:numPr>
          <w:ilvl w:val="0"/>
          <w:numId w:val="0"/>
        </w:numPr>
        <w:ind w:leftChars="0" w:firstLine="640" w:firstLineChars="200"/>
        <w:rPr>
          <w:rFonts w:hint="eastAsia" w:ascii="方正仿宋简体" w:hAnsi="方正仿宋简体" w:eastAsia="方正仿宋简体" w:cs="方正仿宋简体"/>
          <w:color w:val="0000FF"/>
          <w:sz w:val="32"/>
          <w:szCs w:val="32"/>
          <w:lang w:val="en-US" w:eastAsia="zh-CN"/>
        </w:rPr>
      </w:pPr>
      <w:r>
        <w:rPr>
          <w:rFonts w:hint="eastAsia" w:ascii="仿宋_GB2312" w:hAnsi="Calibri" w:eastAsia="仿宋_GB2312" w:cs="Times New Roman"/>
          <w:kern w:val="2"/>
          <w:sz w:val="32"/>
          <w:szCs w:val="32"/>
          <w:lang w:val="en-US" w:eastAsia="zh-CN" w:bidi="ar-SA"/>
        </w:rPr>
        <w:t>积极鼓励施工单位通过引入新技术和新工艺，提高施工效率和质量，减少施工过程中的质量问题和安全隐患</w:t>
      </w:r>
      <w:r>
        <w:rPr>
          <w:rFonts w:hint="eastAsia" w:ascii="方正仿宋简体" w:hAnsi="方正仿宋简体" w:eastAsia="方正仿宋简体" w:cs="方正仿宋简体"/>
          <w:color w:val="0000FF"/>
          <w:sz w:val="32"/>
          <w:szCs w:val="32"/>
          <w:lang w:val="en-US" w:eastAsia="zh-CN"/>
        </w:rPr>
        <w:t>。</w:t>
      </w:r>
    </w:p>
    <w:p>
      <w:pPr>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4.3.1.3重视质量验收</w:t>
      </w:r>
    </w:p>
    <w:p>
      <w:pPr>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严格要求施工单位在工程的实施过程中，有关负责人必须对工程的质量评估指标有一个全面的了解，从而对工程项目进行全面的质量检验，如果出现质量问题，必须根据实际情况采取有针对性的措施加以解决，从而达到改善工程质量的目的。在质量验收中，要充分运用现代化检测仪器，运用各种检验手段对工程质量进行严格检验，以确保工程验收的准确性，从而达到提高工程质量管理的目的。</w:t>
      </w:r>
    </w:p>
    <w:p>
      <w:pPr>
        <w:pStyle w:val="2"/>
        <w:ind w:left="1059" w:leftChars="352" w:hanging="320" w:hangingChars="1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4.3.1.4提高施工人员技术能力</w:t>
      </w:r>
    </w:p>
    <w:p>
      <w:pPr>
        <w:pStyle w:val="2"/>
        <w:numPr>
          <w:ilvl w:val="0"/>
          <w:numId w:val="0"/>
        </w:numPr>
        <w:ind w:leftChars="0"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要求施工单位进一步加强人员专业技术培训，完善人才培训、考核和激励机制，包括施工人员以及管理人员的技术提升，要确保其综合水平得到升级，管理能力得到增长，提高员工的责任心，更要求工程施工管理人员能熟练灵活地掌握一些新的技术产品和内容，同时，通过引进先进的管理经验和人才，建立和发挥潜在的管理优势，提高人员的工作水平和整个团队的工作效率，促进工程质量的提高，达到建筑行业的稳步和不断发展。然后根据施工的方案、组织设计规划以及技术措施科学有效地实施管理和完成操作，要着重培养工程项目施工人员的敬业精神以及其健康的工作态度，使之熟练地掌握高新技术及设备的具体操作方法，展现出更加优良的管理效果。</w:t>
      </w:r>
    </w:p>
    <w:p>
      <w:pPr>
        <w:pStyle w:val="2"/>
        <w:numPr>
          <w:ilvl w:val="0"/>
          <w:numId w:val="0"/>
        </w:numPr>
        <w:ind w:leftChars="0" w:firstLine="640" w:firstLineChars="20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4.3.2工程进度控制</w:t>
      </w:r>
    </w:p>
    <w:p>
      <w:pPr>
        <w:numPr>
          <w:ilvl w:val="0"/>
          <w:numId w:val="0"/>
        </w:numPr>
        <w:ind w:firstLine="640" w:firstLineChars="200"/>
        <w:rPr>
          <w:rFonts w:hint="eastAsia" w:ascii="方正仿宋简体" w:hAnsi="方正仿宋简体" w:eastAsia="方正仿宋简体" w:cs="方正仿宋简体"/>
          <w:color w:val="auto"/>
          <w:sz w:val="32"/>
          <w:szCs w:val="40"/>
          <w:lang w:val="en-US" w:eastAsia="zh-CN"/>
        </w:rPr>
      </w:pPr>
      <w:r>
        <w:rPr>
          <w:rFonts w:hint="eastAsia" w:ascii="方正仿宋简体" w:hAnsi="方正仿宋简体" w:eastAsia="方正仿宋简体" w:cs="方正仿宋简体"/>
          <w:color w:val="auto"/>
          <w:sz w:val="32"/>
          <w:szCs w:val="40"/>
          <w:lang w:val="en-US" w:eastAsia="zh-CN"/>
        </w:rPr>
        <w:t>4.3.2.1工程进度的规划：针对工程的特点对项目进行了节点划分，在做好施工准备后，先施工基础工程、后钢结构主体，再同步施工屋面工程、装饰工程，最后再施工到道路工程及其附属工程。</w:t>
      </w:r>
    </w:p>
    <w:p>
      <w:pPr>
        <w:pStyle w:val="2"/>
        <w:numPr>
          <w:ilvl w:val="0"/>
          <w:numId w:val="0"/>
        </w:numPr>
        <w:ind w:firstLine="640" w:firstLineChars="200"/>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4.3.2.2工程进度的检查：每周的计划通过每周例会检查落实。月进度实际进度通过施工单位每月提交的工程进度报表和现场跟踪检查工程项目实际进度确定。在对工程实际进度检查的基础上，主要采用横道图比较法与计划进度进行比较。以判断实际进度是否出现偏差，如果出现偏差就进一步分析此偏差对进度控制目标的影响程度及其产生的原因，并提出纠偏措施要求，进行调整定出追回落后工期的措施和时间表。</w:t>
      </w:r>
    </w:p>
    <w:p>
      <w:pPr>
        <w:ind w:firstLine="640" w:firstLineChars="200"/>
        <w:rPr>
          <w:rFonts w:hint="eastAsia" w:ascii="方正仿宋简体" w:hAnsi="方正仿宋简体" w:eastAsia="方正仿宋简体" w:cs="方正仿宋简体"/>
          <w:color w:val="0000FF"/>
          <w:sz w:val="32"/>
          <w:szCs w:val="32"/>
          <w:lang w:val="en-US" w:eastAsia="zh-CN"/>
        </w:rPr>
      </w:pPr>
      <w:r>
        <w:rPr>
          <w:rFonts w:hint="eastAsia" w:ascii="方正仿宋简体" w:hAnsi="方正仿宋简体" w:eastAsia="方正仿宋简体" w:cs="方正仿宋简体"/>
          <w:color w:val="auto"/>
          <w:sz w:val="32"/>
          <w:szCs w:val="32"/>
          <w:lang w:val="en-US" w:eastAsia="zh-CN"/>
        </w:rPr>
        <w:t>4.3.2.3工程进度的协调：在每周例会上通报工程进度情况，确定薄弱环节，以解决工程施工过程中的相互协调配合问题，部署赶工措施。</w:t>
      </w:r>
    </w:p>
    <w:p>
      <w:pPr>
        <w:pStyle w:val="2"/>
        <w:ind w:left="1059" w:leftChars="352" w:hanging="320" w:hangingChars="100"/>
        <w:rPr>
          <w:rFonts w:hint="eastAsia" w:ascii="方正仿宋简体" w:hAnsi="方正仿宋简体" w:eastAsia="方正仿宋简体" w:cs="方正仿宋简体"/>
          <w:color w:val="auto"/>
          <w:kern w:val="2"/>
          <w:sz w:val="32"/>
          <w:szCs w:val="32"/>
          <w:lang w:val="en-US" w:eastAsia="zh-CN" w:bidi="ar-SA"/>
        </w:rPr>
      </w:pPr>
      <w:r>
        <w:rPr>
          <w:rFonts w:hint="eastAsia" w:ascii="方正仿宋简体" w:hAnsi="方正仿宋简体" w:eastAsia="方正仿宋简体" w:cs="方正仿宋简体"/>
          <w:color w:val="auto"/>
          <w:kern w:val="2"/>
          <w:sz w:val="32"/>
          <w:szCs w:val="32"/>
          <w:lang w:val="en-US" w:eastAsia="zh-CN" w:bidi="ar-SA"/>
        </w:rPr>
        <w:t>4.3.3工程组织协调管理</w:t>
      </w:r>
    </w:p>
    <w:p>
      <w:pPr>
        <w:pStyle w:val="2"/>
        <w:ind w:left="0" w:leftChars="0" w:firstLine="640" w:firstLineChars="200"/>
        <w:rPr>
          <w:rFonts w:hint="eastAsia" w:ascii="方正仿宋简体" w:hAnsi="方正仿宋简体" w:eastAsia="方正仿宋简体" w:cs="方正仿宋简体"/>
          <w:color w:val="auto"/>
          <w:kern w:val="2"/>
          <w:sz w:val="32"/>
          <w:szCs w:val="32"/>
          <w:lang w:val="en-US" w:eastAsia="zh-CN" w:bidi="ar-SA"/>
        </w:rPr>
      </w:pPr>
      <w:r>
        <w:rPr>
          <w:rFonts w:hint="eastAsia" w:ascii="方正仿宋简体" w:hAnsi="方正仿宋简体" w:eastAsia="方正仿宋简体" w:cs="方正仿宋简体"/>
          <w:color w:val="auto"/>
          <w:kern w:val="2"/>
          <w:sz w:val="32"/>
          <w:szCs w:val="32"/>
          <w:lang w:val="en-US" w:eastAsia="zh-CN" w:bidi="ar-SA"/>
        </w:rPr>
        <w:t>养护股负责人负责施工全过程的协调工作，检查节点实施情况，协调好与施工单位、监理、设计的关系；养护股其他人员联合施工单位负责协调施工单位及当地政府关系，及时了解周边工作的进展及动态，碰到问题主动在第一时间与地方政府取得联系。</w:t>
      </w:r>
    </w:p>
    <w:p>
      <w:pPr>
        <w:ind w:firstLine="640" w:firstLineChars="200"/>
        <w:rPr>
          <w:rFonts w:hint="eastAsia" w:ascii="方正仿宋简体" w:hAnsi="方正仿宋简体" w:eastAsia="方正仿宋简体" w:cs="方正仿宋简体"/>
          <w:color w:val="auto"/>
          <w:kern w:val="2"/>
          <w:sz w:val="32"/>
          <w:szCs w:val="32"/>
          <w:lang w:val="en-US" w:eastAsia="zh-CN" w:bidi="ar-SA"/>
        </w:rPr>
      </w:pPr>
      <w:r>
        <w:rPr>
          <w:rFonts w:hint="eastAsia" w:ascii="方正仿宋简体" w:hAnsi="方正仿宋简体" w:eastAsia="方正仿宋简体" w:cs="方正仿宋简体"/>
          <w:color w:val="auto"/>
          <w:kern w:val="2"/>
          <w:sz w:val="32"/>
          <w:szCs w:val="32"/>
          <w:lang w:val="en-US" w:eastAsia="zh-CN" w:bidi="ar-SA"/>
        </w:rPr>
        <w:t>4.3.4工程施工安全与文明施工</w:t>
      </w:r>
    </w:p>
    <w:p>
      <w:pPr>
        <w:pStyle w:val="2"/>
        <w:ind w:left="0" w:leftChars="0" w:firstLine="640" w:firstLineChars="200"/>
        <w:rPr>
          <w:rFonts w:hint="default" w:ascii="方正仿宋简体" w:hAnsi="方正仿宋简体" w:eastAsia="方正仿宋简体" w:cs="方正仿宋简体"/>
          <w:color w:val="auto"/>
          <w:kern w:val="2"/>
          <w:sz w:val="32"/>
          <w:szCs w:val="32"/>
          <w:lang w:val="en-US" w:eastAsia="zh-CN" w:bidi="ar-SA"/>
        </w:rPr>
      </w:pPr>
      <w:r>
        <w:rPr>
          <w:rFonts w:hint="eastAsia" w:ascii="方正仿宋简体" w:hAnsi="方正仿宋简体" w:eastAsia="方正仿宋简体" w:cs="方正仿宋简体"/>
          <w:color w:val="auto"/>
          <w:kern w:val="2"/>
          <w:sz w:val="32"/>
          <w:szCs w:val="32"/>
          <w:lang w:val="en-US" w:eastAsia="zh-CN" w:bidi="ar-SA"/>
        </w:rPr>
        <w:t>严格遵照国家和地方的有关安全生产法律、法规及安全程序为基础直接参与活动，强化施工纪律、工艺纪律、操作纪律管理，提供必要的劳动保护，加强对施工人员的培训，通过安全行为，促进“安全第一”意识提高，达到“无安全事故”，“无人员伤亡事故”。</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pStyle w:val="2"/>
        <w:ind w:left="0" w:leftChars="0" w:firstLine="640" w:firstLineChars="200"/>
        <w:rPr>
          <w:rFonts w:hint="eastAsia" w:ascii="方正仿宋简体" w:hAnsi="方正仿宋简体" w:eastAsia="方正仿宋简体" w:cs="方正仿宋简体"/>
          <w:sz w:val="32"/>
          <w:szCs w:val="40"/>
          <w:lang w:val="en-US" w:eastAsia="zh-CN"/>
        </w:rPr>
      </w:pPr>
      <w:r>
        <w:rPr>
          <w:rFonts w:hint="eastAsia" w:ascii="方正仿宋简体" w:hAnsi="方正仿宋简体" w:eastAsia="方正仿宋简体" w:cs="方正仿宋简体"/>
          <w:sz w:val="32"/>
          <w:szCs w:val="40"/>
          <w:lang w:val="en-US" w:eastAsia="zh-CN"/>
        </w:rPr>
        <w:t>乐至县公路机械化养护中心及童家停车区工程项目绩效总目标：完成综合性用房、门卫室、公厕共1500㎡、机械设备房、库房共1000㎡、公共停车位若干及绿化、道路、给排水、水电等配套服务设施。</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成立绩效评价工作小组：结合绩效评价的要求和项目建设的特点，组建项目资金绩效评价组，为项目开展提供组织基础。本着客观公正和有效原则，评价小组人员由单位中层以上干部组成，评价组按照设定的指标体系进行评价，并从各科室抽选人员进行打分，由项目负责人进行梳理并整改。</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组  长：杨俊波   段党支部书记、段长</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副组长：田培春   支部委员、副段长</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成  员：许应平   支部委员、养护股股长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吕  杨   支部委员、副段长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蒲红红   支部委员、办公室主任</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熊  辉   安全股股长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杨国春   政工股股长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杨钧凯   综治办主任</w:t>
      </w:r>
    </w:p>
    <w:p>
      <w:pPr>
        <w:spacing w:line="560" w:lineRule="exact"/>
        <w:ind w:left="0" w:leftChars="0" w:firstLine="1920" w:firstLineChars="600"/>
        <w:jc w:val="left"/>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曹志林   养护股副股长 现场业主代表</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肖秀琼   桥梁工程师</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莫尔均   乐至站站长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杨留军   石佛站站长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冉  林   宝林站站长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李先军   放生站站长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袁华彬   高寺站站长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陈明德   永兴站站长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袁志全   朝阳站站长</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领导小组办公室下设办公室，由工程股股长许应平同志任主任。</w:t>
      </w:r>
    </w:p>
    <w:p>
      <w:pPr>
        <w:numPr>
          <w:ilvl w:val="0"/>
          <w:numId w:val="5"/>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spacing w:line="560" w:lineRule="exact"/>
        <w:ind w:firstLine="640" w:firstLineChars="200"/>
        <w:jc w:val="left"/>
        <w:rPr>
          <w:rFonts w:hint="default" w:ascii="仿宋_GB2312" w:hAnsi="Calibri" w:eastAsia="仿宋_GB2312" w:cs="Times New Roman"/>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根据实际情况，我单位</w:t>
      </w:r>
      <w:r>
        <w:rPr>
          <w:rFonts w:hint="eastAsia" w:ascii="方正仿宋简体" w:hAnsi="方正仿宋简体" w:eastAsia="方正仿宋简体" w:cs="方正仿宋简体"/>
          <w:sz w:val="32"/>
          <w:szCs w:val="32"/>
          <w:lang w:val="en-US" w:eastAsia="zh-CN"/>
        </w:rPr>
        <w:t>选用评价方法为比较法和询问查询法，经收集资料、核实情况、数据比对，比较原先设定和实际完成的工作任务和目标、比较原先经费预算安排和实际的各项经费开支。</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该项目立项程序完整、规范，指标体系完善，预算执行及时、有效，自评得分98分，按照综合评分结果，依据《乐至县财政支出绩效评价管理办法》规定确定绩效等级为优。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jc w:val="both"/>
        <w:rPr>
          <w:rFonts w:hint="eastAsia" w:eastAsia="方正仿宋简体"/>
          <w:sz w:val="32"/>
          <w:szCs w:val="32"/>
          <w:lang w:val="en-US" w:eastAsia="zh-CN"/>
        </w:rPr>
      </w:pPr>
      <w:r>
        <w:rPr>
          <w:rFonts w:hint="eastAsia" w:eastAsia="方正仿宋简体"/>
          <w:sz w:val="32"/>
          <w:szCs w:val="32"/>
          <w:lang w:val="en-US" w:eastAsia="zh-CN"/>
        </w:rPr>
        <w:t>一级指标投入满分25分，自评25分，其中包含二级</w:t>
      </w:r>
      <w:r>
        <w:rPr>
          <w:rFonts w:hint="eastAsia" w:eastAsia="方正仿宋简体"/>
          <w:sz w:val="32"/>
          <w:szCs w:val="32"/>
        </w:rPr>
        <w:t>项目立项</w:t>
      </w:r>
      <w:r>
        <w:rPr>
          <w:rFonts w:hint="eastAsia" w:eastAsia="方正仿宋简体"/>
          <w:sz w:val="32"/>
          <w:szCs w:val="32"/>
          <w:lang w:val="en-US" w:eastAsia="zh-CN"/>
        </w:rPr>
        <w:t>指标满分15分，自评15，包含项目立项规范性5分，绩效目标合理性4分，绩效指标明确性6分；二级资金落实指标满分10分，自评10分，其中资金到位率5分，到位及时率5分；</w:t>
      </w:r>
    </w:p>
    <w:p>
      <w:pPr>
        <w:pStyle w:val="2"/>
        <w:ind w:left="0" w:leftChars="0" w:firstLine="640" w:firstLineChars="200"/>
        <w:jc w:val="both"/>
        <w:rPr>
          <w:rFonts w:hint="eastAsia" w:eastAsia="方正仿宋简体"/>
          <w:sz w:val="32"/>
          <w:szCs w:val="32"/>
          <w:lang w:val="en-US" w:eastAsia="zh-CN"/>
        </w:rPr>
      </w:pPr>
      <w:r>
        <w:rPr>
          <w:rFonts w:hint="eastAsia" w:eastAsia="方正仿宋简体"/>
          <w:sz w:val="32"/>
          <w:szCs w:val="32"/>
          <w:lang w:val="en-US" w:eastAsia="zh-CN"/>
        </w:rPr>
        <w:t>一级指标过程满分25分，自评24分，其中包含二级业务管理指标满分13分，自评12分，包含管理制度健全4分，制度执行有效性6分，项目质量可控性3分；二级财务管理指标满分12分，自评12分，包含管理制度健全3分，资金使用合规7分，财务监控有效2分；</w:t>
      </w:r>
    </w:p>
    <w:p>
      <w:pPr>
        <w:ind w:firstLine="640" w:firstLineChars="200"/>
        <w:jc w:val="left"/>
        <w:rPr>
          <w:rFonts w:hint="eastAsia" w:eastAsia="方正仿宋简体"/>
          <w:sz w:val="32"/>
          <w:szCs w:val="32"/>
          <w:lang w:val="en-US" w:eastAsia="zh-CN"/>
        </w:rPr>
      </w:pPr>
      <w:r>
        <w:rPr>
          <w:rFonts w:hint="eastAsia" w:eastAsia="方正仿宋简体"/>
          <w:sz w:val="32"/>
          <w:szCs w:val="32"/>
          <w:lang w:val="en-US" w:eastAsia="zh-CN"/>
        </w:rPr>
        <w:t>一级指标产出满分20分，自评19分，其中包含二级项目产出指标满分20分，自评19分，包含实际完成率4分，完成及时率5分，质量达标率5分，成本节约率5分，</w:t>
      </w:r>
    </w:p>
    <w:p>
      <w:pPr>
        <w:pStyle w:val="2"/>
        <w:ind w:left="0" w:leftChars="0" w:firstLine="640" w:firstLineChars="200"/>
        <w:rPr>
          <w:rFonts w:hint="default"/>
          <w:lang w:val="en-US" w:eastAsia="zh-CN"/>
        </w:rPr>
      </w:pPr>
      <w:r>
        <w:rPr>
          <w:rFonts w:hint="eastAsia" w:eastAsia="方正仿宋简体"/>
          <w:sz w:val="32"/>
          <w:szCs w:val="32"/>
          <w:lang w:val="en-US" w:eastAsia="zh-CN"/>
        </w:rPr>
        <w:t>一级指标效果满分30分，自评30分，其中二级项目效益30分，自评30分，包含经济效益5分，社会效益5分，生态效益5分，可持续影响5分，社会公众或服务对象满意度10分。</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eastAsia" w:ascii="方正仿宋简体" w:hAnsi="方正仿宋简体" w:eastAsia="方正仿宋简体" w:cs="方正仿宋简体"/>
          <w:b w:val="0"/>
          <w:bCs/>
          <w:sz w:val="32"/>
          <w:szCs w:val="32"/>
          <w:lang w:val="en-US" w:eastAsia="zh-CN"/>
        </w:rPr>
      </w:pPr>
      <w:r>
        <w:rPr>
          <w:rFonts w:hint="eastAsia" w:ascii="方正仿宋简体" w:hAnsi="方正仿宋简体" w:eastAsia="方正仿宋简体" w:cs="方正仿宋简体"/>
          <w:b w:val="0"/>
          <w:bCs/>
          <w:sz w:val="32"/>
          <w:szCs w:val="32"/>
          <w:lang w:val="en-US" w:eastAsia="zh-CN"/>
        </w:rPr>
        <w:t>该项目是</w:t>
      </w:r>
      <w:r>
        <w:rPr>
          <w:rFonts w:hint="eastAsia" w:eastAsia="方正仿宋简体"/>
          <w:color w:val="auto"/>
          <w:sz w:val="32"/>
          <w:szCs w:val="32"/>
          <w:lang w:val="en-US" w:eastAsia="zh-CN"/>
        </w:rPr>
        <w:t>2015年和2018年省交通运输厅公路局下达的目标任务，鉴于时间紧、任务重、困难多的情况，我们能及时与政府、发改、财政、住建、国土、水务、电力、环保等相关部门共同配合完善项目相关手续，责任落实到位，项目的工作落实到具体股室、落实到人，相关股室负责人能与施工方紧密联系，紧抓工程进度推进，同时认真贯彻落实厉行勤俭节约、反对铺张浪费的一系列政策规定，严格执行财务制度，对下达的项目经费建立监督机制和台账。</w:t>
      </w:r>
    </w:p>
    <w:p>
      <w:pPr>
        <w:numPr>
          <w:ilvl w:val="0"/>
          <w:numId w:val="5"/>
        </w:numPr>
        <w:spacing w:line="580" w:lineRule="exact"/>
        <w:ind w:left="0" w:leftChars="0" w:firstLine="643" w:firstLineChars="200"/>
        <w:rPr>
          <w:rFonts w:hint="eastAsia" w:eastAsia="方正楷体简体"/>
          <w:b/>
          <w:sz w:val="32"/>
          <w:szCs w:val="32"/>
        </w:rPr>
      </w:pPr>
      <w:r>
        <w:rPr>
          <w:rFonts w:hint="eastAsia" w:eastAsia="方正楷体简体"/>
          <w:b/>
          <w:sz w:val="32"/>
          <w:szCs w:val="32"/>
        </w:rPr>
        <w:t>存在的问题</w:t>
      </w:r>
    </w:p>
    <w:p>
      <w:pPr>
        <w:pStyle w:val="2"/>
        <w:numPr>
          <w:ilvl w:val="0"/>
          <w:numId w:val="0"/>
        </w:numPr>
        <w:ind w:leftChars="200" w:firstLine="640" w:firstLineChars="200"/>
        <w:rPr>
          <w:rFonts w:hint="eastAsia" w:ascii="方正仿宋简体" w:hAnsi="方正仿宋简体" w:eastAsia="方正仿宋简体" w:cs="方正仿宋简体"/>
          <w:sz w:val="32"/>
          <w:szCs w:val="40"/>
          <w:lang w:val="en-US" w:eastAsia="zh-CN"/>
        </w:rPr>
      </w:pPr>
      <w:r>
        <w:rPr>
          <w:rFonts w:hint="eastAsia" w:ascii="方正仿宋简体" w:hAnsi="方正仿宋简体" w:eastAsia="方正仿宋简体" w:cs="方正仿宋简体"/>
          <w:sz w:val="32"/>
          <w:szCs w:val="40"/>
          <w:lang w:val="en-US"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960" w:firstLineChars="300"/>
        <w:rPr>
          <w:rFonts w:hint="eastAsia" w:eastAsia="方正仿宋简体"/>
          <w:sz w:val="32"/>
          <w:szCs w:val="32"/>
          <w:lang w:val="en-US" w:eastAsia="zh-CN"/>
        </w:rPr>
      </w:pPr>
      <w:r>
        <w:rPr>
          <w:rFonts w:hint="eastAsia" w:eastAsia="方正仿宋简体"/>
          <w:sz w:val="32"/>
          <w:szCs w:val="32"/>
          <w:lang w:val="en-US" w:eastAsia="zh-CN"/>
        </w:rPr>
        <w:t>无</w:t>
      </w:r>
    </w:p>
    <w:p>
      <w:pPr>
        <w:spacing w:line="620" w:lineRule="exact"/>
        <w:jc w:val="left"/>
        <w:rPr>
          <w:rFonts w:hint="eastAsia" w:eastAsia="方正仿宋简体"/>
          <w:sz w:val="32"/>
          <w:szCs w:val="32"/>
        </w:rPr>
      </w:pPr>
      <w:r>
        <w:rPr>
          <w:rFonts w:hint="eastAsia" w:eastAsia="方正仿宋简体"/>
          <w:sz w:val="32"/>
          <w:szCs w:val="32"/>
        </w:rPr>
        <w:t>附件：1.2022年度乐至县项目支出绩效自评计分表</w:t>
      </w:r>
    </w:p>
    <w:p>
      <w:pPr>
        <w:spacing w:line="620" w:lineRule="exact"/>
        <w:ind w:firstLine="960" w:firstLineChars="300"/>
        <w:jc w:val="left"/>
        <w:rPr>
          <w:rFonts w:hint="eastAsia" w:eastAsia="方正仿宋简体"/>
          <w:sz w:val="32"/>
          <w:szCs w:val="32"/>
        </w:rPr>
      </w:pPr>
      <w:r>
        <w:rPr>
          <w:rFonts w:hint="eastAsia" w:eastAsia="方正仿宋简体"/>
          <w:sz w:val="32"/>
          <w:szCs w:val="32"/>
        </w:rPr>
        <w:t>2.2022年度乐至县项目支出绩效目标完成情况表</w:t>
      </w:r>
    </w:p>
    <w:p>
      <w:pPr>
        <w:pStyle w:val="2"/>
        <w:rPr>
          <w:rFonts w:hint="eastAsia" w:eastAsia="方正仿宋简体"/>
          <w:sz w:val="32"/>
          <w:szCs w:val="32"/>
        </w:rPr>
      </w:pPr>
    </w:p>
    <w:p>
      <w:pPr>
        <w:rPr>
          <w:rFonts w:hint="eastAsia" w:eastAsia="方正仿宋简体"/>
          <w:sz w:val="32"/>
          <w:szCs w:val="32"/>
        </w:rPr>
      </w:pPr>
    </w:p>
    <w:p>
      <w:pPr>
        <w:pStyle w:val="2"/>
        <w:rPr>
          <w:rFonts w:hint="eastAsia" w:eastAsia="方正仿宋简体"/>
          <w:sz w:val="32"/>
          <w:szCs w:val="32"/>
        </w:rPr>
      </w:pPr>
    </w:p>
    <w:p>
      <w:pPr>
        <w:rPr>
          <w:rFonts w:hint="eastAsia" w:eastAsia="方正仿宋简体"/>
          <w:sz w:val="32"/>
          <w:szCs w:val="32"/>
        </w:rPr>
      </w:pPr>
    </w:p>
    <w:p>
      <w:pPr>
        <w:pStyle w:val="2"/>
        <w:rPr>
          <w:rFonts w:hint="eastAsia" w:eastAsia="方正仿宋简体"/>
          <w:sz w:val="32"/>
          <w:szCs w:val="32"/>
        </w:rPr>
      </w:pPr>
    </w:p>
    <w:p>
      <w:pPr>
        <w:rPr>
          <w:rFonts w:hint="eastAsia" w:eastAsia="方正仿宋简体"/>
          <w:sz w:val="32"/>
          <w:szCs w:val="32"/>
        </w:rPr>
      </w:pPr>
    </w:p>
    <w:p>
      <w:pPr>
        <w:pStyle w:val="2"/>
        <w:rPr>
          <w:rFonts w:hint="eastAsia" w:eastAsia="方正仿宋简体"/>
          <w:sz w:val="32"/>
          <w:szCs w:val="32"/>
        </w:rPr>
      </w:pPr>
    </w:p>
    <w:p>
      <w:pPr>
        <w:rPr>
          <w:rFonts w:hint="eastAsia" w:eastAsia="方正仿宋简体"/>
          <w:sz w:val="32"/>
          <w:szCs w:val="32"/>
        </w:rPr>
      </w:pPr>
    </w:p>
    <w:p>
      <w:pPr>
        <w:pStyle w:val="2"/>
        <w:rPr>
          <w:rFonts w:hint="eastAsia" w:eastAsia="方正仿宋简体"/>
          <w:sz w:val="32"/>
          <w:szCs w:val="32"/>
        </w:rPr>
      </w:pPr>
    </w:p>
    <w:p>
      <w:pPr>
        <w:rPr>
          <w:rFonts w:hint="eastAsia" w:eastAsia="方正仿宋简体"/>
          <w:sz w:val="32"/>
          <w:szCs w:val="32"/>
        </w:rPr>
      </w:pPr>
    </w:p>
    <w:p>
      <w:pPr>
        <w:pStyle w:val="2"/>
        <w:rPr>
          <w:rFonts w:hint="eastAsia" w:eastAsia="方正仿宋简体"/>
          <w:sz w:val="32"/>
          <w:szCs w:val="32"/>
        </w:rPr>
      </w:pPr>
    </w:p>
    <w:p>
      <w:pPr>
        <w:rPr>
          <w:rFonts w:hint="eastAsia" w:eastAsia="方正仿宋简体"/>
          <w:sz w:val="32"/>
          <w:szCs w:val="32"/>
        </w:rPr>
      </w:pPr>
    </w:p>
    <w:p>
      <w:pPr>
        <w:pStyle w:val="2"/>
        <w:rPr>
          <w:rFonts w:hint="eastAsia"/>
        </w:rPr>
      </w:pPr>
    </w:p>
    <w:p>
      <w:pPr>
        <w:pStyle w:val="2"/>
        <w:rPr>
          <w:rFonts w:hint="eastAsia"/>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乐至县公路机械化养护中心及童家停车区工程项目</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 xml:space="preserve">乐至县公路养护管理段    </w:t>
      </w:r>
      <w:r>
        <w:rPr>
          <w:rFonts w:hint="eastAsia"/>
          <w:bCs/>
          <w:kern w:val="0"/>
          <w:sz w:val="24"/>
        </w:rPr>
        <w:t>预算单位编码：</w:t>
      </w:r>
      <w:r>
        <w:rPr>
          <w:rFonts w:hint="default"/>
          <w:bCs/>
          <w:kern w:val="0"/>
          <w:sz w:val="24"/>
          <w:lang w:val="en-US"/>
        </w:rPr>
        <w:t>414101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98</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0"/>
          <w:szCs w:val="40"/>
        </w:rPr>
      </w:pPr>
      <w:r>
        <w:rPr>
          <w:rFonts w:hint="eastAsia" w:eastAsia="方正小标宋简体"/>
          <w:bCs/>
          <w:kern w:val="0"/>
          <w:sz w:val="40"/>
          <w:szCs w:val="40"/>
        </w:rPr>
        <w:t>202</w:t>
      </w:r>
      <w:r>
        <w:rPr>
          <w:rFonts w:hint="eastAsia" w:eastAsia="方正小标宋简体"/>
          <w:bCs/>
          <w:kern w:val="0"/>
          <w:sz w:val="40"/>
          <w:szCs w:val="40"/>
          <w:lang w:val="en-US" w:eastAsia="zh-CN"/>
        </w:rPr>
        <w:t>2</w:t>
      </w:r>
      <w:r>
        <w:rPr>
          <w:rFonts w:hint="eastAsia" w:eastAsia="方正小标宋简体"/>
          <w:bCs/>
          <w:kern w:val="0"/>
          <w:sz w:val="40"/>
          <w:szCs w:val="40"/>
        </w:rPr>
        <w:t>年度乐至县项目支出绩效目标完成情况</w:t>
      </w:r>
      <w:r>
        <w:rPr>
          <w:rFonts w:hint="eastAsia" w:eastAsia="方正小标宋简体"/>
          <w:color w:val="000000"/>
          <w:spacing w:val="-12"/>
          <w:kern w:val="0"/>
          <w:sz w:val="40"/>
          <w:szCs w:val="40"/>
        </w:rPr>
        <w:t>表</w:t>
      </w:r>
    </w:p>
    <w:p>
      <w:pPr>
        <w:pStyle w:val="7"/>
        <w:spacing w:after="0" w:line="240" w:lineRule="exact"/>
        <w:rPr>
          <w:rFonts w:ascii="宋体"/>
        </w:rPr>
      </w:pPr>
    </w:p>
    <w:tbl>
      <w:tblPr>
        <w:tblStyle w:val="17"/>
        <w:tblW w:w="104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7"/>
        <w:gridCol w:w="1510"/>
        <w:gridCol w:w="1211"/>
        <w:gridCol w:w="1061"/>
        <w:gridCol w:w="1328"/>
        <w:gridCol w:w="1472"/>
        <w:gridCol w:w="29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9525"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乐至县公路机械化养护中心及童家停车区工程项目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87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民生保障</w:t>
            </w:r>
          </w:p>
        </w:tc>
        <w:tc>
          <w:tcPr>
            <w:tcW w:w="2389"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4415"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211" w:type="dxa"/>
            <w:noWrap/>
            <w:vAlign w:val="center"/>
          </w:tcPr>
          <w:p>
            <w:pPr>
              <w:spacing w:line="240" w:lineRule="exact"/>
              <w:jc w:val="center"/>
              <w:rPr>
                <w:szCs w:val="21"/>
              </w:rPr>
            </w:pPr>
            <w:r>
              <w:rPr>
                <w:rFonts w:hint="eastAsia"/>
                <w:color w:val="000000"/>
                <w:kern w:val="0"/>
                <w:szCs w:val="21"/>
              </w:rPr>
              <w:t>□</w:t>
            </w:r>
          </w:p>
        </w:tc>
        <w:tc>
          <w:tcPr>
            <w:tcW w:w="2389" w:type="dxa"/>
            <w:gridSpan w:val="2"/>
            <w:noWrap/>
            <w:vAlign w:val="center"/>
          </w:tcPr>
          <w:p>
            <w:pPr>
              <w:spacing w:line="240" w:lineRule="exact"/>
              <w:jc w:val="center"/>
              <w:rPr>
                <w:szCs w:val="21"/>
              </w:rPr>
            </w:pPr>
            <w:r>
              <w:rPr>
                <w:rFonts w:hint="eastAsia"/>
                <w:color w:val="000000"/>
                <w:kern w:val="0"/>
                <w:szCs w:val="21"/>
              </w:rPr>
              <w:sym w:font="Wingdings 2" w:char="0052"/>
            </w:r>
          </w:p>
        </w:tc>
        <w:tc>
          <w:tcPr>
            <w:tcW w:w="4415"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110" w:type="dxa"/>
            <w:gridSpan w:val="4"/>
            <w:noWrap/>
            <w:vAlign w:val="center"/>
          </w:tcPr>
          <w:p>
            <w:pPr>
              <w:widowControl/>
              <w:spacing w:line="240" w:lineRule="exact"/>
              <w:jc w:val="center"/>
              <w:rPr>
                <w:color w:val="000000"/>
                <w:kern w:val="0"/>
                <w:szCs w:val="21"/>
              </w:rPr>
            </w:pPr>
            <w:r>
              <w:rPr>
                <w:rFonts w:hint="eastAsia"/>
                <w:color w:val="000000"/>
                <w:kern w:val="0"/>
                <w:szCs w:val="21"/>
                <w:lang w:eastAsia="zh-CN"/>
              </w:rPr>
              <w:t>乐至县公路养护管理段</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77"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328"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94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21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2014</w:t>
            </w:r>
          </w:p>
        </w:tc>
        <w:tc>
          <w:tcPr>
            <w:tcW w:w="106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1755.7414</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211" w:type="dxa"/>
            <w:noWrap/>
            <w:vAlign w:val="center"/>
          </w:tcPr>
          <w:p>
            <w:pPr>
              <w:widowControl/>
              <w:spacing w:line="240" w:lineRule="exact"/>
              <w:jc w:val="center"/>
              <w:rPr>
                <w:rFonts w:hint="default" w:eastAsia="宋体"/>
                <w:color w:val="000000"/>
                <w:kern w:val="0"/>
                <w:szCs w:val="21"/>
                <w:lang w:val="en-US" w:eastAsia="zh-CN"/>
              </w:rPr>
            </w:pPr>
            <w:r>
              <w:rPr>
                <w:rFonts w:hint="default" w:eastAsia="宋体"/>
                <w:color w:val="000000"/>
                <w:kern w:val="0"/>
                <w:szCs w:val="21"/>
                <w:lang w:val="en-US" w:eastAsia="zh-CN"/>
              </w:rPr>
              <w:t>2014</w:t>
            </w:r>
          </w:p>
        </w:tc>
        <w:tc>
          <w:tcPr>
            <w:tcW w:w="106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1755.7414</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211" w:type="dxa"/>
            <w:noWrap/>
            <w:vAlign w:val="center"/>
          </w:tcPr>
          <w:p>
            <w:pPr>
              <w:widowControl/>
              <w:spacing w:line="240" w:lineRule="exact"/>
              <w:jc w:val="center"/>
              <w:rPr>
                <w:color w:val="000000"/>
                <w:kern w:val="0"/>
                <w:szCs w:val="21"/>
              </w:rPr>
            </w:pPr>
          </w:p>
        </w:tc>
        <w:tc>
          <w:tcPr>
            <w:tcW w:w="10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77"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328"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94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11" w:type="dxa"/>
            <w:noWrap/>
            <w:vAlign w:val="center"/>
          </w:tcPr>
          <w:p>
            <w:pPr>
              <w:widowControl/>
              <w:spacing w:line="240" w:lineRule="exact"/>
              <w:jc w:val="left"/>
              <w:rPr>
                <w:rFonts w:hint="default" w:eastAsia="宋体"/>
                <w:color w:val="000000"/>
                <w:kern w:val="0"/>
                <w:szCs w:val="21"/>
                <w:lang w:val="en-US" w:eastAsia="zh-CN"/>
              </w:rPr>
            </w:pPr>
          </w:p>
        </w:tc>
        <w:tc>
          <w:tcPr>
            <w:tcW w:w="10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11" w:type="dxa"/>
            <w:noWrap/>
            <w:vAlign w:val="center"/>
          </w:tcPr>
          <w:p>
            <w:pPr>
              <w:widowControl/>
              <w:spacing w:line="240" w:lineRule="exact"/>
              <w:jc w:val="left"/>
              <w:rPr>
                <w:rFonts w:hint="default" w:eastAsia="宋体"/>
                <w:color w:val="000000"/>
                <w:kern w:val="0"/>
                <w:szCs w:val="21"/>
                <w:lang w:val="en-US" w:eastAsia="zh-CN"/>
              </w:rPr>
            </w:pPr>
          </w:p>
        </w:tc>
        <w:tc>
          <w:tcPr>
            <w:tcW w:w="10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1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0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21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0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21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06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943"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77"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72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38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415"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2721" w:type="dxa"/>
            <w:gridSpan w:val="2"/>
            <w:noWrap/>
            <w:vAlign w:val="center"/>
          </w:tcPr>
          <w:p>
            <w:pPr>
              <w:widowControl/>
              <w:spacing w:line="240" w:lineRule="exact"/>
              <w:jc w:val="left"/>
              <w:rPr>
                <w:color w:val="000000"/>
                <w:kern w:val="0"/>
                <w:szCs w:val="21"/>
              </w:rPr>
            </w:pPr>
            <w:r>
              <w:rPr>
                <w:rFonts w:hint="eastAsia"/>
                <w:color w:val="000000"/>
                <w:kern w:val="0"/>
                <w:szCs w:val="21"/>
                <w:lang w:val="en-US" w:eastAsia="zh-CN"/>
              </w:rPr>
              <w:t>完成综合性用房、门卫室、公厕共1500㎡、机械设备房、库房共1000㎡、公共停车位若干及绿化、道路、给排水、水电等配套服务设施</w:t>
            </w:r>
          </w:p>
        </w:tc>
        <w:tc>
          <w:tcPr>
            <w:tcW w:w="2389" w:type="dxa"/>
            <w:gridSpan w:val="2"/>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全部完成</w:t>
            </w:r>
          </w:p>
        </w:tc>
        <w:tc>
          <w:tcPr>
            <w:tcW w:w="4415" w:type="dxa"/>
            <w:gridSpan w:val="2"/>
            <w:noWrap/>
            <w:vAlign w:val="center"/>
          </w:tcPr>
          <w:p>
            <w:pPr>
              <w:widowControl/>
              <w:spacing w:line="240" w:lineRule="exact"/>
              <w:jc w:val="center"/>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77"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328"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943"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8"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211"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06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综合性用房、门卫室、公厕</w:t>
            </w:r>
          </w:p>
        </w:tc>
        <w:tc>
          <w:tcPr>
            <w:tcW w:w="132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1500㎡</w:t>
            </w:r>
          </w:p>
        </w:tc>
        <w:tc>
          <w:tcPr>
            <w:tcW w:w="147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1500㎡</w:t>
            </w:r>
          </w:p>
        </w:tc>
        <w:tc>
          <w:tcPr>
            <w:tcW w:w="294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机械设备房、库房</w:t>
            </w:r>
          </w:p>
        </w:tc>
        <w:tc>
          <w:tcPr>
            <w:tcW w:w="132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1000㎡</w:t>
            </w:r>
          </w:p>
        </w:tc>
        <w:tc>
          <w:tcPr>
            <w:tcW w:w="147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1000㎡</w:t>
            </w:r>
          </w:p>
        </w:tc>
        <w:tc>
          <w:tcPr>
            <w:tcW w:w="294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公共停车位若干及绿化、道路、给排水、水电等配套服务设施</w:t>
            </w:r>
          </w:p>
        </w:tc>
        <w:tc>
          <w:tcPr>
            <w:tcW w:w="1328" w:type="dxa"/>
            <w:noWrap/>
            <w:vAlign w:val="center"/>
          </w:tcPr>
          <w:p>
            <w:pPr>
              <w:widowControl/>
              <w:spacing w:line="240" w:lineRule="exact"/>
              <w:jc w:val="center"/>
              <w:rPr>
                <w:rFonts w:hint="default"/>
                <w:color w:val="000000"/>
                <w:kern w:val="0"/>
                <w:szCs w:val="21"/>
                <w:lang w:val="en-US" w:eastAsia="zh-CN"/>
              </w:rPr>
            </w:pPr>
            <w:r>
              <w:rPr>
                <w:rFonts w:hint="eastAsia"/>
                <w:color w:val="000000"/>
                <w:kern w:val="0"/>
                <w:szCs w:val="21"/>
                <w:lang w:val="en-US" w:eastAsia="zh-CN"/>
              </w:rPr>
              <w:t>全部完成</w:t>
            </w:r>
          </w:p>
        </w:tc>
        <w:tc>
          <w:tcPr>
            <w:tcW w:w="1472" w:type="dxa"/>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全部完成</w:t>
            </w:r>
          </w:p>
        </w:tc>
        <w:tc>
          <w:tcPr>
            <w:tcW w:w="2943" w:type="dxa"/>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0"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06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竣工验收情况</w:t>
            </w:r>
          </w:p>
        </w:tc>
        <w:tc>
          <w:tcPr>
            <w:tcW w:w="1328"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合格</w:t>
            </w:r>
          </w:p>
        </w:tc>
        <w:tc>
          <w:tcPr>
            <w:tcW w:w="1472"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合格</w:t>
            </w:r>
          </w:p>
        </w:tc>
        <w:tc>
          <w:tcPr>
            <w:tcW w:w="294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交通安全设施完善情况</w:t>
            </w:r>
          </w:p>
        </w:tc>
        <w:tc>
          <w:tcPr>
            <w:tcW w:w="1328" w:type="dxa"/>
            <w:noWrap/>
            <w:vAlign w:val="center"/>
          </w:tcPr>
          <w:p>
            <w:pPr>
              <w:widowControl/>
              <w:spacing w:line="240" w:lineRule="exact"/>
              <w:jc w:val="center"/>
              <w:rPr>
                <w:color w:val="000000"/>
                <w:kern w:val="0"/>
                <w:szCs w:val="21"/>
              </w:rPr>
            </w:pPr>
            <w:r>
              <w:rPr>
                <w:rFonts w:hint="eastAsia"/>
                <w:color w:val="000000"/>
                <w:kern w:val="0"/>
                <w:szCs w:val="21"/>
              </w:rPr>
              <w:t>≥100%</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≥100%</w:t>
            </w:r>
          </w:p>
        </w:tc>
        <w:tc>
          <w:tcPr>
            <w:tcW w:w="294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完成时间</w:t>
            </w:r>
          </w:p>
        </w:tc>
        <w:tc>
          <w:tcPr>
            <w:tcW w:w="132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2023.4.7</w:t>
            </w:r>
          </w:p>
        </w:tc>
        <w:tc>
          <w:tcPr>
            <w:tcW w:w="147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2023.4.7</w:t>
            </w:r>
          </w:p>
        </w:tc>
        <w:tc>
          <w:tcPr>
            <w:tcW w:w="2943"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实际完工与合同完工产生偏差，主要受到场地被占用，诉讼，拌合站腾退影响施工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061" w:type="dxa"/>
            <w:noWrap/>
            <w:vAlign w:val="center"/>
          </w:tcPr>
          <w:p>
            <w:pPr>
              <w:widowControl/>
              <w:spacing w:line="240" w:lineRule="exact"/>
              <w:jc w:val="center"/>
              <w:rPr>
                <w:color w:val="auto"/>
                <w:kern w:val="0"/>
                <w:szCs w:val="21"/>
              </w:rPr>
            </w:pPr>
            <w:r>
              <w:rPr>
                <w:rFonts w:hint="eastAsia"/>
                <w:color w:val="auto"/>
                <w:kern w:val="0"/>
                <w:szCs w:val="21"/>
              </w:rPr>
              <w:t>成本管理</w:t>
            </w:r>
          </w:p>
        </w:tc>
        <w:tc>
          <w:tcPr>
            <w:tcW w:w="1328" w:type="dxa"/>
            <w:noWrap/>
            <w:vAlign w:val="center"/>
          </w:tcPr>
          <w:p>
            <w:pPr>
              <w:widowControl/>
              <w:spacing w:line="240" w:lineRule="exact"/>
              <w:jc w:val="center"/>
              <w:rPr>
                <w:color w:val="auto"/>
                <w:kern w:val="0"/>
                <w:szCs w:val="21"/>
              </w:rPr>
            </w:pPr>
            <w:r>
              <w:rPr>
                <w:rFonts w:hint="eastAsia" w:ascii="Times New Roman" w:hAnsi="Times New Roman" w:eastAsia="宋体" w:cs="Times New Roman"/>
                <w:color w:val="auto"/>
                <w:kern w:val="0"/>
                <w:szCs w:val="21"/>
                <w:lang w:val="en-US" w:eastAsia="zh-CN"/>
              </w:rPr>
              <w:t>总成本控制在</w:t>
            </w:r>
            <w:r>
              <w:rPr>
                <w:rFonts w:hint="eastAsia"/>
                <w:color w:val="auto"/>
                <w:kern w:val="0"/>
                <w:szCs w:val="21"/>
                <w:lang w:val="en-US" w:eastAsia="zh-CN"/>
              </w:rPr>
              <w:t xml:space="preserve">     2014万</w:t>
            </w:r>
            <w:r>
              <w:rPr>
                <w:rFonts w:hint="eastAsia" w:ascii="Times New Roman" w:hAnsi="Times New Roman" w:eastAsia="宋体" w:cs="Times New Roman"/>
                <w:color w:val="auto"/>
                <w:kern w:val="0"/>
                <w:szCs w:val="21"/>
                <w:lang w:val="en-US" w:eastAsia="zh-CN"/>
              </w:rPr>
              <w:t>元之内。</w:t>
            </w:r>
          </w:p>
        </w:tc>
        <w:tc>
          <w:tcPr>
            <w:tcW w:w="1472" w:type="dxa"/>
            <w:noWrap/>
            <w:vAlign w:val="center"/>
          </w:tcPr>
          <w:p>
            <w:pPr>
              <w:widowControl/>
              <w:spacing w:line="240" w:lineRule="exact"/>
              <w:jc w:val="center"/>
              <w:rPr>
                <w:rFonts w:hint="default" w:ascii="Times New Roman" w:hAnsi="Times New Roman" w:eastAsia="宋体" w:cs="Times New Roman"/>
                <w:color w:val="auto"/>
                <w:kern w:val="0"/>
                <w:sz w:val="21"/>
                <w:szCs w:val="21"/>
                <w:highlight w:val="none"/>
                <w:lang w:val="en-US" w:eastAsia="zh-CN" w:bidi="ar-SA"/>
              </w:rPr>
            </w:pPr>
            <w:r>
              <w:rPr>
                <w:rFonts w:hint="eastAsia"/>
                <w:color w:val="auto"/>
                <w:kern w:val="0"/>
                <w:szCs w:val="21"/>
                <w:highlight w:val="none"/>
                <w:lang w:val="en-US" w:eastAsia="zh-CN"/>
              </w:rPr>
              <w:t>截止目前实际项目总支出为   1755.7414万元。</w:t>
            </w:r>
          </w:p>
        </w:tc>
        <w:tc>
          <w:tcPr>
            <w:tcW w:w="2943" w:type="dxa"/>
            <w:noWrap/>
            <w:vAlign w:val="center"/>
          </w:tcPr>
          <w:p>
            <w:pPr>
              <w:widowControl/>
              <w:spacing w:line="240" w:lineRule="exact"/>
              <w:jc w:val="center"/>
              <w:rPr>
                <w:rFonts w:hint="default" w:ascii="Times New Roman" w:hAnsi="Times New Roman" w:eastAsia="宋体" w:cs="Times New Roman"/>
                <w:color w:val="auto"/>
                <w:kern w:val="0"/>
                <w:sz w:val="21"/>
                <w:szCs w:val="21"/>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1510"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106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城市地区经济发展</w:t>
            </w:r>
          </w:p>
        </w:tc>
        <w:tc>
          <w:tcPr>
            <w:tcW w:w="132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提升</w:t>
            </w:r>
          </w:p>
        </w:tc>
        <w:tc>
          <w:tcPr>
            <w:tcW w:w="147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提升</w:t>
            </w:r>
          </w:p>
        </w:tc>
        <w:tc>
          <w:tcPr>
            <w:tcW w:w="294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公路养护水平</w:t>
            </w:r>
          </w:p>
        </w:tc>
        <w:tc>
          <w:tcPr>
            <w:tcW w:w="1328" w:type="dxa"/>
            <w:noWrap/>
            <w:vAlign w:val="center"/>
          </w:tcPr>
          <w:p>
            <w:pPr>
              <w:widowControl/>
              <w:spacing w:line="240" w:lineRule="exact"/>
              <w:jc w:val="center"/>
              <w:rPr>
                <w:color w:val="000000"/>
                <w:kern w:val="0"/>
                <w:szCs w:val="21"/>
              </w:rPr>
            </w:pPr>
            <w:r>
              <w:rPr>
                <w:rFonts w:hint="eastAsia"/>
                <w:color w:val="000000"/>
                <w:kern w:val="0"/>
                <w:szCs w:val="21"/>
              </w:rPr>
              <w:t>提升</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提升</w:t>
            </w:r>
          </w:p>
        </w:tc>
        <w:tc>
          <w:tcPr>
            <w:tcW w:w="2943" w:type="dxa"/>
            <w:noWrap/>
            <w:vAlign w:val="center"/>
          </w:tcPr>
          <w:p>
            <w:pPr>
              <w:widowControl/>
              <w:spacing w:line="240" w:lineRule="exact"/>
              <w:jc w:val="center"/>
              <w:rPr>
                <w:color w:val="000000"/>
                <w:kern w:val="0"/>
                <w:szCs w:val="21"/>
              </w:rPr>
            </w:pPr>
            <w:bookmarkStart w:id="70" w:name="_GoBack"/>
            <w:bookmarkEnd w:id="70"/>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rPr>
              <w:t>道路保畅</w:t>
            </w:r>
            <w:r>
              <w:rPr>
                <w:rFonts w:hint="eastAsia"/>
                <w:color w:val="000000"/>
                <w:kern w:val="0"/>
                <w:szCs w:val="21"/>
                <w:lang w:val="en-US" w:eastAsia="zh-CN"/>
              </w:rPr>
              <w:t>能力</w:t>
            </w:r>
          </w:p>
        </w:tc>
        <w:tc>
          <w:tcPr>
            <w:tcW w:w="1328" w:type="dxa"/>
            <w:noWrap/>
            <w:vAlign w:val="center"/>
          </w:tcPr>
          <w:p>
            <w:pPr>
              <w:widowControl/>
              <w:spacing w:line="240" w:lineRule="exact"/>
              <w:jc w:val="center"/>
              <w:rPr>
                <w:color w:val="000000"/>
                <w:kern w:val="0"/>
                <w:szCs w:val="21"/>
              </w:rPr>
            </w:pPr>
            <w:r>
              <w:rPr>
                <w:rFonts w:hint="eastAsia"/>
                <w:color w:val="000000"/>
                <w:kern w:val="0"/>
                <w:szCs w:val="21"/>
              </w:rPr>
              <w:t>提升</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提升</w:t>
            </w:r>
          </w:p>
        </w:tc>
        <w:tc>
          <w:tcPr>
            <w:tcW w:w="294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1061" w:type="dxa"/>
            <w:noWrap/>
            <w:vAlign w:val="center"/>
          </w:tcPr>
          <w:p>
            <w:pPr>
              <w:widowControl/>
              <w:spacing w:line="240" w:lineRule="exact"/>
              <w:jc w:val="center"/>
              <w:rPr>
                <w:color w:val="000000"/>
                <w:kern w:val="0"/>
                <w:szCs w:val="21"/>
              </w:rPr>
            </w:pPr>
            <w:r>
              <w:rPr>
                <w:rFonts w:hint="eastAsia"/>
                <w:color w:val="000000"/>
                <w:kern w:val="0"/>
                <w:szCs w:val="21"/>
              </w:rPr>
              <w:t>道路路容路貌</w:t>
            </w:r>
          </w:p>
        </w:tc>
        <w:tc>
          <w:tcPr>
            <w:tcW w:w="1328" w:type="dxa"/>
            <w:noWrap/>
            <w:vAlign w:val="center"/>
          </w:tcPr>
          <w:p>
            <w:pPr>
              <w:widowControl/>
              <w:spacing w:line="240" w:lineRule="exact"/>
              <w:jc w:val="center"/>
              <w:rPr>
                <w:color w:val="000000"/>
                <w:kern w:val="0"/>
                <w:szCs w:val="21"/>
              </w:rPr>
            </w:pPr>
            <w:r>
              <w:rPr>
                <w:rFonts w:hint="eastAsia"/>
                <w:color w:val="000000"/>
                <w:kern w:val="0"/>
                <w:szCs w:val="21"/>
              </w:rPr>
              <w:t>提升</w:t>
            </w:r>
          </w:p>
        </w:tc>
        <w:tc>
          <w:tcPr>
            <w:tcW w:w="1472" w:type="dxa"/>
            <w:noWrap/>
            <w:vAlign w:val="center"/>
          </w:tcPr>
          <w:p>
            <w:pPr>
              <w:widowControl/>
              <w:spacing w:line="240" w:lineRule="exact"/>
              <w:jc w:val="center"/>
              <w:rPr>
                <w:color w:val="000000"/>
                <w:kern w:val="0"/>
                <w:szCs w:val="21"/>
              </w:rPr>
            </w:pPr>
            <w:r>
              <w:rPr>
                <w:rFonts w:hint="eastAsia"/>
                <w:color w:val="000000"/>
                <w:kern w:val="0"/>
                <w:szCs w:val="21"/>
              </w:rPr>
              <w:t>提升</w:t>
            </w:r>
          </w:p>
        </w:tc>
        <w:tc>
          <w:tcPr>
            <w:tcW w:w="294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生态灾害</w:t>
            </w:r>
          </w:p>
        </w:tc>
        <w:tc>
          <w:tcPr>
            <w:tcW w:w="1328"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降低</w:t>
            </w:r>
          </w:p>
        </w:tc>
        <w:tc>
          <w:tcPr>
            <w:tcW w:w="1472"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降低</w:t>
            </w:r>
          </w:p>
        </w:tc>
        <w:tc>
          <w:tcPr>
            <w:tcW w:w="294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106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抢先排危及时性</w:t>
            </w:r>
          </w:p>
        </w:tc>
        <w:tc>
          <w:tcPr>
            <w:tcW w:w="1328"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持续性影响</w:t>
            </w:r>
          </w:p>
        </w:tc>
        <w:tc>
          <w:tcPr>
            <w:tcW w:w="147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持续性影响</w:t>
            </w:r>
          </w:p>
        </w:tc>
        <w:tc>
          <w:tcPr>
            <w:tcW w:w="294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vMerge w:val="continue"/>
            <w:noWrap w:val="0"/>
            <w:vAlign w:val="center"/>
          </w:tcPr>
          <w:p>
            <w:pPr>
              <w:widowControl/>
              <w:spacing w:line="240" w:lineRule="exact"/>
              <w:jc w:val="left"/>
              <w:rPr>
                <w:color w:val="000000"/>
                <w:kern w:val="0"/>
                <w:szCs w:val="21"/>
              </w:rPr>
            </w:pPr>
          </w:p>
        </w:tc>
        <w:tc>
          <w:tcPr>
            <w:tcW w:w="1211" w:type="dxa"/>
            <w:vMerge w:val="continue"/>
            <w:noWrap w:val="0"/>
            <w:vAlign w:val="center"/>
          </w:tcPr>
          <w:p>
            <w:pPr>
              <w:widowControl/>
              <w:spacing w:line="240" w:lineRule="exact"/>
              <w:jc w:val="left"/>
              <w:rPr>
                <w:color w:val="000000"/>
                <w:kern w:val="0"/>
                <w:szCs w:val="21"/>
              </w:rPr>
            </w:pPr>
          </w:p>
        </w:tc>
        <w:tc>
          <w:tcPr>
            <w:tcW w:w="106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通行舒适度</w:t>
            </w:r>
          </w:p>
        </w:tc>
        <w:tc>
          <w:tcPr>
            <w:tcW w:w="1328"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持续性影响</w:t>
            </w:r>
          </w:p>
        </w:tc>
        <w:tc>
          <w:tcPr>
            <w:tcW w:w="1472"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持续性影响</w:t>
            </w:r>
          </w:p>
        </w:tc>
        <w:tc>
          <w:tcPr>
            <w:tcW w:w="294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77" w:type="dxa"/>
            <w:vMerge w:val="continue"/>
            <w:noWrap w:val="0"/>
            <w:vAlign w:val="center"/>
          </w:tcPr>
          <w:p>
            <w:pPr>
              <w:widowControl/>
              <w:spacing w:line="240" w:lineRule="exact"/>
              <w:jc w:val="left"/>
              <w:rPr>
                <w:color w:val="000000"/>
                <w:kern w:val="0"/>
                <w:szCs w:val="21"/>
              </w:rPr>
            </w:pPr>
          </w:p>
        </w:tc>
        <w:tc>
          <w:tcPr>
            <w:tcW w:w="1510"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211"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061"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服务对象满意度</w:t>
            </w:r>
          </w:p>
        </w:tc>
        <w:tc>
          <w:tcPr>
            <w:tcW w:w="1328"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≥97%</w:t>
            </w:r>
          </w:p>
        </w:tc>
        <w:tc>
          <w:tcPr>
            <w:tcW w:w="1472"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≥97%</w:t>
            </w:r>
          </w:p>
        </w:tc>
        <w:tc>
          <w:tcPr>
            <w:tcW w:w="294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bl>
    <w:p>
      <w:pPr>
        <w:spacing w:line="620" w:lineRule="exact"/>
        <w:jc w:val="left"/>
        <w:rPr>
          <w:rFonts w:ascii="宋体"/>
          <w:sz w:val="32"/>
          <w:szCs w:val="32"/>
        </w:rPr>
      </w:pPr>
    </w:p>
    <w:p>
      <w:pPr>
        <w:spacing w:line="580" w:lineRule="exact"/>
        <w:jc w:val="center"/>
        <w:rPr>
          <w:rFonts w:hint="eastAsia" w:eastAsia="方正小标宋简体"/>
          <w:sz w:val="44"/>
          <w:szCs w:val="44"/>
          <w:lang w:val="en-US" w:eastAsia="zh-CN"/>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年乐至县</w:t>
      </w:r>
      <w:r>
        <w:rPr>
          <w:rFonts w:hint="eastAsia" w:eastAsia="方正小标宋简体"/>
          <w:sz w:val="44"/>
          <w:szCs w:val="44"/>
          <w:lang w:val="en-US" w:eastAsia="zh-CN"/>
        </w:rPr>
        <w:t>公路养护管理段</w:t>
      </w:r>
    </w:p>
    <w:p>
      <w:pPr>
        <w:spacing w:line="580" w:lineRule="exact"/>
        <w:jc w:val="center"/>
        <w:rPr>
          <w:rFonts w:eastAsia="方正小标宋简体"/>
          <w:sz w:val="44"/>
          <w:szCs w:val="44"/>
        </w:rPr>
      </w:pPr>
      <w:r>
        <w:rPr>
          <w:rFonts w:hint="eastAsia" w:eastAsia="方正小标宋简体"/>
          <w:sz w:val="44"/>
          <w:szCs w:val="44"/>
        </w:rPr>
        <w:t>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专用燃料费</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hint="eastAsia" w:eastAsia="方正黑体简体"/>
          <w:sz w:val="32"/>
          <w:szCs w:val="32"/>
          <w:lang w:eastAsia="zh-CN"/>
        </w:rPr>
      </w:pPr>
      <w:r>
        <w:rPr>
          <w:rFonts w:hint="eastAsia" w:eastAsia="方正黑体简体"/>
          <w:sz w:val="32"/>
          <w:szCs w:val="32"/>
        </w:rPr>
        <w:t>一、项目基本情况</w:t>
      </w:r>
      <w:r>
        <w:rPr>
          <w:rFonts w:hint="eastAsia" w:eastAsia="方正黑体简体"/>
          <w:sz w:val="32"/>
          <w:szCs w:val="32"/>
          <w:lang w:eastAsia="zh-CN"/>
        </w:rPr>
        <w:t>。</w:t>
      </w:r>
    </w:p>
    <w:p>
      <w:pPr>
        <w:spacing w:line="580" w:lineRule="exact"/>
        <w:ind w:firstLine="643" w:firstLineChars="200"/>
        <w:rPr>
          <w:rFonts w:hint="eastAsia" w:eastAsia="方正楷体简体"/>
          <w:b/>
          <w:sz w:val="32"/>
          <w:szCs w:val="32"/>
          <w:lang w:eastAsia="zh-CN"/>
        </w:rPr>
      </w:pPr>
      <w:r>
        <w:rPr>
          <w:rFonts w:hint="eastAsia" w:eastAsia="方正楷体简体"/>
          <w:b/>
          <w:sz w:val="32"/>
          <w:szCs w:val="32"/>
        </w:rPr>
        <w:t>（一）概况</w:t>
      </w:r>
      <w:r>
        <w:rPr>
          <w:rFonts w:hint="eastAsia" w:eastAsia="方正楷体简体"/>
          <w:b/>
          <w:sz w:val="32"/>
          <w:szCs w:val="32"/>
          <w:lang w:eastAsia="zh-CN"/>
        </w:rPr>
        <w:t>。</w:t>
      </w:r>
    </w:p>
    <w:p>
      <w:pPr>
        <w:spacing w:line="580" w:lineRule="exact"/>
        <w:ind w:firstLine="643" w:firstLineChars="200"/>
        <w:rPr>
          <w:rFonts w:hint="default" w:ascii="仿宋" w:hAnsi="仿宋" w:eastAsia="仿宋" w:cs="仿宋"/>
          <w:sz w:val="32"/>
          <w:szCs w:val="32"/>
          <w:lang w:val="en-US" w:eastAsia="zh-CN"/>
        </w:rPr>
      </w:pPr>
      <w:r>
        <w:rPr>
          <w:rFonts w:hint="eastAsia" w:ascii="仿宋" w:hAnsi="仿宋" w:eastAsia="仿宋" w:cs="仿宋"/>
          <w:b/>
          <w:sz w:val="32"/>
          <w:szCs w:val="32"/>
        </w:rPr>
        <w:t>1.</w:t>
      </w:r>
      <w:r>
        <w:rPr>
          <w:rFonts w:hint="eastAsia" w:ascii="仿宋" w:hAnsi="仿宋" w:eastAsia="仿宋" w:cs="仿宋"/>
          <w:sz w:val="32"/>
          <w:szCs w:val="32"/>
          <w:lang w:eastAsia="zh-CN"/>
        </w:rPr>
        <w:t>为了适应公路建设与养护需求，保障单位正常运转，确保公路“畅、安、舒、美、洁”，</w:t>
      </w:r>
      <w:r>
        <w:rPr>
          <w:rFonts w:hint="eastAsia" w:ascii="仿宋" w:hAnsi="仿宋" w:eastAsia="仿宋" w:cs="仿宋"/>
          <w:sz w:val="32"/>
          <w:szCs w:val="32"/>
          <w:lang w:val="en-US" w:eastAsia="zh-CN"/>
        </w:rPr>
        <w:t>设置了专用燃料费这个项目，该项目用于安全检修、油费支出，保障道路畅通。</w:t>
      </w:r>
    </w:p>
    <w:p>
      <w:pPr>
        <w:spacing w:line="580" w:lineRule="exact"/>
        <w:ind w:firstLine="643" w:firstLineChars="200"/>
        <w:rPr>
          <w:rFonts w:hint="eastAsia" w:eastAsia="方正仿宋简体"/>
          <w:sz w:val="32"/>
          <w:szCs w:val="32"/>
          <w:lang w:eastAsia="zh-CN"/>
        </w:rPr>
      </w:pPr>
      <w:r>
        <w:rPr>
          <w:rFonts w:hint="eastAsia" w:ascii="仿宋" w:hAnsi="仿宋" w:eastAsia="仿宋" w:cs="仿宋"/>
          <w:b/>
          <w:sz w:val="32"/>
          <w:szCs w:val="32"/>
        </w:rPr>
        <w:t>2.</w:t>
      </w:r>
      <w:r>
        <w:rPr>
          <w:rFonts w:hint="eastAsia" w:ascii="仿宋" w:hAnsi="仿宋" w:eastAsia="仿宋" w:cs="仿宋"/>
          <w:sz w:val="32"/>
          <w:szCs w:val="32"/>
        </w:rPr>
        <w:t>预算资金来源</w:t>
      </w:r>
      <w:r>
        <w:rPr>
          <w:rFonts w:hint="eastAsia" w:ascii="仿宋" w:hAnsi="仿宋" w:eastAsia="仿宋" w:cs="仿宋"/>
          <w:sz w:val="32"/>
          <w:szCs w:val="32"/>
          <w:lang w:eastAsia="zh-CN"/>
        </w:rPr>
        <w:t>：上级、县本级财政支出，在</w:t>
      </w:r>
      <w:r>
        <w:rPr>
          <w:rFonts w:hint="eastAsia" w:ascii="仿宋" w:hAnsi="仿宋" w:eastAsia="仿宋" w:cs="仿宋"/>
          <w:sz w:val="32"/>
          <w:szCs w:val="32"/>
          <w:lang w:val="en-US" w:eastAsia="zh-CN"/>
        </w:rPr>
        <w:t>财政</w:t>
      </w:r>
      <w:r>
        <w:rPr>
          <w:rFonts w:hint="eastAsia" w:ascii="仿宋" w:hAnsi="仿宋" w:eastAsia="仿宋" w:cs="仿宋"/>
          <w:sz w:val="32"/>
          <w:szCs w:val="32"/>
          <w:lang w:eastAsia="zh-CN"/>
        </w:rPr>
        <w:t>指导监督下</w:t>
      </w:r>
      <w:r>
        <w:rPr>
          <w:rFonts w:hint="eastAsia" w:ascii="仿宋" w:hAnsi="仿宋" w:eastAsia="仿宋" w:cs="仿宋"/>
          <w:sz w:val="32"/>
          <w:szCs w:val="32"/>
        </w:rPr>
        <w:t>使用</w:t>
      </w:r>
      <w:r>
        <w:rPr>
          <w:rFonts w:hint="eastAsia" w:ascii="仿宋" w:hAnsi="仿宋" w:eastAsia="仿宋" w:cs="仿宋"/>
          <w:sz w:val="32"/>
          <w:szCs w:val="32"/>
          <w:lang w:eastAsia="zh-CN"/>
        </w:rPr>
        <w:t>。</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ind w:left="0" w:right="0" w:firstLine="420"/>
        <w:jc w:val="left"/>
        <w:rPr>
          <w:rFonts w:hint="eastAsia" w:ascii="仿宋" w:hAnsi="仿宋" w:eastAsia="仿宋" w:cs="仿宋"/>
          <w:kern w:val="2"/>
          <w:sz w:val="32"/>
          <w:szCs w:val="32"/>
          <w:lang w:val="en-US" w:eastAsia="zh-CN" w:bidi="ar-SA"/>
        </w:rPr>
      </w:pPr>
      <w:r>
        <w:rPr>
          <w:rFonts w:hint="eastAsia" w:ascii="仿宋" w:hAnsi="仿宋" w:eastAsia="仿宋" w:cs="仿宋"/>
          <w:b/>
          <w:sz w:val="32"/>
          <w:szCs w:val="32"/>
        </w:rPr>
        <w:t>3.</w:t>
      </w:r>
      <w:r>
        <w:rPr>
          <w:rFonts w:hint="eastAsia" w:ascii="仿宋" w:hAnsi="仿宋" w:eastAsia="仿宋" w:cs="仿宋"/>
          <w:sz w:val="32"/>
          <w:szCs w:val="32"/>
        </w:rPr>
        <w:t>实施情况</w:t>
      </w:r>
      <w:r>
        <w:rPr>
          <w:rFonts w:hint="eastAsia" w:ascii="仿宋" w:hAnsi="仿宋" w:eastAsia="仿宋" w:cs="仿宋"/>
          <w:kern w:val="2"/>
          <w:sz w:val="32"/>
          <w:szCs w:val="32"/>
          <w:lang w:val="en-US" w:eastAsia="zh-CN" w:bidi="ar-SA"/>
        </w:rPr>
        <w:t>：资金计划及到位。专用油料费于2022年1月已全部到位，全部为财政拨款。资金预算9.6万元，实际到位9.6万元。</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ind w:left="0" w:right="0" w:firstLine="42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4、资金使用。2022年该项目资金的实际支出4.1975万元，已使用全年预算总额的43.72%，主要用于特种车辆安全检修和油费支出，确实保障道路的畅通。</w:t>
      </w:r>
    </w:p>
    <w:p>
      <w:pPr>
        <w:pStyle w:val="15"/>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225" w:afterAutospacing="0"/>
        <w:ind w:left="0" w:right="0" w:firstLine="420"/>
        <w:jc w:val="left"/>
        <w:rPr>
          <w:rFonts w:ascii="微软雅黑" w:hAnsi="微软雅黑" w:eastAsia="微软雅黑" w:cs="微软雅黑"/>
          <w:i w:val="0"/>
          <w:iCs w:val="0"/>
          <w:caps w:val="0"/>
          <w:color w:val="333333"/>
          <w:spacing w:val="0"/>
          <w:sz w:val="24"/>
          <w:szCs w:val="24"/>
          <w:shd w:val="clear" w:color="auto" w:fill="FFFFFF"/>
        </w:rPr>
      </w:pPr>
      <w:r>
        <w:rPr>
          <w:rFonts w:hint="eastAsia" w:ascii="仿宋" w:hAnsi="仿宋" w:eastAsia="仿宋" w:cs="仿宋"/>
          <w:sz w:val="32"/>
          <w:szCs w:val="32"/>
          <w:lang w:val="en-US" w:eastAsia="zh-CN"/>
        </w:rPr>
        <w:t>5.</w:t>
      </w:r>
      <w:r>
        <w:rPr>
          <w:rFonts w:hint="eastAsia" w:ascii="仿宋" w:hAnsi="仿宋" w:eastAsia="仿宋" w:cs="仿宋"/>
          <w:sz w:val="32"/>
          <w:szCs w:val="32"/>
        </w:rPr>
        <w:t>组织及管理</w:t>
      </w:r>
      <w:r>
        <w:rPr>
          <w:rFonts w:hint="eastAsia" w:ascii="仿宋" w:hAnsi="仿宋" w:eastAsia="仿宋" w:cs="仿宋"/>
          <w:sz w:val="32"/>
          <w:szCs w:val="32"/>
          <w:lang w:eastAsia="zh-CN"/>
        </w:rPr>
        <w:t>：</w:t>
      </w:r>
      <w:r>
        <w:rPr>
          <w:rFonts w:hint="eastAsia" w:ascii="仿宋" w:hAnsi="仿宋" w:eastAsia="仿宋" w:cs="仿宋"/>
          <w:kern w:val="2"/>
          <w:sz w:val="32"/>
          <w:szCs w:val="32"/>
          <w:lang w:val="en-US" w:eastAsia="zh-CN" w:bidi="ar-SA"/>
        </w:rPr>
        <w:t>专用燃料费采取财政直接支付形式，由单位年初做财政预算，严格按照项目资金管理办法对资金进行计划申请、划拨、使用，及时、规范对收支进行账务处理和会计核算</w:t>
      </w:r>
      <w:r>
        <w:rPr>
          <w:rFonts w:ascii="微软雅黑" w:hAnsi="微软雅黑" w:eastAsia="微软雅黑" w:cs="微软雅黑"/>
          <w:i w:val="0"/>
          <w:iCs w:val="0"/>
          <w:caps w:val="0"/>
          <w:color w:val="333333"/>
          <w:spacing w:val="0"/>
          <w:sz w:val="24"/>
          <w:szCs w:val="24"/>
          <w:shd w:val="clear" w:color="auto" w:fill="FFFFFF"/>
        </w:rPr>
        <w:t>。</w:t>
      </w:r>
    </w:p>
    <w:p>
      <w:pPr>
        <w:numPr>
          <w:ilvl w:val="0"/>
          <w:numId w:val="0"/>
        </w:numPr>
        <w:spacing w:line="580" w:lineRule="exact"/>
        <w:rPr>
          <w:rFonts w:hint="eastAsia" w:eastAsia="方正楷体简体"/>
          <w:b/>
          <w:sz w:val="32"/>
          <w:szCs w:val="32"/>
          <w:lang w:eastAsia="zh-CN"/>
        </w:rPr>
      </w:pPr>
      <w:r>
        <w:rPr>
          <w:rFonts w:hint="eastAsia" w:eastAsia="方正楷体简体"/>
          <w:b/>
          <w:sz w:val="32"/>
          <w:szCs w:val="32"/>
        </w:rPr>
        <w:t>（二）绩效目标</w:t>
      </w:r>
      <w:r>
        <w:rPr>
          <w:rFonts w:hint="eastAsia" w:eastAsia="方正楷体简体"/>
          <w:b/>
          <w:sz w:val="32"/>
          <w:szCs w:val="32"/>
          <w:lang w:eastAsia="zh-CN"/>
        </w:rPr>
        <w:t>。</w:t>
      </w:r>
    </w:p>
    <w:p>
      <w:pPr>
        <w:spacing w:line="58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2022年，按照一辆车2.4万元标准，共4辆车，预算金额9.6万元，用于专用车辆燃料费，保障单位车辆正常运转。</w:t>
      </w:r>
    </w:p>
    <w:p>
      <w:pPr>
        <w:spacing w:line="580" w:lineRule="exact"/>
        <w:rPr>
          <w:rFonts w:hint="eastAsia" w:eastAsia="方正黑体简体"/>
          <w:sz w:val="32"/>
          <w:szCs w:val="32"/>
          <w:lang w:eastAsia="zh-CN"/>
        </w:rPr>
      </w:pPr>
      <w:r>
        <w:rPr>
          <w:rFonts w:hint="eastAsia" w:eastAsia="方正黑体简体"/>
          <w:sz w:val="32"/>
          <w:szCs w:val="32"/>
        </w:rPr>
        <w:t>二、绩效自评工作情况</w:t>
      </w:r>
      <w:r>
        <w:rPr>
          <w:rFonts w:hint="eastAsia" w:eastAsia="方正黑体简体"/>
          <w:sz w:val="32"/>
          <w:szCs w:val="32"/>
          <w:lang w:eastAsia="zh-CN"/>
        </w:rPr>
        <w:t>。</w:t>
      </w:r>
    </w:p>
    <w:p>
      <w:pPr>
        <w:spacing w:line="580" w:lineRule="exact"/>
        <w:rPr>
          <w:rFonts w:hint="eastAsia" w:eastAsia="方正楷体简体"/>
          <w:b/>
          <w:sz w:val="32"/>
          <w:szCs w:val="32"/>
          <w:lang w:eastAsia="zh-CN"/>
        </w:rPr>
      </w:pPr>
      <w:r>
        <w:rPr>
          <w:rFonts w:hint="eastAsia" w:eastAsia="方正楷体简体"/>
          <w:b/>
          <w:sz w:val="32"/>
          <w:szCs w:val="32"/>
        </w:rPr>
        <w:t>（一）自评工作组织领导</w:t>
      </w:r>
      <w:r>
        <w:rPr>
          <w:rFonts w:hint="eastAsia" w:eastAsia="方正楷体简体"/>
          <w:b/>
          <w:sz w:val="32"/>
          <w:szCs w:val="32"/>
          <w:lang w:eastAsia="zh-CN"/>
        </w:rPr>
        <w:t>。</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成立绩效评价工作小组：结合绩效评价的要求和项目建设的特点，组建项目资金绩效评价组，为项目开展提供组织基础。本着客观公正和有效原则，评价小组人员由单位中层以上干部组成，评价组按照设定的指标体系进行评价，由项目负责人进行梳理并整改。</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组  长：杨俊波   段党支部书记、段长</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副组长：田培春   副段长</w:t>
      </w:r>
    </w:p>
    <w:p>
      <w:pPr>
        <w:pStyle w:val="2"/>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吕扬     副段长</w:t>
      </w:r>
    </w:p>
    <w:p>
      <w:pPr>
        <w:rPr>
          <w:rFonts w:hint="default"/>
          <w:lang w:val="en-US" w:eastAsia="zh-CN"/>
        </w:rPr>
      </w:pPr>
      <w:r>
        <w:rPr>
          <w:rFonts w:hint="eastAsia"/>
          <w:lang w:val="en-US" w:eastAsia="zh-CN"/>
        </w:rPr>
        <w:t xml:space="preserve">                   </w:t>
      </w:r>
      <w:r>
        <w:rPr>
          <w:rFonts w:hint="eastAsia" w:ascii="方正仿宋简体" w:hAnsi="方正仿宋简体" w:eastAsia="方正仿宋简体" w:cs="方正仿宋简体"/>
          <w:kern w:val="2"/>
          <w:sz w:val="32"/>
          <w:szCs w:val="32"/>
          <w:lang w:val="en-US" w:eastAsia="zh-CN" w:bidi="ar-SA"/>
        </w:rPr>
        <w:t xml:space="preserve">邓海涛 </w:t>
      </w:r>
      <w:r>
        <w:rPr>
          <w:rFonts w:hint="eastAsia"/>
          <w:lang w:val="en-US" w:eastAsia="zh-CN"/>
        </w:rPr>
        <w:t xml:space="preserve">   </w:t>
      </w:r>
      <w:r>
        <w:rPr>
          <w:rFonts w:hint="eastAsia" w:ascii="方正仿宋简体" w:hAnsi="方正仿宋简体" w:eastAsia="方正仿宋简体" w:cs="方正仿宋简体"/>
          <w:sz w:val="32"/>
          <w:szCs w:val="32"/>
          <w:lang w:val="en-US" w:eastAsia="zh-CN"/>
        </w:rPr>
        <w:t>副段长</w:t>
      </w:r>
    </w:p>
    <w:p>
      <w:pPr>
        <w:spacing w:line="560" w:lineRule="exact"/>
        <w:ind w:firstLine="640" w:firstLineChars="2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成  员：许应平   养护股股长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蒲红红   办公室主任</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杨国春   政工股股长</w:t>
      </w:r>
    </w:p>
    <w:p>
      <w:pPr>
        <w:spacing w:line="560" w:lineRule="exact"/>
        <w:ind w:firstLine="1920" w:firstLineChars="600"/>
        <w:jc w:val="left"/>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杨钧凯   综治办主任</w:t>
      </w:r>
    </w:p>
    <w:p>
      <w:pPr>
        <w:spacing w:line="580" w:lineRule="exact"/>
        <w:ind w:firstLine="1920" w:firstLineChars="6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曹志林   养护股副股长</w:t>
      </w:r>
    </w:p>
    <w:p>
      <w:pPr>
        <w:spacing w:line="580" w:lineRule="exact"/>
        <w:rPr>
          <w:rFonts w:hint="eastAsia" w:eastAsia="方正楷体简体"/>
          <w:b/>
          <w:sz w:val="32"/>
          <w:szCs w:val="32"/>
          <w:lang w:eastAsia="zh-CN"/>
        </w:rPr>
      </w:pPr>
      <w:r>
        <w:rPr>
          <w:rFonts w:hint="eastAsia" w:eastAsia="方正楷体简体"/>
          <w:b/>
          <w:sz w:val="32"/>
          <w:szCs w:val="32"/>
        </w:rPr>
        <w:t>（二）自评方式、方法、重点等</w:t>
      </w:r>
      <w:r>
        <w:rPr>
          <w:rFonts w:hint="eastAsia" w:eastAsia="方正楷体简体"/>
          <w:b/>
          <w:sz w:val="32"/>
          <w:szCs w:val="32"/>
          <w:lang w:eastAsia="zh-CN"/>
        </w:rPr>
        <w:t>。</w:t>
      </w:r>
    </w:p>
    <w:p>
      <w:pPr>
        <w:spacing w:line="580" w:lineRule="exact"/>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color w:val="auto"/>
          <w:sz w:val="32"/>
          <w:szCs w:val="32"/>
          <w:lang w:val="en-US" w:eastAsia="zh-CN"/>
        </w:rPr>
        <w:t>根据实际情况，我单位</w:t>
      </w:r>
      <w:r>
        <w:rPr>
          <w:rFonts w:hint="eastAsia" w:ascii="方正仿宋简体" w:hAnsi="方正仿宋简体" w:eastAsia="方正仿宋简体" w:cs="方正仿宋简体"/>
          <w:sz w:val="32"/>
          <w:szCs w:val="32"/>
          <w:lang w:val="en-US" w:eastAsia="zh-CN"/>
        </w:rPr>
        <w:t>选用评价方法为比较法和询问查询法，经收集资料、核实情况、数据比对，比较原先设定和实际完成的工作任务和目标、比较原先经费预算安排和实际的各项经费开支。</w:t>
      </w:r>
    </w:p>
    <w:p>
      <w:pPr>
        <w:spacing w:line="580" w:lineRule="exact"/>
        <w:ind w:firstLine="640" w:firstLineChars="200"/>
        <w:rPr>
          <w:rFonts w:hint="eastAsia" w:eastAsia="方正黑体简体"/>
          <w:sz w:val="32"/>
          <w:szCs w:val="32"/>
          <w:lang w:eastAsia="zh-CN"/>
        </w:rPr>
      </w:pPr>
      <w:r>
        <w:rPr>
          <w:rFonts w:hint="eastAsia" w:eastAsia="方正黑体简体"/>
          <w:sz w:val="32"/>
          <w:szCs w:val="32"/>
        </w:rPr>
        <w:t>三、评价结论</w:t>
      </w:r>
      <w:r>
        <w:rPr>
          <w:rFonts w:hint="eastAsia" w:eastAsia="方正黑体简体"/>
          <w:sz w:val="32"/>
          <w:szCs w:val="32"/>
          <w:lang w:eastAsia="zh-CN"/>
        </w:rPr>
        <w:t>。</w:t>
      </w:r>
    </w:p>
    <w:p>
      <w:pPr>
        <w:spacing w:line="580" w:lineRule="exact"/>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该项目程序完整、规范，指标体系完善，预算执行及时、有效，自评得分95分，按照综合评分结果，依据《乐至县财政支出绩效评价管理办法》规定确定绩效等级为优。</w:t>
      </w:r>
    </w:p>
    <w:p>
      <w:pPr>
        <w:spacing w:line="580" w:lineRule="exact"/>
        <w:ind w:firstLine="640" w:firstLineChars="200"/>
        <w:rPr>
          <w:rFonts w:hint="eastAsia" w:eastAsia="方正黑体简体"/>
          <w:sz w:val="32"/>
          <w:szCs w:val="32"/>
          <w:lang w:eastAsia="zh-CN"/>
        </w:rPr>
      </w:pPr>
      <w:r>
        <w:rPr>
          <w:rFonts w:hint="eastAsia" w:eastAsia="方正黑体简体"/>
          <w:sz w:val="32"/>
          <w:szCs w:val="32"/>
        </w:rPr>
        <w:t>四、绩效分析</w:t>
      </w:r>
      <w:r>
        <w:rPr>
          <w:rFonts w:hint="eastAsia" w:eastAsia="方正黑体简体"/>
          <w:sz w:val="32"/>
          <w:szCs w:val="32"/>
          <w:lang w:eastAsia="zh-CN"/>
        </w:rPr>
        <w:t>。</w:t>
      </w:r>
    </w:p>
    <w:p>
      <w:pPr>
        <w:spacing w:line="580" w:lineRule="exact"/>
        <w:ind w:firstLine="640" w:firstLineChars="200"/>
        <w:jc w:val="both"/>
        <w:rPr>
          <w:rFonts w:hint="eastAsia" w:eastAsia="方正仿宋简体"/>
          <w:sz w:val="32"/>
          <w:szCs w:val="32"/>
          <w:lang w:val="en-US" w:eastAsia="zh-CN"/>
        </w:rPr>
      </w:pPr>
      <w:r>
        <w:rPr>
          <w:rFonts w:hint="eastAsia" w:eastAsia="方正仿宋简体"/>
          <w:sz w:val="32"/>
          <w:szCs w:val="32"/>
          <w:lang w:val="en-US" w:eastAsia="zh-CN"/>
        </w:rPr>
        <w:t>一级指标投入满分25分，自评25分，其中包含二级</w:t>
      </w:r>
      <w:r>
        <w:rPr>
          <w:rFonts w:hint="eastAsia" w:eastAsia="方正仿宋简体"/>
          <w:sz w:val="32"/>
          <w:szCs w:val="32"/>
        </w:rPr>
        <w:t>项目立项</w:t>
      </w:r>
      <w:r>
        <w:rPr>
          <w:rFonts w:hint="eastAsia" w:eastAsia="方正仿宋简体"/>
          <w:sz w:val="32"/>
          <w:szCs w:val="32"/>
          <w:lang w:val="en-US" w:eastAsia="zh-CN"/>
        </w:rPr>
        <w:t>指标满分15分，自评15，包含项目立项规范性5分，绩效目标合理性4分，绩效指标明确性6分；二级资金落实指标满分10分，自评10分，其中资金到位率5分，到位及时率5分；</w:t>
      </w:r>
    </w:p>
    <w:p>
      <w:pPr>
        <w:pStyle w:val="2"/>
        <w:ind w:left="0" w:leftChars="0" w:firstLine="640" w:firstLineChars="200"/>
        <w:jc w:val="both"/>
        <w:rPr>
          <w:rFonts w:hint="eastAsia" w:eastAsia="方正仿宋简体"/>
          <w:sz w:val="32"/>
          <w:szCs w:val="32"/>
          <w:lang w:val="en-US" w:eastAsia="zh-CN"/>
        </w:rPr>
      </w:pPr>
      <w:r>
        <w:rPr>
          <w:rFonts w:hint="eastAsia" w:eastAsia="方正仿宋简体"/>
          <w:sz w:val="32"/>
          <w:szCs w:val="32"/>
          <w:lang w:val="en-US" w:eastAsia="zh-CN"/>
        </w:rPr>
        <w:t>一级指标过程满分25分，自评24分，其中包含二级业务管理指标满分13分，自评13分，包含管理制度健全4分，制度执行有效性6分，项目质量可控性3分；二级财务管理指标满分12分，自评11分，包含管理制度健全3分，资金使用合规6分，财务监控有效2分；</w:t>
      </w:r>
    </w:p>
    <w:p>
      <w:pPr>
        <w:ind w:firstLine="640" w:firstLineChars="200"/>
        <w:jc w:val="left"/>
        <w:rPr>
          <w:rFonts w:hint="eastAsia" w:eastAsia="方正仿宋简体"/>
          <w:sz w:val="32"/>
          <w:szCs w:val="32"/>
          <w:lang w:val="en-US" w:eastAsia="zh-CN"/>
        </w:rPr>
      </w:pPr>
      <w:r>
        <w:rPr>
          <w:rFonts w:hint="eastAsia" w:eastAsia="方正仿宋简体"/>
          <w:sz w:val="32"/>
          <w:szCs w:val="32"/>
          <w:lang w:val="en-US" w:eastAsia="zh-CN"/>
        </w:rPr>
        <w:t>一级指标产出满分20分，自评17分，其中包含二级项目产出指标满分20分，自评17分，包含实际完成率2分，完成及时率6分，质量达标率4分，成本节约率5分，</w:t>
      </w:r>
    </w:p>
    <w:p>
      <w:pPr>
        <w:pStyle w:val="2"/>
        <w:ind w:left="0" w:leftChars="0" w:firstLine="640" w:firstLineChars="200"/>
        <w:rPr>
          <w:rFonts w:hint="default"/>
          <w:lang w:val="en-US" w:eastAsia="zh-CN"/>
        </w:rPr>
      </w:pPr>
      <w:r>
        <w:rPr>
          <w:rFonts w:hint="eastAsia" w:eastAsia="方正仿宋简体"/>
          <w:sz w:val="32"/>
          <w:szCs w:val="32"/>
          <w:lang w:val="en-US" w:eastAsia="zh-CN"/>
        </w:rPr>
        <w:t>一级指标效果满分30分，自评29分，其中二级项目效益30分，自评30分，包含经济效益5分，社会效益5分，生态效益5分，可持续影响5分，社会公众或服务对象满意度9分。</w:t>
      </w:r>
    </w:p>
    <w:p>
      <w:pPr>
        <w:spacing w:line="580" w:lineRule="exact"/>
        <w:ind w:firstLine="640" w:firstLineChars="200"/>
        <w:rPr>
          <w:rFonts w:hint="eastAsia" w:eastAsia="方正黑体简体"/>
          <w:sz w:val="32"/>
          <w:szCs w:val="32"/>
          <w:lang w:eastAsia="zh-CN"/>
        </w:rPr>
      </w:pPr>
      <w:r>
        <w:rPr>
          <w:rFonts w:hint="eastAsia" w:eastAsia="方正黑体简体"/>
          <w:sz w:val="32"/>
          <w:szCs w:val="32"/>
        </w:rPr>
        <w:t>五、主要经验及做法、存在的问题和建议</w:t>
      </w:r>
      <w:r>
        <w:rPr>
          <w:rFonts w:hint="eastAsia" w:eastAsia="方正黑体简体"/>
          <w:sz w:val="32"/>
          <w:szCs w:val="32"/>
          <w:lang w:eastAsia="zh-CN"/>
        </w:rPr>
        <w:t>。</w:t>
      </w:r>
    </w:p>
    <w:p>
      <w:pPr>
        <w:spacing w:line="580" w:lineRule="exact"/>
        <w:ind w:firstLine="643" w:firstLineChars="200"/>
        <w:rPr>
          <w:rFonts w:hint="eastAsia" w:eastAsia="方正楷体简体"/>
          <w:b/>
          <w:sz w:val="32"/>
          <w:szCs w:val="32"/>
          <w:lang w:eastAsia="zh-CN"/>
        </w:rPr>
      </w:pPr>
      <w:r>
        <w:rPr>
          <w:rFonts w:hint="eastAsia" w:eastAsia="方正楷体简体"/>
          <w:b/>
          <w:sz w:val="32"/>
          <w:szCs w:val="32"/>
        </w:rPr>
        <w:t>（一）主要经验及做法</w:t>
      </w:r>
      <w:r>
        <w:rPr>
          <w:rFonts w:hint="eastAsia" w:eastAsia="方正楷体简体"/>
          <w:b/>
          <w:sz w:val="32"/>
          <w:szCs w:val="32"/>
          <w:lang w:eastAsia="zh-CN"/>
        </w:rPr>
        <w:t>。</w:t>
      </w:r>
    </w:p>
    <w:p>
      <w:pPr>
        <w:pStyle w:val="2"/>
        <w:ind w:left="0" w:leftChars="0" w:firstLine="640" w:firstLineChars="200"/>
        <w:rPr>
          <w:rFonts w:hint="default" w:eastAsia="方正仿宋简体"/>
          <w:sz w:val="32"/>
          <w:szCs w:val="32"/>
          <w:lang w:val="en-US" w:eastAsia="zh-CN"/>
        </w:rPr>
      </w:pPr>
      <w:r>
        <w:rPr>
          <w:rFonts w:hint="eastAsia" w:eastAsia="方正仿宋简体"/>
          <w:sz w:val="32"/>
          <w:szCs w:val="32"/>
          <w:lang w:val="en-US" w:eastAsia="zh-CN"/>
        </w:rPr>
        <w:t>严格按照规定，实行专项支出管理，运行有序高效，保障了作业车的正常使用，坚决杜绝浪费燃料。</w:t>
      </w:r>
    </w:p>
    <w:p>
      <w:pPr>
        <w:numPr>
          <w:ilvl w:val="0"/>
          <w:numId w:val="6"/>
        </w:numPr>
        <w:spacing w:line="580" w:lineRule="exact"/>
        <w:ind w:firstLine="643" w:firstLineChars="200"/>
        <w:rPr>
          <w:rFonts w:hint="eastAsia" w:eastAsia="方正楷体简体"/>
          <w:b/>
          <w:sz w:val="32"/>
          <w:szCs w:val="32"/>
          <w:lang w:eastAsia="zh-CN"/>
        </w:rPr>
      </w:pPr>
      <w:r>
        <w:rPr>
          <w:rFonts w:hint="eastAsia" w:eastAsia="方正楷体简体"/>
          <w:b/>
          <w:sz w:val="32"/>
          <w:szCs w:val="32"/>
        </w:rPr>
        <w:t>存在的问题</w:t>
      </w:r>
      <w:r>
        <w:rPr>
          <w:rFonts w:hint="eastAsia" w:eastAsia="方正楷体简体"/>
          <w:b/>
          <w:sz w:val="32"/>
          <w:szCs w:val="32"/>
          <w:lang w:eastAsia="zh-CN"/>
        </w:rPr>
        <w:t>。</w:t>
      </w:r>
    </w:p>
    <w:p>
      <w:pPr>
        <w:pStyle w:val="2"/>
        <w:numPr>
          <w:ilvl w:val="0"/>
          <w:numId w:val="0"/>
        </w:numPr>
        <w:ind w:leftChars="0"/>
        <w:rPr>
          <w:rFonts w:hint="default"/>
          <w:lang w:val="en-US" w:eastAsia="zh-CN"/>
        </w:rPr>
      </w:pPr>
      <w:r>
        <w:rPr>
          <w:rFonts w:hint="eastAsia"/>
          <w:lang w:val="en-US" w:eastAsia="zh-CN"/>
        </w:rPr>
        <w:t xml:space="preserve">             </w:t>
      </w:r>
      <w:r>
        <w:rPr>
          <w:rFonts w:hint="eastAsia" w:ascii="Times New Roman" w:hAnsi="Times New Roman" w:eastAsia="方正楷体简体" w:cs="Times New Roman"/>
          <w:b/>
          <w:kern w:val="2"/>
          <w:sz w:val="32"/>
          <w:szCs w:val="32"/>
          <w:lang w:val="en-US" w:eastAsia="zh-CN" w:bidi="ar-SA"/>
        </w:rPr>
        <w:t xml:space="preserve">  </w:t>
      </w:r>
      <w:r>
        <w:rPr>
          <w:rFonts w:hint="eastAsia" w:eastAsia="方正仿宋简体"/>
          <w:sz w:val="32"/>
          <w:szCs w:val="32"/>
          <w:lang w:val="en-US" w:eastAsia="zh-CN"/>
        </w:rPr>
        <w:t>无</w:t>
      </w:r>
    </w:p>
    <w:p>
      <w:pPr>
        <w:spacing w:line="580" w:lineRule="exact"/>
        <w:ind w:firstLine="643" w:firstLineChars="200"/>
        <w:rPr>
          <w:rFonts w:hint="eastAsia" w:eastAsia="方正楷体简体"/>
          <w:b/>
          <w:sz w:val="32"/>
          <w:szCs w:val="32"/>
          <w:lang w:eastAsia="zh-CN"/>
        </w:rPr>
      </w:pPr>
      <w:r>
        <w:rPr>
          <w:rFonts w:hint="eastAsia" w:eastAsia="方正楷体简体"/>
          <w:b/>
          <w:sz w:val="32"/>
          <w:szCs w:val="32"/>
        </w:rPr>
        <w:t>（三）建议和改进措施</w:t>
      </w:r>
      <w:r>
        <w:rPr>
          <w:rFonts w:hint="eastAsia" w:eastAsia="方正楷体简体"/>
          <w:b/>
          <w:sz w:val="32"/>
          <w:szCs w:val="32"/>
          <w:lang w:eastAsia="zh-CN"/>
        </w:rPr>
        <w:t>。</w:t>
      </w:r>
    </w:p>
    <w:p>
      <w:pPr>
        <w:spacing w:line="580" w:lineRule="exact"/>
        <w:ind w:firstLine="1600" w:firstLineChars="500"/>
        <w:rPr>
          <w:rFonts w:hint="eastAsia" w:eastAsia="方正仿宋简体"/>
          <w:sz w:val="32"/>
          <w:szCs w:val="32"/>
          <w:lang w:val="en-US" w:eastAsia="zh-CN"/>
        </w:rPr>
      </w:pPr>
      <w:r>
        <w:rPr>
          <w:rFonts w:hint="eastAsia" w:eastAsia="方正仿宋简体"/>
          <w:sz w:val="32"/>
          <w:szCs w:val="32"/>
          <w:lang w:val="en-US" w:eastAsia="zh-CN"/>
        </w:rPr>
        <w:t>无</w:t>
      </w:r>
    </w:p>
    <w:p>
      <w:pPr>
        <w:spacing w:line="580" w:lineRule="exact"/>
        <w:ind w:firstLine="640" w:firstLineChars="200"/>
        <w:rPr>
          <w:rFonts w:hint="eastAsia" w:ascii="仿宋" w:hAnsi="仿宋" w:eastAsia="仿宋" w:cs="仿宋"/>
          <w:sz w:val="32"/>
          <w:szCs w:val="32"/>
        </w:rPr>
      </w:pPr>
      <w:r>
        <w:rPr>
          <w:rFonts w:hint="eastAsia" w:eastAsia="方正仿宋简体"/>
          <w:sz w:val="32"/>
          <w:szCs w:val="32"/>
        </w:rPr>
        <w:t>附件：</w:t>
      </w:r>
      <w:r>
        <w:rPr>
          <w:rFonts w:hint="eastAsia" w:ascii="仿宋" w:hAnsi="仿宋" w:eastAsia="仿宋" w:cs="仿宋"/>
          <w:sz w:val="32"/>
          <w:szCs w:val="32"/>
        </w:rPr>
        <w:t>1.2021年度乐至县项目支出绩效自评计分表</w:t>
      </w:r>
    </w:p>
    <w:p>
      <w:pPr>
        <w:spacing w:line="580" w:lineRule="exact"/>
        <w:ind w:firstLine="1600" w:firstLineChars="500"/>
        <w:rPr>
          <w:rFonts w:hint="eastAsia" w:ascii="仿宋" w:hAnsi="仿宋" w:eastAsia="仿宋" w:cs="仿宋"/>
          <w:sz w:val="32"/>
          <w:szCs w:val="32"/>
        </w:rPr>
      </w:pPr>
      <w:r>
        <w:rPr>
          <w:rFonts w:hint="eastAsia" w:ascii="仿宋" w:hAnsi="仿宋" w:eastAsia="仿宋" w:cs="仿宋"/>
          <w:sz w:val="32"/>
          <w:szCs w:val="32"/>
        </w:rPr>
        <w:t>2.2021年度乐至县项目支出绩效目标完成情况表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专用燃料费</w:t>
      </w:r>
      <w:r>
        <w:rPr>
          <w:rFonts w:hint="eastAsia" w:eastAsia="方正楷体简体"/>
          <w:b/>
          <w:bCs/>
          <w:kern w:val="0"/>
          <w:sz w:val="32"/>
          <w:szCs w:val="32"/>
        </w:rPr>
        <w:t>）</w:t>
      </w:r>
    </w:p>
    <w:p>
      <w:pPr>
        <w:spacing w:line="620" w:lineRule="exact"/>
        <w:rPr>
          <w:rFonts w:hint="eastAsia" w:eastAsia="宋体"/>
          <w:sz w:val="24"/>
          <w:lang w:eastAsia="zh-CN"/>
        </w:rPr>
      </w:pPr>
      <w:r>
        <w:rPr>
          <w:rFonts w:hint="eastAsia"/>
          <w:bCs/>
          <w:kern w:val="0"/>
          <w:sz w:val="24"/>
        </w:rPr>
        <w:t>预算单位名称：</w:t>
      </w:r>
      <w:r>
        <w:rPr>
          <w:rFonts w:hint="eastAsia"/>
          <w:bCs/>
          <w:kern w:val="0"/>
          <w:sz w:val="24"/>
          <w:lang w:eastAsia="zh-CN"/>
        </w:rPr>
        <w:t>乐至县</w:t>
      </w:r>
      <w:r>
        <w:rPr>
          <w:rFonts w:hint="eastAsia"/>
          <w:bCs/>
          <w:kern w:val="0"/>
          <w:sz w:val="24"/>
          <w:lang w:val="en-US" w:eastAsia="zh-CN"/>
        </w:rPr>
        <w:t>公路养护管理段</w:t>
      </w:r>
      <w:r>
        <w:rPr>
          <w:bCs/>
          <w:kern w:val="0"/>
          <w:sz w:val="24"/>
        </w:rPr>
        <w:t xml:space="preserve"> </w:t>
      </w:r>
      <w:r>
        <w:rPr>
          <w:rFonts w:hint="eastAsia"/>
          <w:bCs/>
          <w:kern w:val="0"/>
          <w:sz w:val="24"/>
        </w:rPr>
        <w:t>预算单位编码：</w:t>
      </w:r>
      <w:r>
        <w:rPr>
          <w:rFonts w:hint="eastAsia"/>
          <w:bCs/>
          <w:kern w:val="0"/>
          <w:sz w:val="24"/>
          <w:lang w:val="en-US" w:eastAsia="zh-CN"/>
        </w:rPr>
        <w:t>414101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2"/>
        <w:gridCol w:w="702"/>
        <w:gridCol w:w="850"/>
        <w:gridCol w:w="1699"/>
        <w:gridCol w:w="3545"/>
        <w:gridCol w:w="706"/>
        <w:gridCol w:w="8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widowControl/>
              <w:spacing w:line="260" w:lineRule="exact"/>
              <w:jc w:val="center"/>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widowControl/>
              <w:spacing w:line="260" w:lineRule="exact"/>
              <w:jc w:val="center"/>
              <w:rPr>
                <w:rFonts w:hint="eastAsia" w:eastAsia="宋体"/>
                <w:kern w:val="0"/>
                <w:szCs w:val="21"/>
                <w:lang w:val="en-US" w:eastAsia="zh-CN"/>
              </w:rPr>
            </w:pP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widowControl/>
              <w:spacing w:line="260" w:lineRule="exact"/>
              <w:jc w:val="center"/>
              <w:rPr>
                <w:rFonts w:hint="eastAsia" w:eastAsia="宋体"/>
                <w:kern w:val="0"/>
                <w:szCs w:val="21"/>
                <w:lang w:val="en-US" w:eastAsia="zh-CN"/>
              </w:rPr>
            </w:pP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widowControl/>
              <w:spacing w:line="260" w:lineRule="exact"/>
              <w:jc w:val="center"/>
              <w:rPr>
                <w:rFonts w:hint="eastAsia" w:eastAsia="宋体"/>
                <w:kern w:val="0"/>
                <w:szCs w:val="21"/>
                <w:lang w:val="en-US" w:eastAsia="zh-CN"/>
              </w:rPr>
            </w:pP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widowControl/>
              <w:spacing w:line="260" w:lineRule="exact"/>
              <w:jc w:val="center"/>
              <w:rPr>
                <w:kern w:val="0"/>
                <w:szCs w:val="21"/>
              </w:rPr>
            </w:pP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widowControl/>
              <w:spacing w:line="260" w:lineRule="exact"/>
              <w:jc w:val="center"/>
              <w:rPr>
                <w:rFonts w:hint="eastAsia" w:eastAsia="宋体"/>
                <w:kern w:val="0"/>
                <w:szCs w:val="21"/>
                <w:lang w:val="en-US" w:eastAsia="zh-CN"/>
              </w:rPr>
            </w:pP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2</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center"/>
              <w:rPr>
                <w:rFonts w:hint="eastAsia" w:eastAsia="宋体"/>
                <w:kern w:val="0"/>
                <w:szCs w:val="21"/>
                <w:lang w:val="en-US" w:eastAsia="zh-CN"/>
              </w:rPr>
            </w:pP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95</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footerReference r:id="rId3" w:type="default"/>
          <w:pgSz w:w="11907" w:h="16840"/>
          <w:pgMar w:top="2098" w:right="1474" w:bottom="1928" w:left="1588" w:header="851" w:footer="992" w:gutter="0"/>
          <w:cols w:space="720" w:num="1"/>
          <w:docGrid w:type="lines" w:linePitch="312" w:charSpace="0"/>
        </w:sectPr>
      </w:pPr>
    </w:p>
    <w:p>
      <w:pPr>
        <w:adjustRightInd w:val="0"/>
        <w:snapToGrid w:val="0"/>
        <w:spacing w:line="560" w:lineRule="exact"/>
        <w:jc w:val="left"/>
        <w:rPr>
          <w:rFonts w:hint="eastAsia" w:eastAsia="方正黑体简体"/>
          <w:lang w:eastAsia="zh-CN"/>
        </w:rPr>
      </w:pPr>
      <w:r>
        <w:rPr>
          <w:rFonts w:hint="eastAsia" w:eastAsia="方正黑体简体"/>
        </w:rPr>
        <w:t>附件4-</w:t>
      </w:r>
      <w:r>
        <w:rPr>
          <w:rFonts w:hint="eastAsia" w:eastAsia="方正黑体简体"/>
          <w:lang w:val="en-US" w:eastAsia="zh-CN"/>
        </w:rPr>
        <w:t>2</w:t>
      </w:r>
    </w:p>
    <w:p>
      <w:pPr>
        <w:adjustRightInd w:val="0"/>
        <w:snapToGrid w:val="0"/>
        <w:spacing w:line="560" w:lineRule="exact"/>
        <w:jc w:val="center"/>
        <w:rPr>
          <w:rFonts w:hint="eastAsia" w:eastAsia="方正小标宋简体"/>
          <w:spacing w:val="-12"/>
          <w:kern w:val="0"/>
          <w:sz w:val="44"/>
          <w:szCs w:val="44"/>
        </w:rPr>
      </w:pPr>
      <w:r>
        <w:rPr>
          <w:rFonts w:hint="eastAsia" w:eastAsia="方正小标宋简体"/>
          <w:spacing w:val="-12"/>
          <w:kern w:val="0"/>
          <w:sz w:val="44"/>
          <w:szCs w:val="44"/>
        </w:rPr>
        <w:t>202</w:t>
      </w:r>
      <w:r>
        <w:rPr>
          <w:rFonts w:hint="eastAsia" w:eastAsia="方正小标宋简体"/>
          <w:spacing w:val="-12"/>
          <w:kern w:val="0"/>
          <w:sz w:val="44"/>
          <w:szCs w:val="44"/>
          <w:lang w:val="en-US" w:eastAsia="zh-CN"/>
        </w:rPr>
        <w:t>2</w:t>
      </w:r>
      <w:r>
        <w:rPr>
          <w:rFonts w:hint="eastAsia" w:eastAsia="方正小标宋简体"/>
          <w:spacing w:val="-12"/>
          <w:kern w:val="0"/>
          <w:sz w:val="44"/>
          <w:szCs w:val="44"/>
        </w:rPr>
        <w:t>年度乐至县项目支出绩效目标完成情况表</w:t>
      </w:r>
    </w:p>
    <w:p>
      <w:pPr>
        <w:adjustRightInd w:val="0"/>
        <w:snapToGrid w:val="0"/>
        <w:spacing w:line="560" w:lineRule="exact"/>
        <w:jc w:val="center"/>
        <w:rPr>
          <w:rFonts w:eastAsia="方正小标宋简体"/>
          <w:spacing w:val="-12"/>
          <w:kern w:val="0"/>
          <w:sz w:val="40"/>
          <w:szCs w:val="40"/>
        </w:rPr>
      </w:pPr>
    </w:p>
    <w:p>
      <w:pPr>
        <w:pStyle w:val="7"/>
        <w:adjustRightInd w:val="0"/>
        <w:snapToGrid w:val="0"/>
        <w:spacing w:line="560" w:lineRule="exact"/>
        <w:jc w:val="right"/>
        <w:rPr>
          <w:sz w:val="24"/>
        </w:rPr>
      </w:pPr>
      <w:r>
        <w:rPr>
          <w:rFonts w:hint="eastAsia"/>
          <w:sz w:val="24"/>
        </w:rPr>
        <w:t>单位：万元</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25"/>
        <w:gridCol w:w="21"/>
        <w:gridCol w:w="788"/>
        <w:gridCol w:w="172"/>
        <w:gridCol w:w="14"/>
        <w:gridCol w:w="671"/>
        <w:gridCol w:w="112"/>
        <w:gridCol w:w="197"/>
        <w:gridCol w:w="656"/>
        <w:gridCol w:w="74"/>
        <w:gridCol w:w="1648"/>
        <w:gridCol w:w="74"/>
        <w:gridCol w:w="1283"/>
        <w:gridCol w:w="497"/>
        <w:gridCol w:w="18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46" w:type="dxa"/>
            <w:gridSpan w:val="2"/>
            <w:noWrap/>
            <w:vAlign w:val="center"/>
          </w:tcPr>
          <w:p>
            <w:pPr>
              <w:widowControl/>
              <w:adjustRightInd w:val="0"/>
              <w:snapToGrid w:val="0"/>
              <w:spacing w:line="560" w:lineRule="exact"/>
              <w:jc w:val="center"/>
              <w:rPr>
                <w:rFonts w:eastAsia="黑体"/>
                <w:kern w:val="0"/>
                <w:sz w:val="21"/>
                <w:szCs w:val="21"/>
              </w:rPr>
            </w:pPr>
            <w:r>
              <w:rPr>
                <w:rFonts w:hint="eastAsia" w:eastAsia="黑体"/>
                <w:kern w:val="0"/>
                <w:sz w:val="21"/>
                <w:szCs w:val="21"/>
              </w:rPr>
              <w:t>项目</w:t>
            </w:r>
          </w:p>
          <w:p>
            <w:pPr>
              <w:widowControl/>
              <w:adjustRightInd w:val="0"/>
              <w:snapToGrid w:val="0"/>
              <w:spacing w:line="560" w:lineRule="exact"/>
              <w:jc w:val="center"/>
              <w:rPr>
                <w:rFonts w:eastAsia="黑体"/>
                <w:kern w:val="0"/>
                <w:sz w:val="21"/>
                <w:szCs w:val="21"/>
              </w:rPr>
            </w:pPr>
            <w:r>
              <w:rPr>
                <w:rFonts w:hint="eastAsia" w:eastAsia="黑体"/>
                <w:kern w:val="0"/>
                <w:sz w:val="21"/>
                <w:szCs w:val="21"/>
              </w:rPr>
              <w:t>名称</w:t>
            </w:r>
          </w:p>
        </w:tc>
        <w:tc>
          <w:tcPr>
            <w:tcW w:w="8054" w:type="dxa"/>
            <w:gridSpan w:val="13"/>
            <w:noWrap/>
            <w:vAlign w:val="center"/>
          </w:tcPr>
          <w:p>
            <w:pPr>
              <w:widowControl/>
              <w:adjustRightInd w:val="0"/>
              <w:snapToGrid w:val="0"/>
              <w:spacing w:line="560" w:lineRule="exact"/>
              <w:jc w:val="center"/>
              <w:rPr>
                <w:rFonts w:hint="default" w:eastAsia="宋体"/>
                <w:kern w:val="0"/>
                <w:sz w:val="21"/>
                <w:szCs w:val="21"/>
                <w:lang w:val="en-US"/>
              </w:rPr>
            </w:pPr>
            <w:r>
              <w:rPr>
                <w:rFonts w:hint="eastAsia"/>
                <w:color w:val="000000"/>
                <w:kern w:val="0"/>
                <w:szCs w:val="21"/>
                <w:lang w:val="en-US" w:eastAsia="zh-CN"/>
              </w:rPr>
              <w:t>专用燃料费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46" w:type="dxa"/>
            <w:gridSpan w:val="2"/>
            <w:vMerge w:val="restart"/>
            <w:noWrap/>
            <w:vAlign w:val="center"/>
          </w:tcPr>
          <w:p>
            <w:pPr>
              <w:widowControl/>
              <w:adjustRightInd w:val="0"/>
              <w:snapToGrid w:val="0"/>
              <w:spacing w:line="560" w:lineRule="exact"/>
              <w:jc w:val="center"/>
              <w:rPr>
                <w:rFonts w:eastAsia="黑体"/>
                <w:kern w:val="0"/>
                <w:sz w:val="21"/>
                <w:szCs w:val="21"/>
              </w:rPr>
            </w:pPr>
            <w:r>
              <w:rPr>
                <w:rFonts w:hint="eastAsia" w:eastAsia="黑体"/>
                <w:kern w:val="0"/>
                <w:sz w:val="21"/>
                <w:szCs w:val="21"/>
              </w:rPr>
              <w:t>项目</w:t>
            </w:r>
          </w:p>
          <w:p>
            <w:pPr>
              <w:widowControl/>
              <w:adjustRightInd w:val="0"/>
              <w:snapToGrid w:val="0"/>
              <w:spacing w:line="560" w:lineRule="exact"/>
              <w:jc w:val="center"/>
              <w:rPr>
                <w:rFonts w:eastAsia="黑体"/>
                <w:kern w:val="0"/>
                <w:sz w:val="21"/>
                <w:szCs w:val="21"/>
              </w:rPr>
            </w:pPr>
            <w:r>
              <w:rPr>
                <w:rFonts w:hint="eastAsia" w:eastAsia="黑体"/>
                <w:kern w:val="0"/>
                <w:sz w:val="21"/>
                <w:szCs w:val="21"/>
              </w:rPr>
              <w:t>类型</w:t>
            </w:r>
          </w:p>
        </w:tc>
        <w:tc>
          <w:tcPr>
            <w:tcW w:w="974"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产业发展</w:t>
            </w:r>
          </w:p>
        </w:tc>
        <w:tc>
          <w:tcPr>
            <w:tcW w:w="980"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民生保障</w:t>
            </w:r>
          </w:p>
        </w:tc>
        <w:tc>
          <w:tcPr>
            <w:tcW w:w="2378"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基础设施</w:t>
            </w:r>
          </w:p>
        </w:tc>
        <w:tc>
          <w:tcPr>
            <w:tcW w:w="3722" w:type="dxa"/>
            <w:gridSpan w:val="4"/>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8"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74" w:type="dxa"/>
            <w:gridSpan w:val="3"/>
            <w:noWrap/>
            <w:vAlign w:val="center"/>
          </w:tcPr>
          <w:p>
            <w:pPr>
              <w:widowControl/>
              <w:adjustRightInd w:val="0"/>
              <w:snapToGrid w:val="0"/>
              <w:spacing w:line="560" w:lineRule="exact"/>
              <w:jc w:val="center"/>
              <w:rPr>
                <w:rFonts w:eastAsia="宋体"/>
                <w:kern w:val="0"/>
                <w:sz w:val="21"/>
                <w:szCs w:val="21"/>
              </w:rPr>
            </w:pPr>
            <w:r>
              <w:rPr>
                <w:rFonts w:eastAsia="宋体"/>
                <w:kern w:val="0"/>
                <w:sz w:val="21"/>
                <w:szCs w:val="21"/>
              </w:rPr>
              <w:t>□</w:t>
            </w:r>
          </w:p>
        </w:tc>
        <w:tc>
          <w:tcPr>
            <w:tcW w:w="980" w:type="dxa"/>
            <w:gridSpan w:val="3"/>
            <w:noWrap/>
            <w:vAlign w:val="center"/>
          </w:tcPr>
          <w:p>
            <w:pPr>
              <w:adjustRightInd w:val="0"/>
              <w:snapToGrid w:val="0"/>
              <w:spacing w:line="560" w:lineRule="exact"/>
              <w:jc w:val="center"/>
              <w:rPr>
                <w:rFonts w:eastAsia="宋体"/>
                <w:sz w:val="21"/>
                <w:szCs w:val="21"/>
              </w:rPr>
            </w:pPr>
            <w:r>
              <w:rPr>
                <w:rFonts w:ascii="Arial" w:hAnsi="Arial" w:eastAsia="宋体" w:cs="Arial"/>
                <w:kern w:val="0"/>
                <w:sz w:val="21"/>
                <w:szCs w:val="21"/>
              </w:rPr>
              <w:t>√</w:t>
            </w:r>
          </w:p>
        </w:tc>
        <w:tc>
          <w:tcPr>
            <w:tcW w:w="2378" w:type="dxa"/>
            <w:gridSpan w:val="3"/>
            <w:noWrap/>
            <w:vAlign w:val="center"/>
          </w:tcPr>
          <w:p>
            <w:pPr>
              <w:adjustRightInd w:val="0"/>
              <w:snapToGrid w:val="0"/>
              <w:spacing w:line="560" w:lineRule="exact"/>
              <w:jc w:val="center"/>
              <w:rPr>
                <w:rFonts w:eastAsia="宋体"/>
                <w:sz w:val="21"/>
                <w:szCs w:val="21"/>
              </w:rPr>
            </w:pPr>
            <w:r>
              <w:rPr>
                <w:rFonts w:eastAsia="宋体"/>
                <w:kern w:val="0"/>
                <w:sz w:val="21"/>
                <w:szCs w:val="21"/>
              </w:rPr>
              <w:t>□</w:t>
            </w:r>
          </w:p>
        </w:tc>
        <w:tc>
          <w:tcPr>
            <w:tcW w:w="3722" w:type="dxa"/>
            <w:gridSpan w:val="4"/>
            <w:noWrap/>
            <w:vAlign w:val="center"/>
          </w:tcPr>
          <w:p>
            <w:pPr>
              <w:adjustRightInd w:val="0"/>
              <w:snapToGrid w:val="0"/>
              <w:spacing w:line="560" w:lineRule="exact"/>
              <w:jc w:val="center"/>
              <w:rPr>
                <w:rFonts w:eastAsia="宋体"/>
                <w:sz w:val="21"/>
                <w:szCs w:val="21"/>
              </w:rPr>
            </w:pPr>
            <w:r>
              <w:rPr>
                <w:rFonts w:eastAsia="宋体"/>
                <w:kern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46" w:type="dxa"/>
            <w:gridSpan w:val="2"/>
            <w:noWrap/>
            <w:vAlign w:val="center"/>
          </w:tcPr>
          <w:p>
            <w:pPr>
              <w:widowControl/>
              <w:adjustRightInd w:val="0"/>
              <w:snapToGrid w:val="0"/>
              <w:spacing w:line="560" w:lineRule="exact"/>
              <w:jc w:val="center"/>
              <w:rPr>
                <w:rFonts w:eastAsia="黑体"/>
                <w:kern w:val="0"/>
                <w:sz w:val="21"/>
                <w:szCs w:val="21"/>
              </w:rPr>
            </w:pPr>
            <w:r>
              <w:rPr>
                <w:rFonts w:hint="eastAsia" w:eastAsia="黑体"/>
                <w:kern w:val="0"/>
                <w:sz w:val="21"/>
                <w:szCs w:val="21"/>
              </w:rPr>
              <w:t>部门（单位）名称</w:t>
            </w:r>
          </w:p>
        </w:tc>
        <w:tc>
          <w:tcPr>
            <w:tcW w:w="4332" w:type="dxa"/>
            <w:gridSpan w:val="9"/>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四川省乐至县公路养护管理段</w:t>
            </w:r>
          </w:p>
        </w:tc>
        <w:tc>
          <w:tcPr>
            <w:tcW w:w="1854"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预算单位编码</w:t>
            </w:r>
          </w:p>
        </w:tc>
        <w:tc>
          <w:tcPr>
            <w:tcW w:w="1868" w:type="dxa"/>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414101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7" w:hRule="atLeast"/>
          <w:jc w:val="center"/>
        </w:trPr>
        <w:tc>
          <w:tcPr>
            <w:tcW w:w="846" w:type="dxa"/>
            <w:gridSpan w:val="2"/>
            <w:vMerge w:val="restart"/>
            <w:noWrap/>
            <w:vAlign w:val="center"/>
          </w:tcPr>
          <w:p>
            <w:pPr>
              <w:widowControl/>
              <w:adjustRightInd w:val="0"/>
              <w:snapToGrid w:val="0"/>
              <w:spacing w:line="560" w:lineRule="exact"/>
              <w:jc w:val="center"/>
              <w:rPr>
                <w:rFonts w:eastAsia="黑体"/>
                <w:kern w:val="0"/>
                <w:sz w:val="21"/>
                <w:szCs w:val="21"/>
              </w:rPr>
            </w:pPr>
            <w:r>
              <w:rPr>
                <w:rFonts w:hint="eastAsia" w:eastAsia="黑体"/>
                <w:kern w:val="0"/>
                <w:sz w:val="21"/>
                <w:szCs w:val="21"/>
              </w:rPr>
              <w:t>预算执行情况</w:t>
            </w: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项目</w:t>
            </w:r>
          </w:p>
        </w:tc>
        <w:tc>
          <w:tcPr>
            <w:tcW w:w="79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预算额</w:t>
            </w:r>
          </w:p>
        </w:tc>
        <w:tc>
          <w:tcPr>
            <w:tcW w:w="92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执行额</w:t>
            </w:r>
          </w:p>
        </w:tc>
        <w:tc>
          <w:tcPr>
            <w:tcW w:w="1648" w:type="dxa"/>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当年结转结余额</w:t>
            </w:r>
          </w:p>
        </w:tc>
        <w:tc>
          <w:tcPr>
            <w:tcW w:w="1854"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结转结余率</w:t>
            </w:r>
            <w:r>
              <w:rPr>
                <w:rFonts w:eastAsia="宋体"/>
                <w:kern w:val="0"/>
                <w:sz w:val="21"/>
                <w:szCs w:val="21"/>
              </w:rPr>
              <w:t>%</w:t>
            </w:r>
          </w:p>
        </w:tc>
        <w:tc>
          <w:tcPr>
            <w:tcW w:w="1868" w:type="dxa"/>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结转结余变动率</w:t>
            </w:r>
            <w:r>
              <w:rPr>
                <w:rFonts w:eastAsia="宋体"/>
                <w:kern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合</w:t>
            </w:r>
            <w:r>
              <w:rPr>
                <w:rFonts w:eastAsia="宋体"/>
                <w:kern w:val="0"/>
                <w:sz w:val="21"/>
                <w:szCs w:val="21"/>
              </w:rPr>
              <w:t xml:space="preserve">   </w:t>
            </w:r>
            <w:r>
              <w:rPr>
                <w:rFonts w:hint="eastAsia" w:eastAsia="宋体"/>
                <w:kern w:val="0"/>
                <w:sz w:val="21"/>
                <w:szCs w:val="21"/>
              </w:rPr>
              <w:t>计</w:t>
            </w:r>
          </w:p>
        </w:tc>
        <w:tc>
          <w:tcPr>
            <w:tcW w:w="79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9.6</w:t>
            </w:r>
          </w:p>
        </w:tc>
        <w:tc>
          <w:tcPr>
            <w:tcW w:w="92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4.1975</w:t>
            </w:r>
          </w:p>
        </w:tc>
        <w:tc>
          <w:tcPr>
            <w:tcW w:w="1648" w:type="dxa"/>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5.4025</w:t>
            </w:r>
          </w:p>
        </w:tc>
        <w:tc>
          <w:tcPr>
            <w:tcW w:w="1854"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56.27%</w:t>
            </w: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财政拨款</w:t>
            </w:r>
          </w:p>
        </w:tc>
        <w:tc>
          <w:tcPr>
            <w:tcW w:w="79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9.6</w:t>
            </w:r>
          </w:p>
        </w:tc>
        <w:tc>
          <w:tcPr>
            <w:tcW w:w="92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4.1975</w:t>
            </w:r>
          </w:p>
        </w:tc>
        <w:tc>
          <w:tcPr>
            <w:tcW w:w="1648" w:type="dxa"/>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5.4025</w:t>
            </w:r>
          </w:p>
        </w:tc>
        <w:tc>
          <w:tcPr>
            <w:tcW w:w="1854"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56.27%</w:t>
            </w: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其他资金</w:t>
            </w:r>
          </w:p>
        </w:tc>
        <w:tc>
          <w:tcPr>
            <w:tcW w:w="797" w:type="dxa"/>
            <w:gridSpan w:val="3"/>
            <w:noWrap/>
            <w:vAlign w:val="center"/>
          </w:tcPr>
          <w:p>
            <w:pPr>
              <w:widowControl/>
              <w:adjustRightInd w:val="0"/>
              <w:snapToGrid w:val="0"/>
              <w:spacing w:line="560" w:lineRule="exact"/>
              <w:jc w:val="center"/>
              <w:rPr>
                <w:rFonts w:eastAsia="宋体"/>
                <w:kern w:val="0"/>
                <w:sz w:val="21"/>
                <w:szCs w:val="21"/>
              </w:rPr>
            </w:pPr>
          </w:p>
        </w:tc>
        <w:tc>
          <w:tcPr>
            <w:tcW w:w="927" w:type="dxa"/>
            <w:gridSpan w:val="3"/>
            <w:noWrap/>
            <w:vAlign w:val="center"/>
          </w:tcPr>
          <w:p>
            <w:pPr>
              <w:widowControl/>
              <w:adjustRightInd w:val="0"/>
              <w:snapToGrid w:val="0"/>
              <w:spacing w:line="560" w:lineRule="exact"/>
              <w:jc w:val="center"/>
              <w:rPr>
                <w:rFonts w:eastAsia="宋体"/>
                <w:kern w:val="0"/>
                <w:sz w:val="21"/>
                <w:szCs w:val="21"/>
              </w:rPr>
            </w:pPr>
          </w:p>
        </w:tc>
        <w:tc>
          <w:tcPr>
            <w:tcW w:w="1648" w:type="dxa"/>
            <w:noWrap/>
            <w:vAlign w:val="center"/>
          </w:tcPr>
          <w:p>
            <w:pPr>
              <w:widowControl/>
              <w:adjustRightInd w:val="0"/>
              <w:snapToGrid w:val="0"/>
              <w:spacing w:line="560" w:lineRule="exact"/>
              <w:jc w:val="center"/>
              <w:rPr>
                <w:rFonts w:eastAsia="宋体"/>
                <w:kern w:val="0"/>
                <w:sz w:val="21"/>
                <w:szCs w:val="21"/>
              </w:rPr>
            </w:pPr>
          </w:p>
        </w:tc>
        <w:tc>
          <w:tcPr>
            <w:tcW w:w="1854" w:type="dxa"/>
            <w:gridSpan w:val="3"/>
            <w:noWrap/>
            <w:vAlign w:val="center"/>
          </w:tcPr>
          <w:p>
            <w:pPr>
              <w:widowControl/>
              <w:adjustRightInd w:val="0"/>
              <w:snapToGrid w:val="0"/>
              <w:spacing w:line="560" w:lineRule="exact"/>
              <w:jc w:val="center"/>
              <w:rPr>
                <w:rFonts w:eastAsia="宋体"/>
                <w:kern w:val="0"/>
                <w:sz w:val="21"/>
                <w:szCs w:val="21"/>
              </w:rPr>
            </w:pP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3" w:hRule="atLeast"/>
          <w:jc w:val="center"/>
        </w:trPr>
        <w:tc>
          <w:tcPr>
            <w:tcW w:w="846" w:type="dxa"/>
            <w:gridSpan w:val="2"/>
            <w:vMerge w:val="restart"/>
            <w:noWrap/>
            <w:vAlign w:val="center"/>
          </w:tcPr>
          <w:p>
            <w:pPr>
              <w:widowControl/>
              <w:adjustRightInd w:val="0"/>
              <w:snapToGrid w:val="0"/>
              <w:spacing w:line="560" w:lineRule="exact"/>
              <w:jc w:val="center"/>
              <w:rPr>
                <w:rFonts w:eastAsia="黑体"/>
                <w:kern w:val="0"/>
                <w:sz w:val="21"/>
                <w:szCs w:val="21"/>
              </w:rPr>
            </w:pPr>
            <w:r>
              <w:rPr>
                <w:rFonts w:hint="eastAsia" w:eastAsia="黑体"/>
                <w:kern w:val="0"/>
                <w:sz w:val="21"/>
                <w:szCs w:val="21"/>
              </w:rPr>
              <w:t>财政拨款结构</w:t>
            </w: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项目</w:t>
            </w:r>
          </w:p>
        </w:tc>
        <w:tc>
          <w:tcPr>
            <w:tcW w:w="79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合计</w:t>
            </w:r>
          </w:p>
        </w:tc>
        <w:tc>
          <w:tcPr>
            <w:tcW w:w="92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一般公共预算安排</w:t>
            </w:r>
          </w:p>
        </w:tc>
        <w:tc>
          <w:tcPr>
            <w:tcW w:w="1648" w:type="dxa"/>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政府性基金</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预算安排</w:t>
            </w:r>
          </w:p>
        </w:tc>
        <w:tc>
          <w:tcPr>
            <w:tcW w:w="1854" w:type="dxa"/>
            <w:gridSpan w:val="3"/>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国有资本经</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营预算安排</w:t>
            </w:r>
          </w:p>
        </w:tc>
        <w:tc>
          <w:tcPr>
            <w:tcW w:w="1868" w:type="dxa"/>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预算额</w:t>
            </w:r>
          </w:p>
        </w:tc>
        <w:tc>
          <w:tcPr>
            <w:tcW w:w="79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9.6</w:t>
            </w:r>
          </w:p>
        </w:tc>
        <w:tc>
          <w:tcPr>
            <w:tcW w:w="92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9.6</w:t>
            </w:r>
          </w:p>
        </w:tc>
        <w:tc>
          <w:tcPr>
            <w:tcW w:w="1648" w:type="dxa"/>
            <w:noWrap/>
            <w:vAlign w:val="center"/>
          </w:tcPr>
          <w:p>
            <w:pPr>
              <w:widowControl/>
              <w:adjustRightInd w:val="0"/>
              <w:snapToGrid w:val="0"/>
              <w:spacing w:line="560" w:lineRule="exact"/>
              <w:jc w:val="center"/>
              <w:rPr>
                <w:rFonts w:eastAsia="宋体"/>
                <w:kern w:val="0"/>
                <w:sz w:val="21"/>
                <w:szCs w:val="21"/>
              </w:rPr>
            </w:pPr>
          </w:p>
        </w:tc>
        <w:tc>
          <w:tcPr>
            <w:tcW w:w="1854" w:type="dxa"/>
            <w:gridSpan w:val="3"/>
            <w:noWrap/>
            <w:vAlign w:val="center"/>
          </w:tcPr>
          <w:p>
            <w:pPr>
              <w:widowControl/>
              <w:adjustRightInd w:val="0"/>
              <w:snapToGrid w:val="0"/>
              <w:spacing w:line="560" w:lineRule="exact"/>
              <w:jc w:val="center"/>
              <w:rPr>
                <w:rFonts w:eastAsia="宋体"/>
                <w:kern w:val="0"/>
                <w:sz w:val="21"/>
                <w:szCs w:val="21"/>
              </w:rPr>
            </w:pP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60" w:type="dxa"/>
            <w:gridSpan w:val="2"/>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执行额</w:t>
            </w:r>
          </w:p>
        </w:tc>
        <w:tc>
          <w:tcPr>
            <w:tcW w:w="79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4.1975</w:t>
            </w:r>
          </w:p>
        </w:tc>
        <w:tc>
          <w:tcPr>
            <w:tcW w:w="92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4.1975</w:t>
            </w:r>
          </w:p>
        </w:tc>
        <w:tc>
          <w:tcPr>
            <w:tcW w:w="1648" w:type="dxa"/>
            <w:noWrap/>
            <w:vAlign w:val="center"/>
          </w:tcPr>
          <w:p>
            <w:pPr>
              <w:widowControl/>
              <w:adjustRightInd w:val="0"/>
              <w:snapToGrid w:val="0"/>
              <w:spacing w:line="560" w:lineRule="exact"/>
              <w:jc w:val="center"/>
              <w:rPr>
                <w:rFonts w:eastAsia="宋体"/>
                <w:kern w:val="0"/>
                <w:sz w:val="21"/>
                <w:szCs w:val="21"/>
              </w:rPr>
            </w:pPr>
          </w:p>
        </w:tc>
        <w:tc>
          <w:tcPr>
            <w:tcW w:w="1854" w:type="dxa"/>
            <w:gridSpan w:val="3"/>
            <w:noWrap/>
            <w:vAlign w:val="center"/>
          </w:tcPr>
          <w:p>
            <w:pPr>
              <w:widowControl/>
              <w:adjustRightInd w:val="0"/>
              <w:snapToGrid w:val="0"/>
              <w:spacing w:line="560" w:lineRule="exact"/>
              <w:jc w:val="center"/>
              <w:rPr>
                <w:rFonts w:eastAsia="宋体"/>
                <w:kern w:val="0"/>
                <w:sz w:val="21"/>
                <w:szCs w:val="21"/>
              </w:rPr>
            </w:pP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当年结转结余额</w:t>
            </w:r>
          </w:p>
        </w:tc>
        <w:tc>
          <w:tcPr>
            <w:tcW w:w="79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5.4025</w:t>
            </w:r>
          </w:p>
        </w:tc>
        <w:tc>
          <w:tcPr>
            <w:tcW w:w="92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50.4025</w:t>
            </w:r>
          </w:p>
        </w:tc>
        <w:tc>
          <w:tcPr>
            <w:tcW w:w="1648" w:type="dxa"/>
            <w:noWrap/>
            <w:vAlign w:val="center"/>
          </w:tcPr>
          <w:p>
            <w:pPr>
              <w:widowControl/>
              <w:adjustRightInd w:val="0"/>
              <w:snapToGrid w:val="0"/>
              <w:spacing w:line="560" w:lineRule="exact"/>
              <w:jc w:val="center"/>
              <w:rPr>
                <w:rFonts w:eastAsia="宋体"/>
                <w:kern w:val="0"/>
                <w:sz w:val="21"/>
                <w:szCs w:val="21"/>
              </w:rPr>
            </w:pPr>
          </w:p>
        </w:tc>
        <w:tc>
          <w:tcPr>
            <w:tcW w:w="1854" w:type="dxa"/>
            <w:gridSpan w:val="3"/>
            <w:noWrap/>
            <w:vAlign w:val="center"/>
          </w:tcPr>
          <w:p>
            <w:pPr>
              <w:widowControl/>
              <w:adjustRightInd w:val="0"/>
              <w:snapToGrid w:val="0"/>
              <w:spacing w:line="560" w:lineRule="exact"/>
              <w:jc w:val="center"/>
              <w:rPr>
                <w:rFonts w:eastAsia="宋体"/>
                <w:kern w:val="0"/>
                <w:sz w:val="21"/>
                <w:szCs w:val="21"/>
              </w:rPr>
            </w:pP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结转结余率</w:t>
            </w:r>
            <w:r>
              <w:rPr>
                <w:rFonts w:eastAsia="宋体"/>
                <w:kern w:val="0"/>
                <w:sz w:val="21"/>
                <w:szCs w:val="21"/>
              </w:rPr>
              <w:t>%</w:t>
            </w:r>
          </w:p>
        </w:tc>
        <w:tc>
          <w:tcPr>
            <w:tcW w:w="79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56.27%</w:t>
            </w:r>
          </w:p>
        </w:tc>
        <w:tc>
          <w:tcPr>
            <w:tcW w:w="92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56.27%</w:t>
            </w:r>
          </w:p>
        </w:tc>
        <w:tc>
          <w:tcPr>
            <w:tcW w:w="1648" w:type="dxa"/>
            <w:noWrap/>
            <w:vAlign w:val="center"/>
          </w:tcPr>
          <w:p>
            <w:pPr>
              <w:widowControl/>
              <w:adjustRightInd w:val="0"/>
              <w:snapToGrid w:val="0"/>
              <w:spacing w:line="560" w:lineRule="exact"/>
              <w:jc w:val="center"/>
              <w:rPr>
                <w:rFonts w:eastAsia="宋体"/>
                <w:kern w:val="0"/>
                <w:sz w:val="21"/>
                <w:szCs w:val="21"/>
              </w:rPr>
            </w:pPr>
          </w:p>
        </w:tc>
        <w:tc>
          <w:tcPr>
            <w:tcW w:w="1854" w:type="dxa"/>
            <w:gridSpan w:val="3"/>
            <w:noWrap/>
            <w:vAlign w:val="center"/>
          </w:tcPr>
          <w:p>
            <w:pPr>
              <w:widowControl/>
              <w:adjustRightInd w:val="0"/>
              <w:snapToGrid w:val="0"/>
              <w:spacing w:line="560" w:lineRule="exact"/>
              <w:jc w:val="center"/>
              <w:rPr>
                <w:rFonts w:eastAsia="宋体"/>
                <w:kern w:val="0"/>
                <w:sz w:val="21"/>
                <w:szCs w:val="21"/>
              </w:rPr>
            </w:pP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0" w:hRule="atLeast"/>
          <w:jc w:val="center"/>
        </w:trPr>
        <w:tc>
          <w:tcPr>
            <w:tcW w:w="846" w:type="dxa"/>
            <w:gridSpan w:val="2"/>
            <w:vMerge w:val="continue"/>
            <w:noWrap w:val="0"/>
            <w:vAlign w:val="center"/>
          </w:tcPr>
          <w:p>
            <w:pPr>
              <w:widowControl/>
              <w:adjustRightInd w:val="0"/>
              <w:snapToGrid w:val="0"/>
              <w:spacing w:line="560" w:lineRule="exact"/>
              <w:jc w:val="center"/>
              <w:rPr>
                <w:rFonts w:hint="default" w:eastAsia="黑体"/>
                <w:kern w:val="0"/>
                <w:sz w:val="21"/>
                <w:szCs w:val="21"/>
                <w:lang w:val="en-US" w:eastAsia="zh-CN"/>
              </w:rPr>
            </w:pPr>
            <w:r>
              <w:rPr>
                <w:rFonts w:hint="eastAsia" w:eastAsia="黑体"/>
                <w:kern w:val="0"/>
                <w:sz w:val="21"/>
                <w:szCs w:val="21"/>
                <w:lang w:eastAsia="zh-CN"/>
              </w:rPr>
              <w:t>5</w:t>
            </w:r>
            <w:r>
              <w:rPr>
                <w:rFonts w:hint="eastAsia" w:eastAsia="黑体"/>
                <w:kern w:val="0"/>
                <w:sz w:val="21"/>
                <w:szCs w:val="21"/>
                <w:lang w:val="en-US" w:eastAsia="zh-CN"/>
              </w:rPr>
              <w:t>.</w:t>
            </w:r>
          </w:p>
        </w:tc>
        <w:tc>
          <w:tcPr>
            <w:tcW w:w="960"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结转结余变动率</w:t>
            </w:r>
            <w:r>
              <w:rPr>
                <w:rFonts w:eastAsia="宋体"/>
                <w:kern w:val="0"/>
                <w:sz w:val="21"/>
                <w:szCs w:val="21"/>
              </w:rPr>
              <w:t>%</w:t>
            </w:r>
          </w:p>
        </w:tc>
        <w:tc>
          <w:tcPr>
            <w:tcW w:w="797" w:type="dxa"/>
            <w:gridSpan w:val="3"/>
            <w:noWrap/>
            <w:vAlign w:val="center"/>
          </w:tcPr>
          <w:p>
            <w:pPr>
              <w:widowControl/>
              <w:adjustRightInd w:val="0"/>
              <w:snapToGrid w:val="0"/>
              <w:spacing w:line="560" w:lineRule="exact"/>
              <w:jc w:val="center"/>
              <w:rPr>
                <w:rFonts w:eastAsia="宋体"/>
                <w:kern w:val="0"/>
                <w:sz w:val="21"/>
                <w:szCs w:val="21"/>
              </w:rPr>
            </w:pPr>
          </w:p>
        </w:tc>
        <w:tc>
          <w:tcPr>
            <w:tcW w:w="927" w:type="dxa"/>
            <w:gridSpan w:val="3"/>
            <w:noWrap/>
            <w:vAlign w:val="center"/>
          </w:tcPr>
          <w:p>
            <w:pPr>
              <w:widowControl/>
              <w:adjustRightInd w:val="0"/>
              <w:snapToGrid w:val="0"/>
              <w:spacing w:line="560" w:lineRule="exact"/>
              <w:jc w:val="center"/>
              <w:rPr>
                <w:rFonts w:eastAsia="宋体"/>
                <w:kern w:val="0"/>
                <w:sz w:val="21"/>
                <w:szCs w:val="21"/>
              </w:rPr>
            </w:pPr>
          </w:p>
        </w:tc>
        <w:tc>
          <w:tcPr>
            <w:tcW w:w="1648" w:type="dxa"/>
            <w:noWrap/>
            <w:vAlign w:val="center"/>
          </w:tcPr>
          <w:p>
            <w:pPr>
              <w:widowControl/>
              <w:adjustRightInd w:val="0"/>
              <w:snapToGrid w:val="0"/>
              <w:spacing w:line="560" w:lineRule="exact"/>
              <w:jc w:val="center"/>
              <w:rPr>
                <w:rFonts w:eastAsia="宋体"/>
                <w:kern w:val="0"/>
                <w:sz w:val="21"/>
                <w:szCs w:val="21"/>
              </w:rPr>
            </w:pPr>
          </w:p>
        </w:tc>
        <w:tc>
          <w:tcPr>
            <w:tcW w:w="1854" w:type="dxa"/>
            <w:gridSpan w:val="3"/>
            <w:noWrap/>
            <w:vAlign w:val="center"/>
          </w:tcPr>
          <w:p>
            <w:pPr>
              <w:widowControl/>
              <w:adjustRightInd w:val="0"/>
              <w:snapToGrid w:val="0"/>
              <w:spacing w:line="560" w:lineRule="exact"/>
              <w:jc w:val="center"/>
              <w:rPr>
                <w:rFonts w:eastAsia="宋体"/>
                <w:kern w:val="0"/>
                <w:sz w:val="21"/>
                <w:szCs w:val="21"/>
              </w:rPr>
            </w:pPr>
          </w:p>
        </w:tc>
        <w:tc>
          <w:tcPr>
            <w:tcW w:w="1868" w:type="dxa"/>
            <w:noWrap/>
            <w:vAlign w:val="center"/>
          </w:tcPr>
          <w:p>
            <w:pPr>
              <w:widowControl/>
              <w:adjustRightInd w:val="0"/>
              <w:snapToGrid w:val="0"/>
              <w:spacing w:line="560" w:lineRule="exact"/>
              <w:jc w:val="center"/>
              <w:rPr>
                <w:rFonts w:eastAsia="宋体"/>
                <w:kern w:val="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4" w:hRule="atLeast"/>
          <w:jc w:val="center"/>
        </w:trPr>
        <w:tc>
          <w:tcPr>
            <w:tcW w:w="846" w:type="dxa"/>
            <w:gridSpan w:val="2"/>
            <w:vMerge w:val="restart"/>
            <w:noWrap/>
            <w:vAlign w:val="center"/>
          </w:tcPr>
          <w:p>
            <w:pPr>
              <w:widowControl/>
              <w:adjustRightInd w:val="0"/>
              <w:snapToGrid w:val="0"/>
              <w:spacing w:line="560" w:lineRule="exact"/>
              <w:jc w:val="center"/>
              <w:rPr>
                <w:rFonts w:eastAsia="黑体"/>
                <w:kern w:val="0"/>
                <w:sz w:val="21"/>
                <w:szCs w:val="21"/>
              </w:rPr>
            </w:pPr>
            <w:r>
              <w:rPr>
                <w:rFonts w:hint="eastAsia" w:eastAsia="黑体"/>
                <w:kern w:val="0"/>
                <w:sz w:val="21"/>
                <w:szCs w:val="21"/>
              </w:rPr>
              <w:t>年度总体目标</w:t>
            </w:r>
          </w:p>
        </w:tc>
        <w:tc>
          <w:tcPr>
            <w:tcW w:w="1757" w:type="dxa"/>
            <w:gridSpan w:val="5"/>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预算总体目标</w:t>
            </w:r>
          </w:p>
        </w:tc>
        <w:tc>
          <w:tcPr>
            <w:tcW w:w="2575" w:type="dxa"/>
            <w:gridSpan w:val="4"/>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预算总体目标执行结果</w:t>
            </w:r>
          </w:p>
        </w:tc>
        <w:tc>
          <w:tcPr>
            <w:tcW w:w="3722" w:type="dxa"/>
            <w:gridSpan w:val="4"/>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080" w:hRule="atLeast"/>
          <w:jc w:val="center"/>
        </w:trPr>
        <w:tc>
          <w:tcPr>
            <w:tcW w:w="846" w:type="dxa"/>
            <w:gridSpan w:val="2"/>
            <w:vMerge w:val="continue"/>
            <w:noWrap w:val="0"/>
            <w:vAlign w:val="center"/>
          </w:tcPr>
          <w:p>
            <w:pPr>
              <w:widowControl/>
              <w:adjustRightInd w:val="0"/>
              <w:snapToGrid w:val="0"/>
              <w:spacing w:line="560" w:lineRule="exact"/>
              <w:jc w:val="center"/>
              <w:rPr>
                <w:rFonts w:eastAsia="黑体"/>
                <w:kern w:val="0"/>
                <w:sz w:val="21"/>
                <w:szCs w:val="21"/>
              </w:rPr>
            </w:pPr>
          </w:p>
        </w:tc>
        <w:tc>
          <w:tcPr>
            <w:tcW w:w="1757" w:type="dxa"/>
            <w:gridSpan w:val="5"/>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lang w:val="en-US" w:eastAsia="zh-CN"/>
              </w:rPr>
              <w:t>2022年，按照一辆车2.4万元标准，共4辆车，预算金额9.6万元，用于专用车辆燃料费，保障单位车辆正常运转。</w:t>
            </w:r>
          </w:p>
          <w:p>
            <w:pPr>
              <w:widowControl/>
              <w:adjustRightInd w:val="0"/>
              <w:snapToGrid w:val="0"/>
              <w:spacing w:line="560" w:lineRule="exact"/>
              <w:jc w:val="center"/>
              <w:rPr>
                <w:rFonts w:hint="eastAsia" w:eastAsia="宋体"/>
                <w:kern w:val="0"/>
                <w:sz w:val="21"/>
                <w:szCs w:val="21"/>
              </w:rPr>
            </w:pPr>
          </w:p>
        </w:tc>
        <w:tc>
          <w:tcPr>
            <w:tcW w:w="2575" w:type="dxa"/>
            <w:gridSpan w:val="4"/>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全面执行</w:t>
            </w:r>
          </w:p>
        </w:tc>
        <w:tc>
          <w:tcPr>
            <w:tcW w:w="3722" w:type="dxa"/>
            <w:gridSpan w:val="4"/>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有偏差，原因是充分利用了燃料使用率，节约燃料成本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5" w:hRule="atLeast"/>
          <w:jc w:val="center"/>
        </w:trPr>
        <w:tc>
          <w:tcPr>
            <w:tcW w:w="825" w:type="dxa"/>
            <w:vMerge w:val="restart"/>
            <w:noWrap/>
            <w:vAlign w:val="center"/>
          </w:tcPr>
          <w:p>
            <w:pPr>
              <w:widowControl/>
              <w:adjustRightInd w:val="0"/>
              <w:snapToGrid w:val="0"/>
              <w:spacing w:line="560" w:lineRule="exact"/>
              <w:jc w:val="center"/>
              <w:rPr>
                <w:rFonts w:eastAsia="黑体"/>
                <w:kern w:val="0"/>
                <w:sz w:val="21"/>
                <w:szCs w:val="21"/>
              </w:rPr>
            </w:pPr>
            <w:r>
              <w:rPr>
                <w:rFonts w:hint="eastAsia" w:eastAsia="黑体"/>
                <w:kern w:val="0"/>
                <w:sz w:val="21"/>
                <w:szCs w:val="21"/>
              </w:rPr>
              <w:t>年度绩效指标</w:t>
            </w:r>
          </w:p>
        </w:tc>
        <w:tc>
          <w:tcPr>
            <w:tcW w:w="809"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一级指标</w:t>
            </w: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二级指标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三级指标</w:t>
            </w:r>
          </w:p>
        </w:tc>
        <w:tc>
          <w:tcPr>
            <w:tcW w:w="1796"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预算指标值</w:t>
            </w:r>
            <w:r>
              <w:rPr>
                <w:rFonts w:eastAsia="宋体"/>
                <w:kern w:val="0"/>
                <w:sz w:val="21"/>
                <w:szCs w:val="21"/>
              </w:rPr>
              <w:t>(</w:t>
            </w:r>
            <w:r>
              <w:rPr>
                <w:rFonts w:hint="eastAsia" w:eastAsia="宋体"/>
                <w:kern w:val="0"/>
                <w:sz w:val="21"/>
                <w:szCs w:val="21"/>
              </w:rPr>
              <w:t>包含数字及文字描述</w:t>
            </w:r>
            <w:r>
              <w:rPr>
                <w:rFonts w:eastAsia="宋体"/>
                <w:kern w:val="0"/>
                <w:sz w:val="21"/>
                <w:szCs w:val="21"/>
              </w:rPr>
              <w:t>)</w:t>
            </w:r>
          </w:p>
        </w:tc>
        <w:tc>
          <w:tcPr>
            <w:tcW w:w="1283" w:type="dxa"/>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预算指标值执行结果（包含数字及文字描述）</w:t>
            </w:r>
          </w:p>
        </w:tc>
        <w:tc>
          <w:tcPr>
            <w:tcW w:w="2365"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restart"/>
            <w:noWrap/>
            <w:vAlign w:val="center"/>
          </w:tcPr>
          <w:p>
            <w:pPr>
              <w:widowControl/>
              <w:adjustRightInd w:val="0"/>
              <w:snapToGrid w:val="0"/>
              <w:spacing w:line="560" w:lineRule="exact"/>
              <w:jc w:val="center"/>
              <w:rPr>
                <w:rFonts w:hint="eastAsia"/>
                <w:kern w:val="0"/>
                <w:sz w:val="21"/>
                <w:szCs w:val="21"/>
                <w:lang w:val="en-US" w:eastAsia="zh-CN"/>
              </w:rPr>
            </w:pPr>
            <w:r>
              <w:rPr>
                <w:rFonts w:hint="eastAsia"/>
                <w:kern w:val="0"/>
                <w:sz w:val="21"/>
                <w:szCs w:val="21"/>
                <w:lang w:val="en-US" w:eastAsia="zh-CN"/>
              </w:rPr>
              <w:t>产出</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数量</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燃料供货管理车辆数量</w:t>
            </w:r>
          </w:p>
        </w:tc>
        <w:tc>
          <w:tcPr>
            <w:tcW w:w="1283" w:type="dxa"/>
            <w:noWrap/>
            <w:vAlign w:val="center"/>
          </w:tcPr>
          <w:p>
            <w:pPr>
              <w:widowControl/>
              <w:adjustRightInd w:val="0"/>
              <w:snapToGrid w:val="0"/>
              <w:spacing w:line="560" w:lineRule="exact"/>
              <w:jc w:val="center"/>
              <w:rPr>
                <w:rFonts w:hint="eastAsia" w:eastAsia="宋体"/>
                <w:kern w:val="0"/>
                <w:sz w:val="21"/>
                <w:szCs w:val="21"/>
                <w:lang w:eastAsia="zh-CN"/>
              </w:rPr>
            </w:pPr>
            <w:r>
              <w:rPr>
                <w:rFonts w:hint="eastAsia"/>
                <w:kern w:val="0"/>
                <w:sz w:val="21"/>
                <w:szCs w:val="21"/>
                <w:lang w:val="en-US" w:eastAsia="zh-CN"/>
              </w:rPr>
              <w:t>4辆</w:t>
            </w:r>
          </w:p>
        </w:tc>
        <w:tc>
          <w:tcPr>
            <w:tcW w:w="2365"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无差异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continue"/>
            <w:noWrap w:val="0"/>
            <w:vAlign w:val="center"/>
          </w:tcPr>
          <w:p>
            <w:pPr>
              <w:widowControl/>
              <w:adjustRightInd w:val="0"/>
              <w:snapToGrid w:val="0"/>
              <w:spacing w:line="560" w:lineRule="exact"/>
              <w:jc w:val="center"/>
              <w:rPr>
                <w:rFonts w:eastAsia="宋体"/>
                <w:kern w:val="0"/>
                <w:sz w:val="21"/>
                <w:szCs w:val="21"/>
              </w:rPr>
            </w:pP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质量</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车辆有效利用率</w:t>
            </w:r>
          </w:p>
        </w:tc>
        <w:tc>
          <w:tcPr>
            <w:tcW w:w="1283" w:type="dxa"/>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100</w:t>
            </w:r>
          </w:p>
        </w:tc>
        <w:tc>
          <w:tcPr>
            <w:tcW w:w="2365"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无差异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continue"/>
            <w:noWrap w:val="0"/>
            <w:vAlign w:val="center"/>
          </w:tcPr>
          <w:p>
            <w:pPr>
              <w:widowControl/>
              <w:adjustRightInd w:val="0"/>
              <w:snapToGrid w:val="0"/>
              <w:spacing w:line="560" w:lineRule="exact"/>
              <w:jc w:val="center"/>
              <w:rPr>
                <w:rFonts w:eastAsia="宋体"/>
                <w:kern w:val="0"/>
                <w:sz w:val="21"/>
                <w:szCs w:val="21"/>
              </w:rPr>
            </w:pP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时效</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车辆燃料供给及时率</w:t>
            </w:r>
          </w:p>
        </w:tc>
        <w:tc>
          <w:tcPr>
            <w:tcW w:w="1283" w:type="dxa"/>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100</w:t>
            </w:r>
          </w:p>
        </w:tc>
        <w:tc>
          <w:tcPr>
            <w:tcW w:w="2365" w:type="dxa"/>
            <w:gridSpan w:val="2"/>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无差异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restart"/>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效益</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kern w:val="0"/>
                <w:sz w:val="21"/>
                <w:szCs w:val="21"/>
                <w:lang w:val="en-US" w:eastAsia="zh-CN"/>
              </w:rPr>
              <w:t>社会</w:t>
            </w:r>
            <w:r>
              <w:rPr>
                <w:rFonts w:hint="eastAsia" w:eastAsia="宋体"/>
                <w:kern w:val="0"/>
                <w:sz w:val="21"/>
                <w:szCs w:val="21"/>
              </w:rPr>
              <w:t>效益指标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管理车辆燃料供给保障率</w:t>
            </w:r>
          </w:p>
        </w:tc>
        <w:tc>
          <w:tcPr>
            <w:tcW w:w="1283" w:type="dxa"/>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稳定</w:t>
            </w:r>
          </w:p>
        </w:tc>
        <w:tc>
          <w:tcPr>
            <w:tcW w:w="2365" w:type="dxa"/>
            <w:gridSpan w:val="2"/>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无差异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continue"/>
            <w:noWrap w:val="0"/>
            <w:vAlign w:val="center"/>
          </w:tcPr>
          <w:p>
            <w:pPr>
              <w:widowControl/>
              <w:adjustRightInd w:val="0"/>
              <w:snapToGrid w:val="0"/>
              <w:spacing w:line="560" w:lineRule="exact"/>
              <w:jc w:val="center"/>
              <w:rPr>
                <w:rFonts w:eastAsia="宋体"/>
                <w:kern w:val="0"/>
                <w:sz w:val="21"/>
                <w:szCs w:val="21"/>
              </w:rPr>
            </w:pP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社会效益指标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管理车辆正常运行率</w:t>
            </w:r>
          </w:p>
        </w:tc>
        <w:tc>
          <w:tcPr>
            <w:tcW w:w="1283" w:type="dxa"/>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100</w:t>
            </w:r>
          </w:p>
        </w:tc>
        <w:tc>
          <w:tcPr>
            <w:tcW w:w="2365"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无差异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continue"/>
            <w:noWrap w:val="0"/>
            <w:vAlign w:val="center"/>
          </w:tcPr>
          <w:p>
            <w:pPr>
              <w:widowControl/>
              <w:adjustRightInd w:val="0"/>
              <w:snapToGrid w:val="0"/>
              <w:spacing w:line="560" w:lineRule="exact"/>
              <w:jc w:val="center"/>
              <w:rPr>
                <w:rFonts w:eastAsia="宋体"/>
                <w:kern w:val="0"/>
                <w:sz w:val="21"/>
                <w:szCs w:val="21"/>
              </w:rPr>
            </w:pP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可持续影响指标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车辆运维管理机制健全性</w:t>
            </w:r>
          </w:p>
        </w:tc>
        <w:tc>
          <w:tcPr>
            <w:tcW w:w="1283" w:type="dxa"/>
            <w:noWrap/>
            <w:vAlign w:val="center"/>
          </w:tcPr>
          <w:p>
            <w:pPr>
              <w:widowControl/>
              <w:adjustRightInd w:val="0"/>
              <w:snapToGrid w:val="0"/>
              <w:spacing w:line="560" w:lineRule="exact"/>
              <w:jc w:val="center"/>
              <w:rPr>
                <w:rFonts w:hint="eastAsia" w:eastAsia="宋体"/>
                <w:kern w:val="0"/>
                <w:sz w:val="21"/>
                <w:szCs w:val="21"/>
                <w:lang w:eastAsia="zh-CN"/>
              </w:rPr>
            </w:pPr>
            <w:r>
              <w:rPr>
                <w:rFonts w:hint="eastAsia"/>
                <w:kern w:val="0"/>
                <w:sz w:val="21"/>
                <w:szCs w:val="21"/>
                <w:lang w:val="en-US" w:eastAsia="zh-CN"/>
              </w:rPr>
              <w:t>健全</w:t>
            </w:r>
          </w:p>
        </w:tc>
        <w:tc>
          <w:tcPr>
            <w:tcW w:w="2365" w:type="dxa"/>
            <w:gridSpan w:val="2"/>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无差异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restart"/>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满意度</w:t>
            </w:r>
          </w:p>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p>
        </w:tc>
        <w:tc>
          <w:tcPr>
            <w:tcW w:w="857"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满意度指标</w:t>
            </w:r>
          </w:p>
        </w:tc>
        <w:tc>
          <w:tcPr>
            <w:tcW w:w="965" w:type="dxa"/>
            <w:gridSpan w:val="3"/>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指标</w:t>
            </w:r>
            <w:r>
              <w:rPr>
                <w:rFonts w:eastAsia="宋体"/>
                <w:kern w:val="0"/>
                <w:sz w:val="21"/>
                <w:szCs w:val="21"/>
              </w:rPr>
              <w:t>1:</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服务对象满意度指标</w:t>
            </w:r>
          </w:p>
        </w:tc>
        <w:tc>
          <w:tcPr>
            <w:tcW w:w="1283" w:type="dxa"/>
            <w:noWrap/>
            <w:vAlign w:val="center"/>
          </w:tcPr>
          <w:p>
            <w:pPr>
              <w:widowControl/>
              <w:adjustRightInd w:val="0"/>
              <w:snapToGrid w:val="0"/>
              <w:spacing w:line="560" w:lineRule="exact"/>
              <w:jc w:val="center"/>
              <w:rPr>
                <w:rFonts w:eastAsia="宋体"/>
                <w:kern w:val="0"/>
                <w:sz w:val="21"/>
                <w:szCs w:val="21"/>
              </w:rPr>
            </w:pPr>
            <w:r>
              <w:rPr>
                <w:rFonts w:hint="eastAsia" w:eastAsia="宋体"/>
                <w:kern w:val="0"/>
                <w:sz w:val="21"/>
                <w:szCs w:val="21"/>
              </w:rPr>
              <w:t>95</w:t>
            </w:r>
          </w:p>
        </w:tc>
        <w:tc>
          <w:tcPr>
            <w:tcW w:w="2365" w:type="dxa"/>
            <w:gridSpan w:val="2"/>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无差异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restart"/>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continue"/>
            <w:noWrap/>
            <w:vAlign w:val="center"/>
          </w:tcPr>
          <w:p>
            <w:pPr>
              <w:widowControl/>
              <w:adjustRightInd w:val="0"/>
              <w:snapToGrid w:val="0"/>
              <w:spacing w:line="560" w:lineRule="exact"/>
              <w:jc w:val="center"/>
              <w:rPr>
                <w:rFonts w:hint="eastAsia" w:eastAsia="宋体"/>
                <w:kern w:val="0"/>
                <w:sz w:val="21"/>
                <w:szCs w:val="21"/>
              </w:rPr>
            </w:pPr>
          </w:p>
        </w:tc>
        <w:tc>
          <w:tcPr>
            <w:tcW w:w="857" w:type="dxa"/>
            <w:gridSpan w:val="3"/>
            <w:noWrap/>
            <w:vAlign w:val="center"/>
          </w:tcPr>
          <w:p>
            <w:pPr>
              <w:widowControl/>
              <w:adjustRightInd w:val="0"/>
              <w:snapToGrid w:val="0"/>
              <w:spacing w:line="560" w:lineRule="exact"/>
              <w:jc w:val="center"/>
              <w:rPr>
                <w:rFonts w:hint="eastAsia" w:eastAsia="宋体"/>
                <w:kern w:val="0"/>
                <w:sz w:val="21"/>
                <w:szCs w:val="21"/>
              </w:rPr>
            </w:pPr>
            <w:r>
              <w:rPr>
                <w:rFonts w:hint="eastAsia" w:eastAsia="宋体"/>
                <w:kern w:val="0"/>
                <w:sz w:val="21"/>
                <w:szCs w:val="21"/>
              </w:rPr>
              <w:t>满意度指标</w:t>
            </w:r>
          </w:p>
        </w:tc>
        <w:tc>
          <w:tcPr>
            <w:tcW w:w="965" w:type="dxa"/>
            <w:gridSpan w:val="3"/>
            <w:noWrap/>
            <w:vAlign w:val="center"/>
          </w:tcPr>
          <w:p>
            <w:pPr>
              <w:widowControl/>
              <w:adjustRightInd w:val="0"/>
              <w:snapToGrid w:val="0"/>
              <w:spacing w:line="560" w:lineRule="exact"/>
              <w:jc w:val="center"/>
              <w:rPr>
                <w:rFonts w:hint="eastAsia" w:eastAsia="宋体"/>
                <w:kern w:val="0"/>
                <w:sz w:val="21"/>
                <w:szCs w:val="21"/>
                <w:lang w:val="en-US" w:eastAsia="zh-CN"/>
              </w:rPr>
            </w:pPr>
            <w:r>
              <w:rPr>
                <w:rFonts w:hint="eastAsia" w:eastAsia="宋体"/>
                <w:kern w:val="0"/>
                <w:sz w:val="21"/>
                <w:szCs w:val="21"/>
              </w:rPr>
              <w:t>指标</w:t>
            </w:r>
            <w:r>
              <w:rPr>
                <w:rFonts w:hint="eastAsia"/>
                <w:kern w:val="0"/>
                <w:sz w:val="21"/>
                <w:szCs w:val="21"/>
                <w:lang w:val="en-US" w:eastAsia="zh-CN"/>
              </w:rPr>
              <w:t>2</w:t>
            </w:r>
          </w:p>
        </w:tc>
        <w:tc>
          <w:tcPr>
            <w:tcW w:w="1796"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辖区居民满意度</w:t>
            </w:r>
          </w:p>
        </w:tc>
        <w:tc>
          <w:tcPr>
            <w:tcW w:w="1283" w:type="dxa"/>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98</w:t>
            </w:r>
          </w:p>
        </w:tc>
        <w:tc>
          <w:tcPr>
            <w:tcW w:w="2365" w:type="dxa"/>
            <w:gridSpan w:val="2"/>
            <w:noWrap/>
            <w:vAlign w:val="center"/>
          </w:tcPr>
          <w:p>
            <w:pPr>
              <w:widowControl/>
              <w:adjustRightInd w:val="0"/>
              <w:snapToGrid w:val="0"/>
              <w:spacing w:line="560" w:lineRule="exact"/>
              <w:jc w:val="center"/>
              <w:rPr>
                <w:rFonts w:hint="eastAsia" w:eastAsia="宋体"/>
                <w:kern w:val="0"/>
                <w:sz w:val="21"/>
                <w:szCs w:val="21"/>
                <w:lang w:val="en-US" w:eastAsia="zh-CN"/>
              </w:rPr>
            </w:pPr>
            <w:r>
              <w:rPr>
                <w:rFonts w:hint="eastAsia"/>
                <w:kern w:val="0"/>
                <w:sz w:val="21"/>
                <w:szCs w:val="21"/>
                <w:lang w:val="en-US" w:eastAsia="zh-CN"/>
              </w:rPr>
              <w:t>满意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0" w:hRule="atLeast"/>
          <w:jc w:val="center"/>
        </w:trPr>
        <w:tc>
          <w:tcPr>
            <w:tcW w:w="825" w:type="dxa"/>
            <w:vMerge w:val="continue"/>
            <w:noWrap w:val="0"/>
            <w:vAlign w:val="center"/>
          </w:tcPr>
          <w:p>
            <w:pPr>
              <w:widowControl/>
              <w:adjustRightInd w:val="0"/>
              <w:snapToGrid w:val="0"/>
              <w:spacing w:line="560" w:lineRule="exact"/>
              <w:jc w:val="center"/>
              <w:rPr>
                <w:rFonts w:eastAsia="宋体"/>
                <w:kern w:val="0"/>
                <w:sz w:val="21"/>
                <w:szCs w:val="21"/>
              </w:rPr>
            </w:pPr>
          </w:p>
        </w:tc>
        <w:tc>
          <w:tcPr>
            <w:tcW w:w="809" w:type="dxa"/>
            <w:gridSpan w:val="2"/>
            <w:vMerge w:val="continue"/>
            <w:noWrap/>
            <w:vAlign w:val="center"/>
          </w:tcPr>
          <w:p>
            <w:pPr>
              <w:widowControl/>
              <w:adjustRightInd w:val="0"/>
              <w:snapToGrid w:val="0"/>
              <w:spacing w:line="560" w:lineRule="exact"/>
              <w:jc w:val="center"/>
              <w:rPr>
                <w:rFonts w:hint="eastAsia" w:eastAsia="宋体"/>
                <w:kern w:val="0"/>
                <w:sz w:val="21"/>
                <w:szCs w:val="21"/>
              </w:rPr>
            </w:pPr>
          </w:p>
        </w:tc>
        <w:tc>
          <w:tcPr>
            <w:tcW w:w="857"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成本指标</w:t>
            </w:r>
          </w:p>
        </w:tc>
        <w:tc>
          <w:tcPr>
            <w:tcW w:w="965" w:type="dxa"/>
            <w:gridSpan w:val="3"/>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经济成本指标</w:t>
            </w:r>
          </w:p>
        </w:tc>
        <w:tc>
          <w:tcPr>
            <w:tcW w:w="1796" w:type="dxa"/>
            <w:gridSpan w:val="3"/>
            <w:noWrap/>
            <w:vAlign w:val="center"/>
          </w:tcPr>
          <w:p>
            <w:pPr>
              <w:widowControl/>
              <w:adjustRightInd w:val="0"/>
              <w:snapToGrid w:val="0"/>
              <w:spacing w:line="560" w:lineRule="exact"/>
              <w:jc w:val="center"/>
              <w:rPr>
                <w:rFonts w:hint="eastAsia" w:eastAsia="宋体"/>
                <w:kern w:val="0"/>
                <w:sz w:val="21"/>
                <w:szCs w:val="21"/>
                <w:lang w:val="en-US" w:eastAsia="zh-CN"/>
              </w:rPr>
            </w:pPr>
            <w:r>
              <w:rPr>
                <w:rFonts w:hint="eastAsia"/>
                <w:kern w:val="0"/>
                <w:sz w:val="21"/>
                <w:szCs w:val="21"/>
                <w:lang w:val="en-US" w:eastAsia="zh-CN"/>
              </w:rPr>
              <w:t>标准</w:t>
            </w:r>
          </w:p>
        </w:tc>
        <w:tc>
          <w:tcPr>
            <w:tcW w:w="1283" w:type="dxa"/>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24000元</w:t>
            </w:r>
          </w:p>
        </w:tc>
        <w:tc>
          <w:tcPr>
            <w:tcW w:w="2365" w:type="dxa"/>
            <w:gridSpan w:val="2"/>
            <w:noWrap/>
            <w:vAlign w:val="center"/>
          </w:tcPr>
          <w:p>
            <w:pPr>
              <w:widowControl/>
              <w:adjustRightInd w:val="0"/>
              <w:snapToGrid w:val="0"/>
              <w:spacing w:line="560" w:lineRule="exact"/>
              <w:jc w:val="center"/>
              <w:rPr>
                <w:rFonts w:hint="default" w:eastAsia="宋体"/>
                <w:kern w:val="0"/>
                <w:sz w:val="21"/>
                <w:szCs w:val="21"/>
                <w:lang w:val="en-US" w:eastAsia="zh-CN"/>
              </w:rPr>
            </w:pPr>
            <w:r>
              <w:rPr>
                <w:rFonts w:hint="eastAsia"/>
                <w:kern w:val="0"/>
                <w:sz w:val="21"/>
                <w:szCs w:val="21"/>
                <w:lang w:val="en-US" w:eastAsia="zh-CN"/>
              </w:rPr>
              <w:t>充分利用燃料，节约了燃料成本</w:t>
            </w:r>
          </w:p>
        </w:tc>
      </w:tr>
    </w:tbl>
    <w:p>
      <w:pPr>
        <w:adjustRightInd w:val="0"/>
        <w:snapToGrid w:val="0"/>
        <w:spacing w:line="560" w:lineRule="exact"/>
        <w:jc w:val="left"/>
        <w:rPr>
          <w:rFonts w:hint="eastAsia" w:eastAsia="方正黑体简体"/>
        </w:rPr>
      </w:pPr>
    </w:p>
    <w:p>
      <w:pPr>
        <w:adjustRightInd w:val="0"/>
        <w:snapToGrid w:val="0"/>
        <w:spacing w:line="560" w:lineRule="exact"/>
        <w:jc w:val="left"/>
        <w:rPr>
          <w:rFonts w:hint="eastAsia" w:eastAsia="方正黑体简体"/>
        </w:rPr>
      </w:pPr>
    </w:p>
    <w:p>
      <w:pPr>
        <w:adjustRightInd w:val="0"/>
        <w:snapToGrid w:val="0"/>
        <w:spacing w:line="560" w:lineRule="exact"/>
        <w:jc w:val="left"/>
        <w:rPr>
          <w:rFonts w:hint="eastAsia" w:eastAsia="方正黑体简体"/>
        </w:rPr>
      </w:pPr>
    </w:p>
    <w:p>
      <w:pPr>
        <w:adjustRightInd w:val="0"/>
        <w:snapToGrid w:val="0"/>
        <w:spacing w:line="560" w:lineRule="exact"/>
        <w:jc w:val="left"/>
        <w:rPr>
          <w:rFonts w:hint="eastAsia" w:eastAsia="方正黑体简体"/>
        </w:rPr>
      </w:pPr>
    </w:p>
    <w:p>
      <w:pPr>
        <w:adjustRightInd w:val="0"/>
        <w:snapToGrid w:val="0"/>
        <w:spacing w:line="560" w:lineRule="exact"/>
        <w:jc w:val="left"/>
        <w:rPr>
          <w:rFonts w:hint="eastAsia" w:eastAsia="方正黑体简体"/>
        </w:rPr>
      </w:pPr>
    </w:p>
    <w:p>
      <w:pPr>
        <w:adjustRightInd w:val="0"/>
        <w:snapToGrid w:val="0"/>
        <w:spacing w:line="560" w:lineRule="exact"/>
        <w:jc w:val="left"/>
        <w:rPr>
          <w:rFonts w:hint="eastAsia" w:eastAsia="方正黑体简体"/>
        </w:rPr>
      </w:pPr>
    </w:p>
    <w:p>
      <w:pPr>
        <w:adjustRightInd w:val="0"/>
        <w:snapToGrid w:val="0"/>
        <w:spacing w:line="560" w:lineRule="exact"/>
        <w:jc w:val="left"/>
        <w:rPr>
          <w:rFonts w:hint="eastAsia" w:eastAsia="方正黑体简体"/>
        </w:rPr>
      </w:pPr>
    </w:p>
    <w:p>
      <w:pPr>
        <w:adjustRightInd w:val="0"/>
        <w:snapToGrid w:val="0"/>
        <w:spacing w:line="560" w:lineRule="exact"/>
        <w:jc w:val="left"/>
        <w:rPr>
          <w:rFonts w:hint="eastAsia" w:eastAsia="方正黑体简体"/>
        </w:rPr>
      </w:pPr>
    </w:p>
    <w:p>
      <w:pPr>
        <w:spacing w:line="580" w:lineRule="exact"/>
        <w:jc w:val="center"/>
        <w:rPr>
          <w:rFonts w:eastAsia="方正黑体简体"/>
          <w:sz w:val="32"/>
          <w:szCs w:val="32"/>
        </w:rPr>
      </w:pPr>
    </w:p>
    <w:p/>
    <w:p>
      <w:pPr>
        <w:pStyle w:val="2"/>
        <w:rPr>
          <w:rFonts w:hint="eastAsia"/>
        </w:rPr>
      </w:pPr>
    </w:p>
    <w:p>
      <w:pPr>
        <w:spacing w:line="600" w:lineRule="exact"/>
        <w:jc w:val="center"/>
        <w:outlineLvl w:val="0"/>
        <w:rPr>
          <w:rFonts w:ascii="仿宋" w:hAnsi="仿宋" w:eastAsia="仿宋"/>
        </w:rPr>
      </w:pPr>
      <w:bookmarkStart w:id="56" w:name="_Toc15396618"/>
      <w:r>
        <w:rPr>
          <w:rFonts w:hint="eastAsia" w:ascii="黑体" w:hAnsi="黑体" w:eastAsia="黑体"/>
          <w:sz w:val="44"/>
          <w:szCs w:val="44"/>
        </w:rPr>
        <w:t>第</w:t>
      </w:r>
      <w:r>
        <w:rPr>
          <w:rStyle w:val="31"/>
          <w:rFonts w:hint="eastAsia" w:ascii="黑体" w:hAnsi="黑体" w:eastAsia="黑体"/>
          <w:b w:val="0"/>
        </w:rPr>
        <w:t>五部分 附表</w:t>
      </w:r>
      <w:bookmarkEnd w:id="53"/>
      <w:bookmarkEnd w:id="56"/>
      <w:bookmarkStart w:id="57" w:name="_Toc15396619"/>
    </w:p>
    <w:p>
      <w:pPr>
        <w:pStyle w:val="4"/>
        <w:rPr>
          <w:rFonts w:ascii="仿宋" w:hAnsi="仿宋" w:eastAsia="仿宋"/>
        </w:rPr>
      </w:pPr>
      <w:r>
        <w:rPr>
          <w:rFonts w:hint="eastAsia" w:ascii="仿宋" w:hAnsi="仿宋" w:eastAsia="仿宋"/>
          <w:b w:val="0"/>
        </w:rPr>
        <w:t>一、收</w:t>
      </w:r>
      <w:r>
        <w:rPr>
          <w:rStyle w:val="32"/>
          <w:rFonts w:hint="eastAsia" w:ascii="仿宋" w:hAnsi="仿宋" w:eastAsia="仿宋"/>
          <w:b w:val="0"/>
          <w:bCs w:val="0"/>
        </w:rPr>
        <w:t>入支出决算总表</w:t>
      </w:r>
      <w:bookmarkEnd w:id="57"/>
    </w:p>
    <w:p>
      <w:pPr>
        <w:pStyle w:val="4"/>
        <w:rPr>
          <w:rFonts w:ascii="仿宋" w:hAnsi="仿宋" w:eastAsia="仿宋"/>
        </w:rPr>
      </w:pPr>
      <w:bookmarkStart w:id="58" w:name="_Toc15396620"/>
      <w:r>
        <w:rPr>
          <w:rFonts w:hint="eastAsia" w:ascii="仿宋" w:hAnsi="仿宋" w:eastAsia="仿宋"/>
          <w:b w:val="0"/>
        </w:rPr>
        <w:t>二、收</w:t>
      </w:r>
      <w:r>
        <w:rPr>
          <w:rStyle w:val="32"/>
          <w:rFonts w:hint="eastAsia" w:ascii="仿宋" w:hAnsi="仿宋" w:eastAsia="仿宋"/>
          <w:b w:val="0"/>
          <w:bCs w:val="0"/>
        </w:rPr>
        <w:t>入决算表</w:t>
      </w:r>
      <w:bookmarkEnd w:id="58"/>
    </w:p>
    <w:p>
      <w:pPr>
        <w:pStyle w:val="4"/>
        <w:rPr>
          <w:rFonts w:ascii="仿宋" w:hAnsi="仿宋" w:eastAsia="仿宋"/>
        </w:rPr>
      </w:pPr>
      <w:bookmarkStart w:id="59" w:name="_Toc15396621"/>
      <w:r>
        <w:rPr>
          <w:rStyle w:val="32"/>
          <w:rFonts w:hint="eastAsia" w:ascii="仿宋" w:hAnsi="仿宋" w:eastAsia="仿宋"/>
          <w:b w:val="0"/>
          <w:bCs w:val="0"/>
        </w:rPr>
        <w:t>三、</w:t>
      </w:r>
      <w:r>
        <w:rPr>
          <w:rFonts w:hint="eastAsia" w:ascii="仿宋" w:hAnsi="仿宋" w:eastAsia="仿宋"/>
          <w:b w:val="0"/>
        </w:rPr>
        <w:t>支</w:t>
      </w:r>
      <w:r>
        <w:rPr>
          <w:rStyle w:val="32"/>
          <w:rFonts w:hint="eastAsia" w:ascii="仿宋" w:hAnsi="仿宋" w:eastAsia="仿宋"/>
          <w:b w:val="0"/>
          <w:bCs w:val="0"/>
        </w:rPr>
        <w:t>出决算表</w:t>
      </w:r>
      <w:bookmarkEnd w:id="59"/>
    </w:p>
    <w:p>
      <w:pPr>
        <w:pStyle w:val="4"/>
        <w:rPr>
          <w:rFonts w:ascii="仿宋" w:hAnsi="仿宋" w:eastAsia="仿宋"/>
          <w:b w:val="0"/>
        </w:rPr>
      </w:pPr>
      <w:bookmarkStart w:id="60" w:name="_Toc15396622"/>
      <w:r>
        <w:rPr>
          <w:rStyle w:val="32"/>
          <w:rFonts w:hint="eastAsia" w:ascii="仿宋" w:hAnsi="仿宋" w:eastAsia="仿宋"/>
          <w:b w:val="0"/>
          <w:bCs w:val="0"/>
        </w:rPr>
        <w:t>四、</w:t>
      </w:r>
      <w:r>
        <w:rPr>
          <w:rFonts w:hint="eastAsia" w:ascii="仿宋" w:hAnsi="仿宋" w:eastAsia="仿宋"/>
          <w:b w:val="0"/>
        </w:rPr>
        <w:t>财</w:t>
      </w:r>
      <w:r>
        <w:rPr>
          <w:rStyle w:val="32"/>
          <w:rFonts w:hint="eastAsia" w:ascii="仿宋" w:hAnsi="仿宋" w:eastAsia="仿宋"/>
          <w:b w:val="0"/>
          <w:bCs w:val="0"/>
        </w:rPr>
        <w:t>政拨款收入支出决算总表</w:t>
      </w:r>
      <w:bookmarkEnd w:id="60"/>
    </w:p>
    <w:p>
      <w:pPr>
        <w:pStyle w:val="4"/>
        <w:rPr>
          <w:rStyle w:val="32"/>
          <w:rFonts w:ascii="仿宋" w:hAnsi="仿宋" w:eastAsia="仿宋"/>
          <w:b w:val="0"/>
          <w:bCs w:val="0"/>
        </w:rPr>
      </w:pPr>
      <w:bookmarkStart w:id="61" w:name="_Toc15396623"/>
      <w:r>
        <w:rPr>
          <w:rStyle w:val="32"/>
          <w:rFonts w:hint="eastAsia" w:ascii="仿宋" w:hAnsi="仿宋" w:eastAsia="仿宋"/>
          <w:b w:val="0"/>
          <w:bCs w:val="0"/>
        </w:rPr>
        <w:t>五、</w:t>
      </w:r>
      <w:r>
        <w:rPr>
          <w:rFonts w:hint="eastAsia" w:ascii="仿宋" w:hAnsi="仿宋" w:eastAsia="仿宋"/>
          <w:b w:val="0"/>
        </w:rPr>
        <w:t>财</w:t>
      </w:r>
      <w:r>
        <w:rPr>
          <w:rStyle w:val="32"/>
          <w:rFonts w:hint="eastAsia" w:ascii="仿宋" w:hAnsi="仿宋" w:eastAsia="仿宋"/>
          <w:b w:val="0"/>
          <w:bCs w:val="0"/>
        </w:rPr>
        <w:t>政拨款支出决算明细表</w:t>
      </w:r>
      <w:bookmarkEnd w:id="61"/>
      <w:bookmarkStart w:id="62" w:name="_Toc15396624"/>
    </w:p>
    <w:p>
      <w:pPr>
        <w:pStyle w:val="4"/>
        <w:rPr>
          <w:rFonts w:ascii="仿宋" w:hAnsi="仿宋" w:eastAsia="仿宋"/>
        </w:rPr>
      </w:pPr>
      <w:r>
        <w:rPr>
          <w:rStyle w:val="32"/>
          <w:rFonts w:hint="eastAsia" w:ascii="仿宋" w:hAnsi="仿宋" w:eastAsia="仿宋"/>
          <w:b w:val="0"/>
          <w:bCs w:val="0"/>
        </w:rPr>
        <w:t>六、</w:t>
      </w:r>
      <w:r>
        <w:rPr>
          <w:rFonts w:hint="eastAsia" w:ascii="仿宋" w:hAnsi="仿宋" w:eastAsia="仿宋"/>
          <w:b w:val="0"/>
        </w:rPr>
        <w:t>一</w:t>
      </w:r>
      <w:r>
        <w:rPr>
          <w:rStyle w:val="32"/>
          <w:rFonts w:hint="eastAsia" w:ascii="仿宋" w:hAnsi="仿宋" w:eastAsia="仿宋"/>
          <w:b w:val="0"/>
          <w:bCs w:val="0"/>
        </w:rPr>
        <w:t>般公共预算财政拨款支出决算表</w:t>
      </w:r>
      <w:bookmarkEnd w:id="62"/>
    </w:p>
    <w:p>
      <w:pPr>
        <w:pStyle w:val="4"/>
        <w:rPr>
          <w:rFonts w:ascii="仿宋" w:hAnsi="仿宋" w:eastAsia="仿宋"/>
        </w:rPr>
      </w:pPr>
      <w:bookmarkStart w:id="63" w:name="_Toc15396625"/>
      <w:r>
        <w:rPr>
          <w:rStyle w:val="32"/>
          <w:rFonts w:hint="eastAsia" w:ascii="仿宋" w:hAnsi="仿宋" w:eastAsia="仿宋"/>
          <w:b w:val="0"/>
          <w:bCs w:val="0"/>
        </w:rPr>
        <w:t>七、</w:t>
      </w:r>
      <w:r>
        <w:rPr>
          <w:rFonts w:hint="eastAsia" w:ascii="仿宋" w:hAnsi="仿宋" w:eastAsia="仿宋"/>
          <w:b w:val="0"/>
        </w:rPr>
        <w:t>一</w:t>
      </w:r>
      <w:r>
        <w:rPr>
          <w:rStyle w:val="32"/>
          <w:rFonts w:hint="eastAsia" w:ascii="仿宋" w:hAnsi="仿宋" w:eastAsia="仿宋"/>
          <w:b w:val="0"/>
          <w:bCs w:val="0"/>
        </w:rPr>
        <w:t>般公共预算财政拨款支出决算明细表</w:t>
      </w:r>
      <w:bookmarkEnd w:id="63"/>
    </w:p>
    <w:p>
      <w:pPr>
        <w:pStyle w:val="4"/>
        <w:rPr>
          <w:rFonts w:ascii="仿宋" w:hAnsi="仿宋" w:eastAsia="仿宋"/>
        </w:rPr>
      </w:pPr>
      <w:bookmarkStart w:id="64" w:name="_Toc15396626"/>
      <w:r>
        <w:rPr>
          <w:rStyle w:val="32"/>
          <w:rFonts w:hint="eastAsia" w:ascii="仿宋" w:hAnsi="仿宋" w:eastAsia="仿宋"/>
          <w:b w:val="0"/>
          <w:bCs w:val="0"/>
        </w:rPr>
        <w:t>八、</w:t>
      </w:r>
      <w:r>
        <w:rPr>
          <w:rFonts w:hint="eastAsia" w:ascii="仿宋" w:hAnsi="仿宋" w:eastAsia="仿宋"/>
          <w:b w:val="0"/>
        </w:rPr>
        <w:t>一</w:t>
      </w:r>
      <w:r>
        <w:rPr>
          <w:rStyle w:val="32"/>
          <w:rFonts w:hint="eastAsia" w:ascii="仿宋" w:hAnsi="仿宋" w:eastAsia="仿宋"/>
          <w:b w:val="0"/>
          <w:bCs w:val="0"/>
        </w:rPr>
        <w:t>般公共预算财政拨款基本支出决算表</w:t>
      </w:r>
      <w:bookmarkEnd w:id="64"/>
    </w:p>
    <w:p>
      <w:pPr>
        <w:pStyle w:val="4"/>
        <w:rPr>
          <w:rFonts w:ascii="仿宋" w:hAnsi="仿宋" w:eastAsia="仿宋"/>
        </w:rPr>
      </w:pPr>
      <w:bookmarkStart w:id="65" w:name="_Toc15396627"/>
      <w:r>
        <w:rPr>
          <w:rStyle w:val="32"/>
          <w:rFonts w:hint="eastAsia" w:ascii="仿宋" w:hAnsi="仿宋" w:eastAsia="仿宋"/>
          <w:b w:val="0"/>
          <w:bCs w:val="0"/>
        </w:rPr>
        <w:t>九、</w:t>
      </w:r>
      <w:r>
        <w:rPr>
          <w:rFonts w:hint="eastAsia" w:ascii="仿宋" w:hAnsi="仿宋" w:eastAsia="仿宋"/>
          <w:b w:val="0"/>
        </w:rPr>
        <w:t>一</w:t>
      </w:r>
      <w:r>
        <w:rPr>
          <w:rStyle w:val="32"/>
          <w:rFonts w:hint="eastAsia" w:ascii="仿宋" w:hAnsi="仿宋" w:eastAsia="仿宋"/>
          <w:b w:val="0"/>
          <w:bCs w:val="0"/>
        </w:rPr>
        <w:t>般公共预算财政拨款项目支出决算表</w:t>
      </w:r>
      <w:bookmarkEnd w:id="65"/>
    </w:p>
    <w:p>
      <w:pPr>
        <w:pStyle w:val="4"/>
        <w:rPr>
          <w:rFonts w:ascii="仿宋" w:hAnsi="仿宋" w:eastAsia="仿宋"/>
        </w:rPr>
      </w:pPr>
      <w:bookmarkStart w:id="66" w:name="_Toc15396628"/>
      <w:r>
        <w:rPr>
          <w:rStyle w:val="32"/>
          <w:rFonts w:hint="eastAsia" w:ascii="仿宋" w:hAnsi="仿宋" w:eastAsia="仿宋"/>
          <w:b w:val="0"/>
          <w:bCs w:val="0"/>
        </w:rPr>
        <w:t>十、</w:t>
      </w:r>
      <w:bookmarkEnd w:id="66"/>
      <w:r>
        <w:rPr>
          <w:rFonts w:hint="eastAsia" w:ascii="仿宋" w:hAnsi="仿宋" w:eastAsia="仿宋"/>
          <w:b w:val="0"/>
        </w:rPr>
        <w:t>政</w:t>
      </w:r>
      <w:r>
        <w:rPr>
          <w:rStyle w:val="32"/>
          <w:rFonts w:hint="eastAsia" w:ascii="仿宋" w:hAnsi="仿宋" w:eastAsia="仿宋"/>
          <w:b w:val="0"/>
          <w:bCs w:val="0"/>
        </w:rPr>
        <w:t>府性基金预算财政拨款收入支出决算表</w:t>
      </w:r>
    </w:p>
    <w:p>
      <w:pPr>
        <w:pStyle w:val="4"/>
        <w:rPr>
          <w:rFonts w:ascii="仿宋" w:hAnsi="仿宋" w:eastAsia="仿宋"/>
        </w:rPr>
      </w:pPr>
      <w:bookmarkStart w:id="67" w:name="_Toc15396629"/>
      <w:r>
        <w:rPr>
          <w:rStyle w:val="32"/>
          <w:rFonts w:hint="eastAsia" w:ascii="仿宋" w:hAnsi="仿宋" w:eastAsia="仿宋"/>
          <w:b w:val="0"/>
          <w:bCs w:val="0"/>
        </w:rPr>
        <w:t>十一、</w:t>
      </w:r>
      <w:bookmarkEnd w:id="67"/>
      <w:r>
        <w:rPr>
          <w:rFonts w:hint="eastAsia" w:ascii="仿宋" w:hAnsi="仿宋" w:eastAsia="仿宋"/>
          <w:b w:val="0"/>
        </w:rPr>
        <w:t>国</w:t>
      </w:r>
      <w:r>
        <w:rPr>
          <w:rStyle w:val="32"/>
          <w:rFonts w:hint="eastAsia" w:ascii="仿宋" w:hAnsi="仿宋" w:eastAsia="仿宋"/>
          <w:b w:val="0"/>
          <w:bCs w:val="0"/>
        </w:rPr>
        <w:t>有资本经营预算财政拨款收入支出决算表</w:t>
      </w:r>
    </w:p>
    <w:p>
      <w:pPr>
        <w:pStyle w:val="4"/>
        <w:rPr>
          <w:rFonts w:ascii="仿宋" w:hAnsi="仿宋" w:eastAsia="仿宋"/>
        </w:rPr>
      </w:pPr>
      <w:bookmarkStart w:id="68" w:name="_Toc15396630"/>
      <w:r>
        <w:rPr>
          <w:rStyle w:val="32"/>
          <w:rFonts w:hint="eastAsia" w:ascii="仿宋" w:hAnsi="仿宋" w:eastAsia="仿宋"/>
          <w:b w:val="0"/>
          <w:bCs w:val="0"/>
        </w:rPr>
        <w:t>十二、</w:t>
      </w:r>
      <w:bookmarkEnd w:id="68"/>
      <w:r>
        <w:rPr>
          <w:rStyle w:val="32"/>
          <w:rFonts w:hint="eastAsia" w:ascii="仿宋" w:hAnsi="仿宋" w:eastAsia="仿宋"/>
          <w:b w:val="0"/>
          <w:bCs w:val="0"/>
        </w:rPr>
        <w:t>国有资本经营预算财政拨款支出决算表</w:t>
      </w:r>
    </w:p>
    <w:p>
      <w:pPr>
        <w:pStyle w:val="4"/>
        <w:rPr>
          <w:rFonts w:eastAsia="仿宋"/>
        </w:rPr>
      </w:pPr>
      <w:bookmarkStart w:id="69" w:name="_Toc15396631"/>
      <w:r>
        <w:rPr>
          <w:rStyle w:val="32"/>
          <w:rFonts w:hint="eastAsia" w:ascii="仿宋" w:hAnsi="仿宋" w:eastAsia="仿宋"/>
          <w:b w:val="0"/>
          <w:bCs w:val="0"/>
        </w:rPr>
        <w:t>十三、</w:t>
      </w:r>
      <w:bookmarkEnd w:id="69"/>
      <w:r>
        <w:rPr>
          <w:rStyle w:val="32"/>
          <w:rFonts w:hint="eastAsia" w:ascii="仿宋" w:hAnsi="仿宋" w:eastAsia="仿宋"/>
          <w:b w:val="0"/>
          <w:bCs w:val="0"/>
        </w:rPr>
        <w:t>财政拨款“三公”经费支出决算表</w:t>
      </w:r>
    </w:p>
    <w:sectPr>
      <w:headerReference r:id="rId4" w:type="default"/>
      <w:footerReference r:id="rId5"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1450" w:wrap="around" w:vAnchor="text" w:hAnchor="margin" w:xAlign="outside" w:y="3"/>
      <w:jc w:val="center"/>
      <w:rPr>
        <w:rStyle w:val="20"/>
        <w:sz w:val="28"/>
        <w:szCs w:val="28"/>
      </w:rPr>
    </w:pPr>
    <w:r>
      <w:rPr>
        <w:rStyle w:val="20"/>
        <w:sz w:val="28"/>
        <w:szCs w:val="28"/>
      </w:rPr>
      <w:t xml:space="preserve">— </w:t>
    </w:r>
    <w:r>
      <w:rPr>
        <w:sz w:val="28"/>
        <w:szCs w:val="28"/>
      </w:rPr>
      <w:fldChar w:fldCharType="begin"/>
    </w:r>
    <w:r>
      <w:rPr>
        <w:rStyle w:val="20"/>
        <w:sz w:val="28"/>
        <w:szCs w:val="28"/>
      </w:rPr>
      <w:instrText xml:space="preserve">PAGE  </w:instrText>
    </w:r>
    <w:r>
      <w:rPr>
        <w:sz w:val="28"/>
        <w:szCs w:val="28"/>
      </w:rPr>
      <w:fldChar w:fldCharType="separate"/>
    </w:r>
    <w:r>
      <w:rPr>
        <w:rStyle w:val="20"/>
        <w:sz w:val="28"/>
        <w:szCs w:val="28"/>
      </w:rPr>
      <w:t>2</w:t>
    </w:r>
    <w:r>
      <w:rPr>
        <w:sz w:val="28"/>
        <w:szCs w:val="28"/>
      </w:rPr>
      <w:fldChar w:fldCharType="end"/>
    </w:r>
    <w:r>
      <w:rPr>
        <w:rStyle w:val="20"/>
        <w:sz w:val="28"/>
        <w:szCs w:val="28"/>
      </w:rPr>
      <w:t xml:space="preserve"> —</w:t>
    </w:r>
  </w:p>
  <w:p>
    <w:pPr>
      <w:pStyle w:val="11"/>
      <w:ind w:right="360" w:firstLine="360"/>
      <w:jc w:val="center"/>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1BC9560"/>
    <w:multiLevelType w:val="singleLevel"/>
    <w:tmpl w:val="D1BC9560"/>
    <w:lvl w:ilvl="0" w:tentative="0">
      <w:start w:val="2"/>
      <w:numFmt w:val="chineseCounting"/>
      <w:suff w:val="nothing"/>
      <w:lvlText w:val="（%1）"/>
      <w:lvlJc w:val="left"/>
      <w:rPr>
        <w:rFonts w:hint="eastAsia"/>
      </w:rPr>
    </w:lvl>
  </w:abstractNum>
  <w:abstractNum w:abstractNumId="2">
    <w:nsid w:val="DAA69257"/>
    <w:multiLevelType w:val="singleLevel"/>
    <w:tmpl w:val="DAA69257"/>
    <w:lvl w:ilvl="0" w:tentative="0">
      <w:start w:val="2"/>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38C9E8C7"/>
    <w:multiLevelType w:val="singleLevel"/>
    <w:tmpl w:val="38C9E8C7"/>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1NGU1N2M3ODU3OWNhYmIxYmE3ZmU4NDEyZGE0OTk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C49E1"/>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C4224"/>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3F90"/>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0F5"/>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72887"/>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2849"/>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0D66EE"/>
    <w:rsid w:val="015975B8"/>
    <w:rsid w:val="01781AD1"/>
    <w:rsid w:val="018840B0"/>
    <w:rsid w:val="018C4DCC"/>
    <w:rsid w:val="01CA4E4D"/>
    <w:rsid w:val="01F13668"/>
    <w:rsid w:val="01F363CF"/>
    <w:rsid w:val="02143E91"/>
    <w:rsid w:val="021F7C53"/>
    <w:rsid w:val="02655E9F"/>
    <w:rsid w:val="02835C18"/>
    <w:rsid w:val="02A64292"/>
    <w:rsid w:val="02AE1784"/>
    <w:rsid w:val="02CF57D3"/>
    <w:rsid w:val="039D01B2"/>
    <w:rsid w:val="03C35249"/>
    <w:rsid w:val="03C82252"/>
    <w:rsid w:val="03CA03F4"/>
    <w:rsid w:val="03E9749F"/>
    <w:rsid w:val="040D3AB1"/>
    <w:rsid w:val="04267DCB"/>
    <w:rsid w:val="044C3198"/>
    <w:rsid w:val="045C190A"/>
    <w:rsid w:val="04686C05"/>
    <w:rsid w:val="04AE6771"/>
    <w:rsid w:val="04F0252B"/>
    <w:rsid w:val="05A413F2"/>
    <w:rsid w:val="05EF2CEB"/>
    <w:rsid w:val="06213037"/>
    <w:rsid w:val="066A6D58"/>
    <w:rsid w:val="066B4155"/>
    <w:rsid w:val="066E0107"/>
    <w:rsid w:val="069925B5"/>
    <w:rsid w:val="06C11121"/>
    <w:rsid w:val="06CE4388"/>
    <w:rsid w:val="06FB24E2"/>
    <w:rsid w:val="07016DA4"/>
    <w:rsid w:val="07144CD4"/>
    <w:rsid w:val="071D500E"/>
    <w:rsid w:val="073C10F6"/>
    <w:rsid w:val="07737E83"/>
    <w:rsid w:val="07847617"/>
    <w:rsid w:val="078E4357"/>
    <w:rsid w:val="07996F6E"/>
    <w:rsid w:val="07FC2972"/>
    <w:rsid w:val="085E6C80"/>
    <w:rsid w:val="08722294"/>
    <w:rsid w:val="08807388"/>
    <w:rsid w:val="08B97399"/>
    <w:rsid w:val="08BD4D0F"/>
    <w:rsid w:val="08C7107C"/>
    <w:rsid w:val="08D422F4"/>
    <w:rsid w:val="08FB608C"/>
    <w:rsid w:val="092F7F76"/>
    <w:rsid w:val="093B0274"/>
    <w:rsid w:val="093B4DFA"/>
    <w:rsid w:val="0959184E"/>
    <w:rsid w:val="095E3820"/>
    <w:rsid w:val="096000BE"/>
    <w:rsid w:val="09624E21"/>
    <w:rsid w:val="09742B2F"/>
    <w:rsid w:val="098F0D25"/>
    <w:rsid w:val="0990503E"/>
    <w:rsid w:val="09C2600E"/>
    <w:rsid w:val="09C27360"/>
    <w:rsid w:val="09E04877"/>
    <w:rsid w:val="09EF5765"/>
    <w:rsid w:val="0A0C4B36"/>
    <w:rsid w:val="0A132588"/>
    <w:rsid w:val="0A2032A3"/>
    <w:rsid w:val="0A266BB7"/>
    <w:rsid w:val="0A276C3B"/>
    <w:rsid w:val="0A303EAC"/>
    <w:rsid w:val="0A3668AF"/>
    <w:rsid w:val="0A8C46FC"/>
    <w:rsid w:val="0AAE4627"/>
    <w:rsid w:val="0AC119DB"/>
    <w:rsid w:val="0AC60686"/>
    <w:rsid w:val="0AE266A2"/>
    <w:rsid w:val="0AE266CB"/>
    <w:rsid w:val="0B133D9D"/>
    <w:rsid w:val="0B665356"/>
    <w:rsid w:val="0B6B1E1B"/>
    <w:rsid w:val="0B7C359E"/>
    <w:rsid w:val="0B8428AE"/>
    <w:rsid w:val="0BDC0460"/>
    <w:rsid w:val="0C07201D"/>
    <w:rsid w:val="0C293B11"/>
    <w:rsid w:val="0C6E461C"/>
    <w:rsid w:val="0C6F78B3"/>
    <w:rsid w:val="0CC11C20"/>
    <w:rsid w:val="0CEA3612"/>
    <w:rsid w:val="0CEC46B8"/>
    <w:rsid w:val="0D081DA4"/>
    <w:rsid w:val="0DAF16D1"/>
    <w:rsid w:val="0DB44FC5"/>
    <w:rsid w:val="0DDA3C8D"/>
    <w:rsid w:val="0DEF626E"/>
    <w:rsid w:val="0E2F1773"/>
    <w:rsid w:val="0E311BC7"/>
    <w:rsid w:val="0E4D49B6"/>
    <w:rsid w:val="0EBA1D0C"/>
    <w:rsid w:val="0ED51652"/>
    <w:rsid w:val="0EFF4993"/>
    <w:rsid w:val="0F025C28"/>
    <w:rsid w:val="0F0976C0"/>
    <w:rsid w:val="0F491A41"/>
    <w:rsid w:val="0F98263C"/>
    <w:rsid w:val="10142CCB"/>
    <w:rsid w:val="101860EC"/>
    <w:rsid w:val="10507E98"/>
    <w:rsid w:val="105B32B6"/>
    <w:rsid w:val="106A259F"/>
    <w:rsid w:val="107711A8"/>
    <w:rsid w:val="1093302E"/>
    <w:rsid w:val="10BA5AF1"/>
    <w:rsid w:val="10BC018F"/>
    <w:rsid w:val="10C055FF"/>
    <w:rsid w:val="10E30EB5"/>
    <w:rsid w:val="111D6408"/>
    <w:rsid w:val="115A4ADD"/>
    <w:rsid w:val="118107EC"/>
    <w:rsid w:val="11967A25"/>
    <w:rsid w:val="11B423BC"/>
    <w:rsid w:val="11E23F4C"/>
    <w:rsid w:val="12646F6F"/>
    <w:rsid w:val="12682E07"/>
    <w:rsid w:val="132F1D23"/>
    <w:rsid w:val="134405EB"/>
    <w:rsid w:val="13C710BE"/>
    <w:rsid w:val="13D50BC4"/>
    <w:rsid w:val="14754F7D"/>
    <w:rsid w:val="14772EAD"/>
    <w:rsid w:val="14CD0971"/>
    <w:rsid w:val="14D41546"/>
    <w:rsid w:val="15223247"/>
    <w:rsid w:val="15507EAA"/>
    <w:rsid w:val="15567177"/>
    <w:rsid w:val="159324E5"/>
    <w:rsid w:val="15D533ED"/>
    <w:rsid w:val="166426DB"/>
    <w:rsid w:val="16B90A03"/>
    <w:rsid w:val="16BB723D"/>
    <w:rsid w:val="16E93FF9"/>
    <w:rsid w:val="16F5420C"/>
    <w:rsid w:val="16FC1F98"/>
    <w:rsid w:val="179822E3"/>
    <w:rsid w:val="17B022B4"/>
    <w:rsid w:val="17E81582"/>
    <w:rsid w:val="181E14D9"/>
    <w:rsid w:val="181E5505"/>
    <w:rsid w:val="18AD2C31"/>
    <w:rsid w:val="18EE0EFF"/>
    <w:rsid w:val="18FF11E9"/>
    <w:rsid w:val="1931796C"/>
    <w:rsid w:val="19393C6B"/>
    <w:rsid w:val="19801696"/>
    <w:rsid w:val="19D72CC3"/>
    <w:rsid w:val="19DF1DFD"/>
    <w:rsid w:val="1AA3497B"/>
    <w:rsid w:val="1AC16652"/>
    <w:rsid w:val="1B1D267E"/>
    <w:rsid w:val="1B236A1D"/>
    <w:rsid w:val="1B37140C"/>
    <w:rsid w:val="1B372F07"/>
    <w:rsid w:val="1B771CCE"/>
    <w:rsid w:val="1BCD0D49"/>
    <w:rsid w:val="1BE8440E"/>
    <w:rsid w:val="1BF10C86"/>
    <w:rsid w:val="1BFB6EBD"/>
    <w:rsid w:val="1C7E51CF"/>
    <w:rsid w:val="1C8B42FA"/>
    <w:rsid w:val="1C967B83"/>
    <w:rsid w:val="1D071347"/>
    <w:rsid w:val="1D155CEE"/>
    <w:rsid w:val="1D566A29"/>
    <w:rsid w:val="1D60700D"/>
    <w:rsid w:val="1D7C4DAF"/>
    <w:rsid w:val="1D7E5CA5"/>
    <w:rsid w:val="1DAD3A33"/>
    <w:rsid w:val="1DBC5BB4"/>
    <w:rsid w:val="1DCE62BC"/>
    <w:rsid w:val="1E3E6CEA"/>
    <w:rsid w:val="1E6B4652"/>
    <w:rsid w:val="1E7E1AFB"/>
    <w:rsid w:val="1E910BDE"/>
    <w:rsid w:val="1EA7013D"/>
    <w:rsid w:val="1F040D6C"/>
    <w:rsid w:val="1F0B478D"/>
    <w:rsid w:val="1F2E4B67"/>
    <w:rsid w:val="1F8641E3"/>
    <w:rsid w:val="1F8F1818"/>
    <w:rsid w:val="1F9B085C"/>
    <w:rsid w:val="1FBB7B98"/>
    <w:rsid w:val="1FDA2F25"/>
    <w:rsid w:val="1FEF723E"/>
    <w:rsid w:val="1FF35744"/>
    <w:rsid w:val="1FFB16DD"/>
    <w:rsid w:val="20293FC1"/>
    <w:rsid w:val="202C73E8"/>
    <w:rsid w:val="20482455"/>
    <w:rsid w:val="212E5FEF"/>
    <w:rsid w:val="21300F83"/>
    <w:rsid w:val="21781E05"/>
    <w:rsid w:val="21E11944"/>
    <w:rsid w:val="22110444"/>
    <w:rsid w:val="22137DCB"/>
    <w:rsid w:val="221D4B76"/>
    <w:rsid w:val="225A1E6C"/>
    <w:rsid w:val="230159A9"/>
    <w:rsid w:val="23311967"/>
    <w:rsid w:val="23515F50"/>
    <w:rsid w:val="2366320E"/>
    <w:rsid w:val="238560A4"/>
    <w:rsid w:val="23860B96"/>
    <w:rsid w:val="2389024D"/>
    <w:rsid w:val="23AC38D9"/>
    <w:rsid w:val="24026159"/>
    <w:rsid w:val="240371BF"/>
    <w:rsid w:val="24061498"/>
    <w:rsid w:val="242671B6"/>
    <w:rsid w:val="2427173F"/>
    <w:rsid w:val="248B2628"/>
    <w:rsid w:val="24A84957"/>
    <w:rsid w:val="24CE403D"/>
    <w:rsid w:val="25134915"/>
    <w:rsid w:val="251D2C8C"/>
    <w:rsid w:val="255660AC"/>
    <w:rsid w:val="25B4138C"/>
    <w:rsid w:val="25DD436D"/>
    <w:rsid w:val="25FD6A51"/>
    <w:rsid w:val="26177CFA"/>
    <w:rsid w:val="26345884"/>
    <w:rsid w:val="263806CD"/>
    <w:rsid w:val="26422E30"/>
    <w:rsid w:val="26674B02"/>
    <w:rsid w:val="26BF4B84"/>
    <w:rsid w:val="26DE2F99"/>
    <w:rsid w:val="26FA66AE"/>
    <w:rsid w:val="27194AC6"/>
    <w:rsid w:val="2760067D"/>
    <w:rsid w:val="277944F2"/>
    <w:rsid w:val="27A55323"/>
    <w:rsid w:val="27C706CC"/>
    <w:rsid w:val="27C91E95"/>
    <w:rsid w:val="27FD007F"/>
    <w:rsid w:val="282E7259"/>
    <w:rsid w:val="284C23DD"/>
    <w:rsid w:val="28657F66"/>
    <w:rsid w:val="288969EB"/>
    <w:rsid w:val="28952479"/>
    <w:rsid w:val="28C07F01"/>
    <w:rsid w:val="28C86549"/>
    <w:rsid w:val="28CE4911"/>
    <w:rsid w:val="28E93244"/>
    <w:rsid w:val="2917611C"/>
    <w:rsid w:val="292D1347"/>
    <w:rsid w:val="2978355F"/>
    <w:rsid w:val="297B6925"/>
    <w:rsid w:val="29830638"/>
    <w:rsid w:val="29CA6B67"/>
    <w:rsid w:val="29F51160"/>
    <w:rsid w:val="29FD04D3"/>
    <w:rsid w:val="2A59710D"/>
    <w:rsid w:val="2ADD6345"/>
    <w:rsid w:val="2B04420C"/>
    <w:rsid w:val="2BC46A86"/>
    <w:rsid w:val="2BCE326D"/>
    <w:rsid w:val="2C13439B"/>
    <w:rsid w:val="2C33042B"/>
    <w:rsid w:val="2C387106"/>
    <w:rsid w:val="2C4B7C87"/>
    <w:rsid w:val="2C5C3875"/>
    <w:rsid w:val="2C8A61B5"/>
    <w:rsid w:val="2CBD192A"/>
    <w:rsid w:val="2CC94FFC"/>
    <w:rsid w:val="2CCD46DC"/>
    <w:rsid w:val="2D1D2B37"/>
    <w:rsid w:val="2D245FF8"/>
    <w:rsid w:val="2D5B647C"/>
    <w:rsid w:val="2D5D6D3E"/>
    <w:rsid w:val="2D701A85"/>
    <w:rsid w:val="2DA859B6"/>
    <w:rsid w:val="2DBC2BF4"/>
    <w:rsid w:val="2DE51274"/>
    <w:rsid w:val="2DE856E1"/>
    <w:rsid w:val="2DF04E50"/>
    <w:rsid w:val="2E6C3480"/>
    <w:rsid w:val="2E8A070F"/>
    <w:rsid w:val="2EBC4124"/>
    <w:rsid w:val="2F040D46"/>
    <w:rsid w:val="2F1E6470"/>
    <w:rsid w:val="2F8A4B05"/>
    <w:rsid w:val="2FB10D1B"/>
    <w:rsid w:val="2FBB4A94"/>
    <w:rsid w:val="2FE15CA0"/>
    <w:rsid w:val="2FED0117"/>
    <w:rsid w:val="302E7617"/>
    <w:rsid w:val="304343B1"/>
    <w:rsid w:val="30572702"/>
    <w:rsid w:val="30B277F9"/>
    <w:rsid w:val="30BE16BC"/>
    <w:rsid w:val="31455FC7"/>
    <w:rsid w:val="316C37A3"/>
    <w:rsid w:val="319F7F4E"/>
    <w:rsid w:val="31E21D64"/>
    <w:rsid w:val="32304E6F"/>
    <w:rsid w:val="32377BCF"/>
    <w:rsid w:val="32383A92"/>
    <w:rsid w:val="32793D10"/>
    <w:rsid w:val="32A01F73"/>
    <w:rsid w:val="32E47EFD"/>
    <w:rsid w:val="3304709D"/>
    <w:rsid w:val="330E4821"/>
    <w:rsid w:val="336E1D6D"/>
    <w:rsid w:val="33BE39A7"/>
    <w:rsid w:val="33E36292"/>
    <w:rsid w:val="33E40A6D"/>
    <w:rsid w:val="345339F7"/>
    <w:rsid w:val="347B095A"/>
    <w:rsid w:val="34A43BE1"/>
    <w:rsid w:val="34F42149"/>
    <w:rsid w:val="35100A8D"/>
    <w:rsid w:val="35D828C7"/>
    <w:rsid w:val="35E3400F"/>
    <w:rsid w:val="36AA5135"/>
    <w:rsid w:val="36F30489"/>
    <w:rsid w:val="37402A4F"/>
    <w:rsid w:val="37421E85"/>
    <w:rsid w:val="376D39B2"/>
    <w:rsid w:val="37E16F03"/>
    <w:rsid w:val="37FC0CA9"/>
    <w:rsid w:val="3882326C"/>
    <w:rsid w:val="389E4876"/>
    <w:rsid w:val="38D469F0"/>
    <w:rsid w:val="38D579B4"/>
    <w:rsid w:val="38E26789"/>
    <w:rsid w:val="39204BC8"/>
    <w:rsid w:val="39267C61"/>
    <w:rsid w:val="393E1E1B"/>
    <w:rsid w:val="395843C1"/>
    <w:rsid w:val="396338B8"/>
    <w:rsid w:val="39A45B52"/>
    <w:rsid w:val="39F7679F"/>
    <w:rsid w:val="3A2C4797"/>
    <w:rsid w:val="3A4F2A88"/>
    <w:rsid w:val="3ABF42E7"/>
    <w:rsid w:val="3AC50C76"/>
    <w:rsid w:val="3ACB0055"/>
    <w:rsid w:val="3AD105AC"/>
    <w:rsid w:val="3B22757C"/>
    <w:rsid w:val="3BD37CFC"/>
    <w:rsid w:val="3BE21300"/>
    <w:rsid w:val="3BE60F36"/>
    <w:rsid w:val="3C697E1B"/>
    <w:rsid w:val="3C927447"/>
    <w:rsid w:val="3D4B5961"/>
    <w:rsid w:val="3D7B10DA"/>
    <w:rsid w:val="3D98207C"/>
    <w:rsid w:val="3DAA50D7"/>
    <w:rsid w:val="3DD15520"/>
    <w:rsid w:val="3DE279A6"/>
    <w:rsid w:val="3DE66CEE"/>
    <w:rsid w:val="3E117F08"/>
    <w:rsid w:val="3E4E777A"/>
    <w:rsid w:val="3E7053CE"/>
    <w:rsid w:val="3E78745D"/>
    <w:rsid w:val="3EBE0F0C"/>
    <w:rsid w:val="3F400905"/>
    <w:rsid w:val="3F6D4EC9"/>
    <w:rsid w:val="3F7C003B"/>
    <w:rsid w:val="4009103D"/>
    <w:rsid w:val="400D6403"/>
    <w:rsid w:val="40302644"/>
    <w:rsid w:val="406D00DA"/>
    <w:rsid w:val="40AD35E2"/>
    <w:rsid w:val="40AF424B"/>
    <w:rsid w:val="41205BD4"/>
    <w:rsid w:val="41210120"/>
    <w:rsid w:val="41AA0825"/>
    <w:rsid w:val="41D54C37"/>
    <w:rsid w:val="41D90B93"/>
    <w:rsid w:val="41F32A79"/>
    <w:rsid w:val="41FD0D01"/>
    <w:rsid w:val="42506F71"/>
    <w:rsid w:val="429D7FB2"/>
    <w:rsid w:val="42A05BCA"/>
    <w:rsid w:val="42BA1D95"/>
    <w:rsid w:val="43015AD9"/>
    <w:rsid w:val="432153F5"/>
    <w:rsid w:val="432A2554"/>
    <w:rsid w:val="43450F3E"/>
    <w:rsid w:val="43810CFA"/>
    <w:rsid w:val="43BE536B"/>
    <w:rsid w:val="43EF377D"/>
    <w:rsid w:val="4427216D"/>
    <w:rsid w:val="44640FAE"/>
    <w:rsid w:val="446A41DA"/>
    <w:rsid w:val="44D32EF7"/>
    <w:rsid w:val="44E268DA"/>
    <w:rsid w:val="44EA219C"/>
    <w:rsid w:val="44F40953"/>
    <w:rsid w:val="450F615A"/>
    <w:rsid w:val="452018D1"/>
    <w:rsid w:val="454D7524"/>
    <w:rsid w:val="456F7B58"/>
    <w:rsid w:val="458A4466"/>
    <w:rsid w:val="45955358"/>
    <w:rsid w:val="45A816FA"/>
    <w:rsid w:val="45D23CE6"/>
    <w:rsid w:val="45DB0128"/>
    <w:rsid w:val="46111FDA"/>
    <w:rsid w:val="465C3004"/>
    <w:rsid w:val="46C560DF"/>
    <w:rsid w:val="47077381"/>
    <w:rsid w:val="47115455"/>
    <w:rsid w:val="47B74640"/>
    <w:rsid w:val="47F653E0"/>
    <w:rsid w:val="47FF3D61"/>
    <w:rsid w:val="480F1EC7"/>
    <w:rsid w:val="48341D4A"/>
    <w:rsid w:val="487075B7"/>
    <w:rsid w:val="488F2042"/>
    <w:rsid w:val="492638AA"/>
    <w:rsid w:val="498F31E3"/>
    <w:rsid w:val="49CB35D4"/>
    <w:rsid w:val="49EC5629"/>
    <w:rsid w:val="49FC565D"/>
    <w:rsid w:val="4A2F7F1B"/>
    <w:rsid w:val="4A627F82"/>
    <w:rsid w:val="4A714552"/>
    <w:rsid w:val="4A7229C2"/>
    <w:rsid w:val="4A816B7A"/>
    <w:rsid w:val="4A9E0DD7"/>
    <w:rsid w:val="4AEE7A7B"/>
    <w:rsid w:val="4AF26CD1"/>
    <w:rsid w:val="4AFA5682"/>
    <w:rsid w:val="4B0E749A"/>
    <w:rsid w:val="4B260677"/>
    <w:rsid w:val="4B3A6CA7"/>
    <w:rsid w:val="4B4F25DA"/>
    <w:rsid w:val="4BCF0E2F"/>
    <w:rsid w:val="4BDF6F0C"/>
    <w:rsid w:val="4BE068DB"/>
    <w:rsid w:val="4BF22FF0"/>
    <w:rsid w:val="4C463837"/>
    <w:rsid w:val="4C764132"/>
    <w:rsid w:val="4C834671"/>
    <w:rsid w:val="4CA53BCF"/>
    <w:rsid w:val="4CD06ED6"/>
    <w:rsid w:val="4CD30FE8"/>
    <w:rsid w:val="4D026605"/>
    <w:rsid w:val="4D20313C"/>
    <w:rsid w:val="4D270AEE"/>
    <w:rsid w:val="4D4A2502"/>
    <w:rsid w:val="4D4F01DA"/>
    <w:rsid w:val="4D543380"/>
    <w:rsid w:val="4D577224"/>
    <w:rsid w:val="4D733FA1"/>
    <w:rsid w:val="4D7A782D"/>
    <w:rsid w:val="4DAA40F8"/>
    <w:rsid w:val="4DCE132C"/>
    <w:rsid w:val="4DFF5C5A"/>
    <w:rsid w:val="4E29023F"/>
    <w:rsid w:val="4E5615EC"/>
    <w:rsid w:val="4E76245E"/>
    <w:rsid w:val="4EAB630A"/>
    <w:rsid w:val="4EB80502"/>
    <w:rsid w:val="4EC11907"/>
    <w:rsid w:val="4ECE2238"/>
    <w:rsid w:val="4F1B3104"/>
    <w:rsid w:val="4F263926"/>
    <w:rsid w:val="4F471D5B"/>
    <w:rsid w:val="4F4C2389"/>
    <w:rsid w:val="4F4C7BB7"/>
    <w:rsid w:val="4F4D0879"/>
    <w:rsid w:val="4F505EDD"/>
    <w:rsid w:val="4F742665"/>
    <w:rsid w:val="4FA7690D"/>
    <w:rsid w:val="4FAD6299"/>
    <w:rsid w:val="50132D18"/>
    <w:rsid w:val="5028136E"/>
    <w:rsid w:val="502E52A6"/>
    <w:rsid w:val="50344B2C"/>
    <w:rsid w:val="503F37BF"/>
    <w:rsid w:val="504A432D"/>
    <w:rsid w:val="505A6256"/>
    <w:rsid w:val="507A75D7"/>
    <w:rsid w:val="50CD79DE"/>
    <w:rsid w:val="513D4EB1"/>
    <w:rsid w:val="51C464C0"/>
    <w:rsid w:val="51E01AAE"/>
    <w:rsid w:val="51E409DC"/>
    <w:rsid w:val="51F6525B"/>
    <w:rsid w:val="52CB76B7"/>
    <w:rsid w:val="52ED55CF"/>
    <w:rsid w:val="52F023C0"/>
    <w:rsid w:val="52F3774D"/>
    <w:rsid w:val="532318A9"/>
    <w:rsid w:val="53257705"/>
    <w:rsid w:val="53534D71"/>
    <w:rsid w:val="53545996"/>
    <w:rsid w:val="5373080E"/>
    <w:rsid w:val="53757360"/>
    <w:rsid w:val="537E6D0A"/>
    <w:rsid w:val="53A87CB2"/>
    <w:rsid w:val="53B628C9"/>
    <w:rsid w:val="53B964D5"/>
    <w:rsid w:val="540312D3"/>
    <w:rsid w:val="540A174E"/>
    <w:rsid w:val="544C4F6E"/>
    <w:rsid w:val="54BD6E1C"/>
    <w:rsid w:val="54D8786E"/>
    <w:rsid w:val="55414B31"/>
    <w:rsid w:val="55444468"/>
    <w:rsid w:val="558D7AD1"/>
    <w:rsid w:val="55953244"/>
    <w:rsid w:val="55A15B57"/>
    <w:rsid w:val="55B61D96"/>
    <w:rsid w:val="55F664B3"/>
    <w:rsid w:val="56875DC2"/>
    <w:rsid w:val="569F7434"/>
    <w:rsid w:val="56A9704B"/>
    <w:rsid w:val="571B7974"/>
    <w:rsid w:val="57242BD2"/>
    <w:rsid w:val="572D1520"/>
    <w:rsid w:val="577967D9"/>
    <w:rsid w:val="57BB7204"/>
    <w:rsid w:val="57D82C1D"/>
    <w:rsid w:val="582044A9"/>
    <w:rsid w:val="58483E6B"/>
    <w:rsid w:val="585C639D"/>
    <w:rsid w:val="58AF2CE4"/>
    <w:rsid w:val="58B24E2B"/>
    <w:rsid w:val="58C342F4"/>
    <w:rsid w:val="58C8530B"/>
    <w:rsid w:val="58D73E2C"/>
    <w:rsid w:val="58DD6160"/>
    <w:rsid w:val="59130E85"/>
    <w:rsid w:val="593F03BE"/>
    <w:rsid w:val="597B3C80"/>
    <w:rsid w:val="59842C8D"/>
    <w:rsid w:val="599B6400"/>
    <w:rsid w:val="5A41252F"/>
    <w:rsid w:val="5A686484"/>
    <w:rsid w:val="5A7D55A6"/>
    <w:rsid w:val="5AB8611B"/>
    <w:rsid w:val="5AEF0A13"/>
    <w:rsid w:val="5AF92295"/>
    <w:rsid w:val="5B116253"/>
    <w:rsid w:val="5B845AEA"/>
    <w:rsid w:val="5B8C79D0"/>
    <w:rsid w:val="5BB93B61"/>
    <w:rsid w:val="5BC42D5A"/>
    <w:rsid w:val="5BCF7EFA"/>
    <w:rsid w:val="5C111852"/>
    <w:rsid w:val="5C5563E4"/>
    <w:rsid w:val="5C8216D3"/>
    <w:rsid w:val="5C956B29"/>
    <w:rsid w:val="5CD71FC4"/>
    <w:rsid w:val="5D103B88"/>
    <w:rsid w:val="5D2D4773"/>
    <w:rsid w:val="5D4B2D6F"/>
    <w:rsid w:val="5D562271"/>
    <w:rsid w:val="5DA7239A"/>
    <w:rsid w:val="5DEA29DB"/>
    <w:rsid w:val="5E0178A5"/>
    <w:rsid w:val="5E0502C9"/>
    <w:rsid w:val="5E0D0C68"/>
    <w:rsid w:val="5E15493D"/>
    <w:rsid w:val="5E646EF2"/>
    <w:rsid w:val="5E815639"/>
    <w:rsid w:val="5EC7426F"/>
    <w:rsid w:val="5ED55605"/>
    <w:rsid w:val="5EFC66C0"/>
    <w:rsid w:val="5F0D691D"/>
    <w:rsid w:val="5F751C0C"/>
    <w:rsid w:val="5F972981"/>
    <w:rsid w:val="6040507C"/>
    <w:rsid w:val="607F570D"/>
    <w:rsid w:val="609D2E41"/>
    <w:rsid w:val="60E02845"/>
    <w:rsid w:val="61071582"/>
    <w:rsid w:val="614F4567"/>
    <w:rsid w:val="616D223C"/>
    <w:rsid w:val="61A05C67"/>
    <w:rsid w:val="61F35E49"/>
    <w:rsid w:val="61FC0D05"/>
    <w:rsid w:val="62053D66"/>
    <w:rsid w:val="62421F67"/>
    <w:rsid w:val="624C0336"/>
    <w:rsid w:val="627B7755"/>
    <w:rsid w:val="627D1473"/>
    <w:rsid w:val="62862E3E"/>
    <w:rsid w:val="638F0EE3"/>
    <w:rsid w:val="63983D50"/>
    <w:rsid w:val="63BA0BF1"/>
    <w:rsid w:val="63BE5D01"/>
    <w:rsid w:val="6434124D"/>
    <w:rsid w:val="64602E71"/>
    <w:rsid w:val="648643D8"/>
    <w:rsid w:val="65162AD8"/>
    <w:rsid w:val="651942C5"/>
    <w:rsid w:val="65242CE6"/>
    <w:rsid w:val="65390B02"/>
    <w:rsid w:val="655E153C"/>
    <w:rsid w:val="65B80ED8"/>
    <w:rsid w:val="663543B6"/>
    <w:rsid w:val="663A36E9"/>
    <w:rsid w:val="6642364D"/>
    <w:rsid w:val="66492FA8"/>
    <w:rsid w:val="66500BFF"/>
    <w:rsid w:val="66896B52"/>
    <w:rsid w:val="66DB1D04"/>
    <w:rsid w:val="66FD160E"/>
    <w:rsid w:val="671B6A57"/>
    <w:rsid w:val="6751675E"/>
    <w:rsid w:val="676139E9"/>
    <w:rsid w:val="677E48D2"/>
    <w:rsid w:val="67864D7A"/>
    <w:rsid w:val="679C7B3B"/>
    <w:rsid w:val="682D1172"/>
    <w:rsid w:val="6850247F"/>
    <w:rsid w:val="6854619D"/>
    <w:rsid w:val="685E6357"/>
    <w:rsid w:val="686A7F46"/>
    <w:rsid w:val="690D07E0"/>
    <w:rsid w:val="697B3D0E"/>
    <w:rsid w:val="697F33D0"/>
    <w:rsid w:val="69AA7A3B"/>
    <w:rsid w:val="69C1449E"/>
    <w:rsid w:val="69D223A3"/>
    <w:rsid w:val="6A122F7E"/>
    <w:rsid w:val="6A150B7D"/>
    <w:rsid w:val="6A323A8E"/>
    <w:rsid w:val="6A383204"/>
    <w:rsid w:val="6A5068E9"/>
    <w:rsid w:val="6A772AC9"/>
    <w:rsid w:val="6A98765D"/>
    <w:rsid w:val="6B394ED8"/>
    <w:rsid w:val="6B6B1E2C"/>
    <w:rsid w:val="6BAB09FF"/>
    <w:rsid w:val="6BB50DE1"/>
    <w:rsid w:val="6BDB4601"/>
    <w:rsid w:val="6BFD6837"/>
    <w:rsid w:val="6C0F3BF6"/>
    <w:rsid w:val="6C49049C"/>
    <w:rsid w:val="6C4A05C8"/>
    <w:rsid w:val="6C6C2DC1"/>
    <w:rsid w:val="6CC556EB"/>
    <w:rsid w:val="6D403DAB"/>
    <w:rsid w:val="6D476011"/>
    <w:rsid w:val="6DB251A7"/>
    <w:rsid w:val="6DE37383"/>
    <w:rsid w:val="6DF24921"/>
    <w:rsid w:val="6E7E3605"/>
    <w:rsid w:val="6E897A43"/>
    <w:rsid w:val="6E954513"/>
    <w:rsid w:val="6ED6377A"/>
    <w:rsid w:val="6EE47322"/>
    <w:rsid w:val="6F0D4963"/>
    <w:rsid w:val="6F1274B0"/>
    <w:rsid w:val="6F234133"/>
    <w:rsid w:val="6F2A1B0D"/>
    <w:rsid w:val="6F3B5AA3"/>
    <w:rsid w:val="6F6D4D68"/>
    <w:rsid w:val="6F8F16DF"/>
    <w:rsid w:val="6FA673A4"/>
    <w:rsid w:val="6FAD224D"/>
    <w:rsid w:val="6FF5CC65"/>
    <w:rsid w:val="6FFB71B7"/>
    <w:rsid w:val="70277403"/>
    <w:rsid w:val="705873CA"/>
    <w:rsid w:val="706305CE"/>
    <w:rsid w:val="70673B2B"/>
    <w:rsid w:val="70B16A76"/>
    <w:rsid w:val="70B17F1E"/>
    <w:rsid w:val="70CA297E"/>
    <w:rsid w:val="70D378C9"/>
    <w:rsid w:val="713538FC"/>
    <w:rsid w:val="714777F2"/>
    <w:rsid w:val="715C0E4B"/>
    <w:rsid w:val="7174088B"/>
    <w:rsid w:val="718265AB"/>
    <w:rsid w:val="718A25BA"/>
    <w:rsid w:val="71A00723"/>
    <w:rsid w:val="71E021F4"/>
    <w:rsid w:val="71F45FB8"/>
    <w:rsid w:val="72447633"/>
    <w:rsid w:val="72734D90"/>
    <w:rsid w:val="7274720E"/>
    <w:rsid w:val="727A7039"/>
    <w:rsid w:val="72AA613F"/>
    <w:rsid w:val="7324625F"/>
    <w:rsid w:val="734E35B3"/>
    <w:rsid w:val="736438F1"/>
    <w:rsid w:val="7385666B"/>
    <w:rsid w:val="73982757"/>
    <w:rsid w:val="739C76CB"/>
    <w:rsid w:val="73AD73D5"/>
    <w:rsid w:val="73B6EB34"/>
    <w:rsid w:val="740D41B9"/>
    <w:rsid w:val="742D1EA9"/>
    <w:rsid w:val="744731E5"/>
    <w:rsid w:val="745549EF"/>
    <w:rsid w:val="74EA4D67"/>
    <w:rsid w:val="75255977"/>
    <w:rsid w:val="75597F8B"/>
    <w:rsid w:val="75904338"/>
    <w:rsid w:val="759F64F3"/>
    <w:rsid w:val="762A1682"/>
    <w:rsid w:val="76A418B3"/>
    <w:rsid w:val="76E3355F"/>
    <w:rsid w:val="77112E72"/>
    <w:rsid w:val="773758DC"/>
    <w:rsid w:val="77530965"/>
    <w:rsid w:val="778769C8"/>
    <w:rsid w:val="779232B3"/>
    <w:rsid w:val="77BE3DC0"/>
    <w:rsid w:val="783B21FF"/>
    <w:rsid w:val="78A42172"/>
    <w:rsid w:val="78CF62A9"/>
    <w:rsid w:val="78F81B27"/>
    <w:rsid w:val="79212548"/>
    <w:rsid w:val="7944564A"/>
    <w:rsid w:val="798F7630"/>
    <w:rsid w:val="79EE5BA4"/>
    <w:rsid w:val="79FF64BA"/>
    <w:rsid w:val="7A1A5903"/>
    <w:rsid w:val="7A27076C"/>
    <w:rsid w:val="7A2E247B"/>
    <w:rsid w:val="7A62225F"/>
    <w:rsid w:val="7A894339"/>
    <w:rsid w:val="7A963A6D"/>
    <w:rsid w:val="7AB96C8A"/>
    <w:rsid w:val="7AD442D3"/>
    <w:rsid w:val="7B0F0E5B"/>
    <w:rsid w:val="7B214F05"/>
    <w:rsid w:val="7B8B67E2"/>
    <w:rsid w:val="7BE04557"/>
    <w:rsid w:val="7BE74874"/>
    <w:rsid w:val="7BF231CD"/>
    <w:rsid w:val="7BF94254"/>
    <w:rsid w:val="7C422157"/>
    <w:rsid w:val="7C466C2B"/>
    <w:rsid w:val="7C5630D9"/>
    <w:rsid w:val="7CFE748C"/>
    <w:rsid w:val="7D4D0012"/>
    <w:rsid w:val="7DEA3318"/>
    <w:rsid w:val="7DF4628F"/>
    <w:rsid w:val="7DF805B1"/>
    <w:rsid w:val="7E73593F"/>
    <w:rsid w:val="7E940132"/>
    <w:rsid w:val="7E986A17"/>
    <w:rsid w:val="7EEF11D3"/>
    <w:rsid w:val="7F11130F"/>
    <w:rsid w:val="7F2A10CC"/>
    <w:rsid w:val="7F8721E5"/>
    <w:rsid w:val="7FA30C79"/>
    <w:rsid w:val="7FAB18BC"/>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Calibri" w:hAnsi="Calibri"/>
    </w:rPr>
  </w:style>
  <w:style w:type="paragraph" w:styleId="6">
    <w:name w:val="annotation text"/>
    <w:basedOn w:val="1"/>
    <w:semiHidden/>
    <w:unhideWhenUsed/>
    <w:qFormat/>
    <w:uiPriority w:val="99"/>
    <w:pPr>
      <w:jc w:val="left"/>
    </w:pPr>
  </w:style>
  <w:style w:type="paragraph" w:styleId="7">
    <w:name w:val="Body Text"/>
    <w:basedOn w:val="1"/>
    <w:next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Body Text First Indent 2"/>
    <w:basedOn w:val="8"/>
    <w:unhideWhenUsed/>
    <w:qFormat/>
    <w:uiPriority w:val="99"/>
    <w:pPr>
      <w:ind w:firstLine="420" w:firstLineChars="200"/>
    </w:pPr>
  </w:style>
  <w:style w:type="character" w:styleId="19">
    <w:name w:val="Strong"/>
    <w:basedOn w:val="18"/>
    <w:qFormat/>
    <w:uiPriority w:val="99"/>
    <w:rPr>
      <w:b/>
    </w:rPr>
  </w:style>
  <w:style w:type="character" w:styleId="20">
    <w:name w:val="page number"/>
    <w:basedOn w:val="18"/>
    <w:qFormat/>
    <w:uiPriority w:val="0"/>
  </w:style>
  <w:style w:type="character" w:styleId="21">
    <w:name w:val="Hyperlink"/>
    <w:basedOn w:val="18"/>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8"/>
    <w:semiHidden/>
    <w:qFormat/>
    <w:uiPriority w:val="99"/>
    <w:rPr>
      <w:rFonts w:ascii="Times New Roman" w:hAnsi="Times New Roman"/>
      <w:sz w:val="18"/>
      <w:szCs w:val="18"/>
    </w:rPr>
  </w:style>
  <w:style w:type="character" w:customStyle="1" w:styleId="24">
    <w:name w:val="页眉 字符"/>
    <w:link w:val="12"/>
    <w:semiHidden/>
    <w:qFormat/>
    <w:locked/>
    <w:uiPriority w:val="99"/>
    <w:rPr>
      <w:sz w:val="18"/>
    </w:rPr>
  </w:style>
  <w:style w:type="character" w:customStyle="1" w:styleId="25">
    <w:name w:val="Footer Char"/>
    <w:basedOn w:val="18"/>
    <w:semiHidden/>
    <w:qFormat/>
    <w:uiPriority w:val="99"/>
    <w:rPr>
      <w:rFonts w:ascii="Times New Roman" w:hAnsi="Times New Roman"/>
      <w:sz w:val="18"/>
      <w:szCs w:val="18"/>
    </w:rPr>
  </w:style>
  <w:style w:type="character" w:customStyle="1" w:styleId="26">
    <w:name w:val="页脚 字符"/>
    <w:link w:val="11"/>
    <w:qFormat/>
    <w:locked/>
    <w:uiPriority w:val="99"/>
    <w:rPr>
      <w:sz w:val="18"/>
    </w:rPr>
  </w:style>
  <w:style w:type="character" w:customStyle="1" w:styleId="27">
    <w:name w:val="Body Text Char"/>
    <w:basedOn w:val="18"/>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8"/>
    <w:link w:val="3"/>
    <w:qFormat/>
    <w:uiPriority w:val="9"/>
    <w:rPr>
      <w:rFonts w:ascii="Times New Roman" w:hAnsi="Times New Roman"/>
      <w:b/>
      <w:bCs/>
      <w:kern w:val="44"/>
      <w:sz w:val="44"/>
      <w:szCs w:val="44"/>
    </w:rPr>
  </w:style>
  <w:style w:type="character" w:customStyle="1" w:styleId="32">
    <w:name w:val="标题 2 字符"/>
    <w:basedOn w:val="18"/>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8"/>
    <w:link w:val="10"/>
    <w:semiHidden/>
    <w:qFormat/>
    <w:uiPriority w:val="99"/>
    <w:rPr>
      <w:rFonts w:ascii="Times New Roman" w:hAnsi="Times New Roman"/>
      <w:kern w:val="2"/>
      <w:sz w:val="18"/>
      <w:szCs w:val="18"/>
    </w:rPr>
  </w:style>
  <w:style w:type="character" w:customStyle="1" w:styleId="35">
    <w:name w:val="标题 3 字符"/>
    <w:basedOn w:val="18"/>
    <w:link w:val="5"/>
    <w:qFormat/>
    <w:uiPriority w:val="9"/>
    <w:rPr>
      <w:rFonts w:ascii="Times New Roman" w:hAnsi="Times New Roman"/>
      <w:b/>
      <w:bCs/>
      <w:kern w:val="2"/>
      <w:sz w:val="32"/>
      <w:szCs w:val="32"/>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simple\Desktop\&#30456;&#20851;&#22270;.xls" TargetMode="External"/></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C:\Users\simple\Desktop\&#30456;&#20851;&#22270;.xls" TargetMode="External"/></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oleObject" Target="file:///C:\Users\simple\Desktop\&#30456;&#20851;&#2227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imple\Desktop\&#30456;&#20851;&#2227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simple\Desktop\&#30456;&#20851;&#22270;.xls" TargetMode="External"/></Relationships>
</file>

<file path=word/charts/_rels/chart6.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oleObject" Target="file:///C:\Users\simple\Desktop\&#30456;&#20851;&#2227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收入支出决算总体情况</a:t>
            </a:r>
            <a:endParaRPr sz="1400" b="1" i="0" u="none" strike="noStrike" baseline="0">
              <a:solidFill>
                <a:srgbClr val="404040">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tx>
            <c:strRef>
              <c:f>[相关图.xls]图!$A$3</c:f>
              <c:strCache>
                <c:ptCount val="1"/>
                <c:pt idx="0">
                  <c:v>2021年</c:v>
                </c:pt>
              </c:strCache>
            </c:strRef>
          </c:tx>
          <c:spPr>
            <a:solidFill>
              <a:schemeClr val="accent1"/>
            </a:solidFill>
            <a:ln>
              <a:noFill/>
            </a:ln>
            <a:effectLst/>
          </c:spPr>
          <c:invertIfNegative val="0"/>
          <c:dLbls>
            <c:delete val="1"/>
          </c:dLbls>
          <c:cat>
            <c:strRef>
              <c:f>[相关图.xls]图!$B$2:$C$2</c:f>
              <c:strCache>
                <c:ptCount val="2"/>
                <c:pt idx="0">
                  <c:v>总收入</c:v>
                </c:pt>
                <c:pt idx="1">
                  <c:v>总支出</c:v>
                </c:pt>
              </c:strCache>
            </c:strRef>
          </c:cat>
          <c:val>
            <c:numRef>
              <c:f>[相关图.xls]图!$B$3:$C$3</c:f>
              <c:numCache>
                <c:formatCode>General</c:formatCode>
                <c:ptCount val="2"/>
                <c:pt idx="0">
                  <c:v>1308.84</c:v>
                </c:pt>
                <c:pt idx="1">
                  <c:v>1612.84</c:v>
                </c:pt>
              </c:numCache>
            </c:numRef>
          </c:val>
        </c:ser>
        <c:ser>
          <c:idx val="1"/>
          <c:order val="1"/>
          <c:tx>
            <c:strRef>
              <c:f>[相关图.xls]图!$A$4</c:f>
              <c:strCache>
                <c:ptCount val="1"/>
                <c:pt idx="0">
                  <c:v>2022年</c:v>
                </c:pt>
              </c:strCache>
            </c:strRef>
          </c:tx>
          <c:spPr>
            <a:solidFill>
              <a:schemeClr val="accent2"/>
            </a:solidFill>
            <a:ln>
              <a:noFill/>
            </a:ln>
            <a:effectLst/>
          </c:spPr>
          <c:invertIfNegative val="0"/>
          <c:dLbls>
            <c:delete val="1"/>
          </c:dLbls>
          <c:cat>
            <c:strRef>
              <c:f>[相关图.xls]图!$B$2:$C$2</c:f>
              <c:strCache>
                <c:ptCount val="2"/>
                <c:pt idx="0">
                  <c:v>总收入</c:v>
                </c:pt>
                <c:pt idx="1">
                  <c:v>总支出</c:v>
                </c:pt>
              </c:strCache>
            </c:strRef>
          </c:cat>
          <c:val>
            <c:numRef>
              <c:f>[相关图.xls]图!$B$4:$C$4</c:f>
              <c:numCache>
                <c:formatCode>General</c:formatCode>
                <c:ptCount val="2"/>
                <c:pt idx="0">
                  <c:v>1156.76</c:v>
                </c:pt>
                <c:pt idx="1">
                  <c:v>1190.76</c:v>
                </c:pt>
              </c:numCache>
            </c:numRef>
          </c:val>
        </c:ser>
        <c:dLbls>
          <c:showLegendKey val="0"/>
          <c:showVal val="0"/>
          <c:showCatName val="0"/>
          <c:showSerName val="0"/>
          <c:showPercent val="0"/>
          <c:showBubbleSize val="0"/>
        </c:dLbls>
        <c:gapWidth val="246"/>
        <c:overlap val="-28"/>
        <c:axId val="422856981"/>
        <c:axId val="439348942"/>
      </c:barChart>
      <c:catAx>
        <c:axId val="422856981"/>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348942"/>
        <c:crosses val="autoZero"/>
        <c:auto val="1"/>
        <c:lblAlgn val="ctr"/>
        <c:lblOffset val="100"/>
        <c:noMultiLvlLbl val="0"/>
      </c:catAx>
      <c:valAx>
        <c:axId val="439348942"/>
        <c:scaling>
          <c:orientation val="minMax"/>
        </c:scaling>
        <c:delete val="0"/>
        <c:axPos val="l"/>
        <c:majorGridlines>
          <c:spPr>
            <a:ln w="9525" cap="flat" cmpd="sng" algn="ctr">
              <a:solidFill>
                <a:schemeClr val="bg1">
                  <a:lumMod val="902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285698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0" i="0" u="none" strike="noStrike" kern="1200" spc="0" baseline="0">
                <a:solidFill>
                  <a:schemeClr val="tx1"/>
                </a:solidFill>
                <a:latin typeface="+mn-lt"/>
                <a:ea typeface="+mn-ea"/>
                <a:cs typeface="+mn-cs"/>
              </a:defRPr>
            </a:pPr>
            <a:r>
              <a:t>收入决算情况</a:t>
            </a:r>
            <a:endParaRPr sz="14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spPr>
            <a:solidFill>
              <a:schemeClr val="accent1"/>
            </a:solidFill>
            <a:ln w="12700">
              <a:noFill/>
            </a:ln>
            <a:effectLst/>
            <a:sp3d contourW="12700"/>
          </c:spPr>
          <c:explosion val="3"/>
          <c:dPt>
            <c:idx val="0"/>
            <c:bubble3D val="0"/>
            <c:explosion val="3"/>
            <c:spPr>
              <a:solidFill>
                <a:schemeClr val="accent1"/>
              </a:solidFill>
              <a:ln w="12700">
                <a:noFill/>
              </a:ln>
              <a:effectLst/>
              <a:sp3d contourW="12700"/>
            </c:spPr>
          </c:dPt>
          <c:dPt>
            <c:idx val="1"/>
            <c:bubble3D val="0"/>
            <c:explosion val="3"/>
            <c:spPr>
              <a:solidFill>
                <a:schemeClr val="accent2"/>
              </a:solidFill>
              <a:ln w="12700">
                <a:noFill/>
              </a:ln>
              <a:effectLst/>
              <a:sp3d contourW="12700"/>
            </c:spPr>
          </c:dPt>
          <c:dPt>
            <c:idx val="2"/>
            <c:bubble3D val="0"/>
            <c:explosion val="3"/>
            <c:spPr>
              <a:solidFill>
                <a:schemeClr val="accent3"/>
              </a:solidFill>
              <a:ln w="12700">
                <a:noFill/>
              </a:ln>
              <a:effectLst/>
              <a:sp3d contourW="12700"/>
            </c:spPr>
          </c:dPt>
          <c:dLbls>
            <c:dLbl>
              <c:idx val="0"/>
              <c:layout/>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extLst>
                <c:ext xmlns:c15="http://schemas.microsoft.com/office/drawing/2012/chart" uri="{CE6537A1-D6FC-4f65-9D91-7224C49458BB}"/>
              </c:extLst>
            </c:dLbl>
            <c:dLbl>
              <c:idx val="1"/>
              <c:layout/>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extLst>
                <c:ext xmlns:c15="http://schemas.microsoft.com/office/drawing/2012/chart" uri="{CE6537A1-D6FC-4f65-9D91-7224C49458BB}"/>
              </c:extLst>
            </c:dLbl>
            <c:dLbl>
              <c:idx val="2"/>
              <c:layout/>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extLst>
                <c:ext xmlns:c15="http://schemas.microsoft.com/office/drawing/2012/chart" uri="{CE6537A1-D6FC-4f65-9D91-7224C49458BB}"/>
              </c:extLst>
            </c:dLbl>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[相关图.xls]图!$A$20:$A$22</c:f>
              <c:strCache>
                <c:ptCount val="3"/>
                <c:pt idx="0">
                  <c:v>一般公共预算财政拨款收入</c:v>
                </c:pt>
                <c:pt idx="1">
                  <c:v>事业收入</c:v>
                </c:pt>
                <c:pt idx="2">
                  <c:v>其他收入</c:v>
                </c:pt>
              </c:strCache>
            </c:strRef>
          </c:cat>
          <c:val>
            <c:numRef>
              <c:f>[相关图.xls]图!$B$20:$B$22</c:f>
              <c:numCache>
                <c:formatCode>General</c:formatCode>
                <c:ptCount val="3"/>
                <c:pt idx="0">
                  <c:v>1084.07</c:v>
                </c:pt>
                <c:pt idx="1">
                  <c:v>0</c:v>
                </c:pt>
                <c:pt idx="2">
                  <c:v>72.69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rot="0" vert="horz"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0" i="0" u="none" strike="noStrike" kern="1200" spc="0" baseline="0">
                <a:solidFill>
                  <a:schemeClr val="tx1"/>
                </a:solidFill>
                <a:latin typeface="+mn-lt"/>
                <a:ea typeface="+mn-ea"/>
                <a:cs typeface="+mn-cs"/>
              </a:defRPr>
            </a:pPr>
            <a:r>
              <a:t>支出决算情况</a:t>
            </a:r>
            <a:endParaRPr sz="14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spPr>
            <a:solidFill>
              <a:schemeClr val="accent1"/>
            </a:solidFill>
            <a:ln w="12700">
              <a:noFill/>
            </a:ln>
            <a:effectLst/>
            <a:sp3d contourW="12700"/>
          </c:spPr>
          <c:explosion val="3"/>
          <c:dPt>
            <c:idx val="0"/>
            <c:bubble3D val="0"/>
            <c:explosion val="3"/>
            <c:spPr>
              <a:solidFill>
                <a:schemeClr val="accent1"/>
              </a:solidFill>
              <a:ln w="12700">
                <a:noFill/>
              </a:ln>
              <a:effectLst/>
              <a:sp3d contourW="12700"/>
            </c:spPr>
          </c:dPt>
          <c:dPt>
            <c:idx val="1"/>
            <c:bubble3D val="0"/>
            <c:explosion val="3"/>
            <c:spPr>
              <a:solidFill>
                <a:schemeClr val="accent2"/>
              </a:solidFill>
              <a:ln w="12700">
                <a:noFill/>
              </a:ln>
              <a:effectLst/>
              <a:sp3d contourW="12700"/>
            </c:spPr>
          </c:dPt>
          <c:dLbls>
            <c:dLbl>
              <c:idx val="0"/>
              <c:layout/>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extLst>
                <c:ext xmlns:c15="http://schemas.microsoft.com/office/drawing/2012/chart" uri="{CE6537A1-D6FC-4f65-9D91-7224C49458BB}"/>
              </c:extLst>
            </c:dLbl>
            <c:dLbl>
              <c:idx val="1"/>
              <c:layout/>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extLst>
                <c:ext xmlns:c15="http://schemas.microsoft.com/office/drawing/2012/chart" uri="{CE6537A1-D6FC-4f65-9D91-7224C49458BB}"/>
              </c:extLst>
            </c:dLbl>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[相关图.xls]图!$A$37:$A$38</c:f>
              <c:strCache>
                <c:ptCount val="2"/>
                <c:pt idx="0">
                  <c:v>基本支出</c:v>
                </c:pt>
                <c:pt idx="1">
                  <c:v>项目支出</c:v>
                </c:pt>
              </c:strCache>
            </c:strRef>
          </c:cat>
          <c:val>
            <c:numRef>
              <c:f>[相关图.xls]图!$B$37:$B$38</c:f>
              <c:numCache>
                <c:formatCode>General</c:formatCode>
                <c:ptCount val="2"/>
                <c:pt idx="0">
                  <c:v>1034.91</c:v>
                </c:pt>
                <c:pt idx="1">
                  <c:v>155.86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财政拨款收入支出情况</a:t>
            </a:r>
            <a:endParaRPr sz="1400" b="1" i="0" u="none" strike="noStrike" baseline="0">
              <a:solidFill>
                <a:srgbClr val="40404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359785182914937"/>
          <c:y val="0.0450405326774048"/>
        </c:manualLayout>
      </c:layout>
      <c:overlay val="0"/>
      <c:spPr>
        <a:noFill/>
        <a:ln>
          <a:noFill/>
        </a:ln>
        <a:effectLst/>
      </c:spPr>
    </c:title>
    <c:autoTitleDeleted val="0"/>
    <c:plotArea>
      <c:layout/>
      <c:barChart>
        <c:barDir val="col"/>
        <c:grouping val="clustered"/>
        <c:varyColors val="0"/>
        <c:ser>
          <c:idx val="0"/>
          <c:order val="0"/>
          <c:tx>
            <c:strRef>
              <c:f>[相关图.xls]图!$A$55</c:f>
              <c:strCache>
                <c:ptCount val="1"/>
                <c:pt idx="0">
                  <c:v>2021年</c:v>
                </c:pt>
              </c:strCache>
            </c:strRef>
          </c:tx>
          <c:spPr>
            <a:solidFill>
              <a:schemeClr val="accent1"/>
            </a:solidFill>
            <a:ln>
              <a:noFill/>
            </a:ln>
            <a:effectLst/>
          </c:spPr>
          <c:invertIfNegative val="0"/>
          <c:dLbls>
            <c:delete val="1"/>
          </c:dLbls>
          <c:cat>
            <c:strRef>
              <c:f>[相关图.xls]图!$B$54:$C$54</c:f>
              <c:strCache>
                <c:ptCount val="2"/>
                <c:pt idx="0">
                  <c:v>一般公共预算财政拨款收入</c:v>
                </c:pt>
                <c:pt idx="1">
                  <c:v>一般公共预算财政拨款支出</c:v>
                </c:pt>
              </c:strCache>
            </c:strRef>
          </c:cat>
          <c:val>
            <c:numRef>
              <c:f>[相关图.xls]图!$B$55:$C$55</c:f>
              <c:numCache>
                <c:formatCode>General</c:formatCode>
                <c:ptCount val="2"/>
                <c:pt idx="0">
                  <c:v>1088.84</c:v>
                </c:pt>
                <c:pt idx="1">
                  <c:v>1088.84</c:v>
                </c:pt>
              </c:numCache>
            </c:numRef>
          </c:val>
        </c:ser>
        <c:ser>
          <c:idx val="1"/>
          <c:order val="1"/>
          <c:tx>
            <c:strRef>
              <c:f>[相关图.xls]图!$A$56</c:f>
              <c:strCache>
                <c:ptCount val="1"/>
                <c:pt idx="0">
                  <c:v>2022年</c:v>
                </c:pt>
              </c:strCache>
            </c:strRef>
          </c:tx>
          <c:spPr>
            <a:solidFill>
              <a:schemeClr val="accent2"/>
            </a:solidFill>
            <a:ln>
              <a:noFill/>
            </a:ln>
            <a:effectLst/>
          </c:spPr>
          <c:invertIfNegative val="0"/>
          <c:dLbls>
            <c:delete val="1"/>
          </c:dLbls>
          <c:cat>
            <c:strRef>
              <c:f>[相关图.xls]图!$B$54:$C$54</c:f>
              <c:strCache>
                <c:ptCount val="2"/>
                <c:pt idx="0">
                  <c:v>一般公共预算财政拨款收入</c:v>
                </c:pt>
                <c:pt idx="1">
                  <c:v>一般公共预算财政拨款支出</c:v>
                </c:pt>
              </c:strCache>
            </c:strRef>
          </c:cat>
          <c:val>
            <c:numRef>
              <c:f>[相关图.xls]图!$B$56:$C$56</c:f>
              <c:numCache>
                <c:formatCode>General</c:formatCode>
                <c:ptCount val="2"/>
                <c:pt idx="0">
                  <c:v>1084.07</c:v>
                </c:pt>
                <c:pt idx="1">
                  <c:v>1084.07</c:v>
                </c:pt>
              </c:numCache>
            </c:numRef>
          </c:val>
        </c:ser>
        <c:dLbls>
          <c:showLegendKey val="0"/>
          <c:showVal val="0"/>
          <c:showCatName val="0"/>
          <c:showSerName val="0"/>
          <c:showPercent val="0"/>
          <c:showBubbleSize val="0"/>
        </c:dLbls>
        <c:gapWidth val="246"/>
        <c:overlap val="-28"/>
        <c:axId val="300648395"/>
        <c:axId val="945779152"/>
      </c:barChart>
      <c:catAx>
        <c:axId val="300648395"/>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5779152"/>
        <c:crosses val="autoZero"/>
        <c:auto val="1"/>
        <c:lblAlgn val="ctr"/>
        <c:lblOffset val="100"/>
        <c:noMultiLvlLbl val="0"/>
      </c:catAx>
      <c:valAx>
        <c:axId val="945779152"/>
        <c:scaling>
          <c:orientation val="minMax"/>
        </c:scaling>
        <c:delete val="0"/>
        <c:axPos val="l"/>
        <c:majorGridlines>
          <c:spPr>
            <a:ln w="9525" cap="flat" cmpd="sng" algn="ctr">
              <a:solidFill>
                <a:schemeClr val="bg1">
                  <a:lumMod val="902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064839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一般公共预算财政拨款支出决算总体情况</a:t>
            </a:r>
            <a:endParaRPr sz="1400" b="1" i="0" u="none" strike="noStrike" baseline="0">
              <a:solidFill>
                <a:srgbClr val="404040">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barChart>
        <c:barDir val="col"/>
        <c:grouping val="clustered"/>
        <c:varyColors val="0"/>
        <c:ser>
          <c:idx val="0"/>
          <c:order val="0"/>
          <c:tx>
            <c:strRef>
              <c:f>[相关图.xls]图!$A$73</c:f>
              <c:strCache>
                <c:ptCount val="1"/>
                <c:pt idx="0">
                  <c:v>2021年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[相关图.xls]图!$B$72</c:f>
              <c:strCache>
                <c:ptCount val="1"/>
                <c:pt idx="0">
                  <c:v>一般公共预算财政拨款支出</c:v>
                </c:pt>
              </c:strCache>
            </c:strRef>
          </c:cat>
          <c:val>
            <c:numRef>
              <c:f>[相关图.xls]图!$B$73</c:f>
              <c:numCache>
                <c:formatCode>General</c:formatCode>
                <c:ptCount val="1"/>
                <c:pt idx="0">
                  <c:v>1088.84</c:v>
                </c:pt>
              </c:numCache>
            </c:numRef>
          </c:val>
        </c:ser>
        <c:ser>
          <c:idx val="1"/>
          <c:order val="1"/>
          <c:tx>
            <c:strRef>
              <c:f>[相关图.xls]图!$A$74</c:f>
              <c:strCache>
                <c:ptCount val="1"/>
                <c:pt idx="0">
                  <c:v>2022年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[相关图.xls]图!$B$72</c:f>
              <c:strCache>
                <c:ptCount val="1"/>
                <c:pt idx="0">
                  <c:v>一般公共预算财政拨款支出</c:v>
                </c:pt>
              </c:strCache>
            </c:strRef>
          </c:cat>
          <c:val>
            <c:numRef>
              <c:f>[相关图.xls]图!$B$74</c:f>
              <c:numCache>
                <c:formatCode>General</c:formatCode>
                <c:ptCount val="1"/>
                <c:pt idx="0">
                  <c:v>1084.07</c:v>
                </c:pt>
              </c:numCache>
            </c:numRef>
          </c:val>
        </c:ser>
        <c:dLbls>
          <c:showLegendKey val="0"/>
          <c:showVal val="0"/>
          <c:showCatName val="0"/>
          <c:showSerName val="0"/>
          <c:showPercent val="0"/>
          <c:showBubbleSize val="0"/>
        </c:dLbls>
        <c:gapWidth val="246"/>
        <c:overlap val="-28"/>
        <c:axId val="234758460"/>
        <c:axId val="602766673"/>
      </c:barChart>
      <c:catAx>
        <c:axId val="234758460"/>
        <c:scaling>
          <c:orientation val="minMax"/>
        </c:scaling>
        <c:delete val="0"/>
        <c:axPos val="b"/>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2766673"/>
        <c:crosses val="autoZero"/>
        <c:auto val="1"/>
        <c:lblAlgn val="ctr"/>
        <c:lblOffset val="100"/>
        <c:noMultiLvlLbl val="0"/>
      </c:catAx>
      <c:valAx>
        <c:axId val="602766673"/>
        <c:scaling>
          <c:orientation val="minMax"/>
        </c:scaling>
        <c:delete val="0"/>
        <c:axPos val="l"/>
        <c:numFmt formatCode="General" sourceLinked="1"/>
        <c:majorTickMark val="out"/>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475846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0" i="0" u="none" strike="noStrike" kern="1200" spc="0" baseline="0">
                <a:solidFill>
                  <a:schemeClr val="tx1"/>
                </a:solidFill>
                <a:latin typeface="+mn-lt"/>
                <a:ea typeface="+mn-ea"/>
                <a:cs typeface="+mn-cs"/>
              </a:defRPr>
            </a:pPr>
            <a:r>
              <a:t>一般公共预算财政拨款支出决算结构情况</a:t>
            </a:r>
            <a:endParaRPr sz="14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170315789473684"/>
          <c:y val="0.234699074074074"/>
          <c:w val="0.383842105263158"/>
          <c:h val="0.675277777777778"/>
        </c:manualLayout>
      </c:layout>
      <c:pieChart>
        <c:varyColors val="1"/>
        <c:ser>
          <c:idx val="0"/>
          <c:order val="0"/>
          <c:spPr>
            <a:solidFill>
              <a:schemeClr val="accent1"/>
            </a:solidFill>
            <a:ln w="12700">
              <a:noFill/>
            </a:ln>
            <a:effectLst/>
            <a:sp3d contourW="12700"/>
          </c:spPr>
          <c:explosion val="3"/>
          <c:dPt>
            <c:idx val="0"/>
            <c:bubble3D val="0"/>
            <c:explosion val="3"/>
            <c:spPr>
              <a:solidFill>
                <a:schemeClr val="accent1"/>
              </a:solidFill>
              <a:ln w="12700">
                <a:noFill/>
              </a:ln>
              <a:effectLst/>
              <a:sp3d contourW="12700"/>
            </c:spPr>
          </c:dPt>
          <c:dPt>
            <c:idx val="1"/>
            <c:bubble3D val="0"/>
            <c:explosion val="7"/>
            <c:spPr>
              <a:solidFill>
                <a:schemeClr val="accent2"/>
              </a:solidFill>
              <a:ln w="12700">
                <a:noFill/>
              </a:ln>
              <a:effectLst/>
              <a:sp3d contourW="12700"/>
            </c:spPr>
          </c:dPt>
          <c:dLbls>
            <c:dLbl>
              <c:idx val="0"/>
              <c:layout/>
              <c:tx>
                <c:rich>
                  <a:bodyPr rot="0" spcFirstLastPara="0" vertOverflow="ellipsis" vert="horz" wrap="square" lIns="38100" tIns="19050" rIns="38100" bIns="19050" anchor="ctr" anchorCtr="1" forceAA="0"/>
                  <a:lstStyle/>
                  <a:p>
                    <a:pPr defTabSz="914400">
                      <a:defRPr lang="zh-CN" sz="900" b="0" i="0" u="none" strike="noStrike" kern="1200" baseline="0">
                        <a:solidFill>
                          <a:schemeClr val="tx1">
                            <a:lumMod val="50000"/>
                            <a:lumOff val="50000"/>
                          </a:schemeClr>
                        </a:solidFill>
                        <a:latin typeface="+mn-lt"/>
                        <a:ea typeface="+mn-ea"/>
                        <a:cs typeface="+mn-cs"/>
                      </a:defRPr>
                    </a:pPr>
                    <a:r>
                      <a:rPr lang="en-US" altLang="zh-CN"/>
                      <a:t>6</a:t>
                    </a:r>
                    <a:r>
                      <a:t>%</a:t>
                    </a:r>
                  </a:p>
                </c:rich>
              </c:tx>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forceAA="0"/>
                  <a:lstStyle/>
                  <a:p>
                    <a:pPr defTabSz="914400">
                      <a:defRPr lang="zh-CN" sz="900" b="0" i="0" u="none" strike="noStrike" kern="1200" baseline="0">
                        <a:solidFill>
                          <a:schemeClr val="tx1">
                            <a:lumMod val="50000"/>
                            <a:lumOff val="50000"/>
                          </a:schemeClr>
                        </a:solidFill>
                        <a:latin typeface="+mn-lt"/>
                        <a:ea typeface="+mn-ea"/>
                        <a:cs typeface="+mn-cs"/>
                      </a:defRPr>
                    </a:pPr>
                    <a:r>
                      <a:rPr lang="en-US" altLang="zh-CN"/>
                      <a:t>4.5</a:t>
                    </a:r>
                    <a:r>
                      <a:t>%</a:t>
                    </a:r>
                  </a:p>
                </c:rich>
              </c:tx>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extLst>
                <c:ext xmlns:c15="http://schemas.microsoft.com/office/drawing/2012/chart" uri="{CE6537A1-D6FC-4f65-9D91-7224C49458BB}"/>
              </c:extLst>
            </c:dLbl>
            <c:numFmt formatCode="0.0%" sourceLinked="0"/>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50000"/>
                        <a:lumOff val="50000"/>
                      </a:schemeClr>
                    </a:solidFill>
                    <a:latin typeface="+mn-lt"/>
                    <a:ea typeface="+mn-ea"/>
                    <a:cs typeface="+mn-cs"/>
                  </a:defRPr>
                </a:pPr>
              </a:p>
            </c:txPr>
            <c:dLblPos val="outEnd"/>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[相关图.xls]图!$A$91:$A$92</c:f>
              <c:strCache>
                <c:ptCount val="2"/>
                <c:pt idx="0">
                  <c:v>社会保障和就业支出</c:v>
                </c:pt>
                <c:pt idx="1">
                  <c:v>卫生健康支出</c:v>
                </c:pt>
              </c:strCache>
            </c:strRef>
          </c:cat>
          <c:val>
            <c:numRef>
              <c:f>[相关图.xls]图!$B$91:$B$92</c:f>
              <c:numCache>
                <c:formatCode>General</c:formatCode>
                <c:ptCount val="2"/>
                <c:pt idx="0">
                  <c:v>65.56</c:v>
                </c:pt>
                <c:pt idx="1">
                  <c:v>48.99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自定义 94">
    <a:dk1>
      <a:srgbClr val="000000"/>
    </a:dk1>
    <a:lt1>
      <a:srgbClr val="FFFFFF"/>
    </a:lt1>
    <a:dk2>
      <a:srgbClr val="0C0E1F"/>
    </a:dk2>
    <a:lt2>
      <a:srgbClr val="FEFFFF"/>
    </a:lt2>
    <a:accent1>
      <a:srgbClr val="00B2CC"/>
    </a:accent1>
    <a:accent2>
      <a:srgbClr val="FCB040"/>
    </a:accent2>
    <a:accent3>
      <a:srgbClr val="BFD546"/>
    </a:accent3>
    <a:accent4>
      <a:srgbClr val="2E6480"/>
    </a:accent4>
    <a:accent5>
      <a:srgbClr val="FF7B00"/>
    </a:accent5>
    <a:accent6>
      <a:srgbClr val="BE1D2C"/>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自定义 94">
    <a:dk1>
      <a:srgbClr val="000000"/>
    </a:dk1>
    <a:lt1>
      <a:srgbClr val="FFFFFF"/>
    </a:lt1>
    <a:dk2>
      <a:srgbClr val="0C0E1F"/>
    </a:dk2>
    <a:lt2>
      <a:srgbClr val="FEFFFF"/>
    </a:lt2>
    <a:accent1>
      <a:srgbClr val="00B2CC"/>
    </a:accent1>
    <a:accent2>
      <a:srgbClr val="FCB040"/>
    </a:accent2>
    <a:accent3>
      <a:srgbClr val="BFD546"/>
    </a:accent3>
    <a:accent4>
      <a:srgbClr val="2E6480"/>
    </a:accent4>
    <a:accent5>
      <a:srgbClr val="FF7B00"/>
    </a:accent5>
    <a:accent6>
      <a:srgbClr val="BE1D2C"/>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自定义 94">
    <a:dk1>
      <a:srgbClr val="000000"/>
    </a:dk1>
    <a:lt1>
      <a:srgbClr val="FFFFFF"/>
    </a:lt1>
    <a:dk2>
      <a:srgbClr val="0C0E1F"/>
    </a:dk2>
    <a:lt2>
      <a:srgbClr val="FEFFFF"/>
    </a:lt2>
    <a:accent1>
      <a:srgbClr val="00B2CC"/>
    </a:accent1>
    <a:accent2>
      <a:srgbClr val="FCB040"/>
    </a:accent2>
    <a:accent3>
      <a:srgbClr val="BFD546"/>
    </a:accent3>
    <a:accent4>
      <a:srgbClr val="2E6480"/>
    </a:accent4>
    <a:accent5>
      <a:srgbClr val="FF7B00"/>
    </a:accent5>
    <a:accent6>
      <a:srgbClr val="BE1D2C"/>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0</TotalTime>
  <ScaleCrop>false</ScaleCrop>
  <LinksUpToDate>false</LinksUpToDate>
  <CharactersWithSpaces>7955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simple</cp:lastModifiedBy>
  <cp:lastPrinted>2023-10-31T01:53:00Z</cp:lastPrinted>
  <dcterms:modified xsi:type="dcterms:W3CDTF">2023-11-21T02:39:33Z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A683B0ED30724B51AD6C64FBF4887DA3</vt:lpwstr>
  </property>
</Properties>
</file>