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7425"/>
      <w:bookmarkStart w:id="2" w:name="_Toc15377193"/>
      <w:bookmarkStart w:id="3" w:name="_Toc15378441"/>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7426"/>
      <w:bookmarkStart w:id="8" w:name="_Toc15396476"/>
      <w:bookmarkStart w:id="9" w:name="_Toc15377194"/>
      <w:bookmarkStart w:id="10" w:name="_Toc15378442"/>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lang w:val="en-US" w:eastAsia="zh-CN"/>
        </w:rPr>
        <w:t>资阳市乐至县劳动镇人民政府</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4"/>
      </w:pPr>
      <w:r>
        <w:rPr>
          <w:rFonts w:hint="eastAsia"/>
        </w:rPr>
        <w:t>公开时间：2023年</w:t>
      </w:r>
      <w:r>
        <w:rPr>
          <w:rFonts w:hint="eastAsia"/>
          <w:lang w:val="en-US" w:eastAsia="zh-CN"/>
        </w:rPr>
        <w:t>10</w:t>
      </w:r>
      <w:r>
        <w:rPr>
          <w:rFonts w:hint="eastAsia"/>
        </w:rPr>
        <w:t>月</w:t>
      </w:r>
      <w:r>
        <w:rPr>
          <w:rFonts w:hint="eastAsia"/>
          <w:lang w:val="en-US" w:eastAsia="zh-CN"/>
        </w:rPr>
        <w:t>19</w:t>
      </w:r>
      <w:r>
        <w:rPr>
          <w:rFonts w:hint="eastAsia"/>
        </w:rPr>
        <w:t>日</w:t>
      </w:r>
    </w:p>
    <w:p/>
    <w:p>
      <w:pPr>
        <w:pStyle w:val="14"/>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6"/>
        <w:adjustRightInd w:val="0"/>
        <w:snapToGrid w:val="0"/>
        <w:spacing w:line="440" w:lineRule="exact"/>
        <w:jc w:val="left"/>
        <w:rPr>
          <w:rFonts w:ascii="仿宋" w:hAnsi="仿宋" w:eastAsia="仿宋"/>
          <w:sz w:val="24"/>
        </w:rPr>
      </w:pPr>
      <w:r>
        <w:rPr>
          <w:rFonts w:hint="eastAsia"/>
          <w:sz w:val="24"/>
        </w:rPr>
        <w:t>一、部门职责</w:t>
      </w:r>
    </w:p>
    <w:p>
      <w:pPr>
        <w:pStyle w:val="16"/>
        <w:adjustRightInd w:val="0"/>
        <w:snapToGrid w:val="0"/>
        <w:spacing w:line="440" w:lineRule="exact"/>
        <w:jc w:val="left"/>
        <w:rPr>
          <w:rFonts w:ascii="仿宋" w:hAnsi="仿宋" w:eastAsia="仿宋" w:cstheme="minorBidi"/>
          <w:sz w:val="24"/>
        </w:rPr>
      </w:pPr>
      <w:r>
        <w:rPr>
          <w:rFonts w:hint="eastAsia"/>
          <w:sz w:val="24"/>
        </w:rPr>
        <w:t>二、机构设置</w:t>
      </w:r>
    </w:p>
    <w:p>
      <w:pPr>
        <w:pStyle w:val="14"/>
        <w:adjustRightInd w:val="0"/>
        <w:snapToGrid w:val="0"/>
        <w:spacing w:before="0" w:line="440" w:lineRule="exact"/>
        <w:jc w:val="left"/>
        <w:rPr>
          <w:sz w:val="24"/>
          <w:szCs w:val="24"/>
        </w:rPr>
      </w:pPr>
      <w:r>
        <w:rPr>
          <w:rFonts w:hint="eastAsia"/>
          <w:sz w:val="24"/>
        </w:rPr>
        <w:t>第二部分 2022年度部门决算情况说明</w:t>
      </w:r>
    </w:p>
    <w:p>
      <w:pPr>
        <w:pStyle w:val="16"/>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6"/>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6"/>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6"/>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6"/>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6"/>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6"/>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6"/>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6"/>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22"/>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p>
    <w:p>
      <w:pPr>
        <w:pStyle w:val="14"/>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4"/>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4"/>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6"/>
        <w:adjustRightInd w:val="0"/>
        <w:snapToGrid w:val="0"/>
        <w:spacing w:line="440" w:lineRule="exact"/>
        <w:jc w:val="left"/>
        <w:rPr>
          <w:sz w:val="24"/>
        </w:rPr>
      </w:pPr>
      <w:r>
        <w:rPr>
          <w:rFonts w:hint="eastAsia"/>
          <w:sz w:val="24"/>
        </w:rPr>
        <w:t>一、收入支出决算总表</w:t>
      </w:r>
    </w:p>
    <w:p>
      <w:pPr>
        <w:pStyle w:val="16"/>
        <w:adjustRightInd w:val="0"/>
        <w:snapToGrid w:val="0"/>
        <w:spacing w:line="440" w:lineRule="exact"/>
        <w:jc w:val="left"/>
        <w:rPr>
          <w:sz w:val="24"/>
        </w:rPr>
      </w:pPr>
      <w:r>
        <w:rPr>
          <w:rFonts w:hint="eastAsia"/>
          <w:sz w:val="24"/>
        </w:rPr>
        <w:t>二、收入决算表</w:t>
      </w:r>
    </w:p>
    <w:p>
      <w:pPr>
        <w:pStyle w:val="16"/>
        <w:adjustRightInd w:val="0"/>
        <w:snapToGrid w:val="0"/>
        <w:spacing w:line="440" w:lineRule="exact"/>
        <w:jc w:val="left"/>
        <w:rPr>
          <w:sz w:val="24"/>
        </w:rPr>
      </w:pPr>
      <w:r>
        <w:rPr>
          <w:rFonts w:hint="eastAsia"/>
          <w:sz w:val="24"/>
        </w:rPr>
        <w:t>三、支出决算表</w:t>
      </w:r>
    </w:p>
    <w:p>
      <w:pPr>
        <w:pStyle w:val="16"/>
        <w:adjustRightInd w:val="0"/>
        <w:snapToGrid w:val="0"/>
        <w:spacing w:line="440" w:lineRule="exact"/>
        <w:jc w:val="left"/>
        <w:rPr>
          <w:sz w:val="24"/>
        </w:rPr>
      </w:pPr>
      <w:r>
        <w:rPr>
          <w:rFonts w:hint="eastAsia"/>
          <w:sz w:val="24"/>
        </w:rPr>
        <w:t>四、财政拨款收入支出决算总表</w:t>
      </w:r>
    </w:p>
    <w:p>
      <w:pPr>
        <w:pStyle w:val="16"/>
        <w:adjustRightInd w:val="0"/>
        <w:snapToGrid w:val="0"/>
        <w:spacing w:line="440" w:lineRule="exact"/>
        <w:jc w:val="left"/>
        <w:rPr>
          <w:sz w:val="24"/>
        </w:rPr>
      </w:pPr>
      <w:r>
        <w:rPr>
          <w:rFonts w:hint="eastAsia"/>
          <w:sz w:val="24"/>
        </w:rPr>
        <w:t>五、财政拨款支出决算明细表</w:t>
      </w:r>
    </w:p>
    <w:p>
      <w:pPr>
        <w:pStyle w:val="16"/>
        <w:adjustRightInd w:val="0"/>
        <w:snapToGrid w:val="0"/>
        <w:spacing w:line="440" w:lineRule="exact"/>
        <w:jc w:val="left"/>
        <w:rPr>
          <w:sz w:val="24"/>
        </w:rPr>
      </w:pPr>
      <w:r>
        <w:rPr>
          <w:rFonts w:hint="eastAsia"/>
          <w:sz w:val="24"/>
        </w:rPr>
        <w:t>六、一般公共预算财政拨款支出决算表</w:t>
      </w:r>
    </w:p>
    <w:p>
      <w:pPr>
        <w:pStyle w:val="16"/>
        <w:adjustRightInd w:val="0"/>
        <w:snapToGrid w:val="0"/>
        <w:spacing w:line="440" w:lineRule="exact"/>
        <w:jc w:val="left"/>
        <w:rPr>
          <w:sz w:val="24"/>
        </w:rPr>
      </w:pPr>
      <w:r>
        <w:rPr>
          <w:rFonts w:hint="eastAsia"/>
          <w:sz w:val="24"/>
        </w:rPr>
        <w:t>七、一般公共预算财政拨款支出决算明细表</w:t>
      </w:r>
    </w:p>
    <w:p>
      <w:pPr>
        <w:pStyle w:val="16"/>
        <w:adjustRightInd w:val="0"/>
        <w:snapToGrid w:val="0"/>
        <w:spacing w:line="440" w:lineRule="exact"/>
        <w:jc w:val="left"/>
        <w:rPr>
          <w:sz w:val="24"/>
        </w:rPr>
      </w:pPr>
      <w:r>
        <w:rPr>
          <w:rFonts w:hint="eastAsia"/>
          <w:sz w:val="24"/>
        </w:rPr>
        <w:t>八、一般公共预算财政拨款基本支出决算明细表</w:t>
      </w:r>
    </w:p>
    <w:p>
      <w:pPr>
        <w:pStyle w:val="16"/>
        <w:adjustRightInd w:val="0"/>
        <w:snapToGrid w:val="0"/>
        <w:spacing w:line="440" w:lineRule="exact"/>
        <w:jc w:val="left"/>
        <w:rPr>
          <w:sz w:val="24"/>
        </w:rPr>
      </w:pPr>
      <w:r>
        <w:rPr>
          <w:rFonts w:hint="eastAsia"/>
          <w:sz w:val="24"/>
        </w:rPr>
        <w:t>九、一般公共预算财政拨款项目支出决算表</w:t>
      </w:r>
    </w:p>
    <w:p>
      <w:pPr>
        <w:pStyle w:val="16"/>
        <w:adjustRightInd w:val="0"/>
        <w:snapToGrid w:val="0"/>
        <w:spacing w:line="440" w:lineRule="exact"/>
        <w:jc w:val="left"/>
        <w:rPr>
          <w:sz w:val="24"/>
        </w:rPr>
      </w:pPr>
      <w:r>
        <w:rPr>
          <w:rFonts w:hint="eastAsia"/>
          <w:sz w:val="24"/>
        </w:rPr>
        <w:t>十、政府性基金预算财政拨款收入支出决算表</w:t>
      </w:r>
    </w:p>
    <w:p>
      <w:pPr>
        <w:pStyle w:val="16"/>
        <w:adjustRightInd w:val="0"/>
        <w:snapToGrid w:val="0"/>
        <w:spacing w:line="440" w:lineRule="exact"/>
        <w:jc w:val="left"/>
        <w:rPr>
          <w:sz w:val="24"/>
        </w:rPr>
      </w:pPr>
      <w:r>
        <w:rPr>
          <w:rFonts w:hint="eastAsia"/>
          <w:sz w:val="24"/>
        </w:rPr>
        <w:t>十一、国有资本经营预算财政拨款收入支出决算表</w:t>
      </w:r>
    </w:p>
    <w:p>
      <w:pPr>
        <w:pStyle w:val="16"/>
        <w:adjustRightInd w:val="0"/>
        <w:snapToGrid w:val="0"/>
        <w:spacing w:line="440" w:lineRule="exact"/>
        <w:jc w:val="left"/>
        <w:rPr>
          <w:sz w:val="24"/>
        </w:rPr>
      </w:pPr>
      <w:r>
        <w:rPr>
          <w:rFonts w:hint="eastAsia"/>
          <w:sz w:val="24"/>
        </w:rPr>
        <w:t>十二、国有资本经营预算财政拨款支出决算表</w:t>
      </w:r>
    </w:p>
    <w:p>
      <w:pPr>
        <w:pStyle w:val="16"/>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77196"/>
      <w:bookmarkStart w:id="13" w:name="_Toc15396599"/>
      <w:bookmarkStart w:id="69" w:name="_GoBack"/>
      <w:bookmarkEnd w:id="69"/>
      <w:r>
        <w:rPr>
          <w:rFonts w:ascii="仿宋" w:hAnsi="仿宋" w:eastAsia="仿宋"/>
          <w:b/>
          <w:sz w:val="24"/>
        </w:rPr>
        <w:br w:type="page"/>
      </w:r>
    </w:p>
    <w:p>
      <w:pPr>
        <w:pStyle w:val="3"/>
        <w:jc w:val="center"/>
        <w:rPr>
          <w:rStyle w:val="32"/>
          <w:rFonts w:ascii="黑体" w:hAnsi="黑体" w:eastAsia="黑体"/>
          <w:b/>
          <w:bCs w:val="0"/>
        </w:rPr>
      </w:pPr>
      <w:r>
        <w:rPr>
          <w:rFonts w:hint="eastAsia" w:ascii="黑体" w:hAnsi="黑体" w:eastAsia="黑体"/>
          <w:b w:val="0"/>
        </w:rPr>
        <w:t xml:space="preserve">第一部分 </w:t>
      </w:r>
      <w:r>
        <w:rPr>
          <w:rStyle w:val="32"/>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numPr>
          <w:ilvl w:val="0"/>
          <w:numId w:val="1"/>
        </w:numPr>
        <w:rPr>
          <w:rFonts w:hint="eastAsia" w:ascii="黑体" w:hAnsi="黑体" w:eastAsia="黑体"/>
          <w:b w:val="0"/>
        </w:rPr>
      </w:pPr>
      <w:r>
        <w:rPr>
          <w:rFonts w:hint="eastAsia" w:ascii="黑体" w:hAnsi="黑体" w:eastAsia="黑体"/>
          <w:b w:val="0"/>
        </w:rPr>
        <w:t>部门职责</w:t>
      </w:r>
    </w:p>
    <w:p>
      <w:pPr>
        <w:pStyle w:val="8"/>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4" w:name="_Toc15377198"/>
      <w:bookmarkStart w:id="15" w:name="_Toc15378445"/>
      <w:r>
        <w:rPr>
          <w:rFonts w:hint="eastAsia" w:ascii="仿宋" w:hAnsi="仿宋" w:eastAsia="仿宋"/>
          <w:bCs/>
          <w:color w:val="000000"/>
          <w:sz w:val="32"/>
          <w:szCs w:val="32"/>
        </w:rPr>
        <w:t>（一）主要职能。</w:t>
      </w:r>
      <w:bookmarkEnd w:id="14"/>
      <w:bookmarkEnd w:id="15"/>
    </w:p>
    <w:p>
      <w:pPr>
        <w:pStyle w:val="8"/>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劳动镇人民政府的基本职能是贯彻落实好党和国家在农村的各项方针政策和法律法规，保障农民的合法权益，促进农村基层政权建设和民主法制建设，巩固党在农村的执政基础。围绕促进经济发展、增加农民收入，强化公共服务、着力改善民生，加强社会管理、维护社会稳定，推进基层民主、促进农村和谐四个方面全面履行职能，切实做好农业、农村、农民工作。</w:t>
      </w:r>
    </w:p>
    <w:p>
      <w:pPr>
        <w:pStyle w:val="8"/>
        <w:adjustRightInd w:val="0"/>
        <w:snapToGrid w:val="0"/>
        <w:spacing w:before="93" w:line="600" w:lineRule="exact"/>
        <w:ind w:firstLine="672" w:firstLineChars="210"/>
        <w:outlineLvl w:val="2"/>
        <w:rPr>
          <w:rFonts w:hint="eastAsia" w:ascii="仿宋" w:hAnsi="仿宋" w:eastAsia="仿宋" w:cs="Times New Roman"/>
          <w:bCs/>
          <w:color w:val="000000"/>
          <w:sz w:val="32"/>
          <w:szCs w:val="32"/>
          <w:lang w:eastAsia="zh-CN"/>
        </w:rPr>
      </w:pPr>
      <w:r>
        <w:rPr>
          <w:rFonts w:hint="eastAsia" w:ascii="仿宋" w:hAnsi="仿宋" w:eastAsia="仿宋" w:cs="Times New Roman"/>
          <w:bCs/>
          <w:color w:val="000000"/>
          <w:sz w:val="32"/>
          <w:szCs w:val="32"/>
          <w:lang w:eastAsia="zh-CN"/>
        </w:rPr>
        <w:t>财政所，</w:t>
      </w:r>
      <w:r>
        <w:rPr>
          <w:rFonts w:hint="eastAsia" w:ascii="仿宋" w:hAnsi="仿宋" w:eastAsia="仿宋" w:cs="Times New Roman"/>
          <w:bCs/>
          <w:color w:val="000000"/>
          <w:sz w:val="32"/>
          <w:szCs w:val="32"/>
        </w:rPr>
        <w:t>负责乡镇财务管理，代管村社财务等工作</w:t>
      </w:r>
      <w:r>
        <w:rPr>
          <w:rFonts w:hint="eastAsia" w:ascii="仿宋" w:hAnsi="仿宋" w:eastAsia="仿宋" w:cs="Times New Roman"/>
          <w:bCs/>
          <w:color w:val="000000"/>
          <w:sz w:val="32"/>
          <w:szCs w:val="32"/>
          <w:lang w:eastAsia="zh-CN"/>
        </w:rPr>
        <w:t>；便民服务中心，牵头乡镇便民服务工作，承担退役军人、文化宣传、就业和社会保障、医疗保险等相关服务工作；农业综合服务中心，负责脱贫攻坚、农技推广、农业机械、农产品质量、水利等农业农村经济发展相关服务工作；村镇建设综合服务中心，负责村镇建设环卫、城乡环境综合治理、农房改造等相关服务工作；农民工服务中心，负责农民工输出、培训、维权、回引及返乡创业服务等工作。党政综合办公室，负责机关综合协调、目标绩效、文电会务、保密机要、后勤服务保障等工作；党建办公室，统筹基层党组织建设，负责纪检监察、组织人事、宣传、统战、机构编制、机关党建、群团事务等工作；综合行政执法办公室，负责统一指挥和统筹协调基层站所、县级部门派出执法力量和资源，开展综合行政执法工作；社会事务管理办公室，负责民政教育体育、文化旅游、卫生健康、社会保障等管理工作；经济发展和乡村振兴办公室，负责经济发展、科学技术、生态环境、村镇建设、交通运输、农业农村、商务经济合作、统计、扶贫开发、产业发展和项目推进管理等工作；基层治理办公室，负责建立完善党建引领的城乡基层治理体制机制、加强城乡基层治理能力建设、社会治安综合治理、矛盾治安综合治理、矛盾纠纷化解、信访维稳、安全生产、应急抢险救灾等工作。</w:t>
      </w:r>
    </w:p>
    <w:p>
      <w:pPr>
        <w:pStyle w:val="4"/>
        <w:rPr>
          <w:rStyle w:val="33"/>
          <w:b w:val="0"/>
          <w:bCs w:val="0"/>
        </w:rPr>
      </w:pPr>
      <w:bookmarkStart w:id="16" w:name="_Toc15377200"/>
      <w:bookmarkStart w:id="17" w:name="_Toc15396601"/>
      <w:r>
        <w:rPr>
          <w:rFonts w:hint="eastAsia" w:ascii="黑体" w:eastAsia="黑体"/>
          <w:b w:val="0"/>
        </w:rPr>
        <w:t>二、</w:t>
      </w:r>
      <w:r>
        <w:rPr>
          <w:rFonts w:hint="eastAsia" w:ascii="黑体" w:hAnsi="黑体" w:eastAsia="黑体"/>
          <w:b w:val="0"/>
        </w:rPr>
        <w:t>机</w:t>
      </w:r>
      <w:r>
        <w:rPr>
          <w:rStyle w:val="33"/>
          <w:rFonts w:hint="eastAsia" w:ascii="黑体" w:hAnsi="黑体" w:eastAsia="黑体"/>
          <w:b w:val="0"/>
          <w:bCs w:val="0"/>
        </w:rPr>
        <w:t>构设置</w:t>
      </w:r>
      <w:bookmarkEnd w:id="16"/>
      <w:bookmarkEnd w:id="17"/>
    </w:p>
    <w:p>
      <w:pPr>
        <w:keepNext w:val="0"/>
        <w:keepLines w:val="0"/>
        <w:pageBreakBefore w:val="0"/>
        <w:widowControl/>
        <w:pBdr>
          <w:top w:val="none" w:color="auto" w:sz="0" w:space="1"/>
          <w:left w:val="none" w:color="auto" w:sz="0" w:space="4"/>
          <w:bottom w:val="none" w:color="FFFFFF" w:sz="0" w:space="17"/>
          <w:right w:val="none" w:color="auto" w:sz="0" w:space="4"/>
        </w:pBdr>
        <w:tabs>
          <w:tab w:val="left" w:pos="6695"/>
          <w:tab w:val="left" w:pos="6725"/>
        </w:tabs>
        <w:kinsoku/>
        <w:wordWrap/>
        <w:overflowPunct/>
        <w:topLinePunct w:val="0"/>
        <w:autoSpaceDE/>
        <w:autoSpaceDN/>
        <w:bidi w:val="0"/>
        <w:adjustRightInd w:val="0"/>
        <w:snapToGrid w:val="0"/>
        <w:spacing w:line="530" w:lineRule="exact"/>
        <w:ind w:firstLine="640" w:firstLineChars="200"/>
        <w:textAlignment w:val="auto"/>
        <w:rPr>
          <w:rFonts w:hint="eastAsia" w:ascii="Times New Roman" w:hAnsi="Times New Roman" w:eastAsia="方正仿宋简体" w:cs="Times New Roman"/>
          <w:bCs/>
          <w:color w:val="auto"/>
          <w:sz w:val="32"/>
          <w:szCs w:val="32"/>
          <w:u w:val="none"/>
          <w:lang w:val="en-US" w:eastAsia="zh-CN"/>
        </w:rPr>
      </w:pPr>
      <w:r>
        <w:rPr>
          <w:rFonts w:hint="eastAsia" w:ascii="仿宋" w:hAnsi="仿宋" w:eastAsia="仿宋" w:cs="宋体"/>
          <w:b w:val="0"/>
          <w:bCs w:val="0"/>
          <w:color w:val="000000"/>
          <w:kern w:val="0"/>
          <w:sz w:val="32"/>
          <w:szCs w:val="32"/>
          <w:lang w:val="en-US" w:eastAsia="zh-CN" w:bidi="ar-SA"/>
        </w:rPr>
        <w:t>机构情况，劳动</w:t>
      </w:r>
      <w:r>
        <w:rPr>
          <w:rFonts w:hint="eastAsia" w:ascii="仿宋" w:hAnsi="仿宋" w:eastAsia="仿宋" w:cs="宋体"/>
          <w:b w:val="0"/>
          <w:bCs w:val="0"/>
          <w:color w:val="000000"/>
          <w:kern w:val="0"/>
          <w:sz w:val="32"/>
          <w:szCs w:val="32"/>
          <w:lang w:val="zh-CN" w:eastAsia="zh-CN" w:bidi="ar-SA"/>
        </w:rPr>
        <w:t>镇政府下设多个机构：</w:t>
      </w:r>
      <w:r>
        <w:rPr>
          <w:rFonts w:hint="eastAsia" w:ascii="仿宋" w:hAnsi="仿宋" w:eastAsia="仿宋" w:cs="宋体"/>
          <w:b w:val="0"/>
          <w:bCs w:val="0"/>
          <w:color w:val="000000"/>
          <w:kern w:val="0"/>
          <w:sz w:val="32"/>
          <w:szCs w:val="32"/>
          <w:lang w:val="en-US" w:eastAsia="zh-CN" w:bidi="ar-SA"/>
        </w:rPr>
        <w:t>便民服务中心</w:t>
      </w:r>
      <w:r>
        <w:rPr>
          <w:rFonts w:hint="eastAsia" w:ascii="仿宋" w:hAnsi="仿宋" w:eastAsia="仿宋" w:cs="宋体"/>
          <w:b w:val="0"/>
          <w:bCs w:val="0"/>
          <w:color w:val="000000"/>
          <w:kern w:val="0"/>
          <w:sz w:val="32"/>
          <w:szCs w:val="32"/>
          <w:lang w:val="zh-CN" w:eastAsia="zh-CN" w:bidi="ar-SA"/>
        </w:rPr>
        <w:t>、</w:t>
      </w:r>
      <w:r>
        <w:rPr>
          <w:rFonts w:hint="eastAsia" w:ascii="仿宋" w:hAnsi="仿宋" w:eastAsia="仿宋" w:cs="宋体"/>
          <w:b w:val="0"/>
          <w:bCs w:val="0"/>
          <w:color w:val="000000"/>
          <w:kern w:val="0"/>
          <w:sz w:val="32"/>
          <w:szCs w:val="32"/>
          <w:lang w:val="en-US" w:eastAsia="zh-CN" w:bidi="ar-SA"/>
        </w:rPr>
        <w:t>农业综合服务中心、村镇建设综合服务中心、农民工服务中心、党政综合办公室</w:t>
      </w:r>
      <w:r>
        <w:rPr>
          <w:rFonts w:hint="eastAsia" w:ascii="仿宋" w:hAnsi="仿宋" w:eastAsia="仿宋" w:cs="宋体"/>
          <w:b w:val="0"/>
          <w:bCs w:val="0"/>
          <w:color w:val="000000"/>
          <w:kern w:val="0"/>
          <w:sz w:val="32"/>
          <w:szCs w:val="32"/>
          <w:lang w:val="zh-CN" w:eastAsia="zh-CN" w:bidi="ar-SA"/>
        </w:rPr>
        <w:t>、</w:t>
      </w:r>
      <w:r>
        <w:rPr>
          <w:rFonts w:hint="eastAsia" w:ascii="仿宋" w:hAnsi="仿宋" w:eastAsia="仿宋" w:cs="宋体"/>
          <w:b w:val="0"/>
          <w:bCs w:val="0"/>
          <w:color w:val="000000"/>
          <w:kern w:val="0"/>
          <w:sz w:val="32"/>
          <w:szCs w:val="32"/>
          <w:lang w:val="en-US" w:eastAsia="zh-CN" w:bidi="ar-SA"/>
        </w:rPr>
        <w:t>党建办公室、综合行政执法办公室、社会事务管理办公室、经济发展和乡村振兴办公室、基层治</w:t>
      </w:r>
      <w:r>
        <w:rPr>
          <w:rFonts w:hint="eastAsia" w:ascii="Times New Roman" w:hAnsi="Times New Roman" w:eastAsia="方正仿宋简体" w:cs="Times New Roman"/>
          <w:bCs/>
          <w:color w:val="auto"/>
          <w:sz w:val="32"/>
          <w:szCs w:val="32"/>
          <w:u w:val="none"/>
          <w:lang w:val="en-US" w:eastAsia="zh-CN"/>
        </w:rPr>
        <w:t>理办公室、</w:t>
      </w:r>
      <w:r>
        <w:rPr>
          <w:rFonts w:hint="eastAsia" w:ascii="Times New Roman" w:hAnsi="Times New Roman" w:eastAsia="方正仿宋简体" w:cs="Times New Roman"/>
          <w:bCs/>
          <w:color w:val="auto"/>
          <w:sz w:val="32"/>
          <w:szCs w:val="32"/>
          <w:u w:val="none"/>
          <w:lang w:val="zh-CN" w:eastAsia="zh-CN"/>
        </w:rPr>
        <w:t>财政所。</w:t>
      </w:r>
    </w:p>
    <w:p>
      <w:pPr>
        <w:keepNext w:val="0"/>
        <w:keepLines w:val="0"/>
        <w:pageBreakBefore w:val="0"/>
        <w:widowControl/>
        <w:pBdr>
          <w:top w:val="none" w:color="auto" w:sz="0" w:space="1"/>
          <w:left w:val="none" w:color="auto" w:sz="0" w:space="4"/>
          <w:bottom w:val="none" w:color="FFFFFF" w:sz="0" w:space="17"/>
          <w:right w:val="none" w:color="auto" w:sz="0" w:space="4"/>
        </w:pBdr>
        <w:tabs>
          <w:tab w:val="left" w:pos="6695"/>
          <w:tab w:val="left" w:pos="6725"/>
        </w:tabs>
        <w:kinsoku/>
        <w:wordWrap/>
        <w:overflowPunct/>
        <w:topLinePunct w:val="0"/>
        <w:autoSpaceDE/>
        <w:autoSpaceDN/>
        <w:bidi w:val="0"/>
        <w:adjustRightInd w:val="0"/>
        <w:snapToGrid w:val="0"/>
        <w:spacing w:line="530" w:lineRule="exact"/>
        <w:ind w:firstLine="640" w:firstLineChars="200"/>
        <w:textAlignment w:val="auto"/>
        <w:rPr>
          <w:rFonts w:hint="eastAsia" w:ascii="Times New Roman" w:hAnsi="Times New Roman" w:eastAsia="方正仿宋简体" w:cs="Times New Roman"/>
          <w:bCs/>
          <w:color w:val="auto"/>
          <w:sz w:val="32"/>
          <w:szCs w:val="32"/>
          <w:u w:val="none"/>
          <w:lang w:val="en-US" w:eastAsia="zh-CN"/>
        </w:rPr>
      </w:pPr>
      <w:r>
        <w:rPr>
          <w:rFonts w:hint="eastAsia" w:ascii="Times New Roman" w:hAnsi="Times New Roman" w:eastAsia="方正仿宋简体" w:cs="Times New Roman"/>
          <w:bCs/>
          <w:color w:val="auto"/>
          <w:sz w:val="32"/>
          <w:szCs w:val="32"/>
          <w:u w:val="none"/>
          <w:lang w:val="en-US" w:eastAsia="zh-CN"/>
        </w:rPr>
        <w:t>人员情况，预算编制人数62人，其中：行政编制38人，机关工勤1人，事业编制23人，实有在职人数55人，其中行政人员34人，机关工勤1人，事业人员20人。离退休人员37人，（其中：离休0人，退休37人），</w:t>
      </w:r>
      <w:r>
        <w:rPr>
          <w:rFonts w:hint="eastAsia" w:ascii="Times New Roman" w:hAnsi="Times New Roman" w:eastAsia="方正仿宋简体" w:cs="Times New Roman"/>
          <w:bCs/>
          <w:color w:val="auto"/>
          <w:sz w:val="32"/>
          <w:szCs w:val="32"/>
          <w:u w:val="none"/>
          <w:lang w:val="zh-CN" w:eastAsia="zh-CN"/>
        </w:rPr>
        <w:t>遗属补助</w:t>
      </w:r>
      <w:r>
        <w:rPr>
          <w:rFonts w:hint="eastAsia" w:ascii="Times New Roman" w:hAnsi="Times New Roman" w:eastAsia="方正仿宋简体" w:cs="Times New Roman"/>
          <w:bCs/>
          <w:color w:val="auto"/>
          <w:sz w:val="32"/>
          <w:szCs w:val="32"/>
          <w:u w:val="none"/>
          <w:lang w:val="en-US" w:eastAsia="zh-CN"/>
        </w:rPr>
        <w:t>13</w:t>
      </w:r>
      <w:r>
        <w:rPr>
          <w:rFonts w:hint="eastAsia" w:ascii="Times New Roman" w:hAnsi="Times New Roman" w:eastAsia="方正仿宋简体" w:cs="Times New Roman"/>
          <w:bCs/>
          <w:color w:val="auto"/>
          <w:sz w:val="32"/>
          <w:szCs w:val="32"/>
          <w:u w:val="none"/>
          <w:lang w:val="zh-CN" w:eastAsia="zh-CN"/>
        </w:rPr>
        <w:t>人。</w:t>
      </w:r>
      <w:r>
        <w:rPr>
          <w:rFonts w:hint="eastAsia" w:ascii="Times New Roman" w:hAnsi="Times New Roman" w:eastAsia="方正仿宋简体" w:cs="Times New Roman"/>
          <w:bCs/>
          <w:color w:val="auto"/>
          <w:sz w:val="32"/>
          <w:szCs w:val="32"/>
          <w:u w:val="none"/>
          <w:lang w:val="en-US" w:eastAsia="zh-CN"/>
        </w:rPr>
        <w:t>定额补助村、社干部306人。</w:t>
      </w:r>
    </w:p>
    <w:p>
      <w:pPr>
        <w:pStyle w:val="8"/>
        <w:spacing w:before="93"/>
      </w:pPr>
    </w:p>
    <w:p>
      <w:pPr>
        <w:pStyle w:val="3"/>
        <w:ind w:right="440"/>
        <w:jc w:val="center"/>
        <w:rPr>
          <w:rStyle w:val="32"/>
          <w:rFonts w:ascii="黑体" w:hAnsi="黑体" w:eastAsia="黑体"/>
          <w:b w:val="0"/>
          <w:bCs/>
        </w:rPr>
      </w:pPr>
      <w:bookmarkStart w:id="18" w:name="_Toc15396602"/>
      <w:bookmarkStart w:id="19" w:name="_Toc15377204"/>
      <w:r>
        <w:rPr>
          <w:rFonts w:hint="eastAsia" w:ascii="黑体" w:hAnsi="黑体" w:eastAsia="黑体"/>
          <w:b w:val="0"/>
        </w:rPr>
        <w:t>第二部分 2022年度</w:t>
      </w:r>
      <w:r>
        <w:rPr>
          <w:rStyle w:val="32"/>
          <w:rFonts w:hint="eastAsia" w:ascii="黑体" w:hAnsi="黑体" w:eastAsia="黑体"/>
          <w:b w:val="0"/>
          <w:bCs/>
        </w:rPr>
        <w:t>部门决算情况说明</w:t>
      </w:r>
      <w:bookmarkEnd w:id="18"/>
      <w:bookmarkEnd w:id="19"/>
    </w:p>
    <w:p/>
    <w:p>
      <w:pPr>
        <w:pStyle w:val="31"/>
        <w:numPr>
          <w:ilvl w:val="0"/>
          <w:numId w:val="2"/>
        </w:numPr>
        <w:spacing w:line="600" w:lineRule="exact"/>
        <w:ind w:firstLineChars="0"/>
        <w:outlineLvl w:val="1"/>
        <w:rPr>
          <w:rStyle w:val="33"/>
          <w:rFonts w:ascii="黑体" w:hAnsi="黑体" w:eastAsia="黑体"/>
          <w:b w:val="0"/>
        </w:rPr>
      </w:pPr>
      <w:bookmarkStart w:id="20" w:name="_Toc15396603"/>
      <w:bookmarkStart w:id="21" w:name="_Toc15377205"/>
      <w:r>
        <w:rPr>
          <w:rFonts w:hint="eastAsia" w:ascii="黑体" w:hAnsi="黑体" w:eastAsia="黑体"/>
          <w:sz w:val="32"/>
          <w:szCs w:val="32"/>
        </w:rPr>
        <w:t>收</w:t>
      </w:r>
      <w:r>
        <w:rPr>
          <w:rStyle w:val="33"/>
          <w:rFonts w:hint="eastAsia" w:ascii="黑体" w:hAnsi="黑体" w:eastAsia="黑体"/>
          <w:b w:val="0"/>
        </w:rPr>
        <w:t>入支出决算总体情况说明</w:t>
      </w:r>
      <w:bookmarkEnd w:id="20"/>
      <w:bookmarkEnd w:id="21"/>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2022年度收、支总计</w:t>
      </w:r>
      <w:r>
        <w:rPr>
          <w:rFonts w:hint="eastAsia" w:ascii="仿宋" w:hAnsi="仿宋" w:eastAsia="仿宋"/>
          <w:sz w:val="32"/>
          <w:szCs w:val="32"/>
          <w:lang w:val="en-US" w:eastAsia="zh-CN"/>
        </w:rPr>
        <w:t>13690.82</w:t>
      </w:r>
      <w:r>
        <w:rPr>
          <w:rFonts w:hint="eastAsia" w:ascii="仿宋" w:hAnsi="仿宋" w:eastAsia="仿宋"/>
          <w:sz w:val="32"/>
          <w:szCs w:val="32"/>
        </w:rPr>
        <w:t>万元。与2021年相比，收、支总计各增加</w:t>
      </w:r>
      <w:r>
        <w:rPr>
          <w:rFonts w:hint="eastAsia" w:ascii="仿宋" w:hAnsi="仿宋" w:eastAsia="仿宋"/>
          <w:sz w:val="32"/>
          <w:szCs w:val="32"/>
          <w:lang w:val="en-US" w:eastAsia="zh-CN"/>
        </w:rPr>
        <w:t>938.09</w:t>
      </w:r>
      <w:r>
        <w:rPr>
          <w:rFonts w:hint="eastAsia" w:ascii="仿宋" w:hAnsi="仿宋" w:eastAsia="仿宋"/>
          <w:sz w:val="32"/>
          <w:szCs w:val="32"/>
        </w:rPr>
        <w:t>万元，增长</w:t>
      </w:r>
      <w:r>
        <w:rPr>
          <w:rFonts w:hint="eastAsia" w:ascii="仿宋" w:hAnsi="仿宋" w:eastAsia="仿宋"/>
          <w:sz w:val="32"/>
          <w:szCs w:val="32"/>
          <w:lang w:val="en-US" w:eastAsia="zh-CN"/>
        </w:rPr>
        <w:t>15.88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乡村振兴项目扶持力度加大</w:t>
      </w:r>
      <w:r>
        <w:rPr>
          <w:rFonts w:hint="eastAsia" w:ascii="仿宋" w:hAnsi="仿宋" w:eastAsia="仿宋"/>
          <w:sz w:val="32"/>
          <w:szCs w:val="32"/>
        </w:rPr>
        <w:t>。</w:t>
      </w:r>
    </w:p>
    <w:p>
      <w:pPr>
        <w:pStyle w:val="7"/>
        <w:rPr>
          <w:rFonts w:hint="eastAsia" w:eastAsia="仿宋"/>
          <w:lang w:eastAsia="zh-CN"/>
        </w:rPr>
      </w:pPr>
      <w:r>
        <w:rPr>
          <w:rFonts w:hint="eastAsia" w:eastAsia="仿宋"/>
          <w:lang w:eastAsia="zh-CN"/>
        </w:rPr>
        <w:drawing>
          <wp:inline distT="0" distB="0" distL="114300" distR="114300">
            <wp:extent cx="4640580" cy="3011805"/>
            <wp:effectExtent l="4445" t="4445" r="22225" b="1270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left"/>
        <w:rPr>
          <w:rFonts w:ascii="仿宋_GB2312" w:eastAsia="仿宋_GB2312"/>
          <w:sz w:val="32"/>
          <w:szCs w:val="32"/>
        </w:rPr>
      </w:pPr>
    </w:p>
    <w:p>
      <w:pPr>
        <w:pStyle w:val="31"/>
        <w:numPr>
          <w:ilvl w:val="0"/>
          <w:numId w:val="2"/>
        </w:numPr>
        <w:spacing w:line="600" w:lineRule="exact"/>
        <w:ind w:firstLineChars="0"/>
        <w:outlineLvl w:val="1"/>
        <w:rPr>
          <w:rStyle w:val="33"/>
          <w:rFonts w:ascii="黑体" w:hAnsi="黑体" w:eastAsia="黑体"/>
          <w:b w:val="0"/>
        </w:rPr>
      </w:pPr>
      <w:bookmarkStart w:id="22" w:name="_Toc15377206"/>
      <w:bookmarkStart w:id="23" w:name="_Toc15396604"/>
      <w:r>
        <w:rPr>
          <w:rFonts w:hint="eastAsia" w:ascii="黑体" w:hAnsi="黑体" w:eastAsia="黑体"/>
          <w:sz w:val="32"/>
          <w:szCs w:val="32"/>
        </w:rPr>
        <w:t>收</w:t>
      </w:r>
      <w:r>
        <w:rPr>
          <w:rStyle w:val="33"/>
          <w:rFonts w:hint="eastAsia" w:ascii="黑体" w:hAnsi="黑体" w:eastAsia="黑体"/>
          <w:b w:val="0"/>
        </w:rPr>
        <w:t>入决算情况说明</w:t>
      </w:r>
      <w:bookmarkEnd w:id="22"/>
      <w:bookmarkEnd w:id="23"/>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22年本年收入合计6845.41万元，其中：一般公共预算财政拨款收入</w:t>
      </w:r>
      <w:r>
        <w:rPr>
          <w:rFonts w:hint="eastAsia" w:ascii="仿宋" w:hAnsi="仿宋" w:eastAsia="仿宋"/>
          <w:sz w:val="32"/>
          <w:szCs w:val="32"/>
          <w:lang w:val="en-US" w:eastAsia="zh-CN"/>
        </w:rPr>
        <w:t>6765.41</w:t>
      </w:r>
      <w:r>
        <w:rPr>
          <w:rFonts w:hint="eastAsia" w:ascii="仿宋" w:hAnsi="仿宋" w:eastAsia="仿宋"/>
          <w:sz w:val="32"/>
          <w:szCs w:val="32"/>
        </w:rPr>
        <w:t>万元，占</w:t>
      </w:r>
      <w:r>
        <w:rPr>
          <w:rFonts w:hint="eastAsia" w:ascii="仿宋" w:hAnsi="仿宋" w:eastAsia="仿宋"/>
          <w:sz w:val="32"/>
          <w:szCs w:val="32"/>
          <w:lang w:val="en-US" w:eastAsia="zh-CN"/>
        </w:rPr>
        <w:t>98.83</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80</w:t>
      </w:r>
      <w:r>
        <w:rPr>
          <w:rFonts w:hint="eastAsia" w:ascii="仿宋" w:hAnsi="仿宋" w:eastAsia="仿宋"/>
          <w:sz w:val="32"/>
          <w:szCs w:val="32"/>
        </w:rPr>
        <w:t>万元，占</w:t>
      </w:r>
      <w:r>
        <w:rPr>
          <w:rFonts w:hint="eastAsia" w:ascii="仿宋" w:hAnsi="仿宋" w:eastAsia="仿宋"/>
          <w:sz w:val="32"/>
          <w:szCs w:val="32"/>
          <w:lang w:val="en-US" w:eastAsia="zh-CN"/>
        </w:rPr>
        <w:t>1.17</w:t>
      </w:r>
      <w:r>
        <w:rPr>
          <w:rFonts w:ascii="仿宋" w:hAnsi="仿宋" w:eastAsia="仿宋"/>
          <w:sz w:val="32"/>
          <w:szCs w:val="32"/>
        </w:rPr>
        <w:t>%</w:t>
      </w:r>
      <w:r>
        <w:rPr>
          <w:rFonts w:hint="eastAsia" w:ascii="仿宋" w:hAnsi="仿宋" w:eastAsia="仿宋"/>
          <w:sz w:val="32"/>
          <w:szCs w:val="32"/>
        </w:rPr>
        <w:t>。</w:t>
      </w:r>
    </w:p>
    <w:p>
      <w:pPr>
        <w:pStyle w:val="7"/>
        <w:rPr>
          <w:rFonts w:ascii="仿宋_GB2312" w:eastAsia="仿宋_GB2312"/>
          <w:sz w:val="32"/>
          <w:szCs w:val="32"/>
        </w:rPr>
      </w:pPr>
      <w:r>
        <w:rPr>
          <w:rFonts w:hint="eastAsia" w:eastAsia="仿宋"/>
          <w:lang w:eastAsia="zh-CN"/>
        </w:rPr>
        <w:drawing>
          <wp:inline distT="0" distB="0" distL="114300" distR="114300">
            <wp:extent cx="4601845" cy="3296920"/>
            <wp:effectExtent l="4445" t="4445" r="22860"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31"/>
        <w:numPr>
          <w:ilvl w:val="0"/>
          <w:numId w:val="2"/>
        </w:numPr>
        <w:spacing w:line="600" w:lineRule="exact"/>
        <w:ind w:firstLineChars="0"/>
        <w:outlineLvl w:val="1"/>
        <w:rPr>
          <w:rStyle w:val="33"/>
          <w:rFonts w:ascii="黑体" w:hAnsi="黑体" w:eastAsia="黑体"/>
          <w:b w:val="0"/>
        </w:rPr>
      </w:pPr>
      <w:bookmarkStart w:id="24" w:name="_Toc15396605"/>
      <w:bookmarkStart w:id="25" w:name="_Toc15377207"/>
      <w:r>
        <w:rPr>
          <w:rFonts w:hint="eastAsia" w:ascii="黑体" w:hAnsi="黑体" w:eastAsia="黑体"/>
          <w:sz w:val="32"/>
          <w:szCs w:val="32"/>
        </w:rPr>
        <w:t>支</w:t>
      </w:r>
      <w:r>
        <w:rPr>
          <w:rStyle w:val="33"/>
          <w:rFonts w:hint="eastAsia" w:ascii="黑体" w:hAnsi="黑体" w:eastAsia="黑体"/>
          <w:b w:val="0"/>
        </w:rPr>
        <w:t>出决算情况说明</w:t>
      </w:r>
      <w:bookmarkEnd w:id="24"/>
      <w:bookmarkEnd w:id="25"/>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22年本年支出合计6845.41万元，其中：基本支出1479.09万元，占</w:t>
      </w:r>
      <w:r>
        <w:rPr>
          <w:rFonts w:hint="eastAsia" w:ascii="仿宋" w:hAnsi="仿宋" w:eastAsia="仿宋"/>
          <w:sz w:val="32"/>
          <w:szCs w:val="32"/>
          <w:lang w:val="en-US" w:eastAsia="zh-CN"/>
        </w:rPr>
        <w:t>21.61</w:t>
      </w:r>
      <w:r>
        <w:rPr>
          <w:rFonts w:ascii="仿宋" w:hAnsi="仿宋" w:eastAsia="仿宋"/>
          <w:sz w:val="32"/>
          <w:szCs w:val="32"/>
        </w:rPr>
        <w:t>%</w:t>
      </w:r>
      <w:r>
        <w:rPr>
          <w:rFonts w:hint="eastAsia" w:ascii="仿宋" w:hAnsi="仿宋" w:eastAsia="仿宋"/>
          <w:sz w:val="32"/>
          <w:szCs w:val="32"/>
        </w:rPr>
        <w:t>；项目支出5366.32万元，占</w:t>
      </w:r>
      <w:r>
        <w:rPr>
          <w:rFonts w:hint="eastAsia" w:ascii="仿宋" w:hAnsi="仿宋" w:eastAsia="仿宋"/>
          <w:sz w:val="32"/>
          <w:szCs w:val="32"/>
          <w:lang w:val="en-US" w:eastAsia="zh-CN"/>
        </w:rPr>
        <w:t>78.39</w:t>
      </w:r>
      <w:r>
        <w:rPr>
          <w:rFonts w:ascii="仿宋" w:hAnsi="仿宋" w:eastAsia="仿宋"/>
          <w:sz w:val="32"/>
          <w:szCs w:val="32"/>
        </w:rPr>
        <w:t>%</w:t>
      </w:r>
      <w:r>
        <w:rPr>
          <w:rFonts w:hint="eastAsia" w:ascii="仿宋" w:hAnsi="仿宋" w:eastAsia="仿宋"/>
          <w:sz w:val="32"/>
          <w:szCs w:val="32"/>
        </w:rPr>
        <w:t>；。</w:t>
      </w:r>
    </w:p>
    <w:p>
      <w:pPr>
        <w:pStyle w:val="7"/>
        <w:rPr>
          <w:rFonts w:ascii="仿宋_GB2312" w:eastAsia="仿宋_GB2312"/>
          <w:sz w:val="32"/>
          <w:szCs w:val="32"/>
        </w:rPr>
      </w:pPr>
      <w:r>
        <w:rPr>
          <w:rFonts w:hint="eastAsia" w:eastAsia="仿宋"/>
          <w:lang w:eastAsia="zh-CN"/>
        </w:rPr>
        <w:drawing>
          <wp:inline distT="0" distB="0" distL="114300" distR="114300">
            <wp:extent cx="4580890" cy="3072765"/>
            <wp:effectExtent l="4445" t="4445" r="5715" b="889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33"/>
          <w:rFonts w:ascii="黑体" w:hAnsi="黑体" w:eastAsia="黑体"/>
          <w:b w:val="0"/>
        </w:rPr>
      </w:pPr>
      <w:bookmarkStart w:id="26" w:name="_Toc15377208"/>
      <w:bookmarkStart w:id="27" w:name="_Toc15396606"/>
      <w:r>
        <w:rPr>
          <w:rFonts w:hint="eastAsia" w:ascii="黑体" w:hAnsi="黑体" w:eastAsia="黑体"/>
          <w:sz w:val="32"/>
          <w:szCs w:val="32"/>
        </w:rPr>
        <w:t>四、财</w:t>
      </w:r>
      <w:r>
        <w:rPr>
          <w:rStyle w:val="33"/>
          <w:rFonts w:hint="eastAsia" w:ascii="黑体" w:hAnsi="黑体" w:eastAsia="黑体"/>
          <w:b w:val="0"/>
        </w:rPr>
        <w:t>政拨款收入支出决算总体情况说明</w:t>
      </w:r>
      <w:bookmarkEnd w:id="26"/>
      <w:bookmarkEnd w:id="27"/>
    </w:p>
    <w:p>
      <w:pPr>
        <w:spacing w:line="60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hint="eastAsia" w:ascii="仿宋" w:hAnsi="仿宋" w:eastAsia="仿宋"/>
          <w:sz w:val="32"/>
          <w:szCs w:val="32"/>
          <w:lang w:val="en-US" w:eastAsia="zh-CN"/>
        </w:rPr>
        <w:t>13690.82</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21年相比，财政拨款收、支总计各增加</w:t>
      </w:r>
      <w:r>
        <w:rPr>
          <w:rFonts w:hint="eastAsia" w:ascii="仿宋" w:hAnsi="仿宋" w:eastAsia="仿宋"/>
          <w:sz w:val="32"/>
          <w:szCs w:val="32"/>
          <w:lang w:val="en-US" w:eastAsia="zh-CN"/>
        </w:rPr>
        <w:t>938.09</w:t>
      </w:r>
      <w:r>
        <w:rPr>
          <w:rFonts w:hint="eastAsia" w:ascii="仿宋" w:hAnsi="仿宋" w:eastAsia="仿宋"/>
          <w:sz w:val="32"/>
          <w:szCs w:val="32"/>
        </w:rPr>
        <w:t>万元，增长</w:t>
      </w:r>
      <w:r>
        <w:rPr>
          <w:rFonts w:hint="eastAsia" w:ascii="仿宋" w:hAnsi="仿宋" w:eastAsia="仿宋"/>
          <w:sz w:val="32"/>
          <w:szCs w:val="32"/>
          <w:lang w:val="en-US" w:eastAsia="zh-CN"/>
        </w:rPr>
        <w:t>15.88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乡村振兴项目扶持力度加大</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eastAsia="仿宋"/>
          <w:lang w:eastAsia="zh-CN"/>
        </w:rPr>
        <w:drawing>
          <wp:anchor distT="0" distB="0" distL="114300" distR="114300" simplePos="0" relativeHeight="251659264" behindDoc="0" locked="0" layoutInCell="1" allowOverlap="1">
            <wp:simplePos x="0" y="0"/>
            <wp:positionH relativeFrom="column">
              <wp:posOffset>397510</wp:posOffset>
            </wp:positionH>
            <wp:positionV relativeFrom="paragraph">
              <wp:posOffset>125730</wp:posOffset>
            </wp:positionV>
            <wp:extent cx="4640580" cy="3011805"/>
            <wp:effectExtent l="4445" t="4445" r="22225" b="1270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eastAsia="仿宋"/>
          <w:i/>
          <w:color w:val="000000"/>
          <w:sz w:val="32"/>
          <w:szCs w:val="32"/>
          <w:highlight w:val="yellow"/>
        </w:rPr>
      </w:pPr>
      <w:r>
        <w:rPr>
          <w:rFonts w:eastAsia="仿宋"/>
          <w:i/>
          <w:color w:val="000000"/>
          <w:sz w:val="32"/>
          <w:szCs w:val="32"/>
          <w:highlight w:val="yellow"/>
        </w:rPr>
        <w:t>（</w:t>
      </w:r>
    </w:p>
    <w:p>
      <w:pPr>
        <w:pStyle w:val="7"/>
        <w:rPr>
          <w:rFonts w:eastAsia="仿宋"/>
          <w:i/>
          <w:color w:val="000000"/>
          <w:sz w:val="32"/>
          <w:szCs w:val="32"/>
          <w:highlight w:val="yellow"/>
        </w:rPr>
      </w:pPr>
    </w:p>
    <w:p>
      <w:pPr>
        <w:rPr>
          <w:rFonts w:eastAsia="仿宋"/>
          <w:i/>
          <w:color w:val="000000"/>
          <w:sz w:val="32"/>
          <w:szCs w:val="32"/>
          <w:highlight w:val="yellow"/>
        </w:rPr>
      </w:pPr>
    </w:p>
    <w:p>
      <w:pPr>
        <w:pStyle w:val="7"/>
        <w:rPr>
          <w:rFonts w:eastAsia="仿宋"/>
          <w:i/>
          <w:color w:val="000000"/>
          <w:sz w:val="32"/>
          <w:szCs w:val="32"/>
          <w:highlight w:val="yellow"/>
        </w:rPr>
      </w:pPr>
    </w:p>
    <w:p>
      <w:pPr>
        <w:rPr>
          <w:rFonts w:eastAsia="仿宋"/>
          <w:i/>
          <w:color w:val="000000"/>
          <w:sz w:val="32"/>
          <w:szCs w:val="32"/>
          <w:highlight w:val="yellow"/>
        </w:rPr>
      </w:pPr>
    </w:p>
    <w:p>
      <w:pPr>
        <w:pStyle w:val="7"/>
        <w:rPr>
          <w:rFonts w:eastAsia="仿宋"/>
          <w:i/>
          <w:color w:val="000000"/>
          <w:sz w:val="32"/>
          <w:szCs w:val="32"/>
          <w:highlight w:val="yellow"/>
        </w:rPr>
      </w:pPr>
    </w:p>
    <w:p/>
    <w:p>
      <w:pPr>
        <w:spacing w:line="600" w:lineRule="exact"/>
        <w:ind w:firstLine="640"/>
        <w:rPr>
          <w:rFonts w:ascii="仿宋" w:hAnsi="仿宋" w:eastAsia="仿宋"/>
          <w:b/>
          <w:sz w:val="32"/>
          <w:szCs w:val="32"/>
        </w:rPr>
      </w:pPr>
    </w:p>
    <w:p>
      <w:pPr>
        <w:spacing w:line="600" w:lineRule="exact"/>
        <w:outlineLvl w:val="1"/>
        <w:rPr>
          <w:rStyle w:val="33"/>
          <w:rFonts w:ascii="黑体" w:hAnsi="黑体" w:eastAsia="黑体"/>
          <w:b w:val="0"/>
        </w:rPr>
      </w:pPr>
      <w:bookmarkStart w:id="28" w:name="_Toc15396607"/>
      <w:bookmarkStart w:id="29" w:name="_Toc15377209"/>
      <w:r>
        <w:rPr>
          <w:rFonts w:hint="eastAsia" w:ascii="黑体" w:hAnsi="黑体" w:eastAsia="黑体"/>
          <w:sz w:val="32"/>
          <w:szCs w:val="32"/>
        </w:rPr>
        <w:t>五、</w:t>
      </w:r>
      <w:r>
        <w:rPr>
          <w:rFonts w:hint="eastAsia" w:ascii="黑体" w:hAnsi="黑体" w:eastAsia="黑体"/>
          <w:b/>
          <w:sz w:val="32"/>
          <w:szCs w:val="32"/>
        </w:rPr>
        <w:t>一</w:t>
      </w:r>
      <w:r>
        <w:rPr>
          <w:rStyle w:val="33"/>
          <w:rFonts w:hint="eastAsia" w:ascii="黑体" w:hAnsi="黑体" w:eastAsia="黑体"/>
          <w:b w:val="0"/>
        </w:rPr>
        <w:t>般公共预算财政拨款支出决算情况说明</w:t>
      </w:r>
      <w:bookmarkEnd w:id="28"/>
      <w:bookmarkEnd w:id="29"/>
    </w:p>
    <w:p>
      <w:pPr>
        <w:spacing w:line="600" w:lineRule="exact"/>
        <w:ind w:firstLine="643" w:firstLineChars="200"/>
        <w:outlineLvl w:val="2"/>
        <w:rPr>
          <w:rFonts w:ascii="仿宋" w:hAnsi="仿宋" w:eastAsia="仿宋"/>
          <w:b/>
          <w:sz w:val="32"/>
          <w:szCs w:val="32"/>
        </w:rPr>
      </w:pPr>
      <w:bookmarkStart w:id="30" w:name="_Toc15377210"/>
      <w:r>
        <w:rPr>
          <w:rFonts w:hint="eastAsia" w:ascii="仿宋" w:hAnsi="仿宋" w:eastAsia="仿宋"/>
          <w:b/>
          <w:sz w:val="32"/>
          <w:szCs w:val="32"/>
        </w:rPr>
        <w:t>（一）一般公共预算财政拨款支出决算总体情况</w:t>
      </w:r>
      <w:bookmarkEnd w:id="30"/>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471170</wp:posOffset>
            </wp:positionH>
            <wp:positionV relativeFrom="paragraph">
              <wp:posOffset>1783715</wp:posOffset>
            </wp:positionV>
            <wp:extent cx="4341495" cy="2501900"/>
            <wp:effectExtent l="4445" t="5080" r="16510" b="762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6765.41</w:t>
      </w:r>
      <w:r>
        <w:rPr>
          <w:rFonts w:hint="eastAsia" w:ascii="仿宋" w:hAnsi="仿宋" w:eastAsia="仿宋"/>
          <w:sz w:val="32"/>
          <w:szCs w:val="32"/>
        </w:rPr>
        <w:t>万元，占本年支出合计的</w:t>
      </w:r>
      <w:r>
        <w:rPr>
          <w:rFonts w:hint="eastAsia" w:ascii="仿宋" w:hAnsi="仿宋" w:eastAsia="仿宋"/>
          <w:sz w:val="32"/>
          <w:szCs w:val="32"/>
          <w:lang w:val="en-US" w:eastAsia="zh-CN"/>
        </w:rPr>
        <w:t>98.83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w:t>
      </w:r>
      <w:r>
        <w:rPr>
          <w:rFonts w:hint="eastAsia" w:ascii="仿宋" w:hAnsi="仿宋" w:eastAsia="仿宋"/>
          <w:sz w:val="32"/>
          <w:szCs w:val="32"/>
          <w:lang w:val="en-US" w:eastAsia="zh-CN"/>
        </w:rPr>
        <w:t>858.1</w:t>
      </w:r>
      <w:r>
        <w:rPr>
          <w:rFonts w:hint="eastAsia" w:ascii="仿宋" w:hAnsi="仿宋" w:eastAsia="仿宋"/>
          <w:sz w:val="32"/>
          <w:szCs w:val="32"/>
        </w:rPr>
        <w:t>万元，增长</w:t>
      </w:r>
      <w:r>
        <w:rPr>
          <w:rFonts w:hint="eastAsia" w:ascii="仿宋" w:hAnsi="仿宋" w:eastAsia="仿宋"/>
          <w:sz w:val="32"/>
          <w:szCs w:val="32"/>
          <w:lang w:val="en-US" w:eastAsia="zh-CN"/>
        </w:rPr>
        <w:t>14.53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乡村振兴项目扶持力度加大</w:t>
      </w:r>
      <w:r>
        <w:rPr>
          <w:rFonts w:hint="eastAsia" w:ascii="仿宋" w:hAnsi="仿宋" w:eastAsia="仿宋"/>
          <w:sz w:val="32"/>
          <w:szCs w:val="32"/>
        </w:rPr>
        <w:t>。</w:t>
      </w:r>
    </w:p>
    <w:p>
      <w:pPr>
        <w:spacing w:line="600" w:lineRule="exact"/>
        <w:ind w:firstLine="643" w:firstLineChars="200"/>
        <w:outlineLvl w:val="2"/>
        <w:rPr>
          <w:rFonts w:ascii="仿宋" w:hAnsi="仿宋" w:eastAsia="仿宋"/>
          <w:b/>
          <w:sz w:val="32"/>
          <w:szCs w:val="32"/>
        </w:rPr>
      </w:pPr>
      <w:bookmarkStart w:id="31" w:name="_Toc15377211"/>
      <w:r>
        <w:rPr>
          <w:rFonts w:hint="eastAsia" w:ascii="仿宋" w:hAnsi="仿宋" w:eastAsia="仿宋"/>
          <w:b/>
          <w:sz w:val="32"/>
          <w:szCs w:val="32"/>
        </w:rPr>
        <w:t>（二）一般公共预算财政拨款支出决算结构情况</w:t>
      </w:r>
      <w:bookmarkEnd w:id="31"/>
    </w:p>
    <w:p>
      <w:pPr>
        <w:spacing w:line="600" w:lineRule="exact"/>
        <w:ind w:firstLine="640"/>
        <w:rPr>
          <w:rFonts w:hint="eastAsia" w:ascii="仿宋" w:hAnsi="仿宋" w:eastAsia="仿宋"/>
          <w:b/>
          <w:bCs w:val="0"/>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6765.41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bCs w:val="0"/>
          <w:sz w:val="32"/>
          <w:szCs w:val="32"/>
        </w:rPr>
        <w:t>一般公共服务支出491.15万元，占</w:t>
      </w:r>
      <w:r>
        <w:rPr>
          <w:rFonts w:hint="eastAsia" w:ascii="仿宋" w:hAnsi="仿宋" w:eastAsia="仿宋"/>
          <w:b/>
          <w:bCs w:val="0"/>
          <w:sz w:val="32"/>
          <w:szCs w:val="32"/>
          <w:lang w:val="en-US" w:eastAsia="zh-CN"/>
        </w:rPr>
        <w:t>7.27</w:t>
      </w:r>
      <w:r>
        <w:rPr>
          <w:rFonts w:ascii="仿宋" w:hAnsi="仿宋" w:eastAsia="仿宋"/>
          <w:b/>
          <w:bCs w:val="0"/>
          <w:sz w:val="32"/>
          <w:szCs w:val="32"/>
        </w:rPr>
        <w:t>%</w:t>
      </w:r>
      <w:r>
        <w:rPr>
          <w:rFonts w:hint="eastAsia" w:ascii="仿宋" w:hAnsi="仿宋" w:eastAsia="仿宋"/>
          <w:b/>
          <w:bCs w:val="0"/>
          <w:sz w:val="32"/>
          <w:szCs w:val="32"/>
        </w:rPr>
        <w:t>；</w:t>
      </w:r>
      <w:r>
        <w:rPr>
          <w:rFonts w:hint="eastAsia" w:ascii="仿宋" w:hAnsi="仿宋" w:eastAsia="仿宋"/>
          <w:b/>
          <w:bCs w:val="0"/>
          <w:sz w:val="32"/>
          <w:szCs w:val="32"/>
          <w:lang w:val="en-US" w:eastAsia="zh-CN"/>
        </w:rPr>
        <w:t>国防支出3万元，占0.01%；公共安全支出7万元，占0.01%；</w:t>
      </w:r>
      <w:r>
        <w:rPr>
          <w:rFonts w:hint="eastAsia" w:ascii="仿宋" w:hAnsi="仿宋" w:eastAsia="仿宋"/>
          <w:b/>
          <w:bCs w:val="0"/>
          <w:sz w:val="32"/>
          <w:szCs w:val="32"/>
        </w:rPr>
        <w:t>文化旅游体育与传媒支出199.45万元，占</w:t>
      </w:r>
      <w:r>
        <w:rPr>
          <w:rFonts w:hint="eastAsia" w:ascii="仿宋" w:hAnsi="仿宋" w:eastAsia="仿宋"/>
          <w:b/>
          <w:bCs w:val="0"/>
          <w:sz w:val="32"/>
          <w:szCs w:val="32"/>
          <w:lang w:val="en-US" w:eastAsia="zh-CN"/>
        </w:rPr>
        <w:t>2.95</w:t>
      </w:r>
      <w:r>
        <w:rPr>
          <w:rFonts w:ascii="仿宋" w:hAnsi="仿宋" w:eastAsia="仿宋"/>
          <w:b/>
          <w:bCs w:val="0"/>
          <w:sz w:val="32"/>
          <w:szCs w:val="32"/>
        </w:rPr>
        <w:t>%</w:t>
      </w:r>
      <w:r>
        <w:rPr>
          <w:rFonts w:hint="eastAsia" w:ascii="仿宋" w:hAnsi="仿宋" w:eastAsia="仿宋"/>
          <w:b/>
          <w:bCs w:val="0"/>
          <w:sz w:val="32"/>
          <w:szCs w:val="32"/>
        </w:rPr>
        <w:t>；社会保障和就业支出1299.05万元，占</w:t>
      </w:r>
      <w:r>
        <w:rPr>
          <w:rFonts w:hint="eastAsia" w:ascii="仿宋" w:hAnsi="仿宋" w:eastAsia="仿宋"/>
          <w:b/>
          <w:bCs w:val="0"/>
          <w:sz w:val="32"/>
          <w:szCs w:val="32"/>
          <w:lang w:val="en-US" w:eastAsia="zh-CN"/>
        </w:rPr>
        <w:t>19.3</w:t>
      </w:r>
      <w:r>
        <w:rPr>
          <w:rFonts w:ascii="仿宋" w:hAnsi="仿宋" w:eastAsia="仿宋"/>
          <w:b/>
          <w:bCs w:val="0"/>
          <w:sz w:val="32"/>
          <w:szCs w:val="32"/>
        </w:rPr>
        <w:t>%</w:t>
      </w:r>
      <w:r>
        <w:rPr>
          <w:rFonts w:hint="eastAsia" w:ascii="仿宋" w:hAnsi="仿宋" w:eastAsia="仿宋"/>
          <w:b/>
          <w:bCs w:val="0"/>
          <w:sz w:val="32"/>
          <w:szCs w:val="32"/>
        </w:rPr>
        <w:t>；卫生健康支出325.75万元，占</w:t>
      </w:r>
      <w:r>
        <w:rPr>
          <w:rFonts w:hint="eastAsia" w:ascii="仿宋" w:hAnsi="仿宋" w:eastAsia="仿宋"/>
          <w:b/>
          <w:bCs w:val="0"/>
          <w:sz w:val="32"/>
          <w:szCs w:val="32"/>
          <w:lang w:val="en-US" w:eastAsia="zh-CN"/>
        </w:rPr>
        <w:t>4.81</w:t>
      </w:r>
      <w:r>
        <w:rPr>
          <w:rFonts w:ascii="仿宋" w:hAnsi="仿宋" w:eastAsia="仿宋"/>
          <w:b/>
          <w:bCs w:val="0"/>
          <w:sz w:val="32"/>
          <w:szCs w:val="32"/>
        </w:rPr>
        <w:t>%</w:t>
      </w:r>
      <w:r>
        <w:rPr>
          <w:rFonts w:hint="eastAsia" w:ascii="仿宋" w:hAnsi="仿宋" w:eastAsia="仿宋"/>
          <w:b/>
          <w:bCs w:val="0"/>
          <w:sz w:val="32"/>
          <w:szCs w:val="32"/>
        </w:rPr>
        <w:t>；节能环保支出136.9</w:t>
      </w:r>
      <w:r>
        <w:rPr>
          <w:rFonts w:hint="eastAsia" w:ascii="仿宋" w:hAnsi="仿宋" w:eastAsia="仿宋"/>
          <w:b/>
          <w:bCs w:val="0"/>
          <w:sz w:val="32"/>
          <w:szCs w:val="32"/>
          <w:lang w:val="en-US" w:eastAsia="zh-CN"/>
        </w:rPr>
        <w:t>万元，占2.03%；城乡社区支出208.94万元，占3.09%；农林水支出3731.47万元，占55.16%；自然资源海洋气象等支出34万元，占0.51%；</w:t>
      </w:r>
      <w:r>
        <w:rPr>
          <w:rFonts w:hint="eastAsia" w:ascii="仿宋" w:hAnsi="仿宋" w:eastAsia="仿宋"/>
          <w:b/>
          <w:bCs w:val="0"/>
          <w:sz w:val="32"/>
          <w:szCs w:val="32"/>
        </w:rPr>
        <w:t>住房保障支出313.86万元，占</w:t>
      </w:r>
      <w:r>
        <w:rPr>
          <w:rFonts w:hint="eastAsia" w:ascii="仿宋" w:hAnsi="仿宋" w:eastAsia="仿宋"/>
          <w:b/>
          <w:bCs w:val="0"/>
          <w:sz w:val="32"/>
          <w:szCs w:val="32"/>
          <w:lang w:val="en-US" w:eastAsia="zh-CN"/>
        </w:rPr>
        <w:t>4.64</w:t>
      </w:r>
      <w:r>
        <w:rPr>
          <w:rFonts w:ascii="仿宋" w:hAnsi="仿宋" w:eastAsia="仿宋"/>
          <w:b/>
          <w:bCs w:val="0"/>
          <w:sz w:val="32"/>
          <w:szCs w:val="32"/>
        </w:rPr>
        <w:t>%</w:t>
      </w:r>
      <w:r>
        <w:rPr>
          <w:rFonts w:hint="eastAsia" w:ascii="仿宋" w:hAnsi="仿宋" w:eastAsia="仿宋"/>
          <w:b/>
          <w:bCs w:val="0"/>
          <w:sz w:val="32"/>
          <w:szCs w:val="32"/>
        </w:rPr>
        <w:t>；灾害防治及应急管理支出</w:t>
      </w:r>
      <w:r>
        <w:rPr>
          <w:rFonts w:hint="eastAsia" w:ascii="仿宋" w:hAnsi="仿宋" w:eastAsia="仿宋"/>
          <w:b/>
          <w:bCs w:val="0"/>
          <w:sz w:val="32"/>
          <w:szCs w:val="32"/>
          <w:lang w:val="en-US" w:eastAsia="zh-CN"/>
        </w:rPr>
        <w:t>14.85万元，占0.22%</w:t>
      </w:r>
      <w:r>
        <w:rPr>
          <w:rFonts w:hint="eastAsia" w:ascii="仿宋" w:hAnsi="仿宋" w:eastAsia="仿宋"/>
          <w:b/>
          <w:bCs w:val="0"/>
          <w:sz w:val="32"/>
          <w:szCs w:val="32"/>
        </w:rPr>
        <w:t>。</w:t>
      </w:r>
    </w:p>
    <w:p>
      <w:pPr>
        <w:pStyle w:val="7"/>
        <w:rPr>
          <w:rFonts w:hint="eastAsia" w:eastAsia="仿宋"/>
          <w:lang w:eastAsia="zh-CN"/>
        </w:rPr>
      </w:pPr>
      <w:r>
        <w:rPr>
          <w:rFonts w:hint="eastAsia" w:eastAsia="仿宋"/>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hint="eastAsia" w:ascii="仿宋" w:hAnsi="仿宋" w:eastAsia="仿宋"/>
          <w:b/>
          <w:sz w:val="32"/>
          <w:szCs w:val="32"/>
        </w:rPr>
      </w:pPr>
      <w:bookmarkStart w:id="32" w:name="_Toc15377212"/>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2"/>
    </w:p>
    <w:p>
      <w:pPr>
        <w:spacing w:line="600" w:lineRule="exact"/>
        <w:ind w:firstLine="643" w:firstLineChars="200"/>
        <w:outlineLvl w:val="2"/>
        <w:rPr>
          <w:rFonts w:ascii="仿宋" w:hAnsi="仿宋" w:eastAsia="仿宋"/>
          <w:sz w:val="32"/>
          <w:szCs w:val="32"/>
        </w:rPr>
      </w:pPr>
      <w:bookmarkStart w:id="33" w:name="_Toc15377213"/>
      <w:bookmarkStart w:id="34" w:name="_Toc15378460"/>
      <w:bookmarkStart w:id="35" w:name="_Toc15377444"/>
      <w:r>
        <w:rPr>
          <w:rFonts w:hint="eastAsia" w:ascii="仿宋" w:hAnsi="仿宋" w:eastAsia="仿宋"/>
          <w:b/>
          <w:sz w:val="32"/>
          <w:szCs w:val="32"/>
        </w:rPr>
        <w:t>2022年一般公共预算支出决算数为</w:t>
      </w:r>
      <w:r>
        <w:rPr>
          <w:rFonts w:hint="eastAsia" w:ascii="仿宋" w:hAnsi="仿宋" w:eastAsia="仿宋"/>
          <w:sz w:val="32"/>
          <w:szCs w:val="32"/>
          <w:lang w:val="en-US" w:eastAsia="zh-CN"/>
        </w:rPr>
        <w:t>6765.41万元</w:t>
      </w:r>
      <w:r>
        <w:rPr>
          <w:rFonts w:hint="eastAsia" w:ascii="仿宋" w:hAnsi="仿宋" w:eastAsia="仿宋"/>
          <w:sz w:val="32"/>
          <w:szCs w:val="32"/>
        </w:rPr>
        <w:t>，</w:t>
      </w:r>
      <w:r>
        <w:rPr>
          <w:rStyle w:val="21"/>
          <w:rFonts w:hint="eastAsia" w:ascii="仿宋" w:hAnsi="仿宋" w:eastAsia="仿宋"/>
          <w:bCs/>
          <w:sz w:val="32"/>
          <w:szCs w:val="32"/>
        </w:rPr>
        <w:t>完成预算</w:t>
      </w:r>
      <w:r>
        <w:rPr>
          <w:rStyle w:val="21"/>
          <w:rFonts w:hint="eastAsia" w:ascii="仿宋" w:hAnsi="仿宋" w:eastAsia="仿宋"/>
          <w:bCs/>
          <w:sz w:val="32"/>
          <w:szCs w:val="32"/>
          <w:lang w:val="en-US" w:eastAsia="zh-CN"/>
        </w:rPr>
        <w:t>100</w:t>
      </w:r>
      <w:r>
        <w:rPr>
          <w:rStyle w:val="21"/>
          <w:rFonts w:ascii="仿宋" w:hAnsi="仿宋" w:eastAsia="仿宋"/>
          <w:bCs/>
          <w:sz w:val="32"/>
          <w:szCs w:val="32"/>
        </w:rPr>
        <w:t>%</w:t>
      </w:r>
      <w:r>
        <w:rPr>
          <w:rStyle w:val="21"/>
          <w:rFonts w:hint="eastAsia" w:ascii="仿宋" w:hAnsi="仿宋" w:eastAsia="仿宋"/>
          <w:bCs/>
          <w:sz w:val="32"/>
          <w:szCs w:val="32"/>
        </w:rPr>
        <w:t>。其中：</w:t>
      </w:r>
      <w:bookmarkEnd w:id="33"/>
      <w:bookmarkEnd w:id="34"/>
      <w:bookmarkEnd w:id="35"/>
    </w:p>
    <w:p>
      <w:pPr>
        <w:spacing w:line="600" w:lineRule="exact"/>
        <w:ind w:firstLine="643" w:firstLineChars="200"/>
        <w:rPr>
          <w:rFonts w:hint="eastAsia" w:ascii="仿宋" w:hAnsi="仿宋" w:eastAsia="仿宋"/>
          <w:b/>
          <w:sz w:val="32"/>
          <w:szCs w:val="32"/>
          <w:lang w:eastAsia="zh-CN"/>
        </w:rPr>
      </w:pPr>
      <w:r>
        <w:rPr>
          <w:rStyle w:val="21"/>
          <w:rFonts w:ascii="仿宋" w:hAnsi="仿宋" w:eastAsia="仿宋"/>
          <w:bCs/>
          <w:sz w:val="32"/>
          <w:szCs w:val="32"/>
        </w:rPr>
        <w:t>1.</w:t>
      </w:r>
      <w:r>
        <w:rPr>
          <w:rFonts w:hint="eastAsia" w:ascii="仿宋" w:hAnsi="仿宋" w:eastAsia="仿宋"/>
          <w:b/>
          <w:bCs w:val="0"/>
          <w:sz w:val="32"/>
          <w:szCs w:val="32"/>
        </w:rPr>
        <w:t>一般公共服务支出</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Fonts w:hint="eastAsia" w:ascii="仿宋" w:hAnsi="仿宋" w:eastAsia="仿宋"/>
          <w:b/>
          <w:bCs w:val="0"/>
          <w:sz w:val="32"/>
          <w:szCs w:val="32"/>
        </w:rPr>
        <w:t>491.15万元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lang w:eastAsia="zh-CN"/>
        </w:rPr>
        <w:t>。</w:t>
      </w:r>
    </w:p>
    <w:p>
      <w:pPr>
        <w:spacing w:line="600" w:lineRule="exact"/>
        <w:ind w:firstLine="643" w:firstLineChars="200"/>
      </w:pPr>
      <w:r>
        <w:rPr>
          <w:rStyle w:val="21"/>
          <w:rFonts w:ascii="仿宋" w:hAnsi="仿宋" w:eastAsia="仿宋"/>
          <w:bCs/>
          <w:sz w:val="32"/>
          <w:szCs w:val="32"/>
        </w:rPr>
        <w:t>2.</w:t>
      </w:r>
      <w:r>
        <w:rPr>
          <w:rFonts w:hint="eastAsia" w:ascii="仿宋" w:hAnsi="仿宋" w:eastAsia="仿宋"/>
          <w:b/>
          <w:bCs w:val="0"/>
          <w:sz w:val="32"/>
          <w:szCs w:val="32"/>
          <w:lang w:val="en-US" w:eastAsia="zh-CN"/>
        </w:rPr>
        <w:t>国防支出：3万元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lang w:eastAsia="zh-CN"/>
        </w:rPr>
        <w:t>。</w:t>
      </w:r>
    </w:p>
    <w:p>
      <w:pPr>
        <w:ind w:firstLine="643" w:firstLineChars="200"/>
      </w:pPr>
      <w:r>
        <w:rPr>
          <w:rFonts w:hint="eastAsia" w:ascii="仿宋" w:hAnsi="仿宋" w:eastAsia="仿宋"/>
          <w:b/>
          <w:bCs w:val="0"/>
          <w:sz w:val="32"/>
          <w:szCs w:val="32"/>
          <w:lang w:val="en-US" w:eastAsia="zh-CN"/>
        </w:rPr>
        <w:t>3.公共安全支出</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Fonts w:hint="eastAsia" w:ascii="仿宋" w:hAnsi="仿宋" w:eastAsia="仿宋"/>
          <w:b/>
          <w:bCs w:val="0"/>
          <w:sz w:val="32"/>
          <w:szCs w:val="32"/>
          <w:lang w:val="en-US" w:eastAsia="zh-CN"/>
        </w:rPr>
        <w:t>7万元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lang w:eastAsia="zh-CN"/>
        </w:rPr>
        <w:t>。</w:t>
      </w:r>
    </w:p>
    <w:p>
      <w:pPr>
        <w:ind w:firstLine="643" w:firstLineChars="200"/>
      </w:pPr>
      <w:r>
        <w:rPr>
          <w:rFonts w:hint="eastAsia" w:ascii="仿宋" w:hAnsi="仿宋" w:eastAsia="仿宋"/>
          <w:b/>
          <w:bCs w:val="0"/>
          <w:sz w:val="32"/>
          <w:szCs w:val="32"/>
          <w:lang w:val="en-US" w:eastAsia="zh-CN"/>
        </w:rPr>
        <w:t>4.</w:t>
      </w:r>
      <w:r>
        <w:rPr>
          <w:rFonts w:hint="eastAsia" w:ascii="仿宋" w:hAnsi="仿宋" w:eastAsia="仿宋"/>
          <w:b/>
          <w:bCs w:val="0"/>
          <w:sz w:val="32"/>
          <w:szCs w:val="32"/>
        </w:rPr>
        <w:t>文化旅游体育与传媒支出</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Fonts w:hint="eastAsia" w:ascii="仿宋" w:hAnsi="仿宋" w:eastAsia="仿宋"/>
          <w:b/>
          <w:bCs w:val="0"/>
          <w:sz w:val="32"/>
          <w:szCs w:val="32"/>
        </w:rPr>
        <w:t>199.45万元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lang w:eastAsia="zh-CN"/>
        </w:rPr>
        <w:t>。</w:t>
      </w:r>
    </w:p>
    <w:p>
      <w:pPr>
        <w:ind w:firstLine="643" w:firstLineChars="200"/>
      </w:pPr>
      <w:r>
        <w:rPr>
          <w:rFonts w:hint="eastAsia" w:ascii="仿宋" w:hAnsi="仿宋" w:eastAsia="仿宋"/>
          <w:b/>
          <w:bCs w:val="0"/>
          <w:sz w:val="32"/>
          <w:szCs w:val="32"/>
          <w:lang w:val="en-US" w:eastAsia="zh-CN"/>
        </w:rPr>
        <w:t>5.</w:t>
      </w:r>
      <w:r>
        <w:rPr>
          <w:rFonts w:hint="eastAsia" w:ascii="仿宋" w:hAnsi="仿宋" w:eastAsia="仿宋"/>
          <w:b/>
          <w:bCs w:val="0"/>
          <w:sz w:val="32"/>
          <w:szCs w:val="32"/>
        </w:rPr>
        <w:t>社会保障和就业支出</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Fonts w:hint="eastAsia" w:ascii="仿宋" w:hAnsi="仿宋" w:eastAsia="仿宋"/>
          <w:b/>
          <w:bCs w:val="0"/>
          <w:sz w:val="32"/>
          <w:szCs w:val="32"/>
        </w:rPr>
        <w:t>1299.05万元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lang w:eastAsia="zh-CN"/>
        </w:rPr>
        <w:t>。</w:t>
      </w:r>
    </w:p>
    <w:p>
      <w:pPr>
        <w:ind w:firstLine="643" w:firstLineChars="200"/>
      </w:pPr>
      <w:r>
        <w:rPr>
          <w:rFonts w:hint="eastAsia" w:ascii="仿宋" w:hAnsi="仿宋" w:eastAsia="仿宋"/>
          <w:b/>
          <w:bCs w:val="0"/>
          <w:sz w:val="32"/>
          <w:szCs w:val="32"/>
          <w:lang w:val="en-US" w:eastAsia="zh-CN"/>
        </w:rPr>
        <w:t>6.</w:t>
      </w:r>
      <w:r>
        <w:rPr>
          <w:rFonts w:hint="eastAsia" w:ascii="仿宋" w:hAnsi="仿宋" w:eastAsia="仿宋"/>
          <w:b/>
          <w:bCs w:val="0"/>
          <w:sz w:val="32"/>
          <w:szCs w:val="32"/>
        </w:rPr>
        <w:t>卫生健康支出</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Fonts w:hint="eastAsia" w:ascii="仿宋" w:hAnsi="仿宋" w:eastAsia="仿宋"/>
          <w:b/>
          <w:bCs w:val="0"/>
          <w:sz w:val="32"/>
          <w:szCs w:val="32"/>
        </w:rPr>
        <w:t>325.75万元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lang w:eastAsia="zh-CN"/>
        </w:rPr>
        <w:t>。</w:t>
      </w:r>
    </w:p>
    <w:p>
      <w:pPr>
        <w:ind w:firstLine="643" w:firstLineChars="200"/>
      </w:pPr>
      <w:r>
        <w:rPr>
          <w:rFonts w:hint="eastAsia" w:ascii="仿宋" w:hAnsi="仿宋" w:eastAsia="仿宋"/>
          <w:b/>
          <w:bCs w:val="0"/>
          <w:sz w:val="32"/>
          <w:szCs w:val="32"/>
          <w:lang w:val="en-US" w:eastAsia="zh-CN"/>
        </w:rPr>
        <w:t>7.</w:t>
      </w:r>
      <w:r>
        <w:rPr>
          <w:rFonts w:hint="eastAsia" w:ascii="仿宋" w:hAnsi="仿宋" w:eastAsia="仿宋"/>
          <w:b/>
          <w:bCs w:val="0"/>
          <w:sz w:val="32"/>
          <w:szCs w:val="32"/>
        </w:rPr>
        <w:t>节能环保支出</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Fonts w:hint="eastAsia" w:ascii="仿宋" w:hAnsi="仿宋" w:eastAsia="仿宋"/>
          <w:b/>
          <w:bCs w:val="0"/>
          <w:sz w:val="32"/>
          <w:szCs w:val="32"/>
        </w:rPr>
        <w:t>136.9</w:t>
      </w:r>
      <w:r>
        <w:rPr>
          <w:rFonts w:hint="eastAsia" w:ascii="仿宋" w:hAnsi="仿宋" w:eastAsia="仿宋"/>
          <w:b/>
          <w:bCs w:val="0"/>
          <w:sz w:val="32"/>
          <w:szCs w:val="32"/>
          <w:lang w:val="en-US" w:eastAsia="zh-CN"/>
        </w:rPr>
        <w:t>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lang w:eastAsia="zh-CN"/>
        </w:rPr>
        <w:t>。</w:t>
      </w:r>
    </w:p>
    <w:p>
      <w:pPr>
        <w:ind w:firstLine="643" w:firstLineChars="200"/>
      </w:pPr>
      <w:r>
        <w:rPr>
          <w:rFonts w:hint="eastAsia" w:ascii="仿宋" w:hAnsi="仿宋" w:eastAsia="仿宋"/>
          <w:b/>
          <w:bCs w:val="0"/>
          <w:sz w:val="32"/>
          <w:szCs w:val="32"/>
          <w:lang w:val="en-US" w:eastAsia="zh-CN"/>
        </w:rPr>
        <w:t>8.城乡社区支出</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Fonts w:hint="eastAsia" w:ascii="仿宋" w:hAnsi="仿宋" w:eastAsia="仿宋"/>
          <w:b/>
          <w:bCs w:val="0"/>
          <w:sz w:val="32"/>
          <w:szCs w:val="32"/>
          <w:lang w:val="en-US" w:eastAsia="zh-CN"/>
        </w:rPr>
        <w:t>208.94万元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lang w:eastAsia="zh-CN"/>
        </w:rPr>
        <w:t>。</w:t>
      </w:r>
    </w:p>
    <w:p>
      <w:pPr>
        <w:ind w:firstLine="643" w:firstLineChars="200"/>
      </w:pPr>
      <w:r>
        <w:rPr>
          <w:rFonts w:hint="eastAsia" w:ascii="仿宋" w:hAnsi="仿宋" w:eastAsia="仿宋"/>
          <w:b/>
          <w:bCs w:val="0"/>
          <w:sz w:val="32"/>
          <w:szCs w:val="32"/>
          <w:lang w:val="en-US" w:eastAsia="zh-CN"/>
        </w:rPr>
        <w:t>9.农林水支出</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Fonts w:hint="eastAsia" w:ascii="仿宋" w:hAnsi="仿宋" w:eastAsia="仿宋"/>
          <w:b/>
          <w:bCs w:val="0"/>
          <w:sz w:val="32"/>
          <w:szCs w:val="32"/>
          <w:lang w:val="en-US" w:eastAsia="zh-CN"/>
        </w:rPr>
        <w:t>3731.47万元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lang w:eastAsia="zh-CN"/>
        </w:rPr>
        <w:t>。</w:t>
      </w:r>
    </w:p>
    <w:p>
      <w:pPr>
        <w:ind w:firstLine="643" w:firstLineChars="200"/>
      </w:pPr>
      <w:r>
        <w:rPr>
          <w:rFonts w:hint="eastAsia" w:ascii="仿宋" w:hAnsi="仿宋" w:eastAsia="仿宋"/>
          <w:b/>
          <w:bCs w:val="0"/>
          <w:sz w:val="32"/>
          <w:szCs w:val="32"/>
          <w:lang w:val="en-US" w:eastAsia="zh-CN"/>
        </w:rPr>
        <w:t>10.自然资源海洋气象等支出</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Fonts w:hint="eastAsia" w:ascii="仿宋" w:hAnsi="仿宋" w:eastAsia="仿宋"/>
          <w:b/>
          <w:bCs w:val="0"/>
          <w:sz w:val="32"/>
          <w:szCs w:val="32"/>
          <w:lang w:val="en-US" w:eastAsia="zh-CN"/>
        </w:rPr>
        <w:t>34万元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lang w:eastAsia="zh-CN"/>
        </w:rPr>
        <w:t>。</w:t>
      </w:r>
    </w:p>
    <w:p>
      <w:pPr>
        <w:ind w:firstLine="643" w:firstLineChars="200"/>
      </w:pPr>
      <w:r>
        <w:rPr>
          <w:rFonts w:hint="eastAsia" w:ascii="仿宋" w:hAnsi="仿宋" w:eastAsia="仿宋"/>
          <w:b/>
          <w:bCs w:val="0"/>
          <w:sz w:val="32"/>
          <w:szCs w:val="32"/>
          <w:lang w:val="en-US" w:eastAsia="zh-CN"/>
        </w:rPr>
        <w:t>11.</w:t>
      </w:r>
      <w:r>
        <w:rPr>
          <w:rFonts w:hint="eastAsia" w:ascii="仿宋" w:hAnsi="仿宋" w:eastAsia="仿宋"/>
          <w:b/>
          <w:bCs w:val="0"/>
          <w:sz w:val="32"/>
          <w:szCs w:val="32"/>
        </w:rPr>
        <w:t>住房保障支出</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Fonts w:hint="eastAsia" w:ascii="仿宋" w:hAnsi="仿宋" w:eastAsia="仿宋"/>
          <w:b/>
          <w:bCs w:val="0"/>
          <w:sz w:val="32"/>
          <w:szCs w:val="32"/>
        </w:rPr>
        <w:t>313.86万元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lang w:eastAsia="zh-CN"/>
        </w:rPr>
        <w:t>。</w:t>
      </w:r>
    </w:p>
    <w:p>
      <w:pPr>
        <w:ind w:firstLine="643" w:firstLineChars="200"/>
        <w:rPr>
          <w:rFonts w:ascii="仿宋" w:hAnsi="仿宋" w:eastAsia="仿宋"/>
          <w:b/>
          <w:sz w:val="32"/>
          <w:szCs w:val="32"/>
        </w:rPr>
      </w:pPr>
      <w:r>
        <w:rPr>
          <w:rFonts w:hint="eastAsia" w:ascii="仿宋" w:hAnsi="仿宋" w:eastAsia="仿宋"/>
          <w:b/>
          <w:bCs w:val="0"/>
          <w:sz w:val="32"/>
          <w:szCs w:val="32"/>
          <w:lang w:val="en-US" w:eastAsia="zh-CN"/>
        </w:rPr>
        <w:t>12.</w:t>
      </w:r>
      <w:r>
        <w:rPr>
          <w:rFonts w:hint="eastAsia" w:ascii="仿宋" w:hAnsi="仿宋" w:eastAsia="仿宋"/>
          <w:b/>
          <w:bCs w:val="0"/>
          <w:sz w:val="32"/>
          <w:szCs w:val="32"/>
        </w:rPr>
        <w:t>灾害防治及应急管理支出</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Fonts w:hint="eastAsia" w:ascii="仿宋" w:hAnsi="仿宋" w:eastAsia="仿宋"/>
          <w:b/>
          <w:bCs w:val="0"/>
          <w:sz w:val="32"/>
          <w:szCs w:val="32"/>
          <w:lang w:val="en-US" w:eastAsia="zh-CN"/>
        </w:rPr>
        <w:t>14.85万元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lang w:eastAsia="zh-CN"/>
        </w:rPr>
        <w:t>。</w:t>
      </w:r>
    </w:p>
    <w:p>
      <w:pPr>
        <w:tabs>
          <w:tab w:val="right" w:pos="8306"/>
        </w:tabs>
        <w:spacing w:line="600" w:lineRule="exact"/>
        <w:ind w:firstLine="640"/>
        <w:outlineLvl w:val="1"/>
        <w:rPr>
          <w:rStyle w:val="33"/>
        </w:rPr>
      </w:pPr>
      <w:bookmarkStart w:id="36" w:name="_Toc15377214"/>
      <w:bookmarkStart w:id="37"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3"/>
          <w:rFonts w:hint="eastAsia" w:ascii="黑体" w:hAnsi="黑体" w:eastAsia="黑体"/>
          <w:b w:val="0"/>
        </w:rPr>
        <w:t>般公共预算财政拨款基本支出决算情况说明</w:t>
      </w:r>
      <w:bookmarkEnd w:id="36"/>
      <w:bookmarkEnd w:id="37"/>
      <w:r>
        <w:rPr>
          <w:rStyle w:val="33"/>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22年一般公共预算财政拨款基本支出1479.09万元，其中：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1244.5</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234.6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3"/>
          <w:rFonts w:ascii="黑体" w:hAnsi="黑体" w:eastAsia="黑体"/>
          <w:b w:val="0"/>
        </w:rPr>
      </w:pPr>
      <w:bookmarkStart w:id="38" w:name="_Toc15377215"/>
      <w:bookmarkStart w:id="39" w:name="_Toc15396609"/>
      <w:r>
        <w:rPr>
          <w:rFonts w:hint="eastAsia" w:ascii="黑体" w:eastAsia="黑体"/>
          <w:sz w:val="32"/>
          <w:szCs w:val="32"/>
        </w:rPr>
        <w:t>七、</w:t>
      </w:r>
      <w:r>
        <w:rPr>
          <w:rStyle w:val="33"/>
          <w:rFonts w:hint="eastAsia" w:ascii="黑体" w:hAnsi="黑体" w:eastAsia="黑体"/>
          <w:b w:val="0"/>
        </w:rPr>
        <w:t>财政拨款</w:t>
      </w:r>
      <w:r>
        <w:rPr>
          <w:rStyle w:val="33"/>
          <w:rFonts w:hint="eastAsia" w:ascii="黑体" w:hAnsi="黑体" w:eastAsia="黑体"/>
        </w:rPr>
        <w:t>“</w:t>
      </w:r>
      <w:r>
        <w:rPr>
          <w:rStyle w:val="33"/>
          <w:rFonts w:hint="eastAsia" w:ascii="黑体" w:hAnsi="黑体" w:eastAsia="黑体"/>
          <w:b w:val="0"/>
        </w:rPr>
        <w:t>三公”经费支出决算情况说明</w:t>
      </w:r>
      <w:bookmarkEnd w:id="38"/>
      <w:bookmarkEnd w:id="39"/>
    </w:p>
    <w:p>
      <w:pPr>
        <w:spacing w:line="600" w:lineRule="exact"/>
        <w:ind w:firstLine="640"/>
        <w:rPr>
          <w:rFonts w:ascii="仿宋" w:hAnsi="仿宋" w:eastAsia="仿宋"/>
          <w:color w:val="000000"/>
          <w:sz w:val="32"/>
          <w:szCs w:val="32"/>
        </w:rPr>
      </w:pPr>
      <w:bookmarkStart w:id="40" w:name="_Toc15377216"/>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30</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val="en-US" w:eastAsia="zh-CN"/>
        </w:rPr>
        <w:t>比</w:t>
      </w:r>
      <w:r>
        <w:rPr>
          <w:rFonts w:hint="eastAsia" w:ascii="仿宋" w:hAnsi="仿宋" w:eastAsia="仿宋"/>
          <w:color w:val="000000"/>
          <w:sz w:val="32"/>
          <w:szCs w:val="32"/>
        </w:rPr>
        <w:t>预算数</w:t>
      </w:r>
      <w:r>
        <w:rPr>
          <w:rFonts w:hint="eastAsia" w:ascii="仿宋" w:hAnsi="仿宋" w:eastAsia="仿宋"/>
          <w:color w:val="000000"/>
          <w:sz w:val="32"/>
          <w:szCs w:val="32"/>
          <w:lang w:val="en-US" w:eastAsia="zh-CN"/>
        </w:rPr>
        <w:t>小</w:t>
      </w:r>
      <w:r>
        <w:rPr>
          <w:rFonts w:hint="eastAsia" w:ascii="仿宋" w:hAnsi="仿宋" w:eastAsia="仿宋"/>
          <w:color w:val="000000"/>
          <w:sz w:val="32"/>
          <w:szCs w:val="32"/>
        </w:rPr>
        <w:t>的主要原因是</w:t>
      </w:r>
      <w:r>
        <w:rPr>
          <w:rFonts w:hint="eastAsia" w:ascii="仿宋" w:hAnsi="仿宋" w:eastAsia="仿宋"/>
          <w:color w:val="000000"/>
          <w:sz w:val="32"/>
          <w:szCs w:val="32"/>
          <w:lang w:val="en-US" w:eastAsia="zh-CN"/>
        </w:rPr>
        <w:t>疫情期间减少接待次数</w:t>
      </w:r>
      <w:r>
        <w:rPr>
          <w:rFonts w:hint="eastAsia" w:ascii="仿宋" w:hAnsi="仿宋" w:eastAsia="仿宋"/>
          <w:color w:val="000000"/>
          <w:sz w:val="32"/>
          <w:szCs w:val="32"/>
        </w:rPr>
        <w:t>。</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（一）“三公”经费财政拨款支出决算总体情况说明</w:t>
      </w:r>
      <w:bookmarkEnd w:id="40"/>
    </w:p>
    <w:p>
      <w:pPr>
        <w:spacing w:line="600" w:lineRule="exact"/>
        <w:ind w:firstLine="640"/>
        <w:rPr>
          <w:rFonts w:ascii="仿宋" w:hAnsi="仿宋" w:eastAsia="仿宋"/>
          <w:color w:val="000000"/>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1.5</w:t>
      </w:r>
      <w:r>
        <w:rPr>
          <w:rFonts w:hint="eastAsia" w:ascii="仿宋" w:hAnsi="仿宋" w:eastAsia="仿宋"/>
          <w:sz w:val="32"/>
          <w:szCs w:val="32"/>
        </w:rPr>
        <w:t>万元，完成预算</w:t>
      </w:r>
      <w:r>
        <w:rPr>
          <w:rFonts w:hint="eastAsia" w:ascii="仿宋" w:hAnsi="仿宋" w:eastAsia="仿宋"/>
          <w:sz w:val="32"/>
          <w:szCs w:val="32"/>
          <w:lang w:val="en-US" w:eastAsia="zh-CN"/>
        </w:rPr>
        <w:t>30</w:t>
      </w:r>
      <w:r>
        <w:rPr>
          <w:rFonts w:ascii="仿宋" w:hAnsi="仿宋" w:eastAsia="仿宋"/>
          <w:sz w:val="32"/>
          <w:szCs w:val="32"/>
        </w:rPr>
        <w:t>%</w:t>
      </w:r>
      <w:r>
        <w:rPr>
          <w:rFonts w:hint="eastAsia" w:ascii="仿宋" w:hAnsi="仿宋" w:eastAsia="仿宋"/>
          <w:sz w:val="32"/>
          <w:szCs w:val="32"/>
        </w:rPr>
        <w:t>，较上年减少</w:t>
      </w:r>
      <w:r>
        <w:rPr>
          <w:rFonts w:hint="eastAsia" w:ascii="仿宋" w:hAnsi="仿宋" w:eastAsia="仿宋"/>
          <w:sz w:val="32"/>
          <w:szCs w:val="32"/>
          <w:lang w:val="en-US" w:eastAsia="zh-CN"/>
        </w:rPr>
        <w:t>3.5</w:t>
      </w:r>
      <w:r>
        <w:rPr>
          <w:rFonts w:hint="eastAsia" w:ascii="仿宋" w:hAnsi="仿宋" w:eastAsia="仿宋"/>
          <w:sz w:val="32"/>
          <w:szCs w:val="32"/>
        </w:rPr>
        <w:t>万元，下降</w:t>
      </w:r>
      <w:r>
        <w:rPr>
          <w:rFonts w:hint="eastAsia" w:ascii="仿宋" w:hAnsi="仿宋" w:eastAsia="仿宋"/>
          <w:sz w:val="32"/>
          <w:szCs w:val="32"/>
          <w:lang w:val="en-US" w:eastAsia="zh-CN"/>
        </w:rPr>
        <w:t>70</w:t>
      </w:r>
      <w:r>
        <w:rPr>
          <w:rFonts w:hint="eastAsia" w:ascii="仿宋" w:hAnsi="仿宋" w:eastAsia="仿宋"/>
          <w:sz w:val="32"/>
          <w:szCs w:val="32"/>
        </w:rPr>
        <w:t>%。决算数小于预算数的主要原因是</w:t>
      </w:r>
      <w:r>
        <w:rPr>
          <w:rFonts w:hint="eastAsia" w:ascii="仿宋" w:hAnsi="仿宋" w:eastAsia="仿宋"/>
          <w:color w:val="000000"/>
          <w:sz w:val="32"/>
          <w:szCs w:val="32"/>
          <w:lang w:val="en-US" w:eastAsia="zh-CN"/>
        </w:rPr>
        <w:t>疫情期间减少接待次数</w:t>
      </w:r>
      <w:r>
        <w:rPr>
          <w:rFonts w:hint="eastAsia" w:ascii="仿宋" w:hAnsi="仿宋" w:eastAsia="仿宋"/>
          <w:color w:val="000000"/>
          <w:sz w:val="32"/>
          <w:szCs w:val="32"/>
        </w:rPr>
        <w:t>。</w:t>
      </w:r>
    </w:p>
    <w:p>
      <w:pPr>
        <w:spacing w:line="600" w:lineRule="exact"/>
        <w:ind w:firstLine="640"/>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1.5</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eastAsia="仿宋"/>
          <w:i/>
          <w:color w:val="000000"/>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eastAsia="仿宋"/>
          <w:color w:val="000000"/>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b/>
          <w:sz w:val="32"/>
          <w:szCs w:val="32"/>
          <w:lang w:val="en-US" w:eastAsia="zh-CN"/>
        </w:rPr>
        <w:t>1.5</w:t>
      </w:r>
      <w:r>
        <w:rPr>
          <w:rFonts w:hint="eastAsia" w:ascii="仿宋_GB2312" w:eastAsia="仿宋_GB2312"/>
          <w:sz w:val="32"/>
          <w:szCs w:val="32"/>
        </w:rPr>
        <w:t>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30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3.5</w:t>
      </w:r>
      <w:r>
        <w:rPr>
          <w:rFonts w:hint="eastAsia" w:ascii="仿宋_GB2312" w:eastAsia="仿宋_GB2312"/>
          <w:sz w:val="32"/>
          <w:szCs w:val="32"/>
        </w:rPr>
        <w:t>万元，下降</w:t>
      </w:r>
      <w:r>
        <w:rPr>
          <w:rFonts w:hint="eastAsia" w:ascii="仿宋_GB2312" w:eastAsia="仿宋_GB2312"/>
          <w:sz w:val="32"/>
          <w:szCs w:val="32"/>
          <w:lang w:val="en-US" w:eastAsia="zh-CN"/>
        </w:rPr>
        <w:t>70</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color w:val="000000"/>
          <w:sz w:val="32"/>
          <w:szCs w:val="32"/>
          <w:lang w:val="en-US" w:eastAsia="zh-CN"/>
        </w:rPr>
        <w:t>疫情期间减少接待次数</w:t>
      </w:r>
      <w:r>
        <w:rPr>
          <w:rFonts w:hint="eastAsia" w:ascii="仿宋" w:hAnsi="仿宋" w:eastAsia="仿宋"/>
          <w:color w:val="000000"/>
          <w:sz w:val="32"/>
          <w:szCs w:val="32"/>
        </w:rPr>
        <w:t>。</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1.5</w:t>
      </w:r>
      <w:r>
        <w:rPr>
          <w:rFonts w:hint="eastAsia" w:ascii="仿宋_GB2312" w:eastAsia="仿宋_GB2312"/>
          <w:sz w:val="32"/>
          <w:szCs w:val="32"/>
        </w:rPr>
        <w:t>万元，主要用于</w:t>
      </w:r>
      <w:r>
        <w:rPr>
          <w:rFonts w:hint="eastAsia" w:ascii="仿宋_GB2312" w:eastAsia="仿宋_GB2312"/>
          <w:sz w:val="32"/>
          <w:szCs w:val="32"/>
          <w:highlight w:val="none"/>
        </w:rPr>
        <w:t>执行公务、开展业务活动开支用餐费等</w:t>
      </w:r>
      <w:r>
        <w:rPr>
          <w:rFonts w:hint="eastAsia" w:ascii="仿宋_GB2312" w:eastAsia="仿宋_GB2312"/>
          <w:sz w:val="32"/>
          <w:szCs w:val="32"/>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42" w:name="_Toc15396610"/>
      <w:bookmarkStart w:id="43" w:name="_Toc15377218"/>
    </w:p>
    <w:p>
      <w:pPr>
        <w:spacing w:line="600" w:lineRule="exact"/>
        <w:ind w:firstLine="640"/>
        <w:outlineLvl w:val="1"/>
        <w:rPr>
          <w:rStyle w:val="33"/>
          <w:rFonts w:ascii="黑体" w:hAnsi="黑体" w:eastAsia="黑体"/>
        </w:rPr>
      </w:pPr>
      <w:r>
        <w:rPr>
          <w:rFonts w:hint="eastAsia" w:ascii="黑体" w:eastAsia="黑体"/>
          <w:sz w:val="32"/>
          <w:szCs w:val="32"/>
        </w:rPr>
        <w:t>八、</w:t>
      </w:r>
      <w:r>
        <w:rPr>
          <w:rStyle w:val="33"/>
          <w:rFonts w:hint="eastAsia" w:ascii="黑体" w:hAnsi="黑体" w:eastAsia="黑体"/>
          <w:b w:val="0"/>
        </w:rPr>
        <w:t>政府性基金预算支出决算情况说明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80</w:t>
      </w:r>
      <w:r>
        <w:rPr>
          <w:rFonts w:hint="eastAsia" w:ascii="仿宋_GB2312" w:eastAsia="仿宋_GB2312"/>
          <w:sz w:val="32"/>
          <w:szCs w:val="32"/>
        </w:rPr>
        <w:t>万元。</w:t>
      </w:r>
    </w:p>
    <w:p>
      <w:pPr>
        <w:numPr>
          <w:ilvl w:val="0"/>
          <w:numId w:val="3"/>
        </w:numPr>
        <w:spacing w:line="600" w:lineRule="exact"/>
        <w:ind w:firstLine="640"/>
        <w:outlineLvl w:val="1"/>
        <w:rPr>
          <w:rStyle w:val="33"/>
          <w:rFonts w:ascii="黑体" w:hAnsi="黑体" w:eastAsia="黑体"/>
          <w:b w:val="0"/>
        </w:rPr>
      </w:pPr>
      <w:bookmarkStart w:id="44" w:name="_Toc15377219"/>
      <w:bookmarkStart w:id="45" w:name="_Toc15396611"/>
      <w:r>
        <w:rPr>
          <w:rStyle w:val="33"/>
          <w:rFonts w:hint="eastAsia" w:ascii="黑体" w:hAnsi="黑体" w:eastAsia="黑体"/>
          <w:b w:val="0"/>
        </w:rPr>
        <w:t>国有资本经营预算支出决算情况说明</w:t>
      </w:r>
      <w:bookmarkEnd w:id="44"/>
      <w:bookmarkEnd w:id="45"/>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Fonts w:ascii="仿宋" w:hAnsi="仿宋" w:eastAsia="仿宋"/>
          <w:b/>
          <w:sz w:val="32"/>
          <w:szCs w:val="32"/>
        </w:rPr>
      </w:pPr>
      <w:bookmarkStart w:id="46" w:name="_Toc15396612"/>
      <w:bookmarkStart w:id="47" w:name="_Toc15377221"/>
      <w:r>
        <w:rPr>
          <w:rStyle w:val="33"/>
          <w:rFonts w:hint="eastAsia" w:ascii="黑体" w:hAnsi="黑体" w:eastAsia="黑体"/>
          <w:b w:val="0"/>
        </w:rPr>
        <w:t>其他重要事项的情况说明</w:t>
      </w:r>
      <w:bookmarkEnd w:id="46"/>
      <w:bookmarkEnd w:id="47"/>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3"/>
      <w:r>
        <w:rPr>
          <w:rFonts w:hint="eastAsia" w:ascii="仿宋" w:hAnsi="仿宋" w:eastAsia="仿宋"/>
          <w:b/>
          <w:sz w:val="32"/>
          <w:szCs w:val="32"/>
        </w:rPr>
        <w:t>（</w:t>
      </w:r>
      <w:r>
        <w:rPr>
          <w:rFonts w:hint="eastAsia" w:ascii="仿宋" w:hAnsi="仿宋" w:eastAsia="仿宋"/>
          <w:b/>
          <w:sz w:val="32"/>
          <w:szCs w:val="32"/>
          <w:lang w:val="en-US" w:eastAsia="zh-CN"/>
        </w:rPr>
        <w:t>一</w:t>
      </w:r>
      <w:r>
        <w:rPr>
          <w:rFonts w:hint="eastAsia" w:ascii="仿宋" w:hAnsi="仿宋" w:eastAsia="仿宋"/>
          <w:b/>
          <w:sz w:val="32"/>
          <w:szCs w:val="32"/>
        </w:rPr>
        <w:t>）政府采购支出情况</w:t>
      </w:r>
      <w:bookmarkEnd w:id="48"/>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乐至县劳动镇人民政府</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4"/>
      <w:r>
        <w:rPr>
          <w:rFonts w:hint="eastAsia" w:ascii="仿宋" w:hAnsi="仿宋" w:eastAsia="仿宋"/>
          <w:b/>
          <w:sz w:val="32"/>
          <w:szCs w:val="32"/>
        </w:rPr>
        <w:t>（</w:t>
      </w:r>
      <w:r>
        <w:rPr>
          <w:rFonts w:hint="eastAsia" w:ascii="仿宋" w:hAnsi="仿宋" w:eastAsia="仿宋"/>
          <w:b/>
          <w:sz w:val="32"/>
          <w:szCs w:val="32"/>
          <w:lang w:val="en-US" w:eastAsia="zh-CN"/>
        </w:rPr>
        <w:t>二</w:t>
      </w:r>
      <w:r>
        <w:rPr>
          <w:rFonts w:hint="eastAsia" w:ascii="仿宋" w:hAnsi="仿宋" w:eastAsia="仿宋"/>
          <w:b/>
          <w:sz w:val="32"/>
          <w:szCs w:val="32"/>
        </w:rPr>
        <w:t>）国有资产占有使用情况</w:t>
      </w:r>
      <w:bookmarkEnd w:id="49"/>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乐至县劳动镇人民政府</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三</w:t>
      </w:r>
      <w:r>
        <w:rPr>
          <w:rFonts w:hint="eastAsia" w:ascii="仿宋" w:hAnsi="仿宋" w:eastAsia="仿宋"/>
          <w:b/>
          <w:sz w:val="32"/>
          <w:szCs w:val="32"/>
        </w:rPr>
        <w:t>）预算绩效管理情况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w:t>
      </w:r>
      <w:r>
        <w:rPr>
          <w:rFonts w:hint="eastAsia" w:ascii="仿宋_GB2312" w:hAnsi="仿宋_GB2312" w:eastAsia="仿宋_GB2312" w:cs="仿宋_GB2312"/>
          <w:b w:val="0"/>
          <w:bCs w:val="0"/>
          <w:sz w:val="32"/>
          <w:szCs w:val="32"/>
        </w:rPr>
        <w:t>织对</w:t>
      </w:r>
      <w:r>
        <w:rPr>
          <w:rFonts w:hint="eastAsia" w:eastAsia="方正楷体简体"/>
          <w:b w:val="0"/>
          <w:bCs w:val="0"/>
          <w:sz w:val="32"/>
          <w:szCs w:val="32"/>
          <w:lang w:eastAsia="zh-CN"/>
        </w:rPr>
        <w:t>川能投服务费</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目（项目名称）等</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w:t>
      </w:r>
    </w:p>
    <w:p>
      <w:pPr>
        <w:autoSpaceDE w:val="0"/>
        <w:autoSpaceDN w:val="0"/>
        <w:adjustRightInd w:val="0"/>
        <w:spacing w:line="600" w:lineRule="exact"/>
        <w:ind w:firstLine="640" w:firstLineChars="200"/>
        <w:jc w:val="left"/>
        <w:rPr>
          <w:rFonts w:eastAsia="仿宋_GB2312"/>
          <w:iCs/>
          <w:sz w:val="32"/>
          <w:szCs w:val="32"/>
          <w:highlight w:val="yellow"/>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val="en-US" w:eastAsia="zh-CN"/>
        </w:rPr>
        <w:t>乐至县劳动镇人民政府</w:t>
      </w:r>
      <w:r>
        <w:rPr>
          <w:rFonts w:hint="eastAsia" w:ascii="仿宋_GB2312" w:hAnsi="仿宋_GB2312" w:eastAsia="仿宋_GB2312" w:cs="仿宋_GB2312"/>
          <w:sz w:val="32"/>
          <w:szCs w:val="32"/>
        </w:rPr>
        <w:t>部门整体（含部门预算项目）绩效自评报告、</w:t>
      </w:r>
      <w:r>
        <w:rPr>
          <w:rFonts w:hint="eastAsia" w:eastAsia="方正楷体简体"/>
          <w:b w:val="0"/>
          <w:bCs w:val="0"/>
          <w:sz w:val="32"/>
          <w:szCs w:val="32"/>
          <w:lang w:eastAsia="zh-CN"/>
        </w:rPr>
        <w:t>川能投服务费</w:t>
      </w:r>
      <w:r>
        <w:rPr>
          <w:rFonts w:hint="eastAsia" w:ascii="仿宋_GB2312" w:hAnsi="仿宋_GB2312" w:eastAsia="仿宋_GB2312" w:cs="仿宋_GB2312"/>
          <w:sz w:val="32"/>
          <w:szCs w:val="32"/>
        </w:rPr>
        <w:t>等专项预算项目绩效自评报告，其中，</w:t>
      </w:r>
      <w:r>
        <w:rPr>
          <w:rFonts w:hint="eastAsia" w:ascii="仿宋_GB2312" w:hAnsi="仿宋_GB2312" w:eastAsia="仿宋_GB2312" w:cs="仿宋_GB2312"/>
          <w:sz w:val="32"/>
          <w:szCs w:val="32"/>
          <w:lang w:val="en-US" w:eastAsia="zh-CN"/>
        </w:rPr>
        <w:t>乐至县劳动镇人民政府</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分。绩效自评报告详见附件。</w:t>
      </w:r>
      <w:bookmarkStart w:id="50" w:name="_Hlk113349417"/>
    </w:p>
    <w:bookmarkEnd w:id="50"/>
    <w:p>
      <w:pPr>
        <w:widowControl/>
        <w:ind w:firstLine="643" w:firstLineChars="200"/>
        <w:jc w:val="left"/>
        <w:rPr>
          <w:rFonts w:ascii="仿宋_GB2312" w:eastAsia="仿宋_GB2312"/>
          <w:b/>
          <w:sz w:val="32"/>
          <w:szCs w:val="32"/>
        </w:rPr>
      </w:pPr>
      <w:r>
        <w:rPr>
          <w:rFonts w:ascii="仿宋_GB2312" w:eastAsia="仿宋_GB2312"/>
          <w:b/>
          <w:sz w:val="32"/>
          <w:szCs w:val="32"/>
        </w:rPr>
        <w:br w:type="page"/>
      </w:r>
    </w:p>
    <w:p>
      <w:pPr>
        <w:pStyle w:val="8"/>
        <w:spacing w:before="93"/>
      </w:pPr>
    </w:p>
    <w:p>
      <w:pPr>
        <w:numPr>
          <w:ilvl w:val="0"/>
          <w:numId w:val="4"/>
        </w:numPr>
        <w:spacing w:line="600" w:lineRule="exact"/>
        <w:ind w:firstLine="660" w:firstLineChars="150"/>
        <w:jc w:val="center"/>
        <w:outlineLvl w:val="0"/>
        <w:rPr>
          <w:rStyle w:val="32"/>
          <w:rFonts w:ascii="黑体" w:hAnsi="黑体" w:eastAsia="黑体"/>
          <w:b w:val="0"/>
        </w:rPr>
      </w:pPr>
      <w:bookmarkStart w:id="51" w:name="_Toc15377225"/>
      <w:bookmarkStart w:id="52" w:name="_Toc15396613"/>
      <w:r>
        <w:rPr>
          <w:rFonts w:hint="eastAsia" w:ascii="黑体" w:hAnsi="黑体" w:eastAsia="黑体"/>
          <w:sz w:val="44"/>
          <w:szCs w:val="44"/>
        </w:rPr>
        <w:t>名</w:t>
      </w:r>
      <w:r>
        <w:rPr>
          <w:rStyle w:val="32"/>
          <w:rFonts w:hint="eastAsia" w:ascii="黑体" w:hAnsi="黑体" w:eastAsia="黑体"/>
          <w:b w:val="0"/>
        </w:rPr>
        <w:t>词解释</w:t>
      </w:r>
      <w:bookmarkEnd w:id="51"/>
      <w:bookmarkEnd w:id="52"/>
    </w:p>
    <w:p>
      <w:pPr>
        <w:spacing w:line="600" w:lineRule="exact"/>
        <w:jc w:val="left"/>
        <w:rPr>
          <w:rFonts w:ascii="宋体"/>
          <w:b/>
          <w:sz w:val="44"/>
          <w:szCs w:val="44"/>
        </w:rPr>
      </w:pPr>
    </w:p>
    <w:p>
      <w:pPr>
        <w:widowControl/>
        <w:shd w:val="clear" w:color="auto" w:fill="FFFFFF"/>
        <w:spacing w:line="520" w:lineRule="atLeast"/>
        <w:ind w:firstLine="640"/>
        <w:rPr>
          <w:rFonts w:ascii="仿宋_GB2312" w:hAnsi="微软雅黑" w:eastAsia="仿宋_GB2312" w:cs="宋体"/>
          <w:color w:val="333333"/>
          <w:kern w:val="0"/>
          <w:sz w:val="32"/>
          <w:szCs w:val="32"/>
        </w:rPr>
      </w:pPr>
      <w:bookmarkStart w:id="53" w:name="_Toc15377226"/>
      <w:r>
        <w:rPr>
          <w:rFonts w:hint="eastAsia" w:ascii="仿宋_GB2312" w:hAnsi="微软雅黑" w:eastAsia="仿宋_GB2312" w:cs="宋体"/>
          <w:color w:val="000000"/>
          <w:kern w:val="0"/>
          <w:sz w:val="32"/>
          <w:szCs w:val="32"/>
        </w:rPr>
        <w:t>1.财政拨款收入：指单位从同级财政部门取得的财政预算资金。</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2.事业收入：指事业单位开展专业业务活动及辅助活动取得的收入。</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3.经营收入：指事业单位在专业业务活动及其辅助活动之外开展非独立核算经营活动取得的收入。</w:t>
      </w:r>
    </w:p>
    <w:p>
      <w:pPr>
        <w:widowControl/>
        <w:shd w:val="clear" w:color="auto" w:fill="FFFFFF"/>
        <w:spacing w:line="52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4.其他收入：</w:t>
      </w:r>
      <w:r>
        <w:rPr>
          <w:rFonts w:hint="eastAsia" w:ascii="仿宋_GB2312" w:hAnsi="微软雅黑" w:eastAsia="仿宋_GB2312" w:cs="宋体"/>
          <w:color w:val="000000"/>
          <w:kern w:val="0"/>
          <w:sz w:val="32"/>
          <w:szCs w:val="32"/>
        </w:rPr>
        <w:t>指除上述“财政拨款收入”、“事业收入”、“经营收入”等以外的收入。主要是银行存款利息收入等。</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6.年初结转和结余：指以前年度尚未完成、结转到本年按有关规定继续使用的资金。</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7.结余分配：指事业单位按照事业单位会计制度的规定从非财政补助结余中分配的事业基金和职工福利基金等。</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8、年末结转和结余：指单位按有关规定结转到下年或以后年度继续使用的资金。</w:t>
      </w:r>
    </w:p>
    <w:p>
      <w:pPr>
        <w:widowControl/>
        <w:shd w:val="clear" w:color="auto" w:fill="FFFFFF"/>
        <w:spacing w:line="52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9.</w:t>
      </w:r>
      <w:r>
        <w:rPr>
          <w:rFonts w:hint="eastAsia" w:ascii="仿宋_GB2312" w:hAnsi="微软雅黑" w:eastAsia="仿宋_GB2312" w:cs="宋体"/>
          <w:b/>
          <w:bCs/>
          <w:color w:val="000000"/>
          <w:kern w:val="0"/>
          <w:sz w:val="32"/>
          <w:szCs w:val="32"/>
        </w:rPr>
        <w:t>一般公共服务</w:t>
      </w:r>
      <w:r>
        <w:rPr>
          <w:rFonts w:hint="eastAsia" w:ascii="仿宋_GB2312" w:hAnsi="微软雅黑" w:eastAsia="仿宋_GB2312" w:cs="宋体"/>
          <w:b/>
          <w:bCs/>
          <w:color w:val="333333"/>
          <w:kern w:val="0"/>
          <w:sz w:val="32"/>
          <w:szCs w:val="32"/>
        </w:rPr>
        <w:t>支出（类）人大事务（款）行</w:t>
      </w:r>
      <w:r>
        <w:rPr>
          <w:rFonts w:hint="eastAsia" w:ascii="仿宋_GB2312" w:hAnsi="微软雅黑" w:eastAsia="仿宋_GB2312" w:cs="宋体"/>
          <w:b/>
          <w:bCs/>
          <w:color w:val="000000"/>
          <w:kern w:val="0"/>
          <w:sz w:val="32"/>
          <w:szCs w:val="32"/>
        </w:rPr>
        <w:t>政运行（项）:</w:t>
      </w:r>
      <w:r>
        <w:rPr>
          <w:rFonts w:hint="eastAsia" w:ascii="仿宋_GB2312" w:hAnsi="微软雅黑" w:eastAsia="仿宋_GB2312" w:cs="宋体"/>
          <w:color w:val="333333"/>
          <w:kern w:val="0"/>
          <w:sz w:val="32"/>
          <w:szCs w:val="32"/>
        </w:rPr>
        <w:t> </w:t>
      </w:r>
      <w:r>
        <w:rPr>
          <w:rFonts w:hint="eastAsia" w:ascii="仿宋_GB2312" w:hAnsi="微软雅黑" w:eastAsia="仿宋_GB2312" w:cs="宋体"/>
          <w:color w:val="000000"/>
          <w:kern w:val="0"/>
          <w:sz w:val="32"/>
          <w:szCs w:val="32"/>
        </w:rPr>
        <w:t>指用于保障人大正常运转，用于行政运行方面的经费支出。</w:t>
      </w:r>
    </w:p>
    <w:p>
      <w:pPr>
        <w:widowControl/>
        <w:shd w:val="clear" w:color="auto" w:fill="FFFFFF"/>
        <w:spacing w:line="520" w:lineRule="atLeast"/>
        <w:ind w:firstLine="643"/>
        <w:rPr>
          <w:rFonts w:ascii="仿宋_GB2312" w:hAnsi="微软雅黑" w:eastAsia="仿宋_GB2312" w:cs="宋体"/>
          <w:color w:val="333333"/>
          <w:kern w:val="0"/>
          <w:sz w:val="32"/>
          <w:szCs w:val="32"/>
        </w:rPr>
      </w:pPr>
      <w:r>
        <w:rPr>
          <w:rFonts w:hint="eastAsia" w:ascii="仿宋_GB2312" w:hAnsi="微软雅黑" w:eastAsia="仿宋_GB2312" w:cs="宋体"/>
          <w:b/>
          <w:bCs/>
          <w:color w:val="000000"/>
          <w:kern w:val="0"/>
          <w:sz w:val="32"/>
          <w:szCs w:val="32"/>
        </w:rPr>
        <w:t>10.一般公共服务支出（类）</w:t>
      </w:r>
      <w:r>
        <w:rPr>
          <w:rFonts w:hint="eastAsia" w:ascii="仿宋_GB2312" w:hAnsi="微软雅黑" w:eastAsia="仿宋_GB2312" w:cs="宋体"/>
          <w:color w:val="000000"/>
          <w:kern w:val="0"/>
          <w:sz w:val="32"/>
          <w:szCs w:val="32"/>
        </w:rPr>
        <w:t>政府办公厅（室）及相关机构事务</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行政运行</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：指用于保障政府正常运转，用于行政运行方面的经费支出。</w:t>
      </w:r>
    </w:p>
    <w:p>
      <w:pPr>
        <w:widowControl/>
        <w:shd w:val="clear" w:color="auto" w:fill="FFFFFF"/>
        <w:spacing w:line="520" w:lineRule="atLeast"/>
        <w:ind w:firstLine="643"/>
        <w:rPr>
          <w:rFonts w:ascii="仿宋_GB2312" w:hAnsi="微软雅黑" w:eastAsia="仿宋_GB2312" w:cs="宋体"/>
          <w:color w:val="333333"/>
          <w:kern w:val="0"/>
          <w:sz w:val="32"/>
          <w:szCs w:val="32"/>
        </w:rPr>
      </w:pPr>
      <w:r>
        <w:rPr>
          <w:rFonts w:hint="eastAsia" w:ascii="仿宋_GB2312" w:hAnsi="微软雅黑" w:eastAsia="仿宋_GB2312" w:cs="宋体"/>
          <w:b/>
          <w:bCs/>
          <w:color w:val="000000"/>
          <w:kern w:val="0"/>
          <w:sz w:val="32"/>
          <w:szCs w:val="32"/>
        </w:rPr>
        <w:t>11.一般公共服务支出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政府办公厅（室）及相关机构事务</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其他政府办公厅（室）及相关机构事务支出</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：指用于保障政府正常运转，用于政府其他方面的经费支出。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12.一般公共服务支出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财政事务</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b/>
          <w:bCs/>
          <w:color w:val="000000"/>
          <w:kern w:val="0"/>
          <w:sz w:val="32"/>
          <w:szCs w:val="32"/>
        </w:rPr>
        <w:t>行政运行（项）：</w:t>
      </w:r>
      <w:r>
        <w:rPr>
          <w:rFonts w:hint="eastAsia" w:ascii="仿宋_GB2312" w:hAnsi="微软雅黑" w:eastAsia="仿宋_GB2312" w:cs="宋体"/>
          <w:color w:val="000000"/>
          <w:kern w:val="0"/>
          <w:sz w:val="32"/>
          <w:szCs w:val="32"/>
        </w:rPr>
        <w:t>指用于保障财政正常运转，用于行政运行方面的经费支出。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13.一般公共服务支出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纪检监察事务</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b/>
          <w:bCs/>
          <w:color w:val="000000"/>
          <w:kern w:val="0"/>
          <w:sz w:val="32"/>
          <w:szCs w:val="32"/>
        </w:rPr>
        <w:t>行政运行（项）：</w:t>
      </w:r>
      <w:r>
        <w:rPr>
          <w:rFonts w:hint="eastAsia" w:ascii="仿宋_GB2312" w:hAnsi="微软雅黑" w:eastAsia="仿宋_GB2312" w:cs="宋体"/>
          <w:color w:val="000000"/>
          <w:kern w:val="0"/>
          <w:sz w:val="32"/>
          <w:szCs w:val="32"/>
        </w:rPr>
        <w:t>指用于保障纪委正常运转，用于行政运行方面的经费支出。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14.一般公共服务支出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群众团体事务</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b/>
          <w:bCs/>
          <w:color w:val="000000"/>
          <w:kern w:val="0"/>
          <w:sz w:val="32"/>
          <w:szCs w:val="32"/>
        </w:rPr>
        <w:t>行政运行（项）：</w:t>
      </w:r>
      <w:r>
        <w:rPr>
          <w:rFonts w:hint="eastAsia" w:ascii="仿宋_GB2312" w:hAnsi="微软雅黑" w:eastAsia="仿宋_GB2312" w:cs="宋体"/>
          <w:color w:val="000000"/>
          <w:kern w:val="0"/>
          <w:sz w:val="32"/>
          <w:szCs w:val="32"/>
        </w:rPr>
        <w:t>指用于保障群团正常运转，用于行政运行方面的经费支出。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15.一般公共服务支出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党委办公厅（室）及相关机构事务</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b/>
          <w:bCs/>
          <w:color w:val="000000"/>
          <w:kern w:val="0"/>
          <w:sz w:val="32"/>
          <w:szCs w:val="32"/>
        </w:rPr>
        <w:t>行政运行（项）：</w:t>
      </w:r>
      <w:r>
        <w:rPr>
          <w:rFonts w:hint="eastAsia" w:ascii="仿宋_GB2312" w:hAnsi="微软雅黑" w:eastAsia="仿宋_GB2312" w:cs="宋体"/>
          <w:color w:val="000000"/>
          <w:kern w:val="0"/>
          <w:sz w:val="32"/>
          <w:szCs w:val="32"/>
        </w:rPr>
        <w:t>指用于保障党委正常运转，用于行政运行方面的经费支出。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16.文化体育与传媒支出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文化</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群众文化</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：指用于保障社会事业正常运转，用于文化馆站、群众艺术馆等方面的经费支出。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17.文化体育与传媒支出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其他文化体育与传媒支出</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其他文化体育与传媒支出</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：指用于保障社会事业正常运转，用于文化体育与传媒其他等方面的经费支出。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18.社会保障和就业支出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民政管理事务</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行政运行</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：指用于保障民政正常运转，用于行政运行方面的经费支出。</w:t>
      </w:r>
    </w:p>
    <w:p>
      <w:pPr>
        <w:widowControl/>
        <w:shd w:val="clear" w:color="auto" w:fill="FFFFFF"/>
        <w:spacing w:line="52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19.社会保障和就业支出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行政事业单位离退休</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机关事业单位基本养老保险缴费支出★</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：指用于机关事业单位基本养老保险缴费支出。</w:t>
      </w:r>
    </w:p>
    <w:p>
      <w:pPr>
        <w:widowControl/>
        <w:shd w:val="clear" w:color="auto" w:fill="FFFFFF"/>
        <w:spacing w:line="52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20.社会保障和就业支出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行政事业单位离退休</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机关事业单位职业年金缴费支出★</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：指用于机关事业单位职业年金缴费支出。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21.社会保障和就业支出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就业补助</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其他就业补助支出★</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：指用于就业方面的补助支出。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22.社会保障和就业支出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抚恤</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伤残抚恤</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：指用于伤残人员的抚恤金和按规定开支的各种伤残补助费。</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23.社会保障和就业支出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抚恤</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在乡复员、退伍军人生活补助</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：指用于退伍红军老战士（含西路军红军老战士、红军失散人员）、1954年10月31日前入伍的在乡复员军人、按规定办理带病回乡手续的退伍军人生活补助。</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24.社会保障和就业支出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抚恤</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义务兵优待</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：指用于义务兵优待方面的支出。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25.社会保障和就业支出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抚恤</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其他优抚支出</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：指用于其他优抚方面的支出。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26.社会保障和就业支出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退役安置</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退役士兵安置</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：指用于伤残义务兵的一次性建房补助，对符合条件的退役士兵、转业士官的安置支出。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27.社会保障和就业支出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社会福利</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儿童福利</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：指用于对儿童提供福利服务方面的支出。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28.社会保障和就业支出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社会福利</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老年福利</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：指用于对老年人提供福利服务方面的支出。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29.社会保障和就业支出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残疾人事业</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残疾人就业和扶贫</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：指用于残疾人就业和扶贫等方面的支出。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30.社会保障和就业支出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残疾人事业</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残疾人生活和护理补贴★</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：指用于困难残疾人生活补贴和重度残疾人护理补贴支出。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31.社会保障和就业支出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自然灾害生活救助</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中央自然灾害生活补助</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：指用于遭受特大自然灾害地区的地方政府在安排受灾群众吃、穿、住和抢救、转移、安置、治病等经费发生困难时给予的专项补助，以及为抗御特大自然灾害而设立的中央级救灾物资储备资金。</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32.社会保障和就业支出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最低生活保障</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城市最低生活保障金支出</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：指用于城市最低生活保障对象的最低生活保障金支出。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33.社会保障和就业支出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最低生活保障</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农村最低生活保障金支出</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：指用于城农村最低生活保障对象的最低生活保障金支出。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34.社会保障和就业支出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临时救助</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临时救助支出</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：指用于城乡生活困难居民的临时救助支出。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35.社会保障和就业支出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特困人员救助供养★</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农村特困人员救助供养支出★</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：指用于农村特困人员救助供养支出。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36.社会保障和就业支出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财政对基本养老保险基金的补助★</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财政对城乡居民基本养老保险基金的补助★</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：指用于财政对城乡居民基本养老保险基金的补助支出。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37.社会保障和就业支出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其他社会保障和就业支出</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其他社会保障和就业支出</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：指其他用于社会保障和就业方面的支出。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38.医疗卫生与计划生育支出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医疗卫生与计划生育管理事务</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行政运行</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：指用于保障卫计正常运转，用于行政运行方面的经费支出。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39.医疗卫生与计划生育支出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公共卫生</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重大公共卫生专项</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：指用于重大疾病预防控制等重大公共卫生服务项目支出。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40.医疗卫生与计划生育支出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计划生育事务</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其他计划生育事务支出</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：指用于其他计划生育事务的支出。</w:t>
      </w:r>
    </w:p>
    <w:p>
      <w:pPr>
        <w:widowControl/>
        <w:shd w:val="clear" w:color="auto" w:fill="FFFFFF"/>
        <w:spacing w:line="52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41.医疗卫生与计划生育支出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行政事业单位医疗★</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行政单位医疗★</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：指用于按政策规定为行政单位职工缴纳医疗保险金等支出。</w:t>
      </w:r>
    </w:p>
    <w:p>
      <w:pPr>
        <w:widowControl/>
        <w:shd w:val="clear" w:color="auto" w:fill="FFFFFF"/>
        <w:spacing w:line="52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42.医疗卫生与计划生育支出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行政事业单位医疗★</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事业单位医疗★</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：指用于按政策规定为事业单位职工缴纳医疗保险金等支出。</w:t>
      </w:r>
    </w:p>
    <w:p>
      <w:pPr>
        <w:widowControl/>
        <w:shd w:val="clear" w:color="auto" w:fill="FFFFFF"/>
        <w:spacing w:line="52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43.医疗卫生与计划生育支出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行政事业单位医疗★</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公务员医疗补助★</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：指用于按政策规定为职工缴纳公务员医疗补助等支出。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44.医疗卫生与计划生育支出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医疗救助★</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城乡医疗救助★</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：指用于城乡困难群众医疗救助的支出。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45.医疗卫生与计划生育支出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优抚对象医疗★优抚对象医疗补助★</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：指用于补助优抚对象的医疗经费。</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46.节能环保支出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污染防治</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其他污染防治支出</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：指用于其他污染防治方面的支出。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47.城乡社区支出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城乡社区环境卫生</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城乡社区环境卫生</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：指用于城乡社区道路清扫、垃圾清运与处理、公厕建设与维护、园林绿化等方面的支出。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48.农林水支出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农业</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事业运行</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：指用于保障农业服务中心正常运转，用于事业运行方面的经费支出。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49.农林水支出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农业</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对高校毕业生到基层任职补助</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：指用于对高校毕业生到基层任职的补助支出。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50.农林水支出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农业</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其他农业支出</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：指用于其他农业方面的支出。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51.农林水支出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林业</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森林生态效益补偿</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：指用于公益林保护和管理等方面的支出。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52.农林水支出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扶贫</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其他扶贫支出</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：指用于公益林保护和管理等方面的支出。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53.农林水支出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农村综合改革</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对村级一事一议的补助</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：指用于对村级一事一议的补助的支出。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54.农林水支出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农村综合改革</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对村民委员会和村党支部的补助</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：指用于对村民委员会和村党支部的补助的支出。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55.农林水支出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农村综合改革</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对村集体经济组织的补助</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：指用于对村集体经济组织的补助的支出。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56.农林水支出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其他农林水支出</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其他农林水支出</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：指用于对其他农林水方面的支出。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57.交通运输支出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公路水路运输</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公路建设★</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：指用于新建公路，公路改建支出，特大型桥梁建设支出，公路客货运站建设的支出。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58.交通运输支出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车辆购置税支出</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车辆购置税用于公路等基础设施建设支出</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：指车辆购置税用于公路等基础设施建设支出。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59.资源勘探信息等支出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安全生产监管</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行政运行</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：指用于保障安全生产监管正常运转，用于行政运行等方面的经费支出。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60.国土海洋气象等支出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国土资源事务</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地质灾害防治</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：指用地质灾害项目支出。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61.住房保障支出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保障性安居工程支出</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农村危房改造</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：指用于农村危房改造方面的支出。</w:t>
      </w:r>
    </w:p>
    <w:p>
      <w:pPr>
        <w:widowControl/>
        <w:shd w:val="clear" w:color="auto" w:fill="FFFFFF"/>
        <w:spacing w:line="52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62.住房保障支出</w:t>
      </w:r>
      <w:r>
        <w:rPr>
          <w:rFonts w:hint="eastAsia" w:ascii="仿宋_GB2312" w:hAnsi="微软雅黑" w:eastAsia="仿宋_GB2312" w:cs="宋体"/>
          <w:b/>
          <w:bCs/>
          <w:color w:val="333333"/>
          <w:kern w:val="0"/>
          <w:sz w:val="32"/>
          <w:szCs w:val="32"/>
        </w:rPr>
        <w:t>（类）</w:t>
      </w:r>
      <w:r>
        <w:rPr>
          <w:rFonts w:hint="eastAsia" w:ascii="仿宋_GB2312" w:hAnsi="微软雅黑" w:eastAsia="仿宋_GB2312" w:cs="宋体"/>
          <w:color w:val="000000"/>
          <w:kern w:val="0"/>
          <w:sz w:val="32"/>
          <w:szCs w:val="32"/>
        </w:rPr>
        <w:t>住房改革支出</w:t>
      </w:r>
      <w:r>
        <w:rPr>
          <w:rFonts w:hint="eastAsia" w:ascii="仿宋_GB2312" w:hAnsi="微软雅黑" w:eastAsia="仿宋_GB2312" w:cs="宋体"/>
          <w:b/>
          <w:bCs/>
          <w:color w:val="333333"/>
          <w:kern w:val="0"/>
          <w:sz w:val="32"/>
          <w:szCs w:val="32"/>
        </w:rPr>
        <w:t>（款）</w:t>
      </w:r>
      <w:r>
        <w:rPr>
          <w:rFonts w:hint="eastAsia" w:ascii="仿宋_GB2312" w:hAnsi="微软雅黑" w:eastAsia="仿宋_GB2312" w:cs="宋体"/>
          <w:color w:val="000000"/>
          <w:kern w:val="0"/>
          <w:sz w:val="32"/>
          <w:szCs w:val="32"/>
        </w:rPr>
        <w:t>住房公积金</w:t>
      </w:r>
      <w:r>
        <w:rPr>
          <w:rFonts w:hint="eastAsia" w:ascii="仿宋_GB2312" w:hAnsi="微软雅黑" w:eastAsia="仿宋_GB2312" w:cs="宋体"/>
          <w:b/>
          <w:bCs/>
          <w:color w:val="000000"/>
          <w:kern w:val="0"/>
          <w:sz w:val="32"/>
          <w:szCs w:val="32"/>
        </w:rPr>
        <w:t>（项）</w:t>
      </w:r>
      <w:r>
        <w:rPr>
          <w:rFonts w:hint="eastAsia" w:ascii="仿宋_GB2312" w:hAnsi="微软雅黑" w:eastAsia="仿宋_GB2312" w:cs="宋体"/>
          <w:color w:val="000000"/>
          <w:kern w:val="0"/>
          <w:sz w:val="32"/>
          <w:szCs w:val="32"/>
        </w:rPr>
        <w:t>：指按政策规定为职工缴纳的住房公积金支出。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63.基本支出：指为保障机构正常运转、完成日常工作任务而发生的人员支出和公用支出。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64.项目支出：指在基本支出之外为完成特定行政任务和事业发展目标所发生的支出。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65.经营支出：指事业单位在专业业务活动及其辅助活动之外开展非独立核算经营活动发生的支出。</w:t>
      </w:r>
    </w:p>
    <w:p>
      <w:pPr>
        <w:widowControl/>
        <w:shd w:val="clear" w:color="auto" w:fill="FFFFFF"/>
        <w:spacing w:line="52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000000"/>
          <w:kern w:val="0"/>
          <w:sz w:val="32"/>
          <w:szCs w:val="32"/>
        </w:rPr>
        <w:t>66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rPr>
          <w:rFonts w:ascii="方正小标宋简体" w:hAnsi="仿宋" w:eastAsia="方正小标宋简体"/>
          <w:sz w:val="44"/>
          <w:szCs w:val="44"/>
        </w:rPr>
      </w:pPr>
      <w:r>
        <w:rPr>
          <w:rFonts w:hint="eastAsia" w:ascii="仿宋_GB2312" w:hAnsi="微软雅黑" w:eastAsia="仿宋_GB2312" w:cs="宋体"/>
          <w:color w:val="000000"/>
          <w:kern w:val="0"/>
          <w:sz w:val="32"/>
          <w:szCs w:val="32"/>
        </w:rPr>
        <w:t>67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both"/>
        <w:outlineLvl w:val="0"/>
        <w:rPr>
          <w:rStyle w:val="32"/>
          <w:rFonts w:ascii="黑体" w:hAnsi="黑体" w:eastAsia="黑体"/>
          <w:b w:val="0"/>
        </w:rPr>
      </w:pPr>
      <w:r>
        <w:rPr>
          <w:rFonts w:ascii="宋体"/>
          <w:b/>
          <w:sz w:val="44"/>
          <w:szCs w:val="44"/>
        </w:rPr>
        <w:br w:type="page"/>
      </w:r>
      <w:bookmarkStart w:id="54" w:name="_Toc15396614"/>
      <w:r>
        <w:rPr>
          <w:rFonts w:hint="eastAsia" w:ascii="宋体"/>
          <w:b/>
          <w:sz w:val="44"/>
          <w:szCs w:val="44"/>
          <w:lang w:val="en-US" w:eastAsia="zh-CN"/>
        </w:rPr>
        <w:t xml:space="preserve">              </w:t>
      </w:r>
      <w:r>
        <w:rPr>
          <w:rFonts w:hint="eastAsia" w:ascii="黑体" w:hAnsi="黑体" w:eastAsia="黑体"/>
          <w:sz w:val="44"/>
          <w:szCs w:val="44"/>
        </w:rPr>
        <w:t>第</w:t>
      </w:r>
      <w:r>
        <w:rPr>
          <w:rStyle w:val="32"/>
          <w:rFonts w:hint="eastAsia" w:ascii="黑体" w:hAnsi="黑体" w:eastAsia="黑体"/>
          <w:b w:val="0"/>
        </w:rPr>
        <w:t>四部分 附件</w:t>
      </w:r>
      <w:bookmarkEnd w:id="54"/>
    </w:p>
    <w:p>
      <w:pPr>
        <w:spacing w:line="572" w:lineRule="exact"/>
        <w:jc w:val="left"/>
        <w:outlineLvl w:val="0"/>
        <w:rPr>
          <w:rFonts w:ascii="黑体" w:hAnsi="黑体" w:eastAsia="黑体" w:cs="黑体"/>
          <w:sz w:val="32"/>
          <w:szCs w:val="32"/>
        </w:rPr>
      </w:pPr>
      <w:r>
        <w:rPr>
          <w:rFonts w:hint="eastAsia" w:ascii="黑体" w:hAnsi="黑体" w:eastAsia="黑体" w:cs="黑体"/>
          <w:sz w:val="32"/>
          <w:szCs w:val="32"/>
        </w:rPr>
        <w:t>附件</w:t>
      </w:r>
    </w:p>
    <w:p>
      <w:pPr>
        <w:spacing w:line="58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2年度乐至县部门整体支出绩效</w:t>
      </w:r>
    </w:p>
    <w:p>
      <w:pPr>
        <w:spacing w:line="580" w:lineRule="exact"/>
        <w:jc w:val="center"/>
        <w:rPr>
          <w:rFonts w:eastAsia="方正小标宋简体"/>
          <w:sz w:val="44"/>
          <w:szCs w:val="44"/>
        </w:rPr>
      </w:pPr>
      <w:r>
        <w:rPr>
          <w:rFonts w:hint="eastAsia" w:eastAsia="方正小标宋简体"/>
          <w:sz w:val="44"/>
          <w:szCs w:val="44"/>
        </w:rPr>
        <w:t>自评报告</w:t>
      </w:r>
    </w:p>
    <w:p>
      <w:pPr>
        <w:spacing w:line="580" w:lineRule="exact"/>
        <w:ind w:firstLine="640" w:firstLineChars="200"/>
        <w:rPr>
          <w:rFonts w:eastAsia="方正仿宋简体"/>
          <w:sz w:val="32"/>
          <w:szCs w:val="32"/>
        </w:rPr>
      </w:pPr>
    </w:p>
    <w:p>
      <w:pPr>
        <w:spacing w:line="580" w:lineRule="exact"/>
        <w:jc w:val="center"/>
        <w:rPr>
          <w:rFonts w:eastAsia="方正黑体简体"/>
          <w:sz w:val="32"/>
          <w:szCs w:val="32"/>
        </w:rPr>
      </w:pPr>
      <w:r>
        <w:rPr>
          <w:rFonts w:hint="eastAsia" w:eastAsia="方正黑体简体"/>
          <w:sz w:val="32"/>
          <w:szCs w:val="32"/>
        </w:rPr>
        <w:t>前</w:t>
      </w:r>
      <w:r>
        <w:rPr>
          <w:rFonts w:eastAsia="方正黑体简体"/>
          <w:sz w:val="32"/>
          <w:szCs w:val="32"/>
        </w:rPr>
        <w:t xml:space="preserve">    </w:t>
      </w:r>
      <w:r>
        <w:rPr>
          <w:rFonts w:hint="eastAsia" w:eastAsia="方正黑体简体"/>
          <w:sz w:val="32"/>
          <w:szCs w:val="32"/>
        </w:rPr>
        <w:t>言</w:t>
      </w:r>
    </w:p>
    <w:p>
      <w:pPr>
        <w:spacing w:line="580" w:lineRule="exact"/>
        <w:ind w:firstLine="640" w:firstLineChars="200"/>
        <w:rPr>
          <w:rFonts w:eastAsia="方正仿宋简体"/>
          <w:sz w:val="32"/>
          <w:szCs w:val="32"/>
        </w:rPr>
      </w:pPr>
    </w:p>
    <w:p>
      <w:pPr>
        <w:spacing w:line="580" w:lineRule="exact"/>
        <w:ind w:firstLine="640" w:firstLineChars="200"/>
        <w:rPr>
          <w:rFonts w:eastAsia="方正黑体简体"/>
          <w:sz w:val="32"/>
          <w:szCs w:val="32"/>
        </w:rPr>
      </w:pPr>
      <w:r>
        <w:rPr>
          <w:rFonts w:hint="eastAsia" w:eastAsia="方正黑体简体"/>
          <w:sz w:val="32"/>
          <w:szCs w:val="32"/>
        </w:rPr>
        <w:t>一、部门（单位）概况</w:t>
      </w:r>
    </w:p>
    <w:p>
      <w:pPr>
        <w:spacing w:line="580" w:lineRule="exact"/>
        <w:ind w:firstLine="643" w:firstLineChars="200"/>
        <w:rPr>
          <w:rFonts w:hint="eastAsia" w:eastAsia="方正楷体简体"/>
          <w:b/>
          <w:sz w:val="32"/>
          <w:szCs w:val="32"/>
        </w:rPr>
      </w:pPr>
      <w:r>
        <w:rPr>
          <w:rFonts w:hint="eastAsia" w:eastAsia="方正楷体简体"/>
          <w:b/>
          <w:sz w:val="32"/>
          <w:szCs w:val="32"/>
        </w:rPr>
        <w:t>（一）机构组成</w:t>
      </w:r>
    </w:p>
    <w:p>
      <w:pPr>
        <w:numPr>
          <w:ilvl w:val="0"/>
          <w:numId w:val="0"/>
        </w:numPr>
        <w:spacing w:line="580" w:lineRule="exact"/>
        <w:ind w:firstLine="640" w:firstLineChars="200"/>
        <w:rPr>
          <w:rFonts w:hint="eastAsia" w:ascii="仿宋_GB2312" w:hAnsi="仿宋" w:eastAsia="仿宋_GB2312"/>
          <w:sz w:val="32"/>
          <w:szCs w:val="32"/>
        </w:rPr>
      </w:pPr>
      <w:r>
        <w:rPr>
          <w:rFonts w:hint="default" w:ascii="仿宋_GB2312" w:hAnsi="仿宋" w:eastAsia="仿宋_GB2312"/>
          <w:sz w:val="32"/>
          <w:szCs w:val="32"/>
          <w:lang w:eastAsia="zh-CN"/>
        </w:rPr>
        <w:t>劳动</w:t>
      </w:r>
      <w:r>
        <w:rPr>
          <w:rFonts w:hint="eastAsia" w:ascii="仿宋_GB2312" w:hAnsi="仿宋" w:eastAsia="仿宋_GB2312"/>
          <w:sz w:val="32"/>
          <w:szCs w:val="32"/>
          <w:lang w:eastAsia="zh-CN"/>
        </w:rPr>
        <w:t>镇</w:t>
      </w:r>
      <w:r>
        <w:rPr>
          <w:rFonts w:hint="eastAsia" w:ascii="仿宋_GB2312" w:hAnsi="仿宋" w:eastAsia="仿宋_GB2312"/>
          <w:sz w:val="32"/>
          <w:szCs w:val="32"/>
        </w:rPr>
        <w:t>人民政府下设党政综合办公室、党建办公室、综合行政执法办公室、社会事务管理办公室、经济发展和乡村振兴办公室、</w:t>
      </w:r>
      <w:r>
        <w:rPr>
          <w:rFonts w:hint="eastAsia" w:ascii="仿宋_GB2312" w:hAnsi="仿宋" w:eastAsia="仿宋_GB2312"/>
          <w:sz w:val="32"/>
          <w:szCs w:val="32"/>
          <w:lang w:val="en-US" w:eastAsia="zh-CN"/>
        </w:rPr>
        <w:t>社会</w:t>
      </w:r>
      <w:r>
        <w:rPr>
          <w:rFonts w:hint="eastAsia" w:ascii="仿宋_GB2312" w:hAnsi="仿宋" w:eastAsia="仿宋_GB2312"/>
          <w:sz w:val="32"/>
          <w:szCs w:val="32"/>
        </w:rPr>
        <w:t>治理办公室、财政所、</w:t>
      </w:r>
      <w:r>
        <w:rPr>
          <w:rFonts w:hint="eastAsia" w:ascii="仿宋_GB2312" w:hAnsi="仿宋" w:eastAsia="仿宋_GB2312"/>
          <w:sz w:val="32"/>
          <w:szCs w:val="32"/>
          <w:lang w:val="en-US" w:eastAsia="zh-CN"/>
        </w:rPr>
        <w:t>应急管理和生态环境办公室、城乡建设管理管理办公室、</w:t>
      </w:r>
      <w:r>
        <w:rPr>
          <w:rFonts w:hint="eastAsia" w:ascii="仿宋_GB2312" w:hAnsi="仿宋" w:eastAsia="仿宋_GB2312"/>
          <w:sz w:val="32"/>
          <w:szCs w:val="32"/>
        </w:rPr>
        <w:t>便民服务中心、农业综合服务中心、村镇建设综合服务中心、农民工服务中心</w:t>
      </w:r>
      <w:r>
        <w:rPr>
          <w:rFonts w:hint="eastAsia" w:ascii="仿宋_GB2312" w:hAnsi="仿宋" w:eastAsia="仿宋_GB2312"/>
          <w:sz w:val="32"/>
          <w:szCs w:val="32"/>
          <w:lang w:eastAsia="zh-CN"/>
        </w:rPr>
        <w:t>、文化和旅游服务中心</w:t>
      </w:r>
      <w:r>
        <w:rPr>
          <w:rFonts w:hint="eastAsia" w:ascii="仿宋_GB2312" w:hAnsi="仿宋" w:eastAsia="仿宋_GB2312"/>
          <w:sz w:val="32"/>
          <w:szCs w:val="32"/>
        </w:rPr>
        <w:t>。</w:t>
      </w:r>
    </w:p>
    <w:p>
      <w:pPr>
        <w:pStyle w:val="15"/>
      </w:pPr>
    </w:p>
    <w:p>
      <w:pPr>
        <w:numPr>
          <w:ilvl w:val="0"/>
          <w:numId w:val="5"/>
        </w:numPr>
        <w:spacing w:line="580" w:lineRule="exact"/>
        <w:ind w:firstLine="643" w:firstLineChars="200"/>
        <w:rPr>
          <w:rFonts w:hint="eastAsia" w:eastAsia="方正楷体简体"/>
          <w:b/>
          <w:sz w:val="32"/>
          <w:szCs w:val="32"/>
        </w:rPr>
      </w:pPr>
      <w:r>
        <w:rPr>
          <w:rFonts w:hint="eastAsia" w:eastAsia="方正楷体简体"/>
          <w:b/>
          <w:sz w:val="32"/>
          <w:szCs w:val="32"/>
        </w:rPr>
        <w:t>机构职能</w:t>
      </w:r>
    </w:p>
    <w:p>
      <w:pPr>
        <w:numPr>
          <w:ilvl w:val="0"/>
          <w:numId w:val="0"/>
        </w:numPr>
        <w:spacing w:line="580" w:lineRule="exact"/>
        <w:ind w:firstLine="640" w:firstLineChars="200"/>
      </w:pPr>
      <w:r>
        <w:rPr>
          <w:rFonts w:hint="default" w:ascii="仿宋_GB2312" w:hAnsi="仿宋" w:eastAsia="仿宋_GB2312"/>
          <w:sz w:val="32"/>
          <w:szCs w:val="32"/>
          <w:lang w:eastAsia="zh-CN"/>
        </w:rPr>
        <w:t>劳动</w:t>
      </w:r>
      <w:r>
        <w:rPr>
          <w:rFonts w:hint="eastAsia" w:ascii="仿宋_GB2312" w:hAnsi="仿宋" w:eastAsia="仿宋_GB2312"/>
          <w:sz w:val="32"/>
          <w:szCs w:val="32"/>
          <w:lang w:eastAsia="zh-CN"/>
        </w:rPr>
        <w:t>镇人民政府主要职能为：贯彻落实党和政府各项路线方针政策；承担辖区内的经济、教育、科学、文化、卫生、体育事业和财政、民政、公安、司法行政、计划生育等行政工作；建立和健全农村社会化服务体系，为群众提供各项公共服务；促进经济发展、加强社会管理、维护社会稳定；加强基层组织管理，加强基层领导班子、干部队伍和党员队伍的建设；推动物质文明、政治文明、精神文明、生态文明及和谐社会建设等任务。</w:t>
      </w:r>
    </w:p>
    <w:p>
      <w:pPr>
        <w:numPr>
          <w:ilvl w:val="0"/>
          <w:numId w:val="5"/>
        </w:numPr>
        <w:spacing w:line="580" w:lineRule="exact"/>
        <w:ind w:left="0" w:leftChars="0" w:firstLine="643" w:firstLineChars="200"/>
        <w:rPr>
          <w:rFonts w:hint="eastAsia" w:eastAsia="方正楷体简体"/>
          <w:b/>
          <w:sz w:val="32"/>
          <w:szCs w:val="32"/>
        </w:rPr>
      </w:pPr>
      <w:r>
        <w:rPr>
          <w:rFonts w:hint="eastAsia" w:eastAsia="方正楷体简体"/>
          <w:b/>
          <w:sz w:val="32"/>
          <w:szCs w:val="32"/>
        </w:rPr>
        <w:t>人员概况</w:t>
      </w:r>
    </w:p>
    <w:p>
      <w:pPr>
        <w:numPr>
          <w:ilvl w:val="0"/>
          <w:numId w:val="0"/>
        </w:numPr>
        <w:spacing w:line="580" w:lineRule="exact"/>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本单位编制人数</w:t>
      </w:r>
      <w:r>
        <w:rPr>
          <w:rFonts w:hint="eastAsia" w:ascii="仿宋_GB2312" w:hAnsi="仿宋" w:eastAsia="仿宋_GB2312"/>
          <w:sz w:val="32"/>
          <w:szCs w:val="32"/>
          <w:highlight w:val="none"/>
          <w:lang w:val="en-US" w:eastAsia="zh-CN"/>
        </w:rPr>
        <w:t>66</w:t>
      </w:r>
      <w:r>
        <w:rPr>
          <w:rFonts w:hint="eastAsia" w:ascii="仿宋_GB2312" w:hAnsi="仿宋" w:eastAsia="仿宋_GB2312"/>
          <w:sz w:val="32"/>
          <w:szCs w:val="32"/>
          <w:highlight w:val="none"/>
          <w:lang w:eastAsia="zh-CN"/>
        </w:rPr>
        <w:t>人，其中：行政编制</w:t>
      </w:r>
      <w:r>
        <w:rPr>
          <w:rFonts w:hint="eastAsia" w:ascii="仿宋_GB2312" w:hAnsi="仿宋" w:eastAsia="仿宋_GB2312"/>
          <w:sz w:val="32"/>
          <w:szCs w:val="32"/>
          <w:highlight w:val="none"/>
          <w:lang w:val="en-US" w:eastAsia="zh-CN"/>
        </w:rPr>
        <w:t>42</w:t>
      </w:r>
      <w:r>
        <w:rPr>
          <w:rFonts w:hint="eastAsia" w:ascii="仿宋_GB2312" w:hAnsi="仿宋" w:eastAsia="仿宋_GB2312"/>
          <w:sz w:val="32"/>
          <w:szCs w:val="32"/>
          <w:highlight w:val="none"/>
          <w:lang w:eastAsia="zh-CN"/>
        </w:rPr>
        <w:t>人，事业编制</w:t>
      </w:r>
      <w:r>
        <w:rPr>
          <w:rFonts w:hint="eastAsia" w:ascii="仿宋_GB2312" w:hAnsi="仿宋"/>
          <w:sz w:val="32"/>
          <w:szCs w:val="32"/>
          <w:highlight w:val="none"/>
          <w:lang w:val="en-US" w:eastAsia="zh-CN"/>
        </w:rPr>
        <w:t>24</w:t>
      </w:r>
      <w:r>
        <w:rPr>
          <w:rFonts w:hint="eastAsia" w:ascii="仿宋_GB2312" w:hAnsi="仿宋" w:eastAsia="仿宋_GB2312"/>
          <w:sz w:val="32"/>
          <w:szCs w:val="32"/>
          <w:highlight w:val="none"/>
          <w:lang w:eastAsia="zh-CN"/>
        </w:rPr>
        <w:t>人。年末实有人数</w:t>
      </w:r>
      <w:r>
        <w:rPr>
          <w:rFonts w:hint="eastAsia" w:ascii="仿宋_GB2312" w:hAnsi="仿宋"/>
          <w:sz w:val="32"/>
          <w:szCs w:val="32"/>
          <w:highlight w:val="none"/>
          <w:lang w:val="en-US" w:eastAsia="zh-CN"/>
        </w:rPr>
        <w:t>59</w:t>
      </w:r>
      <w:r>
        <w:rPr>
          <w:rFonts w:hint="eastAsia" w:ascii="仿宋_GB2312" w:hAnsi="仿宋" w:eastAsia="仿宋_GB2312"/>
          <w:sz w:val="32"/>
          <w:szCs w:val="32"/>
          <w:highlight w:val="none"/>
          <w:lang w:eastAsia="zh-CN"/>
        </w:rPr>
        <w:t>人，其中行政在职人数</w:t>
      </w:r>
      <w:r>
        <w:rPr>
          <w:rFonts w:hint="eastAsia" w:ascii="仿宋_GB2312" w:hAnsi="仿宋"/>
          <w:sz w:val="32"/>
          <w:szCs w:val="32"/>
          <w:highlight w:val="none"/>
          <w:lang w:val="en-US" w:eastAsia="zh-CN"/>
        </w:rPr>
        <w:t>36</w:t>
      </w:r>
      <w:r>
        <w:rPr>
          <w:rFonts w:hint="eastAsia" w:ascii="仿宋_GB2312" w:hAnsi="仿宋" w:eastAsia="仿宋_GB2312"/>
          <w:sz w:val="32"/>
          <w:szCs w:val="32"/>
          <w:highlight w:val="none"/>
          <w:lang w:eastAsia="zh-CN"/>
        </w:rPr>
        <w:t>人，事业在职</w:t>
      </w:r>
      <w:r>
        <w:rPr>
          <w:rFonts w:hint="eastAsia" w:ascii="仿宋_GB2312" w:hAnsi="仿宋" w:eastAsia="仿宋_GB2312"/>
          <w:sz w:val="32"/>
          <w:szCs w:val="32"/>
          <w:highlight w:val="none"/>
          <w:lang w:val="en-US" w:eastAsia="zh-CN"/>
        </w:rPr>
        <w:t>人数</w:t>
      </w:r>
      <w:r>
        <w:rPr>
          <w:rFonts w:hint="eastAsia" w:ascii="仿宋_GB2312" w:hAnsi="仿宋"/>
          <w:sz w:val="32"/>
          <w:szCs w:val="32"/>
          <w:highlight w:val="none"/>
          <w:lang w:val="en-US" w:eastAsia="zh-CN"/>
        </w:rPr>
        <w:t>23</w:t>
      </w:r>
      <w:r>
        <w:rPr>
          <w:rFonts w:hint="eastAsia" w:ascii="仿宋_GB2312" w:hAnsi="仿宋" w:eastAsia="仿宋_GB2312"/>
          <w:sz w:val="32"/>
          <w:szCs w:val="32"/>
          <w:highlight w:val="none"/>
          <w:lang w:eastAsia="zh-CN"/>
        </w:rPr>
        <w:t>人。</w:t>
      </w:r>
    </w:p>
    <w:p>
      <w:pPr>
        <w:pStyle w:val="15"/>
        <w:numPr>
          <w:ilvl w:val="0"/>
          <w:numId w:val="0"/>
        </w:numPr>
        <w:ind w:leftChars="200"/>
      </w:pPr>
    </w:p>
    <w:p>
      <w:pPr>
        <w:spacing w:line="580" w:lineRule="exact"/>
        <w:ind w:firstLine="640" w:firstLineChars="200"/>
        <w:rPr>
          <w:rFonts w:eastAsia="方正黑体简体"/>
          <w:sz w:val="32"/>
          <w:szCs w:val="32"/>
        </w:rPr>
      </w:pPr>
      <w:r>
        <w:rPr>
          <w:rFonts w:hint="eastAsia" w:eastAsia="方正黑体简体"/>
          <w:sz w:val="32"/>
          <w:szCs w:val="32"/>
        </w:rPr>
        <w:t>二、部门财政资金收支情况</w:t>
      </w:r>
    </w:p>
    <w:p>
      <w:pPr>
        <w:spacing w:line="580" w:lineRule="exact"/>
        <w:ind w:firstLine="643" w:firstLineChars="200"/>
        <w:rPr>
          <w:rFonts w:hint="eastAsia" w:eastAsia="方正楷体简体"/>
          <w:b/>
          <w:sz w:val="32"/>
          <w:szCs w:val="32"/>
        </w:rPr>
      </w:pPr>
      <w:r>
        <w:rPr>
          <w:rFonts w:hint="eastAsia" w:eastAsia="方正楷体简体"/>
          <w:b/>
          <w:sz w:val="32"/>
          <w:szCs w:val="32"/>
        </w:rPr>
        <w:t>（一）部门财政资金收入情况</w:t>
      </w:r>
    </w:p>
    <w:p>
      <w:pPr>
        <w:bidi w:val="0"/>
        <w:spacing w:line="570" w:lineRule="exact"/>
        <w:ind w:firstLine="640" w:firstLineChars="200"/>
        <w:jc w:val="both"/>
      </w:pPr>
      <w:r>
        <w:rPr>
          <w:rFonts w:hint="eastAsia" w:ascii="Times New Roman" w:hAnsi="Times New Roman" w:eastAsia="仿宋_GB2312" w:cs="Times New Roman"/>
          <w:sz w:val="32"/>
          <w:lang w:val="en-US" w:eastAsia="zh-CN"/>
        </w:rPr>
        <w:t>2022年部门财政资金决算收入为</w:t>
      </w:r>
      <w:r>
        <w:rPr>
          <w:rFonts w:hint="eastAsia" w:eastAsia="仿宋_GB2312" w:cs="Times New Roman"/>
          <w:sz w:val="32"/>
          <w:lang w:val="en-US" w:eastAsia="zh-CN"/>
        </w:rPr>
        <w:t>6845.41</w:t>
      </w:r>
      <w:r>
        <w:rPr>
          <w:rFonts w:hint="eastAsia" w:ascii="Times New Roman" w:hAnsi="Times New Roman" w:eastAsia="仿宋_GB2312" w:cs="Times New Roman"/>
          <w:sz w:val="32"/>
          <w:lang w:val="en-US" w:eastAsia="zh-CN"/>
        </w:rPr>
        <w:t>万元。其中：一般公共预算财政拨款收入</w:t>
      </w:r>
      <w:r>
        <w:rPr>
          <w:rFonts w:hint="eastAsia" w:eastAsia="仿宋_GB2312" w:cs="Times New Roman"/>
          <w:sz w:val="32"/>
          <w:lang w:val="en-US" w:eastAsia="zh-CN"/>
        </w:rPr>
        <w:t>6765.41</w:t>
      </w:r>
      <w:r>
        <w:rPr>
          <w:rFonts w:hint="eastAsia" w:ascii="Times New Roman" w:hAnsi="Times New Roman" w:eastAsia="仿宋_GB2312" w:cs="Times New Roman"/>
          <w:sz w:val="32"/>
          <w:lang w:val="en-US" w:eastAsia="zh-CN"/>
        </w:rPr>
        <w:t>万元，政府性基金预算财政拨款收入</w:t>
      </w:r>
      <w:r>
        <w:rPr>
          <w:rFonts w:hint="eastAsia" w:eastAsia="仿宋_GB2312" w:cs="Times New Roman"/>
          <w:sz w:val="32"/>
          <w:lang w:val="en-US" w:eastAsia="zh-CN"/>
        </w:rPr>
        <w:t>80</w:t>
      </w:r>
      <w:r>
        <w:rPr>
          <w:rFonts w:hint="eastAsia" w:ascii="Times New Roman" w:hAnsi="Times New Roman" w:eastAsia="仿宋_GB2312" w:cs="Times New Roman"/>
          <w:sz w:val="32"/>
          <w:lang w:val="en-US" w:eastAsia="zh-CN"/>
        </w:rPr>
        <w:t>万元。</w:t>
      </w:r>
    </w:p>
    <w:p>
      <w:pPr>
        <w:numPr>
          <w:ilvl w:val="0"/>
          <w:numId w:val="6"/>
        </w:numPr>
        <w:spacing w:line="580" w:lineRule="exact"/>
        <w:ind w:firstLine="643" w:firstLineChars="200"/>
        <w:rPr>
          <w:rFonts w:hint="eastAsia" w:eastAsia="方正楷体简体"/>
          <w:b/>
          <w:sz w:val="32"/>
          <w:szCs w:val="32"/>
        </w:rPr>
      </w:pPr>
      <w:r>
        <w:rPr>
          <w:rFonts w:hint="eastAsia" w:eastAsia="方正楷体简体"/>
          <w:b/>
          <w:sz w:val="32"/>
          <w:szCs w:val="32"/>
        </w:rPr>
        <w:t>部门财政资金支出情况</w:t>
      </w:r>
    </w:p>
    <w:p>
      <w:pPr>
        <w:bidi w:val="0"/>
        <w:spacing w:line="570" w:lineRule="exact"/>
        <w:ind w:firstLine="640" w:firstLineChars="200"/>
        <w:jc w:val="both"/>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2022年支出决算财政资金总数为</w:t>
      </w:r>
      <w:r>
        <w:rPr>
          <w:rFonts w:hint="eastAsia" w:eastAsia="仿宋_GB2312" w:cs="Times New Roman"/>
          <w:sz w:val="32"/>
          <w:lang w:val="en-US" w:eastAsia="zh-CN"/>
        </w:rPr>
        <w:t>6845.41</w:t>
      </w:r>
      <w:r>
        <w:rPr>
          <w:rFonts w:hint="eastAsia" w:ascii="Times New Roman" w:hAnsi="Times New Roman" w:eastAsia="仿宋_GB2312" w:cs="Times New Roman"/>
          <w:sz w:val="32"/>
        </w:rPr>
        <w:t>万元，其中：基本支出</w:t>
      </w:r>
      <w:r>
        <w:rPr>
          <w:rFonts w:hint="eastAsia" w:eastAsia="仿宋_GB2312" w:cs="Times New Roman"/>
          <w:sz w:val="32"/>
          <w:lang w:val="en-US" w:eastAsia="zh-CN"/>
        </w:rPr>
        <w:t>1559.09</w:t>
      </w:r>
      <w:r>
        <w:rPr>
          <w:rFonts w:hint="eastAsia" w:ascii="Times New Roman" w:hAnsi="Times New Roman" w:eastAsia="仿宋_GB2312" w:cs="Times New Roman"/>
          <w:sz w:val="32"/>
        </w:rPr>
        <w:t>万元，项目支出</w:t>
      </w:r>
      <w:r>
        <w:rPr>
          <w:rFonts w:hint="eastAsia" w:eastAsia="仿宋_GB2312" w:cs="Times New Roman"/>
          <w:sz w:val="32"/>
          <w:lang w:val="en-US" w:eastAsia="zh-CN"/>
        </w:rPr>
        <w:t>5286.32</w:t>
      </w:r>
      <w:r>
        <w:rPr>
          <w:rFonts w:hint="eastAsia" w:ascii="Times New Roman" w:hAnsi="Times New Roman" w:eastAsia="仿宋_GB2312" w:cs="Times New Roman"/>
          <w:sz w:val="32"/>
        </w:rPr>
        <w:t>万元，</w:t>
      </w:r>
      <w:r>
        <w:rPr>
          <w:rFonts w:hint="eastAsia" w:ascii="Times New Roman" w:hAnsi="Times New Roman" w:eastAsia="仿宋_GB2312" w:cs="Times New Roman"/>
          <w:sz w:val="32"/>
          <w:lang w:val="en-US" w:eastAsia="zh-CN"/>
        </w:rPr>
        <w:t>主要用于推进乡村振兴补助、村集体经济发展、耕地地力保护补贴、种粮一次性补助、稻谷补贴、疫情防控、一事一议、川能投环境卫生服务、困难群众临时生活救助等经费支出。</w:t>
      </w:r>
    </w:p>
    <w:p>
      <w:pPr>
        <w:pStyle w:val="15"/>
        <w:numPr>
          <w:ilvl w:val="0"/>
          <w:numId w:val="0"/>
        </w:numPr>
        <w:ind w:leftChars="0"/>
      </w:pPr>
    </w:p>
    <w:p>
      <w:pPr>
        <w:spacing w:line="580" w:lineRule="exact"/>
        <w:ind w:firstLine="640" w:firstLineChars="200"/>
        <w:rPr>
          <w:rFonts w:eastAsia="方正黑体简体"/>
          <w:sz w:val="32"/>
          <w:szCs w:val="32"/>
        </w:rPr>
      </w:pPr>
      <w:r>
        <w:rPr>
          <w:rFonts w:hint="eastAsia" w:eastAsia="方正黑体简体"/>
          <w:sz w:val="32"/>
          <w:szCs w:val="32"/>
        </w:rPr>
        <w:t>三、评价工作开展情况</w:t>
      </w:r>
    </w:p>
    <w:p>
      <w:pPr>
        <w:spacing w:line="580" w:lineRule="exact"/>
        <w:ind w:firstLine="643" w:firstLineChars="200"/>
        <w:rPr>
          <w:rFonts w:hint="eastAsia" w:eastAsia="方正楷体简体"/>
          <w:b/>
          <w:sz w:val="32"/>
          <w:szCs w:val="32"/>
        </w:rPr>
      </w:pPr>
      <w:r>
        <w:rPr>
          <w:rFonts w:hint="eastAsia" w:eastAsia="方正楷体简体"/>
          <w:b/>
          <w:sz w:val="32"/>
          <w:szCs w:val="32"/>
        </w:rPr>
        <w:t>（一）自评工作组织领导</w:t>
      </w:r>
    </w:p>
    <w:p>
      <w:pPr>
        <w:pStyle w:val="11"/>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为切实加强对2022年预算绩效自评工作的组织领导，我镇高度重视，成立以书记夏松同志为组长</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，纪委书记王洪伟同志，财务分管领导黄永建同志为副组长</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，各站、所、室负责人任成员的预算绩效自评工作小组。工作小组下设办公室于财政所。</w:t>
      </w:r>
    </w:p>
    <w:p>
      <w:pPr>
        <w:pStyle w:val="15"/>
      </w:pPr>
    </w:p>
    <w:p>
      <w:pPr>
        <w:numPr>
          <w:ilvl w:val="0"/>
          <w:numId w:val="6"/>
        </w:numPr>
        <w:spacing w:line="580" w:lineRule="exact"/>
        <w:ind w:left="0" w:leftChars="0" w:firstLine="643" w:firstLineChars="200"/>
        <w:rPr>
          <w:rFonts w:hint="eastAsia" w:eastAsia="方正楷体简体"/>
          <w:b/>
          <w:sz w:val="32"/>
          <w:szCs w:val="32"/>
        </w:rPr>
      </w:pPr>
      <w:r>
        <w:rPr>
          <w:rFonts w:hint="eastAsia" w:eastAsia="方正楷体简体"/>
          <w:b/>
          <w:sz w:val="32"/>
          <w:szCs w:val="32"/>
        </w:rPr>
        <w:t>自评方式、方法、重点等</w:t>
      </w:r>
    </w:p>
    <w:p>
      <w:pPr>
        <w:pStyle w:val="15"/>
        <w:numPr>
          <w:ilvl w:val="0"/>
          <w:numId w:val="0"/>
        </w:numPr>
        <w:ind w:leftChars="200" w:firstLine="640" w:firstLineChars="200"/>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SA"/>
        </w:rPr>
        <w:t>预算绩效自评工作按要求统筹结合我镇日常各项工作进行，一是收支数据核实，对202</w:t>
      </w:r>
      <w:r>
        <w:rPr>
          <w:rFonts w:hint="eastAsia" w:ascii="仿宋_GB2312" w:hAnsi="仿宋_GB2312" w:cs="仿宋_GB2312"/>
          <w:i w:val="0"/>
          <w:iCs w:val="0"/>
          <w:caps w:val="0"/>
          <w:color w:val="000000"/>
          <w:spacing w:val="0"/>
          <w:kern w:val="0"/>
          <w:sz w:val="32"/>
          <w:szCs w:val="32"/>
          <w:shd w:val="clear" w:color="auto" w:fill="FFFFFF"/>
          <w:lang w:val="en-US" w:eastAsia="zh-CN" w:bidi="ar-SA"/>
        </w:rPr>
        <w:t>2</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SA"/>
        </w:rPr>
        <w:t>年度部门整体收入支出数据的准确性、真实性进行分析核实。二是会计资料查阅，对202</w:t>
      </w:r>
      <w:r>
        <w:rPr>
          <w:rFonts w:hint="eastAsia" w:ascii="仿宋_GB2312" w:hAnsi="仿宋_GB2312" w:cs="仿宋_GB2312"/>
          <w:i w:val="0"/>
          <w:iCs w:val="0"/>
          <w:caps w:val="0"/>
          <w:color w:val="000000"/>
          <w:spacing w:val="0"/>
          <w:kern w:val="0"/>
          <w:sz w:val="32"/>
          <w:szCs w:val="32"/>
          <w:shd w:val="clear" w:color="auto" w:fill="FFFFFF"/>
          <w:lang w:val="en-US" w:eastAsia="zh-CN" w:bidi="ar-SA"/>
        </w:rPr>
        <w:t>2</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SA"/>
        </w:rPr>
        <w:t>年度预算安排、预算追加、资金管理、支付进度、资产管理等相关数据资料和财务凭证进行查证。三是归纳分析，对部门财务资料、管理制度进行综合分析、归纳汇总得出自评分。通过以上方法为预算绩效自评工作奠定坚实基础。并对绩效目标设定情况、资金投入和使用情况、为实现绩效目标制定的制度、采取的措施以及绩效目标的实现程度和效果等情况进行评价，了解资金使用是否达到预期目标、资金管理是否规范、资金使用是否有效，检验资金支出效率和效果，分析存在问题及原因。重点突出绩效，注重评价，客观填报《202</w:t>
      </w:r>
      <w:r>
        <w:rPr>
          <w:rFonts w:hint="eastAsia" w:ascii="仿宋_GB2312" w:hAnsi="仿宋_GB2312" w:cs="仿宋_GB2312"/>
          <w:i w:val="0"/>
          <w:iCs w:val="0"/>
          <w:caps w:val="0"/>
          <w:color w:val="000000"/>
          <w:spacing w:val="0"/>
          <w:kern w:val="0"/>
          <w:sz w:val="32"/>
          <w:szCs w:val="32"/>
          <w:shd w:val="clear" w:color="auto" w:fill="FFFFFF"/>
          <w:lang w:val="en-US" w:eastAsia="zh-CN" w:bidi="ar-SA"/>
        </w:rPr>
        <w:t>2</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SA"/>
        </w:rPr>
        <w:t>年度乐至县部门整体支出绩效自评计分表》。</w:t>
      </w:r>
    </w:p>
    <w:p>
      <w:pPr>
        <w:spacing w:line="580" w:lineRule="exact"/>
        <w:ind w:firstLine="640" w:firstLineChars="200"/>
        <w:rPr>
          <w:rFonts w:eastAsia="方正黑体简体"/>
          <w:sz w:val="32"/>
          <w:szCs w:val="32"/>
        </w:rPr>
      </w:pPr>
      <w:r>
        <w:rPr>
          <w:rFonts w:hint="eastAsia" w:eastAsia="方正黑体简体"/>
          <w:sz w:val="32"/>
          <w:szCs w:val="32"/>
        </w:rPr>
        <w:t>四、评价结论</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根据部门整体支出绩效评价指标确定的内容，经工作小组综合评价，</w:t>
      </w:r>
      <w:r>
        <w:rPr>
          <w:rFonts w:hint="default" w:ascii="仿宋_GB2312" w:hAnsi="仿宋_GB2312" w:eastAsia="仿宋_GB2312" w:cs="仿宋_GB2312"/>
          <w:i w:val="0"/>
          <w:iCs w:val="0"/>
          <w:caps w:val="0"/>
          <w:color w:val="auto"/>
          <w:spacing w:val="0"/>
          <w:kern w:val="0"/>
          <w:sz w:val="32"/>
          <w:szCs w:val="32"/>
          <w:shd w:val="clear" w:color="auto" w:fill="FFFFFF"/>
          <w:lang w:eastAsia="zh-CN" w:bidi="ar-SA"/>
        </w:rPr>
        <w:t>劳动</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镇人民政府20</w:t>
      </w:r>
      <w:r>
        <w:rPr>
          <w:rFonts w:hint="eastAsia" w:ascii="仿宋_GB2312" w:hAnsi="仿宋_GB2312" w:cs="仿宋_GB2312"/>
          <w:i w:val="0"/>
          <w:iCs w:val="0"/>
          <w:caps w:val="0"/>
          <w:color w:val="auto"/>
          <w:spacing w:val="0"/>
          <w:kern w:val="0"/>
          <w:sz w:val="32"/>
          <w:szCs w:val="32"/>
          <w:shd w:val="clear" w:color="auto" w:fill="FFFFFF"/>
          <w:lang w:val="en-US" w:eastAsia="zh-CN" w:bidi="ar-SA"/>
        </w:rPr>
        <w:t>22</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年度整体支出绩效自评分</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SA"/>
        </w:rPr>
        <w:t>98</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分，等级为优秀。</w:t>
      </w:r>
    </w:p>
    <w:p>
      <w:pPr>
        <w:spacing w:line="580" w:lineRule="exact"/>
        <w:ind w:firstLine="640" w:firstLineChars="200"/>
        <w:rPr>
          <w:rFonts w:eastAsia="方正黑体简体"/>
          <w:sz w:val="32"/>
          <w:szCs w:val="32"/>
        </w:rPr>
      </w:pPr>
      <w:r>
        <w:rPr>
          <w:rFonts w:hint="eastAsia" w:eastAsia="方正黑体简体"/>
          <w:sz w:val="32"/>
          <w:szCs w:val="32"/>
        </w:rPr>
        <w:t>五、绩效分析</w:t>
      </w:r>
    </w:p>
    <w:p>
      <w:pPr>
        <w:spacing w:line="580" w:lineRule="exact"/>
        <w:ind w:firstLine="643" w:firstLineChars="200"/>
        <w:rPr>
          <w:rFonts w:hint="eastAsia" w:eastAsia="方正楷体简体"/>
          <w:b/>
          <w:sz w:val="32"/>
          <w:szCs w:val="32"/>
        </w:rPr>
      </w:pPr>
      <w:r>
        <w:rPr>
          <w:rFonts w:hint="eastAsia" w:eastAsia="方正楷体简体"/>
          <w:b/>
          <w:sz w:val="32"/>
          <w:szCs w:val="32"/>
        </w:rPr>
        <w:t>（一）指标分析</w:t>
      </w:r>
    </w:p>
    <w:p>
      <w:pPr>
        <w:bidi w:val="0"/>
        <w:spacing w:line="570" w:lineRule="exact"/>
        <w:ind w:firstLine="640" w:firstLineChars="200"/>
        <w:rPr>
          <w:rFonts w:hint="eastAsia" w:eastAsia="仿宋_GB2312" w:cs="Times New Roman"/>
          <w:sz w:val="32"/>
          <w:lang w:val="en-US" w:eastAsia="zh-CN"/>
        </w:rPr>
      </w:pPr>
      <w:r>
        <w:rPr>
          <w:rFonts w:hint="eastAsia" w:ascii="Times New Roman" w:hAnsi="Times New Roman" w:eastAsia="仿宋_GB2312" w:cs="Times New Roman"/>
          <w:sz w:val="32"/>
          <w:lang w:val="en-US" w:eastAsia="zh-CN"/>
        </w:rPr>
        <w:t>部门整体支出绩效评价指标的评分依据按照评价计分标准评分，</w:t>
      </w:r>
      <w:r>
        <w:rPr>
          <w:rFonts w:hint="eastAsia" w:eastAsia="仿宋_GB2312" w:cs="Times New Roman"/>
          <w:sz w:val="32"/>
          <w:lang w:val="en-US" w:eastAsia="zh-CN"/>
        </w:rPr>
        <w:t>仅在经济效益和社会公众或服务对象满意度处各扣一分。</w:t>
      </w:r>
    </w:p>
    <w:p>
      <w:pPr>
        <w:spacing w:line="580" w:lineRule="exact"/>
        <w:ind w:firstLine="643" w:firstLineChars="200"/>
        <w:rPr>
          <w:rFonts w:eastAsia="方正楷体简体"/>
          <w:b/>
          <w:sz w:val="32"/>
          <w:szCs w:val="32"/>
        </w:rPr>
      </w:pPr>
      <w:r>
        <w:rPr>
          <w:rFonts w:hint="eastAsia" w:eastAsia="方正楷体简体"/>
          <w:b/>
          <w:sz w:val="32"/>
          <w:szCs w:val="32"/>
        </w:rPr>
        <w:t>（二）综合绩效分析</w:t>
      </w:r>
    </w:p>
    <w:p>
      <w:pPr>
        <w:spacing w:line="580" w:lineRule="exact"/>
        <w:ind w:firstLine="643"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SA"/>
        </w:rPr>
      </w:pPr>
      <w:r>
        <w:rPr>
          <w:rFonts w:eastAsia="方正仿宋简体"/>
          <w:b/>
          <w:sz w:val="32"/>
          <w:szCs w:val="32"/>
        </w:rPr>
        <w:t>1.</w:t>
      </w:r>
      <w:r>
        <w:rPr>
          <w:rFonts w:hint="eastAsia" w:eastAsia="方正仿宋简体"/>
          <w:b/>
          <w:sz w:val="32"/>
          <w:szCs w:val="32"/>
        </w:rPr>
        <w:t>部门职能履行情况。</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SA"/>
        </w:rPr>
        <w:t>202</w:t>
      </w:r>
      <w:r>
        <w:rPr>
          <w:rFonts w:hint="eastAsia" w:ascii="仿宋_GB2312" w:hAnsi="仿宋_GB2312" w:cs="仿宋_GB2312"/>
          <w:i w:val="0"/>
          <w:iCs w:val="0"/>
          <w:caps w:val="0"/>
          <w:color w:val="000000"/>
          <w:spacing w:val="0"/>
          <w:kern w:val="0"/>
          <w:sz w:val="32"/>
          <w:szCs w:val="32"/>
          <w:shd w:val="clear" w:color="auto" w:fill="FFFFFF"/>
          <w:lang w:val="en-US" w:eastAsia="zh-CN" w:bidi="ar-SA"/>
        </w:rPr>
        <w:t>2</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SA"/>
        </w:rPr>
        <w:t>年，在县委、县政府正确领导下和县财政局的业务指导下，我镇坚持以财辅政，全力服从各项工作安排，保障中央和省市县各级部署落实见效，全年财政收支执行情况总体良好，预算管理成效不断提升。同时，制度建设、预算管理、政府采购管理、会计管理、财政资金使用监督、财政信息公开等工作协同发力，推动我镇预算绩效工作不断向前。绩效目标完成率为100%。</w:t>
      </w:r>
    </w:p>
    <w:p>
      <w:pPr>
        <w:spacing w:line="580" w:lineRule="exact"/>
        <w:ind w:firstLine="643"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SA"/>
        </w:rPr>
      </w:pPr>
      <w:r>
        <w:rPr>
          <w:rFonts w:eastAsia="方正仿宋简体"/>
          <w:b/>
          <w:sz w:val="32"/>
          <w:szCs w:val="32"/>
        </w:rPr>
        <w:t>2.</w:t>
      </w:r>
      <w:r>
        <w:rPr>
          <w:rFonts w:hint="eastAsia" w:eastAsia="方正仿宋简体"/>
          <w:b/>
          <w:sz w:val="32"/>
          <w:szCs w:val="32"/>
        </w:rPr>
        <w:t>部门履职有效性。</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SA"/>
        </w:rPr>
        <w:t>从履职有效性来看，总体效果较好。202</w:t>
      </w:r>
      <w:r>
        <w:rPr>
          <w:rFonts w:hint="eastAsia" w:ascii="仿宋_GB2312" w:hAnsi="仿宋_GB2312" w:cs="仿宋_GB2312"/>
          <w:i w:val="0"/>
          <w:iCs w:val="0"/>
          <w:caps w:val="0"/>
          <w:color w:val="000000"/>
          <w:spacing w:val="0"/>
          <w:kern w:val="0"/>
          <w:sz w:val="32"/>
          <w:szCs w:val="32"/>
          <w:shd w:val="clear" w:color="auto" w:fill="FFFFFF"/>
          <w:lang w:val="en-US" w:eastAsia="zh-CN" w:bidi="ar-SA"/>
        </w:rPr>
        <w:t>2</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SA"/>
        </w:rPr>
        <w:t>年，</w:t>
      </w:r>
      <w:r>
        <w:rPr>
          <w:rFonts w:hint="default" w:ascii="仿宋_GB2312" w:hAnsi="仿宋_GB2312" w:eastAsia="仿宋_GB2312" w:cs="仿宋_GB2312"/>
          <w:i w:val="0"/>
          <w:iCs w:val="0"/>
          <w:caps w:val="0"/>
          <w:color w:val="000000"/>
          <w:spacing w:val="0"/>
          <w:kern w:val="0"/>
          <w:sz w:val="32"/>
          <w:szCs w:val="32"/>
          <w:shd w:val="clear" w:color="auto" w:fill="FFFFFF"/>
          <w:lang w:eastAsia="zh-CN" w:bidi="ar-SA"/>
        </w:rPr>
        <w:t>劳动</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SA"/>
        </w:rPr>
        <w:t>镇人民政府开拓创新、攻坚克难、坚持党建领航、强化作风建设，夯实基层执政基础、优质服务民生，全力促进经济和社会各项事业平稳发展。严格按照相关的规章制度开展内部管理工作，业务管理制度健全，制度执行有效、项目进度可控，财务管理制度健全、资金拨付严格把关，内控管理有效。整体支出预算控制合理，支出严格控制在预算范围内，本着节约成本，贯彻落实厉行节约的总方针，严格控制“三公”经费，防止资金资源浪费，将资金资源效率最大化。</w:t>
      </w:r>
    </w:p>
    <w:p>
      <w:pPr>
        <w:pStyle w:val="39"/>
        <w:ind w:firstLine="643" w:firstLineChars="200"/>
        <w:jc w:val="both"/>
        <w:rPr>
          <w:rFonts w:hint="eastAsia" w:eastAsia="方正仿宋简体" w:cs="Times New Roman"/>
          <w:b/>
          <w:color w:val="auto"/>
          <w:kern w:val="2"/>
          <w:sz w:val="32"/>
          <w:szCs w:val="32"/>
          <w:lang w:val="en-US" w:eastAsia="zh-CN" w:bidi="ar-SA"/>
        </w:rPr>
      </w:pPr>
      <w:r>
        <w:rPr>
          <w:rFonts w:hint="eastAsia" w:eastAsia="方正仿宋简体" w:cs="Times New Roman"/>
          <w:b/>
          <w:color w:val="auto"/>
          <w:kern w:val="2"/>
          <w:sz w:val="32"/>
          <w:szCs w:val="32"/>
          <w:lang w:val="en-US" w:eastAsia="zh-CN" w:bidi="ar-SA"/>
        </w:rPr>
        <w:t>3.</w:t>
      </w:r>
      <w:r>
        <w:rPr>
          <w:rFonts w:hint="eastAsia" w:ascii="Times New Roman" w:hAnsi="Times New Roman" w:eastAsia="方正仿宋简体" w:cs="Times New Roman"/>
          <w:b/>
          <w:color w:val="auto"/>
          <w:kern w:val="2"/>
          <w:sz w:val="32"/>
          <w:szCs w:val="32"/>
          <w:lang w:val="en-US" w:eastAsia="zh-CN" w:bidi="ar-SA"/>
        </w:rPr>
        <w:t>部门职能实现程度</w:t>
      </w:r>
      <w:r>
        <w:rPr>
          <w:rFonts w:hint="eastAsia" w:eastAsia="方正仿宋简体" w:cs="Times New Roman"/>
          <w:b/>
          <w:color w:val="auto"/>
          <w:kern w:val="2"/>
          <w:sz w:val="32"/>
          <w:szCs w:val="32"/>
          <w:lang w:val="en-US" w:eastAsia="zh-CN" w:bidi="ar-SA"/>
        </w:rPr>
        <w:t>。</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SA"/>
        </w:rPr>
        <w:t>从实现程度来看，总体效果较好。</w:t>
      </w:r>
    </w:p>
    <w:p>
      <w:pPr>
        <w:pStyle w:val="18"/>
        <w:keepNext w:val="0"/>
        <w:keepLines w:val="0"/>
        <w:pageBreakBefore w:val="0"/>
        <w:widowControl w:val="0"/>
        <w:kinsoku/>
        <w:wordWrap/>
        <w:overflowPunct/>
        <w:topLinePunct w:val="0"/>
        <w:autoSpaceDE/>
        <w:autoSpaceDN/>
        <w:bidi w:val="0"/>
        <w:adjustRightInd/>
        <w:snapToGrid/>
        <w:spacing w:after="0" w:line="590" w:lineRule="exact"/>
        <w:ind w:left="0" w:leftChars="0" w:firstLine="643" w:firstLineChars="200"/>
        <w:textAlignment w:val="auto"/>
        <w:rPr>
          <w:rFonts w:hint="default" w:ascii="Times New Roman" w:hAnsi="Times New Roman" w:eastAsia="方正仿宋简体" w:cs="Times New Roman"/>
          <w:b/>
          <w:bCs/>
          <w:color w:val="auto"/>
          <w:kern w:val="2"/>
          <w:sz w:val="32"/>
          <w:szCs w:val="32"/>
          <w:highlight w:val="none"/>
          <w:lang w:val="en-US" w:eastAsia="zh-CN" w:bidi="ar-SA"/>
        </w:rPr>
      </w:pPr>
      <w:r>
        <w:rPr>
          <w:rFonts w:hint="default" w:ascii="Times New Roman" w:hAnsi="Times New Roman" w:eastAsia="方正仿宋简体" w:cs="Times New Roman"/>
          <w:b/>
          <w:bCs/>
          <w:color w:val="auto"/>
          <w:kern w:val="2"/>
          <w:sz w:val="32"/>
          <w:szCs w:val="32"/>
          <w:highlight w:val="none"/>
          <w:lang w:val="en-US" w:eastAsia="zh-CN" w:bidi="ar-SA"/>
        </w:rPr>
        <w:t>一是巩固脱贫成果，提升脱贫质效</w:t>
      </w:r>
      <w:r>
        <w:rPr>
          <w:rFonts w:hint="eastAsia" w:ascii="Times New Roman" w:hAnsi="Times New Roman" w:eastAsia="方正仿宋简体" w:cs="Times New Roman"/>
          <w:b/>
          <w:bCs/>
          <w:color w:val="auto"/>
          <w:kern w:val="2"/>
          <w:sz w:val="32"/>
          <w:szCs w:val="32"/>
          <w:highlight w:val="none"/>
          <w:lang w:val="en-US" w:eastAsia="zh-CN" w:bidi="ar-SA"/>
        </w:rPr>
        <w:t>。</w:t>
      </w:r>
      <w:r>
        <w:rPr>
          <w:rFonts w:hint="eastAsia" w:ascii="Times New Roman" w:hAnsi="Times New Roman" w:eastAsia="方正仿宋简体" w:cs="Times New Roman"/>
          <w:color w:val="auto"/>
          <w:kern w:val="2"/>
          <w:sz w:val="32"/>
          <w:szCs w:val="32"/>
          <w:highlight w:val="none"/>
          <w:lang w:val="en-US" w:eastAsia="zh-CN" w:bidi="ar-SA"/>
        </w:rPr>
        <w:t>以“两不愁三保障”为重点，切实抓好脱贫攻坚成果拓展同乡村振兴有效衔接。</w:t>
      </w:r>
      <w:r>
        <w:rPr>
          <w:rFonts w:hint="eastAsia" w:ascii="Times New Roman" w:hAnsi="Times New Roman" w:eastAsia="方正仿宋简体" w:cs="方正仿宋简体"/>
          <w:b w:val="0"/>
          <w:bCs w:val="0"/>
          <w:color w:val="auto"/>
          <w:sz w:val="32"/>
          <w:szCs w:val="32"/>
          <w:highlight w:val="none"/>
          <w:lang w:val="en-US" w:eastAsia="zh-CN"/>
        </w:rPr>
        <w:t>制定我镇防止返贫动态监测和帮扶机制工作方案，2022年通过日常摸排、部门反馈、集中排查等方式新增监测户6户12人，认真梳理其返贫致贫原因，落实针对性的帮扶措施，确保帮扶有效</w:t>
      </w:r>
      <w:r>
        <w:rPr>
          <w:rFonts w:hint="eastAsia" w:ascii="Times New Roman" w:hAnsi="Times New Roman" w:eastAsia="方正仿宋简体" w:cs="方正仿宋简体"/>
          <w:b w:val="0"/>
          <w:bCs w:val="0"/>
          <w:color w:val="000000" w:themeColor="text1"/>
          <w:kern w:val="2"/>
          <w:sz w:val="32"/>
          <w:szCs w:val="32"/>
          <w:lang w:val="en-US" w:eastAsia="zh-CN" w:bidi="ar-SA"/>
          <w14:textFill>
            <w14:solidFill>
              <w14:schemeClr w14:val="tx1"/>
            </w14:solidFill>
          </w14:textFill>
        </w:rPr>
        <w:t>。</w:t>
      </w:r>
    </w:p>
    <w:p>
      <w:pPr>
        <w:pStyle w:val="18"/>
        <w:keepNext w:val="0"/>
        <w:keepLines w:val="0"/>
        <w:pageBreakBefore w:val="0"/>
        <w:widowControl w:val="0"/>
        <w:kinsoku/>
        <w:wordWrap/>
        <w:overflowPunct/>
        <w:topLinePunct w:val="0"/>
        <w:autoSpaceDE/>
        <w:autoSpaceDN/>
        <w:bidi w:val="0"/>
        <w:adjustRightInd/>
        <w:snapToGrid/>
        <w:spacing w:after="0" w:line="590" w:lineRule="exact"/>
        <w:ind w:left="0" w:leftChars="0" w:firstLine="643" w:firstLineChars="200"/>
        <w:textAlignment w:val="auto"/>
        <w:rPr>
          <w:rFonts w:hint="default" w:ascii="Times New Roman" w:hAnsi="Times New Roman" w:eastAsia="方正仿宋简体" w:cs="Times New Roman"/>
          <w:b/>
          <w:bCs/>
          <w:color w:val="FF0000"/>
          <w:kern w:val="2"/>
          <w:sz w:val="32"/>
          <w:szCs w:val="32"/>
          <w:highlight w:val="none"/>
          <w:lang w:val="en-US" w:eastAsia="zh-CN" w:bidi="ar-SA"/>
        </w:rPr>
      </w:pPr>
      <w:r>
        <w:rPr>
          <w:rFonts w:hint="eastAsia" w:ascii="Times New Roman" w:hAnsi="Times New Roman" w:eastAsia="方正仿宋简体" w:cs="Times New Roman"/>
          <w:b/>
          <w:bCs/>
          <w:color w:val="auto"/>
          <w:kern w:val="2"/>
          <w:sz w:val="32"/>
          <w:szCs w:val="32"/>
          <w:highlight w:val="none"/>
          <w:lang w:val="en-US" w:eastAsia="zh-CN" w:bidi="ar-SA"/>
        </w:rPr>
        <w:t>二</w:t>
      </w:r>
      <w:r>
        <w:rPr>
          <w:rFonts w:hint="default" w:ascii="Times New Roman" w:hAnsi="Times New Roman" w:eastAsia="方正仿宋简体" w:cs="Times New Roman"/>
          <w:b/>
          <w:bCs/>
          <w:color w:val="auto"/>
          <w:kern w:val="2"/>
          <w:sz w:val="32"/>
          <w:szCs w:val="32"/>
          <w:highlight w:val="none"/>
          <w:lang w:val="en-US" w:eastAsia="zh-CN" w:bidi="ar-SA"/>
        </w:rPr>
        <w:t>是特色旅游</w:t>
      </w:r>
      <w:r>
        <w:rPr>
          <w:rFonts w:hint="eastAsia" w:ascii="Times New Roman" w:hAnsi="Times New Roman" w:eastAsia="方正仿宋简体" w:cs="Times New Roman"/>
          <w:b/>
          <w:bCs/>
          <w:color w:val="auto"/>
          <w:kern w:val="2"/>
          <w:sz w:val="32"/>
          <w:szCs w:val="32"/>
          <w:highlight w:val="none"/>
          <w:lang w:val="en-US" w:eastAsia="zh-CN" w:bidi="ar-SA"/>
        </w:rPr>
        <w:t>发展后劲增强</w:t>
      </w:r>
      <w:r>
        <w:rPr>
          <w:rFonts w:hint="default" w:ascii="Times New Roman" w:hAnsi="Times New Roman" w:eastAsia="方正仿宋简体" w:cs="Times New Roman"/>
          <w:b/>
          <w:bCs/>
          <w:color w:val="auto"/>
          <w:kern w:val="2"/>
          <w:sz w:val="32"/>
          <w:szCs w:val="32"/>
          <w:highlight w:val="none"/>
          <w:lang w:val="en-US" w:eastAsia="zh-CN" w:bidi="ar-SA"/>
        </w:rPr>
        <w:t>。</w:t>
      </w:r>
      <w:r>
        <w:rPr>
          <w:rFonts w:hint="default" w:ascii="Times New Roman" w:hAnsi="Times New Roman" w:eastAsia="方正仿宋简体" w:cs="Times New Roman"/>
          <w:color w:val="auto"/>
          <w:kern w:val="2"/>
          <w:sz w:val="32"/>
          <w:szCs w:val="32"/>
          <w:highlight w:val="none"/>
          <w:lang w:val="en-US" w:eastAsia="zh-CN" w:bidi="ar-SA"/>
        </w:rPr>
        <w:t>坚持以打造“乐至县文化旅游型城市副中心”为目标，严格按照“红色文化铸魂，绿色生态赋韵，特色产业塑形，改革创新利民”的发展思路，紧密结合我镇乡村旅游发展实际，扎实履行职责，创新工作方法，全力打造红色旅游+乡村旅游+康养旅游融合发展的特色小镇——乐至帅府特色小镇</w:t>
      </w:r>
      <w:r>
        <w:rPr>
          <w:rFonts w:hint="eastAsia" w:ascii="Times New Roman" w:hAnsi="Times New Roman" w:eastAsia="方正仿宋简体" w:cs="Times New Roman"/>
          <w:color w:val="auto"/>
          <w:kern w:val="2"/>
          <w:sz w:val="32"/>
          <w:szCs w:val="32"/>
          <w:highlight w:val="none"/>
          <w:lang w:val="en-US" w:eastAsia="zh-CN" w:bidi="ar-SA"/>
        </w:rPr>
        <w:t>。6.1公里弘毅旅游环线已完工通车，正积极推动薛苞大桥、弘毅环线支线建设，我镇旅游园区道路设施进一步完善；粮经产业园区建设稳步推进，沿途产业景观带丰富多样，村民收入显著提高；源毅忆水项目一期工程与林涧小院正处于加快建设中，原陈氏祠小学升级改造国防教育基地项目正有序推进，丰富了劳动文化底蕴；旧居村红色美丽村庄项目建设已完成交付，包括旧居村原办公室升级改造，新建青松小品、居民广场、弘毅广场等沿途红色景观。</w:t>
      </w:r>
    </w:p>
    <w:p>
      <w:pPr>
        <w:pStyle w:val="18"/>
        <w:keepNext w:val="0"/>
        <w:keepLines w:val="0"/>
        <w:pageBreakBefore w:val="0"/>
        <w:widowControl w:val="0"/>
        <w:kinsoku/>
        <w:wordWrap/>
        <w:overflowPunct/>
        <w:topLinePunct w:val="0"/>
        <w:autoSpaceDE/>
        <w:autoSpaceDN/>
        <w:bidi w:val="0"/>
        <w:adjustRightInd/>
        <w:snapToGrid/>
        <w:spacing w:after="0" w:line="590" w:lineRule="exact"/>
        <w:ind w:left="0" w:leftChars="0" w:firstLine="643" w:firstLineChars="200"/>
        <w:textAlignment w:val="auto"/>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b/>
          <w:bCs/>
          <w:i w:val="0"/>
          <w:iCs w:val="0"/>
          <w:color w:val="auto"/>
          <w:kern w:val="2"/>
          <w:sz w:val="32"/>
          <w:szCs w:val="32"/>
          <w:highlight w:val="none"/>
          <w:lang w:val="en-US" w:eastAsia="zh-CN" w:bidi="ar-SA"/>
        </w:rPr>
        <w:t>三</w:t>
      </w:r>
      <w:r>
        <w:rPr>
          <w:rFonts w:hint="default" w:ascii="Times New Roman" w:hAnsi="Times New Roman" w:eastAsia="方正仿宋简体" w:cs="Times New Roman"/>
          <w:b/>
          <w:bCs/>
          <w:i w:val="0"/>
          <w:iCs w:val="0"/>
          <w:color w:val="auto"/>
          <w:kern w:val="2"/>
          <w:sz w:val="32"/>
          <w:szCs w:val="32"/>
          <w:highlight w:val="none"/>
          <w:lang w:val="en-US" w:eastAsia="zh-CN" w:bidi="ar-SA"/>
        </w:rPr>
        <w:t>是</w:t>
      </w:r>
      <w:r>
        <w:rPr>
          <w:rFonts w:hint="eastAsia" w:ascii="Times New Roman" w:hAnsi="Times New Roman" w:eastAsia="方正仿宋简体" w:cs="Times New Roman"/>
          <w:b/>
          <w:bCs/>
          <w:i w:val="0"/>
          <w:iCs w:val="0"/>
          <w:color w:val="auto"/>
          <w:kern w:val="2"/>
          <w:sz w:val="32"/>
          <w:szCs w:val="32"/>
          <w:highlight w:val="none"/>
          <w:lang w:val="en-US" w:eastAsia="zh-CN" w:bidi="ar-SA"/>
        </w:rPr>
        <w:t>“三农”工作持续向好</w:t>
      </w:r>
      <w:r>
        <w:rPr>
          <w:rFonts w:hint="default" w:ascii="Times New Roman" w:hAnsi="Times New Roman" w:eastAsia="方正仿宋简体" w:cs="Times New Roman"/>
          <w:b/>
          <w:bCs/>
          <w:i w:val="0"/>
          <w:iCs w:val="0"/>
          <w:color w:val="auto"/>
          <w:kern w:val="2"/>
          <w:sz w:val="32"/>
          <w:szCs w:val="32"/>
          <w:highlight w:val="none"/>
          <w:lang w:val="en-US" w:eastAsia="zh-CN" w:bidi="ar-SA"/>
        </w:rPr>
        <w:t>。</w:t>
      </w:r>
      <w:r>
        <w:rPr>
          <w:rFonts w:hint="eastAsia" w:ascii="Times New Roman" w:hAnsi="Times New Roman" w:eastAsia="方正仿宋简体" w:cs="Times New Roman"/>
          <w:color w:val="auto"/>
          <w:kern w:val="2"/>
          <w:sz w:val="32"/>
          <w:szCs w:val="32"/>
          <w:highlight w:val="none"/>
          <w:lang w:val="en-US" w:eastAsia="zh-CN" w:bidi="ar-SA"/>
        </w:rPr>
        <w:t>坚持以发展为主线，农民增收为核心，新农村建设为抓手，认真贯彻执行中央一号文件精神，牢牢把握生产发展主题，加强农业基础设施建设和生态环境建设。今年完成粮食作物播种面积5.85万亩，其中玉米1.65万亩，水稻1.13万亩，油菜1.43万亩，大豆1.23万亩，其他作物0.53万亩，全年粮食产量9.83万吨。高标准农田建设3800余亩，新建机耕道5条、提灌站3座、码口3处、屯水田埂7根，粮食烘干及仓储中心1座。</w:t>
      </w:r>
    </w:p>
    <w:p>
      <w:pPr>
        <w:pStyle w:val="39"/>
        <w:jc w:val="both"/>
        <w:rPr>
          <w:rFonts w:hint="eastAsia" w:ascii="Times New Roman" w:hAnsi="Times New Roman" w:eastAsia="方正仿宋简体" w:cs="Times New Roman"/>
          <w:b/>
          <w:bCs/>
          <w:color w:val="auto"/>
          <w:kern w:val="2"/>
          <w:sz w:val="32"/>
          <w:szCs w:val="32"/>
          <w:highlight w:val="none"/>
          <w:lang w:val="en-US" w:eastAsia="zh-CN" w:bidi="ar-SA"/>
        </w:rPr>
      </w:pPr>
      <w:r>
        <w:rPr>
          <w:rFonts w:hint="eastAsia" w:ascii="Times New Roman" w:hAnsi="Times New Roman" w:eastAsia="方正仿宋简体" w:cs="Times New Roman"/>
          <w:b/>
          <w:bCs/>
          <w:color w:val="auto"/>
          <w:kern w:val="2"/>
          <w:sz w:val="32"/>
          <w:szCs w:val="32"/>
          <w:highlight w:val="none"/>
          <w:lang w:val="en-US" w:eastAsia="zh-CN" w:bidi="ar-SA"/>
        </w:rPr>
        <w:t>六、问题分析</w:t>
      </w:r>
    </w:p>
    <w:p>
      <w:pPr>
        <w:pStyle w:val="39"/>
        <w:ind w:firstLine="640" w:firstLineChars="200"/>
        <w:jc w:val="both"/>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从全年的整体支出情况来看，我镇在绩效编制、资金使用效益等方面还存在一些问题，具体表现在：</w:t>
      </w:r>
      <w:r>
        <w:rPr>
          <w:rFonts w:hint="eastAsia" w:eastAsia="方正仿宋简体" w:cs="Times New Roman"/>
          <w:color w:val="auto"/>
          <w:kern w:val="2"/>
          <w:sz w:val="32"/>
          <w:szCs w:val="32"/>
          <w:highlight w:val="none"/>
          <w:lang w:val="en-US" w:eastAsia="zh-CN" w:bidi="ar-SA"/>
        </w:rPr>
        <w:t>对绩效理解不够深刻，绩效目标设置的科学性和合理性有待加强。</w:t>
      </w:r>
    </w:p>
    <w:p>
      <w:pPr>
        <w:spacing w:line="580" w:lineRule="exact"/>
        <w:ind w:firstLine="643" w:firstLineChars="200"/>
        <w:rPr>
          <w:rFonts w:hint="eastAsia" w:ascii="Times New Roman" w:hAnsi="Times New Roman" w:eastAsia="方正仿宋简体" w:cs="Times New Roman"/>
          <w:b/>
          <w:bCs/>
          <w:color w:val="auto"/>
          <w:kern w:val="2"/>
          <w:sz w:val="32"/>
          <w:szCs w:val="32"/>
          <w:highlight w:val="none"/>
          <w:lang w:val="en-US" w:eastAsia="zh-CN" w:bidi="ar-SA"/>
        </w:rPr>
      </w:pPr>
      <w:r>
        <w:rPr>
          <w:rFonts w:hint="eastAsia" w:ascii="Times New Roman" w:hAnsi="Times New Roman" w:eastAsia="方正仿宋简体" w:cs="Times New Roman"/>
          <w:b/>
          <w:bCs/>
          <w:color w:val="auto"/>
          <w:kern w:val="2"/>
          <w:sz w:val="32"/>
          <w:szCs w:val="32"/>
          <w:highlight w:val="none"/>
          <w:lang w:val="en-US" w:eastAsia="zh-CN" w:bidi="ar-SA"/>
        </w:rPr>
        <w:t>七、建议</w:t>
      </w:r>
    </w:p>
    <w:p>
      <w:pPr>
        <w:spacing w:line="580" w:lineRule="exact"/>
        <w:ind w:firstLine="640" w:firstLineChars="200"/>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针对上述存在的问题，结合我镇整体支出绩效管理工作的需要，一是要加强人员业务培训，</w:t>
      </w:r>
      <w:r>
        <w:rPr>
          <w:rFonts w:hint="eastAsia" w:eastAsia="方正仿宋简体" w:cs="Times New Roman"/>
          <w:color w:val="auto"/>
          <w:kern w:val="2"/>
          <w:sz w:val="32"/>
          <w:szCs w:val="32"/>
          <w:highlight w:val="none"/>
          <w:lang w:val="en-US" w:eastAsia="zh-CN" w:bidi="ar-SA"/>
        </w:rPr>
        <w:t>提高对绩效管理的理解和重视</w:t>
      </w:r>
      <w:r>
        <w:rPr>
          <w:rFonts w:hint="eastAsia" w:ascii="Times New Roman" w:hAnsi="Times New Roman" w:eastAsia="方正仿宋简体" w:cs="Times New Roman"/>
          <w:color w:val="auto"/>
          <w:kern w:val="2"/>
          <w:sz w:val="32"/>
          <w:szCs w:val="32"/>
          <w:highlight w:val="none"/>
          <w:lang w:val="en-US" w:eastAsia="zh-CN" w:bidi="ar-SA"/>
        </w:rPr>
        <w:t>；</w:t>
      </w:r>
      <w:r>
        <w:rPr>
          <w:rFonts w:hint="eastAsia" w:eastAsia="方正仿宋简体" w:cs="Times New Roman"/>
          <w:color w:val="auto"/>
          <w:kern w:val="2"/>
          <w:sz w:val="32"/>
          <w:szCs w:val="32"/>
          <w:highlight w:val="none"/>
          <w:lang w:val="en-US" w:eastAsia="zh-CN" w:bidi="ar-SA"/>
        </w:rPr>
        <w:t>二</w:t>
      </w:r>
      <w:r>
        <w:rPr>
          <w:rFonts w:hint="eastAsia" w:ascii="Times New Roman" w:hAnsi="Times New Roman" w:eastAsia="方正仿宋简体" w:cs="Times New Roman"/>
          <w:color w:val="auto"/>
          <w:kern w:val="2"/>
          <w:sz w:val="32"/>
          <w:szCs w:val="32"/>
          <w:highlight w:val="none"/>
          <w:lang w:val="en-US" w:eastAsia="zh-CN" w:bidi="ar-SA"/>
        </w:rPr>
        <w:t>是绩效评价工作是一项系统性的工作，专业性强，工作量大，建议县财政局加强对乡镇单位的指导，进一步加强开展相关的业务工作培训，推进绩效评价工作的高效开展。</w:t>
      </w:r>
    </w:p>
    <w:p>
      <w:pPr>
        <w:spacing w:line="620" w:lineRule="exact"/>
        <w:jc w:val="left"/>
        <w:rPr>
          <w:rFonts w:hint="eastAsia" w:eastAsia="方正黑体简体"/>
          <w:bCs/>
          <w:kern w:val="0"/>
          <w:sz w:val="32"/>
          <w:szCs w:val="32"/>
        </w:rPr>
      </w:pPr>
    </w:p>
    <w:p>
      <w:pPr>
        <w:spacing w:line="620" w:lineRule="exact"/>
        <w:jc w:val="left"/>
        <w:rPr>
          <w:rFonts w:hint="eastAsia" w:eastAsia="方正黑体简体"/>
          <w:bCs/>
          <w:kern w:val="0"/>
          <w:sz w:val="32"/>
          <w:szCs w:val="32"/>
        </w:rPr>
      </w:pPr>
    </w:p>
    <w:p>
      <w:pPr>
        <w:spacing w:line="620" w:lineRule="exact"/>
        <w:jc w:val="left"/>
        <w:rPr>
          <w:rFonts w:hint="eastAsia" w:eastAsia="方正黑体简体"/>
          <w:bCs/>
          <w:kern w:val="0"/>
          <w:sz w:val="32"/>
          <w:szCs w:val="32"/>
        </w:rPr>
      </w:pPr>
    </w:p>
    <w:p>
      <w:pPr>
        <w:spacing w:line="620" w:lineRule="exact"/>
        <w:jc w:val="left"/>
        <w:rPr>
          <w:rFonts w:hint="eastAsia" w:eastAsia="方正黑体简体"/>
          <w:bCs/>
          <w:kern w:val="0"/>
          <w:sz w:val="32"/>
          <w:szCs w:val="32"/>
        </w:rPr>
      </w:pPr>
    </w:p>
    <w:p>
      <w:pPr>
        <w:spacing w:line="620" w:lineRule="exact"/>
        <w:jc w:val="left"/>
        <w:rPr>
          <w:rFonts w:hint="eastAsia" w:eastAsia="方正黑体简体"/>
          <w:bCs/>
          <w:kern w:val="0"/>
          <w:sz w:val="32"/>
          <w:szCs w:val="32"/>
        </w:rPr>
      </w:pPr>
    </w:p>
    <w:p>
      <w:pPr>
        <w:spacing w:line="620" w:lineRule="exact"/>
        <w:jc w:val="left"/>
        <w:rPr>
          <w:rFonts w:hint="eastAsia" w:eastAsia="方正黑体简体"/>
          <w:bCs/>
          <w:kern w:val="0"/>
          <w:sz w:val="32"/>
          <w:szCs w:val="32"/>
        </w:rPr>
      </w:pPr>
    </w:p>
    <w:p>
      <w:pPr>
        <w:spacing w:line="620" w:lineRule="exact"/>
        <w:jc w:val="left"/>
        <w:rPr>
          <w:rFonts w:eastAsia="方正黑体简体"/>
          <w:bCs/>
          <w:kern w:val="0"/>
          <w:sz w:val="32"/>
          <w:szCs w:val="32"/>
        </w:rPr>
      </w:pPr>
      <w:r>
        <w:rPr>
          <w:rFonts w:hint="eastAsia" w:eastAsia="方正黑体简体"/>
          <w:bCs/>
          <w:kern w:val="0"/>
          <w:sz w:val="32"/>
          <w:szCs w:val="32"/>
        </w:rPr>
        <w:t>附件</w:t>
      </w:r>
      <w:r>
        <w:rPr>
          <w:rFonts w:eastAsia="方正黑体简体"/>
          <w:bCs/>
          <w:kern w:val="0"/>
          <w:sz w:val="32"/>
          <w:szCs w:val="32"/>
        </w:rPr>
        <w:t>3-1</w:t>
      </w:r>
    </w:p>
    <w:p>
      <w:pPr>
        <w:spacing w:line="620" w:lineRule="exact"/>
        <w:jc w:val="center"/>
        <w:rPr>
          <w:rFonts w:hint="eastAsia" w:eastAsia="方正小标宋简体"/>
          <w:bCs/>
          <w:w w:val="90"/>
          <w:kern w:val="0"/>
          <w:sz w:val="44"/>
          <w:szCs w:val="44"/>
        </w:rPr>
      </w:pPr>
      <w:r>
        <w:rPr>
          <w:rFonts w:eastAsia="方正小标宋简体"/>
          <w:bCs/>
          <w:w w:val="90"/>
          <w:kern w:val="0"/>
          <w:sz w:val="44"/>
          <w:szCs w:val="44"/>
        </w:rPr>
        <w:t>202</w:t>
      </w:r>
      <w:r>
        <w:rPr>
          <w:rFonts w:hint="eastAsia" w:eastAsia="方正小标宋简体"/>
          <w:bCs/>
          <w:w w:val="90"/>
          <w:kern w:val="0"/>
          <w:sz w:val="44"/>
          <w:szCs w:val="44"/>
        </w:rPr>
        <w:t>2年度乐至县部门整体支出绩效自评计分表</w:t>
      </w:r>
    </w:p>
    <w:p>
      <w:pPr>
        <w:spacing w:line="620" w:lineRule="exact"/>
        <w:jc w:val="center"/>
        <w:rPr>
          <w:rFonts w:hint="eastAsia" w:eastAsia="宋体"/>
          <w:color w:val="000000"/>
          <w:kern w:val="0"/>
          <w:sz w:val="24"/>
          <w:lang w:eastAsia="zh-CN"/>
        </w:rPr>
      </w:pPr>
      <w:r>
        <w:rPr>
          <w:rFonts w:hint="eastAsia"/>
          <w:color w:val="000000"/>
          <w:kern w:val="0"/>
          <w:sz w:val="24"/>
        </w:rPr>
        <w:t>单位名称：</w:t>
      </w:r>
      <w:r>
        <w:rPr>
          <w:rFonts w:hint="eastAsia"/>
          <w:color w:val="000000"/>
          <w:kern w:val="0"/>
          <w:sz w:val="24"/>
          <w:lang w:eastAsia="zh-CN"/>
        </w:rPr>
        <w:t>劳动镇财政所</w:t>
      </w:r>
      <w:r>
        <w:rPr>
          <w:color w:val="000000"/>
          <w:kern w:val="0"/>
          <w:sz w:val="24"/>
        </w:rPr>
        <w:t xml:space="preserve">     </w:t>
      </w:r>
      <w:r>
        <w:rPr>
          <w:rFonts w:hint="eastAsia"/>
          <w:color w:val="000000"/>
          <w:kern w:val="0"/>
          <w:sz w:val="24"/>
        </w:rPr>
        <w:t>预算单位编码：</w:t>
      </w:r>
      <w:r>
        <w:rPr>
          <w:rFonts w:hint="eastAsia"/>
          <w:color w:val="000000"/>
          <w:kern w:val="0"/>
          <w:sz w:val="24"/>
          <w:lang w:val="en-US" w:eastAsia="zh-CN"/>
        </w:rPr>
        <w:t>317001</w:t>
      </w:r>
      <w:r>
        <w:rPr>
          <w:color w:val="000000"/>
          <w:kern w:val="0"/>
          <w:sz w:val="24"/>
        </w:rPr>
        <w:t xml:space="preserve">        </w:t>
      </w:r>
      <w:r>
        <w:rPr>
          <w:rFonts w:hint="eastAsia"/>
          <w:color w:val="000000"/>
          <w:kern w:val="0"/>
          <w:sz w:val="24"/>
        </w:rPr>
        <w:t>自评等级：</w:t>
      </w:r>
      <w:r>
        <w:rPr>
          <w:rFonts w:hint="eastAsia"/>
          <w:color w:val="000000"/>
          <w:kern w:val="0"/>
          <w:sz w:val="24"/>
          <w:lang w:eastAsia="zh-CN"/>
        </w:rPr>
        <w:t>优</w:t>
      </w:r>
    </w:p>
    <w:tbl>
      <w:tblPr>
        <w:tblStyle w:val="19"/>
        <w:tblW w:w="5329" w:type="pct"/>
        <w:jc w:val="center"/>
        <w:tblLayout w:type="autofit"/>
        <w:tblCellMar>
          <w:top w:w="0" w:type="dxa"/>
          <w:left w:w="28" w:type="dxa"/>
          <w:bottom w:w="0" w:type="dxa"/>
          <w:right w:w="28" w:type="dxa"/>
        </w:tblCellMar>
      </w:tblPr>
      <w:tblGrid>
        <w:gridCol w:w="1474"/>
        <w:gridCol w:w="529"/>
        <w:gridCol w:w="831"/>
        <w:gridCol w:w="2239"/>
        <w:gridCol w:w="2916"/>
        <w:gridCol w:w="719"/>
        <w:gridCol w:w="779"/>
      </w:tblGrid>
      <w:tr>
        <w:tblPrEx>
          <w:tblCellMar>
            <w:top w:w="0" w:type="dxa"/>
            <w:left w:w="28" w:type="dxa"/>
            <w:bottom w:w="0" w:type="dxa"/>
            <w:right w:w="28" w:type="dxa"/>
          </w:tblCellMar>
        </w:tblPrEx>
        <w:trPr>
          <w:trHeight w:val="518" w:hRule="atLeast"/>
          <w:tblHeader/>
          <w:jc w:val="center"/>
        </w:trPr>
        <w:tc>
          <w:tcPr>
            <w:tcW w:w="777" w:type="pct"/>
            <w:tcBorders>
              <w:top w:val="single" w:color="auto" w:sz="12" w:space="0"/>
              <w:left w:val="single" w:color="auto" w:sz="12" w:space="0"/>
              <w:bottom w:val="single" w:color="auto" w:sz="4" w:space="0"/>
              <w:right w:val="single" w:color="auto" w:sz="4" w:space="0"/>
            </w:tcBorders>
            <w:noWrap w:val="0"/>
            <w:vAlign w:val="center"/>
          </w:tcPr>
          <w:p>
            <w:pPr>
              <w:spacing w:line="240" w:lineRule="exact"/>
              <w:jc w:val="center"/>
              <w:rPr>
                <w:rFonts w:eastAsia="方正黑体简体"/>
                <w:szCs w:val="21"/>
              </w:rPr>
            </w:pPr>
            <w:r>
              <w:rPr>
                <w:rFonts w:hint="eastAsia" w:eastAsia="方正黑体简体"/>
                <w:szCs w:val="21"/>
              </w:rPr>
              <w:t>一级指标</w:t>
            </w:r>
          </w:p>
        </w:tc>
        <w:tc>
          <w:tcPr>
            <w:tcW w:w="279" w:type="pct"/>
            <w:tcBorders>
              <w:top w:val="single" w:color="auto" w:sz="12" w:space="0"/>
              <w:left w:val="nil"/>
              <w:bottom w:val="single" w:color="auto" w:sz="4" w:space="0"/>
              <w:right w:val="single" w:color="auto" w:sz="4" w:space="0"/>
            </w:tcBorders>
            <w:noWrap w:val="0"/>
            <w:vAlign w:val="center"/>
          </w:tcPr>
          <w:p>
            <w:pPr>
              <w:spacing w:line="240" w:lineRule="exact"/>
              <w:jc w:val="center"/>
              <w:rPr>
                <w:rFonts w:eastAsia="方正黑体简体"/>
                <w:szCs w:val="21"/>
              </w:rPr>
            </w:pPr>
            <w:r>
              <w:rPr>
                <w:rFonts w:hint="eastAsia" w:eastAsia="方正黑体简体"/>
                <w:szCs w:val="21"/>
              </w:rPr>
              <w:t>二级指标</w:t>
            </w:r>
          </w:p>
        </w:tc>
        <w:tc>
          <w:tcPr>
            <w:tcW w:w="438" w:type="pct"/>
            <w:tcBorders>
              <w:top w:val="single" w:color="auto" w:sz="12" w:space="0"/>
              <w:left w:val="nil"/>
              <w:bottom w:val="single" w:color="auto" w:sz="4" w:space="0"/>
              <w:right w:val="single" w:color="auto" w:sz="4" w:space="0"/>
            </w:tcBorders>
            <w:noWrap w:val="0"/>
            <w:vAlign w:val="center"/>
          </w:tcPr>
          <w:p>
            <w:pPr>
              <w:spacing w:line="240" w:lineRule="exact"/>
              <w:jc w:val="center"/>
              <w:rPr>
                <w:rFonts w:eastAsia="方正黑体简体"/>
                <w:szCs w:val="21"/>
              </w:rPr>
            </w:pPr>
            <w:r>
              <w:rPr>
                <w:rFonts w:hint="eastAsia" w:eastAsia="方正黑体简体"/>
                <w:szCs w:val="21"/>
              </w:rPr>
              <w:t>三级指标</w:t>
            </w:r>
          </w:p>
        </w:tc>
        <w:tc>
          <w:tcPr>
            <w:tcW w:w="1180" w:type="pct"/>
            <w:tcBorders>
              <w:top w:val="single" w:color="auto" w:sz="12" w:space="0"/>
              <w:left w:val="nil"/>
              <w:bottom w:val="single" w:color="auto" w:sz="4" w:space="0"/>
              <w:right w:val="single" w:color="auto" w:sz="4" w:space="0"/>
            </w:tcBorders>
            <w:noWrap w:val="0"/>
            <w:vAlign w:val="center"/>
          </w:tcPr>
          <w:p>
            <w:pPr>
              <w:spacing w:line="240" w:lineRule="exact"/>
              <w:jc w:val="center"/>
              <w:rPr>
                <w:rFonts w:eastAsia="方正黑体简体"/>
                <w:szCs w:val="21"/>
              </w:rPr>
            </w:pPr>
            <w:r>
              <w:rPr>
                <w:rFonts w:hint="eastAsia" w:eastAsia="方正黑体简体"/>
                <w:szCs w:val="21"/>
              </w:rPr>
              <w:t>指标解释</w:t>
            </w:r>
          </w:p>
        </w:tc>
        <w:tc>
          <w:tcPr>
            <w:tcW w:w="1537" w:type="pct"/>
            <w:tcBorders>
              <w:top w:val="single" w:color="auto" w:sz="12" w:space="0"/>
              <w:left w:val="nil"/>
              <w:bottom w:val="single" w:color="auto" w:sz="4" w:space="0"/>
              <w:right w:val="single" w:color="auto" w:sz="4" w:space="0"/>
            </w:tcBorders>
            <w:noWrap w:val="0"/>
            <w:vAlign w:val="center"/>
          </w:tcPr>
          <w:p>
            <w:pPr>
              <w:spacing w:line="240" w:lineRule="exact"/>
              <w:jc w:val="center"/>
              <w:rPr>
                <w:rFonts w:eastAsia="方正黑体简体"/>
                <w:szCs w:val="21"/>
              </w:rPr>
            </w:pPr>
            <w:r>
              <w:rPr>
                <w:rFonts w:hint="eastAsia" w:eastAsia="方正黑体简体"/>
                <w:szCs w:val="21"/>
              </w:rPr>
              <w:t>指标说明</w:t>
            </w:r>
            <w:r>
              <w:rPr>
                <w:rFonts w:eastAsia="方正黑体简体"/>
                <w:szCs w:val="21"/>
              </w:rPr>
              <w:t>(</w:t>
            </w:r>
            <w:r>
              <w:rPr>
                <w:rFonts w:hint="eastAsia" w:eastAsia="方正黑体简体"/>
                <w:szCs w:val="21"/>
              </w:rPr>
              <w:t>评价计分标准）</w:t>
            </w:r>
          </w:p>
        </w:tc>
        <w:tc>
          <w:tcPr>
            <w:tcW w:w="379" w:type="pct"/>
            <w:tcBorders>
              <w:top w:val="single" w:color="auto" w:sz="12" w:space="0"/>
              <w:left w:val="nil"/>
              <w:bottom w:val="single" w:color="auto" w:sz="4" w:space="0"/>
              <w:right w:val="single" w:color="auto" w:sz="4" w:space="0"/>
            </w:tcBorders>
            <w:noWrap w:val="0"/>
            <w:vAlign w:val="center"/>
          </w:tcPr>
          <w:p>
            <w:pPr>
              <w:spacing w:line="240" w:lineRule="exact"/>
              <w:jc w:val="center"/>
              <w:rPr>
                <w:rFonts w:eastAsia="方正黑体简体"/>
                <w:szCs w:val="21"/>
              </w:rPr>
            </w:pPr>
            <w:r>
              <w:rPr>
                <w:rFonts w:hint="eastAsia" w:eastAsia="方正黑体简体"/>
                <w:szCs w:val="21"/>
              </w:rPr>
              <w:t>自评</w:t>
            </w:r>
          </w:p>
          <w:p>
            <w:pPr>
              <w:spacing w:line="240" w:lineRule="exact"/>
              <w:jc w:val="center"/>
              <w:rPr>
                <w:rFonts w:eastAsia="方正黑体简体"/>
                <w:szCs w:val="21"/>
              </w:rPr>
            </w:pPr>
            <w:r>
              <w:rPr>
                <w:rFonts w:hint="eastAsia" w:eastAsia="方正黑体简体"/>
                <w:szCs w:val="21"/>
              </w:rPr>
              <w:t>分数</w:t>
            </w:r>
          </w:p>
        </w:tc>
        <w:tc>
          <w:tcPr>
            <w:tcW w:w="410" w:type="pct"/>
            <w:tcBorders>
              <w:top w:val="single" w:color="auto" w:sz="12" w:space="0"/>
              <w:left w:val="nil"/>
              <w:bottom w:val="single" w:color="auto" w:sz="4" w:space="0"/>
              <w:right w:val="single" w:color="auto" w:sz="12" w:space="0"/>
            </w:tcBorders>
            <w:noWrap w:val="0"/>
            <w:vAlign w:val="center"/>
          </w:tcPr>
          <w:p>
            <w:pPr>
              <w:spacing w:line="240" w:lineRule="exact"/>
              <w:jc w:val="center"/>
              <w:rPr>
                <w:rFonts w:eastAsia="方正黑体简体"/>
                <w:szCs w:val="21"/>
              </w:rPr>
            </w:pPr>
            <w:r>
              <w:rPr>
                <w:rFonts w:hint="eastAsia" w:eastAsia="方正黑体简体"/>
                <w:szCs w:val="21"/>
              </w:rPr>
              <w:t>自评</w:t>
            </w:r>
          </w:p>
          <w:p>
            <w:pPr>
              <w:spacing w:line="240" w:lineRule="exact"/>
              <w:jc w:val="center"/>
              <w:rPr>
                <w:rFonts w:eastAsia="方正黑体简体"/>
                <w:szCs w:val="21"/>
              </w:rPr>
            </w:pPr>
            <w:r>
              <w:rPr>
                <w:rFonts w:hint="eastAsia" w:eastAsia="方正黑体简体"/>
                <w:szCs w:val="21"/>
              </w:rPr>
              <w:t>依据及说明</w:t>
            </w:r>
          </w:p>
        </w:tc>
      </w:tr>
      <w:tr>
        <w:tblPrEx>
          <w:tblCellMar>
            <w:top w:w="0" w:type="dxa"/>
            <w:left w:w="28" w:type="dxa"/>
            <w:bottom w:w="0" w:type="dxa"/>
            <w:right w:w="28" w:type="dxa"/>
          </w:tblCellMar>
        </w:tblPrEx>
        <w:trPr>
          <w:trHeight w:val="1330" w:hRule="atLeast"/>
          <w:jc w:val="center"/>
        </w:trPr>
        <w:tc>
          <w:tcPr>
            <w:tcW w:w="777" w:type="pct"/>
            <w:vMerge w:val="restart"/>
            <w:tcBorders>
              <w:top w:val="nil"/>
              <w:left w:val="single" w:color="auto" w:sz="12" w:space="0"/>
              <w:bottom w:val="single" w:color="000000" w:sz="4" w:space="0"/>
              <w:right w:val="single" w:color="auto" w:sz="4" w:space="0"/>
            </w:tcBorders>
            <w:noWrap/>
            <w:vAlign w:val="center"/>
          </w:tcPr>
          <w:p>
            <w:pPr>
              <w:spacing w:line="240" w:lineRule="exact"/>
              <w:jc w:val="center"/>
              <w:rPr>
                <w:szCs w:val="21"/>
              </w:rPr>
            </w:pPr>
            <w:r>
              <w:rPr>
                <w:rFonts w:hint="eastAsia"/>
                <w:szCs w:val="21"/>
              </w:rPr>
              <w:t>投入（</w:t>
            </w:r>
            <w:r>
              <w:rPr>
                <w:szCs w:val="21"/>
              </w:rPr>
              <w:t>20</w:t>
            </w:r>
            <w:r>
              <w:rPr>
                <w:rFonts w:hint="eastAsia"/>
                <w:szCs w:val="21"/>
              </w:rPr>
              <w:t>分）</w:t>
            </w:r>
          </w:p>
        </w:tc>
        <w:tc>
          <w:tcPr>
            <w:tcW w:w="279" w:type="pct"/>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szCs w:val="21"/>
              </w:rPr>
            </w:pPr>
            <w:r>
              <w:rPr>
                <w:rFonts w:hint="eastAsia"/>
                <w:szCs w:val="21"/>
              </w:rPr>
              <w:t>目标设定（</w:t>
            </w:r>
            <w:r>
              <w:rPr>
                <w:szCs w:val="21"/>
              </w:rPr>
              <w:t>5</w:t>
            </w:r>
            <w:r>
              <w:rPr>
                <w:rFonts w:hint="eastAsia"/>
                <w:szCs w:val="21"/>
              </w:rPr>
              <w:t>分）</w:t>
            </w:r>
          </w:p>
        </w:tc>
        <w:tc>
          <w:tcPr>
            <w:tcW w:w="438"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绩效目标合理性（</w:t>
            </w:r>
            <w:r>
              <w:rPr>
                <w:szCs w:val="21"/>
              </w:rPr>
              <w:t>2</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部门（单位）所设立的整体绩效目标依据是否充分，是否符合客观实际，用以反映和考核部门（单位）整体绩效目标与部门履职、年度工作任务的相符性情况。</w:t>
            </w:r>
          </w:p>
        </w:tc>
        <w:tc>
          <w:tcPr>
            <w:tcW w:w="1537"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①是否符合国家法律法规、国民经济和社会发展总体规划；</w:t>
            </w:r>
            <w:r>
              <w:rPr>
                <w:szCs w:val="21"/>
              </w:rPr>
              <w:t>(1</w:t>
            </w:r>
            <w:r>
              <w:rPr>
                <w:rFonts w:hint="eastAsia"/>
                <w:szCs w:val="21"/>
              </w:rPr>
              <w:t>分）</w:t>
            </w:r>
          </w:p>
          <w:p>
            <w:pPr>
              <w:spacing w:line="240" w:lineRule="exact"/>
              <w:rPr>
                <w:szCs w:val="21"/>
              </w:rPr>
            </w:pPr>
            <w:r>
              <w:rPr>
                <w:rFonts w:hint="eastAsia"/>
                <w:szCs w:val="21"/>
              </w:rPr>
              <w:t>②是否符合部门“三定”方案确定的职责；（</w:t>
            </w:r>
            <w:r>
              <w:rPr>
                <w:szCs w:val="21"/>
              </w:rPr>
              <w:t>0.5</w:t>
            </w:r>
            <w:r>
              <w:rPr>
                <w:rFonts w:hint="eastAsia"/>
                <w:szCs w:val="21"/>
              </w:rPr>
              <w:t>分）</w:t>
            </w:r>
          </w:p>
          <w:p>
            <w:pPr>
              <w:spacing w:line="240" w:lineRule="exact"/>
              <w:rPr>
                <w:szCs w:val="21"/>
              </w:rPr>
            </w:pPr>
            <w:r>
              <w:rPr>
                <w:rFonts w:hint="eastAsia"/>
                <w:szCs w:val="21"/>
              </w:rPr>
              <w:t>③是否符合部门制定的中长期实施规划。（</w:t>
            </w:r>
            <w:r>
              <w:rPr>
                <w:szCs w:val="21"/>
              </w:rPr>
              <w:t>0.5</w:t>
            </w:r>
            <w:r>
              <w:rPr>
                <w:rFonts w:hint="eastAsia"/>
                <w:szCs w:val="21"/>
              </w:rPr>
              <w:t>分）</w:t>
            </w:r>
          </w:p>
        </w:tc>
        <w:tc>
          <w:tcPr>
            <w:tcW w:w="379" w:type="pct"/>
            <w:tcBorders>
              <w:top w:val="nil"/>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2</w:t>
            </w:r>
          </w:p>
        </w:tc>
        <w:tc>
          <w:tcPr>
            <w:tcW w:w="410" w:type="pct"/>
            <w:tcBorders>
              <w:top w:val="nil"/>
              <w:left w:val="nil"/>
              <w:bottom w:val="single" w:color="auto" w:sz="4" w:space="0"/>
              <w:right w:val="single" w:color="auto" w:sz="12" w:space="0"/>
            </w:tcBorders>
            <w:noWrap/>
            <w:vAlign w:val="center"/>
          </w:tcPr>
          <w:p>
            <w:pPr>
              <w:spacing w:line="240" w:lineRule="exact"/>
              <w:jc w:val="center"/>
              <w:rPr>
                <w:szCs w:val="21"/>
              </w:rPr>
            </w:pPr>
          </w:p>
        </w:tc>
      </w:tr>
      <w:tr>
        <w:tblPrEx>
          <w:tblCellMar>
            <w:top w:w="0" w:type="dxa"/>
            <w:left w:w="28" w:type="dxa"/>
            <w:bottom w:w="0" w:type="dxa"/>
            <w:right w:w="28" w:type="dxa"/>
          </w:tblCellMar>
        </w:tblPrEx>
        <w:trPr>
          <w:trHeight w:val="1447" w:hRule="atLeast"/>
          <w:jc w:val="center"/>
        </w:trPr>
        <w:tc>
          <w:tcPr>
            <w:tcW w:w="777" w:type="pct"/>
            <w:vMerge w:val="continue"/>
            <w:tcBorders>
              <w:top w:val="nil"/>
              <w:left w:val="single" w:color="auto" w:sz="12" w:space="0"/>
              <w:bottom w:val="single" w:color="000000" w:sz="4" w:space="0"/>
              <w:right w:val="single" w:color="auto" w:sz="4" w:space="0"/>
            </w:tcBorders>
            <w:noWrap w:val="0"/>
            <w:vAlign w:val="center"/>
          </w:tcPr>
          <w:p>
            <w:pPr>
              <w:spacing w:line="240" w:lineRule="exact"/>
              <w:jc w:val="center"/>
              <w:rPr>
                <w:szCs w:val="21"/>
              </w:rPr>
            </w:pPr>
          </w:p>
        </w:tc>
        <w:tc>
          <w:tcPr>
            <w:tcW w:w="279"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438"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绩效指标明确性（</w:t>
            </w:r>
            <w:r>
              <w:rPr>
                <w:szCs w:val="21"/>
              </w:rPr>
              <w:t>3</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部门（单位）依据整体绩效目标所设定的绩效指标是否清晰、细化、可衡量，用以反映和考核部门（单位）整体绩效目标的明细化情况。</w:t>
            </w:r>
          </w:p>
        </w:tc>
        <w:tc>
          <w:tcPr>
            <w:tcW w:w="1537"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①是否将部门整体的绩效目标细化分解为具体的工作任务；（</w:t>
            </w:r>
            <w:r>
              <w:rPr>
                <w:szCs w:val="21"/>
              </w:rPr>
              <w:t>1</w:t>
            </w:r>
            <w:r>
              <w:rPr>
                <w:rFonts w:hint="eastAsia"/>
                <w:szCs w:val="21"/>
              </w:rPr>
              <w:t>分）</w:t>
            </w:r>
          </w:p>
          <w:p>
            <w:pPr>
              <w:spacing w:line="240" w:lineRule="exact"/>
              <w:rPr>
                <w:szCs w:val="21"/>
              </w:rPr>
            </w:pPr>
            <w:r>
              <w:rPr>
                <w:rFonts w:hint="eastAsia"/>
                <w:szCs w:val="21"/>
              </w:rPr>
              <w:t>②是否通过清晰、可衡量的指标值予以体现</w:t>
            </w:r>
            <w:r>
              <w:rPr>
                <w:szCs w:val="21"/>
              </w:rPr>
              <w:t>;(0.5</w:t>
            </w:r>
            <w:r>
              <w:rPr>
                <w:rFonts w:hint="eastAsia"/>
                <w:szCs w:val="21"/>
              </w:rPr>
              <w:t>分）</w:t>
            </w:r>
            <w:r>
              <w:rPr>
                <w:szCs w:val="21"/>
              </w:rPr>
              <w:t xml:space="preserve">    </w:t>
            </w:r>
            <w:r>
              <w:rPr>
                <w:rFonts w:hint="eastAsia"/>
                <w:szCs w:val="21"/>
              </w:rPr>
              <w:t>③是否与部门年度的任务数或计划数相对应；（</w:t>
            </w:r>
            <w:r>
              <w:rPr>
                <w:szCs w:val="21"/>
              </w:rPr>
              <w:t>0.5</w:t>
            </w:r>
            <w:r>
              <w:rPr>
                <w:rFonts w:hint="eastAsia"/>
                <w:szCs w:val="21"/>
              </w:rPr>
              <w:t>分）</w:t>
            </w:r>
          </w:p>
          <w:p>
            <w:pPr>
              <w:spacing w:line="240" w:lineRule="exact"/>
              <w:rPr>
                <w:szCs w:val="21"/>
              </w:rPr>
            </w:pPr>
            <w:r>
              <w:rPr>
                <w:rFonts w:hint="eastAsia"/>
                <w:szCs w:val="21"/>
              </w:rPr>
              <w:t>④是否与本年度部门预算资金相匹配。（</w:t>
            </w:r>
            <w:r>
              <w:rPr>
                <w:szCs w:val="21"/>
              </w:rPr>
              <w:t>1</w:t>
            </w:r>
            <w:r>
              <w:rPr>
                <w:rFonts w:hint="eastAsia"/>
                <w:szCs w:val="21"/>
              </w:rPr>
              <w:t>分）</w:t>
            </w:r>
          </w:p>
        </w:tc>
        <w:tc>
          <w:tcPr>
            <w:tcW w:w="379" w:type="pct"/>
            <w:tcBorders>
              <w:top w:val="nil"/>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3</w:t>
            </w:r>
          </w:p>
        </w:tc>
        <w:tc>
          <w:tcPr>
            <w:tcW w:w="410" w:type="pct"/>
            <w:tcBorders>
              <w:top w:val="nil"/>
              <w:left w:val="nil"/>
              <w:bottom w:val="single" w:color="auto" w:sz="4" w:space="0"/>
              <w:right w:val="single" w:color="auto" w:sz="12" w:space="0"/>
            </w:tcBorders>
            <w:noWrap/>
            <w:vAlign w:val="center"/>
          </w:tcPr>
          <w:p>
            <w:pPr>
              <w:spacing w:line="240" w:lineRule="exact"/>
              <w:jc w:val="center"/>
              <w:rPr>
                <w:szCs w:val="21"/>
              </w:rPr>
            </w:pPr>
          </w:p>
        </w:tc>
      </w:tr>
      <w:tr>
        <w:tblPrEx>
          <w:tblCellMar>
            <w:top w:w="0" w:type="dxa"/>
            <w:left w:w="28" w:type="dxa"/>
            <w:bottom w:w="0" w:type="dxa"/>
            <w:right w:w="28" w:type="dxa"/>
          </w:tblCellMar>
        </w:tblPrEx>
        <w:trPr>
          <w:trHeight w:val="1200" w:hRule="atLeast"/>
          <w:jc w:val="center"/>
        </w:trPr>
        <w:tc>
          <w:tcPr>
            <w:tcW w:w="777" w:type="pct"/>
            <w:vMerge w:val="continue"/>
            <w:tcBorders>
              <w:top w:val="nil"/>
              <w:left w:val="single" w:color="auto" w:sz="12" w:space="0"/>
              <w:bottom w:val="single" w:color="000000" w:sz="4" w:space="0"/>
              <w:right w:val="single" w:color="auto" w:sz="4" w:space="0"/>
            </w:tcBorders>
            <w:noWrap w:val="0"/>
            <w:vAlign w:val="center"/>
          </w:tcPr>
          <w:p>
            <w:pPr>
              <w:spacing w:line="240" w:lineRule="exact"/>
              <w:jc w:val="center"/>
              <w:rPr>
                <w:szCs w:val="21"/>
              </w:rPr>
            </w:pPr>
          </w:p>
        </w:tc>
        <w:tc>
          <w:tcPr>
            <w:tcW w:w="279" w:type="pct"/>
            <w:vMerge w:val="restart"/>
            <w:tcBorders>
              <w:top w:val="nil"/>
              <w:left w:val="single" w:color="auto" w:sz="4" w:space="0"/>
              <w:bottom w:val="single" w:color="000000" w:sz="4" w:space="0"/>
              <w:right w:val="single" w:color="auto" w:sz="4" w:space="0"/>
            </w:tcBorders>
            <w:noWrap w:val="0"/>
            <w:vAlign w:val="center"/>
          </w:tcPr>
          <w:p>
            <w:pPr>
              <w:spacing w:line="240" w:lineRule="exact"/>
              <w:jc w:val="center"/>
              <w:rPr>
                <w:szCs w:val="21"/>
              </w:rPr>
            </w:pPr>
            <w:r>
              <w:rPr>
                <w:rFonts w:hint="eastAsia"/>
                <w:szCs w:val="21"/>
              </w:rPr>
              <w:t>预算配置（</w:t>
            </w:r>
            <w:r>
              <w:rPr>
                <w:szCs w:val="21"/>
              </w:rPr>
              <w:t>15</w:t>
            </w:r>
            <w:r>
              <w:rPr>
                <w:rFonts w:hint="eastAsia"/>
                <w:szCs w:val="21"/>
              </w:rPr>
              <w:t>分）</w:t>
            </w:r>
          </w:p>
        </w:tc>
        <w:tc>
          <w:tcPr>
            <w:tcW w:w="438"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在职人员控制率（</w:t>
            </w:r>
            <w:r>
              <w:rPr>
                <w:szCs w:val="21"/>
              </w:rPr>
              <w:t>5</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部门（单位）本年度实际在职人员数与编制数的比率，用以反映和考核部门（单位）对人员成本的控制程度。</w:t>
            </w:r>
          </w:p>
        </w:tc>
        <w:tc>
          <w:tcPr>
            <w:tcW w:w="1537"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在职人员控制率</w:t>
            </w:r>
            <w:r>
              <w:rPr>
                <w:szCs w:val="21"/>
              </w:rPr>
              <w:t>=</w:t>
            </w:r>
            <w:r>
              <w:rPr>
                <w:rFonts w:hint="eastAsia"/>
                <w:szCs w:val="21"/>
              </w:rPr>
              <w:t>（在职人员数</w:t>
            </w:r>
            <w:r>
              <w:rPr>
                <w:szCs w:val="21"/>
              </w:rPr>
              <w:t>/</w:t>
            </w:r>
            <w:r>
              <w:rPr>
                <w:rFonts w:hint="eastAsia"/>
                <w:szCs w:val="21"/>
              </w:rPr>
              <w:t>编制数）×</w:t>
            </w:r>
            <w:r>
              <w:rPr>
                <w:szCs w:val="21"/>
              </w:rPr>
              <w:t>100%</w:t>
            </w:r>
            <w:r>
              <w:rPr>
                <w:rFonts w:hint="eastAsia"/>
                <w:szCs w:val="21"/>
              </w:rPr>
              <w:t>。（小于或等于</w:t>
            </w:r>
            <w:r>
              <w:rPr>
                <w:szCs w:val="21"/>
              </w:rPr>
              <w:t>1</w:t>
            </w:r>
            <w:r>
              <w:rPr>
                <w:rFonts w:hint="eastAsia"/>
                <w:szCs w:val="21"/>
              </w:rPr>
              <w:t>计</w:t>
            </w:r>
            <w:r>
              <w:rPr>
                <w:szCs w:val="21"/>
              </w:rPr>
              <w:t>5</w:t>
            </w:r>
            <w:r>
              <w:rPr>
                <w:rFonts w:hint="eastAsia"/>
                <w:szCs w:val="21"/>
              </w:rPr>
              <w:t>分，否则按比例计分）</w:t>
            </w:r>
          </w:p>
          <w:p>
            <w:pPr>
              <w:spacing w:line="240" w:lineRule="exact"/>
              <w:rPr>
                <w:szCs w:val="21"/>
              </w:rPr>
            </w:pPr>
            <w:r>
              <w:rPr>
                <w:rFonts w:hint="eastAsia"/>
                <w:szCs w:val="21"/>
              </w:rPr>
              <w:t>在职人员数：部门（单位）实际在职人数，以财政部确定的部门决算编制口径为准。</w:t>
            </w:r>
          </w:p>
          <w:p>
            <w:pPr>
              <w:spacing w:line="240" w:lineRule="exact"/>
              <w:rPr>
                <w:szCs w:val="21"/>
              </w:rPr>
            </w:pPr>
            <w:r>
              <w:rPr>
                <w:rFonts w:hint="eastAsia"/>
                <w:szCs w:val="21"/>
              </w:rPr>
              <w:t>编制数：机构编制部门核定批复的部门（单位）的人员编制数。</w:t>
            </w:r>
          </w:p>
        </w:tc>
        <w:tc>
          <w:tcPr>
            <w:tcW w:w="379" w:type="pct"/>
            <w:tcBorders>
              <w:top w:val="nil"/>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5</w:t>
            </w:r>
          </w:p>
        </w:tc>
        <w:tc>
          <w:tcPr>
            <w:tcW w:w="410" w:type="pct"/>
            <w:tcBorders>
              <w:top w:val="nil"/>
              <w:left w:val="nil"/>
              <w:bottom w:val="single" w:color="auto" w:sz="4" w:space="0"/>
              <w:right w:val="single" w:color="auto" w:sz="12" w:space="0"/>
            </w:tcBorders>
            <w:noWrap/>
            <w:vAlign w:val="center"/>
          </w:tcPr>
          <w:p>
            <w:pPr>
              <w:spacing w:line="240" w:lineRule="exact"/>
              <w:jc w:val="center"/>
              <w:rPr>
                <w:szCs w:val="21"/>
              </w:rPr>
            </w:pPr>
          </w:p>
        </w:tc>
      </w:tr>
      <w:tr>
        <w:tblPrEx>
          <w:tblCellMar>
            <w:top w:w="0" w:type="dxa"/>
            <w:left w:w="28" w:type="dxa"/>
            <w:bottom w:w="0" w:type="dxa"/>
            <w:right w:w="28" w:type="dxa"/>
          </w:tblCellMar>
        </w:tblPrEx>
        <w:trPr>
          <w:trHeight w:val="1259" w:hRule="atLeast"/>
          <w:jc w:val="center"/>
        </w:trPr>
        <w:tc>
          <w:tcPr>
            <w:tcW w:w="777" w:type="pct"/>
            <w:vMerge w:val="continue"/>
            <w:tcBorders>
              <w:top w:val="nil"/>
              <w:left w:val="single" w:color="auto" w:sz="12" w:space="0"/>
              <w:bottom w:val="single" w:color="000000" w:sz="4" w:space="0"/>
              <w:right w:val="single" w:color="auto" w:sz="4" w:space="0"/>
            </w:tcBorders>
            <w:noWrap w:val="0"/>
            <w:vAlign w:val="center"/>
          </w:tcPr>
          <w:p>
            <w:pPr>
              <w:spacing w:line="240" w:lineRule="exact"/>
              <w:jc w:val="center"/>
              <w:rPr>
                <w:szCs w:val="21"/>
              </w:rPr>
            </w:pPr>
          </w:p>
        </w:tc>
        <w:tc>
          <w:tcPr>
            <w:tcW w:w="279" w:type="pct"/>
            <w:vMerge w:val="continue"/>
            <w:tcBorders>
              <w:top w:val="nil"/>
              <w:left w:val="single" w:color="auto" w:sz="4" w:space="0"/>
              <w:bottom w:val="single" w:color="000000" w:sz="4" w:space="0"/>
              <w:right w:val="single" w:color="auto" w:sz="4" w:space="0"/>
            </w:tcBorders>
            <w:noWrap w:val="0"/>
            <w:vAlign w:val="center"/>
          </w:tcPr>
          <w:p>
            <w:pPr>
              <w:spacing w:line="240" w:lineRule="exact"/>
              <w:jc w:val="center"/>
              <w:rPr>
                <w:szCs w:val="21"/>
              </w:rPr>
            </w:pPr>
          </w:p>
        </w:tc>
        <w:tc>
          <w:tcPr>
            <w:tcW w:w="438"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“三公经费”变动率（</w:t>
            </w:r>
            <w:r>
              <w:rPr>
                <w:szCs w:val="21"/>
              </w:rPr>
              <w:t>5</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部门（单位）本年度“三公经费”预算数与上年度“三公经费”预算数的变动比率，用以反映和考核部门（单位）对控制重点行政成本的努力程度。</w:t>
            </w:r>
          </w:p>
        </w:tc>
        <w:tc>
          <w:tcPr>
            <w:tcW w:w="1537"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“三公经费”变动率</w:t>
            </w:r>
            <w:r>
              <w:rPr>
                <w:szCs w:val="21"/>
              </w:rPr>
              <w:t>=[</w:t>
            </w:r>
            <w:r>
              <w:rPr>
                <w:rFonts w:hint="eastAsia"/>
                <w:szCs w:val="21"/>
              </w:rPr>
              <w:t>（本年度“三公经费”总额</w:t>
            </w:r>
            <w:r>
              <w:rPr>
                <w:szCs w:val="21"/>
              </w:rPr>
              <w:t>-</w:t>
            </w:r>
            <w:r>
              <w:rPr>
                <w:rFonts w:hint="eastAsia"/>
                <w:szCs w:val="21"/>
              </w:rPr>
              <w:t>上年度“三公经费”总额）</w:t>
            </w:r>
            <w:r>
              <w:rPr>
                <w:szCs w:val="21"/>
              </w:rPr>
              <w:t>/</w:t>
            </w:r>
            <w:r>
              <w:rPr>
                <w:rFonts w:hint="eastAsia"/>
                <w:szCs w:val="21"/>
              </w:rPr>
              <w:t>上年度“三公经费”总额</w:t>
            </w:r>
            <w:r>
              <w:rPr>
                <w:szCs w:val="21"/>
              </w:rPr>
              <w:t>]</w:t>
            </w:r>
            <w:r>
              <w:rPr>
                <w:rFonts w:hint="eastAsia"/>
                <w:szCs w:val="21"/>
              </w:rPr>
              <w:t>×</w:t>
            </w:r>
            <w:r>
              <w:rPr>
                <w:szCs w:val="21"/>
              </w:rPr>
              <w:t>100%</w:t>
            </w:r>
            <w:r>
              <w:rPr>
                <w:rFonts w:hint="eastAsia"/>
                <w:szCs w:val="21"/>
              </w:rPr>
              <w:t>。（下降的计</w:t>
            </w:r>
            <w:r>
              <w:rPr>
                <w:szCs w:val="21"/>
              </w:rPr>
              <w:t>5</w:t>
            </w:r>
            <w:r>
              <w:rPr>
                <w:rFonts w:hint="eastAsia"/>
                <w:szCs w:val="21"/>
              </w:rPr>
              <w:t>分，增加的按比例扣减）</w:t>
            </w:r>
          </w:p>
          <w:p>
            <w:pPr>
              <w:spacing w:line="240" w:lineRule="exact"/>
              <w:rPr>
                <w:szCs w:val="21"/>
              </w:rPr>
            </w:pPr>
            <w:r>
              <w:rPr>
                <w:rFonts w:hint="eastAsia"/>
                <w:szCs w:val="21"/>
              </w:rPr>
              <w:t>“三公经费”：年度预算安排的因公出国（境）费、公务车辆购置及运行费和公务招待费。</w:t>
            </w:r>
          </w:p>
        </w:tc>
        <w:tc>
          <w:tcPr>
            <w:tcW w:w="379" w:type="pct"/>
            <w:tcBorders>
              <w:top w:val="nil"/>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5</w:t>
            </w:r>
          </w:p>
        </w:tc>
        <w:tc>
          <w:tcPr>
            <w:tcW w:w="410" w:type="pct"/>
            <w:tcBorders>
              <w:top w:val="nil"/>
              <w:left w:val="nil"/>
              <w:bottom w:val="single" w:color="auto" w:sz="4" w:space="0"/>
              <w:right w:val="single" w:color="auto" w:sz="12" w:space="0"/>
            </w:tcBorders>
            <w:noWrap/>
            <w:vAlign w:val="center"/>
          </w:tcPr>
          <w:p>
            <w:pPr>
              <w:spacing w:line="240" w:lineRule="exact"/>
              <w:jc w:val="center"/>
              <w:rPr>
                <w:szCs w:val="21"/>
              </w:rPr>
            </w:pPr>
          </w:p>
        </w:tc>
      </w:tr>
      <w:tr>
        <w:tblPrEx>
          <w:tblCellMar>
            <w:top w:w="0" w:type="dxa"/>
            <w:left w:w="28" w:type="dxa"/>
            <w:bottom w:w="0" w:type="dxa"/>
            <w:right w:w="28" w:type="dxa"/>
          </w:tblCellMar>
        </w:tblPrEx>
        <w:trPr>
          <w:trHeight w:val="1534" w:hRule="atLeast"/>
          <w:jc w:val="center"/>
        </w:trPr>
        <w:tc>
          <w:tcPr>
            <w:tcW w:w="777" w:type="pct"/>
            <w:vMerge w:val="continue"/>
            <w:tcBorders>
              <w:top w:val="nil"/>
              <w:left w:val="single" w:color="auto" w:sz="12" w:space="0"/>
              <w:bottom w:val="single" w:color="000000" w:sz="4" w:space="0"/>
              <w:right w:val="single" w:color="auto" w:sz="4" w:space="0"/>
            </w:tcBorders>
            <w:noWrap w:val="0"/>
            <w:vAlign w:val="center"/>
          </w:tcPr>
          <w:p>
            <w:pPr>
              <w:spacing w:line="240" w:lineRule="exact"/>
              <w:jc w:val="center"/>
              <w:rPr>
                <w:szCs w:val="21"/>
              </w:rPr>
            </w:pPr>
          </w:p>
        </w:tc>
        <w:tc>
          <w:tcPr>
            <w:tcW w:w="279" w:type="pct"/>
            <w:vMerge w:val="continue"/>
            <w:tcBorders>
              <w:top w:val="nil"/>
              <w:left w:val="single" w:color="auto" w:sz="4" w:space="0"/>
              <w:bottom w:val="single" w:color="000000" w:sz="4" w:space="0"/>
              <w:right w:val="single" w:color="auto" w:sz="4" w:space="0"/>
            </w:tcBorders>
            <w:noWrap w:val="0"/>
            <w:vAlign w:val="center"/>
          </w:tcPr>
          <w:p>
            <w:pPr>
              <w:spacing w:line="240" w:lineRule="exact"/>
              <w:jc w:val="center"/>
              <w:rPr>
                <w:szCs w:val="21"/>
              </w:rPr>
            </w:pPr>
          </w:p>
        </w:tc>
        <w:tc>
          <w:tcPr>
            <w:tcW w:w="438"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重点支出安排率（</w:t>
            </w:r>
            <w:r>
              <w:rPr>
                <w:szCs w:val="21"/>
              </w:rPr>
              <w:t>5</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部门（单位）本年度预算安排的重点项目支出与部门项目总支出的比率，用以反映和考核部门（单位）对履行主要职责或完成重点任务的保障程度。</w:t>
            </w:r>
          </w:p>
        </w:tc>
        <w:tc>
          <w:tcPr>
            <w:tcW w:w="1537"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重点支出安排率</w:t>
            </w:r>
            <w:r>
              <w:rPr>
                <w:szCs w:val="21"/>
              </w:rPr>
              <w:t>=</w:t>
            </w:r>
            <w:r>
              <w:rPr>
                <w:rFonts w:hint="eastAsia"/>
                <w:szCs w:val="21"/>
              </w:rPr>
              <w:t>（重点项目支出</w:t>
            </w:r>
            <w:r>
              <w:rPr>
                <w:szCs w:val="21"/>
              </w:rPr>
              <w:t>/</w:t>
            </w:r>
            <w:r>
              <w:rPr>
                <w:rFonts w:hint="eastAsia"/>
                <w:szCs w:val="21"/>
              </w:rPr>
              <w:t>项目总支出）×</w:t>
            </w:r>
            <w:r>
              <w:rPr>
                <w:szCs w:val="21"/>
              </w:rPr>
              <w:t>100%</w:t>
            </w:r>
            <w:r>
              <w:rPr>
                <w:rFonts w:hint="eastAsia"/>
                <w:szCs w:val="21"/>
              </w:rPr>
              <w:t>。（实际得分</w:t>
            </w:r>
            <w:r>
              <w:rPr>
                <w:szCs w:val="21"/>
              </w:rPr>
              <w:t>=</w:t>
            </w:r>
            <w:r>
              <w:rPr>
                <w:rFonts w:hint="eastAsia"/>
                <w:szCs w:val="21"/>
              </w:rPr>
              <w:t>支出安排率</w:t>
            </w:r>
            <w:r>
              <w:rPr>
                <w:szCs w:val="21"/>
              </w:rPr>
              <w:t>*5</w:t>
            </w:r>
            <w:r>
              <w:rPr>
                <w:rFonts w:hint="eastAsia"/>
                <w:szCs w:val="21"/>
              </w:rPr>
              <w:t>分）</w:t>
            </w:r>
          </w:p>
          <w:p>
            <w:pPr>
              <w:spacing w:line="240" w:lineRule="exact"/>
              <w:rPr>
                <w:szCs w:val="21"/>
              </w:rPr>
            </w:pPr>
            <w:r>
              <w:rPr>
                <w:rFonts w:hint="eastAsia"/>
                <w:szCs w:val="21"/>
              </w:rPr>
              <w:t>重点项目支出：部门（单位）年度预算安排的，与本部门履职和发展密切相关、具有明显社会和经济影响、党委政府关心或社会比较关注的项目支出总额。</w:t>
            </w:r>
          </w:p>
          <w:p>
            <w:pPr>
              <w:spacing w:line="240" w:lineRule="exact"/>
              <w:rPr>
                <w:szCs w:val="21"/>
              </w:rPr>
            </w:pPr>
            <w:r>
              <w:rPr>
                <w:rFonts w:hint="eastAsia"/>
                <w:szCs w:val="21"/>
              </w:rPr>
              <w:t>项目总支出：部门（单位）年度预算安排的项目支出总额。</w:t>
            </w:r>
          </w:p>
        </w:tc>
        <w:tc>
          <w:tcPr>
            <w:tcW w:w="379" w:type="pct"/>
            <w:tcBorders>
              <w:top w:val="nil"/>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5</w:t>
            </w:r>
          </w:p>
        </w:tc>
        <w:tc>
          <w:tcPr>
            <w:tcW w:w="410" w:type="pct"/>
            <w:tcBorders>
              <w:top w:val="nil"/>
              <w:left w:val="nil"/>
              <w:bottom w:val="single" w:color="auto" w:sz="4" w:space="0"/>
              <w:right w:val="single" w:color="auto" w:sz="12" w:space="0"/>
            </w:tcBorders>
            <w:noWrap/>
            <w:vAlign w:val="center"/>
          </w:tcPr>
          <w:p>
            <w:pPr>
              <w:spacing w:line="240" w:lineRule="exact"/>
              <w:jc w:val="center"/>
              <w:rPr>
                <w:szCs w:val="21"/>
              </w:rPr>
            </w:pPr>
          </w:p>
        </w:tc>
      </w:tr>
      <w:tr>
        <w:tblPrEx>
          <w:tblCellMar>
            <w:top w:w="0" w:type="dxa"/>
            <w:left w:w="28" w:type="dxa"/>
            <w:bottom w:w="0" w:type="dxa"/>
            <w:right w:w="28" w:type="dxa"/>
          </w:tblCellMar>
        </w:tblPrEx>
        <w:trPr>
          <w:trHeight w:val="1330" w:hRule="atLeast"/>
          <w:jc w:val="center"/>
        </w:trPr>
        <w:tc>
          <w:tcPr>
            <w:tcW w:w="777" w:type="pct"/>
            <w:vMerge w:val="restart"/>
            <w:tcBorders>
              <w:top w:val="nil"/>
              <w:left w:val="single" w:color="auto" w:sz="12" w:space="0"/>
              <w:right w:val="single" w:color="auto" w:sz="4" w:space="0"/>
            </w:tcBorders>
            <w:shd w:val="clear" w:color="auto" w:fill="auto"/>
            <w:noWrap/>
            <w:vAlign w:val="center"/>
          </w:tcPr>
          <w:p>
            <w:pPr>
              <w:spacing w:line="260" w:lineRule="exact"/>
              <w:jc w:val="center"/>
              <w:rPr>
                <w:szCs w:val="21"/>
              </w:rPr>
            </w:pPr>
            <w:r>
              <w:rPr>
                <w:rFonts w:hint="eastAsia"/>
                <w:szCs w:val="21"/>
              </w:rPr>
              <w:t>过程（</w:t>
            </w:r>
            <w:r>
              <w:rPr>
                <w:szCs w:val="21"/>
              </w:rPr>
              <w:t>30</w:t>
            </w:r>
            <w:r>
              <w:rPr>
                <w:rFonts w:hint="eastAsia"/>
                <w:szCs w:val="21"/>
              </w:rPr>
              <w:t>分）</w:t>
            </w:r>
          </w:p>
        </w:tc>
        <w:tc>
          <w:tcPr>
            <w:tcW w:w="279" w:type="pct"/>
            <w:vMerge w:val="restart"/>
            <w:tcBorders>
              <w:top w:val="nil"/>
              <w:left w:val="single" w:color="auto" w:sz="4" w:space="0"/>
              <w:right w:val="single" w:color="auto" w:sz="4" w:space="0"/>
            </w:tcBorders>
            <w:shd w:val="clear" w:color="auto" w:fill="auto"/>
            <w:noWrap w:val="0"/>
            <w:vAlign w:val="center"/>
          </w:tcPr>
          <w:p>
            <w:pPr>
              <w:spacing w:line="260" w:lineRule="exact"/>
              <w:jc w:val="center"/>
              <w:rPr>
                <w:szCs w:val="21"/>
              </w:rPr>
            </w:pPr>
            <w:r>
              <w:rPr>
                <w:rFonts w:hint="eastAsia"/>
                <w:szCs w:val="21"/>
              </w:rPr>
              <w:t>预算执行（</w:t>
            </w:r>
            <w:r>
              <w:rPr>
                <w:szCs w:val="21"/>
              </w:rPr>
              <w:t>20</w:t>
            </w:r>
            <w:r>
              <w:rPr>
                <w:rFonts w:hint="eastAsia"/>
                <w:szCs w:val="21"/>
              </w:rPr>
              <w:t>分）</w:t>
            </w:r>
          </w:p>
        </w:tc>
        <w:tc>
          <w:tcPr>
            <w:tcW w:w="438" w:type="pct"/>
            <w:tcBorders>
              <w:top w:val="nil"/>
              <w:left w:val="nil"/>
              <w:bottom w:val="single" w:color="auto" w:sz="4" w:space="0"/>
              <w:right w:val="single" w:color="auto" w:sz="4" w:space="0"/>
            </w:tcBorders>
            <w:noWrap w:val="0"/>
            <w:vAlign w:val="center"/>
          </w:tcPr>
          <w:p>
            <w:pPr>
              <w:spacing w:line="260" w:lineRule="exact"/>
              <w:jc w:val="center"/>
              <w:rPr>
                <w:szCs w:val="21"/>
              </w:rPr>
            </w:pPr>
            <w:r>
              <w:rPr>
                <w:rFonts w:hint="eastAsia"/>
                <w:szCs w:val="21"/>
              </w:rPr>
              <w:t>预算完成率（</w:t>
            </w:r>
            <w:r>
              <w:rPr>
                <w:szCs w:val="21"/>
              </w:rPr>
              <w:t>4</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部门（单位）本年度预算完成数与预算数的比率，用以反映和考核部门（单位）预算完成程度。</w:t>
            </w:r>
          </w:p>
        </w:tc>
        <w:tc>
          <w:tcPr>
            <w:tcW w:w="1537"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预算完成率</w:t>
            </w:r>
            <w:r>
              <w:rPr>
                <w:szCs w:val="21"/>
              </w:rPr>
              <w:t>=</w:t>
            </w:r>
            <w:r>
              <w:rPr>
                <w:rFonts w:hint="eastAsia"/>
                <w:szCs w:val="21"/>
              </w:rPr>
              <w:t>（预算完成数</w:t>
            </w:r>
            <w:r>
              <w:rPr>
                <w:szCs w:val="21"/>
              </w:rPr>
              <w:t>/</w:t>
            </w:r>
            <w:r>
              <w:rPr>
                <w:rFonts w:hint="eastAsia"/>
                <w:szCs w:val="21"/>
              </w:rPr>
              <w:t>预算数）×</w:t>
            </w:r>
            <w:r>
              <w:rPr>
                <w:szCs w:val="21"/>
              </w:rPr>
              <w:t>100%</w:t>
            </w:r>
            <w:r>
              <w:rPr>
                <w:rFonts w:hint="eastAsia"/>
                <w:szCs w:val="21"/>
              </w:rPr>
              <w:t>。（完成年初预算计</w:t>
            </w:r>
            <w:r>
              <w:rPr>
                <w:szCs w:val="21"/>
              </w:rPr>
              <w:t>4</w:t>
            </w:r>
            <w:r>
              <w:rPr>
                <w:rFonts w:hint="eastAsia"/>
                <w:szCs w:val="21"/>
              </w:rPr>
              <w:t>分，未完成年初按比例扣减）</w:t>
            </w:r>
          </w:p>
          <w:p>
            <w:pPr>
              <w:spacing w:line="260" w:lineRule="exact"/>
              <w:rPr>
                <w:szCs w:val="21"/>
              </w:rPr>
            </w:pPr>
            <w:r>
              <w:rPr>
                <w:rFonts w:hint="eastAsia"/>
                <w:szCs w:val="21"/>
              </w:rPr>
              <w:t>预算完成数：部门（单位）本年度实际完成的预算数。</w:t>
            </w:r>
          </w:p>
          <w:p>
            <w:pPr>
              <w:spacing w:line="260" w:lineRule="exact"/>
              <w:rPr>
                <w:szCs w:val="21"/>
              </w:rPr>
            </w:pPr>
            <w:r>
              <w:rPr>
                <w:rFonts w:hint="eastAsia"/>
                <w:szCs w:val="21"/>
              </w:rPr>
              <w:t>预算数：财政部门批复的本年度部门（单位）预算数。</w:t>
            </w:r>
          </w:p>
        </w:tc>
        <w:tc>
          <w:tcPr>
            <w:tcW w:w="379" w:type="pct"/>
            <w:tcBorders>
              <w:top w:val="nil"/>
              <w:left w:val="nil"/>
              <w:bottom w:val="single" w:color="auto" w:sz="4" w:space="0"/>
              <w:right w:val="single" w:color="auto" w:sz="4" w:space="0"/>
            </w:tcBorders>
            <w:noWrap/>
            <w:vAlign w:val="center"/>
          </w:tcPr>
          <w:p>
            <w:pPr>
              <w:spacing w:line="260" w:lineRule="exact"/>
              <w:jc w:val="center"/>
              <w:rPr>
                <w:rFonts w:hint="eastAsia" w:eastAsia="宋体"/>
                <w:szCs w:val="21"/>
                <w:lang w:val="en-US" w:eastAsia="zh-CN"/>
              </w:rPr>
            </w:pPr>
            <w:r>
              <w:rPr>
                <w:rFonts w:hint="eastAsia"/>
                <w:szCs w:val="21"/>
                <w:lang w:val="en-US" w:eastAsia="zh-CN"/>
              </w:rPr>
              <w:t>5</w:t>
            </w:r>
          </w:p>
        </w:tc>
        <w:tc>
          <w:tcPr>
            <w:tcW w:w="410" w:type="pct"/>
            <w:tcBorders>
              <w:top w:val="nil"/>
              <w:left w:val="nil"/>
              <w:bottom w:val="single" w:color="auto" w:sz="4" w:space="0"/>
              <w:right w:val="single" w:color="auto" w:sz="12" w:space="0"/>
            </w:tcBorders>
            <w:noWrap/>
            <w:vAlign w:val="center"/>
          </w:tcPr>
          <w:p>
            <w:pPr>
              <w:spacing w:line="260" w:lineRule="exact"/>
              <w:jc w:val="center"/>
              <w:rPr>
                <w:szCs w:val="21"/>
              </w:rPr>
            </w:pPr>
          </w:p>
        </w:tc>
      </w:tr>
      <w:tr>
        <w:tblPrEx>
          <w:tblCellMar>
            <w:top w:w="0" w:type="dxa"/>
            <w:left w:w="28" w:type="dxa"/>
            <w:bottom w:w="0" w:type="dxa"/>
            <w:right w:w="28" w:type="dxa"/>
          </w:tblCellMar>
        </w:tblPrEx>
        <w:trPr>
          <w:trHeight w:val="1459" w:hRule="atLeast"/>
          <w:jc w:val="center"/>
        </w:trPr>
        <w:tc>
          <w:tcPr>
            <w:tcW w:w="777" w:type="pct"/>
            <w:vMerge w:val="continue"/>
            <w:tcBorders>
              <w:left w:val="single" w:color="auto" w:sz="12" w:space="0"/>
              <w:right w:val="single" w:color="auto" w:sz="4" w:space="0"/>
            </w:tcBorders>
            <w:shd w:val="clear" w:color="auto" w:fill="auto"/>
            <w:noWrap w:val="0"/>
            <w:vAlign w:val="center"/>
          </w:tcPr>
          <w:p>
            <w:pPr>
              <w:spacing w:line="260" w:lineRule="exact"/>
              <w:jc w:val="center"/>
              <w:rPr>
                <w:szCs w:val="21"/>
              </w:rPr>
            </w:pPr>
          </w:p>
        </w:tc>
        <w:tc>
          <w:tcPr>
            <w:tcW w:w="279" w:type="pct"/>
            <w:vMerge w:val="continue"/>
            <w:tcBorders>
              <w:left w:val="single" w:color="auto" w:sz="4" w:space="0"/>
              <w:right w:val="single" w:color="auto" w:sz="4" w:space="0"/>
            </w:tcBorders>
            <w:shd w:val="clear" w:color="auto" w:fill="auto"/>
            <w:noWrap w:val="0"/>
            <w:vAlign w:val="center"/>
          </w:tcPr>
          <w:p>
            <w:pPr>
              <w:spacing w:line="260" w:lineRule="exact"/>
              <w:jc w:val="center"/>
              <w:rPr>
                <w:szCs w:val="21"/>
              </w:rPr>
            </w:pPr>
          </w:p>
        </w:tc>
        <w:tc>
          <w:tcPr>
            <w:tcW w:w="438" w:type="pct"/>
            <w:tcBorders>
              <w:top w:val="nil"/>
              <w:left w:val="nil"/>
              <w:bottom w:val="single" w:color="auto" w:sz="4" w:space="0"/>
              <w:right w:val="single" w:color="auto" w:sz="4" w:space="0"/>
            </w:tcBorders>
            <w:noWrap w:val="0"/>
            <w:vAlign w:val="center"/>
          </w:tcPr>
          <w:p>
            <w:pPr>
              <w:spacing w:line="260" w:lineRule="exact"/>
              <w:jc w:val="center"/>
              <w:rPr>
                <w:szCs w:val="21"/>
              </w:rPr>
            </w:pPr>
            <w:r>
              <w:rPr>
                <w:rFonts w:hint="eastAsia"/>
                <w:szCs w:val="21"/>
              </w:rPr>
              <w:t>预算调整率（</w:t>
            </w:r>
            <w:r>
              <w:rPr>
                <w:szCs w:val="21"/>
              </w:rPr>
              <w:t>2</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部门（单位）本年度预算调整数与预算数的比率，用以反映和考核部门（单位）预算的调整程度。</w:t>
            </w:r>
          </w:p>
        </w:tc>
        <w:tc>
          <w:tcPr>
            <w:tcW w:w="1537"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预算调整率</w:t>
            </w:r>
            <w:r>
              <w:rPr>
                <w:szCs w:val="21"/>
              </w:rPr>
              <w:t>=</w:t>
            </w:r>
            <w:r>
              <w:rPr>
                <w:rFonts w:hint="eastAsia"/>
                <w:szCs w:val="21"/>
              </w:rPr>
              <w:t>（预算调整数</w:t>
            </w:r>
            <w:r>
              <w:rPr>
                <w:szCs w:val="21"/>
              </w:rPr>
              <w:t>/</w:t>
            </w:r>
            <w:r>
              <w:rPr>
                <w:rFonts w:hint="eastAsia"/>
                <w:szCs w:val="21"/>
              </w:rPr>
              <w:t>预算数）×</w:t>
            </w:r>
            <w:r>
              <w:rPr>
                <w:szCs w:val="21"/>
              </w:rPr>
              <w:t>100%</w:t>
            </w:r>
            <w:r>
              <w:rPr>
                <w:rFonts w:hint="eastAsia"/>
                <w:szCs w:val="21"/>
              </w:rPr>
              <w:t>。（未调整的计</w:t>
            </w:r>
            <w:r>
              <w:rPr>
                <w:szCs w:val="21"/>
              </w:rPr>
              <w:t>2</w:t>
            </w:r>
            <w:r>
              <w:rPr>
                <w:rFonts w:hint="eastAsia"/>
                <w:szCs w:val="21"/>
              </w:rPr>
              <w:t>分，调整了的除特殊原因外按比例扣减）</w:t>
            </w:r>
          </w:p>
          <w:p>
            <w:pPr>
              <w:spacing w:line="260" w:lineRule="exact"/>
              <w:rPr>
                <w:szCs w:val="21"/>
              </w:rPr>
            </w:pPr>
            <w:r>
              <w:rPr>
                <w:rFonts w:hint="eastAsia"/>
                <w:szCs w:val="21"/>
              </w:rPr>
              <w:t>预算调整数：部门（单位）在本年度内涉及预算的追加、追减或结构调整的资金总和（因落实国家政策、发生不可抗力、上级部门或本级党委政府临时交办而产生的调整除外）。</w:t>
            </w:r>
          </w:p>
        </w:tc>
        <w:tc>
          <w:tcPr>
            <w:tcW w:w="379" w:type="pct"/>
            <w:tcBorders>
              <w:top w:val="nil"/>
              <w:left w:val="nil"/>
              <w:bottom w:val="single" w:color="auto" w:sz="4" w:space="0"/>
              <w:right w:val="single" w:color="auto" w:sz="4" w:space="0"/>
            </w:tcBorders>
            <w:noWrap/>
            <w:vAlign w:val="center"/>
          </w:tcPr>
          <w:p>
            <w:pPr>
              <w:spacing w:line="260" w:lineRule="exact"/>
              <w:jc w:val="center"/>
              <w:rPr>
                <w:rFonts w:hint="eastAsia" w:eastAsia="宋体"/>
                <w:szCs w:val="21"/>
                <w:lang w:val="en-US" w:eastAsia="zh-CN"/>
              </w:rPr>
            </w:pPr>
            <w:r>
              <w:rPr>
                <w:rFonts w:hint="eastAsia"/>
                <w:szCs w:val="21"/>
                <w:lang w:val="en-US" w:eastAsia="zh-CN"/>
              </w:rPr>
              <w:t>2</w:t>
            </w:r>
          </w:p>
        </w:tc>
        <w:tc>
          <w:tcPr>
            <w:tcW w:w="410" w:type="pct"/>
            <w:tcBorders>
              <w:top w:val="nil"/>
              <w:left w:val="nil"/>
              <w:bottom w:val="single" w:color="auto" w:sz="4" w:space="0"/>
              <w:right w:val="single" w:color="auto" w:sz="12" w:space="0"/>
            </w:tcBorders>
            <w:noWrap/>
            <w:vAlign w:val="center"/>
          </w:tcPr>
          <w:p>
            <w:pPr>
              <w:spacing w:line="260" w:lineRule="exact"/>
              <w:jc w:val="center"/>
              <w:rPr>
                <w:szCs w:val="21"/>
              </w:rPr>
            </w:pPr>
          </w:p>
        </w:tc>
      </w:tr>
      <w:tr>
        <w:tblPrEx>
          <w:tblCellMar>
            <w:top w:w="0" w:type="dxa"/>
            <w:left w:w="28" w:type="dxa"/>
            <w:bottom w:w="0" w:type="dxa"/>
            <w:right w:w="28" w:type="dxa"/>
          </w:tblCellMar>
        </w:tblPrEx>
        <w:trPr>
          <w:trHeight w:val="1800" w:hRule="atLeast"/>
          <w:jc w:val="center"/>
        </w:trPr>
        <w:tc>
          <w:tcPr>
            <w:tcW w:w="777" w:type="pct"/>
            <w:vMerge w:val="continue"/>
            <w:tcBorders>
              <w:left w:val="single" w:color="auto" w:sz="12" w:space="0"/>
              <w:right w:val="single" w:color="auto" w:sz="4" w:space="0"/>
            </w:tcBorders>
            <w:shd w:val="clear" w:color="auto" w:fill="auto"/>
            <w:noWrap w:val="0"/>
            <w:vAlign w:val="center"/>
          </w:tcPr>
          <w:p>
            <w:pPr>
              <w:spacing w:line="260" w:lineRule="exact"/>
              <w:jc w:val="center"/>
              <w:rPr>
                <w:szCs w:val="21"/>
              </w:rPr>
            </w:pPr>
          </w:p>
        </w:tc>
        <w:tc>
          <w:tcPr>
            <w:tcW w:w="279" w:type="pct"/>
            <w:vMerge w:val="continue"/>
            <w:tcBorders>
              <w:left w:val="single" w:color="auto" w:sz="4" w:space="0"/>
              <w:right w:val="single" w:color="auto" w:sz="4" w:space="0"/>
            </w:tcBorders>
            <w:shd w:val="clear" w:color="auto" w:fill="auto"/>
            <w:noWrap w:val="0"/>
            <w:vAlign w:val="center"/>
          </w:tcPr>
          <w:p>
            <w:pPr>
              <w:spacing w:line="260" w:lineRule="exact"/>
              <w:jc w:val="center"/>
              <w:rPr>
                <w:szCs w:val="21"/>
              </w:rPr>
            </w:pPr>
          </w:p>
        </w:tc>
        <w:tc>
          <w:tcPr>
            <w:tcW w:w="438" w:type="pct"/>
            <w:tcBorders>
              <w:top w:val="nil"/>
              <w:left w:val="nil"/>
              <w:bottom w:val="single" w:color="auto" w:sz="4" w:space="0"/>
              <w:right w:val="single" w:color="auto" w:sz="4" w:space="0"/>
            </w:tcBorders>
            <w:noWrap w:val="0"/>
            <w:vAlign w:val="center"/>
          </w:tcPr>
          <w:p>
            <w:pPr>
              <w:spacing w:line="260" w:lineRule="exact"/>
              <w:jc w:val="center"/>
              <w:rPr>
                <w:szCs w:val="21"/>
              </w:rPr>
            </w:pPr>
            <w:r>
              <w:rPr>
                <w:rFonts w:hint="eastAsia"/>
                <w:szCs w:val="21"/>
              </w:rPr>
              <w:t>支付进度率（</w:t>
            </w:r>
            <w:r>
              <w:rPr>
                <w:szCs w:val="21"/>
              </w:rPr>
              <w:t>2</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部门（单位）实际支付进度与既定支付进度的比率，用以反映和考核部门（单位）预算执行的及时性和均衡性程度。</w:t>
            </w:r>
          </w:p>
        </w:tc>
        <w:tc>
          <w:tcPr>
            <w:tcW w:w="1537"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支付进度率</w:t>
            </w:r>
            <w:r>
              <w:rPr>
                <w:szCs w:val="21"/>
              </w:rPr>
              <w:t>=</w:t>
            </w:r>
            <w:r>
              <w:rPr>
                <w:rFonts w:hint="eastAsia"/>
                <w:szCs w:val="21"/>
              </w:rPr>
              <w:t>（实际支付进度</w:t>
            </w:r>
            <w:r>
              <w:rPr>
                <w:szCs w:val="21"/>
              </w:rPr>
              <w:t>/</w:t>
            </w:r>
            <w:r>
              <w:rPr>
                <w:rFonts w:hint="eastAsia"/>
                <w:szCs w:val="21"/>
              </w:rPr>
              <w:t>既定支付进度）×</w:t>
            </w:r>
            <w:r>
              <w:rPr>
                <w:szCs w:val="21"/>
              </w:rPr>
              <w:t>100%</w:t>
            </w:r>
            <w:r>
              <w:rPr>
                <w:rFonts w:hint="eastAsia"/>
                <w:szCs w:val="21"/>
              </w:rPr>
              <w:t>。完成年终进度的计</w:t>
            </w:r>
            <w:r>
              <w:rPr>
                <w:szCs w:val="21"/>
              </w:rPr>
              <w:t>1</w:t>
            </w:r>
            <w:r>
              <w:rPr>
                <w:rFonts w:hint="eastAsia"/>
                <w:szCs w:val="21"/>
              </w:rPr>
              <w:t>分，按季度完成预算进度的计</w:t>
            </w:r>
            <w:r>
              <w:rPr>
                <w:szCs w:val="21"/>
              </w:rPr>
              <w:t>1</w:t>
            </w:r>
            <w:r>
              <w:rPr>
                <w:rFonts w:hint="eastAsia"/>
                <w:szCs w:val="21"/>
              </w:rPr>
              <w:t>分。</w:t>
            </w:r>
          </w:p>
          <w:p>
            <w:pPr>
              <w:spacing w:line="260" w:lineRule="exact"/>
              <w:rPr>
                <w:szCs w:val="21"/>
              </w:rPr>
            </w:pPr>
            <w:r>
              <w:rPr>
                <w:rFonts w:hint="eastAsia"/>
                <w:szCs w:val="21"/>
              </w:rPr>
              <w:t>实际支付进度：部门（单位）在某一时点的支出预算执行总数与年度支出预算数的比率。</w:t>
            </w:r>
          </w:p>
          <w:p>
            <w:pPr>
              <w:spacing w:line="260" w:lineRule="exact"/>
              <w:rPr>
                <w:szCs w:val="21"/>
              </w:rPr>
            </w:pPr>
            <w:r>
              <w:rPr>
                <w:rFonts w:hint="eastAsia"/>
                <w:szCs w:val="21"/>
              </w:rPr>
              <w:t>既定支付进度：由部门（单位）在申报部门整体绩效目标时，参照序时支付进度、前三年支付进度、同级部门平均支付进度水平等确定的，在某一时点应达到的支付进度（比率）。</w:t>
            </w:r>
          </w:p>
        </w:tc>
        <w:tc>
          <w:tcPr>
            <w:tcW w:w="379" w:type="pct"/>
            <w:tcBorders>
              <w:top w:val="nil"/>
              <w:left w:val="nil"/>
              <w:bottom w:val="single" w:color="auto" w:sz="4" w:space="0"/>
              <w:right w:val="single" w:color="auto" w:sz="4" w:space="0"/>
            </w:tcBorders>
            <w:noWrap/>
            <w:vAlign w:val="center"/>
          </w:tcPr>
          <w:p>
            <w:pPr>
              <w:spacing w:line="260" w:lineRule="exact"/>
              <w:jc w:val="center"/>
              <w:rPr>
                <w:rFonts w:hint="eastAsia" w:eastAsia="宋体"/>
                <w:szCs w:val="21"/>
                <w:lang w:val="en-US" w:eastAsia="zh-CN"/>
              </w:rPr>
            </w:pPr>
            <w:r>
              <w:rPr>
                <w:rFonts w:hint="eastAsia"/>
                <w:szCs w:val="21"/>
                <w:lang w:val="en-US" w:eastAsia="zh-CN"/>
              </w:rPr>
              <w:t>2</w:t>
            </w:r>
          </w:p>
        </w:tc>
        <w:tc>
          <w:tcPr>
            <w:tcW w:w="410" w:type="pct"/>
            <w:tcBorders>
              <w:top w:val="nil"/>
              <w:left w:val="nil"/>
              <w:bottom w:val="single" w:color="auto" w:sz="4" w:space="0"/>
              <w:right w:val="single" w:color="auto" w:sz="12" w:space="0"/>
            </w:tcBorders>
            <w:noWrap/>
            <w:vAlign w:val="center"/>
          </w:tcPr>
          <w:p>
            <w:pPr>
              <w:spacing w:line="260" w:lineRule="exact"/>
              <w:jc w:val="center"/>
              <w:rPr>
                <w:szCs w:val="21"/>
              </w:rPr>
            </w:pPr>
          </w:p>
        </w:tc>
      </w:tr>
      <w:tr>
        <w:tblPrEx>
          <w:tblCellMar>
            <w:top w:w="0" w:type="dxa"/>
            <w:left w:w="28" w:type="dxa"/>
            <w:bottom w:w="0" w:type="dxa"/>
            <w:right w:w="28" w:type="dxa"/>
          </w:tblCellMar>
        </w:tblPrEx>
        <w:trPr>
          <w:trHeight w:val="1035" w:hRule="atLeast"/>
          <w:jc w:val="center"/>
        </w:trPr>
        <w:tc>
          <w:tcPr>
            <w:tcW w:w="777" w:type="pct"/>
            <w:vMerge w:val="continue"/>
            <w:tcBorders>
              <w:left w:val="single" w:color="auto" w:sz="12" w:space="0"/>
              <w:right w:val="single" w:color="auto" w:sz="4" w:space="0"/>
            </w:tcBorders>
            <w:shd w:val="clear" w:color="auto" w:fill="auto"/>
            <w:noWrap w:val="0"/>
            <w:vAlign w:val="center"/>
          </w:tcPr>
          <w:p>
            <w:pPr>
              <w:spacing w:line="260" w:lineRule="exact"/>
              <w:jc w:val="center"/>
              <w:rPr>
                <w:szCs w:val="21"/>
              </w:rPr>
            </w:pPr>
          </w:p>
        </w:tc>
        <w:tc>
          <w:tcPr>
            <w:tcW w:w="279" w:type="pct"/>
            <w:vMerge w:val="continue"/>
            <w:tcBorders>
              <w:left w:val="single" w:color="auto" w:sz="4" w:space="0"/>
              <w:right w:val="single" w:color="auto" w:sz="4" w:space="0"/>
            </w:tcBorders>
            <w:shd w:val="clear" w:color="auto" w:fill="auto"/>
            <w:noWrap w:val="0"/>
            <w:vAlign w:val="center"/>
          </w:tcPr>
          <w:p>
            <w:pPr>
              <w:spacing w:line="260" w:lineRule="exact"/>
              <w:jc w:val="center"/>
              <w:rPr>
                <w:szCs w:val="21"/>
              </w:rPr>
            </w:pPr>
          </w:p>
        </w:tc>
        <w:tc>
          <w:tcPr>
            <w:tcW w:w="438" w:type="pct"/>
            <w:tcBorders>
              <w:top w:val="nil"/>
              <w:left w:val="nil"/>
              <w:bottom w:val="single" w:color="auto" w:sz="4" w:space="0"/>
              <w:right w:val="single" w:color="auto" w:sz="4" w:space="0"/>
            </w:tcBorders>
            <w:noWrap w:val="0"/>
            <w:vAlign w:val="center"/>
          </w:tcPr>
          <w:p>
            <w:pPr>
              <w:spacing w:line="260" w:lineRule="exact"/>
              <w:jc w:val="center"/>
              <w:rPr>
                <w:szCs w:val="21"/>
              </w:rPr>
            </w:pPr>
            <w:r>
              <w:rPr>
                <w:rFonts w:hint="eastAsia"/>
                <w:szCs w:val="21"/>
              </w:rPr>
              <w:t>结转结余率（</w:t>
            </w:r>
            <w:r>
              <w:rPr>
                <w:szCs w:val="21"/>
              </w:rPr>
              <w:t>2</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部门（单位）本年度结转结余总额与支出预算数的比率，用以反映和考核部门（单位）对本年度结转结余资金的实际控制程度。</w:t>
            </w:r>
          </w:p>
        </w:tc>
        <w:tc>
          <w:tcPr>
            <w:tcW w:w="1537"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结转结余率</w:t>
            </w:r>
            <w:r>
              <w:rPr>
                <w:szCs w:val="21"/>
              </w:rPr>
              <w:t>=</w:t>
            </w:r>
            <w:r>
              <w:rPr>
                <w:rFonts w:hint="eastAsia"/>
                <w:szCs w:val="21"/>
              </w:rPr>
              <w:t>结转结余总额</w:t>
            </w:r>
            <w:r>
              <w:rPr>
                <w:szCs w:val="21"/>
              </w:rPr>
              <w:t>/</w:t>
            </w:r>
            <w:r>
              <w:rPr>
                <w:rFonts w:hint="eastAsia"/>
                <w:szCs w:val="21"/>
              </w:rPr>
              <w:t>支出预算数×</w:t>
            </w:r>
            <w:r>
              <w:rPr>
                <w:szCs w:val="21"/>
              </w:rPr>
              <w:t>100%</w:t>
            </w:r>
            <w:r>
              <w:rPr>
                <w:rFonts w:hint="eastAsia"/>
                <w:szCs w:val="21"/>
              </w:rPr>
              <w:t>。低于</w:t>
            </w:r>
            <w:r>
              <w:rPr>
                <w:szCs w:val="21"/>
              </w:rPr>
              <w:t>5%</w:t>
            </w:r>
            <w:r>
              <w:rPr>
                <w:rFonts w:hint="eastAsia"/>
                <w:szCs w:val="21"/>
              </w:rPr>
              <w:t>的计</w:t>
            </w:r>
            <w:r>
              <w:rPr>
                <w:szCs w:val="21"/>
              </w:rPr>
              <w:t>1</w:t>
            </w:r>
            <w:r>
              <w:rPr>
                <w:rFonts w:hint="eastAsia"/>
                <w:szCs w:val="21"/>
              </w:rPr>
              <w:t>分，每超过</w:t>
            </w:r>
            <w:r>
              <w:rPr>
                <w:szCs w:val="21"/>
              </w:rPr>
              <w:t>5</w:t>
            </w:r>
            <w:r>
              <w:rPr>
                <w:rFonts w:hint="eastAsia"/>
                <w:szCs w:val="21"/>
              </w:rPr>
              <w:t>个百分点扣</w:t>
            </w:r>
            <w:r>
              <w:rPr>
                <w:szCs w:val="21"/>
              </w:rPr>
              <w:t>1</w:t>
            </w:r>
            <w:r>
              <w:rPr>
                <w:rFonts w:hint="eastAsia"/>
                <w:szCs w:val="21"/>
              </w:rPr>
              <w:t>分，扣完为止。</w:t>
            </w:r>
          </w:p>
          <w:p>
            <w:pPr>
              <w:spacing w:line="260" w:lineRule="exact"/>
              <w:rPr>
                <w:szCs w:val="21"/>
              </w:rPr>
            </w:pPr>
            <w:r>
              <w:rPr>
                <w:rFonts w:hint="eastAsia"/>
                <w:szCs w:val="21"/>
              </w:rPr>
              <w:t>结转结余总额：部门（单位）本年度的结转资金与结余资金之和（以决算数为准）。</w:t>
            </w:r>
          </w:p>
        </w:tc>
        <w:tc>
          <w:tcPr>
            <w:tcW w:w="379" w:type="pct"/>
            <w:tcBorders>
              <w:top w:val="nil"/>
              <w:left w:val="nil"/>
              <w:bottom w:val="single" w:color="auto" w:sz="4" w:space="0"/>
              <w:right w:val="single" w:color="auto" w:sz="4" w:space="0"/>
            </w:tcBorders>
            <w:noWrap/>
            <w:vAlign w:val="center"/>
          </w:tcPr>
          <w:p>
            <w:pPr>
              <w:spacing w:line="260" w:lineRule="exact"/>
              <w:jc w:val="center"/>
              <w:rPr>
                <w:rFonts w:hint="eastAsia" w:eastAsia="宋体"/>
                <w:szCs w:val="21"/>
                <w:lang w:val="en-US" w:eastAsia="zh-CN"/>
              </w:rPr>
            </w:pPr>
            <w:r>
              <w:rPr>
                <w:rFonts w:hint="eastAsia"/>
                <w:szCs w:val="21"/>
                <w:lang w:val="en-US" w:eastAsia="zh-CN"/>
              </w:rPr>
              <w:t>2</w:t>
            </w:r>
          </w:p>
        </w:tc>
        <w:tc>
          <w:tcPr>
            <w:tcW w:w="410" w:type="pct"/>
            <w:tcBorders>
              <w:top w:val="nil"/>
              <w:left w:val="nil"/>
              <w:bottom w:val="single" w:color="auto" w:sz="4" w:space="0"/>
              <w:right w:val="single" w:color="auto" w:sz="12" w:space="0"/>
            </w:tcBorders>
            <w:noWrap/>
            <w:vAlign w:val="center"/>
          </w:tcPr>
          <w:p>
            <w:pPr>
              <w:spacing w:line="260" w:lineRule="exact"/>
              <w:jc w:val="center"/>
              <w:rPr>
                <w:szCs w:val="21"/>
              </w:rPr>
            </w:pPr>
          </w:p>
        </w:tc>
      </w:tr>
      <w:tr>
        <w:tblPrEx>
          <w:tblCellMar>
            <w:top w:w="0" w:type="dxa"/>
            <w:left w:w="28" w:type="dxa"/>
            <w:bottom w:w="0" w:type="dxa"/>
            <w:right w:w="28" w:type="dxa"/>
          </w:tblCellMar>
        </w:tblPrEx>
        <w:trPr>
          <w:trHeight w:val="1247" w:hRule="atLeast"/>
          <w:jc w:val="center"/>
        </w:trPr>
        <w:tc>
          <w:tcPr>
            <w:tcW w:w="777" w:type="pct"/>
            <w:vMerge w:val="continue"/>
            <w:tcBorders>
              <w:left w:val="single" w:color="auto" w:sz="12" w:space="0"/>
              <w:bottom w:val="single" w:color="000000" w:sz="4" w:space="0"/>
              <w:right w:val="single" w:color="auto" w:sz="4" w:space="0"/>
            </w:tcBorders>
            <w:shd w:val="clear" w:color="auto" w:fill="auto"/>
            <w:noWrap w:val="0"/>
            <w:vAlign w:val="center"/>
          </w:tcPr>
          <w:p>
            <w:pPr>
              <w:spacing w:line="260" w:lineRule="exact"/>
              <w:jc w:val="center"/>
              <w:rPr>
                <w:szCs w:val="21"/>
              </w:rPr>
            </w:pPr>
          </w:p>
        </w:tc>
        <w:tc>
          <w:tcPr>
            <w:tcW w:w="279" w:type="pct"/>
            <w:vMerge w:val="continue"/>
            <w:tcBorders>
              <w:left w:val="single" w:color="auto" w:sz="4" w:space="0"/>
              <w:bottom w:val="single" w:color="000000" w:sz="4" w:space="0"/>
              <w:right w:val="single" w:color="auto" w:sz="4" w:space="0"/>
            </w:tcBorders>
            <w:shd w:val="clear" w:color="auto" w:fill="auto"/>
            <w:noWrap w:val="0"/>
            <w:vAlign w:val="center"/>
          </w:tcPr>
          <w:p>
            <w:pPr>
              <w:spacing w:line="260" w:lineRule="exact"/>
              <w:jc w:val="center"/>
              <w:rPr>
                <w:szCs w:val="21"/>
              </w:rPr>
            </w:pPr>
          </w:p>
        </w:tc>
        <w:tc>
          <w:tcPr>
            <w:tcW w:w="438" w:type="pct"/>
            <w:tcBorders>
              <w:top w:val="nil"/>
              <w:left w:val="nil"/>
              <w:bottom w:val="single" w:color="auto" w:sz="4" w:space="0"/>
              <w:right w:val="single" w:color="auto" w:sz="4" w:space="0"/>
            </w:tcBorders>
            <w:noWrap w:val="0"/>
            <w:vAlign w:val="center"/>
          </w:tcPr>
          <w:p>
            <w:pPr>
              <w:spacing w:line="260" w:lineRule="exact"/>
              <w:jc w:val="center"/>
              <w:rPr>
                <w:szCs w:val="21"/>
              </w:rPr>
            </w:pPr>
            <w:r>
              <w:rPr>
                <w:rFonts w:hint="eastAsia"/>
                <w:szCs w:val="21"/>
              </w:rPr>
              <w:t>结转结余变动率（</w:t>
            </w:r>
            <w:r>
              <w:rPr>
                <w:szCs w:val="21"/>
              </w:rPr>
              <w:t>2</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部门（单位）本年度结转结余资金总额与上年度结转结余资金总额的变动比率，用以反映和考核部门（单位）对控制结转结余资金的努力程度。</w:t>
            </w:r>
          </w:p>
        </w:tc>
        <w:tc>
          <w:tcPr>
            <w:tcW w:w="1537"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结转结余变动率</w:t>
            </w:r>
            <w:r>
              <w:rPr>
                <w:szCs w:val="21"/>
              </w:rPr>
              <w:t>=[</w:t>
            </w:r>
            <w:r>
              <w:rPr>
                <w:rFonts w:hint="eastAsia"/>
                <w:szCs w:val="21"/>
              </w:rPr>
              <w:t>（本年度累计结转结余资金总额</w:t>
            </w:r>
            <w:r>
              <w:rPr>
                <w:szCs w:val="21"/>
              </w:rPr>
              <w:t>-</w:t>
            </w:r>
            <w:r>
              <w:rPr>
                <w:rFonts w:hint="eastAsia"/>
                <w:szCs w:val="21"/>
              </w:rPr>
              <w:t>上年度累计结转结余资金总额）</w:t>
            </w:r>
            <w:r>
              <w:rPr>
                <w:szCs w:val="21"/>
              </w:rPr>
              <w:t>/</w:t>
            </w:r>
            <w:r>
              <w:rPr>
                <w:rFonts w:hint="eastAsia"/>
                <w:szCs w:val="21"/>
              </w:rPr>
              <w:t>上年度累计结转结余资金总额</w:t>
            </w:r>
            <w:r>
              <w:rPr>
                <w:szCs w:val="21"/>
              </w:rPr>
              <w:t>]</w:t>
            </w:r>
            <w:r>
              <w:rPr>
                <w:rFonts w:hint="eastAsia"/>
                <w:szCs w:val="21"/>
              </w:rPr>
              <w:t>×</w:t>
            </w:r>
            <w:r>
              <w:rPr>
                <w:szCs w:val="21"/>
              </w:rPr>
              <w:t>100%</w:t>
            </w:r>
            <w:r>
              <w:rPr>
                <w:rFonts w:hint="eastAsia"/>
                <w:szCs w:val="21"/>
              </w:rPr>
              <w:t>。（低于</w:t>
            </w:r>
            <w:r>
              <w:rPr>
                <w:szCs w:val="21"/>
              </w:rPr>
              <w:t>15%</w:t>
            </w:r>
            <w:r>
              <w:rPr>
                <w:rFonts w:hint="eastAsia"/>
                <w:szCs w:val="21"/>
              </w:rPr>
              <w:t>的计</w:t>
            </w:r>
            <w:r>
              <w:rPr>
                <w:szCs w:val="21"/>
              </w:rPr>
              <w:t>2</w:t>
            </w:r>
            <w:r>
              <w:rPr>
                <w:rFonts w:hint="eastAsia"/>
                <w:szCs w:val="21"/>
              </w:rPr>
              <w:t>分，每超过</w:t>
            </w:r>
            <w:r>
              <w:rPr>
                <w:szCs w:val="21"/>
              </w:rPr>
              <w:t>5</w:t>
            </w:r>
            <w:r>
              <w:rPr>
                <w:rFonts w:hint="eastAsia"/>
                <w:szCs w:val="21"/>
              </w:rPr>
              <w:t>个百分点扣</w:t>
            </w:r>
            <w:r>
              <w:rPr>
                <w:szCs w:val="21"/>
              </w:rPr>
              <w:t>1</w:t>
            </w:r>
            <w:r>
              <w:rPr>
                <w:rFonts w:hint="eastAsia"/>
                <w:szCs w:val="21"/>
              </w:rPr>
              <w:t>分，扣完为止）</w:t>
            </w:r>
          </w:p>
        </w:tc>
        <w:tc>
          <w:tcPr>
            <w:tcW w:w="379" w:type="pct"/>
            <w:tcBorders>
              <w:top w:val="nil"/>
              <w:left w:val="nil"/>
              <w:bottom w:val="single" w:color="auto" w:sz="4" w:space="0"/>
              <w:right w:val="single" w:color="auto" w:sz="4" w:space="0"/>
            </w:tcBorders>
            <w:noWrap/>
            <w:vAlign w:val="center"/>
          </w:tcPr>
          <w:p>
            <w:pPr>
              <w:spacing w:line="260" w:lineRule="exact"/>
              <w:jc w:val="center"/>
              <w:rPr>
                <w:rFonts w:hint="eastAsia" w:eastAsia="宋体"/>
                <w:szCs w:val="21"/>
                <w:lang w:val="en-US" w:eastAsia="zh-CN"/>
              </w:rPr>
            </w:pPr>
            <w:r>
              <w:rPr>
                <w:rFonts w:hint="eastAsia"/>
                <w:szCs w:val="21"/>
                <w:lang w:val="en-US" w:eastAsia="zh-CN"/>
              </w:rPr>
              <w:t>2</w:t>
            </w:r>
          </w:p>
        </w:tc>
        <w:tc>
          <w:tcPr>
            <w:tcW w:w="410" w:type="pct"/>
            <w:tcBorders>
              <w:top w:val="nil"/>
              <w:left w:val="nil"/>
              <w:bottom w:val="single" w:color="auto" w:sz="4" w:space="0"/>
              <w:right w:val="single" w:color="auto" w:sz="12" w:space="0"/>
            </w:tcBorders>
            <w:noWrap/>
            <w:vAlign w:val="center"/>
          </w:tcPr>
          <w:p>
            <w:pPr>
              <w:spacing w:line="260" w:lineRule="exact"/>
              <w:jc w:val="center"/>
              <w:rPr>
                <w:szCs w:val="21"/>
              </w:rPr>
            </w:pPr>
          </w:p>
        </w:tc>
      </w:tr>
      <w:tr>
        <w:tblPrEx>
          <w:tblCellMar>
            <w:top w:w="0" w:type="dxa"/>
            <w:left w:w="28" w:type="dxa"/>
            <w:bottom w:w="0" w:type="dxa"/>
            <w:right w:w="28" w:type="dxa"/>
          </w:tblCellMar>
        </w:tblPrEx>
        <w:trPr>
          <w:trHeight w:val="1153" w:hRule="atLeast"/>
          <w:jc w:val="center"/>
        </w:trPr>
        <w:tc>
          <w:tcPr>
            <w:tcW w:w="777" w:type="pct"/>
            <w:vMerge w:val="restart"/>
            <w:tcBorders>
              <w:top w:val="nil"/>
              <w:left w:val="single" w:color="auto" w:sz="12" w:space="0"/>
              <w:right w:val="single" w:color="auto" w:sz="4" w:space="0"/>
            </w:tcBorders>
            <w:shd w:val="clear" w:color="auto" w:fill="auto"/>
            <w:noWrap w:val="0"/>
            <w:vAlign w:val="center"/>
          </w:tcPr>
          <w:p>
            <w:pPr>
              <w:spacing w:line="260" w:lineRule="exact"/>
              <w:jc w:val="center"/>
              <w:rPr>
                <w:szCs w:val="21"/>
              </w:rPr>
            </w:pPr>
            <w:r>
              <w:rPr>
                <w:rFonts w:hint="eastAsia"/>
                <w:szCs w:val="21"/>
              </w:rPr>
              <w:t>过程（</w:t>
            </w:r>
            <w:r>
              <w:rPr>
                <w:szCs w:val="21"/>
              </w:rPr>
              <w:t>30</w:t>
            </w:r>
            <w:r>
              <w:rPr>
                <w:rFonts w:hint="eastAsia"/>
                <w:szCs w:val="21"/>
              </w:rPr>
              <w:t>分）</w:t>
            </w:r>
          </w:p>
        </w:tc>
        <w:tc>
          <w:tcPr>
            <w:tcW w:w="279" w:type="pct"/>
            <w:vMerge w:val="restart"/>
            <w:tcBorders>
              <w:top w:val="nil"/>
              <w:left w:val="single" w:color="auto" w:sz="4" w:space="0"/>
              <w:right w:val="single" w:color="auto" w:sz="4" w:space="0"/>
            </w:tcBorders>
            <w:shd w:val="clear" w:color="auto" w:fill="auto"/>
            <w:noWrap w:val="0"/>
            <w:vAlign w:val="center"/>
          </w:tcPr>
          <w:p>
            <w:pPr>
              <w:spacing w:line="260" w:lineRule="exact"/>
              <w:jc w:val="center"/>
              <w:rPr>
                <w:szCs w:val="21"/>
              </w:rPr>
            </w:pPr>
            <w:r>
              <w:rPr>
                <w:rFonts w:hint="eastAsia"/>
                <w:szCs w:val="21"/>
              </w:rPr>
              <w:t>预算执行（</w:t>
            </w:r>
            <w:r>
              <w:rPr>
                <w:szCs w:val="21"/>
              </w:rPr>
              <w:t>20</w:t>
            </w:r>
            <w:r>
              <w:rPr>
                <w:rFonts w:hint="eastAsia"/>
                <w:szCs w:val="21"/>
              </w:rPr>
              <w:t>分）</w:t>
            </w:r>
          </w:p>
        </w:tc>
        <w:tc>
          <w:tcPr>
            <w:tcW w:w="438" w:type="pct"/>
            <w:tcBorders>
              <w:top w:val="nil"/>
              <w:left w:val="nil"/>
              <w:bottom w:val="single" w:color="auto" w:sz="4" w:space="0"/>
              <w:right w:val="single" w:color="auto" w:sz="4" w:space="0"/>
            </w:tcBorders>
            <w:noWrap w:val="0"/>
            <w:vAlign w:val="center"/>
          </w:tcPr>
          <w:p>
            <w:pPr>
              <w:spacing w:line="280" w:lineRule="exact"/>
              <w:jc w:val="center"/>
              <w:rPr>
                <w:szCs w:val="21"/>
              </w:rPr>
            </w:pPr>
            <w:r>
              <w:rPr>
                <w:rFonts w:hint="eastAsia"/>
                <w:szCs w:val="21"/>
              </w:rPr>
              <w:t>公用经费控制率（</w:t>
            </w:r>
            <w:r>
              <w:rPr>
                <w:szCs w:val="21"/>
              </w:rPr>
              <w:t>2</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部门（单位）本年度实际支出的公用经费总额与预算安排的公用经费总额的比率，用以反映和考核部门（单位）对机构运转成本的实际控制程度。</w:t>
            </w:r>
          </w:p>
        </w:tc>
        <w:tc>
          <w:tcPr>
            <w:tcW w:w="1537"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公用经费控制率</w:t>
            </w:r>
            <w:r>
              <w:rPr>
                <w:szCs w:val="21"/>
              </w:rPr>
              <w:t>=</w:t>
            </w:r>
            <w:r>
              <w:rPr>
                <w:rFonts w:hint="eastAsia"/>
                <w:szCs w:val="21"/>
              </w:rPr>
              <w:t>（实际支出公用经费总额</w:t>
            </w:r>
            <w:r>
              <w:rPr>
                <w:szCs w:val="21"/>
              </w:rPr>
              <w:t>/</w:t>
            </w:r>
            <w:r>
              <w:rPr>
                <w:rFonts w:hint="eastAsia"/>
                <w:szCs w:val="21"/>
              </w:rPr>
              <w:t>预算安排公用经费总额）×</w:t>
            </w:r>
            <w:r>
              <w:rPr>
                <w:szCs w:val="21"/>
              </w:rPr>
              <w:t>100%</w:t>
            </w:r>
            <w:r>
              <w:rPr>
                <w:rFonts w:hint="eastAsia"/>
                <w:szCs w:val="21"/>
              </w:rPr>
              <w:t>。（为</w:t>
            </w:r>
            <w:r>
              <w:rPr>
                <w:szCs w:val="21"/>
              </w:rPr>
              <w:t>100%</w:t>
            </w:r>
            <w:r>
              <w:rPr>
                <w:rFonts w:hint="eastAsia"/>
                <w:szCs w:val="21"/>
              </w:rPr>
              <w:t>的计</w:t>
            </w:r>
            <w:r>
              <w:rPr>
                <w:szCs w:val="21"/>
              </w:rPr>
              <w:t>2</w:t>
            </w:r>
            <w:r>
              <w:rPr>
                <w:rFonts w:hint="eastAsia"/>
                <w:szCs w:val="21"/>
              </w:rPr>
              <w:t>分，每超过</w:t>
            </w:r>
            <w:r>
              <w:rPr>
                <w:szCs w:val="21"/>
              </w:rPr>
              <w:t>1</w:t>
            </w:r>
            <w:r>
              <w:rPr>
                <w:rFonts w:hint="eastAsia"/>
                <w:szCs w:val="21"/>
              </w:rPr>
              <w:t>个百分点扣</w:t>
            </w:r>
            <w:r>
              <w:rPr>
                <w:szCs w:val="21"/>
              </w:rPr>
              <w:t>0.1</w:t>
            </w:r>
            <w:r>
              <w:rPr>
                <w:rFonts w:hint="eastAsia"/>
                <w:szCs w:val="21"/>
              </w:rPr>
              <w:t>分，扣完为止）</w:t>
            </w:r>
          </w:p>
        </w:tc>
        <w:tc>
          <w:tcPr>
            <w:tcW w:w="379" w:type="pct"/>
            <w:tcBorders>
              <w:top w:val="nil"/>
              <w:left w:val="nil"/>
              <w:bottom w:val="single" w:color="auto" w:sz="4" w:space="0"/>
              <w:right w:val="single" w:color="auto" w:sz="4" w:space="0"/>
            </w:tcBorders>
            <w:noWrap/>
            <w:vAlign w:val="center"/>
          </w:tcPr>
          <w:p>
            <w:pPr>
              <w:spacing w:line="280" w:lineRule="exact"/>
              <w:jc w:val="center"/>
              <w:rPr>
                <w:rFonts w:hint="eastAsia" w:eastAsia="宋体"/>
                <w:szCs w:val="21"/>
                <w:lang w:val="en-US" w:eastAsia="zh-CN"/>
              </w:rPr>
            </w:pPr>
            <w:r>
              <w:rPr>
                <w:rFonts w:hint="eastAsia"/>
                <w:szCs w:val="21"/>
                <w:lang w:val="en-US" w:eastAsia="zh-CN"/>
              </w:rPr>
              <w:t>2</w:t>
            </w:r>
          </w:p>
        </w:tc>
        <w:tc>
          <w:tcPr>
            <w:tcW w:w="410" w:type="pct"/>
            <w:tcBorders>
              <w:top w:val="nil"/>
              <w:left w:val="nil"/>
              <w:bottom w:val="single" w:color="auto" w:sz="4" w:space="0"/>
              <w:right w:val="single" w:color="auto" w:sz="12" w:space="0"/>
            </w:tcBorders>
            <w:noWrap/>
            <w:vAlign w:val="center"/>
          </w:tcPr>
          <w:p>
            <w:pPr>
              <w:spacing w:line="280" w:lineRule="exact"/>
              <w:jc w:val="center"/>
              <w:rPr>
                <w:szCs w:val="21"/>
              </w:rPr>
            </w:pPr>
          </w:p>
        </w:tc>
      </w:tr>
      <w:tr>
        <w:tblPrEx>
          <w:tblCellMar>
            <w:top w:w="0" w:type="dxa"/>
            <w:left w:w="28" w:type="dxa"/>
            <w:bottom w:w="0" w:type="dxa"/>
            <w:right w:w="28" w:type="dxa"/>
          </w:tblCellMar>
        </w:tblPrEx>
        <w:trPr>
          <w:trHeight w:val="1172" w:hRule="atLeast"/>
          <w:jc w:val="center"/>
        </w:trPr>
        <w:tc>
          <w:tcPr>
            <w:tcW w:w="777" w:type="pct"/>
            <w:vMerge w:val="continue"/>
            <w:tcBorders>
              <w:left w:val="single" w:color="auto" w:sz="12" w:space="0"/>
              <w:right w:val="single" w:color="auto" w:sz="4" w:space="0"/>
            </w:tcBorders>
            <w:shd w:val="clear" w:color="auto" w:fill="auto"/>
            <w:noWrap w:val="0"/>
            <w:vAlign w:val="center"/>
          </w:tcPr>
          <w:p>
            <w:pPr>
              <w:spacing w:line="280" w:lineRule="exact"/>
              <w:jc w:val="center"/>
              <w:rPr>
                <w:szCs w:val="21"/>
              </w:rPr>
            </w:pPr>
          </w:p>
        </w:tc>
        <w:tc>
          <w:tcPr>
            <w:tcW w:w="279" w:type="pct"/>
            <w:vMerge w:val="continue"/>
            <w:tcBorders>
              <w:left w:val="single" w:color="auto" w:sz="4" w:space="0"/>
              <w:right w:val="single" w:color="auto" w:sz="4" w:space="0"/>
            </w:tcBorders>
            <w:shd w:val="clear" w:color="auto" w:fill="auto"/>
            <w:noWrap w:val="0"/>
            <w:vAlign w:val="center"/>
          </w:tcPr>
          <w:p>
            <w:pPr>
              <w:spacing w:line="280" w:lineRule="exact"/>
              <w:jc w:val="center"/>
              <w:rPr>
                <w:szCs w:val="21"/>
              </w:rPr>
            </w:pPr>
          </w:p>
        </w:tc>
        <w:tc>
          <w:tcPr>
            <w:tcW w:w="438" w:type="pct"/>
            <w:tcBorders>
              <w:top w:val="nil"/>
              <w:left w:val="nil"/>
              <w:bottom w:val="single" w:color="auto" w:sz="4" w:space="0"/>
              <w:right w:val="single" w:color="auto" w:sz="4" w:space="0"/>
            </w:tcBorders>
            <w:noWrap w:val="0"/>
            <w:vAlign w:val="center"/>
          </w:tcPr>
          <w:p>
            <w:pPr>
              <w:spacing w:line="280" w:lineRule="exact"/>
              <w:jc w:val="center"/>
              <w:rPr>
                <w:szCs w:val="21"/>
              </w:rPr>
            </w:pPr>
            <w:r>
              <w:rPr>
                <w:rFonts w:hint="eastAsia"/>
                <w:szCs w:val="21"/>
              </w:rPr>
              <w:t>“三公经费”控制率（</w:t>
            </w:r>
            <w:r>
              <w:rPr>
                <w:szCs w:val="21"/>
              </w:rPr>
              <w:t>2</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部门（单位）本年度“三公经费”实际支出数与预算安排数的比率，用以反映和考核部门（单位）对“三公经费”的实际控制程度。</w:t>
            </w:r>
          </w:p>
        </w:tc>
        <w:tc>
          <w:tcPr>
            <w:tcW w:w="1537"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“三公经费”控制率</w:t>
            </w:r>
            <w:r>
              <w:rPr>
                <w:szCs w:val="21"/>
              </w:rPr>
              <w:t>=</w:t>
            </w:r>
            <w:r>
              <w:rPr>
                <w:rFonts w:hint="eastAsia"/>
                <w:szCs w:val="21"/>
              </w:rPr>
              <w:t>（“三公经费”实际支出数</w:t>
            </w:r>
            <w:r>
              <w:rPr>
                <w:szCs w:val="21"/>
              </w:rPr>
              <w:t>/</w:t>
            </w:r>
            <w:r>
              <w:rPr>
                <w:rFonts w:hint="eastAsia"/>
                <w:szCs w:val="21"/>
              </w:rPr>
              <w:t>“三公经费”预算安排数）×</w:t>
            </w:r>
            <w:r>
              <w:rPr>
                <w:szCs w:val="21"/>
              </w:rPr>
              <w:t>100%</w:t>
            </w:r>
            <w:r>
              <w:rPr>
                <w:rFonts w:hint="eastAsia"/>
                <w:szCs w:val="21"/>
              </w:rPr>
              <w:t>。（为</w:t>
            </w:r>
            <w:r>
              <w:rPr>
                <w:szCs w:val="21"/>
              </w:rPr>
              <w:t>100%</w:t>
            </w:r>
            <w:r>
              <w:rPr>
                <w:rFonts w:hint="eastAsia"/>
                <w:szCs w:val="21"/>
              </w:rPr>
              <w:t>的计</w:t>
            </w:r>
            <w:r>
              <w:rPr>
                <w:szCs w:val="21"/>
              </w:rPr>
              <w:t>2</w:t>
            </w:r>
            <w:r>
              <w:rPr>
                <w:rFonts w:hint="eastAsia"/>
                <w:szCs w:val="21"/>
              </w:rPr>
              <w:t>分，每超过</w:t>
            </w:r>
            <w:r>
              <w:rPr>
                <w:szCs w:val="21"/>
              </w:rPr>
              <w:t>1</w:t>
            </w:r>
            <w:r>
              <w:rPr>
                <w:rFonts w:hint="eastAsia"/>
                <w:szCs w:val="21"/>
              </w:rPr>
              <w:t>个百分点扣</w:t>
            </w:r>
            <w:r>
              <w:rPr>
                <w:szCs w:val="21"/>
              </w:rPr>
              <w:t>0.5</w:t>
            </w:r>
            <w:r>
              <w:rPr>
                <w:rFonts w:hint="eastAsia"/>
                <w:szCs w:val="21"/>
              </w:rPr>
              <w:t>分，扣完为止）</w:t>
            </w:r>
          </w:p>
        </w:tc>
        <w:tc>
          <w:tcPr>
            <w:tcW w:w="379" w:type="pct"/>
            <w:tcBorders>
              <w:top w:val="nil"/>
              <w:left w:val="nil"/>
              <w:bottom w:val="single" w:color="auto" w:sz="4" w:space="0"/>
              <w:right w:val="single" w:color="auto" w:sz="4" w:space="0"/>
            </w:tcBorders>
            <w:noWrap/>
            <w:vAlign w:val="center"/>
          </w:tcPr>
          <w:p>
            <w:pPr>
              <w:spacing w:line="280" w:lineRule="exact"/>
              <w:jc w:val="center"/>
              <w:rPr>
                <w:rFonts w:hint="eastAsia" w:eastAsia="宋体"/>
                <w:szCs w:val="21"/>
                <w:lang w:val="en-US" w:eastAsia="zh-CN"/>
              </w:rPr>
            </w:pPr>
            <w:r>
              <w:rPr>
                <w:rFonts w:hint="eastAsia"/>
                <w:szCs w:val="21"/>
                <w:lang w:val="en-US" w:eastAsia="zh-CN"/>
              </w:rPr>
              <w:t>2</w:t>
            </w:r>
          </w:p>
        </w:tc>
        <w:tc>
          <w:tcPr>
            <w:tcW w:w="410" w:type="pct"/>
            <w:tcBorders>
              <w:top w:val="nil"/>
              <w:left w:val="nil"/>
              <w:bottom w:val="single" w:color="auto" w:sz="4" w:space="0"/>
              <w:right w:val="single" w:color="auto" w:sz="12" w:space="0"/>
            </w:tcBorders>
            <w:noWrap/>
            <w:vAlign w:val="center"/>
          </w:tcPr>
          <w:p>
            <w:pPr>
              <w:spacing w:line="280" w:lineRule="exact"/>
              <w:jc w:val="center"/>
              <w:rPr>
                <w:szCs w:val="21"/>
              </w:rPr>
            </w:pPr>
          </w:p>
        </w:tc>
      </w:tr>
      <w:tr>
        <w:tblPrEx>
          <w:tblCellMar>
            <w:top w:w="0" w:type="dxa"/>
            <w:left w:w="28" w:type="dxa"/>
            <w:bottom w:w="0" w:type="dxa"/>
            <w:right w:w="28" w:type="dxa"/>
          </w:tblCellMar>
        </w:tblPrEx>
        <w:trPr>
          <w:trHeight w:val="1500" w:hRule="atLeast"/>
          <w:jc w:val="center"/>
        </w:trPr>
        <w:tc>
          <w:tcPr>
            <w:tcW w:w="777" w:type="pct"/>
            <w:vMerge w:val="continue"/>
            <w:tcBorders>
              <w:left w:val="single" w:color="auto" w:sz="12" w:space="0"/>
              <w:right w:val="single" w:color="auto" w:sz="4" w:space="0"/>
            </w:tcBorders>
            <w:shd w:val="clear" w:color="auto" w:fill="auto"/>
            <w:noWrap w:val="0"/>
            <w:vAlign w:val="center"/>
          </w:tcPr>
          <w:p>
            <w:pPr>
              <w:spacing w:line="280" w:lineRule="exact"/>
              <w:jc w:val="center"/>
              <w:rPr>
                <w:szCs w:val="21"/>
              </w:rPr>
            </w:pPr>
          </w:p>
        </w:tc>
        <w:tc>
          <w:tcPr>
            <w:tcW w:w="279" w:type="pct"/>
            <w:vMerge w:val="continue"/>
            <w:tcBorders>
              <w:left w:val="single" w:color="auto" w:sz="4" w:space="0"/>
              <w:bottom w:val="single" w:color="000000" w:sz="4" w:space="0"/>
              <w:right w:val="single" w:color="auto" w:sz="4" w:space="0"/>
            </w:tcBorders>
            <w:shd w:val="clear" w:color="auto" w:fill="auto"/>
            <w:noWrap w:val="0"/>
            <w:vAlign w:val="center"/>
          </w:tcPr>
          <w:p>
            <w:pPr>
              <w:spacing w:line="280" w:lineRule="exact"/>
              <w:jc w:val="center"/>
              <w:rPr>
                <w:szCs w:val="21"/>
              </w:rPr>
            </w:pPr>
          </w:p>
        </w:tc>
        <w:tc>
          <w:tcPr>
            <w:tcW w:w="438" w:type="pct"/>
            <w:tcBorders>
              <w:top w:val="nil"/>
              <w:left w:val="nil"/>
              <w:bottom w:val="single" w:color="auto" w:sz="4" w:space="0"/>
              <w:right w:val="single" w:color="auto" w:sz="4" w:space="0"/>
            </w:tcBorders>
            <w:noWrap w:val="0"/>
            <w:vAlign w:val="center"/>
          </w:tcPr>
          <w:p>
            <w:pPr>
              <w:spacing w:line="280" w:lineRule="exact"/>
              <w:jc w:val="center"/>
              <w:rPr>
                <w:szCs w:val="21"/>
              </w:rPr>
            </w:pPr>
            <w:r>
              <w:rPr>
                <w:rFonts w:hint="eastAsia"/>
                <w:szCs w:val="21"/>
              </w:rPr>
              <w:t>政府采购执行率（</w:t>
            </w:r>
            <w:r>
              <w:rPr>
                <w:szCs w:val="21"/>
              </w:rPr>
              <w:t>4</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部门（单位）本年度实际政府采购金额与年初政府采购预算的比率，用以反映和考核部门（单位）政府采购预算执行情况。</w:t>
            </w:r>
          </w:p>
        </w:tc>
        <w:tc>
          <w:tcPr>
            <w:tcW w:w="1537"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政府采购执行率</w:t>
            </w:r>
            <w:r>
              <w:rPr>
                <w:szCs w:val="21"/>
              </w:rPr>
              <w:t>=</w:t>
            </w:r>
            <w:r>
              <w:rPr>
                <w:rFonts w:hint="eastAsia"/>
                <w:szCs w:val="21"/>
              </w:rPr>
              <w:t>（实际政府采购金额</w:t>
            </w:r>
            <w:r>
              <w:rPr>
                <w:szCs w:val="21"/>
              </w:rPr>
              <w:t>/</w:t>
            </w:r>
            <w:r>
              <w:rPr>
                <w:rFonts w:hint="eastAsia"/>
                <w:szCs w:val="21"/>
              </w:rPr>
              <w:t>政府采购预算数）×</w:t>
            </w:r>
            <w:r>
              <w:rPr>
                <w:szCs w:val="21"/>
              </w:rPr>
              <w:t>100%</w:t>
            </w:r>
            <w:r>
              <w:rPr>
                <w:rFonts w:hint="eastAsia"/>
                <w:szCs w:val="21"/>
              </w:rPr>
              <w:t>。（为</w:t>
            </w:r>
            <w:r>
              <w:rPr>
                <w:szCs w:val="21"/>
              </w:rPr>
              <w:t>100%</w:t>
            </w:r>
            <w:r>
              <w:rPr>
                <w:rFonts w:hint="eastAsia"/>
                <w:szCs w:val="21"/>
              </w:rPr>
              <w:t>的计</w:t>
            </w:r>
            <w:r>
              <w:rPr>
                <w:szCs w:val="21"/>
              </w:rPr>
              <w:t>2</w:t>
            </w:r>
            <w:r>
              <w:rPr>
                <w:rFonts w:hint="eastAsia"/>
                <w:szCs w:val="21"/>
              </w:rPr>
              <w:t>分，每低于</w:t>
            </w:r>
            <w:r>
              <w:rPr>
                <w:szCs w:val="21"/>
              </w:rPr>
              <w:t>1</w:t>
            </w:r>
            <w:r>
              <w:rPr>
                <w:rFonts w:hint="eastAsia"/>
                <w:szCs w:val="21"/>
              </w:rPr>
              <w:t>个百分点扣</w:t>
            </w:r>
            <w:r>
              <w:rPr>
                <w:szCs w:val="21"/>
              </w:rPr>
              <w:t>0.5</w:t>
            </w:r>
            <w:r>
              <w:rPr>
                <w:rFonts w:hint="eastAsia"/>
                <w:szCs w:val="21"/>
              </w:rPr>
              <w:t>分，扣完为止）</w:t>
            </w:r>
          </w:p>
          <w:p>
            <w:pPr>
              <w:spacing w:line="280" w:lineRule="exact"/>
              <w:rPr>
                <w:szCs w:val="21"/>
              </w:rPr>
            </w:pPr>
            <w:r>
              <w:rPr>
                <w:rFonts w:hint="eastAsia"/>
                <w:szCs w:val="21"/>
              </w:rPr>
              <w:t>政府采购预算：采购机关根据事业发展计划和行政任务编制的、并经过规定程序批准的年度政府采购计划。</w:t>
            </w:r>
          </w:p>
        </w:tc>
        <w:tc>
          <w:tcPr>
            <w:tcW w:w="379" w:type="pct"/>
            <w:tcBorders>
              <w:top w:val="nil"/>
              <w:left w:val="nil"/>
              <w:bottom w:val="single" w:color="auto" w:sz="4" w:space="0"/>
              <w:right w:val="single" w:color="auto" w:sz="4" w:space="0"/>
            </w:tcBorders>
            <w:noWrap/>
            <w:vAlign w:val="center"/>
          </w:tcPr>
          <w:p>
            <w:pPr>
              <w:spacing w:line="280" w:lineRule="exact"/>
              <w:jc w:val="center"/>
              <w:rPr>
                <w:rFonts w:hint="eastAsia" w:eastAsia="宋体"/>
                <w:szCs w:val="21"/>
                <w:lang w:val="en-US" w:eastAsia="zh-CN"/>
              </w:rPr>
            </w:pPr>
            <w:r>
              <w:rPr>
                <w:rFonts w:hint="eastAsia"/>
                <w:szCs w:val="21"/>
                <w:lang w:val="en-US" w:eastAsia="zh-CN"/>
              </w:rPr>
              <w:t>4</w:t>
            </w:r>
          </w:p>
        </w:tc>
        <w:tc>
          <w:tcPr>
            <w:tcW w:w="410" w:type="pct"/>
            <w:tcBorders>
              <w:top w:val="nil"/>
              <w:left w:val="nil"/>
              <w:bottom w:val="single" w:color="auto" w:sz="4" w:space="0"/>
              <w:right w:val="single" w:color="auto" w:sz="12" w:space="0"/>
            </w:tcBorders>
            <w:noWrap/>
            <w:vAlign w:val="center"/>
          </w:tcPr>
          <w:p>
            <w:pPr>
              <w:spacing w:line="280" w:lineRule="exact"/>
              <w:jc w:val="center"/>
              <w:rPr>
                <w:szCs w:val="21"/>
              </w:rPr>
            </w:pPr>
          </w:p>
        </w:tc>
      </w:tr>
      <w:tr>
        <w:tblPrEx>
          <w:tblCellMar>
            <w:top w:w="0" w:type="dxa"/>
            <w:left w:w="28" w:type="dxa"/>
            <w:bottom w:w="0" w:type="dxa"/>
            <w:right w:w="28" w:type="dxa"/>
          </w:tblCellMar>
        </w:tblPrEx>
        <w:trPr>
          <w:trHeight w:val="1635" w:hRule="atLeast"/>
          <w:jc w:val="center"/>
        </w:trPr>
        <w:tc>
          <w:tcPr>
            <w:tcW w:w="777" w:type="pct"/>
            <w:vMerge w:val="continue"/>
            <w:tcBorders>
              <w:left w:val="single" w:color="auto" w:sz="12" w:space="0"/>
              <w:right w:val="single" w:color="auto" w:sz="4" w:space="0"/>
            </w:tcBorders>
            <w:shd w:val="clear" w:color="auto" w:fill="auto"/>
            <w:noWrap w:val="0"/>
            <w:vAlign w:val="center"/>
          </w:tcPr>
          <w:p>
            <w:pPr>
              <w:spacing w:line="280" w:lineRule="exact"/>
              <w:jc w:val="center"/>
              <w:rPr>
                <w:szCs w:val="21"/>
              </w:rPr>
            </w:pPr>
          </w:p>
        </w:tc>
        <w:tc>
          <w:tcPr>
            <w:tcW w:w="279" w:type="pct"/>
            <w:vMerge w:val="restart"/>
            <w:tcBorders>
              <w:top w:val="nil"/>
              <w:left w:val="single" w:color="auto" w:sz="4" w:space="0"/>
              <w:right w:val="single" w:color="auto" w:sz="4" w:space="0"/>
            </w:tcBorders>
            <w:shd w:val="clear" w:color="auto" w:fill="auto"/>
            <w:noWrap w:val="0"/>
            <w:vAlign w:val="center"/>
          </w:tcPr>
          <w:p>
            <w:pPr>
              <w:spacing w:line="280" w:lineRule="exact"/>
              <w:jc w:val="center"/>
              <w:rPr>
                <w:szCs w:val="21"/>
              </w:rPr>
            </w:pPr>
            <w:r>
              <w:rPr>
                <w:rFonts w:hint="eastAsia"/>
                <w:szCs w:val="21"/>
              </w:rPr>
              <w:t>预算管理（</w:t>
            </w:r>
            <w:r>
              <w:rPr>
                <w:szCs w:val="21"/>
              </w:rPr>
              <w:t>5</w:t>
            </w:r>
            <w:r>
              <w:rPr>
                <w:rFonts w:hint="eastAsia"/>
                <w:szCs w:val="21"/>
              </w:rPr>
              <w:t>分）</w:t>
            </w:r>
          </w:p>
        </w:tc>
        <w:tc>
          <w:tcPr>
            <w:tcW w:w="438" w:type="pct"/>
            <w:tcBorders>
              <w:top w:val="nil"/>
              <w:left w:val="nil"/>
              <w:bottom w:val="single" w:color="auto" w:sz="4" w:space="0"/>
              <w:right w:val="single" w:color="auto" w:sz="4" w:space="0"/>
            </w:tcBorders>
            <w:noWrap w:val="0"/>
            <w:vAlign w:val="center"/>
          </w:tcPr>
          <w:p>
            <w:pPr>
              <w:spacing w:line="280" w:lineRule="exact"/>
              <w:jc w:val="center"/>
              <w:rPr>
                <w:szCs w:val="21"/>
              </w:rPr>
            </w:pPr>
            <w:r>
              <w:rPr>
                <w:rFonts w:hint="eastAsia"/>
                <w:szCs w:val="21"/>
              </w:rPr>
              <w:t>管理制度健全性（</w:t>
            </w:r>
            <w:r>
              <w:rPr>
                <w:szCs w:val="21"/>
              </w:rPr>
              <w:t>2</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部门（单位）为加强预算管理、规范财务行为而制定的管理制度是否健全完整，用以反映和考核部门（单位）预算管理制度对完成主要职责或促进事业发展的保障情况。</w:t>
            </w:r>
          </w:p>
        </w:tc>
        <w:tc>
          <w:tcPr>
            <w:tcW w:w="1537"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①是否已制定或具有预算资金管理办法、内部财务管理制度、会计核算制度等管理制度；（</w:t>
            </w:r>
            <w:r>
              <w:rPr>
                <w:szCs w:val="21"/>
              </w:rPr>
              <w:t>1</w:t>
            </w:r>
            <w:r>
              <w:rPr>
                <w:rFonts w:hint="eastAsia"/>
                <w:szCs w:val="21"/>
              </w:rPr>
              <w:t>分）</w:t>
            </w:r>
          </w:p>
          <w:p>
            <w:pPr>
              <w:spacing w:line="280" w:lineRule="exact"/>
              <w:rPr>
                <w:szCs w:val="21"/>
              </w:rPr>
            </w:pPr>
            <w:r>
              <w:rPr>
                <w:rFonts w:hint="eastAsia"/>
                <w:szCs w:val="21"/>
              </w:rPr>
              <w:t>②相关管理制度是否合法、合规、完整；（</w:t>
            </w:r>
            <w:r>
              <w:rPr>
                <w:szCs w:val="21"/>
              </w:rPr>
              <w:t>0.5</w:t>
            </w:r>
            <w:r>
              <w:rPr>
                <w:rFonts w:hint="eastAsia"/>
                <w:szCs w:val="21"/>
              </w:rPr>
              <w:t>分）</w:t>
            </w:r>
          </w:p>
          <w:p>
            <w:pPr>
              <w:spacing w:line="280" w:lineRule="exact"/>
              <w:rPr>
                <w:szCs w:val="21"/>
              </w:rPr>
            </w:pPr>
            <w:r>
              <w:rPr>
                <w:rFonts w:hint="eastAsia"/>
                <w:szCs w:val="21"/>
              </w:rPr>
              <w:t>③相关管理制度是否得到有效执行。（</w:t>
            </w:r>
            <w:r>
              <w:rPr>
                <w:szCs w:val="21"/>
              </w:rPr>
              <w:t>0.5</w:t>
            </w:r>
            <w:r>
              <w:rPr>
                <w:rFonts w:hint="eastAsia"/>
                <w:szCs w:val="21"/>
              </w:rPr>
              <w:t>分）</w:t>
            </w:r>
          </w:p>
        </w:tc>
        <w:tc>
          <w:tcPr>
            <w:tcW w:w="379" w:type="pct"/>
            <w:tcBorders>
              <w:top w:val="nil"/>
              <w:left w:val="nil"/>
              <w:bottom w:val="single" w:color="auto" w:sz="4" w:space="0"/>
              <w:right w:val="single" w:color="auto" w:sz="4" w:space="0"/>
            </w:tcBorders>
            <w:noWrap/>
            <w:vAlign w:val="center"/>
          </w:tcPr>
          <w:p>
            <w:pPr>
              <w:spacing w:line="280" w:lineRule="exact"/>
              <w:jc w:val="center"/>
              <w:rPr>
                <w:rFonts w:hint="eastAsia" w:eastAsia="宋体"/>
                <w:szCs w:val="21"/>
                <w:lang w:val="en-US" w:eastAsia="zh-CN"/>
              </w:rPr>
            </w:pPr>
            <w:r>
              <w:rPr>
                <w:rFonts w:hint="eastAsia"/>
                <w:szCs w:val="21"/>
                <w:lang w:val="en-US" w:eastAsia="zh-CN"/>
              </w:rPr>
              <w:t>2</w:t>
            </w:r>
          </w:p>
        </w:tc>
        <w:tc>
          <w:tcPr>
            <w:tcW w:w="410" w:type="pct"/>
            <w:tcBorders>
              <w:top w:val="nil"/>
              <w:left w:val="nil"/>
              <w:bottom w:val="single" w:color="auto" w:sz="4" w:space="0"/>
              <w:right w:val="single" w:color="auto" w:sz="12" w:space="0"/>
            </w:tcBorders>
            <w:noWrap/>
            <w:vAlign w:val="center"/>
          </w:tcPr>
          <w:p>
            <w:pPr>
              <w:spacing w:line="280" w:lineRule="exact"/>
              <w:jc w:val="center"/>
              <w:rPr>
                <w:szCs w:val="21"/>
              </w:rPr>
            </w:pPr>
          </w:p>
        </w:tc>
      </w:tr>
      <w:tr>
        <w:tblPrEx>
          <w:tblCellMar>
            <w:top w:w="0" w:type="dxa"/>
            <w:left w:w="28" w:type="dxa"/>
            <w:bottom w:w="0" w:type="dxa"/>
            <w:right w:w="28" w:type="dxa"/>
          </w:tblCellMar>
        </w:tblPrEx>
        <w:trPr>
          <w:trHeight w:val="2334" w:hRule="atLeast"/>
          <w:jc w:val="center"/>
        </w:trPr>
        <w:tc>
          <w:tcPr>
            <w:tcW w:w="777" w:type="pct"/>
            <w:vMerge w:val="continue"/>
            <w:tcBorders>
              <w:left w:val="single" w:color="auto" w:sz="12" w:space="0"/>
              <w:bottom w:val="single" w:color="000000" w:sz="4" w:space="0"/>
              <w:right w:val="single" w:color="auto" w:sz="4" w:space="0"/>
            </w:tcBorders>
            <w:shd w:val="clear" w:color="auto" w:fill="auto"/>
            <w:noWrap w:val="0"/>
            <w:vAlign w:val="center"/>
          </w:tcPr>
          <w:p>
            <w:pPr>
              <w:spacing w:line="280" w:lineRule="exact"/>
              <w:jc w:val="center"/>
              <w:rPr>
                <w:szCs w:val="21"/>
              </w:rPr>
            </w:pPr>
          </w:p>
        </w:tc>
        <w:tc>
          <w:tcPr>
            <w:tcW w:w="279" w:type="pct"/>
            <w:vMerge w:val="continue"/>
            <w:tcBorders>
              <w:left w:val="single" w:color="auto" w:sz="4" w:space="0"/>
              <w:bottom w:val="single" w:color="auto" w:sz="4" w:space="0"/>
              <w:right w:val="single" w:color="auto" w:sz="4" w:space="0"/>
            </w:tcBorders>
            <w:shd w:val="clear" w:color="auto" w:fill="auto"/>
            <w:noWrap w:val="0"/>
            <w:vAlign w:val="center"/>
          </w:tcPr>
          <w:p>
            <w:pPr>
              <w:spacing w:line="280" w:lineRule="exact"/>
              <w:jc w:val="center"/>
              <w:rPr>
                <w:szCs w:val="21"/>
              </w:rPr>
            </w:pPr>
          </w:p>
        </w:tc>
        <w:tc>
          <w:tcPr>
            <w:tcW w:w="438" w:type="pct"/>
            <w:tcBorders>
              <w:top w:val="nil"/>
              <w:left w:val="nil"/>
              <w:bottom w:val="single" w:color="auto" w:sz="4" w:space="0"/>
              <w:right w:val="single" w:color="auto" w:sz="4" w:space="0"/>
            </w:tcBorders>
            <w:noWrap w:val="0"/>
            <w:vAlign w:val="center"/>
          </w:tcPr>
          <w:p>
            <w:pPr>
              <w:spacing w:line="280" w:lineRule="exact"/>
              <w:jc w:val="center"/>
              <w:rPr>
                <w:szCs w:val="21"/>
              </w:rPr>
            </w:pPr>
            <w:r>
              <w:rPr>
                <w:rFonts w:hint="eastAsia"/>
                <w:szCs w:val="21"/>
              </w:rPr>
              <w:t>资金使用合规性（</w:t>
            </w:r>
            <w:r>
              <w:rPr>
                <w:szCs w:val="21"/>
              </w:rPr>
              <w:t>1</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部门（单位）使用预算资金是否符合相关的预算财务管理制度的规定，用以反映和考核部门（单位）预算资金的规范运行情况。</w:t>
            </w:r>
          </w:p>
        </w:tc>
        <w:tc>
          <w:tcPr>
            <w:tcW w:w="1537"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①是否符合国家财经法规和财务管理制度规定以及有关专项资金管理办法的规定；（</w:t>
            </w:r>
            <w:r>
              <w:rPr>
                <w:szCs w:val="21"/>
              </w:rPr>
              <w:t>0.2</w:t>
            </w:r>
            <w:r>
              <w:rPr>
                <w:rFonts w:hint="eastAsia"/>
                <w:szCs w:val="21"/>
              </w:rPr>
              <w:t>分）</w:t>
            </w:r>
          </w:p>
          <w:p>
            <w:pPr>
              <w:spacing w:line="280" w:lineRule="exact"/>
              <w:rPr>
                <w:szCs w:val="21"/>
              </w:rPr>
            </w:pPr>
            <w:r>
              <w:rPr>
                <w:rFonts w:hint="eastAsia"/>
                <w:szCs w:val="21"/>
              </w:rPr>
              <w:t>②资金的拨付是否有完整的审批程序和手续；（</w:t>
            </w:r>
            <w:r>
              <w:rPr>
                <w:szCs w:val="21"/>
              </w:rPr>
              <w:t>0.2</w:t>
            </w:r>
            <w:r>
              <w:rPr>
                <w:rFonts w:hint="eastAsia"/>
                <w:szCs w:val="21"/>
              </w:rPr>
              <w:t>分）</w:t>
            </w:r>
          </w:p>
          <w:p>
            <w:pPr>
              <w:spacing w:line="280" w:lineRule="exact"/>
              <w:rPr>
                <w:szCs w:val="21"/>
              </w:rPr>
            </w:pPr>
            <w:r>
              <w:rPr>
                <w:rFonts w:hint="eastAsia"/>
                <w:szCs w:val="21"/>
              </w:rPr>
              <w:t>③项目的重大开支是否经过评估论证；（</w:t>
            </w:r>
            <w:r>
              <w:rPr>
                <w:szCs w:val="21"/>
              </w:rPr>
              <w:t>0.2</w:t>
            </w:r>
            <w:r>
              <w:rPr>
                <w:rFonts w:hint="eastAsia"/>
                <w:szCs w:val="21"/>
              </w:rPr>
              <w:t>分）</w:t>
            </w:r>
          </w:p>
          <w:p>
            <w:pPr>
              <w:spacing w:line="280" w:lineRule="exact"/>
              <w:rPr>
                <w:szCs w:val="21"/>
              </w:rPr>
            </w:pPr>
            <w:r>
              <w:rPr>
                <w:rFonts w:hint="eastAsia"/>
                <w:szCs w:val="21"/>
              </w:rPr>
              <w:t>④是否符合部门预算批复的用途；（</w:t>
            </w:r>
            <w:r>
              <w:rPr>
                <w:szCs w:val="21"/>
              </w:rPr>
              <w:t>0.2</w:t>
            </w:r>
            <w:r>
              <w:rPr>
                <w:rFonts w:hint="eastAsia"/>
                <w:szCs w:val="21"/>
              </w:rPr>
              <w:t>分）</w:t>
            </w:r>
          </w:p>
          <w:p>
            <w:pPr>
              <w:spacing w:line="280" w:lineRule="exact"/>
              <w:rPr>
                <w:szCs w:val="21"/>
              </w:rPr>
            </w:pPr>
            <w:r>
              <w:rPr>
                <w:rFonts w:hint="eastAsia"/>
                <w:szCs w:val="21"/>
              </w:rPr>
              <w:t>⑤是否存在截留、挤占、挪用、虚列支出等情况。（</w:t>
            </w:r>
            <w:r>
              <w:rPr>
                <w:szCs w:val="21"/>
              </w:rPr>
              <w:t>0.2</w:t>
            </w:r>
            <w:r>
              <w:rPr>
                <w:rFonts w:hint="eastAsia"/>
                <w:szCs w:val="21"/>
              </w:rPr>
              <w:t>分）</w:t>
            </w:r>
          </w:p>
        </w:tc>
        <w:tc>
          <w:tcPr>
            <w:tcW w:w="379" w:type="pct"/>
            <w:tcBorders>
              <w:top w:val="nil"/>
              <w:left w:val="nil"/>
              <w:bottom w:val="single" w:color="auto" w:sz="4" w:space="0"/>
              <w:right w:val="single" w:color="auto" w:sz="4" w:space="0"/>
            </w:tcBorders>
            <w:noWrap/>
            <w:vAlign w:val="center"/>
          </w:tcPr>
          <w:p>
            <w:pPr>
              <w:spacing w:line="280" w:lineRule="exact"/>
              <w:jc w:val="center"/>
              <w:rPr>
                <w:rFonts w:hint="eastAsia" w:eastAsia="宋体"/>
                <w:szCs w:val="21"/>
                <w:lang w:val="en-US" w:eastAsia="zh-CN"/>
              </w:rPr>
            </w:pPr>
            <w:r>
              <w:rPr>
                <w:rFonts w:hint="eastAsia"/>
                <w:szCs w:val="21"/>
                <w:lang w:val="en-US" w:eastAsia="zh-CN"/>
              </w:rPr>
              <w:t>1</w:t>
            </w:r>
          </w:p>
        </w:tc>
        <w:tc>
          <w:tcPr>
            <w:tcW w:w="410" w:type="pct"/>
            <w:tcBorders>
              <w:top w:val="nil"/>
              <w:left w:val="nil"/>
              <w:bottom w:val="single" w:color="auto" w:sz="4" w:space="0"/>
              <w:right w:val="single" w:color="auto" w:sz="12" w:space="0"/>
            </w:tcBorders>
            <w:noWrap/>
            <w:vAlign w:val="center"/>
          </w:tcPr>
          <w:p>
            <w:pPr>
              <w:spacing w:line="280" w:lineRule="exact"/>
              <w:jc w:val="center"/>
              <w:rPr>
                <w:szCs w:val="21"/>
              </w:rPr>
            </w:pPr>
          </w:p>
        </w:tc>
      </w:tr>
      <w:tr>
        <w:tblPrEx>
          <w:tblCellMar>
            <w:top w:w="0" w:type="dxa"/>
            <w:left w:w="28" w:type="dxa"/>
            <w:bottom w:w="0" w:type="dxa"/>
            <w:right w:w="28" w:type="dxa"/>
          </w:tblCellMar>
        </w:tblPrEx>
        <w:trPr>
          <w:trHeight w:val="1644" w:hRule="atLeast"/>
          <w:jc w:val="center"/>
        </w:trPr>
        <w:tc>
          <w:tcPr>
            <w:tcW w:w="777" w:type="pct"/>
            <w:vMerge w:val="restart"/>
            <w:tcBorders>
              <w:top w:val="nil"/>
              <w:left w:val="single" w:color="auto" w:sz="12" w:space="0"/>
              <w:right w:val="single" w:color="auto" w:sz="4" w:space="0"/>
            </w:tcBorders>
            <w:shd w:val="clear" w:color="auto" w:fill="auto"/>
            <w:noWrap w:val="0"/>
            <w:vAlign w:val="center"/>
          </w:tcPr>
          <w:p>
            <w:pPr>
              <w:spacing w:line="260" w:lineRule="exact"/>
              <w:jc w:val="center"/>
              <w:rPr>
                <w:szCs w:val="21"/>
              </w:rPr>
            </w:pPr>
            <w:r>
              <w:rPr>
                <w:rFonts w:hint="eastAsia"/>
                <w:szCs w:val="21"/>
              </w:rPr>
              <w:t>过程（</w:t>
            </w:r>
            <w:r>
              <w:rPr>
                <w:szCs w:val="21"/>
              </w:rPr>
              <w:t>30</w:t>
            </w:r>
            <w:r>
              <w:rPr>
                <w:rFonts w:hint="eastAsia"/>
                <w:szCs w:val="21"/>
              </w:rPr>
              <w:t>分）</w:t>
            </w:r>
          </w:p>
        </w:tc>
        <w:tc>
          <w:tcPr>
            <w:tcW w:w="279" w:type="pct"/>
            <w:vMerge w:val="restart"/>
            <w:tcBorders>
              <w:top w:val="nil"/>
              <w:left w:val="single" w:color="auto" w:sz="4" w:space="0"/>
              <w:right w:val="single" w:color="auto" w:sz="4" w:space="0"/>
            </w:tcBorders>
            <w:shd w:val="clear" w:color="auto" w:fill="auto"/>
            <w:noWrap w:val="0"/>
            <w:vAlign w:val="center"/>
          </w:tcPr>
          <w:p>
            <w:pPr>
              <w:spacing w:line="280" w:lineRule="exact"/>
              <w:jc w:val="center"/>
              <w:rPr>
                <w:szCs w:val="21"/>
              </w:rPr>
            </w:pPr>
            <w:r>
              <w:rPr>
                <w:rFonts w:hint="eastAsia"/>
                <w:szCs w:val="21"/>
              </w:rPr>
              <w:t>预算管理（</w:t>
            </w:r>
            <w:r>
              <w:rPr>
                <w:szCs w:val="21"/>
              </w:rPr>
              <w:t>5</w:t>
            </w:r>
            <w:r>
              <w:rPr>
                <w:rFonts w:hint="eastAsia"/>
                <w:szCs w:val="21"/>
              </w:rPr>
              <w:t>分）</w:t>
            </w:r>
          </w:p>
        </w:tc>
        <w:tc>
          <w:tcPr>
            <w:tcW w:w="438" w:type="pct"/>
            <w:tcBorders>
              <w:top w:val="nil"/>
              <w:left w:val="nil"/>
              <w:bottom w:val="single" w:color="auto" w:sz="4" w:space="0"/>
              <w:right w:val="single" w:color="auto" w:sz="4" w:space="0"/>
            </w:tcBorders>
            <w:noWrap w:val="0"/>
            <w:vAlign w:val="center"/>
          </w:tcPr>
          <w:p>
            <w:pPr>
              <w:spacing w:line="350" w:lineRule="exact"/>
              <w:jc w:val="center"/>
              <w:rPr>
                <w:szCs w:val="21"/>
              </w:rPr>
            </w:pPr>
            <w:r>
              <w:rPr>
                <w:rFonts w:hint="eastAsia"/>
                <w:szCs w:val="21"/>
              </w:rPr>
              <w:t>预决算信息公开性（</w:t>
            </w:r>
            <w:r>
              <w:rPr>
                <w:szCs w:val="21"/>
              </w:rPr>
              <w:t>1</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部门（单位）是否按照政府信息公开有关规定公开相关预决算信息，用以反映和考核部门（单位）预决算管理的公开透明情况。</w:t>
            </w:r>
          </w:p>
        </w:tc>
        <w:tc>
          <w:tcPr>
            <w:tcW w:w="1537"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①是否按规定内容公开预决算信息；（</w:t>
            </w:r>
            <w:r>
              <w:rPr>
                <w:szCs w:val="21"/>
              </w:rPr>
              <w:t>0.5</w:t>
            </w:r>
            <w:r>
              <w:rPr>
                <w:rFonts w:hint="eastAsia"/>
                <w:szCs w:val="21"/>
              </w:rPr>
              <w:t>分）</w:t>
            </w:r>
          </w:p>
          <w:p>
            <w:pPr>
              <w:spacing w:line="350" w:lineRule="exact"/>
              <w:rPr>
                <w:szCs w:val="21"/>
              </w:rPr>
            </w:pPr>
            <w:r>
              <w:rPr>
                <w:rFonts w:hint="eastAsia"/>
                <w:szCs w:val="21"/>
              </w:rPr>
              <w:t>②是否按规定时限公开预决算信息。（</w:t>
            </w:r>
            <w:r>
              <w:rPr>
                <w:szCs w:val="21"/>
              </w:rPr>
              <w:t>0.5</w:t>
            </w:r>
            <w:r>
              <w:rPr>
                <w:rFonts w:hint="eastAsia"/>
                <w:szCs w:val="21"/>
              </w:rPr>
              <w:t>分）</w:t>
            </w:r>
          </w:p>
          <w:p>
            <w:pPr>
              <w:spacing w:line="350" w:lineRule="exact"/>
              <w:rPr>
                <w:szCs w:val="21"/>
              </w:rPr>
            </w:pPr>
            <w:r>
              <w:rPr>
                <w:rFonts w:hint="eastAsia"/>
                <w:szCs w:val="21"/>
              </w:rPr>
              <w:t>预决算信息是指与部门预算、执行、决算、监督、绩效等管理相关的信息。</w:t>
            </w:r>
          </w:p>
        </w:tc>
        <w:tc>
          <w:tcPr>
            <w:tcW w:w="379" w:type="pct"/>
            <w:tcBorders>
              <w:top w:val="nil"/>
              <w:left w:val="nil"/>
              <w:bottom w:val="single" w:color="auto" w:sz="4" w:space="0"/>
              <w:right w:val="single" w:color="auto" w:sz="4" w:space="0"/>
            </w:tcBorders>
            <w:noWrap/>
            <w:vAlign w:val="center"/>
          </w:tcPr>
          <w:p>
            <w:pPr>
              <w:spacing w:line="350" w:lineRule="exact"/>
              <w:jc w:val="center"/>
              <w:rPr>
                <w:rFonts w:hint="eastAsia" w:eastAsia="宋体"/>
                <w:szCs w:val="21"/>
                <w:lang w:val="en-US" w:eastAsia="zh-CN"/>
              </w:rPr>
            </w:pPr>
            <w:r>
              <w:rPr>
                <w:rFonts w:hint="eastAsia"/>
                <w:szCs w:val="21"/>
                <w:lang w:val="en-US" w:eastAsia="zh-CN"/>
              </w:rPr>
              <w:t>1</w:t>
            </w:r>
          </w:p>
        </w:tc>
        <w:tc>
          <w:tcPr>
            <w:tcW w:w="410" w:type="pct"/>
            <w:tcBorders>
              <w:top w:val="nil"/>
              <w:left w:val="nil"/>
              <w:bottom w:val="single" w:color="auto" w:sz="4" w:space="0"/>
              <w:right w:val="single" w:color="auto" w:sz="12" w:space="0"/>
            </w:tcBorders>
            <w:noWrap/>
            <w:vAlign w:val="center"/>
          </w:tcPr>
          <w:p>
            <w:pPr>
              <w:spacing w:line="350" w:lineRule="exact"/>
              <w:jc w:val="center"/>
              <w:rPr>
                <w:szCs w:val="21"/>
              </w:rPr>
            </w:pPr>
          </w:p>
        </w:tc>
      </w:tr>
      <w:tr>
        <w:tblPrEx>
          <w:tblCellMar>
            <w:top w:w="0" w:type="dxa"/>
            <w:left w:w="28" w:type="dxa"/>
            <w:bottom w:w="0" w:type="dxa"/>
            <w:right w:w="28" w:type="dxa"/>
          </w:tblCellMar>
        </w:tblPrEx>
        <w:trPr>
          <w:trHeight w:val="453" w:hRule="atLeast"/>
          <w:jc w:val="center"/>
        </w:trPr>
        <w:tc>
          <w:tcPr>
            <w:tcW w:w="777" w:type="pct"/>
            <w:vMerge w:val="continue"/>
            <w:tcBorders>
              <w:left w:val="single" w:color="auto" w:sz="12" w:space="0"/>
              <w:right w:val="single" w:color="auto" w:sz="4" w:space="0"/>
            </w:tcBorders>
            <w:shd w:val="clear" w:color="auto" w:fill="auto"/>
            <w:noWrap w:val="0"/>
            <w:vAlign w:val="center"/>
          </w:tcPr>
          <w:p>
            <w:pPr>
              <w:spacing w:line="350" w:lineRule="exact"/>
              <w:jc w:val="center"/>
              <w:rPr>
                <w:szCs w:val="21"/>
              </w:rPr>
            </w:pPr>
          </w:p>
        </w:tc>
        <w:tc>
          <w:tcPr>
            <w:tcW w:w="279" w:type="pct"/>
            <w:vMerge w:val="continue"/>
            <w:tcBorders>
              <w:left w:val="single" w:color="auto" w:sz="4" w:space="0"/>
              <w:bottom w:val="single" w:color="auto" w:sz="4" w:space="0"/>
              <w:right w:val="single" w:color="auto" w:sz="4" w:space="0"/>
            </w:tcBorders>
            <w:shd w:val="clear" w:color="auto" w:fill="auto"/>
            <w:noWrap w:val="0"/>
            <w:vAlign w:val="center"/>
          </w:tcPr>
          <w:p>
            <w:pPr>
              <w:spacing w:line="350" w:lineRule="exact"/>
              <w:jc w:val="center"/>
              <w:rPr>
                <w:szCs w:val="21"/>
              </w:rPr>
            </w:pPr>
          </w:p>
        </w:tc>
        <w:tc>
          <w:tcPr>
            <w:tcW w:w="438" w:type="pct"/>
            <w:tcBorders>
              <w:top w:val="nil"/>
              <w:left w:val="nil"/>
              <w:bottom w:val="single" w:color="auto" w:sz="4" w:space="0"/>
              <w:right w:val="single" w:color="auto" w:sz="4" w:space="0"/>
            </w:tcBorders>
            <w:noWrap w:val="0"/>
            <w:vAlign w:val="center"/>
          </w:tcPr>
          <w:p>
            <w:pPr>
              <w:spacing w:line="350" w:lineRule="exact"/>
              <w:jc w:val="center"/>
              <w:rPr>
                <w:szCs w:val="21"/>
              </w:rPr>
            </w:pPr>
            <w:r>
              <w:rPr>
                <w:rFonts w:hint="eastAsia"/>
                <w:szCs w:val="21"/>
              </w:rPr>
              <w:t>基础信息完善性（</w:t>
            </w:r>
            <w:r>
              <w:rPr>
                <w:szCs w:val="21"/>
              </w:rPr>
              <w:t>1</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部门（单位）基础信息是否完善，用以反映和考核基础信息对预算管理工作的支撑情况。</w:t>
            </w:r>
          </w:p>
        </w:tc>
        <w:tc>
          <w:tcPr>
            <w:tcW w:w="1537"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①基础数据信息和会计信息资料是否真实；（</w:t>
            </w:r>
            <w:r>
              <w:rPr>
                <w:szCs w:val="21"/>
              </w:rPr>
              <w:t>0.4</w:t>
            </w:r>
            <w:r>
              <w:rPr>
                <w:rFonts w:hint="eastAsia"/>
                <w:szCs w:val="21"/>
              </w:rPr>
              <w:t>分）</w:t>
            </w:r>
          </w:p>
          <w:p>
            <w:pPr>
              <w:spacing w:line="350" w:lineRule="exact"/>
              <w:rPr>
                <w:szCs w:val="21"/>
              </w:rPr>
            </w:pPr>
            <w:r>
              <w:rPr>
                <w:rFonts w:hint="eastAsia"/>
                <w:szCs w:val="21"/>
              </w:rPr>
              <w:t>②基础数据信息和会计信息资料是否完整；（</w:t>
            </w:r>
            <w:r>
              <w:rPr>
                <w:szCs w:val="21"/>
              </w:rPr>
              <w:t>0.3</w:t>
            </w:r>
            <w:r>
              <w:rPr>
                <w:rFonts w:hint="eastAsia"/>
                <w:szCs w:val="21"/>
              </w:rPr>
              <w:t>分）</w:t>
            </w:r>
          </w:p>
          <w:p>
            <w:pPr>
              <w:spacing w:line="350" w:lineRule="exact"/>
              <w:rPr>
                <w:szCs w:val="21"/>
              </w:rPr>
            </w:pPr>
            <w:r>
              <w:rPr>
                <w:rFonts w:hint="eastAsia"/>
                <w:szCs w:val="21"/>
              </w:rPr>
              <w:t>③基础数据信息和会计信息资料是否准确。（</w:t>
            </w:r>
            <w:r>
              <w:rPr>
                <w:szCs w:val="21"/>
              </w:rPr>
              <w:t>0.3</w:t>
            </w:r>
            <w:r>
              <w:rPr>
                <w:rFonts w:hint="eastAsia"/>
                <w:szCs w:val="21"/>
              </w:rPr>
              <w:t>分）</w:t>
            </w:r>
          </w:p>
        </w:tc>
        <w:tc>
          <w:tcPr>
            <w:tcW w:w="379" w:type="pct"/>
            <w:tcBorders>
              <w:top w:val="nil"/>
              <w:left w:val="nil"/>
              <w:bottom w:val="single" w:color="auto" w:sz="4" w:space="0"/>
              <w:right w:val="single" w:color="auto" w:sz="4" w:space="0"/>
            </w:tcBorders>
            <w:noWrap/>
            <w:vAlign w:val="center"/>
          </w:tcPr>
          <w:p>
            <w:pPr>
              <w:spacing w:line="350" w:lineRule="exact"/>
              <w:jc w:val="center"/>
              <w:rPr>
                <w:rFonts w:hint="eastAsia" w:eastAsia="宋体"/>
                <w:szCs w:val="21"/>
                <w:lang w:val="en-US" w:eastAsia="zh-CN"/>
              </w:rPr>
            </w:pPr>
            <w:r>
              <w:rPr>
                <w:rFonts w:hint="eastAsia"/>
                <w:szCs w:val="21"/>
                <w:lang w:val="en-US" w:eastAsia="zh-CN"/>
              </w:rPr>
              <w:t>1</w:t>
            </w:r>
          </w:p>
        </w:tc>
        <w:tc>
          <w:tcPr>
            <w:tcW w:w="410" w:type="pct"/>
            <w:tcBorders>
              <w:top w:val="nil"/>
              <w:left w:val="nil"/>
              <w:bottom w:val="single" w:color="auto" w:sz="4" w:space="0"/>
              <w:right w:val="single" w:color="auto" w:sz="12" w:space="0"/>
            </w:tcBorders>
            <w:noWrap/>
            <w:vAlign w:val="center"/>
          </w:tcPr>
          <w:p>
            <w:pPr>
              <w:spacing w:line="350" w:lineRule="exact"/>
              <w:jc w:val="center"/>
              <w:rPr>
                <w:szCs w:val="21"/>
              </w:rPr>
            </w:pPr>
          </w:p>
        </w:tc>
      </w:tr>
      <w:tr>
        <w:tblPrEx>
          <w:tblCellMar>
            <w:top w:w="0" w:type="dxa"/>
            <w:left w:w="28" w:type="dxa"/>
            <w:bottom w:w="0" w:type="dxa"/>
            <w:right w:w="28" w:type="dxa"/>
          </w:tblCellMar>
        </w:tblPrEx>
        <w:trPr>
          <w:trHeight w:val="1012" w:hRule="atLeast"/>
          <w:jc w:val="center"/>
        </w:trPr>
        <w:tc>
          <w:tcPr>
            <w:tcW w:w="777" w:type="pct"/>
            <w:vMerge w:val="continue"/>
            <w:tcBorders>
              <w:left w:val="single" w:color="auto" w:sz="12" w:space="0"/>
              <w:right w:val="single" w:color="auto" w:sz="4" w:space="0"/>
            </w:tcBorders>
            <w:shd w:val="clear" w:color="auto" w:fill="auto"/>
            <w:noWrap w:val="0"/>
            <w:vAlign w:val="center"/>
          </w:tcPr>
          <w:p>
            <w:pPr>
              <w:spacing w:line="350" w:lineRule="exact"/>
              <w:jc w:val="center"/>
              <w:rPr>
                <w:szCs w:val="21"/>
              </w:rPr>
            </w:pPr>
          </w:p>
        </w:tc>
        <w:tc>
          <w:tcPr>
            <w:tcW w:w="279" w:type="pct"/>
            <w:vMerge w:val="restart"/>
            <w:tcBorders>
              <w:top w:val="nil"/>
              <w:left w:val="single" w:color="auto" w:sz="4" w:space="0"/>
              <w:bottom w:val="single" w:color="auto" w:sz="4" w:space="0"/>
              <w:right w:val="single" w:color="auto" w:sz="4" w:space="0"/>
            </w:tcBorders>
            <w:noWrap w:val="0"/>
            <w:vAlign w:val="center"/>
          </w:tcPr>
          <w:p>
            <w:pPr>
              <w:spacing w:line="350" w:lineRule="exact"/>
              <w:jc w:val="center"/>
              <w:rPr>
                <w:szCs w:val="21"/>
              </w:rPr>
            </w:pPr>
            <w:r>
              <w:rPr>
                <w:rFonts w:hint="eastAsia"/>
                <w:szCs w:val="21"/>
              </w:rPr>
              <w:t>资产管理（</w:t>
            </w:r>
            <w:r>
              <w:rPr>
                <w:szCs w:val="21"/>
              </w:rPr>
              <w:t>5</w:t>
            </w:r>
            <w:r>
              <w:rPr>
                <w:rFonts w:hint="eastAsia"/>
                <w:szCs w:val="21"/>
              </w:rPr>
              <w:t>分）</w:t>
            </w:r>
          </w:p>
        </w:tc>
        <w:tc>
          <w:tcPr>
            <w:tcW w:w="438" w:type="pct"/>
            <w:tcBorders>
              <w:top w:val="nil"/>
              <w:left w:val="nil"/>
              <w:bottom w:val="single" w:color="auto" w:sz="4" w:space="0"/>
              <w:right w:val="single" w:color="auto" w:sz="4" w:space="0"/>
            </w:tcBorders>
            <w:noWrap w:val="0"/>
            <w:vAlign w:val="center"/>
          </w:tcPr>
          <w:p>
            <w:pPr>
              <w:spacing w:line="350" w:lineRule="exact"/>
              <w:jc w:val="center"/>
              <w:rPr>
                <w:szCs w:val="21"/>
              </w:rPr>
            </w:pPr>
            <w:r>
              <w:rPr>
                <w:rFonts w:hint="eastAsia"/>
                <w:szCs w:val="21"/>
              </w:rPr>
              <w:t>管理制度健全性（</w:t>
            </w:r>
            <w:r>
              <w:rPr>
                <w:szCs w:val="21"/>
              </w:rPr>
              <w:t>2</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部门（单位）为加强资产管理、规范资产管理行为而制定的管理制度是否健全完整，用以反映和考核部门（单位）资产管理制度对完成主要职责或促进社会发展的保障情况。</w:t>
            </w:r>
          </w:p>
        </w:tc>
        <w:tc>
          <w:tcPr>
            <w:tcW w:w="1537"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①是否已制定或具有资产管理制度；（</w:t>
            </w:r>
            <w:r>
              <w:rPr>
                <w:szCs w:val="21"/>
              </w:rPr>
              <w:t>1</w:t>
            </w:r>
            <w:r>
              <w:rPr>
                <w:rFonts w:hint="eastAsia"/>
                <w:szCs w:val="21"/>
              </w:rPr>
              <w:t>分）</w:t>
            </w:r>
          </w:p>
          <w:p>
            <w:pPr>
              <w:spacing w:line="350" w:lineRule="exact"/>
              <w:rPr>
                <w:szCs w:val="21"/>
              </w:rPr>
            </w:pPr>
            <w:r>
              <w:rPr>
                <w:rFonts w:hint="eastAsia"/>
                <w:szCs w:val="21"/>
              </w:rPr>
              <w:t>②相关资金管理制度是否合法、合规、完整；（</w:t>
            </w:r>
            <w:r>
              <w:rPr>
                <w:szCs w:val="21"/>
              </w:rPr>
              <w:t>0.5</w:t>
            </w:r>
            <w:r>
              <w:rPr>
                <w:rFonts w:hint="eastAsia"/>
                <w:szCs w:val="21"/>
              </w:rPr>
              <w:t>分）</w:t>
            </w:r>
          </w:p>
          <w:p>
            <w:pPr>
              <w:spacing w:line="350" w:lineRule="exact"/>
              <w:rPr>
                <w:szCs w:val="21"/>
              </w:rPr>
            </w:pPr>
            <w:r>
              <w:rPr>
                <w:rFonts w:hint="eastAsia"/>
                <w:szCs w:val="21"/>
              </w:rPr>
              <w:t>③相关资产管理制度是否得到有效执行。（</w:t>
            </w:r>
            <w:r>
              <w:rPr>
                <w:szCs w:val="21"/>
              </w:rPr>
              <w:t>0.5</w:t>
            </w:r>
            <w:r>
              <w:rPr>
                <w:rFonts w:hint="eastAsia"/>
                <w:szCs w:val="21"/>
              </w:rPr>
              <w:t>分）</w:t>
            </w:r>
          </w:p>
        </w:tc>
        <w:tc>
          <w:tcPr>
            <w:tcW w:w="379" w:type="pct"/>
            <w:tcBorders>
              <w:top w:val="nil"/>
              <w:left w:val="nil"/>
              <w:bottom w:val="single" w:color="auto" w:sz="4" w:space="0"/>
              <w:right w:val="single" w:color="auto" w:sz="4" w:space="0"/>
            </w:tcBorders>
            <w:noWrap/>
            <w:vAlign w:val="center"/>
          </w:tcPr>
          <w:p>
            <w:pPr>
              <w:spacing w:line="350" w:lineRule="exact"/>
              <w:jc w:val="center"/>
              <w:rPr>
                <w:rFonts w:hint="eastAsia" w:eastAsia="宋体"/>
                <w:szCs w:val="21"/>
                <w:lang w:val="en-US" w:eastAsia="zh-CN"/>
              </w:rPr>
            </w:pPr>
            <w:r>
              <w:rPr>
                <w:rFonts w:hint="eastAsia"/>
                <w:szCs w:val="21"/>
                <w:lang w:val="en-US" w:eastAsia="zh-CN"/>
              </w:rPr>
              <w:t>2</w:t>
            </w:r>
          </w:p>
        </w:tc>
        <w:tc>
          <w:tcPr>
            <w:tcW w:w="410" w:type="pct"/>
            <w:tcBorders>
              <w:top w:val="nil"/>
              <w:left w:val="nil"/>
              <w:bottom w:val="single" w:color="auto" w:sz="4" w:space="0"/>
              <w:right w:val="single" w:color="auto" w:sz="12" w:space="0"/>
            </w:tcBorders>
            <w:noWrap/>
            <w:vAlign w:val="center"/>
          </w:tcPr>
          <w:p>
            <w:pPr>
              <w:spacing w:line="350" w:lineRule="exact"/>
              <w:jc w:val="center"/>
              <w:rPr>
                <w:szCs w:val="21"/>
              </w:rPr>
            </w:pPr>
          </w:p>
        </w:tc>
      </w:tr>
      <w:tr>
        <w:tblPrEx>
          <w:tblCellMar>
            <w:top w:w="0" w:type="dxa"/>
            <w:left w:w="28" w:type="dxa"/>
            <w:bottom w:w="0" w:type="dxa"/>
            <w:right w:w="28" w:type="dxa"/>
          </w:tblCellMar>
        </w:tblPrEx>
        <w:trPr>
          <w:trHeight w:val="660" w:hRule="atLeast"/>
          <w:jc w:val="center"/>
        </w:trPr>
        <w:tc>
          <w:tcPr>
            <w:tcW w:w="777" w:type="pct"/>
            <w:vMerge w:val="continue"/>
            <w:tcBorders>
              <w:left w:val="single" w:color="auto" w:sz="12" w:space="0"/>
              <w:right w:val="single" w:color="auto" w:sz="4" w:space="0"/>
            </w:tcBorders>
            <w:shd w:val="clear" w:color="auto" w:fill="auto"/>
            <w:noWrap w:val="0"/>
            <w:vAlign w:val="center"/>
          </w:tcPr>
          <w:p>
            <w:pPr>
              <w:spacing w:line="350" w:lineRule="exact"/>
              <w:jc w:val="center"/>
              <w:rPr>
                <w:szCs w:val="21"/>
              </w:rPr>
            </w:pPr>
          </w:p>
        </w:tc>
        <w:tc>
          <w:tcPr>
            <w:tcW w:w="279" w:type="pct"/>
            <w:vMerge w:val="continue"/>
            <w:tcBorders>
              <w:top w:val="nil"/>
              <w:left w:val="single" w:color="auto" w:sz="4" w:space="0"/>
              <w:bottom w:val="single" w:color="auto" w:sz="4" w:space="0"/>
              <w:right w:val="single" w:color="auto" w:sz="4" w:space="0"/>
            </w:tcBorders>
            <w:noWrap w:val="0"/>
            <w:vAlign w:val="center"/>
          </w:tcPr>
          <w:p>
            <w:pPr>
              <w:spacing w:line="350" w:lineRule="exact"/>
              <w:jc w:val="center"/>
              <w:rPr>
                <w:szCs w:val="21"/>
              </w:rPr>
            </w:pPr>
          </w:p>
        </w:tc>
        <w:tc>
          <w:tcPr>
            <w:tcW w:w="438" w:type="pct"/>
            <w:tcBorders>
              <w:top w:val="nil"/>
              <w:left w:val="nil"/>
              <w:bottom w:val="single" w:color="auto" w:sz="4" w:space="0"/>
              <w:right w:val="single" w:color="auto" w:sz="4" w:space="0"/>
            </w:tcBorders>
            <w:noWrap w:val="0"/>
            <w:vAlign w:val="center"/>
          </w:tcPr>
          <w:p>
            <w:pPr>
              <w:spacing w:line="350" w:lineRule="exact"/>
              <w:jc w:val="center"/>
              <w:rPr>
                <w:szCs w:val="21"/>
              </w:rPr>
            </w:pPr>
            <w:r>
              <w:rPr>
                <w:rFonts w:hint="eastAsia"/>
                <w:szCs w:val="21"/>
              </w:rPr>
              <w:t>资产管理安全性（</w:t>
            </w:r>
            <w:r>
              <w:rPr>
                <w:szCs w:val="21"/>
              </w:rPr>
              <w:t>2</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部门（单位）的资产是否保存完整、使用合规、配置合理、处置规范、收入及时足额上缴，用以反映和考核部门（单位）资产安全运行情况。</w:t>
            </w:r>
          </w:p>
        </w:tc>
        <w:tc>
          <w:tcPr>
            <w:tcW w:w="1537"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①资产保存是否完整；（</w:t>
            </w:r>
            <w:r>
              <w:rPr>
                <w:szCs w:val="21"/>
              </w:rPr>
              <w:t>0.4</w:t>
            </w:r>
            <w:r>
              <w:rPr>
                <w:rFonts w:hint="eastAsia"/>
                <w:szCs w:val="21"/>
              </w:rPr>
              <w:t>分）</w:t>
            </w:r>
          </w:p>
          <w:p>
            <w:pPr>
              <w:spacing w:line="350" w:lineRule="exact"/>
              <w:rPr>
                <w:szCs w:val="21"/>
              </w:rPr>
            </w:pPr>
            <w:r>
              <w:rPr>
                <w:rFonts w:hint="eastAsia"/>
                <w:szCs w:val="21"/>
              </w:rPr>
              <w:t>②资产配置是否合理；（</w:t>
            </w:r>
            <w:r>
              <w:rPr>
                <w:szCs w:val="21"/>
              </w:rPr>
              <w:t>0.4</w:t>
            </w:r>
            <w:r>
              <w:rPr>
                <w:rFonts w:hint="eastAsia"/>
                <w:szCs w:val="21"/>
              </w:rPr>
              <w:t>分）</w:t>
            </w:r>
          </w:p>
          <w:p>
            <w:pPr>
              <w:spacing w:line="350" w:lineRule="exact"/>
              <w:rPr>
                <w:szCs w:val="21"/>
              </w:rPr>
            </w:pPr>
            <w:r>
              <w:rPr>
                <w:rFonts w:hint="eastAsia"/>
                <w:szCs w:val="21"/>
              </w:rPr>
              <w:t>③资产处置是否规范；（</w:t>
            </w:r>
            <w:r>
              <w:rPr>
                <w:szCs w:val="21"/>
              </w:rPr>
              <w:t>0.4</w:t>
            </w:r>
            <w:r>
              <w:rPr>
                <w:rFonts w:hint="eastAsia"/>
                <w:szCs w:val="21"/>
              </w:rPr>
              <w:t>分）</w:t>
            </w:r>
          </w:p>
          <w:p>
            <w:pPr>
              <w:spacing w:line="350" w:lineRule="exact"/>
              <w:rPr>
                <w:szCs w:val="21"/>
              </w:rPr>
            </w:pPr>
            <w:r>
              <w:rPr>
                <w:rFonts w:hint="eastAsia"/>
                <w:szCs w:val="21"/>
              </w:rPr>
              <w:t>④资产账务管理是否合规，是否帐实相符；（</w:t>
            </w:r>
            <w:r>
              <w:rPr>
                <w:szCs w:val="21"/>
              </w:rPr>
              <w:t>0.4</w:t>
            </w:r>
            <w:r>
              <w:rPr>
                <w:rFonts w:hint="eastAsia"/>
                <w:szCs w:val="21"/>
              </w:rPr>
              <w:t>分）</w:t>
            </w:r>
          </w:p>
          <w:p>
            <w:pPr>
              <w:spacing w:line="350" w:lineRule="exact"/>
              <w:rPr>
                <w:szCs w:val="21"/>
              </w:rPr>
            </w:pPr>
            <w:r>
              <w:rPr>
                <w:rFonts w:hint="eastAsia"/>
                <w:szCs w:val="21"/>
              </w:rPr>
              <w:t>⑤资产是否有偿使用及处置收入及时足额上缴。（</w:t>
            </w:r>
            <w:r>
              <w:rPr>
                <w:szCs w:val="21"/>
              </w:rPr>
              <w:t>0.4</w:t>
            </w:r>
            <w:r>
              <w:rPr>
                <w:rFonts w:hint="eastAsia"/>
                <w:szCs w:val="21"/>
              </w:rPr>
              <w:t>分）</w:t>
            </w:r>
          </w:p>
        </w:tc>
        <w:tc>
          <w:tcPr>
            <w:tcW w:w="379" w:type="pct"/>
            <w:tcBorders>
              <w:top w:val="nil"/>
              <w:left w:val="nil"/>
              <w:bottom w:val="single" w:color="auto" w:sz="4" w:space="0"/>
              <w:right w:val="single" w:color="auto" w:sz="4" w:space="0"/>
            </w:tcBorders>
            <w:noWrap/>
            <w:vAlign w:val="center"/>
          </w:tcPr>
          <w:p>
            <w:pPr>
              <w:spacing w:line="350" w:lineRule="exact"/>
              <w:jc w:val="center"/>
              <w:rPr>
                <w:rFonts w:hint="eastAsia" w:eastAsia="宋体"/>
                <w:szCs w:val="21"/>
                <w:lang w:val="en-US" w:eastAsia="zh-CN"/>
              </w:rPr>
            </w:pPr>
            <w:r>
              <w:rPr>
                <w:rFonts w:hint="eastAsia"/>
                <w:szCs w:val="21"/>
                <w:lang w:val="en-US" w:eastAsia="zh-CN"/>
              </w:rPr>
              <w:t>2</w:t>
            </w:r>
          </w:p>
        </w:tc>
        <w:tc>
          <w:tcPr>
            <w:tcW w:w="410" w:type="pct"/>
            <w:tcBorders>
              <w:top w:val="nil"/>
              <w:left w:val="nil"/>
              <w:bottom w:val="single" w:color="auto" w:sz="4" w:space="0"/>
              <w:right w:val="single" w:color="auto" w:sz="12" w:space="0"/>
            </w:tcBorders>
            <w:noWrap/>
            <w:vAlign w:val="center"/>
          </w:tcPr>
          <w:p>
            <w:pPr>
              <w:spacing w:line="350" w:lineRule="exact"/>
              <w:jc w:val="center"/>
              <w:rPr>
                <w:szCs w:val="21"/>
              </w:rPr>
            </w:pPr>
          </w:p>
        </w:tc>
      </w:tr>
      <w:tr>
        <w:tblPrEx>
          <w:tblCellMar>
            <w:top w:w="0" w:type="dxa"/>
            <w:left w:w="28" w:type="dxa"/>
            <w:bottom w:w="0" w:type="dxa"/>
            <w:right w:w="28" w:type="dxa"/>
          </w:tblCellMar>
        </w:tblPrEx>
        <w:trPr>
          <w:trHeight w:val="1326" w:hRule="atLeast"/>
          <w:jc w:val="center"/>
        </w:trPr>
        <w:tc>
          <w:tcPr>
            <w:tcW w:w="777" w:type="pct"/>
            <w:vMerge w:val="continue"/>
            <w:tcBorders>
              <w:left w:val="single" w:color="auto" w:sz="12" w:space="0"/>
              <w:bottom w:val="single" w:color="000000" w:sz="4" w:space="0"/>
              <w:right w:val="single" w:color="auto" w:sz="4" w:space="0"/>
            </w:tcBorders>
            <w:shd w:val="clear" w:color="auto" w:fill="auto"/>
            <w:noWrap w:val="0"/>
            <w:vAlign w:val="center"/>
          </w:tcPr>
          <w:p>
            <w:pPr>
              <w:spacing w:line="350" w:lineRule="exact"/>
              <w:jc w:val="center"/>
              <w:rPr>
                <w:szCs w:val="21"/>
              </w:rPr>
            </w:pPr>
          </w:p>
        </w:tc>
        <w:tc>
          <w:tcPr>
            <w:tcW w:w="279" w:type="pct"/>
            <w:vMerge w:val="continue"/>
            <w:tcBorders>
              <w:top w:val="nil"/>
              <w:left w:val="single" w:color="auto" w:sz="4" w:space="0"/>
              <w:bottom w:val="single" w:color="auto" w:sz="4" w:space="0"/>
              <w:right w:val="single" w:color="auto" w:sz="4" w:space="0"/>
            </w:tcBorders>
            <w:noWrap w:val="0"/>
            <w:vAlign w:val="center"/>
          </w:tcPr>
          <w:p>
            <w:pPr>
              <w:spacing w:line="350" w:lineRule="exact"/>
              <w:jc w:val="center"/>
              <w:rPr>
                <w:szCs w:val="21"/>
              </w:rPr>
            </w:pPr>
          </w:p>
        </w:tc>
        <w:tc>
          <w:tcPr>
            <w:tcW w:w="438" w:type="pct"/>
            <w:tcBorders>
              <w:top w:val="nil"/>
              <w:left w:val="nil"/>
              <w:bottom w:val="single" w:color="auto" w:sz="4" w:space="0"/>
              <w:right w:val="single" w:color="auto" w:sz="4" w:space="0"/>
            </w:tcBorders>
            <w:noWrap w:val="0"/>
            <w:vAlign w:val="center"/>
          </w:tcPr>
          <w:p>
            <w:pPr>
              <w:spacing w:line="350" w:lineRule="exact"/>
              <w:jc w:val="center"/>
              <w:rPr>
                <w:szCs w:val="21"/>
              </w:rPr>
            </w:pPr>
            <w:r>
              <w:rPr>
                <w:rFonts w:hint="eastAsia"/>
                <w:szCs w:val="21"/>
              </w:rPr>
              <w:t>固定资产利用率（</w:t>
            </w:r>
            <w:r>
              <w:rPr>
                <w:szCs w:val="21"/>
              </w:rPr>
              <w:t>1</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部门（单位）实际在用固定资产总额与所有固定资产总额的比率，用以反映和考核部门（单位）固定资产使用效率程度。</w:t>
            </w:r>
          </w:p>
        </w:tc>
        <w:tc>
          <w:tcPr>
            <w:tcW w:w="1537"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固定资产利用率</w:t>
            </w:r>
            <w:r>
              <w:rPr>
                <w:szCs w:val="21"/>
              </w:rPr>
              <w:t>=</w:t>
            </w:r>
            <w:r>
              <w:rPr>
                <w:rFonts w:hint="eastAsia"/>
                <w:szCs w:val="21"/>
              </w:rPr>
              <w:t>（实际在用固定资产总额</w:t>
            </w:r>
            <w:r>
              <w:rPr>
                <w:szCs w:val="21"/>
              </w:rPr>
              <w:t>/</w:t>
            </w:r>
            <w:r>
              <w:rPr>
                <w:rFonts w:hint="eastAsia"/>
                <w:szCs w:val="21"/>
              </w:rPr>
              <w:t>所有固定资产总额）×</w:t>
            </w:r>
            <w:r>
              <w:rPr>
                <w:szCs w:val="21"/>
              </w:rPr>
              <w:t>100%</w:t>
            </w:r>
            <w:r>
              <w:rPr>
                <w:rFonts w:hint="eastAsia"/>
                <w:szCs w:val="21"/>
              </w:rPr>
              <w:t>。（利用率为</w:t>
            </w:r>
            <w:r>
              <w:rPr>
                <w:szCs w:val="21"/>
              </w:rPr>
              <w:t>100%</w:t>
            </w:r>
            <w:r>
              <w:rPr>
                <w:rFonts w:hint="eastAsia"/>
                <w:szCs w:val="21"/>
              </w:rPr>
              <w:t>的计</w:t>
            </w:r>
            <w:r>
              <w:rPr>
                <w:szCs w:val="21"/>
              </w:rPr>
              <w:t>1</w:t>
            </w:r>
            <w:r>
              <w:rPr>
                <w:rFonts w:hint="eastAsia"/>
                <w:szCs w:val="21"/>
              </w:rPr>
              <w:t>分，每降</w:t>
            </w:r>
            <w:r>
              <w:rPr>
                <w:szCs w:val="21"/>
              </w:rPr>
              <w:t>1</w:t>
            </w:r>
            <w:r>
              <w:rPr>
                <w:rFonts w:hint="eastAsia"/>
                <w:szCs w:val="21"/>
              </w:rPr>
              <w:t>个百分点扣</w:t>
            </w:r>
            <w:r>
              <w:rPr>
                <w:szCs w:val="21"/>
              </w:rPr>
              <w:t>0.1</w:t>
            </w:r>
            <w:r>
              <w:rPr>
                <w:rFonts w:hint="eastAsia"/>
                <w:szCs w:val="21"/>
              </w:rPr>
              <w:t>分，扣完为止）</w:t>
            </w:r>
          </w:p>
        </w:tc>
        <w:tc>
          <w:tcPr>
            <w:tcW w:w="379" w:type="pct"/>
            <w:tcBorders>
              <w:top w:val="nil"/>
              <w:left w:val="nil"/>
              <w:bottom w:val="single" w:color="auto" w:sz="4" w:space="0"/>
              <w:right w:val="single" w:color="auto" w:sz="4" w:space="0"/>
            </w:tcBorders>
            <w:noWrap/>
            <w:vAlign w:val="center"/>
          </w:tcPr>
          <w:p>
            <w:pPr>
              <w:spacing w:line="350" w:lineRule="exact"/>
              <w:jc w:val="center"/>
              <w:rPr>
                <w:rFonts w:hint="eastAsia" w:eastAsia="宋体"/>
                <w:szCs w:val="21"/>
                <w:lang w:val="en-US" w:eastAsia="zh-CN"/>
              </w:rPr>
            </w:pPr>
            <w:r>
              <w:rPr>
                <w:rFonts w:hint="eastAsia"/>
                <w:szCs w:val="21"/>
                <w:lang w:val="en-US" w:eastAsia="zh-CN"/>
              </w:rPr>
              <w:t>1</w:t>
            </w:r>
          </w:p>
        </w:tc>
        <w:tc>
          <w:tcPr>
            <w:tcW w:w="410" w:type="pct"/>
            <w:tcBorders>
              <w:top w:val="nil"/>
              <w:left w:val="nil"/>
              <w:bottom w:val="single" w:color="auto" w:sz="4" w:space="0"/>
              <w:right w:val="single" w:color="auto" w:sz="12" w:space="0"/>
            </w:tcBorders>
            <w:noWrap/>
            <w:vAlign w:val="center"/>
          </w:tcPr>
          <w:p>
            <w:pPr>
              <w:spacing w:line="350" w:lineRule="exact"/>
              <w:jc w:val="center"/>
              <w:rPr>
                <w:szCs w:val="21"/>
              </w:rPr>
            </w:pPr>
          </w:p>
        </w:tc>
      </w:tr>
      <w:tr>
        <w:tblPrEx>
          <w:tblCellMar>
            <w:top w:w="0" w:type="dxa"/>
            <w:left w:w="28" w:type="dxa"/>
            <w:bottom w:w="0" w:type="dxa"/>
            <w:right w:w="28" w:type="dxa"/>
          </w:tblCellMar>
        </w:tblPrEx>
        <w:trPr>
          <w:trHeight w:val="621" w:hRule="atLeast"/>
          <w:jc w:val="center"/>
        </w:trPr>
        <w:tc>
          <w:tcPr>
            <w:tcW w:w="777" w:type="pct"/>
            <w:vMerge w:val="restart"/>
            <w:tcBorders>
              <w:top w:val="nil"/>
              <w:left w:val="single" w:color="auto" w:sz="12" w:space="0"/>
              <w:bottom w:val="single" w:color="auto" w:sz="4" w:space="0"/>
              <w:right w:val="single" w:color="auto" w:sz="4" w:space="0"/>
            </w:tcBorders>
            <w:noWrap/>
            <w:vAlign w:val="center"/>
          </w:tcPr>
          <w:p>
            <w:pPr>
              <w:spacing w:line="240" w:lineRule="exact"/>
              <w:jc w:val="center"/>
              <w:rPr>
                <w:szCs w:val="21"/>
              </w:rPr>
            </w:pPr>
            <w:r>
              <w:rPr>
                <w:rFonts w:hint="eastAsia"/>
                <w:szCs w:val="21"/>
              </w:rPr>
              <w:t>产</w:t>
            </w:r>
            <w:r>
              <w:rPr>
                <w:szCs w:val="21"/>
              </w:rPr>
              <w:t xml:space="preserve"> </w:t>
            </w:r>
            <w:r>
              <w:rPr>
                <w:rFonts w:hint="eastAsia"/>
                <w:szCs w:val="21"/>
              </w:rPr>
              <w:t>出（</w:t>
            </w:r>
            <w:r>
              <w:rPr>
                <w:szCs w:val="21"/>
              </w:rPr>
              <w:t>30</w:t>
            </w:r>
            <w:r>
              <w:rPr>
                <w:rFonts w:hint="eastAsia"/>
                <w:szCs w:val="21"/>
              </w:rPr>
              <w:t>分）</w:t>
            </w:r>
          </w:p>
        </w:tc>
        <w:tc>
          <w:tcPr>
            <w:tcW w:w="279" w:type="pct"/>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szCs w:val="21"/>
              </w:rPr>
            </w:pPr>
            <w:r>
              <w:rPr>
                <w:rFonts w:hint="eastAsia"/>
                <w:szCs w:val="21"/>
              </w:rPr>
              <w:t>职责履行（</w:t>
            </w:r>
            <w:r>
              <w:rPr>
                <w:szCs w:val="21"/>
              </w:rPr>
              <w:t>30</w:t>
            </w:r>
            <w:r>
              <w:rPr>
                <w:rFonts w:hint="eastAsia"/>
                <w:szCs w:val="21"/>
              </w:rPr>
              <w:t>分）</w:t>
            </w:r>
          </w:p>
        </w:tc>
        <w:tc>
          <w:tcPr>
            <w:tcW w:w="438"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实际完成率（</w:t>
            </w:r>
            <w:r>
              <w:rPr>
                <w:szCs w:val="21"/>
              </w:rPr>
              <w:t>8</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部门（单位）履行职责而实际完成工作数与计划工作数的比率，用以反映和考核部门（单位）履职工作任务目标的实现程度。</w:t>
            </w:r>
          </w:p>
        </w:tc>
        <w:tc>
          <w:tcPr>
            <w:tcW w:w="1537"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实际完成率</w:t>
            </w:r>
            <w:r>
              <w:rPr>
                <w:szCs w:val="21"/>
              </w:rPr>
              <w:t>=</w:t>
            </w:r>
            <w:r>
              <w:rPr>
                <w:rFonts w:hint="eastAsia"/>
                <w:szCs w:val="21"/>
              </w:rPr>
              <w:t>（实际完成工作数</w:t>
            </w:r>
            <w:r>
              <w:rPr>
                <w:szCs w:val="21"/>
              </w:rPr>
              <w:t>/</w:t>
            </w:r>
            <w:r>
              <w:rPr>
                <w:rFonts w:hint="eastAsia"/>
                <w:szCs w:val="21"/>
              </w:rPr>
              <w:t>计划工作数）×</w:t>
            </w:r>
            <w:r>
              <w:rPr>
                <w:szCs w:val="21"/>
              </w:rPr>
              <w:t>100%</w:t>
            </w:r>
            <w:r>
              <w:rPr>
                <w:rFonts w:hint="eastAsia"/>
                <w:szCs w:val="21"/>
              </w:rPr>
              <w:t>。（实际得分</w:t>
            </w:r>
            <w:r>
              <w:rPr>
                <w:szCs w:val="21"/>
              </w:rPr>
              <w:t>=</w:t>
            </w:r>
            <w:r>
              <w:rPr>
                <w:rFonts w:hint="eastAsia"/>
                <w:szCs w:val="21"/>
              </w:rPr>
              <w:t>实际工作完成率</w:t>
            </w:r>
            <w:r>
              <w:rPr>
                <w:szCs w:val="21"/>
              </w:rPr>
              <w:t>*8</w:t>
            </w:r>
            <w:r>
              <w:rPr>
                <w:rFonts w:hint="eastAsia"/>
                <w:szCs w:val="21"/>
              </w:rPr>
              <w:t>分）</w:t>
            </w:r>
          </w:p>
          <w:p>
            <w:pPr>
              <w:spacing w:line="240" w:lineRule="exact"/>
              <w:rPr>
                <w:szCs w:val="21"/>
              </w:rPr>
            </w:pPr>
            <w:r>
              <w:rPr>
                <w:rFonts w:hint="eastAsia"/>
                <w:szCs w:val="21"/>
              </w:rPr>
              <w:t>实际完成工作数：一定时期（年度或规划期）内部门（单位）实际完成工作任务的数量。</w:t>
            </w:r>
          </w:p>
          <w:p>
            <w:pPr>
              <w:spacing w:line="240" w:lineRule="exact"/>
              <w:rPr>
                <w:szCs w:val="21"/>
              </w:rPr>
            </w:pPr>
            <w:r>
              <w:rPr>
                <w:rFonts w:hint="eastAsia"/>
                <w:szCs w:val="21"/>
              </w:rPr>
              <w:t>计划工作数：部门（单位）整体绩效目标确定的一定时期（年度或规划期）内预计完成工作任务的数量。</w:t>
            </w:r>
          </w:p>
        </w:tc>
        <w:tc>
          <w:tcPr>
            <w:tcW w:w="379" w:type="pct"/>
            <w:tcBorders>
              <w:top w:val="nil"/>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8</w:t>
            </w:r>
          </w:p>
        </w:tc>
        <w:tc>
          <w:tcPr>
            <w:tcW w:w="410" w:type="pct"/>
            <w:tcBorders>
              <w:top w:val="nil"/>
              <w:left w:val="nil"/>
              <w:bottom w:val="single" w:color="auto" w:sz="4" w:space="0"/>
              <w:right w:val="single" w:color="auto" w:sz="12" w:space="0"/>
            </w:tcBorders>
            <w:noWrap/>
            <w:vAlign w:val="center"/>
          </w:tcPr>
          <w:p>
            <w:pPr>
              <w:spacing w:line="240" w:lineRule="exact"/>
              <w:jc w:val="center"/>
              <w:rPr>
                <w:szCs w:val="21"/>
              </w:rPr>
            </w:pPr>
          </w:p>
        </w:tc>
      </w:tr>
      <w:tr>
        <w:tblPrEx>
          <w:tblCellMar>
            <w:top w:w="0" w:type="dxa"/>
            <w:left w:w="28" w:type="dxa"/>
            <w:bottom w:w="0" w:type="dxa"/>
            <w:right w:w="28" w:type="dxa"/>
          </w:tblCellMar>
        </w:tblPrEx>
        <w:trPr>
          <w:trHeight w:val="1359" w:hRule="atLeast"/>
          <w:jc w:val="center"/>
        </w:trPr>
        <w:tc>
          <w:tcPr>
            <w:tcW w:w="777" w:type="pct"/>
            <w:vMerge w:val="continue"/>
            <w:tcBorders>
              <w:top w:val="nil"/>
              <w:left w:val="single" w:color="auto" w:sz="12" w:space="0"/>
              <w:bottom w:val="single" w:color="auto" w:sz="4" w:space="0"/>
              <w:right w:val="single" w:color="auto" w:sz="4" w:space="0"/>
            </w:tcBorders>
            <w:noWrap w:val="0"/>
            <w:vAlign w:val="center"/>
          </w:tcPr>
          <w:p>
            <w:pPr>
              <w:spacing w:line="240" w:lineRule="exact"/>
              <w:jc w:val="center"/>
              <w:rPr>
                <w:szCs w:val="21"/>
              </w:rPr>
            </w:pPr>
          </w:p>
        </w:tc>
        <w:tc>
          <w:tcPr>
            <w:tcW w:w="279"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438"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完成及时率（</w:t>
            </w:r>
            <w:r>
              <w:rPr>
                <w:szCs w:val="21"/>
              </w:rPr>
              <w:t>4</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部门（单位）在规定时限内及时完成的实际工作数与计划工作数的比率</w:t>
            </w:r>
            <w:r>
              <w:rPr>
                <w:szCs w:val="21"/>
              </w:rPr>
              <w:t>,</w:t>
            </w:r>
            <w:r>
              <w:rPr>
                <w:rFonts w:hint="eastAsia"/>
                <w:szCs w:val="21"/>
              </w:rPr>
              <w:t>用以反映和考核部门履职时效目标的实现程度。</w:t>
            </w:r>
          </w:p>
        </w:tc>
        <w:tc>
          <w:tcPr>
            <w:tcW w:w="1537"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完成及时率</w:t>
            </w:r>
            <w:r>
              <w:rPr>
                <w:szCs w:val="21"/>
              </w:rPr>
              <w:t>=</w:t>
            </w:r>
            <w:r>
              <w:rPr>
                <w:rFonts w:hint="eastAsia"/>
                <w:szCs w:val="21"/>
              </w:rPr>
              <w:t>（及时完成实际工作数</w:t>
            </w:r>
            <w:r>
              <w:rPr>
                <w:szCs w:val="21"/>
              </w:rPr>
              <w:t>/</w:t>
            </w:r>
            <w:r>
              <w:rPr>
                <w:rFonts w:hint="eastAsia"/>
                <w:szCs w:val="21"/>
              </w:rPr>
              <w:t>计划工作数）×</w:t>
            </w:r>
            <w:r>
              <w:rPr>
                <w:szCs w:val="21"/>
              </w:rPr>
              <w:t>100%</w:t>
            </w:r>
            <w:r>
              <w:rPr>
                <w:rFonts w:hint="eastAsia"/>
                <w:szCs w:val="21"/>
              </w:rPr>
              <w:t>。（</w:t>
            </w:r>
            <w:r>
              <w:rPr>
                <w:szCs w:val="21"/>
              </w:rPr>
              <w:t>1--4</w:t>
            </w:r>
            <w:r>
              <w:rPr>
                <w:rFonts w:hint="eastAsia"/>
                <w:szCs w:val="21"/>
              </w:rPr>
              <w:t>季度各得</w:t>
            </w:r>
            <w:r>
              <w:rPr>
                <w:szCs w:val="21"/>
              </w:rPr>
              <w:t>1</w:t>
            </w:r>
            <w:r>
              <w:rPr>
                <w:rFonts w:hint="eastAsia"/>
                <w:szCs w:val="21"/>
              </w:rPr>
              <w:t>分）</w:t>
            </w:r>
          </w:p>
          <w:p>
            <w:pPr>
              <w:spacing w:line="240" w:lineRule="exact"/>
              <w:rPr>
                <w:szCs w:val="21"/>
              </w:rPr>
            </w:pPr>
            <w:r>
              <w:rPr>
                <w:rFonts w:hint="eastAsia"/>
                <w:szCs w:val="21"/>
              </w:rPr>
              <w:t>及时完成实际工作数：部门（单位）按照整体绩效目标确定的时限实际完成的工作任务数量。</w:t>
            </w:r>
          </w:p>
        </w:tc>
        <w:tc>
          <w:tcPr>
            <w:tcW w:w="379" w:type="pct"/>
            <w:tcBorders>
              <w:top w:val="nil"/>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4</w:t>
            </w:r>
          </w:p>
        </w:tc>
        <w:tc>
          <w:tcPr>
            <w:tcW w:w="410" w:type="pct"/>
            <w:tcBorders>
              <w:top w:val="nil"/>
              <w:left w:val="nil"/>
              <w:bottom w:val="single" w:color="auto" w:sz="4" w:space="0"/>
              <w:right w:val="single" w:color="auto" w:sz="12" w:space="0"/>
            </w:tcBorders>
            <w:noWrap/>
            <w:vAlign w:val="center"/>
          </w:tcPr>
          <w:p>
            <w:pPr>
              <w:spacing w:line="240" w:lineRule="exact"/>
              <w:jc w:val="center"/>
              <w:rPr>
                <w:szCs w:val="21"/>
              </w:rPr>
            </w:pPr>
          </w:p>
        </w:tc>
      </w:tr>
      <w:tr>
        <w:tblPrEx>
          <w:tblCellMar>
            <w:top w:w="0" w:type="dxa"/>
            <w:left w:w="28" w:type="dxa"/>
            <w:bottom w:w="0" w:type="dxa"/>
            <w:right w:w="28" w:type="dxa"/>
          </w:tblCellMar>
        </w:tblPrEx>
        <w:trPr>
          <w:trHeight w:val="1778" w:hRule="atLeast"/>
          <w:jc w:val="center"/>
        </w:trPr>
        <w:tc>
          <w:tcPr>
            <w:tcW w:w="777" w:type="pct"/>
            <w:vMerge w:val="continue"/>
            <w:tcBorders>
              <w:top w:val="nil"/>
              <w:left w:val="single" w:color="auto" w:sz="12" w:space="0"/>
              <w:bottom w:val="single" w:color="auto" w:sz="4" w:space="0"/>
              <w:right w:val="single" w:color="auto" w:sz="4" w:space="0"/>
            </w:tcBorders>
            <w:noWrap w:val="0"/>
            <w:vAlign w:val="center"/>
          </w:tcPr>
          <w:p>
            <w:pPr>
              <w:spacing w:line="240" w:lineRule="exact"/>
              <w:jc w:val="center"/>
              <w:rPr>
                <w:szCs w:val="21"/>
              </w:rPr>
            </w:pPr>
          </w:p>
        </w:tc>
        <w:tc>
          <w:tcPr>
            <w:tcW w:w="279"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438"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质量达标率（</w:t>
            </w:r>
            <w:r>
              <w:rPr>
                <w:szCs w:val="21"/>
              </w:rPr>
              <w:t>8</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达到质量标准（绩效标准值）的实际工作数与计划工作数的比率</w:t>
            </w:r>
            <w:r>
              <w:rPr>
                <w:szCs w:val="21"/>
              </w:rPr>
              <w:t>,</w:t>
            </w:r>
            <w:r>
              <w:rPr>
                <w:rFonts w:hint="eastAsia"/>
                <w:szCs w:val="21"/>
              </w:rPr>
              <w:t>用以反映和考核部门履职质量目标的实现程度。</w:t>
            </w:r>
          </w:p>
        </w:tc>
        <w:tc>
          <w:tcPr>
            <w:tcW w:w="1537"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质量达标率</w:t>
            </w:r>
            <w:r>
              <w:rPr>
                <w:szCs w:val="21"/>
              </w:rPr>
              <w:t>=</w:t>
            </w:r>
            <w:r>
              <w:rPr>
                <w:rFonts w:hint="eastAsia"/>
                <w:szCs w:val="21"/>
              </w:rPr>
              <w:t>（质量达标实际工作数</w:t>
            </w:r>
            <w:r>
              <w:rPr>
                <w:szCs w:val="21"/>
              </w:rPr>
              <w:t>/</w:t>
            </w:r>
            <w:r>
              <w:rPr>
                <w:rFonts w:hint="eastAsia"/>
                <w:szCs w:val="21"/>
              </w:rPr>
              <w:t>计划工作数）×</w:t>
            </w:r>
            <w:r>
              <w:rPr>
                <w:szCs w:val="21"/>
              </w:rPr>
              <w:t>100%</w:t>
            </w:r>
            <w:r>
              <w:rPr>
                <w:rFonts w:hint="eastAsia"/>
                <w:szCs w:val="21"/>
              </w:rPr>
              <w:t>。（实际得分</w:t>
            </w:r>
            <w:r>
              <w:rPr>
                <w:szCs w:val="21"/>
              </w:rPr>
              <w:t>=</w:t>
            </w:r>
            <w:r>
              <w:rPr>
                <w:rFonts w:hint="eastAsia"/>
                <w:szCs w:val="21"/>
              </w:rPr>
              <w:t>达标率</w:t>
            </w:r>
            <w:r>
              <w:rPr>
                <w:szCs w:val="21"/>
              </w:rPr>
              <w:t>*8</w:t>
            </w:r>
            <w:r>
              <w:rPr>
                <w:rFonts w:hint="eastAsia"/>
                <w:szCs w:val="21"/>
              </w:rPr>
              <w:t>分）</w:t>
            </w:r>
          </w:p>
          <w:p>
            <w:pPr>
              <w:spacing w:line="240" w:lineRule="exact"/>
              <w:rPr>
                <w:szCs w:val="21"/>
              </w:rPr>
            </w:pPr>
            <w:r>
              <w:rPr>
                <w:rFonts w:hint="eastAsia"/>
                <w:szCs w:val="21"/>
              </w:rPr>
              <w:t>质量达标实际工作数：一定时期（年度或规划期）内部门（单位）实际完成工作数中达到部门绩效目标要求（绩效标准值）的工作任务数量。</w:t>
            </w:r>
          </w:p>
        </w:tc>
        <w:tc>
          <w:tcPr>
            <w:tcW w:w="379" w:type="pct"/>
            <w:tcBorders>
              <w:top w:val="nil"/>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8</w:t>
            </w:r>
          </w:p>
        </w:tc>
        <w:tc>
          <w:tcPr>
            <w:tcW w:w="410" w:type="pct"/>
            <w:tcBorders>
              <w:top w:val="nil"/>
              <w:left w:val="nil"/>
              <w:bottom w:val="single" w:color="auto" w:sz="4" w:space="0"/>
              <w:right w:val="single" w:color="auto" w:sz="12" w:space="0"/>
            </w:tcBorders>
            <w:noWrap/>
            <w:vAlign w:val="center"/>
          </w:tcPr>
          <w:p>
            <w:pPr>
              <w:spacing w:line="240" w:lineRule="exact"/>
              <w:jc w:val="center"/>
              <w:rPr>
                <w:szCs w:val="21"/>
              </w:rPr>
            </w:pPr>
          </w:p>
        </w:tc>
      </w:tr>
      <w:tr>
        <w:tblPrEx>
          <w:tblCellMar>
            <w:top w:w="0" w:type="dxa"/>
            <w:left w:w="28" w:type="dxa"/>
            <w:bottom w:w="0" w:type="dxa"/>
            <w:right w:w="28" w:type="dxa"/>
          </w:tblCellMar>
        </w:tblPrEx>
        <w:trPr>
          <w:trHeight w:val="1464" w:hRule="atLeast"/>
          <w:jc w:val="center"/>
        </w:trPr>
        <w:tc>
          <w:tcPr>
            <w:tcW w:w="777" w:type="pct"/>
            <w:vMerge w:val="continue"/>
            <w:tcBorders>
              <w:top w:val="nil"/>
              <w:left w:val="single" w:color="auto" w:sz="12" w:space="0"/>
              <w:bottom w:val="single" w:color="auto" w:sz="4" w:space="0"/>
              <w:right w:val="single" w:color="auto" w:sz="4" w:space="0"/>
            </w:tcBorders>
            <w:noWrap w:val="0"/>
            <w:vAlign w:val="center"/>
          </w:tcPr>
          <w:p>
            <w:pPr>
              <w:spacing w:line="240" w:lineRule="exact"/>
              <w:jc w:val="center"/>
              <w:rPr>
                <w:szCs w:val="21"/>
              </w:rPr>
            </w:pPr>
          </w:p>
        </w:tc>
        <w:tc>
          <w:tcPr>
            <w:tcW w:w="279"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438"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重点工作办结率（</w:t>
            </w:r>
            <w:r>
              <w:rPr>
                <w:szCs w:val="21"/>
              </w:rPr>
              <w:t>10</w:t>
            </w:r>
            <w:r>
              <w:rPr>
                <w:rFonts w:hint="eastAsia"/>
                <w:szCs w:val="21"/>
              </w:rPr>
              <w:t>分）</w:t>
            </w:r>
          </w:p>
        </w:tc>
        <w:tc>
          <w:tcPr>
            <w:tcW w:w="1180"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部门（单位）年度重点工作实际完成数与交办或下达数的比率，用以反映部门（单位）对重点工作的办理落实程度。</w:t>
            </w:r>
          </w:p>
        </w:tc>
        <w:tc>
          <w:tcPr>
            <w:tcW w:w="1537"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重点工作办结率</w:t>
            </w:r>
            <w:r>
              <w:rPr>
                <w:szCs w:val="21"/>
              </w:rPr>
              <w:t>=</w:t>
            </w:r>
            <w:r>
              <w:rPr>
                <w:rFonts w:hint="eastAsia"/>
                <w:szCs w:val="21"/>
              </w:rPr>
              <w:t>（重点工作实际完成数</w:t>
            </w:r>
            <w:r>
              <w:rPr>
                <w:szCs w:val="21"/>
              </w:rPr>
              <w:t>/</w:t>
            </w:r>
            <w:r>
              <w:rPr>
                <w:rFonts w:hint="eastAsia"/>
                <w:szCs w:val="21"/>
              </w:rPr>
              <w:t>交办或下达数）×</w:t>
            </w:r>
            <w:r>
              <w:rPr>
                <w:szCs w:val="21"/>
              </w:rPr>
              <w:t>100%</w:t>
            </w:r>
            <w:r>
              <w:rPr>
                <w:rFonts w:hint="eastAsia"/>
                <w:szCs w:val="21"/>
              </w:rPr>
              <w:t>。（实际得分</w:t>
            </w:r>
            <w:r>
              <w:rPr>
                <w:szCs w:val="21"/>
              </w:rPr>
              <w:t>=</w:t>
            </w:r>
            <w:r>
              <w:rPr>
                <w:rFonts w:hint="eastAsia"/>
                <w:szCs w:val="21"/>
              </w:rPr>
              <w:t>办结率</w:t>
            </w:r>
            <w:r>
              <w:rPr>
                <w:szCs w:val="21"/>
              </w:rPr>
              <w:t>*10</w:t>
            </w:r>
            <w:r>
              <w:rPr>
                <w:rFonts w:hint="eastAsia"/>
                <w:szCs w:val="21"/>
              </w:rPr>
              <w:t>分）</w:t>
            </w:r>
          </w:p>
          <w:p>
            <w:pPr>
              <w:spacing w:line="240" w:lineRule="exact"/>
              <w:rPr>
                <w:szCs w:val="21"/>
              </w:rPr>
            </w:pPr>
            <w:r>
              <w:rPr>
                <w:rFonts w:hint="eastAsia"/>
                <w:szCs w:val="21"/>
              </w:rPr>
              <w:t>重点工作是指党委、政府、人大、相关部门交办或下达的工作任务。</w:t>
            </w:r>
          </w:p>
        </w:tc>
        <w:tc>
          <w:tcPr>
            <w:tcW w:w="379" w:type="pct"/>
            <w:tcBorders>
              <w:top w:val="nil"/>
              <w:left w:val="nil"/>
              <w:bottom w:val="single" w:color="auto" w:sz="4" w:space="0"/>
              <w:right w:val="single" w:color="auto" w:sz="4" w:space="0"/>
            </w:tcBorders>
            <w:noWrap/>
            <w:vAlign w:val="center"/>
          </w:tcPr>
          <w:p>
            <w:pPr>
              <w:spacing w:line="240" w:lineRule="exact"/>
              <w:jc w:val="center"/>
              <w:rPr>
                <w:rFonts w:hint="default" w:eastAsia="宋体"/>
                <w:szCs w:val="21"/>
                <w:lang w:val="en-US" w:eastAsia="zh-CN"/>
              </w:rPr>
            </w:pPr>
            <w:r>
              <w:rPr>
                <w:rFonts w:hint="eastAsia"/>
                <w:szCs w:val="21"/>
                <w:lang w:val="en-US" w:eastAsia="zh-CN"/>
              </w:rPr>
              <w:t>10</w:t>
            </w:r>
          </w:p>
        </w:tc>
        <w:tc>
          <w:tcPr>
            <w:tcW w:w="410" w:type="pct"/>
            <w:tcBorders>
              <w:top w:val="nil"/>
              <w:left w:val="nil"/>
              <w:bottom w:val="single" w:color="auto" w:sz="4" w:space="0"/>
              <w:right w:val="single" w:color="auto" w:sz="12" w:space="0"/>
            </w:tcBorders>
            <w:noWrap/>
            <w:vAlign w:val="center"/>
          </w:tcPr>
          <w:p>
            <w:pPr>
              <w:spacing w:line="240" w:lineRule="exact"/>
              <w:jc w:val="center"/>
              <w:rPr>
                <w:szCs w:val="21"/>
              </w:rPr>
            </w:pPr>
          </w:p>
        </w:tc>
      </w:tr>
      <w:tr>
        <w:tblPrEx>
          <w:tblCellMar>
            <w:top w:w="0" w:type="dxa"/>
            <w:left w:w="28" w:type="dxa"/>
            <w:bottom w:w="0" w:type="dxa"/>
            <w:right w:w="28" w:type="dxa"/>
          </w:tblCellMar>
        </w:tblPrEx>
        <w:trPr>
          <w:trHeight w:val="776" w:hRule="atLeast"/>
          <w:jc w:val="center"/>
        </w:trPr>
        <w:tc>
          <w:tcPr>
            <w:tcW w:w="777" w:type="pct"/>
            <w:vMerge w:val="restart"/>
            <w:tcBorders>
              <w:top w:val="single" w:color="auto" w:sz="4" w:space="0"/>
              <w:left w:val="single" w:color="auto" w:sz="12" w:space="0"/>
              <w:bottom w:val="single" w:color="auto" w:sz="4" w:space="0"/>
              <w:right w:val="single" w:color="auto" w:sz="4" w:space="0"/>
            </w:tcBorders>
            <w:noWrap/>
            <w:vAlign w:val="center"/>
          </w:tcPr>
          <w:p>
            <w:pPr>
              <w:spacing w:line="240" w:lineRule="exact"/>
              <w:jc w:val="center"/>
              <w:rPr>
                <w:szCs w:val="21"/>
              </w:rPr>
            </w:pPr>
            <w:r>
              <w:rPr>
                <w:rFonts w:hint="eastAsia"/>
                <w:szCs w:val="21"/>
              </w:rPr>
              <w:t>效</w:t>
            </w:r>
            <w:r>
              <w:rPr>
                <w:szCs w:val="21"/>
              </w:rPr>
              <w:t xml:space="preserve"> </w:t>
            </w:r>
            <w:r>
              <w:rPr>
                <w:rFonts w:hint="eastAsia"/>
                <w:szCs w:val="21"/>
              </w:rPr>
              <w:t>果（</w:t>
            </w:r>
            <w:r>
              <w:rPr>
                <w:szCs w:val="21"/>
              </w:rPr>
              <w:t>20</w:t>
            </w:r>
            <w:r>
              <w:rPr>
                <w:rFonts w:hint="eastAsia"/>
                <w:szCs w:val="21"/>
              </w:rPr>
              <w:t>分）</w:t>
            </w:r>
          </w:p>
        </w:tc>
        <w:tc>
          <w:tcPr>
            <w:tcW w:w="27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rFonts w:hint="eastAsia"/>
                <w:szCs w:val="21"/>
              </w:rPr>
              <w:t>履职效益（</w:t>
            </w:r>
            <w:r>
              <w:rPr>
                <w:szCs w:val="21"/>
              </w:rPr>
              <w:t>20</w:t>
            </w:r>
            <w:r>
              <w:rPr>
                <w:rFonts w:hint="eastAsia"/>
                <w:szCs w:val="21"/>
              </w:rPr>
              <w:t>分）</w:t>
            </w:r>
          </w:p>
        </w:tc>
        <w:tc>
          <w:tcPr>
            <w:tcW w:w="438" w:type="pct"/>
            <w:tcBorders>
              <w:top w:val="single" w:color="auto" w:sz="4" w:space="0"/>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经济效益（</w:t>
            </w:r>
            <w:r>
              <w:rPr>
                <w:szCs w:val="21"/>
              </w:rPr>
              <w:t>5</w:t>
            </w:r>
            <w:r>
              <w:rPr>
                <w:rFonts w:hint="eastAsia"/>
                <w:szCs w:val="21"/>
              </w:rPr>
              <w:t>分）</w:t>
            </w:r>
          </w:p>
        </w:tc>
        <w:tc>
          <w:tcPr>
            <w:tcW w:w="1180" w:type="pct"/>
            <w:tcBorders>
              <w:top w:val="single" w:color="auto" w:sz="4" w:space="0"/>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部门（单位）履行职责对经济发展所带来的直接或间接影响。</w:t>
            </w:r>
          </w:p>
        </w:tc>
        <w:tc>
          <w:tcPr>
            <w:tcW w:w="1537"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r>
              <w:rPr>
                <w:rFonts w:hint="eastAsia"/>
                <w:szCs w:val="21"/>
              </w:rPr>
              <w:t>此三项指标为部门整体支出绩效评价指标的共性要素，各单位按照部门整体支出绩效目标实现程度为依据。（按经济效益实现程度</w:t>
            </w:r>
            <w:r>
              <w:rPr>
                <w:szCs w:val="21"/>
              </w:rPr>
              <w:t>*5</w:t>
            </w:r>
            <w:r>
              <w:rPr>
                <w:rFonts w:hint="eastAsia"/>
                <w:szCs w:val="21"/>
              </w:rPr>
              <w:t>、社会效益实现程度</w:t>
            </w:r>
            <w:r>
              <w:rPr>
                <w:szCs w:val="21"/>
              </w:rPr>
              <w:t>*5</w:t>
            </w:r>
            <w:r>
              <w:rPr>
                <w:rFonts w:hint="eastAsia"/>
                <w:szCs w:val="21"/>
              </w:rPr>
              <w:t>、生态效益实现程度</w:t>
            </w:r>
            <w:r>
              <w:rPr>
                <w:szCs w:val="21"/>
              </w:rPr>
              <w:t>*5</w:t>
            </w:r>
            <w:r>
              <w:rPr>
                <w:rFonts w:hint="eastAsia"/>
                <w:szCs w:val="21"/>
              </w:rPr>
              <w:t>计算实际得分）</w:t>
            </w:r>
          </w:p>
        </w:tc>
        <w:tc>
          <w:tcPr>
            <w:tcW w:w="379" w:type="pct"/>
            <w:tcBorders>
              <w:top w:val="single" w:color="auto" w:sz="4" w:space="0"/>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4</w:t>
            </w:r>
          </w:p>
        </w:tc>
        <w:tc>
          <w:tcPr>
            <w:tcW w:w="410" w:type="pct"/>
            <w:tcBorders>
              <w:top w:val="single" w:color="auto" w:sz="4" w:space="0"/>
              <w:left w:val="nil"/>
              <w:bottom w:val="single" w:color="auto" w:sz="4" w:space="0"/>
              <w:right w:val="single" w:color="auto" w:sz="12" w:space="0"/>
            </w:tcBorders>
            <w:noWrap/>
            <w:vAlign w:val="center"/>
          </w:tcPr>
          <w:p>
            <w:pPr>
              <w:spacing w:line="240" w:lineRule="exact"/>
              <w:jc w:val="center"/>
              <w:rPr>
                <w:szCs w:val="21"/>
              </w:rPr>
            </w:pPr>
          </w:p>
        </w:tc>
      </w:tr>
      <w:tr>
        <w:tblPrEx>
          <w:tblCellMar>
            <w:top w:w="0" w:type="dxa"/>
            <w:left w:w="28" w:type="dxa"/>
            <w:bottom w:w="0" w:type="dxa"/>
            <w:right w:w="28" w:type="dxa"/>
          </w:tblCellMar>
        </w:tblPrEx>
        <w:trPr>
          <w:trHeight w:val="876" w:hRule="atLeast"/>
          <w:jc w:val="center"/>
        </w:trPr>
        <w:tc>
          <w:tcPr>
            <w:tcW w:w="777" w:type="pct"/>
            <w:vMerge w:val="continue"/>
            <w:tcBorders>
              <w:top w:val="single" w:color="auto" w:sz="4" w:space="0"/>
              <w:left w:val="single" w:color="auto" w:sz="12" w:space="0"/>
              <w:bottom w:val="single" w:color="auto" w:sz="4" w:space="0"/>
              <w:right w:val="single" w:color="auto" w:sz="4" w:space="0"/>
            </w:tcBorders>
            <w:noWrap w:val="0"/>
            <w:vAlign w:val="center"/>
          </w:tcPr>
          <w:p>
            <w:pPr>
              <w:spacing w:line="240" w:lineRule="exact"/>
              <w:jc w:val="center"/>
              <w:rPr>
                <w:szCs w:val="21"/>
              </w:rPr>
            </w:pPr>
          </w:p>
        </w:tc>
        <w:tc>
          <w:tcPr>
            <w:tcW w:w="27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438" w:type="pct"/>
            <w:tcBorders>
              <w:top w:val="single" w:color="auto" w:sz="4" w:space="0"/>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社会效益（</w:t>
            </w:r>
            <w:r>
              <w:rPr>
                <w:szCs w:val="21"/>
              </w:rPr>
              <w:t>5</w:t>
            </w:r>
            <w:r>
              <w:rPr>
                <w:rFonts w:hint="eastAsia"/>
                <w:szCs w:val="21"/>
              </w:rPr>
              <w:t>分）</w:t>
            </w:r>
          </w:p>
        </w:tc>
        <w:tc>
          <w:tcPr>
            <w:tcW w:w="1180" w:type="pct"/>
            <w:tcBorders>
              <w:top w:val="single" w:color="auto" w:sz="4" w:space="0"/>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部门（单位）履行职责对社会发展所带来的直接或间接影响。</w:t>
            </w:r>
          </w:p>
        </w:tc>
        <w:tc>
          <w:tcPr>
            <w:tcW w:w="1537"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p>
        </w:tc>
        <w:tc>
          <w:tcPr>
            <w:tcW w:w="379" w:type="pct"/>
            <w:tcBorders>
              <w:top w:val="single" w:color="auto" w:sz="4" w:space="0"/>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5</w:t>
            </w:r>
          </w:p>
        </w:tc>
        <w:tc>
          <w:tcPr>
            <w:tcW w:w="410" w:type="pct"/>
            <w:tcBorders>
              <w:top w:val="single" w:color="auto" w:sz="4" w:space="0"/>
              <w:left w:val="nil"/>
              <w:bottom w:val="single" w:color="auto" w:sz="4" w:space="0"/>
              <w:right w:val="single" w:color="auto" w:sz="12" w:space="0"/>
            </w:tcBorders>
            <w:noWrap/>
            <w:vAlign w:val="center"/>
          </w:tcPr>
          <w:p>
            <w:pPr>
              <w:spacing w:line="240" w:lineRule="exact"/>
              <w:jc w:val="center"/>
              <w:rPr>
                <w:szCs w:val="21"/>
              </w:rPr>
            </w:pPr>
          </w:p>
        </w:tc>
      </w:tr>
      <w:tr>
        <w:tblPrEx>
          <w:tblCellMar>
            <w:top w:w="0" w:type="dxa"/>
            <w:left w:w="28" w:type="dxa"/>
            <w:bottom w:w="0" w:type="dxa"/>
            <w:right w:w="28" w:type="dxa"/>
          </w:tblCellMar>
        </w:tblPrEx>
        <w:trPr>
          <w:trHeight w:val="777" w:hRule="atLeast"/>
          <w:jc w:val="center"/>
        </w:trPr>
        <w:tc>
          <w:tcPr>
            <w:tcW w:w="777" w:type="pct"/>
            <w:vMerge w:val="continue"/>
            <w:tcBorders>
              <w:top w:val="single" w:color="auto" w:sz="4" w:space="0"/>
              <w:left w:val="single" w:color="auto" w:sz="12" w:space="0"/>
              <w:bottom w:val="single" w:color="auto" w:sz="4" w:space="0"/>
              <w:right w:val="single" w:color="auto" w:sz="4" w:space="0"/>
            </w:tcBorders>
            <w:noWrap w:val="0"/>
            <w:vAlign w:val="center"/>
          </w:tcPr>
          <w:p>
            <w:pPr>
              <w:spacing w:line="240" w:lineRule="exact"/>
              <w:jc w:val="center"/>
              <w:rPr>
                <w:szCs w:val="21"/>
              </w:rPr>
            </w:pPr>
          </w:p>
        </w:tc>
        <w:tc>
          <w:tcPr>
            <w:tcW w:w="27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438" w:type="pct"/>
            <w:tcBorders>
              <w:top w:val="single" w:color="auto" w:sz="4" w:space="0"/>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生态效益（</w:t>
            </w:r>
            <w:r>
              <w:rPr>
                <w:szCs w:val="21"/>
              </w:rPr>
              <w:t>5</w:t>
            </w:r>
            <w:r>
              <w:rPr>
                <w:rFonts w:hint="eastAsia"/>
                <w:szCs w:val="21"/>
              </w:rPr>
              <w:t>分）</w:t>
            </w:r>
          </w:p>
        </w:tc>
        <w:tc>
          <w:tcPr>
            <w:tcW w:w="1180" w:type="pct"/>
            <w:tcBorders>
              <w:top w:val="single" w:color="auto" w:sz="4" w:space="0"/>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部门（单位）履行职责对生态环境所带来的直接或间接影响。</w:t>
            </w:r>
          </w:p>
        </w:tc>
        <w:tc>
          <w:tcPr>
            <w:tcW w:w="1537"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p>
        </w:tc>
        <w:tc>
          <w:tcPr>
            <w:tcW w:w="379" w:type="pct"/>
            <w:tcBorders>
              <w:top w:val="single" w:color="auto" w:sz="4" w:space="0"/>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5</w:t>
            </w:r>
          </w:p>
        </w:tc>
        <w:tc>
          <w:tcPr>
            <w:tcW w:w="410" w:type="pct"/>
            <w:tcBorders>
              <w:top w:val="single" w:color="auto" w:sz="4" w:space="0"/>
              <w:left w:val="nil"/>
              <w:bottom w:val="single" w:color="auto" w:sz="4" w:space="0"/>
              <w:right w:val="single" w:color="auto" w:sz="12" w:space="0"/>
            </w:tcBorders>
            <w:noWrap/>
            <w:vAlign w:val="center"/>
          </w:tcPr>
          <w:p>
            <w:pPr>
              <w:spacing w:line="240" w:lineRule="exact"/>
              <w:jc w:val="center"/>
              <w:rPr>
                <w:szCs w:val="21"/>
              </w:rPr>
            </w:pPr>
          </w:p>
        </w:tc>
      </w:tr>
      <w:tr>
        <w:tblPrEx>
          <w:tblCellMar>
            <w:top w:w="0" w:type="dxa"/>
            <w:left w:w="28" w:type="dxa"/>
            <w:bottom w:w="0" w:type="dxa"/>
            <w:right w:w="28" w:type="dxa"/>
          </w:tblCellMar>
        </w:tblPrEx>
        <w:trPr>
          <w:trHeight w:val="1323" w:hRule="atLeast"/>
          <w:jc w:val="center"/>
        </w:trPr>
        <w:tc>
          <w:tcPr>
            <w:tcW w:w="777" w:type="pct"/>
            <w:vMerge w:val="continue"/>
            <w:tcBorders>
              <w:top w:val="single" w:color="auto" w:sz="4" w:space="0"/>
              <w:left w:val="single" w:color="auto" w:sz="12" w:space="0"/>
              <w:bottom w:val="single" w:color="auto" w:sz="4" w:space="0"/>
              <w:right w:val="single" w:color="auto" w:sz="4" w:space="0"/>
            </w:tcBorders>
            <w:noWrap w:val="0"/>
            <w:vAlign w:val="center"/>
          </w:tcPr>
          <w:p>
            <w:pPr>
              <w:spacing w:line="240" w:lineRule="exact"/>
              <w:jc w:val="center"/>
              <w:rPr>
                <w:szCs w:val="21"/>
              </w:rPr>
            </w:pPr>
          </w:p>
        </w:tc>
        <w:tc>
          <w:tcPr>
            <w:tcW w:w="27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438" w:type="pct"/>
            <w:tcBorders>
              <w:top w:val="single" w:color="auto" w:sz="4" w:space="0"/>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社会公众或服务对象满意度（</w:t>
            </w:r>
            <w:r>
              <w:rPr>
                <w:szCs w:val="21"/>
              </w:rPr>
              <w:t>5</w:t>
            </w:r>
            <w:r>
              <w:rPr>
                <w:rFonts w:hint="eastAsia"/>
                <w:szCs w:val="21"/>
              </w:rPr>
              <w:t>分）</w:t>
            </w:r>
          </w:p>
        </w:tc>
        <w:tc>
          <w:tcPr>
            <w:tcW w:w="1180" w:type="pct"/>
            <w:tcBorders>
              <w:top w:val="single" w:color="auto" w:sz="4" w:space="0"/>
              <w:left w:val="nil"/>
              <w:bottom w:val="single" w:color="auto" w:sz="4" w:space="0"/>
              <w:right w:val="single" w:color="auto" w:sz="4" w:space="0"/>
            </w:tcBorders>
            <w:noWrap w:val="0"/>
            <w:vAlign w:val="center"/>
          </w:tcPr>
          <w:p>
            <w:pPr>
              <w:spacing w:line="240" w:lineRule="exact"/>
              <w:rPr>
                <w:szCs w:val="21"/>
              </w:rPr>
            </w:pPr>
            <w:r>
              <w:rPr>
                <w:rFonts w:hint="eastAsia"/>
                <w:szCs w:val="21"/>
              </w:rPr>
              <w:t>社会公众或部门（单位）的服务对象对部门履职效果的满意程度。</w:t>
            </w:r>
          </w:p>
        </w:tc>
        <w:tc>
          <w:tcPr>
            <w:tcW w:w="1537" w:type="pct"/>
            <w:tcBorders>
              <w:top w:val="single" w:color="auto" w:sz="4" w:space="0"/>
              <w:left w:val="nil"/>
              <w:bottom w:val="single" w:color="auto" w:sz="4" w:space="0"/>
              <w:right w:val="single" w:color="auto" w:sz="4" w:space="0"/>
            </w:tcBorders>
            <w:noWrap w:val="0"/>
            <w:vAlign w:val="center"/>
          </w:tcPr>
          <w:p>
            <w:pPr>
              <w:spacing w:line="240" w:lineRule="exact"/>
              <w:rPr>
                <w:szCs w:val="21"/>
              </w:rPr>
            </w:pPr>
            <w:r>
              <w:rPr>
                <w:rFonts w:hint="eastAsia"/>
                <w:szCs w:val="21"/>
              </w:rPr>
              <w:t>社会公众或服务对象是指部门（单位）履行职责而影响到的部门、群体或个人。一般采取社会调查的方式。（按收到的服务对象的满意率计算得分）</w:t>
            </w:r>
          </w:p>
        </w:tc>
        <w:tc>
          <w:tcPr>
            <w:tcW w:w="379" w:type="pct"/>
            <w:tcBorders>
              <w:top w:val="single" w:color="auto" w:sz="4" w:space="0"/>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4</w:t>
            </w:r>
          </w:p>
        </w:tc>
        <w:tc>
          <w:tcPr>
            <w:tcW w:w="410" w:type="pct"/>
            <w:tcBorders>
              <w:top w:val="single" w:color="auto" w:sz="4" w:space="0"/>
              <w:left w:val="nil"/>
              <w:bottom w:val="single" w:color="auto" w:sz="4" w:space="0"/>
              <w:right w:val="single" w:color="auto" w:sz="12" w:space="0"/>
            </w:tcBorders>
            <w:noWrap/>
            <w:vAlign w:val="center"/>
          </w:tcPr>
          <w:p>
            <w:pPr>
              <w:spacing w:line="240" w:lineRule="exact"/>
              <w:jc w:val="center"/>
              <w:rPr>
                <w:szCs w:val="21"/>
              </w:rPr>
            </w:pPr>
          </w:p>
        </w:tc>
      </w:tr>
      <w:tr>
        <w:tblPrEx>
          <w:tblCellMar>
            <w:top w:w="0" w:type="dxa"/>
            <w:left w:w="28" w:type="dxa"/>
            <w:bottom w:w="0" w:type="dxa"/>
            <w:right w:w="28" w:type="dxa"/>
          </w:tblCellMar>
        </w:tblPrEx>
        <w:trPr>
          <w:trHeight w:val="584" w:hRule="atLeast"/>
          <w:jc w:val="center"/>
        </w:trPr>
        <w:tc>
          <w:tcPr>
            <w:tcW w:w="4211" w:type="pct"/>
            <w:gridSpan w:val="5"/>
            <w:tcBorders>
              <w:top w:val="single" w:color="auto" w:sz="4" w:space="0"/>
              <w:left w:val="single" w:color="auto" w:sz="12" w:space="0"/>
              <w:bottom w:val="single" w:color="auto" w:sz="12" w:space="0"/>
              <w:right w:val="single" w:color="auto" w:sz="4" w:space="0"/>
            </w:tcBorders>
            <w:noWrap w:val="0"/>
            <w:vAlign w:val="center"/>
          </w:tcPr>
          <w:p>
            <w:pPr>
              <w:spacing w:line="240" w:lineRule="exact"/>
              <w:jc w:val="center"/>
              <w:rPr>
                <w:szCs w:val="21"/>
              </w:rPr>
            </w:pPr>
            <w:r>
              <w:rPr>
                <w:rFonts w:hint="eastAsia"/>
                <w:szCs w:val="21"/>
              </w:rPr>
              <w:t>合</w:t>
            </w:r>
            <w:r>
              <w:rPr>
                <w:szCs w:val="21"/>
              </w:rPr>
              <w:t xml:space="preserve">      </w:t>
            </w:r>
            <w:r>
              <w:rPr>
                <w:rFonts w:hint="eastAsia"/>
                <w:szCs w:val="21"/>
              </w:rPr>
              <w:t>计</w:t>
            </w:r>
          </w:p>
        </w:tc>
        <w:tc>
          <w:tcPr>
            <w:tcW w:w="379" w:type="pct"/>
            <w:tcBorders>
              <w:top w:val="single" w:color="auto" w:sz="4" w:space="0"/>
              <w:left w:val="nil"/>
              <w:bottom w:val="single" w:color="auto" w:sz="12" w:space="0"/>
              <w:right w:val="single" w:color="auto" w:sz="4" w:space="0"/>
            </w:tcBorders>
            <w:noWrap/>
            <w:vAlign w:val="center"/>
          </w:tcPr>
          <w:p>
            <w:pPr>
              <w:spacing w:line="240" w:lineRule="exact"/>
              <w:jc w:val="center"/>
              <w:rPr>
                <w:rFonts w:hint="default" w:eastAsia="宋体"/>
                <w:szCs w:val="21"/>
                <w:lang w:val="en-US" w:eastAsia="zh-CN"/>
              </w:rPr>
            </w:pPr>
            <w:r>
              <w:rPr>
                <w:rFonts w:hint="eastAsia"/>
                <w:szCs w:val="21"/>
                <w:lang w:val="en-US" w:eastAsia="zh-CN"/>
              </w:rPr>
              <w:t>98</w:t>
            </w:r>
          </w:p>
        </w:tc>
        <w:tc>
          <w:tcPr>
            <w:tcW w:w="410" w:type="pct"/>
            <w:tcBorders>
              <w:top w:val="single" w:color="auto" w:sz="4" w:space="0"/>
              <w:left w:val="nil"/>
              <w:bottom w:val="single" w:color="auto" w:sz="12" w:space="0"/>
              <w:right w:val="single" w:color="auto" w:sz="12" w:space="0"/>
            </w:tcBorders>
            <w:noWrap/>
            <w:vAlign w:val="center"/>
          </w:tcPr>
          <w:p>
            <w:pPr>
              <w:spacing w:line="240" w:lineRule="exact"/>
              <w:jc w:val="center"/>
              <w:rPr>
                <w:szCs w:val="21"/>
              </w:rPr>
            </w:pPr>
          </w:p>
        </w:tc>
      </w:tr>
    </w:tbl>
    <w:p>
      <w:pPr>
        <w:pStyle w:val="8"/>
        <w:spacing w:line="20" w:lineRule="exact"/>
        <w:rPr>
          <w:rFonts w:ascii="宋体"/>
        </w:rPr>
      </w:pPr>
    </w:p>
    <w:p>
      <w:pPr>
        <w:spacing w:line="620" w:lineRule="exact"/>
        <w:jc w:val="left"/>
        <w:rPr>
          <w:rFonts w:eastAsia="方正黑体简体"/>
          <w:color w:val="000000"/>
          <w:kern w:val="0"/>
          <w:sz w:val="32"/>
          <w:szCs w:val="32"/>
        </w:rPr>
        <w:sectPr>
          <w:pgSz w:w="11907" w:h="16840"/>
          <w:pgMar w:top="2098" w:right="1474" w:bottom="1928" w:left="1588" w:header="851" w:footer="992" w:gutter="0"/>
          <w:cols w:space="720" w:num="1"/>
          <w:docGrid w:type="lines" w:linePitch="312" w:charSpace="0"/>
        </w:sectPr>
      </w:pPr>
    </w:p>
    <w:p>
      <w:pPr>
        <w:spacing w:line="620" w:lineRule="exact"/>
        <w:jc w:val="left"/>
        <w:rPr>
          <w:rFonts w:eastAsia="方正黑体简体"/>
          <w:color w:val="000000"/>
          <w:kern w:val="0"/>
          <w:sz w:val="32"/>
          <w:szCs w:val="32"/>
        </w:rPr>
      </w:pPr>
      <w:r>
        <w:rPr>
          <w:rFonts w:hint="eastAsia" w:eastAsia="方正黑体简体"/>
          <w:color w:val="000000"/>
          <w:kern w:val="0"/>
          <w:sz w:val="32"/>
          <w:szCs w:val="32"/>
        </w:rPr>
        <w:t>附件</w:t>
      </w:r>
      <w:r>
        <w:rPr>
          <w:rFonts w:eastAsia="方正黑体简体"/>
          <w:color w:val="000000"/>
          <w:kern w:val="0"/>
          <w:sz w:val="32"/>
          <w:szCs w:val="32"/>
        </w:rPr>
        <w:t>3-2</w:t>
      </w:r>
    </w:p>
    <w:p>
      <w:pPr>
        <w:spacing w:line="620" w:lineRule="exact"/>
        <w:jc w:val="center"/>
        <w:rPr>
          <w:rFonts w:eastAsia="方正小标宋简体"/>
          <w:color w:val="000000"/>
          <w:w w:val="90"/>
          <w:kern w:val="0"/>
          <w:sz w:val="44"/>
          <w:szCs w:val="44"/>
        </w:rPr>
      </w:pPr>
      <w:r>
        <w:rPr>
          <w:rFonts w:eastAsia="方正小标宋简体"/>
          <w:color w:val="000000"/>
          <w:w w:val="90"/>
          <w:kern w:val="0"/>
          <w:sz w:val="44"/>
          <w:szCs w:val="44"/>
        </w:rPr>
        <w:t>202</w:t>
      </w:r>
      <w:r>
        <w:rPr>
          <w:rFonts w:hint="eastAsia" w:eastAsia="方正小标宋简体"/>
          <w:color w:val="000000"/>
          <w:w w:val="90"/>
          <w:kern w:val="0"/>
          <w:sz w:val="44"/>
          <w:szCs w:val="44"/>
        </w:rPr>
        <w:t>2年度乐至县部门整体支出绩效目标完成情况表</w:t>
      </w:r>
    </w:p>
    <w:p>
      <w:pPr>
        <w:pStyle w:val="8"/>
        <w:rPr>
          <w:rFonts w:ascii="宋体"/>
        </w:rPr>
      </w:pPr>
    </w:p>
    <w:tbl>
      <w:tblPr>
        <w:tblStyle w:val="19"/>
        <w:tblW w:w="9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00"/>
        <w:gridCol w:w="937"/>
        <w:gridCol w:w="856"/>
        <w:gridCol w:w="950"/>
        <w:gridCol w:w="1483"/>
        <w:gridCol w:w="1898"/>
        <w:gridCol w:w="2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68" w:hRule="atLeast"/>
          <w:jc w:val="center"/>
        </w:trPr>
        <w:tc>
          <w:tcPr>
            <w:tcW w:w="900" w:type="dxa"/>
            <w:tcBorders>
              <w:top w:val="single" w:color="auto" w:sz="12" w:space="0"/>
            </w:tcBorders>
            <w:noWrap/>
            <w:vAlign w:val="center"/>
          </w:tcPr>
          <w:p>
            <w:pPr>
              <w:widowControl/>
              <w:spacing w:line="290" w:lineRule="exact"/>
              <w:jc w:val="center"/>
              <w:rPr>
                <w:color w:val="000000"/>
                <w:kern w:val="0"/>
                <w:szCs w:val="21"/>
              </w:rPr>
            </w:pPr>
            <w:r>
              <w:rPr>
                <w:rFonts w:hint="eastAsia"/>
                <w:color w:val="000000"/>
                <w:kern w:val="0"/>
                <w:szCs w:val="21"/>
              </w:rPr>
              <w:t>部门（单位）名称</w:t>
            </w:r>
          </w:p>
        </w:tc>
        <w:tc>
          <w:tcPr>
            <w:tcW w:w="4226" w:type="dxa"/>
            <w:gridSpan w:val="4"/>
            <w:tcBorders>
              <w:top w:val="single" w:color="auto" w:sz="12" w:space="0"/>
            </w:tcBorders>
            <w:noWrap/>
            <w:vAlign w:val="center"/>
          </w:tcPr>
          <w:p>
            <w:pPr>
              <w:widowControl/>
              <w:spacing w:line="290" w:lineRule="exact"/>
              <w:jc w:val="center"/>
              <w:rPr>
                <w:color w:val="000000"/>
                <w:kern w:val="0"/>
                <w:szCs w:val="21"/>
              </w:rPr>
            </w:pPr>
            <w:r>
              <w:rPr>
                <w:rFonts w:hint="eastAsia"/>
                <w:color w:val="000000"/>
                <w:kern w:val="0"/>
                <w:szCs w:val="21"/>
                <w:lang w:eastAsia="zh-CN"/>
              </w:rPr>
              <w:t>劳动镇财政所</w:t>
            </w:r>
            <w:r>
              <w:rPr>
                <w:rFonts w:hint="eastAsia"/>
                <w:color w:val="000000"/>
                <w:kern w:val="0"/>
                <w:szCs w:val="21"/>
              </w:rPr>
              <w:t>　</w:t>
            </w:r>
          </w:p>
        </w:tc>
        <w:tc>
          <w:tcPr>
            <w:tcW w:w="1898" w:type="dxa"/>
            <w:tcBorders>
              <w:top w:val="single" w:color="auto" w:sz="12" w:space="0"/>
            </w:tcBorders>
            <w:noWrap/>
            <w:vAlign w:val="center"/>
          </w:tcPr>
          <w:p>
            <w:pPr>
              <w:widowControl/>
              <w:spacing w:line="290" w:lineRule="exact"/>
              <w:jc w:val="center"/>
              <w:rPr>
                <w:color w:val="000000"/>
                <w:kern w:val="0"/>
                <w:szCs w:val="21"/>
              </w:rPr>
            </w:pPr>
            <w:r>
              <w:rPr>
                <w:rFonts w:hint="eastAsia"/>
                <w:color w:val="000000"/>
                <w:kern w:val="0"/>
                <w:szCs w:val="21"/>
              </w:rPr>
              <w:t>预算单位编码</w:t>
            </w:r>
          </w:p>
        </w:tc>
        <w:tc>
          <w:tcPr>
            <w:tcW w:w="2592" w:type="dxa"/>
            <w:tcBorders>
              <w:top w:val="single" w:color="auto" w:sz="12" w:space="0"/>
            </w:tcBorders>
            <w:noWrap/>
            <w:vAlign w:val="center"/>
          </w:tcPr>
          <w:p>
            <w:pPr>
              <w:widowControl/>
              <w:spacing w:line="290" w:lineRule="exact"/>
              <w:jc w:val="left"/>
              <w:rPr>
                <w:rFonts w:hint="default" w:eastAsia="宋体"/>
                <w:color w:val="000000"/>
                <w:kern w:val="0"/>
                <w:szCs w:val="21"/>
                <w:lang w:val="en-US" w:eastAsia="zh-CN"/>
              </w:rPr>
            </w:pPr>
            <w:r>
              <w:rPr>
                <w:rFonts w:hint="eastAsia"/>
                <w:color w:val="000000"/>
                <w:kern w:val="0"/>
                <w:szCs w:val="21"/>
                <w:lang w:val="en-US" w:eastAsia="zh-CN"/>
              </w:rPr>
              <w:t>317001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85" w:hRule="atLeast"/>
          <w:jc w:val="center"/>
        </w:trPr>
        <w:tc>
          <w:tcPr>
            <w:tcW w:w="900" w:type="dxa"/>
            <w:vMerge w:val="restart"/>
            <w:noWrap/>
            <w:vAlign w:val="center"/>
          </w:tcPr>
          <w:p>
            <w:pPr>
              <w:widowControl/>
              <w:spacing w:line="290" w:lineRule="exact"/>
              <w:jc w:val="center"/>
              <w:rPr>
                <w:color w:val="000000"/>
                <w:kern w:val="0"/>
                <w:szCs w:val="21"/>
              </w:rPr>
            </w:pPr>
            <w:r>
              <w:rPr>
                <w:rFonts w:hint="eastAsia"/>
                <w:color w:val="000000"/>
                <w:kern w:val="0"/>
                <w:szCs w:val="21"/>
              </w:rPr>
              <w:t>预算执行情况</w:t>
            </w:r>
          </w:p>
        </w:tc>
        <w:tc>
          <w:tcPr>
            <w:tcW w:w="937" w:type="dxa"/>
            <w:noWrap/>
            <w:vAlign w:val="center"/>
          </w:tcPr>
          <w:p>
            <w:pPr>
              <w:widowControl/>
              <w:spacing w:line="290" w:lineRule="exact"/>
              <w:jc w:val="center"/>
              <w:rPr>
                <w:color w:val="000000"/>
                <w:kern w:val="0"/>
                <w:szCs w:val="21"/>
              </w:rPr>
            </w:pPr>
            <w:r>
              <w:rPr>
                <w:rFonts w:hint="eastAsia"/>
                <w:color w:val="000000"/>
                <w:kern w:val="0"/>
                <w:szCs w:val="21"/>
              </w:rPr>
              <w:t>项目</w:t>
            </w:r>
          </w:p>
        </w:tc>
        <w:tc>
          <w:tcPr>
            <w:tcW w:w="856" w:type="dxa"/>
            <w:noWrap/>
            <w:vAlign w:val="center"/>
          </w:tcPr>
          <w:p>
            <w:pPr>
              <w:widowControl/>
              <w:spacing w:line="290" w:lineRule="exact"/>
              <w:jc w:val="center"/>
              <w:rPr>
                <w:color w:val="000000"/>
                <w:kern w:val="0"/>
                <w:szCs w:val="21"/>
              </w:rPr>
            </w:pPr>
            <w:r>
              <w:rPr>
                <w:rFonts w:hint="eastAsia"/>
                <w:color w:val="000000"/>
                <w:kern w:val="0"/>
                <w:szCs w:val="21"/>
              </w:rPr>
              <w:t>预算额</w:t>
            </w:r>
            <w:r>
              <w:rPr>
                <w:color w:val="000000"/>
                <w:kern w:val="0"/>
                <w:szCs w:val="21"/>
              </w:rPr>
              <w:t>(</w:t>
            </w:r>
            <w:r>
              <w:rPr>
                <w:rFonts w:hint="eastAsia"/>
                <w:color w:val="000000"/>
                <w:kern w:val="0"/>
                <w:szCs w:val="21"/>
              </w:rPr>
              <w:t>万元</w:t>
            </w:r>
            <w:r>
              <w:rPr>
                <w:color w:val="000000"/>
                <w:kern w:val="0"/>
                <w:szCs w:val="21"/>
              </w:rPr>
              <w:t>)</w:t>
            </w:r>
          </w:p>
        </w:tc>
        <w:tc>
          <w:tcPr>
            <w:tcW w:w="950" w:type="dxa"/>
            <w:noWrap/>
            <w:vAlign w:val="center"/>
          </w:tcPr>
          <w:p>
            <w:pPr>
              <w:widowControl/>
              <w:spacing w:line="290" w:lineRule="exact"/>
              <w:jc w:val="center"/>
              <w:rPr>
                <w:color w:val="000000"/>
                <w:kern w:val="0"/>
                <w:szCs w:val="21"/>
              </w:rPr>
            </w:pPr>
            <w:r>
              <w:rPr>
                <w:rFonts w:hint="eastAsia"/>
                <w:color w:val="000000"/>
                <w:kern w:val="0"/>
                <w:szCs w:val="21"/>
              </w:rPr>
              <w:t>执行额</w:t>
            </w:r>
            <w:r>
              <w:rPr>
                <w:color w:val="000000"/>
                <w:kern w:val="0"/>
                <w:szCs w:val="21"/>
              </w:rPr>
              <w:t>(</w:t>
            </w:r>
            <w:r>
              <w:rPr>
                <w:rFonts w:hint="eastAsia"/>
                <w:color w:val="000000"/>
                <w:kern w:val="0"/>
                <w:szCs w:val="21"/>
              </w:rPr>
              <w:t>万元</w:t>
            </w:r>
            <w:r>
              <w:rPr>
                <w:color w:val="000000"/>
                <w:kern w:val="0"/>
                <w:szCs w:val="21"/>
              </w:rPr>
              <w:t>)</w:t>
            </w:r>
          </w:p>
        </w:tc>
        <w:tc>
          <w:tcPr>
            <w:tcW w:w="1483" w:type="dxa"/>
            <w:noWrap/>
            <w:vAlign w:val="center"/>
          </w:tcPr>
          <w:p>
            <w:pPr>
              <w:widowControl/>
              <w:spacing w:line="290" w:lineRule="exact"/>
              <w:jc w:val="center"/>
              <w:rPr>
                <w:color w:val="000000"/>
                <w:kern w:val="0"/>
                <w:szCs w:val="21"/>
              </w:rPr>
            </w:pPr>
            <w:r>
              <w:rPr>
                <w:rFonts w:hint="eastAsia"/>
                <w:color w:val="000000"/>
                <w:kern w:val="0"/>
                <w:szCs w:val="21"/>
              </w:rPr>
              <w:t>当年结转结余额</w:t>
            </w:r>
            <w:r>
              <w:rPr>
                <w:color w:val="000000"/>
                <w:kern w:val="0"/>
                <w:szCs w:val="21"/>
              </w:rPr>
              <w:t>(</w:t>
            </w:r>
            <w:r>
              <w:rPr>
                <w:rFonts w:hint="eastAsia"/>
                <w:color w:val="000000"/>
                <w:kern w:val="0"/>
                <w:szCs w:val="21"/>
              </w:rPr>
              <w:t>万元</w:t>
            </w:r>
            <w:r>
              <w:rPr>
                <w:color w:val="000000"/>
                <w:kern w:val="0"/>
                <w:szCs w:val="21"/>
              </w:rPr>
              <w:t>)</w:t>
            </w:r>
          </w:p>
        </w:tc>
        <w:tc>
          <w:tcPr>
            <w:tcW w:w="1898" w:type="dxa"/>
            <w:noWrap/>
            <w:vAlign w:val="center"/>
          </w:tcPr>
          <w:p>
            <w:pPr>
              <w:widowControl/>
              <w:spacing w:line="290" w:lineRule="exact"/>
              <w:jc w:val="center"/>
              <w:rPr>
                <w:color w:val="000000"/>
                <w:kern w:val="0"/>
                <w:szCs w:val="21"/>
              </w:rPr>
            </w:pPr>
            <w:r>
              <w:rPr>
                <w:rFonts w:hint="eastAsia"/>
                <w:color w:val="000000"/>
                <w:kern w:val="0"/>
                <w:szCs w:val="21"/>
              </w:rPr>
              <w:t>结转结余率</w:t>
            </w:r>
            <w:r>
              <w:rPr>
                <w:color w:val="000000"/>
                <w:kern w:val="0"/>
                <w:szCs w:val="21"/>
              </w:rPr>
              <w:t>%</w:t>
            </w:r>
          </w:p>
        </w:tc>
        <w:tc>
          <w:tcPr>
            <w:tcW w:w="2592" w:type="dxa"/>
            <w:noWrap/>
            <w:vAlign w:val="center"/>
          </w:tcPr>
          <w:p>
            <w:pPr>
              <w:widowControl/>
              <w:spacing w:line="290" w:lineRule="exact"/>
              <w:jc w:val="center"/>
              <w:rPr>
                <w:color w:val="000000"/>
                <w:kern w:val="0"/>
                <w:szCs w:val="21"/>
              </w:rPr>
            </w:pPr>
            <w:r>
              <w:rPr>
                <w:rFonts w:hint="eastAsia"/>
                <w:color w:val="000000"/>
                <w:kern w:val="0"/>
                <w:szCs w:val="21"/>
              </w:rPr>
              <w:t>结转结余变动率</w:t>
            </w: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900" w:type="dxa"/>
            <w:vMerge w:val="continue"/>
            <w:noWrap w:val="0"/>
            <w:vAlign w:val="center"/>
          </w:tcPr>
          <w:p>
            <w:pPr>
              <w:widowControl/>
              <w:spacing w:line="290" w:lineRule="exact"/>
              <w:jc w:val="left"/>
              <w:rPr>
                <w:color w:val="000000"/>
                <w:kern w:val="0"/>
                <w:szCs w:val="21"/>
              </w:rPr>
            </w:pPr>
          </w:p>
        </w:tc>
        <w:tc>
          <w:tcPr>
            <w:tcW w:w="937" w:type="dxa"/>
            <w:noWrap/>
            <w:vAlign w:val="center"/>
          </w:tcPr>
          <w:p>
            <w:pPr>
              <w:widowControl/>
              <w:spacing w:line="290" w:lineRule="exact"/>
              <w:jc w:val="center"/>
              <w:rPr>
                <w:color w:val="000000"/>
                <w:kern w:val="0"/>
                <w:szCs w:val="21"/>
              </w:rPr>
            </w:pPr>
            <w:r>
              <w:rPr>
                <w:rFonts w:hint="eastAsia"/>
                <w:color w:val="000000"/>
                <w:kern w:val="0"/>
                <w:szCs w:val="21"/>
              </w:rPr>
              <w:t>合计</w:t>
            </w:r>
          </w:p>
        </w:tc>
        <w:tc>
          <w:tcPr>
            <w:tcW w:w="856" w:type="dxa"/>
            <w:noWrap/>
            <w:vAlign w:val="center"/>
          </w:tcPr>
          <w:p>
            <w:pPr>
              <w:widowControl/>
              <w:spacing w:line="290" w:lineRule="exact"/>
              <w:jc w:val="left"/>
              <w:rPr>
                <w:color w:val="000000"/>
                <w:kern w:val="0"/>
                <w:szCs w:val="21"/>
              </w:rPr>
            </w:pPr>
            <w:r>
              <w:rPr>
                <w:rFonts w:hint="eastAsia"/>
                <w:color w:val="000000"/>
                <w:kern w:val="0"/>
                <w:szCs w:val="21"/>
              </w:rPr>
              <w:t>　</w:t>
            </w:r>
            <w:r>
              <w:rPr>
                <w:rFonts w:hint="eastAsia" w:ascii="Times New Roman" w:hAnsi="Times New Roman" w:eastAsia="宋体" w:cs="Times New Roman"/>
                <w:color w:val="000000"/>
                <w:kern w:val="0"/>
                <w:szCs w:val="21"/>
                <w:lang w:val="en-US" w:eastAsia="zh-CN"/>
              </w:rPr>
              <w:t>6845.41</w:t>
            </w:r>
          </w:p>
        </w:tc>
        <w:tc>
          <w:tcPr>
            <w:tcW w:w="950" w:type="dxa"/>
            <w:noWrap/>
            <w:vAlign w:val="center"/>
          </w:tcPr>
          <w:p>
            <w:pPr>
              <w:widowControl/>
              <w:spacing w:line="290" w:lineRule="exact"/>
              <w:jc w:val="left"/>
              <w:rPr>
                <w:color w:val="000000"/>
                <w:kern w:val="0"/>
                <w:szCs w:val="21"/>
              </w:rPr>
            </w:pPr>
            <w:r>
              <w:rPr>
                <w:rFonts w:hint="eastAsia"/>
                <w:color w:val="000000"/>
                <w:kern w:val="0"/>
                <w:szCs w:val="21"/>
              </w:rPr>
              <w:t>　</w:t>
            </w:r>
            <w:r>
              <w:rPr>
                <w:rFonts w:hint="eastAsia" w:ascii="Times New Roman" w:hAnsi="Times New Roman" w:eastAsia="宋体" w:cs="Times New Roman"/>
                <w:color w:val="000000"/>
                <w:kern w:val="0"/>
                <w:szCs w:val="21"/>
                <w:lang w:val="en-US" w:eastAsia="zh-CN"/>
              </w:rPr>
              <w:t>6845.41</w:t>
            </w:r>
          </w:p>
        </w:tc>
        <w:tc>
          <w:tcPr>
            <w:tcW w:w="1483"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898"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592"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8" w:hRule="atLeast"/>
          <w:jc w:val="center"/>
        </w:trPr>
        <w:tc>
          <w:tcPr>
            <w:tcW w:w="900" w:type="dxa"/>
            <w:vMerge w:val="continue"/>
            <w:noWrap w:val="0"/>
            <w:vAlign w:val="center"/>
          </w:tcPr>
          <w:p>
            <w:pPr>
              <w:widowControl/>
              <w:spacing w:line="290" w:lineRule="exact"/>
              <w:jc w:val="left"/>
              <w:rPr>
                <w:color w:val="000000"/>
                <w:kern w:val="0"/>
                <w:szCs w:val="21"/>
              </w:rPr>
            </w:pPr>
          </w:p>
        </w:tc>
        <w:tc>
          <w:tcPr>
            <w:tcW w:w="937" w:type="dxa"/>
            <w:noWrap/>
            <w:vAlign w:val="center"/>
          </w:tcPr>
          <w:p>
            <w:pPr>
              <w:widowControl/>
              <w:spacing w:line="290" w:lineRule="exact"/>
              <w:jc w:val="center"/>
              <w:rPr>
                <w:color w:val="000000"/>
                <w:kern w:val="0"/>
                <w:szCs w:val="21"/>
              </w:rPr>
            </w:pPr>
            <w:r>
              <w:rPr>
                <w:rFonts w:hint="eastAsia"/>
                <w:color w:val="000000"/>
                <w:kern w:val="0"/>
                <w:szCs w:val="21"/>
              </w:rPr>
              <w:t>基本支出</w:t>
            </w:r>
          </w:p>
        </w:tc>
        <w:tc>
          <w:tcPr>
            <w:tcW w:w="856" w:type="dxa"/>
            <w:noWrap/>
            <w:vAlign w:val="center"/>
          </w:tcPr>
          <w:p>
            <w:pPr>
              <w:widowControl/>
              <w:spacing w:line="290" w:lineRule="exact"/>
              <w:jc w:val="left"/>
              <w:rPr>
                <w:color w:val="000000"/>
                <w:kern w:val="0"/>
                <w:szCs w:val="21"/>
              </w:rPr>
            </w:pPr>
            <w:r>
              <w:rPr>
                <w:rFonts w:hint="eastAsia"/>
                <w:color w:val="000000"/>
                <w:kern w:val="0"/>
                <w:szCs w:val="21"/>
              </w:rPr>
              <w:t>　</w:t>
            </w:r>
            <w:r>
              <w:rPr>
                <w:rFonts w:hint="eastAsia"/>
                <w:color w:val="000000"/>
                <w:kern w:val="0"/>
                <w:szCs w:val="21"/>
                <w:lang w:val="en-US" w:eastAsia="zh-CN"/>
              </w:rPr>
              <w:t>1559.09</w:t>
            </w:r>
          </w:p>
        </w:tc>
        <w:tc>
          <w:tcPr>
            <w:tcW w:w="950" w:type="dxa"/>
            <w:noWrap/>
            <w:vAlign w:val="center"/>
          </w:tcPr>
          <w:p>
            <w:pPr>
              <w:widowControl/>
              <w:spacing w:line="290" w:lineRule="exact"/>
              <w:jc w:val="left"/>
              <w:rPr>
                <w:color w:val="000000"/>
                <w:kern w:val="0"/>
                <w:szCs w:val="21"/>
              </w:rPr>
            </w:pPr>
            <w:r>
              <w:rPr>
                <w:rFonts w:hint="eastAsia"/>
                <w:color w:val="000000"/>
                <w:kern w:val="0"/>
                <w:szCs w:val="21"/>
              </w:rPr>
              <w:t>　　</w:t>
            </w:r>
            <w:r>
              <w:rPr>
                <w:rFonts w:hint="eastAsia"/>
                <w:color w:val="000000"/>
                <w:kern w:val="0"/>
                <w:szCs w:val="21"/>
                <w:lang w:val="en-US" w:eastAsia="zh-CN"/>
              </w:rPr>
              <w:t>1559.09</w:t>
            </w:r>
          </w:p>
        </w:tc>
        <w:tc>
          <w:tcPr>
            <w:tcW w:w="1483"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898"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592"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 w:hRule="atLeast"/>
          <w:jc w:val="center"/>
        </w:trPr>
        <w:tc>
          <w:tcPr>
            <w:tcW w:w="900" w:type="dxa"/>
            <w:vMerge w:val="continue"/>
            <w:noWrap w:val="0"/>
            <w:vAlign w:val="center"/>
          </w:tcPr>
          <w:p>
            <w:pPr>
              <w:widowControl/>
              <w:spacing w:line="290" w:lineRule="exact"/>
              <w:jc w:val="left"/>
              <w:rPr>
                <w:color w:val="000000"/>
                <w:kern w:val="0"/>
                <w:szCs w:val="21"/>
              </w:rPr>
            </w:pPr>
          </w:p>
        </w:tc>
        <w:tc>
          <w:tcPr>
            <w:tcW w:w="937" w:type="dxa"/>
            <w:noWrap/>
            <w:vAlign w:val="center"/>
          </w:tcPr>
          <w:p>
            <w:pPr>
              <w:widowControl/>
              <w:spacing w:line="290" w:lineRule="exact"/>
              <w:jc w:val="center"/>
              <w:rPr>
                <w:color w:val="000000"/>
                <w:kern w:val="0"/>
                <w:szCs w:val="21"/>
              </w:rPr>
            </w:pPr>
            <w:r>
              <w:rPr>
                <w:rFonts w:hint="eastAsia"/>
                <w:color w:val="000000"/>
                <w:kern w:val="0"/>
                <w:szCs w:val="21"/>
              </w:rPr>
              <w:t>政策和项目支出</w:t>
            </w:r>
          </w:p>
        </w:tc>
        <w:tc>
          <w:tcPr>
            <w:tcW w:w="856" w:type="dxa"/>
            <w:noWrap/>
            <w:vAlign w:val="center"/>
          </w:tcPr>
          <w:p>
            <w:pPr>
              <w:widowControl/>
              <w:spacing w:line="290" w:lineRule="exact"/>
              <w:jc w:val="left"/>
              <w:rPr>
                <w:color w:val="000000"/>
                <w:kern w:val="0"/>
                <w:szCs w:val="21"/>
              </w:rPr>
            </w:pPr>
            <w:r>
              <w:rPr>
                <w:rFonts w:hint="eastAsia"/>
                <w:color w:val="000000"/>
                <w:kern w:val="0"/>
                <w:szCs w:val="21"/>
              </w:rPr>
              <w:t>　</w:t>
            </w:r>
            <w:r>
              <w:rPr>
                <w:rFonts w:hint="eastAsia"/>
                <w:color w:val="000000"/>
                <w:kern w:val="0"/>
                <w:szCs w:val="21"/>
                <w:lang w:val="en-US" w:eastAsia="zh-CN"/>
              </w:rPr>
              <w:t>5286.32</w:t>
            </w:r>
          </w:p>
        </w:tc>
        <w:tc>
          <w:tcPr>
            <w:tcW w:w="950" w:type="dxa"/>
            <w:noWrap/>
            <w:vAlign w:val="center"/>
          </w:tcPr>
          <w:p>
            <w:pPr>
              <w:widowControl/>
              <w:spacing w:line="290" w:lineRule="exact"/>
              <w:jc w:val="left"/>
              <w:rPr>
                <w:color w:val="000000"/>
                <w:kern w:val="0"/>
                <w:szCs w:val="21"/>
              </w:rPr>
            </w:pPr>
            <w:r>
              <w:rPr>
                <w:rFonts w:hint="eastAsia"/>
                <w:color w:val="000000"/>
                <w:kern w:val="0"/>
                <w:szCs w:val="21"/>
              </w:rPr>
              <w:t>　</w:t>
            </w:r>
            <w:r>
              <w:rPr>
                <w:rFonts w:hint="eastAsia"/>
                <w:color w:val="000000"/>
                <w:kern w:val="0"/>
                <w:szCs w:val="21"/>
                <w:lang w:val="en-US" w:eastAsia="zh-CN"/>
              </w:rPr>
              <w:t>5286.32</w:t>
            </w:r>
          </w:p>
        </w:tc>
        <w:tc>
          <w:tcPr>
            <w:tcW w:w="1483"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898"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592"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900" w:type="dxa"/>
            <w:vMerge w:val="restart"/>
            <w:noWrap/>
            <w:vAlign w:val="center"/>
          </w:tcPr>
          <w:p>
            <w:pPr>
              <w:widowControl/>
              <w:spacing w:line="290" w:lineRule="exact"/>
              <w:jc w:val="center"/>
              <w:rPr>
                <w:color w:val="000000"/>
                <w:kern w:val="0"/>
                <w:szCs w:val="21"/>
              </w:rPr>
            </w:pPr>
            <w:r>
              <w:rPr>
                <w:rFonts w:hint="eastAsia"/>
                <w:color w:val="000000"/>
                <w:kern w:val="0"/>
                <w:szCs w:val="21"/>
              </w:rPr>
              <w:t>预算</w:t>
            </w:r>
          </w:p>
          <w:p>
            <w:pPr>
              <w:widowControl/>
              <w:spacing w:line="290" w:lineRule="exact"/>
              <w:jc w:val="center"/>
              <w:rPr>
                <w:color w:val="000000"/>
                <w:kern w:val="0"/>
                <w:szCs w:val="21"/>
              </w:rPr>
            </w:pPr>
            <w:r>
              <w:rPr>
                <w:rFonts w:hint="eastAsia"/>
                <w:color w:val="000000"/>
                <w:kern w:val="0"/>
                <w:szCs w:val="21"/>
              </w:rPr>
              <w:t>结构</w:t>
            </w:r>
          </w:p>
        </w:tc>
        <w:tc>
          <w:tcPr>
            <w:tcW w:w="937" w:type="dxa"/>
            <w:noWrap/>
            <w:vAlign w:val="center"/>
          </w:tcPr>
          <w:p>
            <w:pPr>
              <w:widowControl/>
              <w:spacing w:line="290" w:lineRule="exact"/>
              <w:jc w:val="center"/>
              <w:rPr>
                <w:color w:val="000000"/>
                <w:kern w:val="0"/>
                <w:szCs w:val="21"/>
              </w:rPr>
            </w:pPr>
            <w:r>
              <w:rPr>
                <w:rFonts w:hint="eastAsia"/>
                <w:color w:val="000000"/>
                <w:kern w:val="0"/>
                <w:szCs w:val="21"/>
              </w:rPr>
              <w:t>项目</w:t>
            </w:r>
          </w:p>
        </w:tc>
        <w:tc>
          <w:tcPr>
            <w:tcW w:w="856" w:type="dxa"/>
            <w:noWrap/>
            <w:vAlign w:val="center"/>
          </w:tcPr>
          <w:p>
            <w:pPr>
              <w:widowControl/>
              <w:spacing w:line="290" w:lineRule="exact"/>
              <w:jc w:val="center"/>
              <w:rPr>
                <w:color w:val="000000"/>
                <w:kern w:val="0"/>
                <w:szCs w:val="21"/>
              </w:rPr>
            </w:pPr>
            <w:r>
              <w:rPr>
                <w:rFonts w:hint="eastAsia"/>
                <w:color w:val="000000"/>
                <w:kern w:val="0"/>
                <w:szCs w:val="21"/>
              </w:rPr>
              <w:t>合计</w:t>
            </w:r>
          </w:p>
        </w:tc>
        <w:tc>
          <w:tcPr>
            <w:tcW w:w="950" w:type="dxa"/>
            <w:noWrap/>
            <w:vAlign w:val="center"/>
          </w:tcPr>
          <w:p>
            <w:pPr>
              <w:widowControl/>
              <w:spacing w:line="290" w:lineRule="exact"/>
              <w:jc w:val="center"/>
              <w:rPr>
                <w:color w:val="000000"/>
                <w:kern w:val="0"/>
                <w:szCs w:val="21"/>
              </w:rPr>
            </w:pPr>
            <w:r>
              <w:rPr>
                <w:rFonts w:hint="eastAsia"/>
                <w:color w:val="000000"/>
                <w:kern w:val="0"/>
                <w:szCs w:val="21"/>
              </w:rPr>
              <w:t>一般公共预算安排</w:t>
            </w:r>
          </w:p>
        </w:tc>
        <w:tc>
          <w:tcPr>
            <w:tcW w:w="1483" w:type="dxa"/>
            <w:noWrap/>
            <w:vAlign w:val="center"/>
          </w:tcPr>
          <w:p>
            <w:pPr>
              <w:widowControl/>
              <w:spacing w:line="290" w:lineRule="exact"/>
              <w:jc w:val="center"/>
              <w:rPr>
                <w:color w:val="000000"/>
                <w:kern w:val="0"/>
                <w:szCs w:val="21"/>
              </w:rPr>
            </w:pPr>
            <w:r>
              <w:rPr>
                <w:rFonts w:hint="eastAsia"/>
                <w:color w:val="000000"/>
                <w:kern w:val="0"/>
                <w:szCs w:val="21"/>
              </w:rPr>
              <w:t>政府性基金预算安排</w:t>
            </w:r>
          </w:p>
        </w:tc>
        <w:tc>
          <w:tcPr>
            <w:tcW w:w="1898" w:type="dxa"/>
            <w:noWrap/>
            <w:vAlign w:val="center"/>
          </w:tcPr>
          <w:p>
            <w:pPr>
              <w:widowControl/>
              <w:spacing w:line="290" w:lineRule="exact"/>
              <w:jc w:val="center"/>
              <w:rPr>
                <w:color w:val="000000"/>
                <w:kern w:val="0"/>
                <w:szCs w:val="21"/>
              </w:rPr>
            </w:pPr>
            <w:r>
              <w:rPr>
                <w:rFonts w:hint="eastAsia"/>
                <w:color w:val="000000"/>
                <w:kern w:val="0"/>
                <w:szCs w:val="21"/>
              </w:rPr>
              <w:t>国有资本经营预算安排</w:t>
            </w:r>
          </w:p>
        </w:tc>
        <w:tc>
          <w:tcPr>
            <w:tcW w:w="2592" w:type="dxa"/>
            <w:noWrap/>
            <w:vAlign w:val="center"/>
          </w:tcPr>
          <w:p>
            <w:pPr>
              <w:widowControl/>
              <w:spacing w:line="290" w:lineRule="exact"/>
              <w:jc w:val="center"/>
              <w:rPr>
                <w:color w:val="000000"/>
                <w:kern w:val="0"/>
                <w:szCs w:val="21"/>
              </w:rPr>
            </w:pPr>
            <w:r>
              <w:rPr>
                <w:rFonts w:hint="eastAsia"/>
                <w:color w:val="000000"/>
                <w:kern w:val="0"/>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900" w:type="dxa"/>
            <w:vMerge w:val="continue"/>
            <w:noWrap w:val="0"/>
            <w:vAlign w:val="center"/>
          </w:tcPr>
          <w:p>
            <w:pPr>
              <w:widowControl/>
              <w:spacing w:line="290" w:lineRule="exact"/>
              <w:jc w:val="left"/>
              <w:rPr>
                <w:color w:val="000000"/>
                <w:kern w:val="0"/>
                <w:szCs w:val="21"/>
              </w:rPr>
            </w:pPr>
          </w:p>
        </w:tc>
        <w:tc>
          <w:tcPr>
            <w:tcW w:w="937" w:type="dxa"/>
            <w:noWrap/>
            <w:vAlign w:val="center"/>
          </w:tcPr>
          <w:p>
            <w:pPr>
              <w:widowControl/>
              <w:spacing w:line="290" w:lineRule="exact"/>
              <w:jc w:val="center"/>
              <w:rPr>
                <w:color w:val="000000"/>
                <w:kern w:val="0"/>
                <w:szCs w:val="21"/>
              </w:rPr>
            </w:pPr>
            <w:r>
              <w:rPr>
                <w:rFonts w:hint="eastAsia"/>
                <w:color w:val="000000"/>
                <w:kern w:val="0"/>
                <w:szCs w:val="21"/>
              </w:rPr>
              <w:t>预算额</w:t>
            </w:r>
            <w:r>
              <w:rPr>
                <w:color w:val="000000"/>
                <w:kern w:val="0"/>
                <w:szCs w:val="21"/>
              </w:rPr>
              <w:t>(</w:t>
            </w:r>
            <w:r>
              <w:rPr>
                <w:rFonts w:hint="eastAsia"/>
                <w:color w:val="000000"/>
                <w:kern w:val="0"/>
                <w:szCs w:val="21"/>
              </w:rPr>
              <w:t>万元</w:t>
            </w:r>
            <w:r>
              <w:rPr>
                <w:color w:val="000000"/>
                <w:kern w:val="0"/>
                <w:szCs w:val="21"/>
              </w:rPr>
              <w:t>)</w:t>
            </w:r>
          </w:p>
        </w:tc>
        <w:tc>
          <w:tcPr>
            <w:tcW w:w="856" w:type="dxa"/>
            <w:noWrap/>
            <w:vAlign w:val="center"/>
          </w:tcPr>
          <w:p>
            <w:pPr>
              <w:widowControl/>
              <w:spacing w:line="290" w:lineRule="exact"/>
              <w:jc w:val="left"/>
              <w:rPr>
                <w:color w:val="000000"/>
                <w:kern w:val="0"/>
                <w:szCs w:val="21"/>
              </w:rPr>
            </w:pPr>
            <w:r>
              <w:rPr>
                <w:rFonts w:hint="eastAsia"/>
                <w:color w:val="000000"/>
                <w:kern w:val="0"/>
                <w:szCs w:val="21"/>
              </w:rPr>
              <w:t>　</w:t>
            </w:r>
            <w:r>
              <w:rPr>
                <w:rFonts w:hint="eastAsia"/>
                <w:color w:val="000000"/>
                <w:kern w:val="0"/>
                <w:szCs w:val="21"/>
                <w:lang w:val="en-US" w:eastAsia="zh-CN"/>
              </w:rPr>
              <w:t>6845.41</w:t>
            </w:r>
          </w:p>
        </w:tc>
        <w:tc>
          <w:tcPr>
            <w:tcW w:w="950" w:type="dxa"/>
            <w:noWrap/>
            <w:vAlign w:val="center"/>
          </w:tcPr>
          <w:p>
            <w:pPr>
              <w:widowControl/>
              <w:spacing w:line="290" w:lineRule="exact"/>
              <w:jc w:val="left"/>
              <w:rPr>
                <w:color w:val="000000"/>
                <w:kern w:val="0"/>
                <w:szCs w:val="21"/>
              </w:rPr>
            </w:pPr>
            <w:r>
              <w:rPr>
                <w:rFonts w:hint="eastAsia"/>
                <w:color w:val="000000"/>
                <w:kern w:val="0"/>
                <w:szCs w:val="21"/>
              </w:rPr>
              <w:t>　</w:t>
            </w:r>
            <w:r>
              <w:rPr>
                <w:rFonts w:hint="eastAsia"/>
                <w:color w:val="000000"/>
                <w:kern w:val="0"/>
                <w:szCs w:val="21"/>
                <w:lang w:val="en-US" w:eastAsia="zh-CN"/>
              </w:rPr>
              <w:t>6765.41</w:t>
            </w:r>
          </w:p>
        </w:tc>
        <w:tc>
          <w:tcPr>
            <w:tcW w:w="1483" w:type="dxa"/>
            <w:noWrap/>
            <w:vAlign w:val="center"/>
          </w:tcPr>
          <w:p>
            <w:pPr>
              <w:widowControl/>
              <w:spacing w:line="29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80</w:t>
            </w:r>
          </w:p>
        </w:tc>
        <w:tc>
          <w:tcPr>
            <w:tcW w:w="1898"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592"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900" w:type="dxa"/>
            <w:vMerge w:val="continue"/>
            <w:noWrap w:val="0"/>
            <w:vAlign w:val="center"/>
          </w:tcPr>
          <w:p>
            <w:pPr>
              <w:widowControl/>
              <w:spacing w:line="290" w:lineRule="exact"/>
              <w:jc w:val="left"/>
              <w:rPr>
                <w:color w:val="000000"/>
                <w:kern w:val="0"/>
                <w:szCs w:val="21"/>
              </w:rPr>
            </w:pPr>
          </w:p>
        </w:tc>
        <w:tc>
          <w:tcPr>
            <w:tcW w:w="937" w:type="dxa"/>
            <w:noWrap/>
            <w:vAlign w:val="center"/>
          </w:tcPr>
          <w:p>
            <w:pPr>
              <w:widowControl/>
              <w:spacing w:line="290" w:lineRule="exact"/>
              <w:jc w:val="center"/>
              <w:rPr>
                <w:color w:val="000000"/>
                <w:kern w:val="0"/>
                <w:szCs w:val="21"/>
              </w:rPr>
            </w:pPr>
            <w:r>
              <w:rPr>
                <w:rFonts w:hint="eastAsia"/>
                <w:color w:val="000000"/>
                <w:kern w:val="0"/>
                <w:szCs w:val="21"/>
              </w:rPr>
              <w:t>执行额</w:t>
            </w:r>
            <w:r>
              <w:rPr>
                <w:color w:val="000000"/>
                <w:kern w:val="0"/>
                <w:szCs w:val="21"/>
              </w:rPr>
              <w:t>(</w:t>
            </w:r>
            <w:r>
              <w:rPr>
                <w:rFonts w:hint="eastAsia"/>
                <w:color w:val="000000"/>
                <w:kern w:val="0"/>
                <w:szCs w:val="21"/>
              </w:rPr>
              <w:t>万元</w:t>
            </w:r>
            <w:r>
              <w:rPr>
                <w:color w:val="000000"/>
                <w:kern w:val="0"/>
                <w:szCs w:val="21"/>
              </w:rPr>
              <w:t>)</w:t>
            </w:r>
          </w:p>
        </w:tc>
        <w:tc>
          <w:tcPr>
            <w:tcW w:w="856" w:type="dxa"/>
            <w:noWrap/>
            <w:vAlign w:val="center"/>
          </w:tcPr>
          <w:p>
            <w:pPr>
              <w:widowControl/>
              <w:spacing w:line="290" w:lineRule="exact"/>
              <w:jc w:val="left"/>
              <w:rPr>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6845.41</w:t>
            </w:r>
          </w:p>
        </w:tc>
        <w:tc>
          <w:tcPr>
            <w:tcW w:w="950" w:type="dxa"/>
            <w:noWrap/>
            <w:vAlign w:val="center"/>
          </w:tcPr>
          <w:p>
            <w:pPr>
              <w:widowControl/>
              <w:spacing w:line="290" w:lineRule="exact"/>
              <w:jc w:val="left"/>
              <w:rPr>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6765.41</w:t>
            </w:r>
          </w:p>
        </w:tc>
        <w:tc>
          <w:tcPr>
            <w:tcW w:w="1483" w:type="dxa"/>
            <w:noWrap/>
            <w:vAlign w:val="center"/>
          </w:tcPr>
          <w:p>
            <w:pPr>
              <w:widowControl/>
              <w:spacing w:line="290" w:lineRule="exact"/>
              <w:jc w:val="left"/>
              <w:rPr>
                <w:rFonts w:hint="default" w:eastAsia="宋体"/>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80</w:t>
            </w:r>
          </w:p>
        </w:tc>
        <w:tc>
          <w:tcPr>
            <w:tcW w:w="1898"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592"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900" w:type="dxa"/>
            <w:vMerge w:val="continue"/>
            <w:noWrap w:val="0"/>
            <w:vAlign w:val="center"/>
          </w:tcPr>
          <w:p>
            <w:pPr>
              <w:widowControl/>
              <w:spacing w:line="290" w:lineRule="exact"/>
              <w:jc w:val="left"/>
              <w:rPr>
                <w:color w:val="000000"/>
                <w:kern w:val="0"/>
                <w:szCs w:val="21"/>
              </w:rPr>
            </w:pPr>
          </w:p>
        </w:tc>
        <w:tc>
          <w:tcPr>
            <w:tcW w:w="937" w:type="dxa"/>
            <w:noWrap/>
            <w:vAlign w:val="center"/>
          </w:tcPr>
          <w:p>
            <w:pPr>
              <w:widowControl/>
              <w:spacing w:line="290" w:lineRule="exact"/>
              <w:jc w:val="center"/>
              <w:rPr>
                <w:color w:val="000000"/>
                <w:spacing w:val="-20"/>
                <w:kern w:val="0"/>
                <w:szCs w:val="21"/>
              </w:rPr>
            </w:pPr>
            <w:r>
              <w:rPr>
                <w:rFonts w:hint="eastAsia"/>
                <w:color w:val="000000"/>
                <w:spacing w:val="-20"/>
                <w:kern w:val="0"/>
                <w:szCs w:val="21"/>
              </w:rPr>
              <w:t>当年结转结余额</w:t>
            </w:r>
            <w:r>
              <w:rPr>
                <w:color w:val="000000"/>
                <w:kern w:val="0"/>
                <w:szCs w:val="21"/>
              </w:rPr>
              <w:t>(</w:t>
            </w:r>
            <w:r>
              <w:rPr>
                <w:rFonts w:hint="eastAsia"/>
                <w:color w:val="000000"/>
                <w:kern w:val="0"/>
                <w:szCs w:val="21"/>
              </w:rPr>
              <w:t>万元</w:t>
            </w:r>
            <w:r>
              <w:rPr>
                <w:color w:val="000000"/>
                <w:kern w:val="0"/>
                <w:szCs w:val="21"/>
              </w:rPr>
              <w:t>)</w:t>
            </w:r>
          </w:p>
        </w:tc>
        <w:tc>
          <w:tcPr>
            <w:tcW w:w="856"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950"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483"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898"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592"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900" w:type="dxa"/>
            <w:vMerge w:val="continue"/>
            <w:noWrap w:val="0"/>
            <w:vAlign w:val="center"/>
          </w:tcPr>
          <w:p>
            <w:pPr>
              <w:widowControl/>
              <w:spacing w:line="290" w:lineRule="exact"/>
              <w:jc w:val="left"/>
              <w:rPr>
                <w:color w:val="000000"/>
                <w:kern w:val="0"/>
                <w:szCs w:val="21"/>
              </w:rPr>
            </w:pPr>
          </w:p>
        </w:tc>
        <w:tc>
          <w:tcPr>
            <w:tcW w:w="937" w:type="dxa"/>
            <w:noWrap/>
            <w:vAlign w:val="center"/>
          </w:tcPr>
          <w:p>
            <w:pPr>
              <w:widowControl/>
              <w:spacing w:line="290" w:lineRule="exact"/>
              <w:jc w:val="center"/>
              <w:rPr>
                <w:color w:val="000000"/>
                <w:kern w:val="0"/>
                <w:szCs w:val="21"/>
              </w:rPr>
            </w:pPr>
            <w:r>
              <w:rPr>
                <w:rFonts w:hint="eastAsia"/>
                <w:color w:val="000000"/>
                <w:kern w:val="0"/>
                <w:szCs w:val="21"/>
              </w:rPr>
              <w:t>结转结余率</w:t>
            </w:r>
            <w:r>
              <w:rPr>
                <w:color w:val="000000"/>
                <w:kern w:val="0"/>
                <w:szCs w:val="21"/>
              </w:rPr>
              <w:t>%</w:t>
            </w:r>
          </w:p>
        </w:tc>
        <w:tc>
          <w:tcPr>
            <w:tcW w:w="856"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950"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483"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898"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592"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900" w:type="dxa"/>
            <w:vMerge w:val="continue"/>
            <w:noWrap w:val="0"/>
            <w:vAlign w:val="center"/>
          </w:tcPr>
          <w:p>
            <w:pPr>
              <w:widowControl/>
              <w:spacing w:line="290" w:lineRule="exact"/>
              <w:jc w:val="left"/>
              <w:rPr>
                <w:color w:val="000000"/>
                <w:kern w:val="0"/>
                <w:szCs w:val="21"/>
              </w:rPr>
            </w:pPr>
          </w:p>
        </w:tc>
        <w:tc>
          <w:tcPr>
            <w:tcW w:w="937" w:type="dxa"/>
            <w:noWrap/>
            <w:vAlign w:val="center"/>
          </w:tcPr>
          <w:p>
            <w:pPr>
              <w:widowControl/>
              <w:spacing w:line="290" w:lineRule="exact"/>
              <w:jc w:val="center"/>
              <w:rPr>
                <w:color w:val="000000"/>
                <w:kern w:val="0"/>
                <w:szCs w:val="21"/>
              </w:rPr>
            </w:pPr>
            <w:r>
              <w:rPr>
                <w:rFonts w:hint="eastAsia"/>
                <w:color w:val="000000"/>
                <w:kern w:val="0"/>
                <w:szCs w:val="21"/>
              </w:rPr>
              <w:t>结转结余变动率</w:t>
            </w:r>
            <w:r>
              <w:rPr>
                <w:color w:val="000000"/>
                <w:kern w:val="0"/>
                <w:szCs w:val="21"/>
              </w:rPr>
              <w:t>%</w:t>
            </w:r>
          </w:p>
        </w:tc>
        <w:tc>
          <w:tcPr>
            <w:tcW w:w="856"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950"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483"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898"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592"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55" w:hRule="atLeast"/>
          <w:jc w:val="center"/>
        </w:trPr>
        <w:tc>
          <w:tcPr>
            <w:tcW w:w="900" w:type="dxa"/>
            <w:vMerge w:val="restart"/>
            <w:noWrap/>
            <w:vAlign w:val="center"/>
          </w:tcPr>
          <w:p>
            <w:pPr>
              <w:widowControl/>
              <w:spacing w:line="400" w:lineRule="exact"/>
              <w:jc w:val="center"/>
              <w:rPr>
                <w:color w:val="000000"/>
                <w:kern w:val="0"/>
                <w:szCs w:val="21"/>
              </w:rPr>
            </w:pPr>
            <w:r>
              <w:rPr>
                <w:rFonts w:hint="eastAsia"/>
                <w:color w:val="000000"/>
                <w:kern w:val="0"/>
                <w:szCs w:val="21"/>
              </w:rPr>
              <w:t>年度总体目标</w:t>
            </w:r>
          </w:p>
        </w:tc>
        <w:tc>
          <w:tcPr>
            <w:tcW w:w="1793" w:type="dxa"/>
            <w:gridSpan w:val="2"/>
            <w:noWrap/>
            <w:vAlign w:val="center"/>
          </w:tcPr>
          <w:p>
            <w:pPr>
              <w:widowControl/>
              <w:spacing w:line="400" w:lineRule="exact"/>
              <w:jc w:val="center"/>
              <w:rPr>
                <w:color w:val="000000"/>
                <w:kern w:val="0"/>
                <w:szCs w:val="21"/>
              </w:rPr>
            </w:pPr>
            <w:r>
              <w:rPr>
                <w:rFonts w:hint="eastAsia"/>
                <w:color w:val="000000"/>
                <w:kern w:val="0"/>
                <w:szCs w:val="21"/>
              </w:rPr>
              <w:t>预算总体目标</w:t>
            </w:r>
          </w:p>
        </w:tc>
        <w:tc>
          <w:tcPr>
            <w:tcW w:w="2433" w:type="dxa"/>
            <w:gridSpan w:val="2"/>
            <w:noWrap/>
            <w:vAlign w:val="center"/>
          </w:tcPr>
          <w:p>
            <w:pPr>
              <w:widowControl/>
              <w:spacing w:line="400" w:lineRule="exact"/>
              <w:jc w:val="center"/>
              <w:rPr>
                <w:color w:val="000000"/>
                <w:kern w:val="0"/>
                <w:szCs w:val="21"/>
              </w:rPr>
            </w:pPr>
            <w:r>
              <w:rPr>
                <w:rFonts w:hint="eastAsia"/>
                <w:color w:val="000000"/>
                <w:kern w:val="0"/>
                <w:szCs w:val="21"/>
              </w:rPr>
              <w:t>预算总体目标执行结果</w:t>
            </w:r>
          </w:p>
        </w:tc>
        <w:tc>
          <w:tcPr>
            <w:tcW w:w="4490" w:type="dxa"/>
            <w:gridSpan w:val="2"/>
            <w:noWrap/>
            <w:vAlign w:val="center"/>
          </w:tcPr>
          <w:p>
            <w:pPr>
              <w:widowControl/>
              <w:spacing w:line="400" w:lineRule="exact"/>
              <w:jc w:val="center"/>
              <w:rPr>
                <w:color w:val="000000"/>
                <w:kern w:val="0"/>
                <w:szCs w:val="21"/>
              </w:rPr>
            </w:pPr>
            <w:r>
              <w:rPr>
                <w:rFonts w:hint="eastAsia"/>
                <w:color w:val="000000"/>
                <w:kern w:val="0"/>
                <w:szCs w:val="21"/>
              </w:rPr>
              <w:t>预算总体目标与预算总体目标</w:t>
            </w:r>
          </w:p>
          <w:p>
            <w:pPr>
              <w:widowControl/>
              <w:spacing w:line="400" w:lineRule="exact"/>
              <w:jc w:val="center"/>
              <w:rPr>
                <w:color w:val="000000"/>
                <w:kern w:val="0"/>
                <w:szCs w:val="21"/>
              </w:rPr>
            </w:pPr>
            <w:r>
              <w:rPr>
                <w:rFonts w:hint="eastAsia"/>
                <w:color w:val="000000"/>
                <w:kern w:val="0"/>
                <w:szCs w:val="21"/>
              </w:rPr>
              <w:t>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400" w:lineRule="exact"/>
              <w:jc w:val="left"/>
              <w:rPr>
                <w:color w:val="000000"/>
                <w:kern w:val="0"/>
                <w:szCs w:val="21"/>
              </w:rPr>
            </w:pPr>
          </w:p>
        </w:tc>
        <w:tc>
          <w:tcPr>
            <w:tcW w:w="1793" w:type="dxa"/>
            <w:gridSpan w:val="2"/>
            <w:noWrap/>
            <w:vAlign w:val="center"/>
          </w:tcPr>
          <w:p>
            <w:pPr>
              <w:widowControl/>
              <w:spacing w:line="400" w:lineRule="exact"/>
              <w:jc w:val="left"/>
              <w:rPr>
                <w:color w:val="000000"/>
                <w:kern w:val="0"/>
                <w:sz w:val="21"/>
                <w:szCs w:val="21"/>
                <w:lang w:val="en-US" w:eastAsia="zh-CN" w:bidi="ar-SA"/>
              </w:rPr>
            </w:pPr>
            <w:r>
              <w:rPr>
                <w:rFonts w:hint="eastAsia"/>
                <w:color w:val="000000"/>
                <w:kern w:val="0"/>
                <w:szCs w:val="21"/>
              </w:rPr>
              <w:t>目标</w:t>
            </w:r>
            <w:r>
              <w:rPr>
                <w:color w:val="000000"/>
                <w:kern w:val="0"/>
                <w:szCs w:val="21"/>
              </w:rPr>
              <w:t>1:</w:t>
            </w:r>
            <w:r>
              <w:rPr>
                <w:rFonts w:hint="eastAsia" w:eastAsia="宋体"/>
                <w:color w:val="000000"/>
                <w:kern w:val="0"/>
                <w:sz w:val="22"/>
                <w:szCs w:val="22"/>
                <w:lang w:eastAsia="zh-CN"/>
              </w:rPr>
              <w:t>保</w:t>
            </w:r>
            <w:r>
              <w:rPr>
                <w:rFonts w:hint="eastAsia"/>
                <w:color w:val="000000"/>
                <w:kern w:val="0"/>
                <w:szCs w:val="21"/>
              </w:rPr>
              <w:t>障政府及下属事业单位、村、社区正常运行；</w:t>
            </w:r>
          </w:p>
        </w:tc>
        <w:tc>
          <w:tcPr>
            <w:tcW w:w="2433" w:type="dxa"/>
            <w:gridSpan w:val="2"/>
            <w:noWrap/>
            <w:vAlign w:val="center"/>
          </w:tcPr>
          <w:p>
            <w:pPr>
              <w:widowControl/>
              <w:spacing w:line="400" w:lineRule="exact"/>
              <w:jc w:val="center"/>
              <w:rPr>
                <w:color w:val="000000"/>
                <w:kern w:val="0"/>
                <w:sz w:val="21"/>
                <w:szCs w:val="21"/>
                <w:lang w:val="en-US" w:eastAsia="zh-CN" w:bidi="ar-SA"/>
              </w:rPr>
            </w:pPr>
            <w:r>
              <w:rPr>
                <w:rFonts w:hint="eastAsia"/>
                <w:color w:val="000000"/>
                <w:kern w:val="0"/>
                <w:szCs w:val="21"/>
              </w:rPr>
              <w:t>基本完成了预期绩效目标</w:t>
            </w:r>
          </w:p>
        </w:tc>
        <w:tc>
          <w:tcPr>
            <w:tcW w:w="4490" w:type="dxa"/>
            <w:gridSpan w:val="2"/>
            <w:noWrap/>
            <w:vAlign w:val="center"/>
          </w:tcPr>
          <w:p>
            <w:pPr>
              <w:widowControl/>
              <w:spacing w:line="400" w:lineRule="exact"/>
              <w:jc w:val="center"/>
              <w:rPr>
                <w:color w:val="000000"/>
                <w:kern w:val="0"/>
                <w:sz w:val="21"/>
                <w:szCs w:val="21"/>
                <w:lang w:val="en-US" w:eastAsia="zh-CN" w:bidi="ar-SA"/>
              </w:rPr>
            </w:pPr>
            <w:r>
              <w:rPr>
                <w:rFonts w:hint="eastAsia"/>
                <w:color w:val="000000"/>
                <w:kern w:val="0"/>
                <w:szCs w:val="21"/>
                <w:lang w:val="en-US" w:eastAsia="zh-CN"/>
              </w:rPr>
              <w:t>无</w:t>
            </w: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400" w:lineRule="exact"/>
              <w:jc w:val="left"/>
              <w:rPr>
                <w:color w:val="000000"/>
                <w:kern w:val="0"/>
                <w:szCs w:val="21"/>
              </w:rPr>
            </w:pPr>
          </w:p>
        </w:tc>
        <w:tc>
          <w:tcPr>
            <w:tcW w:w="1793" w:type="dxa"/>
            <w:gridSpan w:val="2"/>
            <w:noWrap/>
            <w:vAlign w:val="center"/>
          </w:tcPr>
          <w:p>
            <w:pPr>
              <w:widowControl/>
              <w:spacing w:line="400" w:lineRule="exact"/>
              <w:jc w:val="left"/>
              <w:rPr>
                <w:color w:val="000000"/>
                <w:kern w:val="0"/>
                <w:sz w:val="21"/>
                <w:szCs w:val="21"/>
                <w:lang w:val="en-US" w:eastAsia="zh-CN" w:bidi="ar-SA"/>
              </w:rPr>
            </w:pPr>
            <w:r>
              <w:rPr>
                <w:rFonts w:hint="eastAsia"/>
                <w:color w:val="000000"/>
                <w:kern w:val="0"/>
                <w:szCs w:val="21"/>
              </w:rPr>
              <w:t>目标</w:t>
            </w:r>
            <w:r>
              <w:rPr>
                <w:color w:val="000000"/>
                <w:kern w:val="0"/>
                <w:szCs w:val="21"/>
              </w:rPr>
              <w:t>2:</w:t>
            </w:r>
            <w:r>
              <w:rPr>
                <w:rFonts w:hint="eastAsia"/>
                <w:color w:val="000000"/>
                <w:kern w:val="0"/>
                <w:szCs w:val="21"/>
              </w:rPr>
              <w:t>保障人员工资福利正常发放；</w:t>
            </w:r>
          </w:p>
        </w:tc>
        <w:tc>
          <w:tcPr>
            <w:tcW w:w="2433" w:type="dxa"/>
            <w:gridSpan w:val="2"/>
            <w:noWrap/>
            <w:vAlign w:val="center"/>
          </w:tcPr>
          <w:p>
            <w:pPr>
              <w:widowControl/>
              <w:spacing w:line="400" w:lineRule="exact"/>
              <w:jc w:val="center"/>
              <w:rPr>
                <w:color w:val="000000"/>
                <w:kern w:val="0"/>
                <w:sz w:val="21"/>
                <w:szCs w:val="21"/>
                <w:lang w:val="en-US" w:eastAsia="zh-CN" w:bidi="ar-SA"/>
              </w:rPr>
            </w:pPr>
            <w:r>
              <w:rPr>
                <w:rFonts w:hint="eastAsia"/>
                <w:color w:val="000000"/>
                <w:kern w:val="0"/>
                <w:szCs w:val="21"/>
              </w:rPr>
              <w:t>基本完成了预期绩效目标　</w:t>
            </w:r>
          </w:p>
        </w:tc>
        <w:tc>
          <w:tcPr>
            <w:tcW w:w="4490" w:type="dxa"/>
            <w:gridSpan w:val="2"/>
            <w:noWrap/>
            <w:vAlign w:val="center"/>
          </w:tcPr>
          <w:p>
            <w:pPr>
              <w:widowControl/>
              <w:spacing w:line="400" w:lineRule="exact"/>
              <w:jc w:val="center"/>
              <w:rPr>
                <w:color w:val="000000"/>
                <w:kern w:val="0"/>
                <w:sz w:val="21"/>
                <w:szCs w:val="21"/>
                <w:lang w:val="en-US" w:eastAsia="zh-CN" w:bidi="ar-SA"/>
              </w:rPr>
            </w:pPr>
            <w:r>
              <w:rPr>
                <w:rFonts w:hint="eastAsia"/>
                <w:color w:val="000000"/>
                <w:kern w:val="0"/>
                <w:szCs w:val="21"/>
                <w:lang w:val="en-US" w:eastAsia="zh-CN"/>
              </w:rPr>
              <w:t>无</w:t>
            </w: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 w:hRule="atLeast"/>
          <w:jc w:val="center"/>
        </w:trPr>
        <w:tc>
          <w:tcPr>
            <w:tcW w:w="900" w:type="dxa"/>
            <w:vMerge w:val="continue"/>
            <w:noWrap w:val="0"/>
            <w:vAlign w:val="center"/>
          </w:tcPr>
          <w:p>
            <w:pPr>
              <w:widowControl/>
              <w:spacing w:line="400" w:lineRule="exact"/>
              <w:jc w:val="left"/>
              <w:rPr>
                <w:color w:val="000000"/>
                <w:kern w:val="0"/>
                <w:szCs w:val="21"/>
              </w:rPr>
            </w:pPr>
          </w:p>
        </w:tc>
        <w:tc>
          <w:tcPr>
            <w:tcW w:w="1793" w:type="dxa"/>
            <w:gridSpan w:val="2"/>
            <w:noWrap/>
            <w:vAlign w:val="center"/>
          </w:tcPr>
          <w:p>
            <w:pPr>
              <w:widowControl/>
              <w:spacing w:line="400" w:lineRule="exact"/>
              <w:jc w:val="left"/>
              <w:rPr>
                <w:color w:val="000000"/>
                <w:kern w:val="0"/>
                <w:sz w:val="21"/>
                <w:szCs w:val="21"/>
                <w:lang w:val="en-US" w:eastAsia="zh-CN" w:bidi="ar-SA"/>
              </w:rPr>
            </w:pPr>
            <w:r>
              <w:rPr>
                <w:rFonts w:hint="eastAsia"/>
                <w:color w:val="000000"/>
                <w:kern w:val="0"/>
                <w:szCs w:val="21"/>
              </w:rPr>
              <w:t>目标</w:t>
            </w:r>
            <w:r>
              <w:rPr>
                <w:color w:val="000000"/>
                <w:kern w:val="0"/>
                <w:szCs w:val="21"/>
              </w:rPr>
              <w:t>3:</w:t>
            </w:r>
            <w:r>
              <w:rPr>
                <w:rFonts w:hint="eastAsia"/>
                <w:color w:val="000000"/>
                <w:kern w:val="0"/>
                <w:szCs w:val="21"/>
              </w:rPr>
              <w:t>完善基础设施与惠民项目资金管理</w:t>
            </w:r>
          </w:p>
        </w:tc>
        <w:tc>
          <w:tcPr>
            <w:tcW w:w="2433" w:type="dxa"/>
            <w:gridSpan w:val="2"/>
            <w:noWrap/>
            <w:vAlign w:val="center"/>
          </w:tcPr>
          <w:p>
            <w:pPr>
              <w:widowControl/>
              <w:spacing w:line="400" w:lineRule="exact"/>
              <w:jc w:val="center"/>
              <w:rPr>
                <w:color w:val="000000"/>
                <w:kern w:val="0"/>
                <w:sz w:val="21"/>
                <w:szCs w:val="21"/>
                <w:lang w:val="en-US" w:eastAsia="zh-CN" w:bidi="ar-SA"/>
              </w:rPr>
            </w:pPr>
            <w:r>
              <w:rPr>
                <w:rFonts w:hint="eastAsia"/>
                <w:color w:val="000000"/>
                <w:kern w:val="0"/>
                <w:szCs w:val="21"/>
              </w:rPr>
              <w:t>基本完成了预期绩效目标　　</w:t>
            </w:r>
          </w:p>
        </w:tc>
        <w:tc>
          <w:tcPr>
            <w:tcW w:w="4490" w:type="dxa"/>
            <w:gridSpan w:val="2"/>
            <w:noWrap/>
            <w:vAlign w:val="center"/>
          </w:tcPr>
          <w:p>
            <w:pPr>
              <w:widowControl/>
              <w:spacing w:line="400" w:lineRule="exact"/>
              <w:jc w:val="center"/>
              <w:rPr>
                <w:color w:val="000000"/>
                <w:kern w:val="0"/>
                <w:sz w:val="21"/>
                <w:szCs w:val="21"/>
                <w:lang w:val="en-US" w:eastAsia="zh-CN" w:bidi="ar-SA"/>
              </w:rPr>
            </w:pPr>
            <w:r>
              <w:rPr>
                <w:rFonts w:hint="eastAsia"/>
                <w:color w:val="000000"/>
                <w:kern w:val="0"/>
                <w:szCs w:val="21"/>
                <w:lang w:val="en-US" w:eastAsia="zh-CN"/>
              </w:rPr>
              <w:t>无</w:t>
            </w: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 w:hRule="atLeast"/>
          <w:jc w:val="center"/>
        </w:trPr>
        <w:tc>
          <w:tcPr>
            <w:tcW w:w="900" w:type="dxa"/>
            <w:vMerge w:val="continue"/>
            <w:noWrap w:val="0"/>
            <w:vAlign w:val="center"/>
          </w:tcPr>
          <w:p>
            <w:pPr>
              <w:widowControl/>
              <w:spacing w:line="400" w:lineRule="exact"/>
              <w:jc w:val="left"/>
              <w:rPr>
                <w:color w:val="000000"/>
                <w:kern w:val="0"/>
                <w:szCs w:val="21"/>
              </w:rPr>
            </w:pPr>
          </w:p>
        </w:tc>
        <w:tc>
          <w:tcPr>
            <w:tcW w:w="1793" w:type="dxa"/>
            <w:gridSpan w:val="2"/>
            <w:noWrap/>
            <w:vAlign w:val="center"/>
          </w:tcPr>
          <w:p>
            <w:pPr>
              <w:widowControl/>
              <w:spacing w:line="400" w:lineRule="exact"/>
              <w:jc w:val="left"/>
              <w:rPr>
                <w:color w:val="000000"/>
                <w:kern w:val="0"/>
                <w:sz w:val="21"/>
                <w:szCs w:val="21"/>
                <w:lang w:val="en-US" w:eastAsia="zh-CN" w:bidi="ar-SA"/>
              </w:rPr>
            </w:pPr>
            <w:r>
              <w:rPr>
                <w:rFonts w:hint="eastAsia"/>
                <w:color w:val="000000"/>
                <w:kern w:val="0"/>
                <w:szCs w:val="21"/>
              </w:rPr>
              <w:t>目标</w:t>
            </w:r>
            <w:r>
              <w:rPr>
                <w:rFonts w:hint="eastAsia"/>
                <w:color w:val="000000"/>
                <w:kern w:val="0"/>
                <w:szCs w:val="21"/>
                <w:lang w:val="en-US" w:eastAsia="zh-CN"/>
              </w:rPr>
              <w:t>4</w:t>
            </w:r>
            <w:r>
              <w:rPr>
                <w:color w:val="000000"/>
                <w:kern w:val="0"/>
                <w:szCs w:val="21"/>
              </w:rPr>
              <w:t>:</w:t>
            </w:r>
            <w:r>
              <w:rPr>
                <w:rFonts w:hint="eastAsia"/>
                <w:color w:val="000000"/>
                <w:kern w:val="0"/>
                <w:szCs w:val="21"/>
              </w:rPr>
              <w:t>保证场镇管理维护、乡村振兴、环境、安全、交通等工作顺利开展</w:t>
            </w:r>
          </w:p>
        </w:tc>
        <w:tc>
          <w:tcPr>
            <w:tcW w:w="2433" w:type="dxa"/>
            <w:gridSpan w:val="2"/>
            <w:noWrap/>
            <w:vAlign w:val="center"/>
          </w:tcPr>
          <w:p>
            <w:pPr>
              <w:widowControl/>
              <w:spacing w:line="400" w:lineRule="exact"/>
              <w:jc w:val="center"/>
              <w:rPr>
                <w:color w:val="000000"/>
                <w:kern w:val="0"/>
                <w:sz w:val="21"/>
                <w:szCs w:val="21"/>
                <w:lang w:val="en-US" w:eastAsia="zh-CN" w:bidi="ar-SA"/>
              </w:rPr>
            </w:pPr>
            <w:r>
              <w:rPr>
                <w:rFonts w:hint="eastAsia"/>
                <w:color w:val="000000"/>
                <w:kern w:val="0"/>
                <w:szCs w:val="21"/>
              </w:rPr>
              <w:t>基本完成了预期绩效目标</w:t>
            </w:r>
          </w:p>
        </w:tc>
        <w:tc>
          <w:tcPr>
            <w:tcW w:w="4490" w:type="dxa"/>
            <w:gridSpan w:val="2"/>
            <w:noWrap/>
            <w:vAlign w:val="center"/>
          </w:tcPr>
          <w:p>
            <w:pPr>
              <w:widowControl/>
              <w:spacing w:line="400" w:lineRule="exact"/>
              <w:jc w:val="center"/>
              <w:rPr>
                <w:color w:val="000000"/>
                <w:kern w:val="0"/>
                <w:sz w:val="21"/>
                <w:szCs w:val="21"/>
                <w:lang w:val="en-US" w:eastAsia="zh-CN" w:bidi="ar-SA"/>
              </w:rPr>
            </w:pPr>
            <w:r>
              <w:rPr>
                <w:rFonts w:hint="eastAsia"/>
                <w:color w:val="000000"/>
                <w:kern w:val="0"/>
                <w:szCs w:val="21"/>
                <w:lang w:val="en-US" w:eastAsia="zh-CN"/>
              </w:rPr>
              <w:t>无</w:t>
            </w: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400" w:lineRule="exact"/>
              <w:jc w:val="left"/>
              <w:rPr>
                <w:color w:val="000000"/>
                <w:kern w:val="0"/>
                <w:szCs w:val="21"/>
              </w:rPr>
            </w:pPr>
          </w:p>
        </w:tc>
        <w:tc>
          <w:tcPr>
            <w:tcW w:w="1793" w:type="dxa"/>
            <w:gridSpan w:val="2"/>
            <w:noWrap/>
            <w:vAlign w:val="center"/>
          </w:tcPr>
          <w:p>
            <w:pPr>
              <w:widowControl/>
              <w:spacing w:line="400" w:lineRule="exact"/>
              <w:jc w:val="left"/>
              <w:rPr>
                <w:color w:val="000000"/>
                <w:kern w:val="0"/>
                <w:sz w:val="21"/>
                <w:szCs w:val="21"/>
                <w:lang w:val="en-US" w:eastAsia="zh-CN" w:bidi="ar-SA"/>
              </w:rPr>
            </w:pPr>
            <w:r>
              <w:rPr>
                <w:rFonts w:hint="eastAsia"/>
                <w:color w:val="000000"/>
                <w:kern w:val="0"/>
                <w:szCs w:val="21"/>
              </w:rPr>
              <w:t>目标</w:t>
            </w:r>
            <w:r>
              <w:rPr>
                <w:rFonts w:hint="eastAsia"/>
                <w:color w:val="000000"/>
                <w:kern w:val="0"/>
                <w:szCs w:val="21"/>
                <w:lang w:val="en-US" w:eastAsia="zh-CN"/>
              </w:rPr>
              <w:t>5</w:t>
            </w:r>
            <w:r>
              <w:rPr>
                <w:color w:val="000000"/>
                <w:kern w:val="0"/>
                <w:szCs w:val="21"/>
              </w:rPr>
              <w:t>:</w:t>
            </w:r>
            <w:r>
              <w:rPr>
                <w:rFonts w:hint="eastAsia"/>
                <w:color w:val="000000"/>
                <w:kern w:val="0"/>
                <w:szCs w:val="21"/>
              </w:rPr>
              <w:t>加强社会管理，深入为民服务</w:t>
            </w:r>
          </w:p>
        </w:tc>
        <w:tc>
          <w:tcPr>
            <w:tcW w:w="2433" w:type="dxa"/>
            <w:gridSpan w:val="2"/>
            <w:noWrap/>
            <w:vAlign w:val="center"/>
          </w:tcPr>
          <w:p>
            <w:pPr>
              <w:widowControl/>
              <w:spacing w:line="400" w:lineRule="exact"/>
              <w:jc w:val="center"/>
              <w:rPr>
                <w:color w:val="000000"/>
                <w:kern w:val="0"/>
                <w:sz w:val="21"/>
                <w:szCs w:val="21"/>
                <w:lang w:val="en-US" w:eastAsia="zh-CN" w:bidi="ar-SA"/>
              </w:rPr>
            </w:pPr>
            <w:r>
              <w:rPr>
                <w:rFonts w:hint="eastAsia"/>
                <w:color w:val="000000"/>
                <w:kern w:val="0"/>
                <w:szCs w:val="21"/>
              </w:rPr>
              <w:t>基本完成了预期绩效目标　</w:t>
            </w:r>
          </w:p>
        </w:tc>
        <w:tc>
          <w:tcPr>
            <w:tcW w:w="4490" w:type="dxa"/>
            <w:gridSpan w:val="2"/>
            <w:noWrap/>
            <w:vAlign w:val="center"/>
          </w:tcPr>
          <w:p>
            <w:pPr>
              <w:widowControl/>
              <w:spacing w:line="400" w:lineRule="exact"/>
              <w:jc w:val="center"/>
              <w:rPr>
                <w:color w:val="000000"/>
                <w:kern w:val="0"/>
                <w:sz w:val="21"/>
                <w:szCs w:val="21"/>
                <w:lang w:val="en-US" w:eastAsia="zh-CN" w:bidi="ar-SA"/>
              </w:rPr>
            </w:pPr>
            <w:r>
              <w:rPr>
                <w:rFonts w:hint="eastAsia"/>
                <w:color w:val="000000"/>
                <w:kern w:val="0"/>
                <w:szCs w:val="21"/>
                <w:lang w:val="en-US" w:eastAsia="zh-CN"/>
              </w:rPr>
              <w:t>无</w:t>
            </w: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900" w:type="dxa"/>
            <w:vMerge w:val="restart"/>
            <w:noWrap/>
            <w:vAlign w:val="center"/>
          </w:tcPr>
          <w:p>
            <w:pPr>
              <w:widowControl/>
              <w:spacing w:line="230" w:lineRule="exact"/>
              <w:jc w:val="center"/>
              <w:rPr>
                <w:color w:val="000000"/>
                <w:kern w:val="0"/>
                <w:szCs w:val="21"/>
              </w:rPr>
            </w:pPr>
            <w:r>
              <w:rPr>
                <w:rFonts w:hint="eastAsia"/>
                <w:color w:val="000000"/>
                <w:kern w:val="0"/>
                <w:szCs w:val="21"/>
              </w:rPr>
              <w:t>年度绩效指标</w:t>
            </w:r>
          </w:p>
        </w:tc>
        <w:tc>
          <w:tcPr>
            <w:tcW w:w="937" w:type="dxa"/>
            <w:noWrap/>
            <w:vAlign w:val="center"/>
          </w:tcPr>
          <w:p>
            <w:pPr>
              <w:widowControl/>
              <w:spacing w:line="230" w:lineRule="exact"/>
              <w:jc w:val="center"/>
              <w:rPr>
                <w:color w:val="000000"/>
                <w:kern w:val="0"/>
                <w:szCs w:val="21"/>
              </w:rPr>
            </w:pPr>
            <w:r>
              <w:rPr>
                <w:rFonts w:hint="eastAsia"/>
                <w:color w:val="000000"/>
                <w:kern w:val="0"/>
                <w:szCs w:val="21"/>
              </w:rPr>
              <w:t>一级指标</w:t>
            </w:r>
          </w:p>
        </w:tc>
        <w:tc>
          <w:tcPr>
            <w:tcW w:w="856" w:type="dxa"/>
            <w:noWrap/>
            <w:vAlign w:val="center"/>
          </w:tcPr>
          <w:p>
            <w:pPr>
              <w:widowControl/>
              <w:spacing w:line="230" w:lineRule="exact"/>
              <w:jc w:val="center"/>
              <w:rPr>
                <w:color w:val="000000"/>
                <w:kern w:val="0"/>
                <w:szCs w:val="21"/>
              </w:rPr>
            </w:pPr>
            <w:r>
              <w:rPr>
                <w:rFonts w:hint="eastAsia"/>
                <w:color w:val="000000"/>
                <w:kern w:val="0"/>
                <w:szCs w:val="21"/>
              </w:rPr>
              <w:t>二级指标</w:t>
            </w:r>
          </w:p>
        </w:tc>
        <w:tc>
          <w:tcPr>
            <w:tcW w:w="950" w:type="dxa"/>
            <w:noWrap/>
            <w:vAlign w:val="center"/>
          </w:tcPr>
          <w:p>
            <w:pPr>
              <w:widowControl/>
              <w:spacing w:line="230" w:lineRule="exact"/>
              <w:jc w:val="center"/>
              <w:rPr>
                <w:color w:val="000000"/>
                <w:kern w:val="0"/>
                <w:szCs w:val="21"/>
              </w:rPr>
            </w:pPr>
            <w:r>
              <w:rPr>
                <w:rFonts w:hint="eastAsia"/>
                <w:color w:val="000000"/>
                <w:kern w:val="0"/>
                <w:szCs w:val="21"/>
              </w:rPr>
              <w:t>三级指标</w:t>
            </w:r>
          </w:p>
        </w:tc>
        <w:tc>
          <w:tcPr>
            <w:tcW w:w="1483" w:type="dxa"/>
            <w:noWrap/>
            <w:vAlign w:val="center"/>
          </w:tcPr>
          <w:p>
            <w:pPr>
              <w:widowControl/>
              <w:spacing w:line="230" w:lineRule="exact"/>
              <w:jc w:val="center"/>
              <w:rPr>
                <w:color w:val="000000"/>
                <w:kern w:val="0"/>
                <w:szCs w:val="21"/>
              </w:rPr>
            </w:pPr>
            <w:r>
              <w:rPr>
                <w:rFonts w:hint="eastAsia"/>
                <w:color w:val="000000"/>
                <w:kern w:val="0"/>
                <w:szCs w:val="21"/>
              </w:rPr>
              <w:t>预算指标值</w:t>
            </w:r>
            <w:r>
              <w:rPr>
                <w:color w:val="000000"/>
                <w:kern w:val="0"/>
                <w:szCs w:val="21"/>
              </w:rPr>
              <w:t>(</w:t>
            </w:r>
            <w:r>
              <w:rPr>
                <w:rFonts w:hint="eastAsia"/>
                <w:color w:val="000000"/>
                <w:kern w:val="0"/>
                <w:szCs w:val="21"/>
              </w:rPr>
              <w:t>包含数字及文字描述</w:t>
            </w:r>
            <w:r>
              <w:rPr>
                <w:color w:val="000000"/>
                <w:kern w:val="0"/>
                <w:szCs w:val="21"/>
              </w:rPr>
              <w:t>)</w:t>
            </w:r>
          </w:p>
        </w:tc>
        <w:tc>
          <w:tcPr>
            <w:tcW w:w="1898" w:type="dxa"/>
            <w:noWrap/>
            <w:vAlign w:val="center"/>
          </w:tcPr>
          <w:p>
            <w:pPr>
              <w:widowControl/>
              <w:spacing w:line="230" w:lineRule="exact"/>
              <w:jc w:val="center"/>
              <w:rPr>
                <w:color w:val="000000"/>
                <w:kern w:val="0"/>
                <w:szCs w:val="21"/>
              </w:rPr>
            </w:pPr>
            <w:r>
              <w:rPr>
                <w:rFonts w:hint="eastAsia"/>
                <w:color w:val="000000"/>
                <w:kern w:val="0"/>
                <w:szCs w:val="21"/>
              </w:rPr>
              <w:t>预算指标值执行结果</w:t>
            </w:r>
            <w:r>
              <w:rPr>
                <w:color w:val="000000"/>
                <w:kern w:val="0"/>
                <w:szCs w:val="21"/>
              </w:rPr>
              <w:t>(</w:t>
            </w:r>
            <w:r>
              <w:rPr>
                <w:rFonts w:hint="eastAsia"/>
                <w:color w:val="000000"/>
                <w:kern w:val="0"/>
                <w:szCs w:val="21"/>
              </w:rPr>
              <w:t>包含数字及文字描述</w:t>
            </w:r>
            <w:r>
              <w:rPr>
                <w:color w:val="000000"/>
                <w:kern w:val="0"/>
                <w:szCs w:val="21"/>
              </w:rPr>
              <w:t>)</w:t>
            </w:r>
          </w:p>
        </w:tc>
        <w:tc>
          <w:tcPr>
            <w:tcW w:w="2592" w:type="dxa"/>
            <w:noWrap/>
            <w:vAlign w:val="center"/>
          </w:tcPr>
          <w:p>
            <w:pPr>
              <w:widowControl/>
              <w:spacing w:line="230" w:lineRule="exact"/>
              <w:jc w:val="center"/>
              <w:rPr>
                <w:color w:val="000000"/>
                <w:kern w:val="0"/>
                <w:szCs w:val="21"/>
              </w:rPr>
            </w:pPr>
            <w:r>
              <w:rPr>
                <w:rFonts w:hint="eastAsia"/>
                <w:color w:val="000000"/>
                <w:kern w:val="0"/>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230" w:lineRule="exact"/>
              <w:jc w:val="left"/>
              <w:rPr>
                <w:color w:val="000000"/>
                <w:kern w:val="0"/>
                <w:szCs w:val="21"/>
              </w:rPr>
            </w:pPr>
          </w:p>
        </w:tc>
        <w:tc>
          <w:tcPr>
            <w:tcW w:w="937" w:type="dxa"/>
            <w:vMerge w:val="restart"/>
            <w:noWrap/>
            <w:vAlign w:val="center"/>
          </w:tcPr>
          <w:p>
            <w:pPr>
              <w:widowControl/>
              <w:spacing w:line="230" w:lineRule="exact"/>
              <w:jc w:val="center"/>
              <w:rPr>
                <w:color w:val="000000"/>
                <w:kern w:val="0"/>
                <w:szCs w:val="21"/>
              </w:rPr>
            </w:pPr>
            <w:r>
              <w:rPr>
                <w:rFonts w:hint="eastAsia"/>
                <w:color w:val="000000"/>
                <w:kern w:val="0"/>
                <w:szCs w:val="21"/>
              </w:rPr>
              <w:t>完成</w:t>
            </w:r>
          </w:p>
          <w:p>
            <w:pPr>
              <w:widowControl/>
              <w:spacing w:line="230" w:lineRule="exact"/>
              <w:jc w:val="center"/>
              <w:rPr>
                <w:color w:val="000000"/>
                <w:kern w:val="0"/>
                <w:szCs w:val="21"/>
              </w:rPr>
            </w:pPr>
            <w:r>
              <w:rPr>
                <w:rFonts w:hint="eastAsia"/>
                <w:color w:val="000000"/>
                <w:kern w:val="0"/>
                <w:szCs w:val="21"/>
              </w:rPr>
              <w:t>指标</w:t>
            </w:r>
          </w:p>
        </w:tc>
        <w:tc>
          <w:tcPr>
            <w:tcW w:w="856" w:type="dxa"/>
            <w:vMerge w:val="restart"/>
            <w:noWrap/>
            <w:vAlign w:val="center"/>
          </w:tcPr>
          <w:p>
            <w:pPr>
              <w:widowControl/>
              <w:spacing w:line="230" w:lineRule="exact"/>
              <w:jc w:val="center"/>
              <w:rPr>
                <w:color w:val="000000"/>
                <w:kern w:val="0"/>
                <w:szCs w:val="21"/>
              </w:rPr>
            </w:pPr>
            <w:r>
              <w:rPr>
                <w:rFonts w:hint="eastAsia"/>
                <w:color w:val="000000"/>
                <w:kern w:val="0"/>
                <w:szCs w:val="21"/>
              </w:rPr>
              <w:t>数量</w:t>
            </w:r>
          </w:p>
          <w:p>
            <w:pPr>
              <w:widowControl/>
              <w:spacing w:line="230" w:lineRule="exact"/>
              <w:jc w:val="center"/>
              <w:rPr>
                <w:color w:val="000000"/>
                <w:kern w:val="0"/>
                <w:szCs w:val="21"/>
              </w:rPr>
            </w:pPr>
            <w:r>
              <w:rPr>
                <w:rFonts w:hint="eastAsia"/>
                <w:color w:val="000000"/>
                <w:kern w:val="0"/>
                <w:szCs w:val="21"/>
              </w:rPr>
              <w:t>指标</w:t>
            </w:r>
          </w:p>
        </w:tc>
        <w:tc>
          <w:tcPr>
            <w:tcW w:w="950" w:type="dxa"/>
            <w:noWrap/>
            <w:vAlign w:val="center"/>
          </w:tcPr>
          <w:p>
            <w:pPr>
              <w:widowControl/>
              <w:spacing w:line="230" w:lineRule="exact"/>
              <w:jc w:val="left"/>
              <w:rPr>
                <w:color w:val="000000"/>
                <w:kern w:val="0"/>
                <w:sz w:val="21"/>
                <w:szCs w:val="21"/>
                <w:lang w:val="en-US" w:eastAsia="zh-CN" w:bidi="ar-SA"/>
              </w:rPr>
            </w:pPr>
            <w:r>
              <w:rPr>
                <w:rFonts w:hint="eastAsia"/>
                <w:color w:val="000000"/>
                <w:kern w:val="0"/>
                <w:szCs w:val="21"/>
              </w:rPr>
              <w:t>指标</w:t>
            </w:r>
            <w:r>
              <w:rPr>
                <w:color w:val="000000"/>
                <w:kern w:val="0"/>
                <w:szCs w:val="21"/>
              </w:rPr>
              <w:t>1:</w:t>
            </w:r>
            <w:r>
              <w:rPr>
                <w:rFonts w:hint="eastAsia"/>
                <w:color w:val="000000"/>
                <w:kern w:val="0"/>
                <w:szCs w:val="21"/>
              </w:rPr>
              <w:t>基本支出</w:t>
            </w:r>
          </w:p>
        </w:tc>
        <w:tc>
          <w:tcPr>
            <w:tcW w:w="1483" w:type="dxa"/>
            <w:noWrap/>
            <w:vAlign w:val="center"/>
          </w:tcPr>
          <w:p>
            <w:pPr>
              <w:widowControl/>
              <w:spacing w:line="230" w:lineRule="exact"/>
              <w:jc w:val="left"/>
              <w:rPr>
                <w:rFonts w:hint="eastAsia" w:eastAsia="宋体"/>
                <w:color w:val="000000"/>
                <w:kern w:val="0"/>
                <w:sz w:val="21"/>
                <w:szCs w:val="21"/>
                <w:highlight w:val="none"/>
                <w:lang w:val="en-US" w:eastAsia="zh-CN" w:bidi="ar-SA"/>
              </w:rPr>
            </w:pPr>
            <w:r>
              <w:rPr>
                <w:rFonts w:hint="eastAsia"/>
                <w:color w:val="000000"/>
                <w:kern w:val="0"/>
                <w:szCs w:val="21"/>
                <w:highlight w:val="none"/>
              </w:rPr>
              <w:t>　＝</w:t>
            </w:r>
            <w:r>
              <w:rPr>
                <w:rFonts w:hint="eastAsia"/>
                <w:color w:val="000000"/>
                <w:kern w:val="0"/>
                <w:szCs w:val="21"/>
                <w:lang w:val="en-US" w:eastAsia="zh-CN"/>
              </w:rPr>
              <w:t>1559.09</w:t>
            </w:r>
            <w:r>
              <w:rPr>
                <w:rFonts w:hint="eastAsia"/>
                <w:color w:val="000000"/>
                <w:kern w:val="0"/>
                <w:szCs w:val="21"/>
                <w:highlight w:val="none"/>
                <w:lang w:val="en-US" w:eastAsia="zh-CN"/>
              </w:rPr>
              <w:t>万元</w:t>
            </w:r>
          </w:p>
        </w:tc>
        <w:tc>
          <w:tcPr>
            <w:tcW w:w="1898" w:type="dxa"/>
            <w:noWrap/>
            <w:vAlign w:val="center"/>
          </w:tcPr>
          <w:p>
            <w:pPr>
              <w:widowControl/>
              <w:spacing w:line="230" w:lineRule="exact"/>
              <w:jc w:val="left"/>
              <w:rPr>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1559.09万元</w:t>
            </w:r>
          </w:p>
        </w:tc>
        <w:tc>
          <w:tcPr>
            <w:tcW w:w="2592" w:type="dxa"/>
            <w:noWrap/>
            <w:vAlign w:val="center"/>
          </w:tcPr>
          <w:p>
            <w:pPr>
              <w:widowControl/>
              <w:spacing w:line="230" w:lineRule="exact"/>
              <w:jc w:val="left"/>
              <w:rPr>
                <w:rFonts w:hint="default" w:eastAsia="宋体"/>
                <w:color w:val="00000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230" w:lineRule="exact"/>
              <w:jc w:val="left"/>
              <w:rPr>
                <w:color w:val="000000"/>
                <w:kern w:val="0"/>
                <w:szCs w:val="21"/>
              </w:rPr>
            </w:pPr>
          </w:p>
        </w:tc>
        <w:tc>
          <w:tcPr>
            <w:tcW w:w="937" w:type="dxa"/>
            <w:vMerge w:val="continue"/>
            <w:noWrap w:val="0"/>
            <w:vAlign w:val="center"/>
          </w:tcPr>
          <w:p>
            <w:pPr>
              <w:widowControl/>
              <w:spacing w:line="230" w:lineRule="exact"/>
              <w:jc w:val="left"/>
              <w:rPr>
                <w:color w:val="000000"/>
                <w:kern w:val="0"/>
                <w:szCs w:val="21"/>
              </w:rPr>
            </w:pPr>
          </w:p>
        </w:tc>
        <w:tc>
          <w:tcPr>
            <w:tcW w:w="856" w:type="dxa"/>
            <w:vMerge w:val="continue"/>
            <w:noWrap w:val="0"/>
            <w:vAlign w:val="center"/>
          </w:tcPr>
          <w:p>
            <w:pPr>
              <w:widowControl/>
              <w:spacing w:line="230" w:lineRule="exact"/>
              <w:jc w:val="left"/>
              <w:rPr>
                <w:color w:val="000000"/>
                <w:kern w:val="0"/>
                <w:szCs w:val="21"/>
              </w:rPr>
            </w:pPr>
          </w:p>
        </w:tc>
        <w:tc>
          <w:tcPr>
            <w:tcW w:w="950" w:type="dxa"/>
            <w:noWrap/>
            <w:vAlign w:val="center"/>
          </w:tcPr>
          <w:p>
            <w:pPr>
              <w:widowControl/>
              <w:spacing w:line="230" w:lineRule="exact"/>
              <w:jc w:val="left"/>
              <w:rPr>
                <w:rFonts w:hint="default" w:eastAsia="宋体"/>
                <w:color w:val="000000"/>
                <w:kern w:val="0"/>
                <w:sz w:val="21"/>
                <w:szCs w:val="21"/>
                <w:lang w:val="en-US" w:eastAsia="zh-CN" w:bidi="ar-SA"/>
              </w:rPr>
            </w:pPr>
            <w:r>
              <w:rPr>
                <w:rFonts w:hint="eastAsia"/>
                <w:color w:val="000000"/>
                <w:kern w:val="0"/>
                <w:szCs w:val="21"/>
              </w:rPr>
              <w:t>指标</w:t>
            </w:r>
            <w:r>
              <w:rPr>
                <w:color w:val="000000"/>
                <w:kern w:val="0"/>
                <w:szCs w:val="21"/>
              </w:rPr>
              <w:t>2:</w:t>
            </w:r>
            <w:r>
              <w:rPr>
                <w:rFonts w:hint="eastAsia"/>
                <w:color w:val="000000"/>
                <w:kern w:val="0"/>
                <w:szCs w:val="21"/>
                <w:lang w:val="en-US" w:eastAsia="zh-CN"/>
              </w:rPr>
              <w:t>政策和项目支出</w:t>
            </w:r>
          </w:p>
        </w:tc>
        <w:tc>
          <w:tcPr>
            <w:tcW w:w="1483" w:type="dxa"/>
            <w:noWrap/>
            <w:vAlign w:val="center"/>
          </w:tcPr>
          <w:p>
            <w:pPr>
              <w:widowControl/>
              <w:spacing w:line="230" w:lineRule="exact"/>
              <w:jc w:val="left"/>
              <w:rPr>
                <w:rFonts w:hint="eastAsia" w:eastAsia="宋体"/>
                <w:color w:val="000000"/>
                <w:kern w:val="0"/>
                <w:sz w:val="21"/>
                <w:szCs w:val="21"/>
                <w:highlight w:val="none"/>
                <w:lang w:val="en-US" w:eastAsia="zh-CN" w:bidi="ar-SA"/>
              </w:rPr>
            </w:pPr>
            <w:r>
              <w:rPr>
                <w:rFonts w:hint="eastAsia"/>
                <w:color w:val="000000"/>
                <w:kern w:val="0"/>
                <w:szCs w:val="21"/>
                <w:highlight w:val="none"/>
              </w:rPr>
              <w:t>　＝</w:t>
            </w:r>
            <w:r>
              <w:rPr>
                <w:rFonts w:hint="eastAsia"/>
                <w:color w:val="000000"/>
                <w:kern w:val="0"/>
                <w:szCs w:val="21"/>
                <w:highlight w:val="none"/>
                <w:lang w:val="en-US" w:eastAsia="zh-CN"/>
              </w:rPr>
              <w:t>0万元</w:t>
            </w:r>
          </w:p>
        </w:tc>
        <w:tc>
          <w:tcPr>
            <w:tcW w:w="1898" w:type="dxa"/>
            <w:noWrap/>
            <w:vAlign w:val="center"/>
          </w:tcPr>
          <w:p>
            <w:pPr>
              <w:widowControl/>
              <w:spacing w:line="230" w:lineRule="exact"/>
              <w:jc w:val="left"/>
              <w:rPr>
                <w:color w:val="000000"/>
                <w:kern w:val="0"/>
                <w:sz w:val="21"/>
                <w:szCs w:val="21"/>
                <w:lang w:val="en-US" w:eastAsia="zh-CN" w:bidi="ar-SA"/>
              </w:rPr>
            </w:pPr>
            <w:r>
              <w:rPr>
                <w:rFonts w:hint="eastAsia"/>
                <w:color w:val="000000"/>
                <w:kern w:val="0"/>
                <w:szCs w:val="21"/>
              </w:rPr>
              <w:t>　5,205.58</w:t>
            </w:r>
            <w:r>
              <w:rPr>
                <w:rFonts w:hint="eastAsia"/>
                <w:color w:val="000000"/>
                <w:kern w:val="0"/>
                <w:szCs w:val="21"/>
                <w:lang w:val="en-US" w:eastAsia="zh-CN"/>
              </w:rPr>
              <w:t>万元</w:t>
            </w:r>
          </w:p>
        </w:tc>
        <w:tc>
          <w:tcPr>
            <w:tcW w:w="2592" w:type="dxa"/>
            <w:noWrap/>
            <w:vAlign w:val="center"/>
          </w:tcPr>
          <w:p>
            <w:pPr>
              <w:widowControl/>
              <w:spacing w:line="230" w:lineRule="exact"/>
              <w:jc w:val="left"/>
              <w:rPr>
                <w:rFonts w:hint="default" w:eastAsia="宋体"/>
                <w:color w:val="000000"/>
                <w:kern w:val="0"/>
                <w:sz w:val="21"/>
                <w:szCs w:val="21"/>
                <w:lang w:val="en-US" w:eastAsia="zh-CN" w:bidi="ar-SA"/>
              </w:rPr>
            </w:pPr>
            <w:r>
              <w:rPr>
                <w:rFonts w:hint="eastAsia" w:eastAsia="宋体"/>
                <w:color w:val="000000"/>
                <w:kern w:val="0"/>
                <w:sz w:val="21"/>
                <w:szCs w:val="21"/>
                <w:lang w:val="en-US" w:eastAsia="zh-CN" w:bidi="ar-SA"/>
              </w:rPr>
              <w:t>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230" w:lineRule="exact"/>
              <w:jc w:val="left"/>
              <w:rPr>
                <w:color w:val="000000"/>
                <w:kern w:val="0"/>
                <w:szCs w:val="21"/>
              </w:rPr>
            </w:pPr>
          </w:p>
        </w:tc>
        <w:tc>
          <w:tcPr>
            <w:tcW w:w="937" w:type="dxa"/>
            <w:vMerge w:val="continue"/>
            <w:noWrap w:val="0"/>
            <w:vAlign w:val="center"/>
          </w:tcPr>
          <w:p>
            <w:pPr>
              <w:widowControl/>
              <w:spacing w:line="230" w:lineRule="exact"/>
              <w:jc w:val="left"/>
              <w:rPr>
                <w:color w:val="000000"/>
                <w:kern w:val="0"/>
                <w:szCs w:val="21"/>
              </w:rPr>
            </w:pPr>
          </w:p>
        </w:tc>
        <w:tc>
          <w:tcPr>
            <w:tcW w:w="856" w:type="dxa"/>
            <w:vMerge w:val="continue"/>
            <w:noWrap w:val="0"/>
            <w:vAlign w:val="center"/>
          </w:tcPr>
          <w:p>
            <w:pPr>
              <w:widowControl/>
              <w:spacing w:line="230" w:lineRule="exact"/>
              <w:jc w:val="left"/>
              <w:rPr>
                <w:color w:val="000000"/>
                <w:kern w:val="0"/>
                <w:szCs w:val="21"/>
              </w:rPr>
            </w:pPr>
          </w:p>
        </w:tc>
        <w:tc>
          <w:tcPr>
            <w:tcW w:w="950" w:type="dxa"/>
            <w:noWrap/>
            <w:vAlign w:val="center"/>
          </w:tcPr>
          <w:p>
            <w:pPr>
              <w:widowControl/>
              <w:spacing w:line="23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指标</w:t>
            </w:r>
            <w:r>
              <w:rPr>
                <w:rFonts w:hint="eastAsia"/>
                <w:color w:val="000000"/>
                <w:kern w:val="0"/>
                <w:szCs w:val="21"/>
                <w:lang w:val="en-US" w:eastAsia="zh-CN"/>
              </w:rPr>
              <w:t>3</w:t>
            </w:r>
            <w:r>
              <w:rPr>
                <w:color w:val="000000"/>
                <w:kern w:val="0"/>
                <w:szCs w:val="21"/>
              </w:rPr>
              <w:t>:</w:t>
            </w:r>
            <w:r>
              <w:rPr>
                <w:rFonts w:hint="eastAsia"/>
                <w:color w:val="000000"/>
                <w:kern w:val="0"/>
                <w:szCs w:val="21"/>
              </w:rPr>
              <w:t>重点项目</w:t>
            </w:r>
          </w:p>
        </w:tc>
        <w:tc>
          <w:tcPr>
            <w:tcW w:w="1483" w:type="dxa"/>
            <w:noWrap/>
            <w:vAlign w:val="center"/>
          </w:tcPr>
          <w:p>
            <w:pPr>
              <w:widowControl/>
              <w:spacing w:line="23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≥5个</w:t>
            </w:r>
          </w:p>
        </w:tc>
        <w:tc>
          <w:tcPr>
            <w:tcW w:w="1898" w:type="dxa"/>
            <w:noWrap/>
            <w:vAlign w:val="center"/>
          </w:tcPr>
          <w:p>
            <w:pPr>
              <w:widowControl/>
              <w:tabs>
                <w:tab w:val="center" w:pos="921"/>
              </w:tabs>
              <w:spacing w:line="23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≥5个</w:t>
            </w:r>
          </w:p>
        </w:tc>
        <w:tc>
          <w:tcPr>
            <w:tcW w:w="2592" w:type="dxa"/>
            <w:noWrap/>
            <w:vAlign w:val="center"/>
          </w:tcPr>
          <w:p>
            <w:pPr>
              <w:widowControl/>
              <w:spacing w:line="23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230" w:lineRule="exact"/>
              <w:jc w:val="left"/>
              <w:rPr>
                <w:color w:val="000000"/>
                <w:kern w:val="0"/>
                <w:szCs w:val="21"/>
              </w:rPr>
            </w:pPr>
          </w:p>
        </w:tc>
        <w:tc>
          <w:tcPr>
            <w:tcW w:w="937" w:type="dxa"/>
            <w:vMerge w:val="continue"/>
            <w:noWrap w:val="0"/>
            <w:vAlign w:val="center"/>
          </w:tcPr>
          <w:p>
            <w:pPr>
              <w:widowControl/>
              <w:spacing w:line="230" w:lineRule="exact"/>
              <w:jc w:val="left"/>
              <w:rPr>
                <w:color w:val="000000"/>
                <w:kern w:val="0"/>
                <w:szCs w:val="21"/>
              </w:rPr>
            </w:pPr>
          </w:p>
        </w:tc>
        <w:tc>
          <w:tcPr>
            <w:tcW w:w="856" w:type="dxa"/>
            <w:vMerge w:val="restart"/>
            <w:noWrap/>
            <w:vAlign w:val="center"/>
          </w:tcPr>
          <w:p>
            <w:pPr>
              <w:widowControl/>
              <w:spacing w:line="230" w:lineRule="exact"/>
              <w:jc w:val="center"/>
              <w:rPr>
                <w:color w:val="000000"/>
                <w:kern w:val="0"/>
                <w:szCs w:val="21"/>
              </w:rPr>
            </w:pPr>
            <w:r>
              <w:rPr>
                <w:rFonts w:hint="eastAsia"/>
                <w:color w:val="000000"/>
                <w:kern w:val="0"/>
                <w:szCs w:val="21"/>
              </w:rPr>
              <w:t>质量</w:t>
            </w:r>
          </w:p>
          <w:p>
            <w:pPr>
              <w:widowControl/>
              <w:spacing w:line="230" w:lineRule="exact"/>
              <w:jc w:val="center"/>
              <w:rPr>
                <w:color w:val="000000"/>
                <w:kern w:val="0"/>
                <w:szCs w:val="21"/>
              </w:rPr>
            </w:pPr>
            <w:r>
              <w:rPr>
                <w:rFonts w:hint="eastAsia"/>
                <w:color w:val="000000"/>
                <w:kern w:val="0"/>
                <w:szCs w:val="21"/>
              </w:rPr>
              <w:t>指标</w:t>
            </w:r>
          </w:p>
        </w:tc>
        <w:tc>
          <w:tcPr>
            <w:tcW w:w="950" w:type="dxa"/>
            <w:noWrap/>
            <w:vAlign w:val="center"/>
          </w:tcPr>
          <w:p>
            <w:pPr>
              <w:widowControl/>
              <w:spacing w:line="230" w:lineRule="exact"/>
              <w:jc w:val="left"/>
              <w:rPr>
                <w:color w:val="000000"/>
                <w:kern w:val="0"/>
                <w:sz w:val="21"/>
                <w:szCs w:val="21"/>
                <w:lang w:val="en-US" w:eastAsia="zh-CN" w:bidi="ar-SA"/>
              </w:rPr>
            </w:pPr>
            <w:r>
              <w:rPr>
                <w:rFonts w:hint="eastAsia"/>
                <w:color w:val="000000"/>
                <w:kern w:val="0"/>
                <w:szCs w:val="21"/>
              </w:rPr>
              <w:t>指标</w:t>
            </w:r>
            <w:r>
              <w:rPr>
                <w:color w:val="000000"/>
                <w:kern w:val="0"/>
                <w:szCs w:val="21"/>
              </w:rPr>
              <w:t>1:</w:t>
            </w:r>
            <w:r>
              <w:rPr>
                <w:rFonts w:hint="eastAsia" w:eastAsia="宋体"/>
                <w:color w:val="000000"/>
                <w:kern w:val="0"/>
                <w:sz w:val="22"/>
                <w:szCs w:val="22"/>
                <w:lang w:eastAsia="zh-CN"/>
              </w:rPr>
              <w:t>行政运转正常率</w:t>
            </w:r>
          </w:p>
        </w:tc>
        <w:tc>
          <w:tcPr>
            <w:tcW w:w="1483" w:type="dxa"/>
            <w:noWrap/>
            <w:vAlign w:val="center"/>
          </w:tcPr>
          <w:p>
            <w:pPr>
              <w:widowControl/>
              <w:spacing w:line="230" w:lineRule="exact"/>
              <w:jc w:val="left"/>
              <w:rPr>
                <w:rFonts w:hint="default" w:eastAsia="宋体"/>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=100%</w:t>
            </w:r>
          </w:p>
        </w:tc>
        <w:tc>
          <w:tcPr>
            <w:tcW w:w="1898" w:type="dxa"/>
            <w:noWrap/>
            <w:vAlign w:val="center"/>
          </w:tcPr>
          <w:p>
            <w:pPr>
              <w:widowControl/>
              <w:spacing w:line="230" w:lineRule="exact"/>
              <w:jc w:val="left"/>
              <w:rPr>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100%</w:t>
            </w:r>
          </w:p>
        </w:tc>
        <w:tc>
          <w:tcPr>
            <w:tcW w:w="2592" w:type="dxa"/>
            <w:noWrap/>
            <w:vAlign w:val="center"/>
          </w:tcPr>
          <w:p>
            <w:pPr>
              <w:widowControl/>
              <w:spacing w:line="230" w:lineRule="exact"/>
              <w:jc w:val="left"/>
              <w:rPr>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230" w:lineRule="exact"/>
              <w:jc w:val="left"/>
              <w:rPr>
                <w:color w:val="000000"/>
                <w:kern w:val="0"/>
                <w:szCs w:val="21"/>
              </w:rPr>
            </w:pPr>
          </w:p>
        </w:tc>
        <w:tc>
          <w:tcPr>
            <w:tcW w:w="937" w:type="dxa"/>
            <w:vMerge w:val="continue"/>
            <w:noWrap w:val="0"/>
            <w:vAlign w:val="center"/>
          </w:tcPr>
          <w:p>
            <w:pPr>
              <w:widowControl/>
              <w:spacing w:line="230" w:lineRule="exact"/>
              <w:jc w:val="left"/>
              <w:rPr>
                <w:color w:val="000000"/>
                <w:kern w:val="0"/>
                <w:szCs w:val="21"/>
              </w:rPr>
            </w:pPr>
          </w:p>
        </w:tc>
        <w:tc>
          <w:tcPr>
            <w:tcW w:w="856" w:type="dxa"/>
            <w:vMerge w:val="continue"/>
            <w:noWrap w:val="0"/>
            <w:vAlign w:val="center"/>
          </w:tcPr>
          <w:p>
            <w:pPr>
              <w:widowControl/>
              <w:spacing w:line="230" w:lineRule="exact"/>
              <w:jc w:val="left"/>
              <w:rPr>
                <w:color w:val="000000"/>
                <w:kern w:val="0"/>
                <w:szCs w:val="21"/>
              </w:rPr>
            </w:pPr>
          </w:p>
        </w:tc>
        <w:tc>
          <w:tcPr>
            <w:tcW w:w="950" w:type="dxa"/>
            <w:noWrap/>
            <w:vAlign w:val="center"/>
          </w:tcPr>
          <w:p>
            <w:pPr>
              <w:widowControl/>
              <w:spacing w:line="230" w:lineRule="exact"/>
              <w:jc w:val="left"/>
              <w:rPr>
                <w:color w:val="000000"/>
                <w:kern w:val="0"/>
                <w:sz w:val="21"/>
                <w:szCs w:val="21"/>
                <w:lang w:val="en-US" w:eastAsia="zh-CN" w:bidi="ar-SA"/>
              </w:rPr>
            </w:pPr>
            <w:r>
              <w:rPr>
                <w:rFonts w:hint="eastAsia"/>
                <w:color w:val="000000"/>
                <w:kern w:val="0"/>
                <w:szCs w:val="21"/>
              </w:rPr>
              <w:t>指标</w:t>
            </w:r>
            <w:r>
              <w:rPr>
                <w:color w:val="000000"/>
                <w:kern w:val="0"/>
                <w:szCs w:val="21"/>
              </w:rPr>
              <w:t>2:</w:t>
            </w:r>
            <w:r>
              <w:rPr>
                <w:rFonts w:hint="eastAsia" w:eastAsia="宋体"/>
                <w:color w:val="000000"/>
                <w:kern w:val="0"/>
                <w:sz w:val="22"/>
                <w:szCs w:val="22"/>
                <w:lang w:eastAsia="zh-CN"/>
              </w:rPr>
              <w:t>民生项目保障率</w:t>
            </w:r>
          </w:p>
        </w:tc>
        <w:tc>
          <w:tcPr>
            <w:tcW w:w="1483" w:type="dxa"/>
            <w:noWrap/>
            <w:vAlign w:val="center"/>
          </w:tcPr>
          <w:p>
            <w:pPr>
              <w:widowControl/>
              <w:spacing w:line="230" w:lineRule="exact"/>
              <w:jc w:val="left"/>
              <w:rPr>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=100%</w:t>
            </w:r>
          </w:p>
        </w:tc>
        <w:tc>
          <w:tcPr>
            <w:tcW w:w="1898" w:type="dxa"/>
            <w:noWrap/>
            <w:vAlign w:val="center"/>
          </w:tcPr>
          <w:p>
            <w:pPr>
              <w:widowControl/>
              <w:spacing w:line="230" w:lineRule="exact"/>
              <w:jc w:val="left"/>
              <w:rPr>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100%</w:t>
            </w:r>
          </w:p>
        </w:tc>
        <w:tc>
          <w:tcPr>
            <w:tcW w:w="2592" w:type="dxa"/>
            <w:noWrap/>
            <w:vAlign w:val="center"/>
          </w:tcPr>
          <w:p>
            <w:pPr>
              <w:widowControl/>
              <w:spacing w:line="230" w:lineRule="exact"/>
              <w:ind w:firstLine="210" w:firstLineChars="100"/>
              <w:jc w:val="left"/>
              <w:rPr>
                <w:color w:val="000000"/>
                <w:kern w:val="0"/>
                <w:sz w:val="21"/>
                <w:szCs w:val="21"/>
                <w:lang w:val="en-US" w:eastAsia="zh-CN" w:bidi="ar-SA"/>
              </w:rPr>
            </w:pP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230" w:lineRule="exact"/>
              <w:jc w:val="left"/>
              <w:rPr>
                <w:color w:val="000000"/>
                <w:kern w:val="0"/>
                <w:szCs w:val="21"/>
              </w:rPr>
            </w:pPr>
          </w:p>
        </w:tc>
        <w:tc>
          <w:tcPr>
            <w:tcW w:w="937" w:type="dxa"/>
            <w:vMerge w:val="continue"/>
            <w:noWrap w:val="0"/>
            <w:vAlign w:val="center"/>
          </w:tcPr>
          <w:p>
            <w:pPr>
              <w:widowControl/>
              <w:spacing w:line="230" w:lineRule="exact"/>
              <w:jc w:val="left"/>
              <w:rPr>
                <w:color w:val="000000"/>
                <w:kern w:val="0"/>
                <w:szCs w:val="21"/>
              </w:rPr>
            </w:pPr>
          </w:p>
        </w:tc>
        <w:tc>
          <w:tcPr>
            <w:tcW w:w="856" w:type="dxa"/>
            <w:vMerge w:val="continue"/>
            <w:noWrap w:val="0"/>
            <w:vAlign w:val="center"/>
          </w:tcPr>
          <w:p>
            <w:pPr>
              <w:widowControl/>
              <w:spacing w:line="230" w:lineRule="exact"/>
              <w:jc w:val="left"/>
              <w:rPr>
                <w:color w:val="000000"/>
                <w:kern w:val="0"/>
                <w:szCs w:val="21"/>
              </w:rPr>
            </w:pPr>
          </w:p>
        </w:tc>
        <w:tc>
          <w:tcPr>
            <w:tcW w:w="950" w:type="dxa"/>
            <w:noWrap/>
            <w:vAlign w:val="center"/>
          </w:tcPr>
          <w:p>
            <w:pPr>
              <w:keepNext w:val="0"/>
              <w:keepLines w:val="0"/>
              <w:widowControl/>
              <w:suppressLineNumbers w:val="0"/>
              <w:spacing w:before="0" w:beforeAutospacing="0" w:after="0" w:afterAutospacing="0" w:line="230" w:lineRule="exact"/>
              <w:ind w:left="0" w:leftChars="0" w:right="0" w:rightChars="0"/>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指标</w:t>
            </w:r>
            <w:r>
              <w:rPr>
                <w:rFonts w:hint="eastAsia"/>
                <w:color w:val="000000"/>
                <w:kern w:val="0"/>
                <w:szCs w:val="21"/>
                <w:lang w:val="en-US" w:eastAsia="zh-CN"/>
              </w:rPr>
              <w:t>3</w:t>
            </w:r>
            <w:r>
              <w:rPr>
                <w:rFonts w:hint="eastAsia"/>
                <w:color w:val="000000"/>
                <w:kern w:val="0"/>
                <w:szCs w:val="21"/>
              </w:rPr>
              <w:t>：资金使用合规性</w:t>
            </w:r>
          </w:p>
        </w:tc>
        <w:tc>
          <w:tcPr>
            <w:tcW w:w="1483" w:type="dxa"/>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合格率100%</w:t>
            </w:r>
          </w:p>
        </w:tc>
        <w:tc>
          <w:tcPr>
            <w:tcW w:w="1898" w:type="dxa"/>
            <w:noWrap/>
            <w:vAlign w:val="center"/>
          </w:tcPr>
          <w:p>
            <w:pPr>
              <w:keepNext w:val="0"/>
              <w:keepLines w:val="0"/>
              <w:widowControl/>
              <w:suppressLineNumbers w:val="0"/>
              <w:spacing w:before="0" w:beforeAutospacing="0" w:after="0" w:afterAutospacing="0" w:line="230" w:lineRule="exact"/>
              <w:ind w:left="0" w:leftChars="0" w:right="0" w:rightChars="0"/>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100%</w:t>
            </w:r>
          </w:p>
        </w:tc>
        <w:tc>
          <w:tcPr>
            <w:tcW w:w="2592" w:type="dxa"/>
            <w:noWrap/>
            <w:vAlign w:val="center"/>
          </w:tcPr>
          <w:p>
            <w:pPr>
              <w:widowControl/>
              <w:spacing w:line="230" w:lineRule="exact"/>
              <w:ind w:firstLine="210" w:firstLineChars="100"/>
              <w:jc w:val="left"/>
              <w:rPr>
                <w:rFonts w:hint="eastAsia"/>
                <w:color w:val="000000"/>
                <w:kern w:val="0"/>
                <w:sz w:val="21"/>
                <w:szCs w:val="21"/>
                <w:lang w:val="en-US" w:eastAsia="zh-CN" w:bidi="ar-SA"/>
              </w:rPr>
            </w:pP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230" w:lineRule="exact"/>
              <w:jc w:val="left"/>
              <w:rPr>
                <w:color w:val="000000"/>
                <w:kern w:val="0"/>
                <w:szCs w:val="21"/>
              </w:rPr>
            </w:pPr>
          </w:p>
        </w:tc>
        <w:tc>
          <w:tcPr>
            <w:tcW w:w="937" w:type="dxa"/>
            <w:vMerge w:val="continue"/>
            <w:noWrap w:val="0"/>
            <w:vAlign w:val="center"/>
          </w:tcPr>
          <w:p>
            <w:pPr>
              <w:widowControl/>
              <w:spacing w:line="230" w:lineRule="exact"/>
              <w:jc w:val="left"/>
              <w:rPr>
                <w:color w:val="000000"/>
                <w:kern w:val="0"/>
                <w:szCs w:val="21"/>
              </w:rPr>
            </w:pPr>
          </w:p>
        </w:tc>
        <w:tc>
          <w:tcPr>
            <w:tcW w:w="856" w:type="dxa"/>
            <w:vMerge w:val="continue"/>
            <w:noWrap w:val="0"/>
            <w:vAlign w:val="center"/>
          </w:tcPr>
          <w:p>
            <w:pPr>
              <w:widowControl/>
              <w:spacing w:line="230" w:lineRule="exact"/>
              <w:jc w:val="left"/>
              <w:rPr>
                <w:color w:val="000000"/>
                <w:kern w:val="0"/>
                <w:szCs w:val="21"/>
              </w:rPr>
            </w:pPr>
          </w:p>
        </w:tc>
        <w:tc>
          <w:tcPr>
            <w:tcW w:w="950" w:type="dxa"/>
            <w:noWrap/>
            <w:vAlign w:val="center"/>
          </w:tcPr>
          <w:p>
            <w:pPr>
              <w:keepNext w:val="0"/>
              <w:keepLines w:val="0"/>
              <w:widowControl/>
              <w:suppressLineNumbers w:val="0"/>
              <w:spacing w:before="0" w:beforeAutospacing="0" w:after="0" w:afterAutospacing="0" w:line="230" w:lineRule="exact"/>
              <w:ind w:left="0" w:leftChars="0" w:right="0" w:rightChars="0"/>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指标</w:t>
            </w:r>
            <w:r>
              <w:rPr>
                <w:rFonts w:hint="eastAsia"/>
                <w:color w:val="000000"/>
                <w:kern w:val="0"/>
                <w:szCs w:val="21"/>
                <w:lang w:val="en-US" w:eastAsia="zh-CN"/>
              </w:rPr>
              <w:t>4</w:t>
            </w:r>
            <w:r>
              <w:rPr>
                <w:rFonts w:hint="eastAsia"/>
                <w:color w:val="000000"/>
                <w:kern w:val="0"/>
                <w:szCs w:val="21"/>
              </w:rPr>
              <w:t>：任务达标合格率</w:t>
            </w:r>
          </w:p>
        </w:tc>
        <w:tc>
          <w:tcPr>
            <w:tcW w:w="1483" w:type="dxa"/>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达标率100%</w:t>
            </w:r>
          </w:p>
        </w:tc>
        <w:tc>
          <w:tcPr>
            <w:tcW w:w="1898" w:type="dxa"/>
            <w:noWrap/>
            <w:vAlign w:val="center"/>
          </w:tcPr>
          <w:p>
            <w:pPr>
              <w:keepNext w:val="0"/>
              <w:keepLines w:val="0"/>
              <w:widowControl/>
              <w:suppressLineNumbers w:val="0"/>
              <w:spacing w:before="0" w:beforeAutospacing="0" w:after="0" w:afterAutospacing="0" w:line="230" w:lineRule="exact"/>
              <w:ind w:left="0" w:leftChars="0" w:right="0" w:rightChars="0"/>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100%</w:t>
            </w:r>
          </w:p>
        </w:tc>
        <w:tc>
          <w:tcPr>
            <w:tcW w:w="2592" w:type="dxa"/>
            <w:noWrap/>
            <w:vAlign w:val="center"/>
          </w:tcPr>
          <w:p>
            <w:pPr>
              <w:widowControl/>
              <w:spacing w:line="230" w:lineRule="exact"/>
              <w:ind w:firstLine="210" w:firstLineChars="100"/>
              <w:jc w:val="left"/>
              <w:rPr>
                <w:rFonts w:hint="eastAsia"/>
                <w:color w:val="000000"/>
                <w:kern w:val="0"/>
                <w:sz w:val="21"/>
                <w:szCs w:val="21"/>
                <w:lang w:val="en-US" w:eastAsia="zh-CN" w:bidi="ar-SA"/>
              </w:rPr>
            </w:pP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230" w:lineRule="exact"/>
              <w:jc w:val="left"/>
              <w:rPr>
                <w:color w:val="000000"/>
                <w:kern w:val="0"/>
                <w:szCs w:val="21"/>
              </w:rPr>
            </w:pPr>
          </w:p>
        </w:tc>
        <w:tc>
          <w:tcPr>
            <w:tcW w:w="937" w:type="dxa"/>
            <w:vMerge w:val="continue"/>
            <w:noWrap w:val="0"/>
            <w:vAlign w:val="center"/>
          </w:tcPr>
          <w:p>
            <w:pPr>
              <w:widowControl/>
              <w:spacing w:line="230" w:lineRule="exact"/>
              <w:jc w:val="left"/>
              <w:rPr>
                <w:color w:val="000000"/>
                <w:kern w:val="0"/>
                <w:szCs w:val="21"/>
              </w:rPr>
            </w:pPr>
          </w:p>
        </w:tc>
        <w:tc>
          <w:tcPr>
            <w:tcW w:w="856" w:type="dxa"/>
            <w:vMerge w:val="continue"/>
            <w:noWrap w:val="0"/>
            <w:vAlign w:val="center"/>
          </w:tcPr>
          <w:p>
            <w:pPr>
              <w:widowControl/>
              <w:spacing w:line="230" w:lineRule="exact"/>
              <w:jc w:val="left"/>
              <w:rPr>
                <w:color w:val="000000"/>
                <w:kern w:val="0"/>
                <w:szCs w:val="21"/>
              </w:rPr>
            </w:pPr>
          </w:p>
        </w:tc>
        <w:tc>
          <w:tcPr>
            <w:tcW w:w="950" w:type="dxa"/>
            <w:noWrap/>
            <w:vAlign w:val="center"/>
          </w:tcPr>
          <w:p>
            <w:pPr>
              <w:keepNext w:val="0"/>
              <w:keepLines w:val="0"/>
              <w:widowControl/>
              <w:suppressLineNumbers w:val="0"/>
              <w:spacing w:before="0" w:beforeAutospacing="0" w:after="0" w:afterAutospacing="0" w:line="230" w:lineRule="exact"/>
              <w:ind w:left="0" w:leftChars="0" w:right="0" w:rightChars="0"/>
              <w:jc w:val="left"/>
              <w:rPr>
                <w:rFonts w:hint="default" w:ascii="Times New Roman" w:hAnsi="Times New Roman" w:eastAsia="宋体" w:cs="Times New Roman"/>
                <w:color w:val="000000"/>
                <w:kern w:val="0"/>
                <w:sz w:val="21"/>
                <w:szCs w:val="21"/>
                <w:lang w:val="en-US" w:eastAsia="zh-CN" w:bidi="ar-SA"/>
              </w:rPr>
            </w:pPr>
            <w:r>
              <w:rPr>
                <w:rFonts w:hint="default"/>
                <w:color w:val="000000"/>
                <w:kern w:val="0"/>
                <w:szCs w:val="21"/>
              </w:rPr>
              <w:t>指标</w:t>
            </w:r>
            <w:r>
              <w:rPr>
                <w:rFonts w:hint="eastAsia"/>
                <w:color w:val="000000"/>
                <w:kern w:val="0"/>
                <w:szCs w:val="21"/>
                <w:lang w:val="en-US" w:eastAsia="zh-CN"/>
              </w:rPr>
              <w:t>5</w:t>
            </w:r>
            <w:r>
              <w:rPr>
                <w:rFonts w:hint="default"/>
                <w:color w:val="000000"/>
                <w:kern w:val="0"/>
                <w:szCs w:val="21"/>
              </w:rPr>
              <w:t>：“三公”经费控制情况</w:t>
            </w:r>
          </w:p>
        </w:tc>
        <w:tc>
          <w:tcPr>
            <w:tcW w:w="1483" w:type="dxa"/>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控制率100%</w:t>
            </w:r>
          </w:p>
        </w:tc>
        <w:tc>
          <w:tcPr>
            <w:tcW w:w="1898" w:type="dxa"/>
            <w:noWrap/>
            <w:vAlign w:val="center"/>
          </w:tcPr>
          <w:p>
            <w:pPr>
              <w:keepNext w:val="0"/>
              <w:keepLines w:val="0"/>
              <w:widowControl/>
              <w:suppressLineNumbers w:val="0"/>
              <w:spacing w:before="0" w:beforeAutospacing="0" w:after="0" w:afterAutospacing="0" w:line="230" w:lineRule="exact"/>
              <w:ind w:left="0" w:leftChars="0" w:right="0" w:rightChars="0"/>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100%</w:t>
            </w:r>
          </w:p>
        </w:tc>
        <w:tc>
          <w:tcPr>
            <w:tcW w:w="2592" w:type="dxa"/>
            <w:noWrap/>
            <w:vAlign w:val="center"/>
          </w:tcPr>
          <w:p>
            <w:pPr>
              <w:widowControl/>
              <w:spacing w:line="230" w:lineRule="exact"/>
              <w:ind w:firstLine="210" w:firstLineChars="100"/>
              <w:jc w:val="left"/>
              <w:rPr>
                <w:color w:val="000000"/>
                <w:kern w:val="0"/>
                <w:sz w:val="21"/>
                <w:szCs w:val="21"/>
                <w:lang w:val="en-US" w:eastAsia="zh-CN" w:bidi="ar-SA"/>
              </w:rPr>
            </w:pP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230" w:lineRule="exact"/>
              <w:jc w:val="left"/>
              <w:rPr>
                <w:color w:val="000000"/>
                <w:kern w:val="0"/>
                <w:szCs w:val="21"/>
              </w:rPr>
            </w:pPr>
          </w:p>
        </w:tc>
        <w:tc>
          <w:tcPr>
            <w:tcW w:w="937" w:type="dxa"/>
            <w:vMerge w:val="continue"/>
            <w:noWrap w:val="0"/>
            <w:vAlign w:val="center"/>
          </w:tcPr>
          <w:p>
            <w:pPr>
              <w:widowControl/>
              <w:spacing w:line="230" w:lineRule="exact"/>
              <w:jc w:val="left"/>
              <w:rPr>
                <w:color w:val="000000"/>
                <w:kern w:val="0"/>
                <w:szCs w:val="21"/>
              </w:rPr>
            </w:pPr>
          </w:p>
        </w:tc>
        <w:tc>
          <w:tcPr>
            <w:tcW w:w="856" w:type="dxa"/>
            <w:vMerge w:val="restart"/>
            <w:noWrap/>
            <w:vAlign w:val="center"/>
          </w:tcPr>
          <w:p>
            <w:pPr>
              <w:widowControl/>
              <w:spacing w:line="230" w:lineRule="exact"/>
              <w:jc w:val="center"/>
              <w:rPr>
                <w:color w:val="000000"/>
                <w:kern w:val="0"/>
                <w:szCs w:val="21"/>
              </w:rPr>
            </w:pPr>
            <w:r>
              <w:rPr>
                <w:rFonts w:hint="eastAsia"/>
                <w:color w:val="000000"/>
                <w:kern w:val="0"/>
                <w:szCs w:val="21"/>
              </w:rPr>
              <w:t>时效</w:t>
            </w:r>
          </w:p>
          <w:p>
            <w:pPr>
              <w:widowControl/>
              <w:spacing w:line="230" w:lineRule="exact"/>
              <w:jc w:val="center"/>
              <w:rPr>
                <w:color w:val="000000"/>
                <w:kern w:val="0"/>
                <w:szCs w:val="21"/>
              </w:rPr>
            </w:pPr>
            <w:r>
              <w:rPr>
                <w:rFonts w:hint="eastAsia"/>
                <w:color w:val="000000"/>
                <w:kern w:val="0"/>
                <w:szCs w:val="21"/>
              </w:rPr>
              <w:t>指标</w:t>
            </w:r>
          </w:p>
        </w:tc>
        <w:tc>
          <w:tcPr>
            <w:tcW w:w="950" w:type="dxa"/>
            <w:noWrap/>
            <w:vAlign w:val="center"/>
          </w:tcPr>
          <w:p>
            <w:pPr>
              <w:widowControl/>
              <w:spacing w:line="23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指标</w:t>
            </w:r>
            <w:r>
              <w:rPr>
                <w:color w:val="000000"/>
                <w:kern w:val="0"/>
                <w:szCs w:val="21"/>
              </w:rPr>
              <w:t>1:</w:t>
            </w:r>
            <w:r>
              <w:rPr>
                <w:rFonts w:hint="eastAsia"/>
                <w:color w:val="000000"/>
                <w:kern w:val="0"/>
                <w:szCs w:val="21"/>
              </w:rPr>
              <w:t>工作时效</w:t>
            </w:r>
          </w:p>
        </w:tc>
        <w:tc>
          <w:tcPr>
            <w:tcW w:w="1483" w:type="dxa"/>
            <w:noWrap/>
            <w:vAlign w:val="center"/>
          </w:tcPr>
          <w:p>
            <w:pPr>
              <w:widowControl/>
              <w:spacing w:line="23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 xml:space="preserve"> 本年度</w:t>
            </w:r>
          </w:p>
        </w:tc>
        <w:tc>
          <w:tcPr>
            <w:tcW w:w="1898" w:type="dxa"/>
            <w:noWrap/>
            <w:vAlign w:val="center"/>
          </w:tcPr>
          <w:p>
            <w:pPr>
              <w:widowControl/>
              <w:spacing w:line="23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本年度</w:t>
            </w:r>
          </w:p>
        </w:tc>
        <w:tc>
          <w:tcPr>
            <w:tcW w:w="2592" w:type="dxa"/>
            <w:noWrap/>
            <w:vAlign w:val="center"/>
          </w:tcPr>
          <w:p>
            <w:pPr>
              <w:widowControl/>
              <w:spacing w:line="230" w:lineRule="exact"/>
              <w:ind w:firstLine="210" w:firstLineChars="100"/>
              <w:jc w:val="left"/>
              <w:rPr>
                <w:rFonts w:hint="eastAsia"/>
                <w:color w:val="000000"/>
                <w:kern w:val="0"/>
                <w:sz w:val="21"/>
                <w:szCs w:val="21"/>
                <w:lang w:val="en-US" w:eastAsia="zh-CN" w:bidi="ar-SA"/>
              </w:rPr>
            </w:pP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230" w:lineRule="exact"/>
              <w:jc w:val="left"/>
              <w:rPr>
                <w:color w:val="000000"/>
                <w:kern w:val="0"/>
                <w:szCs w:val="21"/>
              </w:rPr>
            </w:pPr>
          </w:p>
        </w:tc>
        <w:tc>
          <w:tcPr>
            <w:tcW w:w="937" w:type="dxa"/>
            <w:vMerge w:val="continue"/>
            <w:noWrap w:val="0"/>
            <w:vAlign w:val="center"/>
          </w:tcPr>
          <w:p>
            <w:pPr>
              <w:widowControl/>
              <w:spacing w:line="230" w:lineRule="exact"/>
              <w:jc w:val="left"/>
              <w:rPr>
                <w:color w:val="000000"/>
                <w:kern w:val="0"/>
                <w:szCs w:val="21"/>
              </w:rPr>
            </w:pPr>
          </w:p>
        </w:tc>
        <w:tc>
          <w:tcPr>
            <w:tcW w:w="856" w:type="dxa"/>
            <w:vMerge w:val="continue"/>
            <w:noWrap w:val="0"/>
            <w:vAlign w:val="center"/>
          </w:tcPr>
          <w:p>
            <w:pPr>
              <w:widowControl/>
              <w:spacing w:line="230" w:lineRule="exact"/>
              <w:jc w:val="left"/>
              <w:rPr>
                <w:color w:val="000000"/>
                <w:kern w:val="0"/>
                <w:szCs w:val="21"/>
              </w:rPr>
            </w:pPr>
          </w:p>
        </w:tc>
        <w:tc>
          <w:tcPr>
            <w:tcW w:w="950" w:type="dxa"/>
            <w:noWrap/>
            <w:vAlign w:val="center"/>
          </w:tcPr>
          <w:p>
            <w:pPr>
              <w:keepNext w:val="0"/>
              <w:keepLines w:val="0"/>
              <w:widowControl/>
              <w:suppressLineNumbers w:val="0"/>
              <w:spacing w:before="0" w:beforeAutospacing="0" w:after="0" w:afterAutospacing="0" w:line="230" w:lineRule="exact"/>
              <w:ind w:left="0" w:leftChars="0" w:right="0" w:rightChars="0"/>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指标2：</w:t>
            </w:r>
            <w:r>
              <w:rPr>
                <w:rFonts w:hint="eastAsia"/>
                <w:color w:val="000000"/>
                <w:kern w:val="0"/>
                <w:szCs w:val="21"/>
                <w:lang w:val="en-US" w:eastAsia="zh-CN"/>
              </w:rPr>
              <w:t>预算执行</w:t>
            </w:r>
            <w:r>
              <w:rPr>
                <w:rFonts w:hint="eastAsia"/>
                <w:color w:val="000000"/>
                <w:kern w:val="0"/>
                <w:szCs w:val="21"/>
              </w:rPr>
              <w:t>进度率</w:t>
            </w:r>
          </w:p>
        </w:tc>
        <w:tc>
          <w:tcPr>
            <w:tcW w:w="1483" w:type="dxa"/>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color w:val="000000"/>
                <w:kern w:val="0"/>
                <w:sz w:val="21"/>
                <w:szCs w:val="21"/>
                <w:lang w:val="en-US" w:eastAsia="zh-CN" w:bidi="ar-SA"/>
              </w:rPr>
            </w:pPr>
            <w:r>
              <w:rPr>
                <w:rStyle w:val="41"/>
                <w:rFonts w:hint="default"/>
                <w:lang w:val="en-US" w:eastAsia="zh-CN" w:bidi="ar"/>
              </w:rPr>
              <w:t>≧</w:t>
            </w:r>
            <w:r>
              <w:rPr>
                <w:rStyle w:val="42"/>
                <w:lang w:val="en-US" w:eastAsia="zh-CN" w:bidi="ar"/>
              </w:rPr>
              <w:t>90%</w:t>
            </w:r>
          </w:p>
        </w:tc>
        <w:tc>
          <w:tcPr>
            <w:tcW w:w="1898" w:type="dxa"/>
            <w:noWrap/>
            <w:vAlign w:val="center"/>
          </w:tcPr>
          <w:p>
            <w:pPr>
              <w:keepNext w:val="0"/>
              <w:keepLines w:val="0"/>
              <w:widowControl/>
              <w:suppressLineNumbers w:val="0"/>
              <w:spacing w:before="0" w:beforeAutospacing="0" w:after="0" w:afterAutospacing="0" w:line="230" w:lineRule="exact"/>
              <w:ind w:left="0" w:leftChars="0" w:right="0" w:rightChars="0"/>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100%</w:t>
            </w:r>
          </w:p>
        </w:tc>
        <w:tc>
          <w:tcPr>
            <w:tcW w:w="2592" w:type="dxa"/>
            <w:noWrap/>
            <w:vAlign w:val="center"/>
          </w:tcPr>
          <w:p>
            <w:pPr>
              <w:widowControl/>
              <w:spacing w:line="230" w:lineRule="exact"/>
              <w:ind w:firstLine="210" w:firstLineChars="100"/>
              <w:jc w:val="left"/>
              <w:rPr>
                <w:rFonts w:hint="eastAsia"/>
                <w:color w:val="000000"/>
                <w:kern w:val="0"/>
                <w:sz w:val="21"/>
                <w:szCs w:val="21"/>
                <w:lang w:val="en-US" w:eastAsia="zh-CN" w:bidi="ar-SA"/>
              </w:rPr>
            </w:pP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230" w:lineRule="exact"/>
              <w:jc w:val="left"/>
              <w:rPr>
                <w:color w:val="000000"/>
                <w:kern w:val="0"/>
                <w:szCs w:val="21"/>
              </w:rPr>
            </w:pPr>
          </w:p>
        </w:tc>
        <w:tc>
          <w:tcPr>
            <w:tcW w:w="937" w:type="dxa"/>
            <w:vMerge w:val="continue"/>
            <w:noWrap w:val="0"/>
            <w:vAlign w:val="center"/>
          </w:tcPr>
          <w:p>
            <w:pPr>
              <w:widowControl/>
              <w:spacing w:line="230" w:lineRule="exact"/>
              <w:jc w:val="left"/>
              <w:rPr>
                <w:color w:val="000000"/>
                <w:kern w:val="0"/>
                <w:szCs w:val="21"/>
              </w:rPr>
            </w:pPr>
          </w:p>
        </w:tc>
        <w:tc>
          <w:tcPr>
            <w:tcW w:w="856" w:type="dxa"/>
            <w:vMerge w:val="continue"/>
            <w:noWrap w:val="0"/>
            <w:vAlign w:val="center"/>
          </w:tcPr>
          <w:p>
            <w:pPr>
              <w:widowControl/>
              <w:spacing w:line="230" w:lineRule="exact"/>
              <w:jc w:val="left"/>
              <w:rPr>
                <w:color w:val="000000"/>
                <w:kern w:val="0"/>
                <w:szCs w:val="21"/>
              </w:rPr>
            </w:pPr>
          </w:p>
        </w:tc>
        <w:tc>
          <w:tcPr>
            <w:tcW w:w="950" w:type="dxa"/>
            <w:noWrap/>
            <w:vAlign w:val="center"/>
          </w:tcPr>
          <w:p>
            <w:pPr>
              <w:keepNext w:val="0"/>
              <w:keepLines w:val="0"/>
              <w:widowControl/>
              <w:suppressLineNumbers w:val="0"/>
              <w:spacing w:before="0" w:beforeAutospacing="0" w:after="0" w:afterAutospacing="0" w:line="230" w:lineRule="exact"/>
              <w:ind w:left="0" w:leftChars="0" w:right="0" w:rightChars="0"/>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rPr>
              <w:t>指标3：资产利用率</w:t>
            </w:r>
          </w:p>
        </w:tc>
        <w:tc>
          <w:tcPr>
            <w:tcW w:w="1483" w:type="dxa"/>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color w:val="000000"/>
                <w:kern w:val="0"/>
                <w:sz w:val="21"/>
                <w:szCs w:val="21"/>
                <w:lang w:val="en-US" w:eastAsia="zh-CN" w:bidi="ar-SA"/>
              </w:rPr>
            </w:pPr>
            <w:r>
              <w:rPr>
                <w:rStyle w:val="41"/>
                <w:rFonts w:hint="default"/>
                <w:lang w:val="en-US" w:eastAsia="zh-CN" w:bidi="ar"/>
              </w:rPr>
              <w:t>≧</w:t>
            </w:r>
            <w:r>
              <w:rPr>
                <w:rStyle w:val="42"/>
                <w:lang w:val="en-US" w:eastAsia="zh-CN" w:bidi="ar"/>
              </w:rPr>
              <w:t>90%</w:t>
            </w:r>
          </w:p>
        </w:tc>
        <w:tc>
          <w:tcPr>
            <w:tcW w:w="1898" w:type="dxa"/>
            <w:noWrap/>
            <w:vAlign w:val="center"/>
          </w:tcPr>
          <w:p>
            <w:pPr>
              <w:keepNext w:val="0"/>
              <w:keepLines w:val="0"/>
              <w:widowControl/>
              <w:suppressLineNumbers w:val="0"/>
              <w:spacing w:before="0" w:beforeAutospacing="0" w:after="0" w:afterAutospacing="0" w:line="230" w:lineRule="exact"/>
              <w:ind w:left="0" w:leftChars="0" w:right="0" w:rightChars="0"/>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100%</w:t>
            </w:r>
          </w:p>
        </w:tc>
        <w:tc>
          <w:tcPr>
            <w:tcW w:w="2592" w:type="dxa"/>
            <w:noWrap/>
            <w:vAlign w:val="center"/>
          </w:tcPr>
          <w:p>
            <w:pPr>
              <w:widowControl/>
              <w:spacing w:line="230" w:lineRule="exact"/>
              <w:ind w:firstLine="210" w:firstLineChars="100"/>
              <w:jc w:val="left"/>
              <w:rPr>
                <w:rFonts w:hint="eastAsia" w:eastAsia="宋体"/>
                <w:color w:val="000000"/>
                <w:kern w:val="0"/>
                <w:sz w:val="21"/>
                <w:szCs w:val="21"/>
                <w:lang w:val="en-US" w:eastAsia="zh-CN" w:bidi="ar-SA"/>
              </w:rPr>
            </w:pP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230" w:lineRule="exact"/>
              <w:jc w:val="left"/>
              <w:rPr>
                <w:color w:val="000000"/>
                <w:kern w:val="0"/>
                <w:szCs w:val="21"/>
              </w:rPr>
            </w:pPr>
          </w:p>
        </w:tc>
        <w:tc>
          <w:tcPr>
            <w:tcW w:w="937" w:type="dxa"/>
            <w:vMerge w:val="restart"/>
            <w:noWrap/>
            <w:vAlign w:val="center"/>
          </w:tcPr>
          <w:p>
            <w:pPr>
              <w:widowControl/>
              <w:spacing w:line="230" w:lineRule="exact"/>
              <w:jc w:val="center"/>
              <w:rPr>
                <w:color w:val="000000"/>
                <w:kern w:val="0"/>
                <w:szCs w:val="21"/>
              </w:rPr>
            </w:pPr>
            <w:r>
              <w:rPr>
                <w:rFonts w:hint="eastAsia"/>
                <w:color w:val="000000"/>
                <w:kern w:val="0"/>
                <w:szCs w:val="21"/>
              </w:rPr>
              <w:t>效益</w:t>
            </w:r>
          </w:p>
          <w:p>
            <w:pPr>
              <w:widowControl/>
              <w:spacing w:line="230" w:lineRule="exact"/>
              <w:jc w:val="center"/>
              <w:rPr>
                <w:color w:val="000000"/>
                <w:kern w:val="0"/>
                <w:szCs w:val="21"/>
              </w:rPr>
            </w:pPr>
            <w:r>
              <w:rPr>
                <w:rFonts w:hint="eastAsia"/>
                <w:color w:val="000000"/>
                <w:kern w:val="0"/>
                <w:szCs w:val="21"/>
              </w:rPr>
              <w:t>指标</w:t>
            </w:r>
          </w:p>
        </w:tc>
        <w:tc>
          <w:tcPr>
            <w:tcW w:w="856" w:type="dxa"/>
            <w:noWrap/>
            <w:vAlign w:val="center"/>
          </w:tcPr>
          <w:p>
            <w:pPr>
              <w:widowControl/>
              <w:spacing w:line="230" w:lineRule="exact"/>
              <w:jc w:val="center"/>
              <w:rPr>
                <w:color w:val="000000"/>
                <w:kern w:val="0"/>
                <w:szCs w:val="21"/>
              </w:rPr>
            </w:pPr>
            <w:r>
              <w:rPr>
                <w:rFonts w:hint="eastAsia"/>
                <w:color w:val="000000"/>
                <w:kern w:val="0"/>
                <w:szCs w:val="21"/>
              </w:rPr>
              <w:t>经济效益指标</w:t>
            </w:r>
          </w:p>
        </w:tc>
        <w:tc>
          <w:tcPr>
            <w:tcW w:w="950" w:type="dxa"/>
            <w:noWrap/>
            <w:vAlign w:val="center"/>
          </w:tcPr>
          <w:p>
            <w:pPr>
              <w:keepNext w:val="0"/>
              <w:keepLines w:val="0"/>
              <w:widowControl/>
              <w:suppressLineNumbers w:val="0"/>
              <w:spacing w:before="0" w:beforeAutospacing="0" w:after="0" w:afterAutospacing="0" w:line="230" w:lineRule="exact"/>
              <w:ind w:left="0" w:leftChars="0" w:right="0" w:rightChars="0"/>
              <w:jc w:val="left"/>
              <w:rPr>
                <w:color w:val="000000"/>
                <w:kern w:val="0"/>
                <w:sz w:val="21"/>
                <w:szCs w:val="21"/>
                <w:lang w:val="en-US" w:eastAsia="zh-CN" w:bidi="ar-SA"/>
              </w:rPr>
            </w:pPr>
            <w:r>
              <w:rPr>
                <w:rFonts w:hint="eastAsia"/>
                <w:color w:val="000000"/>
                <w:kern w:val="0"/>
                <w:szCs w:val="21"/>
              </w:rPr>
              <w:t>指标1：完成国民生产总值任务</w:t>
            </w:r>
          </w:p>
        </w:tc>
        <w:tc>
          <w:tcPr>
            <w:tcW w:w="1483" w:type="dxa"/>
            <w:noWrap/>
            <w:vAlign w:val="center"/>
          </w:tcPr>
          <w:p>
            <w:pPr>
              <w:keepNext w:val="0"/>
              <w:keepLines w:val="0"/>
              <w:widowControl/>
              <w:suppressLineNumbers w:val="0"/>
              <w:spacing w:before="0" w:beforeAutospacing="0" w:after="0" w:afterAutospacing="0"/>
              <w:ind w:left="0" w:leftChars="0" w:right="0" w:rightChars="0"/>
              <w:jc w:val="left"/>
              <w:textAlignment w:val="center"/>
              <w:rPr>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保持GDP增速</w:t>
            </w:r>
          </w:p>
        </w:tc>
        <w:tc>
          <w:tcPr>
            <w:tcW w:w="1898" w:type="dxa"/>
            <w:noWrap/>
            <w:vAlign w:val="center"/>
          </w:tcPr>
          <w:p>
            <w:pPr>
              <w:keepNext w:val="0"/>
              <w:keepLines w:val="0"/>
              <w:widowControl/>
              <w:suppressLineNumbers w:val="0"/>
              <w:spacing w:before="0" w:beforeAutospacing="0" w:after="0" w:afterAutospacing="0" w:line="230" w:lineRule="exact"/>
              <w:ind w:left="0" w:leftChars="0" w:right="0" w:rightChars="0"/>
              <w:jc w:val="left"/>
              <w:rPr>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增长</w:t>
            </w:r>
          </w:p>
        </w:tc>
        <w:tc>
          <w:tcPr>
            <w:tcW w:w="2592" w:type="dxa"/>
            <w:noWrap/>
            <w:vAlign w:val="center"/>
          </w:tcPr>
          <w:p>
            <w:pPr>
              <w:keepNext w:val="0"/>
              <w:keepLines w:val="0"/>
              <w:widowControl/>
              <w:suppressLineNumbers w:val="0"/>
              <w:spacing w:before="0" w:beforeAutospacing="0" w:after="0" w:afterAutospacing="0" w:line="230" w:lineRule="exact"/>
              <w:ind w:left="0" w:leftChars="0" w:right="0" w:rightChars="0" w:firstLine="210" w:firstLineChars="100"/>
              <w:jc w:val="both"/>
              <w:rPr>
                <w:color w:val="000000"/>
                <w:kern w:val="0"/>
                <w:sz w:val="21"/>
                <w:szCs w:val="21"/>
                <w:lang w:val="en-US" w:eastAsia="zh-CN" w:bidi="ar-SA"/>
              </w:rPr>
            </w:pP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230" w:lineRule="exact"/>
              <w:jc w:val="left"/>
              <w:rPr>
                <w:color w:val="000000"/>
                <w:kern w:val="0"/>
                <w:szCs w:val="21"/>
              </w:rPr>
            </w:pPr>
          </w:p>
        </w:tc>
        <w:tc>
          <w:tcPr>
            <w:tcW w:w="937" w:type="dxa"/>
            <w:vMerge w:val="continue"/>
            <w:noWrap w:val="0"/>
            <w:vAlign w:val="center"/>
          </w:tcPr>
          <w:p>
            <w:pPr>
              <w:widowControl/>
              <w:spacing w:line="230" w:lineRule="exact"/>
              <w:jc w:val="left"/>
              <w:rPr>
                <w:color w:val="000000"/>
                <w:kern w:val="0"/>
                <w:szCs w:val="21"/>
              </w:rPr>
            </w:pPr>
          </w:p>
        </w:tc>
        <w:tc>
          <w:tcPr>
            <w:tcW w:w="856" w:type="dxa"/>
            <w:noWrap/>
            <w:vAlign w:val="center"/>
          </w:tcPr>
          <w:p>
            <w:pPr>
              <w:widowControl/>
              <w:spacing w:line="230" w:lineRule="exact"/>
              <w:jc w:val="center"/>
              <w:rPr>
                <w:color w:val="000000"/>
                <w:kern w:val="0"/>
                <w:szCs w:val="21"/>
              </w:rPr>
            </w:pPr>
            <w:r>
              <w:rPr>
                <w:rFonts w:hint="eastAsia"/>
                <w:color w:val="000000"/>
                <w:kern w:val="0"/>
                <w:szCs w:val="21"/>
              </w:rPr>
              <w:t>社会效益指标</w:t>
            </w:r>
          </w:p>
        </w:tc>
        <w:tc>
          <w:tcPr>
            <w:tcW w:w="950" w:type="dxa"/>
            <w:noWrap/>
            <w:vAlign w:val="center"/>
          </w:tcPr>
          <w:p>
            <w:pPr>
              <w:keepNext w:val="0"/>
              <w:keepLines w:val="0"/>
              <w:widowControl/>
              <w:suppressLineNumbers w:val="0"/>
              <w:spacing w:before="0" w:beforeAutospacing="0" w:after="0" w:afterAutospacing="0" w:line="230" w:lineRule="exact"/>
              <w:ind w:left="0" w:leftChars="0" w:right="0" w:rightChars="0"/>
              <w:jc w:val="left"/>
              <w:rPr>
                <w:color w:val="000000"/>
                <w:kern w:val="0"/>
                <w:sz w:val="21"/>
                <w:szCs w:val="21"/>
                <w:lang w:val="en-US" w:eastAsia="zh-CN" w:bidi="ar-SA"/>
              </w:rPr>
            </w:pPr>
            <w:r>
              <w:rPr>
                <w:rFonts w:hint="eastAsia"/>
                <w:color w:val="000000"/>
                <w:kern w:val="0"/>
                <w:szCs w:val="21"/>
              </w:rPr>
              <w:t>指标1：民生事业稳定发展</w:t>
            </w:r>
          </w:p>
        </w:tc>
        <w:tc>
          <w:tcPr>
            <w:tcW w:w="1483" w:type="dxa"/>
            <w:noWrap/>
            <w:vAlign w:val="center"/>
          </w:tcPr>
          <w:p>
            <w:pPr>
              <w:keepNext w:val="0"/>
              <w:keepLines w:val="0"/>
              <w:widowControl/>
              <w:suppressLineNumbers w:val="0"/>
              <w:spacing w:before="0" w:beforeAutospacing="0" w:after="0" w:afterAutospacing="0"/>
              <w:ind w:left="0" w:leftChars="0" w:right="0" w:rightChars="0"/>
              <w:jc w:val="left"/>
              <w:textAlignment w:val="center"/>
              <w:rPr>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持续增长</w:t>
            </w:r>
          </w:p>
        </w:tc>
        <w:tc>
          <w:tcPr>
            <w:tcW w:w="1898" w:type="dxa"/>
            <w:noWrap/>
            <w:vAlign w:val="center"/>
          </w:tcPr>
          <w:p>
            <w:pPr>
              <w:keepNext w:val="0"/>
              <w:keepLines w:val="0"/>
              <w:widowControl/>
              <w:suppressLineNumbers w:val="0"/>
              <w:spacing w:before="0" w:beforeAutospacing="0" w:after="0" w:afterAutospacing="0" w:line="230" w:lineRule="exact"/>
              <w:ind w:left="0" w:leftChars="0" w:right="0" w:rightChars="0"/>
              <w:jc w:val="left"/>
              <w:rPr>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增长</w:t>
            </w:r>
          </w:p>
        </w:tc>
        <w:tc>
          <w:tcPr>
            <w:tcW w:w="2592" w:type="dxa"/>
            <w:noWrap/>
            <w:vAlign w:val="center"/>
          </w:tcPr>
          <w:p>
            <w:pPr>
              <w:keepNext w:val="0"/>
              <w:keepLines w:val="0"/>
              <w:widowControl/>
              <w:suppressLineNumbers w:val="0"/>
              <w:spacing w:before="0" w:beforeAutospacing="0" w:after="0" w:afterAutospacing="0" w:line="230" w:lineRule="exact"/>
              <w:ind w:left="0" w:leftChars="0" w:right="0" w:rightChars="0" w:firstLine="210" w:firstLineChars="100"/>
              <w:jc w:val="both"/>
              <w:rPr>
                <w:color w:val="000000"/>
                <w:kern w:val="0"/>
                <w:sz w:val="21"/>
                <w:szCs w:val="21"/>
                <w:lang w:val="en-US" w:eastAsia="zh-CN" w:bidi="ar-SA"/>
              </w:rPr>
            </w:pP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230" w:lineRule="exact"/>
              <w:jc w:val="left"/>
              <w:rPr>
                <w:color w:val="000000"/>
                <w:kern w:val="0"/>
                <w:szCs w:val="21"/>
              </w:rPr>
            </w:pPr>
          </w:p>
        </w:tc>
        <w:tc>
          <w:tcPr>
            <w:tcW w:w="937" w:type="dxa"/>
            <w:vMerge w:val="continue"/>
            <w:noWrap w:val="0"/>
            <w:vAlign w:val="center"/>
          </w:tcPr>
          <w:p>
            <w:pPr>
              <w:widowControl/>
              <w:spacing w:line="230" w:lineRule="exact"/>
              <w:jc w:val="left"/>
              <w:rPr>
                <w:color w:val="000000"/>
                <w:kern w:val="0"/>
                <w:szCs w:val="21"/>
              </w:rPr>
            </w:pPr>
          </w:p>
        </w:tc>
        <w:tc>
          <w:tcPr>
            <w:tcW w:w="856" w:type="dxa"/>
            <w:vMerge w:val="restart"/>
            <w:noWrap/>
            <w:vAlign w:val="center"/>
          </w:tcPr>
          <w:p>
            <w:pPr>
              <w:widowControl/>
              <w:spacing w:line="230" w:lineRule="exact"/>
              <w:jc w:val="center"/>
              <w:rPr>
                <w:color w:val="000000"/>
                <w:kern w:val="0"/>
                <w:szCs w:val="21"/>
              </w:rPr>
            </w:pPr>
            <w:r>
              <w:rPr>
                <w:rFonts w:hint="eastAsia"/>
                <w:color w:val="000000"/>
                <w:kern w:val="0"/>
                <w:szCs w:val="21"/>
              </w:rPr>
              <w:t>生态效益指标</w:t>
            </w:r>
          </w:p>
        </w:tc>
        <w:tc>
          <w:tcPr>
            <w:tcW w:w="950" w:type="dxa"/>
            <w:noWrap/>
            <w:vAlign w:val="center"/>
          </w:tcPr>
          <w:p>
            <w:pPr>
              <w:keepNext w:val="0"/>
              <w:keepLines w:val="0"/>
              <w:widowControl/>
              <w:suppressLineNumbers w:val="0"/>
              <w:spacing w:before="0" w:beforeAutospacing="0" w:after="0" w:afterAutospacing="0" w:line="230" w:lineRule="exact"/>
              <w:ind w:left="0" w:leftChars="0" w:right="0" w:rightChars="0"/>
              <w:jc w:val="left"/>
              <w:rPr>
                <w:color w:val="000000"/>
                <w:kern w:val="0"/>
                <w:sz w:val="21"/>
                <w:szCs w:val="21"/>
                <w:lang w:val="en-US" w:eastAsia="zh-CN" w:bidi="ar-SA"/>
              </w:rPr>
            </w:pPr>
            <w:r>
              <w:rPr>
                <w:rFonts w:hint="eastAsia"/>
                <w:color w:val="000000"/>
                <w:kern w:val="0"/>
                <w:szCs w:val="21"/>
              </w:rPr>
              <w:t>指标1：城乡环境可持续发展</w:t>
            </w:r>
          </w:p>
        </w:tc>
        <w:tc>
          <w:tcPr>
            <w:tcW w:w="1483" w:type="dxa"/>
            <w:noWrap/>
            <w:vAlign w:val="center"/>
          </w:tcPr>
          <w:p>
            <w:pPr>
              <w:keepNext w:val="0"/>
              <w:keepLines w:val="0"/>
              <w:widowControl/>
              <w:suppressLineNumbers w:val="0"/>
              <w:spacing w:before="0" w:beforeAutospacing="0" w:after="0" w:afterAutospacing="0"/>
              <w:ind w:left="0" w:leftChars="0" w:right="0" w:rightChars="0"/>
              <w:jc w:val="left"/>
              <w:textAlignment w:val="center"/>
              <w:rPr>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可持续</w:t>
            </w:r>
          </w:p>
        </w:tc>
        <w:tc>
          <w:tcPr>
            <w:tcW w:w="1898" w:type="dxa"/>
            <w:noWrap/>
            <w:vAlign w:val="center"/>
          </w:tcPr>
          <w:p>
            <w:pPr>
              <w:keepNext w:val="0"/>
              <w:keepLines w:val="0"/>
              <w:widowControl/>
              <w:suppressLineNumbers w:val="0"/>
              <w:spacing w:before="0" w:beforeAutospacing="0" w:after="0" w:afterAutospacing="0" w:line="230" w:lineRule="exact"/>
              <w:ind w:left="0" w:leftChars="0" w:right="0" w:rightChars="0"/>
              <w:jc w:val="left"/>
              <w:rPr>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　可持续</w:t>
            </w:r>
          </w:p>
        </w:tc>
        <w:tc>
          <w:tcPr>
            <w:tcW w:w="2592" w:type="dxa"/>
            <w:noWrap/>
            <w:vAlign w:val="center"/>
          </w:tcPr>
          <w:p>
            <w:pPr>
              <w:ind w:firstLine="210" w:firstLineChars="100"/>
              <w:rPr>
                <w:kern w:val="2"/>
                <w:sz w:val="21"/>
                <w:szCs w:val="24"/>
                <w:lang w:val="en-US" w:eastAsia="zh-CN" w:bidi="ar-SA"/>
              </w:rPr>
            </w:pP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230" w:lineRule="exact"/>
              <w:jc w:val="left"/>
              <w:rPr>
                <w:color w:val="000000"/>
                <w:kern w:val="0"/>
                <w:szCs w:val="21"/>
              </w:rPr>
            </w:pPr>
          </w:p>
        </w:tc>
        <w:tc>
          <w:tcPr>
            <w:tcW w:w="937" w:type="dxa"/>
            <w:vMerge w:val="continue"/>
            <w:noWrap w:val="0"/>
            <w:vAlign w:val="center"/>
          </w:tcPr>
          <w:p>
            <w:pPr>
              <w:widowControl/>
              <w:spacing w:line="230" w:lineRule="exact"/>
              <w:jc w:val="left"/>
              <w:rPr>
                <w:color w:val="000000"/>
                <w:kern w:val="0"/>
                <w:szCs w:val="21"/>
              </w:rPr>
            </w:pPr>
          </w:p>
        </w:tc>
        <w:tc>
          <w:tcPr>
            <w:tcW w:w="856" w:type="dxa"/>
            <w:vMerge w:val="continue"/>
            <w:noWrap w:val="0"/>
            <w:vAlign w:val="center"/>
          </w:tcPr>
          <w:p>
            <w:pPr>
              <w:widowControl/>
              <w:spacing w:line="230" w:lineRule="exact"/>
              <w:jc w:val="left"/>
              <w:rPr>
                <w:color w:val="000000"/>
                <w:kern w:val="0"/>
                <w:szCs w:val="21"/>
              </w:rPr>
            </w:pPr>
          </w:p>
        </w:tc>
        <w:tc>
          <w:tcPr>
            <w:tcW w:w="950" w:type="dxa"/>
            <w:noWrap/>
            <w:vAlign w:val="center"/>
          </w:tcPr>
          <w:p>
            <w:pPr>
              <w:keepNext w:val="0"/>
              <w:keepLines w:val="0"/>
              <w:widowControl/>
              <w:suppressLineNumbers w:val="0"/>
              <w:spacing w:before="0" w:beforeAutospacing="0" w:after="0" w:afterAutospacing="0" w:line="230" w:lineRule="exact"/>
              <w:ind w:left="0" w:leftChars="0" w:right="0" w:rightChars="0"/>
              <w:jc w:val="left"/>
              <w:rPr>
                <w:color w:val="000000"/>
                <w:kern w:val="0"/>
                <w:sz w:val="21"/>
                <w:szCs w:val="21"/>
                <w:lang w:val="en-US" w:eastAsia="zh-CN" w:bidi="ar-SA"/>
              </w:rPr>
            </w:pPr>
            <w:r>
              <w:rPr>
                <w:rFonts w:hint="eastAsia"/>
                <w:color w:val="000000"/>
                <w:kern w:val="0"/>
                <w:szCs w:val="21"/>
              </w:rPr>
              <w:t>指标2：人居环境持续改善</w:t>
            </w:r>
          </w:p>
        </w:tc>
        <w:tc>
          <w:tcPr>
            <w:tcW w:w="1483" w:type="dxa"/>
            <w:noWrap/>
            <w:vAlign w:val="center"/>
          </w:tcPr>
          <w:p>
            <w:pPr>
              <w:keepNext w:val="0"/>
              <w:keepLines w:val="0"/>
              <w:widowControl/>
              <w:suppressLineNumbers w:val="0"/>
              <w:spacing w:before="0" w:beforeAutospacing="0" w:after="0" w:afterAutospacing="0"/>
              <w:ind w:left="0" w:leftChars="0" w:right="0" w:rightChars="0"/>
              <w:jc w:val="left"/>
              <w:textAlignment w:val="center"/>
              <w:rPr>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持续提升</w:t>
            </w:r>
          </w:p>
        </w:tc>
        <w:tc>
          <w:tcPr>
            <w:tcW w:w="1898" w:type="dxa"/>
            <w:noWrap/>
            <w:vAlign w:val="center"/>
          </w:tcPr>
          <w:p>
            <w:pPr>
              <w:keepNext w:val="0"/>
              <w:keepLines w:val="0"/>
              <w:widowControl/>
              <w:suppressLineNumbers w:val="0"/>
              <w:spacing w:before="0" w:beforeAutospacing="0" w:after="0" w:afterAutospacing="0" w:line="230" w:lineRule="exact"/>
              <w:ind w:left="0" w:leftChars="0" w:right="0" w:rightChars="0"/>
              <w:jc w:val="left"/>
              <w:rPr>
                <w:rFonts w:hint="default" w:eastAsia="宋体"/>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持续提升</w:t>
            </w:r>
          </w:p>
        </w:tc>
        <w:tc>
          <w:tcPr>
            <w:tcW w:w="2592" w:type="dxa"/>
            <w:noWrap/>
            <w:vAlign w:val="center"/>
          </w:tcPr>
          <w:p>
            <w:pPr>
              <w:keepNext w:val="0"/>
              <w:keepLines w:val="0"/>
              <w:widowControl/>
              <w:suppressLineNumbers w:val="0"/>
              <w:spacing w:before="0" w:beforeAutospacing="0" w:after="0" w:afterAutospacing="0" w:line="230" w:lineRule="exact"/>
              <w:ind w:left="0" w:leftChars="0" w:right="0" w:rightChars="0" w:firstLine="210" w:firstLineChars="100"/>
              <w:jc w:val="left"/>
              <w:rPr>
                <w:rFonts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230" w:lineRule="exact"/>
              <w:jc w:val="left"/>
              <w:rPr>
                <w:color w:val="000000"/>
                <w:kern w:val="0"/>
                <w:szCs w:val="21"/>
              </w:rPr>
            </w:pPr>
          </w:p>
        </w:tc>
        <w:tc>
          <w:tcPr>
            <w:tcW w:w="937" w:type="dxa"/>
            <w:vMerge w:val="continue"/>
            <w:noWrap w:val="0"/>
            <w:vAlign w:val="center"/>
          </w:tcPr>
          <w:p>
            <w:pPr>
              <w:widowControl/>
              <w:spacing w:line="230" w:lineRule="exact"/>
              <w:jc w:val="left"/>
              <w:rPr>
                <w:color w:val="000000"/>
                <w:kern w:val="0"/>
                <w:szCs w:val="21"/>
              </w:rPr>
            </w:pPr>
          </w:p>
        </w:tc>
        <w:tc>
          <w:tcPr>
            <w:tcW w:w="856" w:type="dxa"/>
            <w:noWrap/>
            <w:vAlign w:val="center"/>
          </w:tcPr>
          <w:p>
            <w:pPr>
              <w:widowControl/>
              <w:spacing w:line="230" w:lineRule="exact"/>
              <w:jc w:val="center"/>
              <w:rPr>
                <w:color w:val="000000"/>
                <w:kern w:val="0"/>
                <w:szCs w:val="21"/>
              </w:rPr>
            </w:pPr>
            <w:r>
              <w:rPr>
                <w:rFonts w:hint="eastAsia"/>
                <w:color w:val="000000"/>
                <w:kern w:val="0"/>
                <w:szCs w:val="21"/>
              </w:rPr>
              <w:t>可持续影响指标</w:t>
            </w:r>
          </w:p>
        </w:tc>
        <w:tc>
          <w:tcPr>
            <w:tcW w:w="950" w:type="dxa"/>
            <w:noWrap/>
            <w:vAlign w:val="center"/>
          </w:tcPr>
          <w:p>
            <w:pPr>
              <w:keepNext w:val="0"/>
              <w:keepLines w:val="0"/>
              <w:widowControl/>
              <w:suppressLineNumbers w:val="0"/>
              <w:spacing w:before="0" w:beforeAutospacing="0" w:after="0" w:afterAutospacing="0" w:line="230" w:lineRule="exact"/>
              <w:ind w:left="0" w:leftChars="0" w:right="0" w:rightChars="0"/>
              <w:jc w:val="left"/>
              <w:rPr>
                <w:color w:val="000000"/>
                <w:kern w:val="0"/>
                <w:sz w:val="21"/>
                <w:szCs w:val="21"/>
                <w:lang w:val="en-US" w:eastAsia="zh-CN" w:bidi="ar-SA"/>
              </w:rPr>
            </w:pPr>
            <w:r>
              <w:rPr>
                <w:rFonts w:hint="eastAsia"/>
                <w:color w:val="000000"/>
                <w:kern w:val="0"/>
                <w:szCs w:val="21"/>
              </w:rPr>
              <w:t>指标1：促进群众增收致富</w:t>
            </w:r>
          </w:p>
        </w:tc>
        <w:tc>
          <w:tcPr>
            <w:tcW w:w="1483" w:type="dxa"/>
            <w:noWrap/>
            <w:vAlign w:val="center"/>
          </w:tcPr>
          <w:p>
            <w:pPr>
              <w:keepNext w:val="0"/>
              <w:keepLines w:val="0"/>
              <w:widowControl/>
              <w:suppressLineNumbers w:val="0"/>
              <w:spacing w:before="0" w:beforeAutospacing="0" w:after="0" w:afterAutospacing="0"/>
              <w:ind w:left="0" w:leftChars="0" w:right="0" w:rightChars="0"/>
              <w:jc w:val="left"/>
              <w:textAlignment w:val="center"/>
              <w:rPr>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持续增长</w:t>
            </w:r>
          </w:p>
        </w:tc>
        <w:tc>
          <w:tcPr>
            <w:tcW w:w="1898" w:type="dxa"/>
            <w:noWrap/>
            <w:vAlign w:val="center"/>
          </w:tcPr>
          <w:p>
            <w:pPr>
              <w:keepNext w:val="0"/>
              <w:keepLines w:val="0"/>
              <w:widowControl/>
              <w:suppressLineNumbers w:val="0"/>
              <w:spacing w:before="0" w:beforeAutospacing="0" w:after="0" w:afterAutospacing="0" w:line="230" w:lineRule="exact"/>
              <w:ind w:left="0" w:leftChars="0" w:right="0" w:rightChars="0"/>
              <w:jc w:val="left"/>
              <w:rPr>
                <w:color w:val="000000"/>
                <w:kern w:val="0"/>
                <w:sz w:val="21"/>
                <w:szCs w:val="21"/>
                <w:lang w:val="en-US" w:eastAsia="zh-CN" w:bidi="ar-SA"/>
              </w:rPr>
            </w:pPr>
            <w:r>
              <w:rPr>
                <w:rFonts w:hint="eastAsia"/>
                <w:color w:val="000000"/>
                <w:kern w:val="0"/>
                <w:szCs w:val="21"/>
              </w:rPr>
              <w:t>　</w:t>
            </w:r>
            <w:r>
              <w:rPr>
                <w:rFonts w:hint="eastAsia" w:ascii="宋体" w:hAnsi="宋体" w:eastAsia="宋体" w:cs="宋体"/>
                <w:i w:val="0"/>
                <w:iCs w:val="0"/>
                <w:color w:val="000000"/>
                <w:kern w:val="0"/>
                <w:sz w:val="24"/>
                <w:szCs w:val="24"/>
                <w:u w:val="none"/>
                <w:lang w:val="en-US" w:eastAsia="zh-CN" w:bidi="ar"/>
              </w:rPr>
              <w:t>增长</w:t>
            </w:r>
          </w:p>
        </w:tc>
        <w:tc>
          <w:tcPr>
            <w:tcW w:w="2592" w:type="dxa"/>
            <w:noWrap/>
            <w:vAlign w:val="center"/>
          </w:tcPr>
          <w:p>
            <w:pPr>
              <w:keepNext w:val="0"/>
              <w:keepLines w:val="0"/>
              <w:widowControl/>
              <w:suppressLineNumbers w:val="0"/>
              <w:spacing w:before="0" w:beforeAutospacing="0" w:after="0" w:afterAutospacing="0" w:line="230" w:lineRule="exact"/>
              <w:ind w:left="0" w:leftChars="0" w:right="0" w:rightChars="0" w:firstLine="210" w:firstLineChars="100"/>
              <w:jc w:val="both"/>
              <w:rPr>
                <w:color w:val="000000"/>
                <w:kern w:val="0"/>
                <w:sz w:val="21"/>
                <w:szCs w:val="21"/>
                <w:lang w:val="en-US" w:eastAsia="zh-CN" w:bidi="ar-SA"/>
              </w:rPr>
            </w:pP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900" w:type="dxa"/>
            <w:vMerge w:val="continue"/>
            <w:noWrap w:val="0"/>
            <w:vAlign w:val="center"/>
          </w:tcPr>
          <w:p>
            <w:pPr>
              <w:widowControl/>
              <w:spacing w:line="230" w:lineRule="exact"/>
              <w:jc w:val="left"/>
              <w:rPr>
                <w:color w:val="000000"/>
                <w:kern w:val="0"/>
                <w:szCs w:val="21"/>
              </w:rPr>
            </w:pPr>
          </w:p>
        </w:tc>
        <w:tc>
          <w:tcPr>
            <w:tcW w:w="937" w:type="dxa"/>
            <w:noWrap/>
            <w:vAlign w:val="center"/>
          </w:tcPr>
          <w:p>
            <w:pPr>
              <w:widowControl/>
              <w:spacing w:line="230" w:lineRule="exact"/>
              <w:jc w:val="center"/>
              <w:rPr>
                <w:color w:val="000000"/>
                <w:kern w:val="0"/>
                <w:szCs w:val="21"/>
              </w:rPr>
            </w:pPr>
            <w:r>
              <w:rPr>
                <w:rFonts w:hint="eastAsia"/>
                <w:color w:val="000000"/>
                <w:kern w:val="0"/>
                <w:szCs w:val="21"/>
              </w:rPr>
              <w:t>满意度</w:t>
            </w:r>
          </w:p>
          <w:p>
            <w:pPr>
              <w:widowControl/>
              <w:spacing w:line="230" w:lineRule="exact"/>
              <w:jc w:val="center"/>
              <w:rPr>
                <w:color w:val="000000"/>
                <w:kern w:val="0"/>
                <w:szCs w:val="21"/>
              </w:rPr>
            </w:pPr>
            <w:r>
              <w:rPr>
                <w:rFonts w:hint="eastAsia"/>
                <w:color w:val="000000"/>
                <w:kern w:val="0"/>
                <w:szCs w:val="21"/>
              </w:rPr>
              <w:t>指标</w:t>
            </w:r>
          </w:p>
        </w:tc>
        <w:tc>
          <w:tcPr>
            <w:tcW w:w="856" w:type="dxa"/>
            <w:noWrap/>
            <w:vAlign w:val="center"/>
          </w:tcPr>
          <w:p>
            <w:pPr>
              <w:widowControl/>
              <w:spacing w:line="230" w:lineRule="exact"/>
              <w:jc w:val="center"/>
              <w:rPr>
                <w:color w:val="000000"/>
                <w:kern w:val="0"/>
                <w:szCs w:val="21"/>
              </w:rPr>
            </w:pPr>
            <w:r>
              <w:rPr>
                <w:rFonts w:hint="eastAsia"/>
                <w:color w:val="000000"/>
                <w:kern w:val="0"/>
                <w:szCs w:val="21"/>
              </w:rPr>
              <w:t>满意度指标</w:t>
            </w:r>
          </w:p>
        </w:tc>
        <w:tc>
          <w:tcPr>
            <w:tcW w:w="950" w:type="dxa"/>
            <w:noWrap/>
            <w:vAlign w:val="center"/>
          </w:tcPr>
          <w:p>
            <w:pPr>
              <w:widowControl/>
              <w:spacing w:line="23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指标</w:t>
            </w:r>
            <w:r>
              <w:rPr>
                <w:color w:val="000000"/>
                <w:kern w:val="0"/>
                <w:szCs w:val="21"/>
              </w:rPr>
              <w:t>1:</w:t>
            </w:r>
            <w:r>
              <w:rPr>
                <w:rFonts w:hint="eastAsia"/>
                <w:color w:val="000000"/>
                <w:kern w:val="0"/>
                <w:szCs w:val="21"/>
              </w:rPr>
              <w:t>群众满意度</w:t>
            </w:r>
          </w:p>
        </w:tc>
        <w:tc>
          <w:tcPr>
            <w:tcW w:w="1483" w:type="dxa"/>
            <w:noWrap/>
            <w:vAlign w:val="center"/>
          </w:tcPr>
          <w:p>
            <w:pPr>
              <w:widowControl/>
              <w:spacing w:line="23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90%</w:t>
            </w:r>
          </w:p>
        </w:tc>
        <w:tc>
          <w:tcPr>
            <w:tcW w:w="1898" w:type="dxa"/>
            <w:noWrap/>
            <w:vAlign w:val="center"/>
          </w:tcPr>
          <w:p>
            <w:pPr>
              <w:widowControl/>
              <w:spacing w:line="23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96%</w:t>
            </w:r>
          </w:p>
        </w:tc>
        <w:tc>
          <w:tcPr>
            <w:tcW w:w="2592" w:type="dxa"/>
            <w:noWrap/>
            <w:vAlign w:val="center"/>
          </w:tcPr>
          <w:p>
            <w:pPr>
              <w:widowControl/>
              <w:spacing w:line="23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无</w:t>
            </w:r>
          </w:p>
        </w:tc>
      </w:tr>
    </w:tbl>
    <w:p>
      <w:pPr>
        <w:pStyle w:val="8"/>
        <w:spacing w:before="93"/>
        <w:rPr>
          <w:rFonts w:hAnsi="宋体" w:cs="宋体"/>
          <w:sz w:val="32"/>
          <w:szCs w:val="32"/>
          <w:shd w:val="clear" w:color="auto" w:fill="FFFFFF"/>
          <w:lang w:val="zh-CN"/>
        </w:rPr>
      </w:pPr>
    </w:p>
    <w:p>
      <w:pPr>
        <w:pStyle w:val="8"/>
        <w:spacing w:before="93"/>
        <w:rPr>
          <w:rFonts w:hAnsi="宋体" w:cs="宋体"/>
          <w:sz w:val="32"/>
          <w:szCs w:val="32"/>
          <w:shd w:val="clear" w:color="auto" w:fill="FFFFFF"/>
          <w:lang w:val="zh-CN"/>
        </w:rPr>
      </w:pPr>
    </w:p>
    <w:p>
      <w:pPr>
        <w:pStyle w:val="8"/>
        <w:spacing w:before="93"/>
        <w:rPr>
          <w:rFonts w:hAnsi="宋体" w:cs="宋体"/>
          <w:sz w:val="32"/>
          <w:szCs w:val="32"/>
          <w:shd w:val="clear" w:color="auto" w:fill="FFFFFF"/>
          <w:lang w:val="zh-CN"/>
        </w:rPr>
      </w:pPr>
    </w:p>
    <w:p>
      <w:pPr>
        <w:pStyle w:val="8"/>
        <w:spacing w:before="93"/>
        <w:rPr>
          <w:rFonts w:hAnsi="宋体" w:cs="宋体"/>
          <w:sz w:val="32"/>
          <w:szCs w:val="32"/>
          <w:shd w:val="clear" w:color="auto" w:fill="FFFFFF"/>
          <w:lang w:val="zh-CN"/>
        </w:rPr>
      </w:pPr>
    </w:p>
    <w:p>
      <w:pPr>
        <w:pStyle w:val="8"/>
        <w:spacing w:before="93"/>
        <w:rPr>
          <w:rFonts w:hAnsi="宋体" w:cs="宋体"/>
          <w:sz w:val="32"/>
          <w:szCs w:val="32"/>
          <w:shd w:val="clear" w:color="auto" w:fill="FFFFFF"/>
          <w:lang w:val="zh-CN"/>
        </w:rPr>
      </w:pPr>
    </w:p>
    <w:p>
      <w:pPr>
        <w:pStyle w:val="8"/>
        <w:spacing w:before="93"/>
        <w:rPr>
          <w:rFonts w:hAnsi="宋体" w:cs="宋体"/>
          <w:sz w:val="32"/>
          <w:szCs w:val="32"/>
          <w:shd w:val="clear" w:color="auto" w:fill="FFFFFF"/>
          <w:lang w:val="zh-CN"/>
        </w:rPr>
      </w:pPr>
    </w:p>
    <w:p>
      <w:pPr>
        <w:pStyle w:val="8"/>
        <w:spacing w:before="93"/>
        <w:rPr>
          <w:rFonts w:hAnsi="宋体" w:cs="宋体"/>
          <w:sz w:val="32"/>
          <w:szCs w:val="32"/>
          <w:shd w:val="clear" w:color="auto" w:fill="FFFFFF"/>
          <w:lang w:val="zh-CN"/>
        </w:rPr>
      </w:pPr>
    </w:p>
    <w:p>
      <w:pPr>
        <w:pStyle w:val="8"/>
        <w:spacing w:before="93"/>
        <w:rPr>
          <w:rFonts w:hAnsi="宋体" w:cs="宋体"/>
          <w:sz w:val="32"/>
          <w:szCs w:val="32"/>
          <w:shd w:val="clear" w:color="auto" w:fill="FFFFFF"/>
          <w:lang w:val="zh-CN"/>
        </w:rPr>
      </w:pPr>
    </w:p>
    <w:p>
      <w:pPr>
        <w:pStyle w:val="8"/>
        <w:spacing w:before="93"/>
        <w:rPr>
          <w:rFonts w:hAnsi="宋体" w:cs="宋体"/>
          <w:sz w:val="32"/>
          <w:szCs w:val="32"/>
          <w:shd w:val="clear" w:color="auto" w:fill="FFFFFF"/>
          <w:lang w:val="zh-CN"/>
        </w:rPr>
      </w:pPr>
    </w:p>
    <w:p>
      <w:pPr>
        <w:pStyle w:val="8"/>
        <w:spacing w:before="93"/>
        <w:rPr>
          <w:rFonts w:hAnsi="宋体" w:cs="宋体"/>
          <w:sz w:val="32"/>
          <w:szCs w:val="32"/>
          <w:shd w:val="clear" w:color="auto" w:fill="FFFFFF"/>
          <w:lang w:val="zh-CN"/>
        </w:rPr>
      </w:pPr>
    </w:p>
    <w:p>
      <w:pPr>
        <w:pStyle w:val="8"/>
        <w:spacing w:before="93"/>
        <w:rPr>
          <w:rFonts w:hAnsi="宋体" w:cs="宋体"/>
          <w:sz w:val="32"/>
          <w:szCs w:val="32"/>
          <w:shd w:val="clear" w:color="auto" w:fill="FFFFFF"/>
          <w:lang w:val="zh-CN"/>
        </w:rPr>
      </w:pPr>
    </w:p>
    <w:p>
      <w:pPr>
        <w:pStyle w:val="8"/>
        <w:spacing w:before="93"/>
        <w:rPr>
          <w:rFonts w:hAnsi="宋体" w:cs="宋体"/>
          <w:sz w:val="32"/>
          <w:szCs w:val="32"/>
          <w:shd w:val="clear" w:color="auto" w:fill="FFFFFF"/>
          <w:lang w:val="zh-CN"/>
        </w:rPr>
      </w:pPr>
    </w:p>
    <w:p>
      <w:pPr>
        <w:pStyle w:val="8"/>
        <w:spacing w:before="93"/>
        <w:rPr>
          <w:rFonts w:hAnsi="宋体" w:cs="宋体"/>
          <w:sz w:val="32"/>
          <w:szCs w:val="32"/>
          <w:shd w:val="clear" w:color="auto" w:fill="FFFFFF"/>
          <w:lang w:val="zh-CN"/>
        </w:rPr>
      </w:pPr>
    </w:p>
    <w:p>
      <w:pPr>
        <w:pStyle w:val="8"/>
        <w:spacing w:before="93"/>
        <w:rPr>
          <w:rFonts w:hAnsi="宋体" w:cs="宋体"/>
          <w:sz w:val="32"/>
          <w:szCs w:val="32"/>
          <w:shd w:val="clear" w:color="auto" w:fill="FFFFFF"/>
          <w:lang w:val="zh-CN"/>
        </w:rPr>
      </w:pPr>
    </w:p>
    <w:p>
      <w:pPr>
        <w:pStyle w:val="8"/>
        <w:spacing w:before="93"/>
        <w:rPr>
          <w:rFonts w:hAnsi="宋体" w:cs="宋体"/>
          <w:sz w:val="32"/>
          <w:szCs w:val="32"/>
          <w:shd w:val="clear" w:color="auto" w:fill="FFFFFF"/>
          <w:lang w:val="zh-CN"/>
        </w:rPr>
      </w:pPr>
    </w:p>
    <w:p>
      <w:pPr>
        <w:spacing w:line="580" w:lineRule="exact"/>
        <w:rPr>
          <w:rStyle w:val="32"/>
          <w:rFonts w:ascii="黑体" w:hAnsi="黑体" w:eastAsia="黑体"/>
          <w:b w:val="0"/>
        </w:rPr>
      </w:pPr>
    </w:p>
    <w:p>
      <w:pPr>
        <w:pStyle w:val="8"/>
        <w:spacing w:before="93"/>
        <w:rPr>
          <w:rFonts w:hint="eastAsia" w:hAnsi="宋体" w:cs="宋体"/>
          <w:sz w:val="32"/>
          <w:szCs w:val="32"/>
          <w:shd w:val="clear" w:color="auto" w:fill="FFFFFF"/>
          <w:lang w:val="zh-CN"/>
        </w:rPr>
      </w:pPr>
    </w:p>
    <w:p>
      <w:pPr>
        <w:pStyle w:val="8"/>
        <w:spacing w:before="93"/>
        <w:rPr>
          <w:rFonts w:hint="eastAsia" w:hAnsi="宋体" w:cs="宋体"/>
          <w:sz w:val="32"/>
          <w:szCs w:val="32"/>
          <w:shd w:val="clear" w:color="auto" w:fill="FFFFFF"/>
          <w:lang w:val="zh-CN"/>
        </w:rPr>
      </w:pPr>
    </w:p>
    <w:p>
      <w:pPr>
        <w:pStyle w:val="8"/>
        <w:spacing w:before="93"/>
        <w:rPr>
          <w:rFonts w:hint="eastAsia" w:hAnsi="宋体" w:cs="宋体"/>
          <w:sz w:val="32"/>
          <w:szCs w:val="32"/>
          <w:shd w:val="clear" w:color="auto" w:fill="FFFFFF"/>
          <w:lang w:val="zh-CN"/>
        </w:rPr>
      </w:pPr>
    </w:p>
    <w:p>
      <w:pPr>
        <w:spacing w:line="580" w:lineRule="exact"/>
        <w:jc w:val="center"/>
        <w:rPr>
          <w:rFonts w:eastAsia="方正小标宋简体"/>
          <w:sz w:val="44"/>
          <w:szCs w:val="44"/>
        </w:rPr>
      </w:pPr>
      <w:r>
        <w:rPr>
          <w:rFonts w:eastAsia="方正小标宋简体"/>
          <w:sz w:val="44"/>
          <w:szCs w:val="44"/>
        </w:rPr>
        <w:t>20</w:t>
      </w:r>
      <w:r>
        <w:rPr>
          <w:rFonts w:hint="eastAsia" w:eastAsia="方正小标宋简体"/>
          <w:sz w:val="44"/>
          <w:szCs w:val="44"/>
          <w:lang w:val="en-US" w:eastAsia="zh-CN"/>
        </w:rPr>
        <w:t>22</w:t>
      </w:r>
      <w:r>
        <w:rPr>
          <w:rFonts w:hint="eastAsia" w:eastAsia="方正小标宋简体"/>
          <w:sz w:val="44"/>
          <w:szCs w:val="44"/>
        </w:rPr>
        <w:t>年乐至县项目支出绩效自评报告</w:t>
      </w:r>
    </w:p>
    <w:p>
      <w:pPr>
        <w:spacing w:line="580" w:lineRule="exact"/>
        <w:jc w:val="center"/>
        <w:rPr>
          <w:rFonts w:hint="eastAsia" w:eastAsia="方正楷体简体"/>
          <w:b/>
          <w:sz w:val="32"/>
          <w:szCs w:val="32"/>
        </w:rPr>
      </w:pPr>
      <w:r>
        <w:rPr>
          <w:rFonts w:hint="eastAsia" w:eastAsia="方正楷体简体"/>
          <w:b/>
          <w:sz w:val="32"/>
          <w:szCs w:val="32"/>
        </w:rPr>
        <w:t>（</w:t>
      </w:r>
      <w:r>
        <w:rPr>
          <w:rFonts w:hint="eastAsia" w:eastAsia="方正楷体简体"/>
          <w:b/>
          <w:sz w:val="32"/>
          <w:szCs w:val="32"/>
          <w:lang w:eastAsia="zh-CN"/>
        </w:rPr>
        <w:t>川能投服务费</w:t>
      </w:r>
      <w:r>
        <w:rPr>
          <w:rFonts w:hint="eastAsia" w:eastAsia="方正楷体简体"/>
          <w:b/>
          <w:sz w:val="32"/>
          <w:szCs w:val="32"/>
        </w:rPr>
        <w:t>）</w:t>
      </w:r>
    </w:p>
    <w:p>
      <w:pPr>
        <w:spacing w:line="580" w:lineRule="exact"/>
        <w:ind w:firstLine="560" w:firstLineChars="200"/>
        <w:rPr>
          <w:rFonts w:hint="eastAsia" w:eastAsia="方正仿宋简体"/>
          <w:sz w:val="28"/>
          <w:szCs w:val="28"/>
          <w:lang w:val="en-US" w:eastAsia="zh-CN"/>
        </w:rPr>
      </w:pPr>
      <w:r>
        <w:rPr>
          <w:rFonts w:hint="eastAsia" w:eastAsia="方正仿宋简体"/>
          <w:sz w:val="28"/>
          <w:szCs w:val="28"/>
          <w:lang w:val="en-US" w:eastAsia="zh-CN"/>
        </w:rPr>
        <w:t>按照乐至县财政局要求，我镇高度重视，认真组织开展劳动镇川能投服务费支出绩效自评，现将自评工作总结如下。</w:t>
      </w:r>
    </w:p>
    <w:p>
      <w:pPr>
        <w:spacing w:line="580" w:lineRule="exact"/>
        <w:ind w:firstLine="640" w:firstLineChars="200"/>
        <w:rPr>
          <w:rFonts w:eastAsia="方正黑体简体"/>
          <w:sz w:val="32"/>
          <w:szCs w:val="32"/>
        </w:rPr>
      </w:pPr>
      <w:r>
        <w:rPr>
          <w:rFonts w:hint="eastAsia" w:eastAsia="方正黑体简体"/>
          <w:sz w:val="32"/>
          <w:szCs w:val="32"/>
        </w:rPr>
        <w:t>一、项目基本情况</w:t>
      </w:r>
    </w:p>
    <w:p>
      <w:pPr>
        <w:spacing w:line="580" w:lineRule="exact"/>
        <w:ind w:firstLine="643" w:firstLineChars="200"/>
        <w:rPr>
          <w:rFonts w:eastAsia="方正楷体简体"/>
          <w:b/>
          <w:sz w:val="32"/>
          <w:szCs w:val="32"/>
        </w:rPr>
      </w:pPr>
      <w:r>
        <w:rPr>
          <w:rFonts w:hint="eastAsia" w:eastAsia="方正楷体简体"/>
          <w:b/>
          <w:sz w:val="32"/>
          <w:szCs w:val="32"/>
        </w:rPr>
        <w:t>（一）概况</w:t>
      </w:r>
    </w:p>
    <w:p>
      <w:pPr>
        <w:pStyle w:val="8"/>
        <w:keepNext w:val="0"/>
        <w:keepLines w:val="0"/>
        <w:pageBreakBefore w:val="0"/>
        <w:widowControl w:val="0"/>
        <w:kinsoku/>
        <w:wordWrap/>
        <w:overflowPunct/>
        <w:topLinePunct w:val="0"/>
        <w:autoSpaceDE/>
        <w:autoSpaceDN/>
        <w:bidi w:val="0"/>
        <w:adjustRightInd/>
        <w:snapToGrid/>
        <w:spacing w:after="0" w:line="590" w:lineRule="exact"/>
        <w:ind w:firstLine="548" w:firstLineChars="196"/>
        <w:textAlignment w:val="auto"/>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1.立项背景及目的。完成清洁维护及垃圾清运等，改善群众生活条件，提升群众满意度及获得感。</w:t>
      </w:r>
    </w:p>
    <w:p>
      <w:pPr>
        <w:spacing w:line="580" w:lineRule="exact"/>
        <w:ind w:firstLine="560" w:firstLineChars="200"/>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2.预算资金来源及使用情况。项目全年预算数</w:t>
      </w:r>
      <w:r>
        <w:rPr>
          <w:rFonts w:hint="eastAsia" w:eastAsia="方正仿宋简体" w:cs="Times New Roman"/>
          <w:kern w:val="2"/>
          <w:sz w:val="28"/>
          <w:szCs w:val="28"/>
          <w:lang w:val="en-US" w:eastAsia="zh-CN" w:bidi="ar-SA"/>
        </w:rPr>
        <w:t>35</w:t>
      </w:r>
      <w:r>
        <w:rPr>
          <w:rFonts w:hint="eastAsia" w:ascii="Times New Roman" w:hAnsi="Times New Roman" w:eastAsia="方正仿宋简体" w:cs="Times New Roman"/>
          <w:kern w:val="2"/>
          <w:sz w:val="28"/>
          <w:szCs w:val="28"/>
          <w:lang w:val="en-US" w:eastAsia="zh-CN" w:bidi="ar-SA"/>
        </w:rPr>
        <w:t>万元，执行数为</w:t>
      </w:r>
      <w:r>
        <w:rPr>
          <w:rFonts w:hint="eastAsia" w:eastAsia="方正仿宋简体" w:cs="Times New Roman"/>
          <w:kern w:val="2"/>
          <w:sz w:val="28"/>
          <w:szCs w:val="28"/>
          <w:lang w:val="en-US" w:eastAsia="zh-CN" w:bidi="ar-SA"/>
        </w:rPr>
        <w:t>35</w:t>
      </w:r>
      <w:r>
        <w:rPr>
          <w:rFonts w:hint="eastAsia" w:ascii="Times New Roman" w:hAnsi="Times New Roman" w:eastAsia="方正仿宋简体" w:cs="Times New Roman"/>
          <w:kern w:val="2"/>
          <w:sz w:val="28"/>
          <w:szCs w:val="28"/>
          <w:lang w:val="en-US" w:eastAsia="zh-CN" w:bidi="ar-SA"/>
        </w:rPr>
        <w:t>万元，完成预算的100%。</w:t>
      </w:r>
    </w:p>
    <w:p>
      <w:pPr>
        <w:spacing w:line="580" w:lineRule="exact"/>
        <w:ind w:firstLine="560" w:firstLineChars="200"/>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3.组织实施情况。</w:t>
      </w:r>
      <w:r>
        <w:rPr>
          <w:rFonts w:hint="eastAsia" w:eastAsia="方正仿宋简体" w:cs="Times New Roman"/>
          <w:kern w:val="2"/>
          <w:sz w:val="28"/>
          <w:szCs w:val="28"/>
          <w:lang w:val="en-US" w:eastAsia="zh-CN" w:bidi="ar-SA"/>
        </w:rPr>
        <w:t>以购买服务的形式，由各村（社区）对清扫人员工作情况考核，拨付资金。</w:t>
      </w:r>
    </w:p>
    <w:p>
      <w:pPr>
        <w:spacing w:line="580" w:lineRule="exact"/>
        <w:ind w:firstLine="643" w:firstLineChars="200"/>
        <w:rPr>
          <w:rFonts w:eastAsia="方正楷体简体"/>
          <w:b/>
          <w:sz w:val="32"/>
          <w:szCs w:val="32"/>
        </w:rPr>
      </w:pPr>
      <w:r>
        <w:rPr>
          <w:rFonts w:hint="eastAsia" w:eastAsia="方正楷体简体"/>
          <w:b/>
          <w:sz w:val="32"/>
          <w:szCs w:val="32"/>
        </w:rPr>
        <w:t>（二）绩效目标</w:t>
      </w:r>
    </w:p>
    <w:p>
      <w:pPr>
        <w:spacing w:line="580" w:lineRule="exact"/>
        <w:ind w:firstLine="560" w:firstLineChars="200"/>
        <w:rPr>
          <w:rFonts w:eastAsia="方正仿宋简体"/>
          <w:sz w:val="32"/>
          <w:szCs w:val="32"/>
        </w:rPr>
      </w:pPr>
      <w:r>
        <w:rPr>
          <w:rFonts w:hint="eastAsia" w:eastAsia="方正仿宋简体"/>
          <w:sz w:val="28"/>
          <w:szCs w:val="28"/>
          <w:lang w:val="en-US" w:eastAsia="zh-CN"/>
        </w:rPr>
        <w:t>绩效总体目标是保障</w:t>
      </w:r>
      <w:r>
        <w:rPr>
          <w:rFonts w:hint="eastAsia" w:eastAsia="方正仿宋简体" w:cs="Times New Roman"/>
          <w:kern w:val="2"/>
          <w:sz w:val="28"/>
          <w:szCs w:val="28"/>
          <w:lang w:val="en-US" w:eastAsia="zh-CN" w:bidi="ar-SA"/>
        </w:rPr>
        <w:t>川能投服务费工作</w:t>
      </w:r>
      <w:r>
        <w:rPr>
          <w:rFonts w:hint="eastAsia" w:eastAsia="方正仿宋简体"/>
          <w:sz w:val="28"/>
          <w:szCs w:val="28"/>
          <w:lang w:val="en-US" w:eastAsia="zh-CN"/>
        </w:rPr>
        <w:t>顺利实施，数量指标：清洁打扫及垃圾清运的村（社区）大于等于</w:t>
      </w:r>
      <w:r>
        <w:rPr>
          <w:rFonts w:hint="eastAsia" w:eastAsia="方正仿宋简体" w:cs="Times New Roman"/>
          <w:kern w:val="2"/>
          <w:sz w:val="28"/>
          <w:szCs w:val="28"/>
          <w:lang w:val="en-US" w:eastAsia="zh-CN" w:bidi="ar-SA"/>
        </w:rPr>
        <w:t>16个</w:t>
      </w:r>
      <w:r>
        <w:rPr>
          <w:rFonts w:hint="eastAsia" w:eastAsia="方正仿宋简体"/>
          <w:sz w:val="28"/>
          <w:szCs w:val="28"/>
          <w:lang w:val="en-US" w:eastAsia="zh-CN"/>
        </w:rPr>
        <w:t>。质量指标：垃圾清运率达到98%以上；时效指标：本年度完成；成本指标：资金投入小于等于16万元；社会效益指标：改善群众生产生活条件，提升群众满意度；满意度指标：受益群众满意度大于98%。</w:t>
      </w:r>
    </w:p>
    <w:p>
      <w:pPr>
        <w:spacing w:line="580" w:lineRule="exact"/>
        <w:ind w:firstLine="640" w:firstLineChars="200"/>
        <w:rPr>
          <w:rFonts w:eastAsia="方正黑体简体"/>
          <w:sz w:val="32"/>
          <w:szCs w:val="32"/>
        </w:rPr>
      </w:pPr>
      <w:r>
        <w:rPr>
          <w:rFonts w:hint="eastAsia" w:eastAsia="方正黑体简体"/>
          <w:sz w:val="32"/>
          <w:szCs w:val="32"/>
        </w:rPr>
        <w:t>二、绩效自评工作情况</w:t>
      </w:r>
    </w:p>
    <w:p>
      <w:pPr>
        <w:spacing w:line="580" w:lineRule="exact"/>
        <w:ind w:firstLine="560" w:firstLineChars="200"/>
        <w:rPr>
          <w:rFonts w:hint="eastAsia" w:eastAsia="方正仿宋简体"/>
          <w:sz w:val="28"/>
          <w:szCs w:val="28"/>
          <w:lang w:val="en-US" w:eastAsia="zh-CN"/>
        </w:rPr>
      </w:pPr>
      <w:r>
        <w:rPr>
          <w:rFonts w:hint="eastAsia" w:eastAsia="方正仿宋简体"/>
          <w:sz w:val="28"/>
          <w:szCs w:val="28"/>
          <w:lang w:val="en-US" w:eastAsia="zh-CN"/>
        </w:rPr>
        <w:t>镇党委政府高中重视绩效自评工作，成立了绩效自评领导小组，组长由镇长担任。自评工作由绩效自评工作小组完成，完成对项目执行中对项目绩效目标实现程度和预算执行进度自评。具体就是对项目完成数量、质量、时效、成本等情况，对照项目计划完成目标，对截止评价时点的任务量完成、质量标准、进度计划、成本控制目标的实现程度进行评价，并进行分析说明。</w:t>
      </w:r>
    </w:p>
    <w:p>
      <w:pPr>
        <w:spacing w:line="580" w:lineRule="exact"/>
        <w:ind w:firstLine="640" w:firstLineChars="200"/>
        <w:rPr>
          <w:rFonts w:eastAsia="方正黑体简体"/>
          <w:sz w:val="32"/>
          <w:szCs w:val="32"/>
        </w:rPr>
      </w:pPr>
      <w:r>
        <w:rPr>
          <w:rFonts w:hint="eastAsia" w:eastAsia="方正黑体简体"/>
          <w:sz w:val="32"/>
          <w:szCs w:val="32"/>
        </w:rPr>
        <w:t>三、评价结论</w:t>
      </w:r>
    </w:p>
    <w:p>
      <w:pPr>
        <w:spacing w:line="580" w:lineRule="exact"/>
        <w:ind w:firstLine="560" w:firstLineChars="200"/>
        <w:rPr>
          <w:rFonts w:hint="eastAsia" w:ascii="Times New Roman" w:hAnsi="Times New Roman" w:eastAsia="方正仿宋简体" w:cs="Times New Roman"/>
          <w:kern w:val="2"/>
          <w:sz w:val="28"/>
          <w:szCs w:val="28"/>
          <w:lang w:val="en-US" w:eastAsia="zh-CN" w:bidi="ar-SA"/>
        </w:rPr>
      </w:pPr>
      <w:r>
        <w:rPr>
          <w:rFonts w:hint="eastAsia" w:eastAsia="方正仿宋简体"/>
          <w:sz w:val="28"/>
          <w:szCs w:val="28"/>
          <w:lang w:val="en-US" w:eastAsia="zh-CN"/>
        </w:rPr>
        <w:t>严格按照投入、过程、产出、效果等指标评分，自评等级为良。</w:t>
      </w:r>
    </w:p>
    <w:p>
      <w:pPr>
        <w:spacing w:line="580" w:lineRule="exact"/>
        <w:ind w:firstLine="640" w:firstLineChars="200"/>
        <w:rPr>
          <w:rFonts w:eastAsia="方正黑体简体"/>
          <w:sz w:val="32"/>
          <w:szCs w:val="32"/>
        </w:rPr>
      </w:pPr>
      <w:r>
        <w:rPr>
          <w:rFonts w:hint="eastAsia" w:eastAsia="方正黑体简体"/>
          <w:sz w:val="32"/>
          <w:szCs w:val="32"/>
        </w:rPr>
        <w:t>四、绩效分析</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Times New Roman" w:hAnsi="Times New Roman" w:eastAsia="方正仿宋简体" w:cs="Times New Roman"/>
          <w:kern w:val="2"/>
          <w:sz w:val="28"/>
          <w:szCs w:val="28"/>
          <w:lang w:val="en-US" w:eastAsia="zh-CN" w:bidi="ar-SA"/>
        </w:rPr>
      </w:pPr>
      <w:r>
        <w:rPr>
          <w:rFonts w:hint="eastAsia" w:eastAsia="方正仿宋简体" w:cs="Times New Roman"/>
          <w:kern w:val="2"/>
          <w:sz w:val="28"/>
          <w:szCs w:val="28"/>
          <w:lang w:val="en-US" w:eastAsia="zh-CN" w:bidi="ar-SA"/>
        </w:rPr>
        <w:t>1、</w:t>
      </w:r>
      <w:r>
        <w:rPr>
          <w:rFonts w:hint="eastAsia" w:ascii="Times New Roman" w:hAnsi="Times New Roman" w:eastAsia="方正仿宋简体" w:cs="Times New Roman"/>
          <w:kern w:val="2"/>
          <w:sz w:val="28"/>
          <w:szCs w:val="28"/>
          <w:lang w:val="en-US" w:eastAsia="zh-CN" w:bidi="ar-SA"/>
        </w:rPr>
        <w:t>项目资金到位情况分析</w:t>
      </w:r>
      <w:r>
        <w:rPr>
          <w:rFonts w:hint="eastAsia" w:eastAsia="方正仿宋简体" w:cs="Times New Roman"/>
          <w:kern w:val="2"/>
          <w:sz w:val="28"/>
          <w:szCs w:val="28"/>
          <w:lang w:val="en-US" w:eastAsia="zh-CN" w:bidi="ar-SA"/>
        </w:rPr>
        <w:t>。2022年下达川能投服务费35万元，资金</w:t>
      </w:r>
      <w:r>
        <w:rPr>
          <w:rFonts w:hint="eastAsia" w:ascii="Times New Roman" w:hAnsi="Times New Roman" w:eastAsia="方正仿宋简体" w:cs="Times New Roman"/>
          <w:kern w:val="2"/>
          <w:sz w:val="28"/>
          <w:szCs w:val="28"/>
          <w:lang w:val="en-US" w:eastAsia="zh-CN" w:bidi="ar-SA"/>
        </w:rPr>
        <w:t>到位率</w:t>
      </w:r>
      <w:r>
        <w:rPr>
          <w:rFonts w:hint="eastAsia" w:eastAsia="方正仿宋简体" w:cs="Times New Roman"/>
          <w:kern w:val="2"/>
          <w:sz w:val="28"/>
          <w:szCs w:val="28"/>
          <w:lang w:val="en-US" w:eastAsia="zh-CN" w:bidi="ar-SA"/>
        </w:rPr>
        <w:t>100</w:t>
      </w:r>
      <w:r>
        <w:rPr>
          <w:rFonts w:hint="eastAsia" w:ascii="Times New Roman" w:hAnsi="Times New Roman" w:eastAsia="方正仿宋简体" w:cs="Times New Roman"/>
          <w:kern w:val="2"/>
          <w:sz w:val="28"/>
          <w:szCs w:val="28"/>
          <w:lang w:val="en-US" w:eastAsia="zh-CN" w:bidi="ar-SA"/>
        </w:rPr>
        <w:t>%。2、项目资金执行情况分析</w:t>
      </w:r>
      <w:r>
        <w:rPr>
          <w:rFonts w:hint="eastAsia" w:eastAsia="方正仿宋简体" w:cs="Times New Roman"/>
          <w:kern w:val="2"/>
          <w:sz w:val="28"/>
          <w:szCs w:val="28"/>
          <w:lang w:val="en-US" w:eastAsia="zh-CN" w:bidi="ar-SA"/>
        </w:rPr>
        <w:t>。</w:t>
      </w:r>
      <w:r>
        <w:rPr>
          <w:rFonts w:hint="eastAsia" w:ascii="Times New Roman" w:hAnsi="Times New Roman" w:eastAsia="方正仿宋简体" w:cs="Times New Roman"/>
          <w:kern w:val="2"/>
          <w:sz w:val="28"/>
          <w:szCs w:val="28"/>
          <w:lang w:val="en-US" w:eastAsia="zh-CN" w:bidi="ar-SA"/>
        </w:rPr>
        <w:t>项目资金按要求</w:t>
      </w:r>
      <w:r>
        <w:rPr>
          <w:rFonts w:hint="eastAsia" w:eastAsia="方正仿宋简体" w:cs="Times New Roman"/>
          <w:kern w:val="2"/>
          <w:sz w:val="28"/>
          <w:szCs w:val="28"/>
          <w:lang w:val="en-US" w:eastAsia="zh-CN" w:bidi="ar-SA"/>
        </w:rPr>
        <w:t>用于人大换届工作</w:t>
      </w:r>
      <w:r>
        <w:rPr>
          <w:rFonts w:hint="eastAsia" w:ascii="Times New Roman" w:hAnsi="Times New Roman" w:eastAsia="方正仿宋简体" w:cs="Times New Roman"/>
          <w:kern w:val="2"/>
          <w:sz w:val="28"/>
          <w:szCs w:val="28"/>
          <w:lang w:val="en-US" w:eastAsia="zh-CN" w:bidi="ar-SA"/>
        </w:rPr>
        <w:t>，资金执行率为100%；3、项目资金管理情况分析</w:t>
      </w:r>
      <w:r>
        <w:rPr>
          <w:rFonts w:hint="eastAsia" w:eastAsia="方正仿宋简体" w:cs="Times New Roman"/>
          <w:kern w:val="2"/>
          <w:sz w:val="28"/>
          <w:szCs w:val="28"/>
          <w:lang w:val="en-US" w:eastAsia="zh-CN" w:bidi="ar-SA"/>
        </w:rPr>
        <w:t>。</w:t>
      </w:r>
      <w:r>
        <w:rPr>
          <w:rFonts w:hint="eastAsia" w:ascii="Times New Roman" w:hAnsi="Times New Roman" w:eastAsia="方正仿宋简体" w:cs="Times New Roman"/>
          <w:kern w:val="2"/>
          <w:sz w:val="28"/>
          <w:szCs w:val="28"/>
          <w:lang w:val="en-US" w:eastAsia="zh-CN" w:bidi="ar-SA"/>
        </w:rPr>
        <w:t>项目资金无挪用、截留情况。统一使用管理，规范了资金来源、支出范围、使用管理、监督管理，</w:t>
      </w:r>
      <w:r>
        <w:rPr>
          <w:rFonts w:hint="eastAsia" w:eastAsia="方正仿宋简体" w:cs="Times New Roman"/>
          <w:kern w:val="2"/>
          <w:sz w:val="28"/>
          <w:szCs w:val="28"/>
          <w:lang w:val="en-US" w:eastAsia="zh-CN" w:bidi="ar-SA"/>
        </w:rPr>
        <w:t>目前项目施工完成，达到了预期效果</w:t>
      </w:r>
      <w:r>
        <w:rPr>
          <w:rFonts w:hint="eastAsia" w:ascii="Times New Roman" w:hAnsi="Times New Roman" w:eastAsia="方正仿宋简体" w:cs="Times New Roman"/>
          <w:kern w:val="2"/>
          <w:sz w:val="28"/>
          <w:szCs w:val="28"/>
          <w:lang w:val="en-US" w:eastAsia="zh-CN" w:bidi="ar-SA"/>
        </w:rPr>
        <w:t>。</w:t>
      </w:r>
    </w:p>
    <w:p>
      <w:pPr>
        <w:spacing w:line="580" w:lineRule="exact"/>
        <w:ind w:firstLine="640" w:firstLineChars="200"/>
        <w:rPr>
          <w:rFonts w:eastAsia="方正黑体简体"/>
          <w:sz w:val="32"/>
          <w:szCs w:val="32"/>
        </w:rPr>
      </w:pPr>
      <w:r>
        <w:rPr>
          <w:rFonts w:hint="eastAsia" w:eastAsia="方正黑体简体"/>
          <w:sz w:val="32"/>
          <w:szCs w:val="32"/>
        </w:rPr>
        <w:t>五、主要经验及做法、存在的问题和建议</w:t>
      </w:r>
    </w:p>
    <w:p>
      <w:pPr>
        <w:spacing w:line="580" w:lineRule="exact"/>
        <w:ind w:firstLine="560" w:firstLineChars="200"/>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完善对补助建设项目形成资产的管护。建立健全各项运行</w:t>
      </w:r>
      <w:r>
        <w:rPr>
          <w:rFonts w:hint="eastAsia" w:eastAsia="方正仿宋简体" w:cs="Times New Roman"/>
          <w:kern w:val="2"/>
          <w:sz w:val="28"/>
          <w:szCs w:val="28"/>
          <w:lang w:val="en-US" w:eastAsia="zh-CN" w:bidi="ar-SA"/>
        </w:rPr>
        <w:t>管护</w:t>
      </w:r>
      <w:r>
        <w:rPr>
          <w:rFonts w:hint="eastAsia" w:ascii="Times New Roman" w:hAnsi="Times New Roman" w:eastAsia="方正仿宋简体" w:cs="Times New Roman"/>
          <w:kern w:val="2"/>
          <w:sz w:val="28"/>
          <w:szCs w:val="28"/>
          <w:lang w:val="en-US" w:eastAsia="zh-CN" w:bidi="ar-SA"/>
        </w:rPr>
        <w:t>制度，制定管护措施、落实管护责任，保证项目正常运转，发挥长期效益。</w:t>
      </w:r>
    </w:p>
    <w:p>
      <w:pPr>
        <w:spacing w:line="580" w:lineRule="exact"/>
        <w:ind w:firstLine="560" w:firstLineChars="200"/>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附件：1.2021年度乐至县项目支出绩效自评计分表</w:t>
      </w:r>
    </w:p>
    <w:p>
      <w:pPr>
        <w:spacing w:line="580" w:lineRule="exact"/>
        <w:ind w:firstLine="1400" w:firstLineChars="500"/>
        <w:rPr>
          <w:rFonts w:ascii="宋体" w:hAnsi="宋体" w:eastAsia="方正小标宋简体"/>
          <w:bCs/>
          <w:kern w:val="0"/>
          <w:sz w:val="40"/>
          <w:szCs w:val="40"/>
        </w:rPr>
        <w:sectPr>
          <w:pgSz w:w="11907" w:h="16840"/>
          <w:pgMar w:top="2098" w:right="1474" w:bottom="1928" w:left="1588" w:header="851" w:footer="992" w:gutter="0"/>
          <w:cols w:space="425" w:num="1"/>
          <w:docGrid w:type="lines" w:linePitch="312" w:charSpace="0"/>
        </w:sectPr>
      </w:pPr>
      <w:r>
        <w:rPr>
          <w:rFonts w:hint="eastAsia" w:ascii="Times New Roman" w:hAnsi="Times New Roman" w:eastAsia="方正仿宋简体" w:cs="Times New Roman"/>
          <w:kern w:val="2"/>
          <w:sz w:val="28"/>
          <w:szCs w:val="28"/>
          <w:lang w:val="en-US" w:eastAsia="zh-CN" w:bidi="ar-SA"/>
        </w:rPr>
        <w:t>2.2021年度乐至县项目支出绩效目标完成情况表</w:t>
      </w:r>
    </w:p>
    <w:p>
      <w:pPr>
        <w:spacing w:line="620" w:lineRule="exact"/>
        <w:jc w:val="left"/>
        <w:rPr>
          <w:rFonts w:eastAsia="方正黑体简体"/>
          <w:bCs/>
          <w:kern w:val="0"/>
          <w:sz w:val="32"/>
          <w:szCs w:val="32"/>
        </w:rPr>
      </w:pPr>
      <w:r>
        <w:rPr>
          <w:rFonts w:hint="eastAsia" w:eastAsia="方正黑体简体"/>
          <w:bCs/>
          <w:kern w:val="0"/>
          <w:sz w:val="32"/>
          <w:szCs w:val="32"/>
        </w:rPr>
        <w:t>附件</w:t>
      </w:r>
      <w:r>
        <w:rPr>
          <w:rFonts w:eastAsia="方正黑体简体"/>
          <w:bCs/>
          <w:kern w:val="0"/>
          <w:sz w:val="32"/>
          <w:szCs w:val="32"/>
        </w:rPr>
        <w:t>1</w:t>
      </w:r>
    </w:p>
    <w:p>
      <w:pPr>
        <w:spacing w:line="620" w:lineRule="exact"/>
        <w:jc w:val="center"/>
        <w:rPr>
          <w:rFonts w:eastAsia="方正小标宋简体"/>
          <w:bCs/>
          <w:kern w:val="0"/>
          <w:sz w:val="44"/>
          <w:szCs w:val="44"/>
        </w:rPr>
      </w:pPr>
      <w:r>
        <w:rPr>
          <w:rFonts w:hint="eastAsia" w:eastAsia="方正小标宋简体"/>
          <w:bCs/>
          <w:kern w:val="0"/>
          <w:sz w:val="44"/>
          <w:szCs w:val="44"/>
          <w:lang w:val="en-US" w:eastAsia="zh-CN"/>
        </w:rPr>
        <w:t>2022</w:t>
      </w:r>
      <w:r>
        <w:rPr>
          <w:rFonts w:hint="eastAsia" w:eastAsia="方正小标宋简体"/>
          <w:bCs/>
          <w:kern w:val="0"/>
          <w:sz w:val="44"/>
          <w:szCs w:val="44"/>
        </w:rPr>
        <w:t>年度乐至县项目支出绩效自评计分表</w:t>
      </w:r>
    </w:p>
    <w:p>
      <w:pPr>
        <w:spacing w:line="620" w:lineRule="exact"/>
        <w:jc w:val="center"/>
        <w:rPr>
          <w:rFonts w:eastAsia="方正楷体简体"/>
          <w:b/>
          <w:bCs/>
          <w:kern w:val="0"/>
          <w:sz w:val="32"/>
          <w:szCs w:val="32"/>
        </w:rPr>
      </w:pPr>
      <w:r>
        <w:rPr>
          <w:rFonts w:hint="eastAsia" w:eastAsia="方正楷体简体"/>
          <w:b/>
          <w:bCs/>
          <w:kern w:val="0"/>
          <w:sz w:val="32"/>
          <w:szCs w:val="32"/>
        </w:rPr>
        <w:t>（</w:t>
      </w:r>
      <w:r>
        <w:rPr>
          <w:rFonts w:hint="eastAsia" w:eastAsia="方正楷体简体"/>
          <w:b/>
          <w:sz w:val="32"/>
          <w:szCs w:val="32"/>
          <w:lang w:eastAsia="zh-CN"/>
        </w:rPr>
        <w:t>202</w:t>
      </w:r>
      <w:r>
        <w:rPr>
          <w:rFonts w:hint="eastAsia" w:eastAsia="方正楷体简体"/>
          <w:b/>
          <w:sz w:val="32"/>
          <w:szCs w:val="32"/>
          <w:lang w:val="en-US" w:eastAsia="zh-CN"/>
        </w:rPr>
        <w:t>2</w:t>
      </w:r>
      <w:r>
        <w:rPr>
          <w:rFonts w:hint="eastAsia" w:eastAsia="方正楷体简体"/>
          <w:b/>
          <w:sz w:val="32"/>
          <w:szCs w:val="32"/>
          <w:lang w:eastAsia="zh-CN"/>
        </w:rPr>
        <w:t>年川能投服务</w:t>
      </w:r>
      <w:r>
        <w:rPr>
          <w:rFonts w:hint="eastAsia" w:eastAsia="方正楷体简体"/>
          <w:b/>
          <w:bCs/>
          <w:kern w:val="0"/>
          <w:sz w:val="32"/>
          <w:szCs w:val="32"/>
        </w:rPr>
        <w:t>）</w:t>
      </w:r>
    </w:p>
    <w:p>
      <w:pPr>
        <w:spacing w:line="620" w:lineRule="exact"/>
        <w:rPr>
          <w:rFonts w:hint="eastAsia" w:eastAsia="宋体"/>
          <w:sz w:val="24"/>
          <w:lang w:val="en-US" w:eastAsia="zh-CN"/>
        </w:rPr>
      </w:pPr>
      <w:r>
        <w:rPr>
          <w:rFonts w:hint="eastAsia"/>
          <w:bCs/>
          <w:kern w:val="0"/>
          <w:sz w:val="24"/>
        </w:rPr>
        <w:t>预算单位名称：</w:t>
      </w:r>
      <w:r>
        <w:rPr>
          <w:rFonts w:hint="eastAsia"/>
          <w:bCs/>
          <w:kern w:val="0"/>
          <w:sz w:val="24"/>
          <w:lang w:val="en-US" w:eastAsia="zh-CN"/>
        </w:rPr>
        <w:t>乐至县劳动镇人民政府</w:t>
      </w:r>
      <w:r>
        <w:rPr>
          <w:bCs/>
          <w:kern w:val="0"/>
          <w:sz w:val="24"/>
        </w:rPr>
        <w:t xml:space="preserve">  </w:t>
      </w:r>
      <w:r>
        <w:rPr>
          <w:rFonts w:hint="eastAsia"/>
          <w:bCs/>
          <w:kern w:val="0"/>
          <w:sz w:val="24"/>
        </w:rPr>
        <w:t>预算单位编码：</w:t>
      </w:r>
      <w:r>
        <w:rPr>
          <w:rFonts w:hint="eastAsia"/>
          <w:bCs/>
          <w:kern w:val="0"/>
          <w:sz w:val="24"/>
          <w:lang w:val="en-US" w:eastAsia="zh-CN"/>
        </w:rPr>
        <w:t>317001</w:t>
      </w:r>
      <w:r>
        <w:rPr>
          <w:bCs/>
          <w:kern w:val="0"/>
          <w:sz w:val="24"/>
        </w:rPr>
        <w:t xml:space="preserve">   </w:t>
      </w:r>
      <w:r>
        <w:rPr>
          <w:rFonts w:hint="eastAsia"/>
          <w:bCs/>
          <w:kern w:val="0"/>
          <w:sz w:val="24"/>
        </w:rPr>
        <w:t>自评等级：</w:t>
      </w:r>
      <w:r>
        <w:rPr>
          <w:rFonts w:hint="eastAsia"/>
          <w:bCs/>
          <w:kern w:val="0"/>
          <w:sz w:val="24"/>
          <w:lang w:val="en-US" w:eastAsia="zh-CN"/>
        </w:rPr>
        <w:t>良</w:t>
      </w:r>
    </w:p>
    <w:tbl>
      <w:tblPr>
        <w:tblStyle w:val="19"/>
        <w:tblW w:w="51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714"/>
        <w:gridCol w:w="702"/>
        <w:gridCol w:w="851"/>
        <w:gridCol w:w="1700"/>
        <w:gridCol w:w="3539"/>
        <w:gridCol w:w="707"/>
        <w:gridCol w:w="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9" w:hRule="atLeast"/>
          <w:tblHeader/>
          <w:jc w:val="center"/>
        </w:trPr>
        <w:tc>
          <w:tcPr>
            <w:tcW w:w="392"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一级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385"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二级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467"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三级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933"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指标解释</w:t>
            </w:r>
          </w:p>
        </w:tc>
        <w:tc>
          <w:tcPr>
            <w:tcW w:w="1942"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指标说明（评价计分标准）</w:t>
            </w:r>
          </w:p>
        </w:tc>
        <w:tc>
          <w:tcPr>
            <w:tcW w:w="388"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自评</w:t>
            </w:r>
          </w:p>
          <w:p>
            <w:pPr>
              <w:widowControl/>
              <w:spacing w:line="240" w:lineRule="exact"/>
              <w:jc w:val="center"/>
              <w:rPr>
                <w:rFonts w:eastAsia="方正黑体简体"/>
                <w:bCs/>
                <w:kern w:val="0"/>
                <w:szCs w:val="21"/>
              </w:rPr>
            </w:pPr>
            <w:r>
              <w:rPr>
                <w:rFonts w:hint="eastAsia" w:eastAsia="方正黑体简体"/>
                <w:bCs/>
                <w:kern w:val="0"/>
                <w:szCs w:val="21"/>
              </w:rPr>
              <w:t>分数</w:t>
            </w:r>
          </w:p>
        </w:tc>
        <w:tc>
          <w:tcPr>
            <w:tcW w:w="493"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自评依据及说明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392"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投</w:t>
            </w:r>
            <w:r>
              <w:rPr>
                <w:kern w:val="0"/>
                <w:szCs w:val="21"/>
              </w:rPr>
              <w:t xml:space="preserve">   </w:t>
            </w:r>
            <w:r>
              <w:rPr>
                <w:rFonts w:hint="eastAsia"/>
                <w:kern w:val="0"/>
                <w:szCs w:val="21"/>
              </w:rPr>
              <w:t>入（</w:t>
            </w:r>
            <w:r>
              <w:rPr>
                <w:kern w:val="0"/>
                <w:szCs w:val="21"/>
              </w:rPr>
              <w:t>25</w:t>
            </w:r>
            <w:r>
              <w:rPr>
                <w:rFonts w:hint="eastAsia"/>
                <w:kern w:val="0"/>
                <w:szCs w:val="21"/>
              </w:rPr>
              <w:t>分）</w:t>
            </w:r>
          </w:p>
        </w:tc>
        <w:tc>
          <w:tcPr>
            <w:tcW w:w="385"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立项（</w:t>
            </w:r>
            <w:r>
              <w:rPr>
                <w:kern w:val="0"/>
                <w:szCs w:val="21"/>
              </w:rPr>
              <w:t>15</w:t>
            </w:r>
            <w:r>
              <w:rPr>
                <w:rFonts w:hint="eastAsia"/>
                <w:kern w:val="0"/>
                <w:szCs w:val="21"/>
              </w:rPr>
              <w:t>分）</w:t>
            </w: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项目立项规范性（</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项目的申请、设立过程是否符合相关要求，用以反映和考核项目立项的规范情况。</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①项目是否按照规定的程序申请设立；（</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②所提交的文件、材料是否符合相关要求；（</w:t>
            </w:r>
            <w:r>
              <w:rPr>
                <w:kern w:val="0"/>
                <w:szCs w:val="21"/>
              </w:rPr>
              <w:t>2</w:t>
            </w:r>
            <w:r>
              <w:rPr>
                <w:rFonts w:hint="eastAsia"/>
                <w:kern w:val="0"/>
                <w:szCs w:val="21"/>
              </w:rPr>
              <w:t>分）</w:t>
            </w:r>
          </w:p>
          <w:p>
            <w:pPr>
              <w:widowControl/>
              <w:spacing w:line="240" w:lineRule="exact"/>
              <w:jc w:val="left"/>
              <w:rPr>
                <w:kern w:val="0"/>
                <w:szCs w:val="21"/>
              </w:rPr>
            </w:pPr>
            <w:r>
              <w:rPr>
                <w:rFonts w:hint="eastAsia"/>
                <w:kern w:val="0"/>
                <w:szCs w:val="21"/>
              </w:rPr>
              <w:t>③事前是否已经过必要的可行性研究、专家论证、风险评估、集体决策等。（</w:t>
            </w:r>
            <w:r>
              <w:rPr>
                <w:kern w:val="0"/>
                <w:szCs w:val="21"/>
              </w:rPr>
              <w:t>2</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3</w:t>
            </w:r>
          </w:p>
        </w:tc>
        <w:tc>
          <w:tcPr>
            <w:tcW w:w="493" w:type="pct"/>
            <w:noWrap/>
            <w:vAlign w:val="center"/>
          </w:tcPr>
          <w:p>
            <w:pPr>
              <w:widowControl/>
              <w:spacing w:line="240" w:lineRule="exact"/>
              <w:jc w:val="left"/>
              <w:rPr>
                <w:rFonts w:hint="default" w:eastAsia="宋体"/>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8"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绩效目标合理性（</w:t>
            </w:r>
            <w:r>
              <w:rPr>
                <w:kern w:val="0"/>
                <w:szCs w:val="21"/>
              </w:rPr>
              <w:t>4</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项目所设定的绩效目标是否依据充分，是否符合客观实际，用以反映和考核项目绩效目标与项目实施的相符情况。</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①是否符合国家相关法律法规、国民经济发展规划和党委政府决策；（</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②是否与项目实施单位或委托单位职责密切相关；（</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③项目是否为促进事业发展所必需；（</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④项目预期产出效益和效果是否符合正常的业绩水平。（</w:t>
            </w:r>
            <w:r>
              <w:rPr>
                <w:kern w:val="0"/>
                <w:szCs w:val="21"/>
              </w:rPr>
              <w:t>1</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3</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绩效指标明确性（</w:t>
            </w:r>
            <w:r>
              <w:rPr>
                <w:kern w:val="0"/>
                <w:szCs w:val="21"/>
              </w:rPr>
              <w:t>6</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依据绩效目标设定的绩效指标是否清晰、细化、可衡量等，用以反映和考核项目绩效目标的明细化情况。</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①是否将项目绩效目标细化分解为具体的绩效指标；（</w:t>
            </w:r>
            <w:r>
              <w:rPr>
                <w:kern w:val="0"/>
                <w:szCs w:val="21"/>
              </w:rPr>
              <w:t>2</w:t>
            </w:r>
            <w:r>
              <w:rPr>
                <w:rFonts w:hint="eastAsia"/>
                <w:kern w:val="0"/>
                <w:szCs w:val="21"/>
              </w:rPr>
              <w:t>分）</w:t>
            </w:r>
          </w:p>
          <w:p>
            <w:pPr>
              <w:widowControl/>
              <w:spacing w:line="240" w:lineRule="exact"/>
              <w:jc w:val="left"/>
              <w:rPr>
                <w:kern w:val="0"/>
                <w:szCs w:val="21"/>
              </w:rPr>
            </w:pPr>
            <w:r>
              <w:rPr>
                <w:rFonts w:hint="eastAsia"/>
                <w:kern w:val="0"/>
                <w:szCs w:val="21"/>
              </w:rPr>
              <w:t>②是否通过清晰、可衡量的指标值予以体现；（</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③是否与项目年度任务数或计划数相对应；（</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④是否与预算确定的项目投资额或资金量相匹配。（</w:t>
            </w:r>
            <w:r>
              <w:rPr>
                <w:kern w:val="0"/>
                <w:szCs w:val="21"/>
              </w:rPr>
              <w:t>2</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4</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restart"/>
            <w:shd w:val="clear" w:color="auto" w:fill="FFFFFF"/>
            <w:noWrap w:val="0"/>
            <w:vAlign w:val="center"/>
          </w:tcPr>
          <w:p>
            <w:pPr>
              <w:widowControl/>
              <w:spacing w:line="240" w:lineRule="exact"/>
              <w:jc w:val="center"/>
              <w:rPr>
                <w:kern w:val="0"/>
                <w:szCs w:val="21"/>
              </w:rPr>
            </w:pPr>
            <w:r>
              <w:rPr>
                <w:rFonts w:hint="eastAsia"/>
                <w:kern w:val="0"/>
                <w:szCs w:val="21"/>
              </w:rPr>
              <w:t>资金</w:t>
            </w:r>
          </w:p>
          <w:p>
            <w:pPr>
              <w:widowControl/>
              <w:spacing w:line="240" w:lineRule="exact"/>
              <w:jc w:val="center"/>
              <w:rPr>
                <w:kern w:val="0"/>
                <w:szCs w:val="21"/>
              </w:rPr>
            </w:pPr>
            <w:r>
              <w:rPr>
                <w:rFonts w:hint="eastAsia"/>
                <w:kern w:val="0"/>
                <w:szCs w:val="21"/>
              </w:rPr>
              <w:t>落实（</w:t>
            </w:r>
            <w:r>
              <w:rPr>
                <w:kern w:val="0"/>
                <w:szCs w:val="21"/>
              </w:rPr>
              <w:t>10</w:t>
            </w:r>
            <w:r>
              <w:rPr>
                <w:rFonts w:hint="eastAsia"/>
                <w:kern w:val="0"/>
                <w:szCs w:val="21"/>
              </w:rPr>
              <w:t>分）</w:t>
            </w: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资金到位率（</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实际到位资金与计划投入资金的比率，用以反映和考核资金落实情况对项目实施的总体保障程度。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资金到位率</w:t>
            </w:r>
            <w:r>
              <w:rPr>
                <w:kern w:val="0"/>
                <w:szCs w:val="21"/>
              </w:rPr>
              <w:t>=</w:t>
            </w:r>
            <w:r>
              <w:rPr>
                <w:rFonts w:hint="eastAsia"/>
                <w:kern w:val="0"/>
                <w:szCs w:val="21"/>
              </w:rPr>
              <w:t>（实际到位资金</w:t>
            </w:r>
            <w:r>
              <w:rPr>
                <w:kern w:val="0"/>
                <w:szCs w:val="21"/>
              </w:rPr>
              <w:t>/</w:t>
            </w:r>
            <w:r>
              <w:rPr>
                <w:rFonts w:hint="eastAsia"/>
                <w:kern w:val="0"/>
                <w:szCs w:val="21"/>
              </w:rPr>
              <w:t>计划投入资金）×</w:t>
            </w:r>
            <w:r>
              <w:rPr>
                <w:kern w:val="0"/>
                <w:szCs w:val="21"/>
              </w:rPr>
              <w:t>100%</w:t>
            </w:r>
            <w:r>
              <w:rPr>
                <w:rFonts w:hint="eastAsia"/>
                <w:kern w:val="0"/>
                <w:szCs w:val="21"/>
              </w:rPr>
              <w:t>。（达到目标值得</w:t>
            </w:r>
            <w:r>
              <w:rPr>
                <w:kern w:val="0"/>
                <w:szCs w:val="21"/>
              </w:rPr>
              <w:t>5</w:t>
            </w:r>
            <w:r>
              <w:rPr>
                <w:rFonts w:hint="eastAsia"/>
                <w:kern w:val="0"/>
                <w:szCs w:val="21"/>
              </w:rPr>
              <w:t>分，每少一个百分点扣</w:t>
            </w:r>
            <w:r>
              <w:rPr>
                <w:kern w:val="0"/>
                <w:szCs w:val="21"/>
              </w:rPr>
              <w:t>1</w:t>
            </w:r>
            <w:r>
              <w:rPr>
                <w:rFonts w:hint="eastAsia"/>
                <w:kern w:val="0"/>
                <w:szCs w:val="21"/>
              </w:rPr>
              <w:t>分，扣完为止）</w:t>
            </w:r>
          </w:p>
          <w:p>
            <w:pPr>
              <w:widowControl/>
              <w:spacing w:line="240" w:lineRule="exact"/>
              <w:jc w:val="left"/>
              <w:rPr>
                <w:kern w:val="0"/>
                <w:szCs w:val="21"/>
              </w:rPr>
            </w:pPr>
            <w:r>
              <w:rPr>
                <w:rFonts w:hint="eastAsia"/>
                <w:kern w:val="0"/>
                <w:szCs w:val="21"/>
              </w:rPr>
              <w:t>实际到位资金：一定时期（本年度或项目期）内实际落实到具体项目的资金。</w:t>
            </w:r>
          </w:p>
          <w:p>
            <w:pPr>
              <w:widowControl/>
              <w:spacing w:line="240" w:lineRule="exact"/>
              <w:jc w:val="left"/>
              <w:rPr>
                <w:kern w:val="0"/>
                <w:szCs w:val="21"/>
              </w:rPr>
            </w:pPr>
            <w:r>
              <w:rPr>
                <w:rFonts w:hint="eastAsia"/>
                <w:kern w:val="0"/>
                <w:szCs w:val="21"/>
              </w:rPr>
              <w:t>计划投入资金：一定时期（本年度或项目期）内计划投入到具体项目的资金。</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0"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到位及时率（</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及时到位资金与应到位资金的比率，用以反映和考核项目资金落实的及时性程度。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到位及时率</w:t>
            </w:r>
            <w:r>
              <w:rPr>
                <w:kern w:val="0"/>
                <w:szCs w:val="21"/>
              </w:rPr>
              <w:t>=</w:t>
            </w:r>
            <w:r>
              <w:rPr>
                <w:rFonts w:hint="eastAsia"/>
                <w:kern w:val="0"/>
                <w:szCs w:val="21"/>
              </w:rPr>
              <w:t>（及时到位资金</w:t>
            </w:r>
            <w:r>
              <w:rPr>
                <w:kern w:val="0"/>
                <w:szCs w:val="21"/>
              </w:rPr>
              <w:t>/</w:t>
            </w:r>
            <w:r>
              <w:rPr>
                <w:rFonts w:hint="eastAsia"/>
                <w:kern w:val="0"/>
                <w:szCs w:val="21"/>
              </w:rPr>
              <w:t>应到位资金）×</w:t>
            </w:r>
            <w:r>
              <w:rPr>
                <w:kern w:val="0"/>
                <w:szCs w:val="21"/>
              </w:rPr>
              <w:t>100%</w:t>
            </w:r>
            <w:r>
              <w:rPr>
                <w:rFonts w:hint="eastAsia"/>
                <w:kern w:val="0"/>
                <w:szCs w:val="21"/>
              </w:rPr>
              <w:t>。（达到目标值得</w:t>
            </w:r>
            <w:r>
              <w:rPr>
                <w:kern w:val="0"/>
                <w:szCs w:val="21"/>
              </w:rPr>
              <w:t>5</w:t>
            </w:r>
            <w:r>
              <w:rPr>
                <w:rFonts w:hint="eastAsia"/>
                <w:kern w:val="0"/>
                <w:szCs w:val="21"/>
              </w:rPr>
              <w:t>分，每少一个百分点扣</w:t>
            </w:r>
            <w:r>
              <w:rPr>
                <w:kern w:val="0"/>
                <w:szCs w:val="21"/>
              </w:rPr>
              <w:t>1</w:t>
            </w:r>
            <w:r>
              <w:rPr>
                <w:rFonts w:hint="eastAsia"/>
                <w:kern w:val="0"/>
                <w:szCs w:val="21"/>
              </w:rPr>
              <w:t>分，扣完为止）</w:t>
            </w:r>
          </w:p>
          <w:p>
            <w:pPr>
              <w:widowControl/>
              <w:spacing w:line="240" w:lineRule="exact"/>
              <w:jc w:val="left"/>
              <w:rPr>
                <w:kern w:val="0"/>
                <w:szCs w:val="21"/>
              </w:rPr>
            </w:pPr>
            <w:r>
              <w:rPr>
                <w:rFonts w:hint="eastAsia"/>
                <w:kern w:val="0"/>
                <w:szCs w:val="21"/>
              </w:rPr>
              <w:t>及时到位资金：截至规定时点实际落实到具体项目的资金。</w:t>
            </w:r>
          </w:p>
          <w:p>
            <w:pPr>
              <w:widowControl/>
              <w:spacing w:line="240" w:lineRule="exact"/>
              <w:jc w:val="left"/>
              <w:rPr>
                <w:kern w:val="0"/>
                <w:szCs w:val="21"/>
              </w:rPr>
            </w:pPr>
            <w:r>
              <w:rPr>
                <w:rFonts w:hint="eastAsia"/>
                <w:kern w:val="0"/>
                <w:szCs w:val="21"/>
              </w:rPr>
              <w:t>应到位资金：按照合同或项目进度要求截至规定时点应落实到具体项目的资金。</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73" w:hRule="atLeast"/>
          <w:jc w:val="center"/>
        </w:trPr>
        <w:tc>
          <w:tcPr>
            <w:tcW w:w="392" w:type="pct"/>
            <w:vMerge w:val="restart"/>
            <w:shd w:val="clear" w:color="auto" w:fill="FFFFFF"/>
            <w:noWrap/>
            <w:textDirection w:val="tbRlV"/>
            <w:vAlign w:val="center"/>
          </w:tcPr>
          <w:p>
            <w:pPr>
              <w:widowControl/>
              <w:spacing w:line="260" w:lineRule="exact"/>
              <w:jc w:val="center"/>
              <w:rPr>
                <w:kern w:val="0"/>
                <w:szCs w:val="21"/>
              </w:rPr>
            </w:pPr>
            <w:r>
              <w:rPr>
                <w:rFonts w:hint="eastAsia"/>
                <w:kern w:val="0"/>
                <w:szCs w:val="21"/>
              </w:rPr>
              <w:t>过</w:t>
            </w:r>
            <w:r>
              <w:rPr>
                <w:kern w:val="0"/>
                <w:szCs w:val="21"/>
              </w:rPr>
              <w:t xml:space="preserve">   </w:t>
            </w:r>
            <w:r>
              <w:rPr>
                <w:rFonts w:hint="eastAsia"/>
                <w:kern w:val="0"/>
                <w:szCs w:val="21"/>
              </w:rPr>
              <w:t>程（</w:t>
            </w:r>
            <w:r>
              <w:rPr>
                <w:kern w:val="0"/>
                <w:szCs w:val="21"/>
              </w:rPr>
              <w:t>25</w:t>
            </w:r>
            <w:r>
              <w:rPr>
                <w:rFonts w:hint="eastAsia"/>
                <w:kern w:val="0"/>
                <w:szCs w:val="21"/>
              </w:rPr>
              <w:t>分）</w:t>
            </w:r>
          </w:p>
        </w:tc>
        <w:tc>
          <w:tcPr>
            <w:tcW w:w="385" w:type="pct"/>
            <w:vMerge w:val="restart"/>
            <w:shd w:val="clear" w:color="auto" w:fill="FFFFFF"/>
            <w:noWrap w:val="0"/>
            <w:vAlign w:val="center"/>
          </w:tcPr>
          <w:p>
            <w:pPr>
              <w:widowControl/>
              <w:spacing w:line="260" w:lineRule="exact"/>
              <w:jc w:val="center"/>
              <w:rPr>
                <w:kern w:val="0"/>
                <w:szCs w:val="21"/>
              </w:rPr>
            </w:pPr>
            <w:r>
              <w:rPr>
                <w:rFonts w:hint="eastAsia"/>
                <w:kern w:val="0"/>
                <w:szCs w:val="21"/>
              </w:rPr>
              <w:t>业务</w:t>
            </w:r>
          </w:p>
          <w:p>
            <w:pPr>
              <w:widowControl/>
              <w:spacing w:line="260" w:lineRule="exact"/>
              <w:jc w:val="center"/>
              <w:rPr>
                <w:kern w:val="0"/>
                <w:szCs w:val="21"/>
              </w:rPr>
            </w:pPr>
            <w:r>
              <w:rPr>
                <w:rFonts w:hint="eastAsia"/>
                <w:kern w:val="0"/>
                <w:szCs w:val="21"/>
              </w:rPr>
              <w:t>管理（</w:t>
            </w:r>
            <w:r>
              <w:rPr>
                <w:kern w:val="0"/>
                <w:szCs w:val="21"/>
              </w:rPr>
              <w:t>13</w:t>
            </w:r>
            <w:r>
              <w:rPr>
                <w:rFonts w:hint="eastAsia"/>
                <w:kern w:val="0"/>
                <w:szCs w:val="21"/>
              </w:rPr>
              <w:t>分）</w:t>
            </w: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管理制度健全性（</w:t>
            </w:r>
            <w:r>
              <w:rPr>
                <w:kern w:val="0"/>
                <w:szCs w:val="21"/>
              </w:rPr>
              <w:t>4</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项目实施单位的业务管理制度是否健全，用以反映和考核业务管理制度对项目顺利实施的保障情况。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①是否已制定或具有相应的业务管理制度；（</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②业务管理制度是否合法、合规、完整。（</w:t>
            </w:r>
            <w:r>
              <w:rPr>
                <w:kern w:val="0"/>
                <w:szCs w:val="21"/>
              </w:rPr>
              <w:t>2</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60" w:lineRule="exact"/>
              <w:ind w:left="0" w:leftChars="0" w:right="0" w:rightChars="0"/>
              <w:jc w:val="left"/>
              <w:rPr>
                <w:kern w:val="0"/>
                <w:szCs w:val="21"/>
              </w:rPr>
            </w:pPr>
            <w:r>
              <w:rPr>
                <w:rFonts w:hint="eastAsia"/>
                <w:kern w:val="0"/>
                <w:szCs w:val="21"/>
              </w:rPr>
              <w:t>　</w:t>
            </w:r>
            <w:r>
              <w:rPr>
                <w:rFonts w:hint="eastAsia"/>
                <w:kern w:val="0"/>
                <w:szCs w:val="21"/>
                <w:lang w:val="en-US" w:eastAsia="zh-CN"/>
              </w:rPr>
              <w:t>4</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97"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continue"/>
            <w:shd w:val="clear" w:color="auto" w:fill="auto"/>
            <w:noWrap w:val="0"/>
            <w:vAlign w:val="center"/>
          </w:tcPr>
          <w:p>
            <w:pPr>
              <w:widowControl/>
              <w:spacing w:line="260" w:lineRule="exact"/>
              <w:jc w:val="left"/>
              <w:rPr>
                <w:kern w:val="0"/>
                <w:szCs w:val="21"/>
              </w:rPr>
            </w:pP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制度执行有效性（</w:t>
            </w:r>
            <w:r>
              <w:rPr>
                <w:kern w:val="0"/>
                <w:szCs w:val="21"/>
              </w:rPr>
              <w:t>6</w:t>
            </w:r>
            <w:r>
              <w:rPr>
                <w:rFonts w:hint="eastAsia"/>
                <w:kern w:val="0"/>
                <w:szCs w:val="21"/>
              </w:rPr>
              <w:t>分</w:t>
            </w:r>
            <w:r>
              <w:rPr>
                <w:kern w:val="0"/>
                <w:szCs w:val="21"/>
              </w:rPr>
              <w:t>)</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项目实施是否符合相关业务管理规定，用以反映和考核业务管理制度的有效执行情况。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①是否遵守相关法律法规和业务管理规定；</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②项目调整及支出调整手续是否完备；（</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③项目合同书、验收报告、技术鉴定等资料是否齐全并及时归档；（</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④项目实施的人员条件、场地设备、信息支撑等是否落实到位。（</w:t>
            </w:r>
            <w:r>
              <w:rPr>
                <w:kern w:val="0"/>
                <w:szCs w:val="21"/>
              </w:rPr>
              <w:t>2</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60" w:lineRule="exact"/>
              <w:ind w:left="0" w:leftChars="0" w:right="0" w:rightChars="0"/>
              <w:jc w:val="left"/>
              <w:rPr>
                <w:kern w:val="0"/>
                <w:szCs w:val="21"/>
              </w:rPr>
            </w:pPr>
            <w:r>
              <w:rPr>
                <w:rFonts w:hint="eastAsia"/>
                <w:kern w:val="0"/>
                <w:szCs w:val="21"/>
              </w:rPr>
              <w:t>　</w:t>
            </w:r>
            <w:r>
              <w:rPr>
                <w:rFonts w:hint="eastAsia"/>
                <w:kern w:val="0"/>
                <w:szCs w:val="21"/>
                <w:lang w:val="en-US" w:eastAsia="zh-CN"/>
              </w:rPr>
              <w:t>6</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6"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continue"/>
            <w:shd w:val="clear" w:color="auto" w:fill="auto"/>
            <w:noWrap w:val="0"/>
            <w:vAlign w:val="center"/>
          </w:tcPr>
          <w:p>
            <w:pPr>
              <w:widowControl/>
              <w:spacing w:line="260" w:lineRule="exact"/>
              <w:jc w:val="left"/>
              <w:rPr>
                <w:kern w:val="0"/>
                <w:szCs w:val="21"/>
              </w:rPr>
            </w:pP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项目质量可控性（</w:t>
            </w:r>
            <w:r>
              <w:rPr>
                <w:kern w:val="0"/>
                <w:szCs w:val="21"/>
              </w:rPr>
              <w:t>3</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项目实施单位是否为达到项目质量要求而采取了必需的措施</w:t>
            </w:r>
            <w:r>
              <w:rPr>
                <w:kern w:val="0"/>
                <w:szCs w:val="21"/>
              </w:rPr>
              <w:t>,</w:t>
            </w:r>
            <w:r>
              <w:rPr>
                <w:rFonts w:hint="eastAsia"/>
                <w:kern w:val="0"/>
                <w:szCs w:val="21"/>
              </w:rPr>
              <w:t>用以反映和考核项目实施单位对项目质量的控制情况。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①是否已制定或具有相应的项目质量要求或标准；（</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②是否采取了相应的项目质量检查、验收等必需的控制措施或手段。（</w:t>
            </w:r>
            <w:r>
              <w:rPr>
                <w:kern w:val="0"/>
                <w:szCs w:val="21"/>
              </w:rPr>
              <w:t>2</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60" w:lineRule="exact"/>
              <w:ind w:left="0" w:leftChars="0" w:right="0" w:rightChars="0"/>
              <w:jc w:val="left"/>
              <w:rPr>
                <w:kern w:val="0"/>
                <w:szCs w:val="21"/>
              </w:rPr>
            </w:pPr>
            <w:r>
              <w:rPr>
                <w:rFonts w:hint="eastAsia"/>
                <w:kern w:val="0"/>
                <w:szCs w:val="21"/>
              </w:rPr>
              <w:t>　</w:t>
            </w:r>
            <w:r>
              <w:rPr>
                <w:rFonts w:hint="eastAsia"/>
                <w:kern w:val="0"/>
                <w:szCs w:val="21"/>
                <w:lang w:val="en-US" w:eastAsia="zh-CN"/>
              </w:rPr>
              <w:t>3</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6"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restart"/>
            <w:shd w:val="clear" w:color="auto" w:fill="FFFFFF"/>
            <w:noWrap w:val="0"/>
            <w:vAlign w:val="center"/>
          </w:tcPr>
          <w:p>
            <w:pPr>
              <w:widowControl/>
              <w:spacing w:line="260" w:lineRule="exact"/>
              <w:jc w:val="center"/>
              <w:rPr>
                <w:kern w:val="0"/>
                <w:szCs w:val="21"/>
              </w:rPr>
            </w:pPr>
            <w:r>
              <w:rPr>
                <w:rFonts w:hint="eastAsia"/>
                <w:kern w:val="0"/>
                <w:szCs w:val="21"/>
              </w:rPr>
              <w:t>财务</w:t>
            </w:r>
          </w:p>
          <w:p>
            <w:pPr>
              <w:widowControl/>
              <w:spacing w:line="260" w:lineRule="exact"/>
              <w:jc w:val="center"/>
              <w:rPr>
                <w:kern w:val="0"/>
                <w:szCs w:val="21"/>
              </w:rPr>
            </w:pPr>
            <w:r>
              <w:rPr>
                <w:rFonts w:hint="eastAsia"/>
                <w:kern w:val="0"/>
                <w:szCs w:val="21"/>
              </w:rPr>
              <w:t>管理（</w:t>
            </w:r>
            <w:r>
              <w:rPr>
                <w:kern w:val="0"/>
                <w:szCs w:val="21"/>
              </w:rPr>
              <w:t>12</w:t>
            </w:r>
            <w:r>
              <w:rPr>
                <w:rFonts w:hint="eastAsia"/>
                <w:kern w:val="0"/>
                <w:szCs w:val="21"/>
              </w:rPr>
              <w:t>分）</w:t>
            </w: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管理制度健全性（</w:t>
            </w:r>
            <w:r>
              <w:rPr>
                <w:kern w:val="0"/>
                <w:szCs w:val="21"/>
              </w:rPr>
              <w:t>3</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项目实施单位的财务制度是否健全，用以反映和考核财务管理制度对资金规范、安全运行的保障情况。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①是否已制定或具有相应的项目资金管理办法；（</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②项目资金管理办法是否符合相关财务会计制度的规定。（</w:t>
            </w:r>
            <w:r>
              <w:rPr>
                <w:kern w:val="0"/>
                <w:szCs w:val="21"/>
              </w:rPr>
              <w:t>1</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60" w:lineRule="exact"/>
              <w:ind w:left="0" w:leftChars="0" w:right="0" w:rightChars="0"/>
              <w:jc w:val="left"/>
              <w:rPr>
                <w:kern w:val="0"/>
                <w:szCs w:val="21"/>
              </w:rPr>
            </w:pPr>
            <w:r>
              <w:rPr>
                <w:rFonts w:hint="eastAsia"/>
                <w:kern w:val="0"/>
                <w:szCs w:val="21"/>
              </w:rPr>
              <w:t>　</w:t>
            </w:r>
            <w:r>
              <w:rPr>
                <w:rFonts w:hint="eastAsia"/>
                <w:kern w:val="0"/>
                <w:szCs w:val="21"/>
                <w:lang w:val="en-US" w:eastAsia="zh-CN"/>
              </w:rPr>
              <w:t>3</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2"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continue"/>
            <w:shd w:val="clear" w:color="auto" w:fill="auto"/>
            <w:noWrap w:val="0"/>
            <w:vAlign w:val="center"/>
          </w:tcPr>
          <w:p>
            <w:pPr>
              <w:widowControl/>
              <w:spacing w:line="260" w:lineRule="exact"/>
              <w:jc w:val="left"/>
              <w:rPr>
                <w:kern w:val="0"/>
                <w:szCs w:val="21"/>
              </w:rPr>
            </w:pP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资金使用合规性（</w:t>
            </w:r>
            <w:r>
              <w:rPr>
                <w:kern w:val="0"/>
                <w:szCs w:val="21"/>
              </w:rPr>
              <w:t>7</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项目资金使用是否符合相关的财务管理制度规定，用以反映和考核项目资金的规范运行情况。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①是否符合国家财经法规和财务管理制度以及有关专项资金管理办法的规定；（</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②资金的拨付是否有完整的审批程序和手续；（</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③项目的重大开支是否经过评估认证；（</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④是否符合项目预算批复或合同规定的用途；（</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⑤是否存在截留、挤占、挪用、虚列支出等情况。（</w:t>
            </w:r>
            <w:r>
              <w:rPr>
                <w:kern w:val="0"/>
                <w:szCs w:val="21"/>
              </w:rPr>
              <w:t>2</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60" w:lineRule="exact"/>
              <w:ind w:left="0" w:leftChars="0" w:right="0" w:rightChars="0"/>
              <w:jc w:val="left"/>
              <w:rPr>
                <w:kern w:val="0"/>
                <w:szCs w:val="21"/>
              </w:rPr>
            </w:pPr>
            <w:r>
              <w:rPr>
                <w:rFonts w:hint="eastAsia"/>
                <w:kern w:val="0"/>
                <w:szCs w:val="21"/>
              </w:rPr>
              <w:t>　</w:t>
            </w:r>
            <w:r>
              <w:rPr>
                <w:rFonts w:hint="eastAsia"/>
                <w:kern w:val="0"/>
                <w:szCs w:val="21"/>
                <w:lang w:val="en-US" w:eastAsia="zh-CN"/>
              </w:rPr>
              <w:t>7</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continue"/>
            <w:shd w:val="clear" w:color="auto" w:fill="auto"/>
            <w:noWrap w:val="0"/>
            <w:vAlign w:val="center"/>
          </w:tcPr>
          <w:p>
            <w:pPr>
              <w:widowControl/>
              <w:spacing w:line="260" w:lineRule="exact"/>
              <w:jc w:val="left"/>
              <w:rPr>
                <w:kern w:val="0"/>
                <w:szCs w:val="21"/>
              </w:rPr>
            </w:pP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财务监控有效性（</w:t>
            </w:r>
            <w:r>
              <w:rPr>
                <w:kern w:val="0"/>
                <w:szCs w:val="21"/>
              </w:rPr>
              <w:t>2</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项目实施单位是否为保障资金的安全、规范运行而采取了必要的监控措施，用以反映和考核项目实施单位对资金运行的控制情况。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①是否已制定或具有相应的监控机制；（</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②是否采取了相应的财务检查等必要的监控措施或手段。（</w:t>
            </w:r>
            <w:r>
              <w:rPr>
                <w:kern w:val="0"/>
                <w:szCs w:val="21"/>
              </w:rPr>
              <w:t>1</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60" w:lineRule="exact"/>
              <w:ind w:left="0" w:leftChars="0" w:right="0" w:rightChars="0"/>
              <w:jc w:val="left"/>
              <w:rPr>
                <w:kern w:val="0"/>
                <w:szCs w:val="21"/>
              </w:rPr>
            </w:pPr>
            <w:r>
              <w:rPr>
                <w:rFonts w:hint="eastAsia"/>
                <w:kern w:val="0"/>
                <w:szCs w:val="21"/>
              </w:rPr>
              <w:t>　</w:t>
            </w:r>
            <w:r>
              <w:rPr>
                <w:rFonts w:hint="eastAsia"/>
                <w:kern w:val="0"/>
                <w:szCs w:val="21"/>
                <w:lang w:val="en-US" w:eastAsia="zh-CN"/>
              </w:rPr>
              <w:t>2</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产</w:t>
            </w:r>
            <w:r>
              <w:rPr>
                <w:kern w:val="0"/>
                <w:szCs w:val="21"/>
              </w:rPr>
              <w:t xml:space="preserve">   </w:t>
            </w:r>
            <w:r>
              <w:rPr>
                <w:rFonts w:hint="eastAsia"/>
                <w:kern w:val="0"/>
                <w:szCs w:val="21"/>
              </w:rPr>
              <w:t>出（</w:t>
            </w:r>
            <w:r>
              <w:rPr>
                <w:kern w:val="0"/>
                <w:szCs w:val="21"/>
              </w:rPr>
              <w:t>20</w:t>
            </w:r>
            <w:r>
              <w:rPr>
                <w:rFonts w:hint="eastAsia"/>
                <w:kern w:val="0"/>
                <w:szCs w:val="21"/>
              </w:rPr>
              <w:t>分）</w:t>
            </w:r>
          </w:p>
        </w:tc>
        <w:tc>
          <w:tcPr>
            <w:tcW w:w="385"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产出（</w:t>
            </w:r>
            <w:r>
              <w:rPr>
                <w:kern w:val="0"/>
                <w:szCs w:val="21"/>
              </w:rPr>
              <w:t>20</w:t>
            </w:r>
            <w:r>
              <w:rPr>
                <w:rFonts w:hint="eastAsia"/>
                <w:kern w:val="0"/>
                <w:szCs w:val="21"/>
              </w:rPr>
              <w:t>分）</w:t>
            </w: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实际完成率（</w:t>
            </w:r>
            <w:r>
              <w:rPr>
                <w:kern w:val="0"/>
                <w:szCs w:val="21"/>
              </w:rPr>
              <w:t>4</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项目实施的实际产出数与计划产出数的比率，用以反映和考核项目产出数量目标的实现程度。</w:t>
            </w:r>
          </w:p>
        </w:tc>
        <w:tc>
          <w:tcPr>
            <w:tcW w:w="1942" w:type="pct"/>
            <w:shd w:val="clear" w:color="auto" w:fill="FFFFFF"/>
            <w:noWrap w:val="0"/>
            <w:vAlign w:val="center"/>
          </w:tcPr>
          <w:p>
            <w:pPr>
              <w:widowControl/>
              <w:spacing w:line="240" w:lineRule="exact"/>
              <w:jc w:val="left"/>
              <w:rPr>
                <w:spacing w:val="-14"/>
                <w:kern w:val="0"/>
                <w:szCs w:val="21"/>
              </w:rPr>
            </w:pPr>
            <w:r>
              <w:rPr>
                <w:rFonts w:hint="eastAsia"/>
                <w:spacing w:val="-14"/>
                <w:kern w:val="0"/>
                <w:szCs w:val="21"/>
              </w:rPr>
              <w:t>实际完成率</w:t>
            </w:r>
            <w:r>
              <w:rPr>
                <w:spacing w:val="-14"/>
                <w:kern w:val="0"/>
                <w:szCs w:val="21"/>
              </w:rPr>
              <w:t>=</w:t>
            </w:r>
            <w:r>
              <w:rPr>
                <w:rFonts w:hint="eastAsia"/>
                <w:spacing w:val="-14"/>
                <w:kern w:val="0"/>
                <w:szCs w:val="21"/>
              </w:rPr>
              <w:t>（实际产出数</w:t>
            </w:r>
            <w:r>
              <w:rPr>
                <w:spacing w:val="-14"/>
                <w:kern w:val="0"/>
                <w:szCs w:val="21"/>
              </w:rPr>
              <w:t>/</w:t>
            </w:r>
            <w:r>
              <w:rPr>
                <w:rFonts w:hint="eastAsia"/>
                <w:spacing w:val="-14"/>
                <w:kern w:val="0"/>
                <w:szCs w:val="21"/>
              </w:rPr>
              <w:t>计划产出数）×</w:t>
            </w:r>
            <w:r>
              <w:rPr>
                <w:spacing w:val="-14"/>
                <w:kern w:val="0"/>
                <w:szCs w:val="21"/>
              </w:rPr>
              <w:t>100%</w:t>
            </w:r>
            <w:r>
              <w:rPr>
                <w:rFonts w:hint="eastAsia"/>
                <w:spacing w:val="-14"/>
                <w:kern w:val="0"/>
                <w:szCs w:val="21"/>
              </w:rPr>
              <w:t>。（得分</w:t>
            </w:r>
            <w:r>
              <w:rPr>
                <w:spacing w:val="-14"/>
                <w:kern w:val="0"/>
                <w:szCs w:val="21"/>
              </w:rPr>
              <w:t>=</w:t>
            </w:r>
            <w:r>
              <w:rPr>
                <w:rFonts w:hint="eastAsia"/>
                <w:spacing w:val="-14"/>
                <w:kern w:val="0"/>
                <w:szCs w:val="21"/>
              </w:rPr>
              <w:t>实际完成率</w:t>
            </w:r>
            <w:r>
              <w:rPr>
                <w:spacing w:val="-14"/>
                <w:kern w:val="0"/>
                <w:szCs w:val="21"/>
              </w:rPr>
              <w:t>*4</w:t>
            </w:r>
            <w:r>
              <w:rPr>
                <w:rFonts w:hint="eastAsia"/>
                <w:spacing w:val="-14"/>
                <w:kern w:val="0"/>
                <w:szCs w:val="21"/>
              </w:rPr>
              <w:t>分）</w:t>
            </w:r>
          </w:p>
          <w:p>
            <w:pPr>
              <w:widowControl/>
              <w:spacing w:line="240" w:lineRule="exact"/>
              <w:jc w:val="left"/>
              <w:rPr>
                <w:spacing w:val="-14"/>
                <w:kern w:val="0"/>
                <w:szCs w:val="21"/>
              </w:rPr>
            </w:pPr>
            <w:r>
              <w:rPr>
                <w:rFonts w:hint="eastAsia"/>
                <w:spacing w:val="-14"/>
                <w:kern w:val="0"/>
                <w:szCs w:val="21"/>
              </w:rPr>
              <w:t>实际产出数：一定时期（本年度或项目期）内项目实际产出的产品或提供的服务数量。</w:t>
            </w:r>
          </w:p>
          <w:p>
            <w:pPr>
              <w:widowControl/>
              <w:spacing w:line="240" w:lineRule="exact"/>
              <w:jc w:val="left"/>
              <w:rPr>
                <w:kern w:val="0"/>
                <w:szCs w:val="21"/>
              </w:rPr>
            </w:pPr>
            <w:r>
              <w:rPr>
                <w:rFonts w:hint="eastAsia"/>
                <w:kern w:val="0"/>
                <w:szCs w:val="21"/>
              </w:rPr>
              <w:t>计划产出数：项目绩效目标确定的在一定时期（本年度或项目期）内计划产出的产品或提供的服务数量。</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4</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完成及时率（</w:t>
            </w:r>
            <w:r>
              <w:rPr>
                <w:kern w:val="0"/>
                <w:szCs w:val="21"/>
              </w:rPr>
              <w:t>6</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项目实际提前完成时间与计划完成时间的比率，用以反映和考核项目产出时效目标的实现程度。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完成及时率</w:t>
            </w:r>
            <w:r>
              <w:rPr>
                <w:kern w:val="0"/>
                <w:szCs w:val="21"/>
              </w:rPr>
              <w:t>=[</w:t>
            </w:r>
            <w:r>
              <w:rPr>
                <w:rFonts w:hint="eastAsia"/>
                <w:kern w:val="0"/>
                <w:szCs w:val="21"/>
              </w:rPr>
              <w:t>（计划完成时间</w:t>
            </w:r>
            <w:r>
              <w:rPr>
                <w:kern w:val="0"/>
                <w:szCs w:val="21"/>
              </w:rPr>
              <w:t>-</w:t>
            </w:r>
            <w:r>
              <w:rPr>
                <w:rFonts w:hint="eastAsia"/>
                <w:kern w:val="0"/>
                <w:szCs w:val="21"/>
              </w:rPr>
              <w:t>实际完成时间）</w:t>
            </w:r>
            <w:r>
              <w:rPr>
                <w:kern w:val="0"/>
                <w:szCs w:val="21"/>
              </w:rPr>
              <w:t>/</w:t>
            </w:r>
            <w:r>
              <w:rPr>
                <w:rFonts w:hint="eastAsia"/>
                <w:kern w:val="0"/>
                <w:szCs w:val="21"/>
              </w:rPr>
              <w:t>计划完成时间</w:t>
            </w:r>
            <w:r>
              <w:rPr>
                <w:kern w:val="0"/>
                <w:szCs w:val="21"/>
              </w:rPr>
              <w:t>]</w:t>
            </w:r>
            <w:r>
              <w:rPr>
                <w:rFonts w:hint="eastAsia"/>
                <w:kern w:val="0"/>
                <w:szCs w:val="21"/>
              </w:rPr>
              <w:t>×</w:t>
            </w:r>
            <w:r>
              <w:rPr>
                <w:kern w:val="0"/>
                <w:szCs w:val="21"/>
              </w:rPr>
              <w:t>100%</w:t>
            </w:r>
            <w:r>
              <w:rPr>
                <w:rFonts w:hint="eastAsia"/>
                <w:kern w:val="0"/>
                <w:szCs w:val="21"/>
              </w:rPr>
              <w:t>。（</w:t>
            </w:r>
            <w:r>
              <w:rPr>
                <w:kern w:val="0"/>
                <w:szCs w:val="21"/>
              </w:rPr>
              <w:t>1--4</w:t>
            </w:r>
            <w:r>
              <w:rPr>
                <w:rFonts w:hint="eastAsia"/>
                <w:kern w:val="0"/>
                <w:szCs w:val="21"/>
              </w:rPr>
              <w:t>季度各得</w:t>
            </w:r>
            <w:r>
              <w:rPr>
                <w:kern w:val="0"/>
                <w:szCs w:val="21"/>
              </w:rPr>
              <w:t>1.5</w:t>
            </w:r>
            <w:r>
              <w:rPr>
                <w:rFonts w:hint="eastAsia"/>
                <w:kern w:val="0"/>
                <w:szCs w:val="21"/>
              </w:rPr>
              <w:t>分）</w:t>
            </w:r>
          </w:p>
          <w:p>
            <w:pPr>
              <w:widowControl/>
              <w:spacing w:line="240" w:lineRule="exact"/>
              <w:jc w:val="left"/>
              <w:rPr>
                <w:kern w:val="0"/>
                <w:szCs w:val="21"/>
              </w:rPr>
            </w:pPr>
            <w:r>
              <w:rPr>
                <w:rFonts w:hint="eastAsia"/>
                <w:kern w:val="0"/>
                <w:szCs w:val="21"/>
              </w:rPr>
              <w:t>实际完成时间：项目实施单位完成该项目实际所耗用的时间。</w:t>
            </w:r>
          </w:p>
          <w:p>
            <w:pPr>
              <w:widowControl/>
              <w:spacing w:line="240" w:lineRule="exact"/>
              <w:jc w:val="left"/>
              <w:rPr>
                <w:kern w:val="0"/>
                <w:szCs w:val="21"/>
              </w:rPr>
            </w:pPr>
            <w:r>
              <w:rPr>
                <w:rFonts w:hint="eastAsia"/>
                <w:kern w:val="0"/>
                <w:szCs w:val="21"/>
              </w:rPr>
              <w:t>计划完成时间：按照项目实施计划或相关规定完成该项目所需的时间。</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6</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质量达标率（</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项目完成的质量达标产出数与实际产出数的比率，用以反映和考核项目产出质量目标的实现程度。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质量达标率</w:t>
            </w:r>
            <w:r>
              <w:rPr>
                <w:kern w:val="0"/>
                <w:szCs w:val="21"/>
              </w:rPr>
              <w:t>=</w:t>
            </w:r>
            <w:r>
              <w:rPr>
                <w:rFonts w:hint="eastAsia"/>
                <w:kern w:val="0"/>
                <w:szCs w:val="21"/>
              </w:rPr>
              <w:t>（质量达标产出数</w:t>
            </w:r>
            <w:r>
              <w:rPr>
                <w:kern w:val="0"/>
                <w:szCs w:val="21"/>
              </w:rPr>
              <w:t>/</w:t>
            </w:r>
            <w:r>
              <w:rPr>
                <w:rFonts w:hint="eastAsia"/>
                <w:kern w:val="0"/>
                <w:szCs w:val="21"/>
              </w:rPr>
              <w:t>实际产出数）×</w:t>
            </w:r>
            <w:r>
              <w:rPr>
                <w:kern w:val="0"/>
                <w:szCs w:val="21"/>
              </w:rPr>
              <w:t>100%</w:t>
            </w:r>
            <w:r>
              <w:rPr>
                <w:rFonts w:hint="eastAsia"/>
                <w:kern w:val="0"/>
                <w:szCs w:val="21"/>
              </w:rPr>
              <w:t>。（得分</w:t>
            </w:r>
            <w:r>
              <w:rPr>
                <w:kern w:val="0"/>
                <w:szCs w:val="21"/>
              </w:rPr>
              <w:t>=</w:t>
            </w:r>
            <w:r>
              <w:rPr>
                <w:rFonts w:hint="eastAsia"/>
                <w:kern w:val="0"/>
                <w:szCs w:val="21"/>
              </w:rPr>
              <w:t>达标率</w:t>
            </w:r>
            <w:r>
              <w:rPr>
                <w:kern w:val="0"/>
                <w:szCs w:val="21"/>
              </w:rPr>
              <w:t>*5</w:t>
            </w:r>
            <w:r>
              <w:rPr>
                <w:rFonts w:hint="eastAsia"/>
                <w:kern w:val="0"/>
                <w:szCs w:val="21"/>
              </w:rPr>
              <w:t>分）</w:t>
            </w:r>
          </w:p>
          <w:p>
            <w:pPr>
              <w:widowControl/>
              <w:spacing w:line="240" w:lineRule="exact"/>
              <w:jc w:val="left"/>
              <w:rPr>
                <w:kern w:val="0"/>
                <w:szCs w:val="21"/>
              </w:rPr>
            </w:pPr>
            <w:r>
              <w:rPr>
                <w:rFonts w:hint="eastAsia"/>
                <w:kern w:val="0"/>
                <w:szCs w:val="21"/>
              </w:rPr>
              <w:t>质量达标产出数：一定时期（本年度或项目期）内实际达到既定质量标准的产品或服务数量。</w:t>
            </w:r>
          </w:p>
          <w:p>
            <w:pPr>
              <w:widowControl/>
              <w:spacing w:line="240" w:lineRule="exact"/>
              <w:jc w:val="left"/>
              <w:rPr>
                <w:kern w:val="0"/>
                <w:szCs w:val="21"/>
              </w:rPr>
            </w:pPr>
            <w:r>
              <w:rPr>
                <w:rFonts w:hint="eastAsia"/>
                <w:spacing w:val="-10"/>
                <w:kern w:val="0"/>
                <w:szCs w:val="21"/>
              </w:rPr>
              <w:t>既定质量标准是指项目实施单位设立绩效目标时依据计划标准、行业标准、历史标准或其他标准而设定的绩效指标值。</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成本节约率（</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完成项目计划工作目标的实际节约成本与计划成本的比率，用以反映和考核项目的成本节约程度。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成本节约率</w:t>
            </w:r>
            <w:r>
              <w:rPr>
                <w:kern w:val="0"/>
                <w:szCs w:val="21"/>
              </w:rPr>
              <w:t>=[</w:t>
            </w:r>
            <w:r>
              <w:rPr>
                <w:rFonts w:hint="eastAsia"/>
                <w:kern w:val="0"/>
                <w:szCs w:val="21"/>
              </w:rPr>
              <w:t>（计划成本</w:t>
            </w:r>
            <w:r>
              <w:rPr>
                <w:kern w:val="0"/>
                <w:szCs w:val="21"/>
              </w:rPr>
              <w:t>-</w:t>
            </w:r>
            <w:r>
              <w:rPr>
                <w:rFonts w:hint="eastAsia"/>
                <w:kern w:val="0"/>
                <w:szCs w:val="21"/>
              </w:rPr>
              <w:t>实际成本）</w:t>
            </w:r>
            <w:r>
              <w:rPr>
                <w:kern w:val="0"/>
                <w:szCs w:val="21"/>
              </w:rPr>
              <w:t>/</w:t>
            </w:r>
            <w:r>
              <w:rPr>
                <w:rFonts w:hint="eastAsia"/>
                <w:kern w:val="0"/>
                <w:szCs w:val="21"/>
              </w:rPr>
              <w:t>计划成本</w:t>
            </w:r>
            <w:r>
              <w:rPr>
                <w:kern w:val="0"/>
                <w:szCs w:val="21"/>
              </w:rPr>
              <w:t>]</w:t>
            </w:r>
            <w:r>
              <w:rPr>
                <w:rFonts w:hint="eastAsia"/>
                <w:kern w:val="0"/>
                <w:szCs w:val="21"/>
              </w:rPr>
              <w:t>×</w:t>
            </w:r>
            <w:r>
              <w:rPr>
                <w:kern w:val="0"/>
                <w:szCs w:val="21"/>
              </w:rPr>
              <w:t>100%</w:t>
            </w:r>
            <w:r>
              <w:rPr>
                <w:rFonts w:hint="eastAsia"/>
                <w:kern w:val="0"/>
                <w:szCs w:val="21"/>
              </w:rPr>
              <w:t>。</w:t>
            </w:r>
            <w:r>
              <w:rPr>
                <w:kern w:val="0"/>
                <w:szCs w:val="21"/>
              </w:rPr>
              <w:t>(</w:t>
            </w:r>
            <w:r>
              <w:rPr>
                <w:rFonts w:hint="eastAsia"/>
                <w:kern w:val="0"/>
                <w:szCs w:val="21"/>
              </w:rPr>
              <w:t>节约的计</w:t>
            </w:r>
            <w:r>
              <w:rPr>
                <w:kern w:val="0"/>
                <w:szCs w:val="21"/>
              </w:rPr>
              <w:t>5</w:t>
            </w:r>
            <w:r>
              <w:rPr>
                <w:rFonts w:hint="eastAsia"/>
                <w:kern w:val="0"/>
                <w:szCs w:val="21"/>
              </w:rPr>
              <w:t>分</w:t>
            </w:r>
            <w:r>
              <w:rPr>
                <w:kern w:val="0"/>
                <w:szCs w:val="21"/>
              </w:rPr>
              <w:t>,</w:t>
            </w:r>
            <w:r>
              <w:rPr>
                <w:rFonts w:hint="eastAsia"/>
                <w:kern w:val="0"/>
                <w:szCs w:val="21"/>
              </w:rPr>
              <w:t>增加的按比例扣分</w:t>
            </w:r>
            <w:r>
              <w:rPr>
                <w:kern w:val="0"/>
                <w:szCs w:val="21"/>
              </w:rPr>
              <w:t>)</w:t>
            </w:r>
          </w:p>
          <w:p>
            <w:pPr>
              <w:widowControl/>
              <w:spacing w:line="240" w:lineRule="exact"/>
              <w:jc w:val="left"/>
              <w:rPr>
                <w:spacing w:val="-10"/>
                <w:kern w:val="0"/>
                <w:szCs w:val="21"/>
              </w:rPr>
            </w:pPr>
            <w:r>
              <w:rPr>
                <w:rFonts w:hint="eastAsia"/>
                <w:spacing w:val="-10"/>
                <w:kern w:val="0"/>
                <w:szCs w:val="21"/>
              </w:rPr>
              <w:t>实际成本：项目实施单位如期、保质、保量完成既定工作目标实际所耗费的支出。</w:t>
            </w:r>
          </w:p>
          <w:p>
            <w:pPr>
              <w:widowControl/>
              <w:spacing w:line="240" w:lineRule="exact"/>
              <w:jc w:val="left"/>
              <w:rPr>
                <w:kern w:val="0"/>
                <w:szCs w:val="21"/>
              </w:rPr>
            </w:pPr>
            <w:r>
              <w:rPr>
                <w:rFonts w:hint="eastAsia"/>
                <w:spacing w:val="-10"/>
                <w:kern w:val="0"/>
                <w:szCs w:val="21"/>
              </w:rPr>
              <w:t>计划成本：项目实施单位为完成工作目标计划安排的支出，一般以项目预算为参考。</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392"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效</w:t>
            </w:r>
            <w:r>
              <w:rPr>
                <w:kern w:val="0"/>
                <w:szCs w:val="21"/>
              </w:rPr>
              <w:t xml:space="preserve">   </w:t>
            </w:r>
            <w:r>
              <w:rPr>
                <w:rFonts w:hint="eastAsia"/>
                <w:kern w:val="0"/>
                <w:szCs w:val="21"/>
              </w:rPr>
              <w:t>果（</w:t>
            </w:r>
            <w:r>
              <w:rPr>
                <w:kern w:val="0"/>
                <w:szCs w:val="21"/>
              </w:rPr>
              <w:t>30</w:t>
            </w:r>
            <w:r>
              <w:rPr>
                <w:rFonts w:hint="eastAsia"/>
                <w:kern w:val="0"/>
                <w:szCs w:val="21"/>
              </w:rPr>
              <w:t>分）</w:t>
            </w:r>
          </w:p>
        </w:tc>
        <w:tc>
          <w:tcPr>
            <w:tcW w:w="385"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效益（</w:t>
            </w:r>
            <w:r>
              <w:rPr>
                <w:kern w:val="0"/>
                <w:szCs w:val="21"/>
              </w:rPr>
              <w:t>30</w:t>
            </w:r>
            <w:r>
              <w:rPr>
                <w:rFonts w:hint="eastAsia"/>
                <w:kern w:val="0"/>
                <w:szCs w:val="21"/>
              </w:rPr>
              <w:t>分）</w:t>
            </w: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经济效益</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项目实施对经济发展所带来的直接或间接影响情况。</w:t>
            </w:r>
          </w:p>
        </w:tc>
        <w:tc>
          <w:tcPr>
            <w:tcW w:w="1942" w:type="pct"/>
            <w:vMerge w:val="restart"/>
            <w:shd w:val="clear" w:color="auto" w:fill="FFFFFF"/>
            <w:noWrap w:val="0"/>
            <w:vAlign w:val="center"/>
          </w:tcPr>
          <w:p>
            <w:pPr>
              <w:widowControl/>
              <w:spacing w:line="240" w:lineRule="exact"/>
              <w:jc w:val="left"/>
              <w:rPr>
                <w:kern w:val="0"/>
                <w:szCs w:val="21"/>
              </w:rPr>
            </w:pPr>
            <w:r>
              <w:rPr>
                <w:rFonts w:hint="eastAsia"/>
                <w:kern w:val="0"/>
                <w:szCs w:val="21"/>
              </w:rPr>
              <w:t>此四项指标为项目支出绩效评价指标的共性要素，各单位按照项目支出绩效目标实现程度为依据。（按经济效益实现程度</w:t>
            </w:r>
            <w:r>
              <w:rPr>
                <w:kern w:val="0"/>
                <w:szCs w:val="21"/>
              </w:rPr>
              <w:t>*5</w:t>
            </w:r>
            <w:r>
              <w:rPr>
                <w:rFonts w:hint="eastAsia"/>
                <w:kern w:val="0"/>
                <w:szCs w:val="21"/>
              </w:rPr>
              <w:t>分、社会效益实现程度</w:t>
            </w:r>
            <w:r>
              <w:rPr>
                <w:kern w:val="0"/>
                <w:szCs w:val="21"/>
              </w:rPr>
              <w:t>*5</w:t>
            </w:r>
            <w:r>
              <w:rPr>
                <w:rFonts w:hint="eastAsia"/>
                <w:kern w:val="0"/>
                <w:szCs w:val="21"/>
              </w:rPr>
              <w:t>分、生态效益实现程度</w:t>
            </w:r>
            <w:r>
              <w:rPr>
                <w:kern w:val="0"/>
                <w:szCs w:val="21"/>
              </w:rPr>
              <w:t>*5</w:t>
            </w:r>
            <w:r>
              <w:rPr>
                <w:rFonts w:hint="eastAsia"/>
                <w:kern w:val="0"/>
                <w:szCs w:val="21"/>
              </w:rPr>
              <w:t>分、可持续影响程度</w:t>
            </w:r>
            <w:r>
              <w:rPr>
                <w:kern w:val="0"/>
                <w:szCs w:val="21"/>
              </w:rPr>
              <w:t>*5</w:t>
            </w:r>
            <w:r>
              <w:rPr>
                <w:rFonts w:hint="eastAsia"/>
                <w:kern w:val="0"/>
                <w:szCs w:val="21"/>
              </w:rPr>
              <w:t>分计算实际得分）</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社会效益（</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项目实施对社会发展所带来的直接或间接影响情况。</w:t>
            </w:r>
          </w:p>
        </w:tc>
        <w:tc>
          <w:tcPr>
            <w:tcW w:w="1942" w:type="pct"/>
            <w:vMerge w:val="continue"/>
            <w:noWrap w:val="0"/>
            <w:vAlign w:val="center"/>
          </w:tcPr>
          <w:p>
            <w:pPr>
              <w:widowControl/>
              <w:spacing w:line="240" w:lineRule="exact"/>
              <w:jc w:val="left"/>
              <w:rPr>
                <w:kern w:val="0"/>
                <w:szCs w:val="21"/>
              </w:rPr>
            </w:pP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生态效益（</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项目实施对生态环境所带来的直接或间接影响情况。</w:t>
            </w:r>
          </w:p>
        </w:tc>
        <w:tc>
          <w:tcPr>
            <w:tcW w:w="1942" w:type="pct"/>
            <w:vMerge w:val="continue"/>
            <w:noWrap w:val="0"/>
            <w:vAlign w:val="center"/>
          </w:tcPr>
          <w:p>
            <w:pPr>
              <w:widowControl/>
              <w:spacing w:line="240" w:lineRule="exact"/>
              <w:jc w:val="left"/>
              <w:rPr>
                <w:kern w:val="0"/>
                <w:szCs w:val="21"/>
              </w:rPr>
            </w:pP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可持续影响</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项目后续运行及成效发挥的可持续影响情况。</w:t>
            </w:r>
          </w:p>
        </w:tc>
        <w:tc>
          <w:tcPr>
            <w:tcW w:w="1942" w:type="pct"/>
            <w:vMerge w:val="continue"/>
            <w:noWrap w:val="0"/>
            <w:vAlign w:val="center"/>
          </w:tcPr>
          <w:p>
            <w:pPr>
              <w:widowControl/>
              <w:spacing w:line="240" w:lineRule="exact"/>
              <w:jc w:val="left"/>
              <w:rPr>
                <w:kern w:val="0"/>
                <w:szCs w:val="21"/>
              </w:rPr>
            </w:pP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社会公众或服务对象满意度（</w:t>
            </w:r>
            <w:r>
              <w:rPr>
                <w:spacing w:val="-10"/>
                <w:kern w:val="0"/>
                <w:szCs w:val="21"/>
              </w:rPr>
              <w:t>10</w:t>
            </w:r>
            <w:r>
              <w:rPr>
                <w:rFonts w:hint="eastAsia"/>
                <w:spacing w:val="-10"/>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社会公众或服务对象对项目实施效果的满意程度。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社会公众或服务对象是指因该项目实施而受到影响的部门（单位）、群体或个人。一般采取社会调查的方式。（按收到的服务对象的满意率计算得分）</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9</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4118" w:type="pct"/>
            <w:gridSpan w:val="5"/>
            <w:tcBorders>
              <w:bottom w:val="single" w:color="auto" w:sz="12" w:space="0"/>
            </w:tcBorders>
            <w:shd w:val="clear" w:color="auto" w:fill="FFFFFF"/>
            <w:noWrap w:val="0"/>
            <w:vAlign w:val="center"/>
          </w:tcPr>
          <w:p>
            <w:pPr>
              <w:widowControl/>
              <w:spacing w:line="240" w:lineRule="exact"/>
              <w:jc w:val="center"/>
              <w:rPr>
                <w:kern w:val="0"/>
                <w:szCs w:val="21"/>
              </w:rPr>
            </w:pPr>
            <w:r>
              <w:rPr>
                <w:rFonts w:hint="eastAsia"/>
                <w:kern w:val="0"/>
                <w:szCs w:val="21"/>
              </w:rPr>
              <w:t>合计</w:t>
            </w:r>
          </w:p>
        </w:tc>
        <w:tc>
          <w:tcPr>
            <w:tcW w:w="707" w:type="dxa"/>
            <w:tcBorders>
              <w:bottom w:val="single" w:color="auto" w:sz="12" w:space="0"/>
            </w:tcBorders>
            <w:noWrap/>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kern w:val="0"/>
                <w:szCs w:val="21"/>
                <w:lang w:val="en-US"/>
              </w:rPr>
            </w:pPr>
            <w:r>
              <w:rPr>
                <w:rFonts w:hint="eastAsia"/>
                <w:kern w:val="0"/>
                <w:szCs w:val="21"/>
              </w:rPr>
              <w:t>　</w:t>
            </w:r>
            <w:r>
              <w:rPr>
                <w:rFonts w:hint="eastAsia"/>
                <w:kern w:val="0"/>
                <w:szCs w:val="21"/>
                <w:lang w:val="en-US" w:eastAsia="zh-CN"/>
              </w:rPr>
              <w:t>94</w:t>
            </w:r>
          </w:p>
        </w:tc>
        <w:tc>
          <w:tcPr>
            <w:tcW w:w="493" w:type="pct"/>
            <w:tcBorders>
              <w:bottom w:val="single" w:color="auto" w:sz="12" w:space="0"/>
            </w:tcBorders>
            <w:noWrap/>
            <w:vAlign w:val="center"/>
          </w:tcPr>
          <w:p>
            <w:pPr>
              <w:widowControl/>
              <w:spacing w:line="240" w:lineRule="exact"/>
              <w:jc w:val="left"/>
              <w:rPr>
                <w:kern w:val="0"/>
                <w:szCs w:val="21"/>
              </w:rPr>
            </w:pPr>
            <w:r>
              <w:rPr>
                <w:rFonts w:hint="eastAsia"/>
                <w:kern w:val="0"/>
                <w:szCs w:val="21"/>
              </w:rPr>
              <w:t>　</w:t>
            </w:r>
          </w:p>
        </w:tc>
      </w:tr>
    </w:tbl>
    <w:p>
      <w:pPr>
        <w:spacing w:line="620" w:lineRule="exact"/>
        <w:jc w:val="left"/>
        <w:rPr>
          <w:rFonts w:ascii="宋体"/>
          <w:sz w:val="32"/>
          <w:szCs w:val="32"/>
        </w:rPr>
      </w:pPr>
    </w:p>
    <w:p>
      <w:pPr>
        <w:spacing w:line="620" w:lineRule="exact"/>
        <w:jc w:val="left"/>
        <w:rPr>
          <w:rFonts w:ascii="??????" w:hAnsi="宋体" w:eastAsia="Times New Roman"/>
          <w:sz w:val="33"/>
          <w:szCs w:val="33"/>
        </w:rPr>
        <w:sectPr>
          <w:pgSz w:w="11907" w:h="16840"/>
          <w:pgMar w:top="2098" w:right="1474" w:bottom="1928" w:left="1588" w:header="851" w:footer="992" w:gutter="0"/>
          <w:cols w:space="425" w:num="1"/>
          <w:docGrid w:type="lines" w:linePitch="312" w:charSpace="0"/>
        </w:sectPr>
      </w:pPr>
    </w:p>
    <w:p>
      <w:pPr>
        <w:spacing w:line="620" w:lineRule="exact"/>
        <w:jc w:val="left"/>
        <w:rPr>
          <w:rFonts w:eastAsia="方正黑体简体"/>
          <w:sz w:val="32"/>
          <w:szCs w:val="32"/>
        </w:rPr>
      </w:pPr>
      <w:r>
        <w:rPr>
          <w:rFonts w:hint="eastAsia" w:eastAsia="方正黑体简体"/>
          <w:sz w:val="32"/>
          <w:szCs w:val="32"/>
        </w:rPr>
        <w:t>附件</w:t>
      </w:r>
      <w:r>
        <w:rPr>
          <w:rFonts w:eastAsia="方正黑体简体"/>
          <w:sz w:val="32"/>
          <w:szCs w:val="32"/>
        </w:rPr>
        <w:t>2</w:t>
      </w:r>
    </w:p>
    <w:p>
      <w:pPr>
        <w:spacing w:line="620" w:lineRule="exact"/>
        <w:jc w:val="center"/>
        <w:rPr>
          <w:rFonts w:eastAsia="方正小标宋简体"/>
          <w:color w:val="000000"/>
          <w:spacing w:val="-12"/>
          <w:kern w:val="0"/>
          <w:sz w:val="44"/>
          <w:szCs w:val="44"/>
        </w:rPr>
      </w:pPr>
      <w:r>
        <w:rPr>
          <w:rFonts w:hint="eastAsia" w:eastAsia="方正小标宋简体"/>
          <w:color w:val="000000"/>
          <w:spacing w:val="-12"/>
          <w:kern w:val="0"/>
          <w:sz w:val="44"/>
          <w:szCs w:val="44"/>
          <w:lang w:val="en-US" w:eastAsia="zh-CN"/>
        </w:rPr>
        <w:t>2022</w:t>
      </w:r>
      <w:r>
        <w:rPr>
          <w:rFonts w:hint="eastAsia" w:eastAsia="方正小标宋简体"/>
          <w:color w:val="000000"/>
          <w:spacing w:val="-12"/>
          <w:kern w:val="0"/>
          <w:sz w:val="44"/>
          <w:szCs w:val="44"/>
        </w:rPr>
        <w:t>年度乐至县项目支出绩效目标完成情况表</w:t>
      </w:r>
    </w:p>
    <w:p>
      <w:pPr>
        <w:pStyle w:val="8"/>
        <w:spacing w:after="0" w:line="240" w:lineRule="exact"/>
        <w:rPr>
          <w:rFonts w:ascii="宋体"/>
        </w:rPr>
      </w:pPr>
    </w:p>
    <w:tbl>
      <w:tblPr>
        <w:tblStyle w:val="19"/>
        <w:tblW w:w="92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06"/>
        <w:gridCol w:w="1594"/>
        <w:gridCol w:w="1175"/>
        <w:gridCol w:w="1291"/>
        <w:gridCol w:w="1200"/>
        <w:gridCol w:w="1665"/>
        <w:gridCol w:w="16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tcBorders>
              <w:top w:val="single" w:color="auto" w:sz="12" w:space="0"/>
            </w:tcBorders>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名称</w:t>
            </w:r>
          </w:p>
        </w:tc>
        <w:tc>
          <w:tcPr>
            <w:tcW w:w="8578" w:type="dxa"/>
            <w:gridSpan w:val="6"/>
            <w:tcBorders>
              <w:top w:val="single" w:color="auto" w:sz="12" w:space="0"/>
            </w:tcBorders>
            <w:noWrap/>
            <w:vAlign w:val="center"/>
          </w:tcPr>
          <w:p>
            <w:pPr>
              <w:widowControl/>
              <w:spacing w:line="240" w:lineRule="exact"/>
              <w:jc w:val="center"/>
              <w:rPr>
                <w:rFonts w:hint="eastAsia" w:eastAsia="宋体"/>
                <w:color w:val="000000"/>
                <w:kern w:val="0"/>
                <w:szCs w:val="21"/>
                <w:lang w:eastAsia="zh-CN"/>
              </w:rPr>
            </w:pPr>
            <w:r>
              <w:rPr>
                <w:rFonts w:hint="eastAsia"/>
                <w:color w:val="000000"/>
                <w:kern w:val="0"/>
                <w:szCs w:val="21"/>
                <w:lang w:eastAsia="zh-CN"/>
              </w:rPr>
              <w:t>劳动镇</w:t>
            </w:r>
            <w:r>
              <w:rPr>
                <w:rFonts w:hint="eastAsia"/>
                <w:color w:val="000000"/>
                <w:kern w:val="0"/>
                <w:szCs w:val="21"/>
                <w:lang w:val="en-US" w:eastAsia="zh-CN"/>
              </w:rPr>
              <w:t>川能投服务费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vMerge w:val="restart"/>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类型</w:t>
            </w: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产业发展</w:t>
            </w: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民生</w:t>
            </w:r>
          </w:p>
          <w:p>
            <w:pPr>
              <w:widowControl/>
              <w:spacing w:line="240" w:lineRule="exact"/>
              <w:jc w:val="center"/>
              <w:rPr>
                <w:color w:val="000000"/>
                <w:kern w:val="0"/>
                <w:szCs w:val="21"/>
              </w:rPr>
            </w:pPr>
            <w:r>
              <w:rPr>
                <w:rFonts w:hint="eastAsia"/>
                <w:color w:val="000000"/>
                <w:kern w:val="0"/>
                <w:szCs w:val="21"/>
              </w:rPr>
              <w:t>保障</w:t>
            </w:r>
          </w:p>
        </w:tc>
        <w:tc>
          <w:tcPr>
            <w:tcW w:w="2491" w:type="dxa"/>
            <w:gridSpan w:val="2"/>
            <w:noWrap/>
            <w:vAlign w:val="center"/>
          </w:tcPr>
          <w:p>
            <w:pPr>
              <w:widowControl/>
              <w:spacing w:line="240" w:lineRule="exact"/>
              <w:jc w:val="center"/>
              <w:rPr>
                <w:color w:val="000000"/>
                <w:kern w:val="0"/>
                <w:szCs w:val="21"/>
              </w:rPr>
            </w:pPr>
            <w:r>
              <w:rPr>
                <w:rFonts w:hint="eastAsia"/>
                <w:color w:val="000000"/>
                <w:kern w:val="0"/>
                <w:szCs w:val="21"/>
              </w:rPr>
              <w:t>基础设施</w:t>
            </w:r>
          </w:p>
        </w:tc>
        <w:tc>
          <w:tcPr>
            <w:tcW w:w="3318" w:type="dxa"/>
            <w:gridSpan w:val="2"/>
            <w:noWrap/>
            <w:vAlign w:val="center"/>
          </w:tcPr>
          <w:p>
            <w:pPr>
              <w:widowControl/>
              <w:spacing w:line="240" w:lineRule="exact"/>
              <w:jc w:val="center"/>
              <w:rPr>
                <w:color w:val="000000"/>
                <w:kern w:val="0"/>
                <w:szCs w:val="21"/>
              </w:rPr>
            </w:pPr>
            <w:r>
              <w:rPr>
                <w:rFonts w:hint="eastAsia"/>
                <w:color w:val="000000"/>
                <w:kern w:val="0"/>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w:t>
            </w:r>
          </w:p>
        </w:tc>
        <w:tc>
          <w:tcPr>
            <w:tcW w:w="1175" w:type="dxa"/>
            <w:noWrap/>
            <w:vAlign w:val="center"/>
          </w:tcPr>
          <w:p>
            <w:pPr>
              <w:spacing w:line="240" w:lineRule="exact"/>
              <w:jc w:val="center"/>
              <w:rPr>
                <w:szCs w:val="21"/>
              </w:rPr>
            </w:pPr>
            <w:r>
              <w:rPr>
                <w:rFonts w:hint="eastAsia"/>
                <w:color w:val="000000"/>
                <w:kern w:val="0"/>
                <w:szCs w:val="21"/>
              </w:rPr>
              <w:sym w:font="Wingdings 2" w:char="00A3"/>
            </w:r>
          </w:p>
        </w:tc>
        <w:tc>
          <w:tcPr>
            <w:tcW w:w="2491" w:type="dxa"/>
            <w:gridSpan w:val="2"/>
            <w:noWrap/>
            <w:vAlign w:val="center"/>
          </w:tcPr>
          <w:p>
            <w:pPr>
              <w:spacing w:line="240" w:lineRule="exact"/>
              <w:jc w:val="center"/>
              <w:rPr>
                <w:szCs w:val="21"/>
              </w:rPr>
            </w:pPr>
            <w:r>
              <w:rPr>
                <w:rFonts w:hint="eastAsia"/>
                <w:color w:val="000000"/>
                <w:kern w:val="0"/>
                <w:szCs w:val="21"/>
              </w:rPr>
              <w:sym w:font="Wingdings 2" w:char="0052"/>
            </w:r>
          </w:p>
        </w:tc>
        <w:tc>
          <w:tcPr>
            <w:tcW w:w="3318" w:type="dxa"/>
            <w:gridSpan w:val="2"/>
            <w:noWrap/>
            <w:vAlign w:val="center"/>
          </w:tcPr>
          <w:p>
            <w:pPr>
              <w:spacing w:line="240" w:lineRule="exact"/>
              <w:jc w:val="center"/>
              <w:rPr>
                <w:szCs w:val="21"/>
              </w:rPr>
            </w:pPr>
            <w:r>
              <w:rPr>
                <w:rFonts w:hint="eastAsia"/>
                <w:color w:val="000000"/>
                <w:kern w:val="0"/>
                <w:szCs w:val="21"/>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noWrap/>
            <w:vAlign w:val="center"/>
          </w:tcPr>
          <w:p>
            <w:pPr>
              <w:widowControl/>
              <w:spacing w:line="240" w:lineRule="exact"/>
              <w:jc w:val="center"/>
              <w:rPr>
                <w:color w:val="000000"/>
                <w:kern w:val="0"/>
                <w:szCs w:val="21"/>
              </w:rPr>
            </w:pPr>
            <w:r>
              <w:rPr>
                <w:rFonts w:hint="eastAsia"/>
                <w:color w:val="000000"/>
                <w:kern w:val="0"/>
                <w:szCs w:val="21"/>
              </w:rPr>
              <w:t>部门（单位）名称</w:t>
            </w:r>
          </w:p>
        </w:tc>
        <w:tc>
          <w:tcPr>
            <w:tcW w:w="5260" w:type="dxa"/>
            <w:gridSpan w:val="4"/>
            <w:noWrap/>
            <w:vAlign w:val="center"/>
          </w:tcPr>
          <w:p>
            <w:pPr>
              <w:widowControl/>
              <w:spacing w:line="240" w:lineRule="exact"/>
              <w:jc w:val="center"/>
              <w:rPr>
                <w:color w:val="000000"/>
                <w:kern w:val="0"/>
                <w:szCs w:val="21"/>
              </w:rPr>
            </w:pPr>
            <w:r>
              <w:rPr>
                <w:rFonts w:hint="eastAsia"/>
                <w:color w:val="000000"/>
                <w:kern w:val="0"/>
                <w:szCs w:val="21"/>
                <w:lang w:val="en-US" w:eastAsia="zh-CN"/>
              </w:rPr>
              <w:t>乐至县劳动镇人民政府</w:t>
            </w:r>
            <w:r>
              <w:rPr>
                <w:rFonts w:hint="eastAsia"/>
                <w:color w:val="000000"/>
                <w:kern w:val="0"/>
                <w:szCs w:val="21"/>
              </w:rPr>
              <w:t>　</w:t>
            </w:r>
          </w:p>
        </w:tc>
        <w:tc>
          <w:tcPr>
            <w:tcW w:w="1665" w:type="dxa"/>
            <w:noWrap/>
            <w:vAlign w:val="center"/>
          </w:tcPr>
          <w:p>
            <w:pPr>
              <w:widowControl/>
              <w:spacing w:line="240" w:lineRule="exact"/>
              <w:jc w:val="center"/>
              <w:rPr>
                <w:color w:val="000000"/>
                <w:kern w:val="0"/>
                <w:szCs w:val="21"/>
              </w:rPr>
            </w:pPr>
            <w:r>
              <w:rPr>
                <w:rFonts w:hint="eastAsia"/>
                <w:color w:val="000000"/>
                <w:kern w:val="0"/>
                <w:szCs w:val="21"/>
              </w:rPr>
              <w:t>预算单位编码</w:t>
            </w:r>
          </w:p>
        </w:tc>
        <w:tc>
          <w:tcPr>
            <w:tcW w:w="1653"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317001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706" w:type="dxa"/>
            <w:vMerge w:val="restart"/>
            <w:noWrap/>
            <w:vAlign w:val="center"/>
          </w:tcPr>
          <w:p>
            <w:pPr>
              <w:widowControl/>
              <w:spacing w:line="240" w:lineRule="exact"/>
              <w:jc w:val="center"/>
              <w:rPr>
                <w:color w:val="000000"/>
                <w:kern w:val="0"/>
                <w:szCs w:val="21"/>
              </w:rPr>
            </w:pPr>
            <w:r>
              <w:rPr>
                <w:rFonts w:hint="eastAsia"/>
                <w:color w:val="000000"/>
                <w:kern w:val="0"/>
                <w:szCs w:val="21"/>
              </w:rPr>
              <w:t>预算执行情况</w:t>
            </w: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项目</w:t>
            </w: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预算额</w:t>
            </w:r>
            <w:r>
              <w:rPr>
                <w:color w:val="000000"/>
                <w:kern w:val="0"/>
                <w:szCs w:val="21"/>
              </w:rPr>
              <w:t>(</w:t>
            </w:r>
            <w:r>
              <w:rPr>
                <w:rFonts w:hint="eastAsia"/>
                <w:color w:val="000000"/>
                <w:kern w:val="0"/>
                <w:szCs w:val="21"/>
                <w:lang w:eastAsia="zh-CN"/>
              </w:rPr>
              <w:t>万元</w:t>
            </w:r>
            <w:r>
              <w:rPr>
                <w:color w:val="000000"/>
                <w:kern w:val="0"/>
                <w:szCs w:val="21"/>
              </w:rPr>
              <w:t>)</w:t>
            </w:r>
          </w:p>
        </w:tc>
        <w:tc>
          <w:tcPr>
            <w:tcW w:w="1291" w:type="dxa"/>
            <w:noWrap/>
            <w:vAlign w:val="center"/>
          </w:tcPr>
          <w:p>
            <w:pPr>
              <w:widowControl/>
              <w:spacing w:line="240" w:lineRule="exact"/>
              <w:jc w:val="center"/>
              <w:rPr>
                <w:color w:val="000000"/>
                <w:kern w:val="0"/>
                <w:szCs w:val="21"/>
              </w:rPr>
            </w:pPr>
            <w:r>
              <w:rPr>
                <w:rFonts w:hint="eastAsia"/>
                <w:color w:val="000000"/>
                <w:kern w:val="0"/>
                <w:szCs w:val="21"/>
              </w:rPr>
              <w:t>执行额</w:t>
            </w:r>
            <w:r>
              <w:rPr>
                <w:color w:val="000000"/>
                <w:kern w:val="0"/>
                <w:szCs w:val="21"/>
              </w:rPr>
              <w:t>(</w:t>
            </w:r>
            <w:r>
              <w:rPr>
                <w:rFonts w:hint="eastAsia"/>
                <w:color w:val="000000"/>
                <w:kern w:val="0"/>
                <w:szCs w:val="21"/>
                <w:lang w:eastAsia="zh-CN"/>
              </w:rPr>
              <w:t>万元</w:t>
            </w:r>
            <w:r>
              <w:rPr>
                <w:color w:val="000000"/>
                <w:kern w:val="0"/>
                <w:szCs w:val="21"/>
              </w:rPr>
              <w:t>)</w:t>
            </w:r>
          </w:p>
        </w:tc>
        <w:tc>
          <w:tcPr>
            <w:tcW w:w="1200" w:type="dxa"/>
            <w:noWrap/>
            <w:vAlign w:val="center"/>
          </w:tcPr>
          <w:p>
            <w:pPr>
              <w:widowControl/>
              <w:spacing w:line="240" w:lineRule="exact"/>
              <w:jc w:val="center"/>
              <w:rPr>
                <w:color w:val="000000"/>
                <w:kern w:val="0"/>
                <w:szCs w:val="21"/>
              </w:rPr>
            </w:pPr>
            <w:r>
              <w:rPr>
                <w:rFonts w:hint="eastAsia"/>
                <w:color w:val="000000"/>
                <w:kern w:val="0"/>
                <w:szCs w:val="21"/>
              </w:rPr>
              <w:t>当年结转结余额</w:t>
            </w:r>
            <w:r>
              <w:rPr>
                <w:color w:val="000000"/>
                <w:kern w:val="0"/>
                <w:szCs w:val="21"/>
              </w:rPr>
              <w:t>(</w:t>
            </w:r>
            <w:r>
              <w:rPr>
                <w:rFonts w:hint="eastAsia"/>
                <w:color w:val="000000"/>
                <w:kern w:val="0"/>
                <w:szCs w:val="21"/>
              </w:rPr>
              <w:t>百元</w:t>
            </w:r>
            <w:r>
              <w:rPr>
                <w:color w:val="000000"/>
                <w:kern w:val="0"/>
                <w:szCs w:val="21"/>
              </w:rPr>
              <w:t>)</w:t>
            </w:r>
          </w:p>
        </w:tc>
        <w:tc>
          <w:tcPr>
            <w:tcW w:w="1665" w:type="dxa"/>
            <w:noWrap/>
            <w:vAlign w:val="center"/>
          </w:tcPr>
          <w:p>
            <w:pPr>
              <w:widowControl/>
              <w:spacing w:line="240" w:lineRule="exact"/>
              <w:jc w:val="center"/>
              <w:rPr>
                <w:color w:val="000000"/>
                <w:kern w:val="0"/>
                <w:szCs w:val="21"/>
              </w:rPr>
            </w:pPr>
            <w:r>
              <w:rPr>
                <w:rFonts w:hint="eastAsia"/>
                <w:color w:val="000000"/>
                <w:kern w:val="0"/>
                <w:szCs w:val="21"/>
              </w:rPr>
              <w:t>结转结余率</w:t>
            </w:r>
            <w:r>
              <w:rPr>
                <w:color w:val="000000"/>
                <w:kern w:val="0"/>
                <w:szCs w:val="21"/>
              </w:rPr>
              <w:t>%</w:t>
            </w:r>
          </w:p>
        </w:tc>
        <w:tc>
          <w:tcPr>
            <w:tcW w:w="1653" w:type="dxa"/>
            <w:noWrap/>
            <w:vAlign w:val="center"/>
          </w:tcPr>
          <w:p>
            <w:pPr>
              <w:widowControl/>
              <w:spacing w:line="240" w:lineRule="exact"/>
              <w:jc w:val="center"/>
              <w:rPr>
                <w:color w:val="000000"/>
                <w:kern w:val="0"/>
                <w:szCs w:val="21"/>
              </w:rPr>
            </w:pPr>
            <w:r>
              <w:rPr>
                <w:rFonts w:hint="eastAsia"/>
                <w:color w:val="000000"/>
                <w:kern w:val="0"/>
                <w:szCs w:val="21"/>
              </w:rPr>
              <w:t>结转结余变动率</w:t>
            </w: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合</w:t>
            </w:r>
            <w:r>
              <w:rPr>
                <w:color w:val="000000"/>
                <w:kern w:val="0"/>
                <w:szCs w:val="21"/>
              </w:rPr>
              <w:t xml:space="preserve">   </w:t>
            </w:r>
            <w:r>
              <w:rPr>
                <w:rFonts w:hint="eastAsia"/>
                <w:color w:val="000000"/>
                <w:kern w:val="0"/>
                <w:szCs w:val="21"/>
              </w:rPr>
              <w:t>计</w:t>
            </w:r>
          </w:p>
        </w:tc>
        <w:tc>
          <w:tcPr>
            <w:tcW w:w="1175"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35</w:t>
            </w:r>
          </w:p>
        </w:tc>
        <w:tc>
          <w:tcPr>
            <w:tcW w:w="1291" w:type="dxa"/>
            <w:noWrap/>
            <w:vAlign w:val="center"/>
          </w:tcPr>
          <w:p>
            <w:pPr>
              <w:widowControl/>
              <w:spacing w:line="240" w:lineRule="exact"/>
              <w:jc w:val="left"/>
              <w:rPr>
                <w:rFonts w:hint="default"/>
                <w:color w:val="000000"/>
                <w:kern w:val="0"/>
                <w:szCs w:val="21"/>
                <w:lang w:val="en-US"/>
              </w:rPr>
            </w:pPr>
            <w:r>
              <w:rPr>
                <w:rFonts w:hint="eastAsia"/>
                <w:color w:val="000000"/>
                <w:kern w:val="0"/>
                <w:szCs w:val="21"/>
              </w:rPr>
              <w:t>　</w:t>
            </w:r>
            <w:r>
              <w:rPr>
                <w:rFonts w:hint="eastAsia"/>
                <w:color w:val="000000"/>
                <w:kern w:val="0"/>
                <w:szCs w:val="21"/>
                <w:lang w:val="en-US" w:eastAsia="zh-CN"/>
              </w:rPr>
              <w:t>35</w:t>
            </w:r>
          </w:p>
        </w:tc>
        <w:tc>
          <w:tcPr>
            <w:tcW w:w="1200" w:type="dxa"/>
            <w:noWrap/>
            <w:vAlign w:val="center"/>
          </w:tcPr>
          <w:p>
            <w:pPr>
              <w:widowControl/>
              <w:spacing w:line="240" w:lineRule="exact"/>
              <w:jc w:val="left"/>
              <w:rPr>
                <w:color w:val="000000"/>
                <w:kern w:val="0"/>
                <w:szCs w:val="21"/>
              </w:rPr>
            </w:pPr>
            <w:r>
              <w:rPr>
                <w:rFonts w:hint="eastAsia"/>
                <w:color w:val="000000"/>
                <w:kern w:val="0"/>
                <w:szCs w:val="21"/>
              </w:rPr>
              <w:t>　</w:t>
            </w:r>
            <w:r>
              <w:rPr>
                <w:rFonts w:hint="eastAsia"/>
                <w:color w:val="000000"/>
                <w:kern w:val="0"/>
                <w:szCs w:val="21"/>
                <w:lang w:val="en-US" w:eastAsia="zh-CN"/>
              </w:rPr>
              <w:t>0</w:t>
            </w:r>
          </w:p>
        </w:tc>
        <w:tc>
          <w:tcPr>
            <w:tcW w:w="166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财政拨款</w:t>
            </w:r>
          </w:p>
        </w:tc>
        <w:tc>
          <w:tcPr>
            <w:tcW w:w="1175" w:type="dxa"/>
            <w:noWrap/>
            <w:vAlign w:val="center"/>
          </w:tcPr>
          <w:p>
            <w:pPr>
              <w:widowControl/>
              <w:spacing w:line="240" w:lineRule="exact"/>
              <w:jc w:val="left"/>
              <w:rPr>
                <w:rFonts w:hint="default"/>
                <w:color w:val="000000"/>
                <w:kern w:val="0"/>
                <w:szCs w:val="21"/>
                <w:lang w:val="en-US"/>
              </w:rPr>
            </w:pPr>
            <w:r>
              <w:rPr>
                <w:rFonts w:hint="eastAsia"/>
                <w:color w:val="000000"/>
                <w:kern w:val="0"/>
                <w:szCs w:val="21"/>
                <w:lang w:val="en-US" w:eastAsia="zh-CN"/>
              </w:rPr>
              <w:t>35</w:t>
            </w:r>
          </w:p>
        </w:tc>
        <w:tc>
          <w:tcPr>
            <w:tcW w:w="1291" w:type="dxa"/>
            <w:noWrap/>
            <w:vAlign w:val="center"/>
          </w:tcPr>
          <w:p>
            <w:pPr>
              <w:widowControl/>
              <w:spacing w:line="240" w:lineRule="exact"/>
              <w:jc w:val="left"/>
              <w:rPr>
                <w:rFonts w:hint="default"/>
                <w:color w:val="000000"/>
                <w:kern w:val="0"/>
                <w:szCs w:val="21"/>
                <w:lang w:val="en-US"/>
              </w:rPr>
            </w:pPr>
            <w:r>
              <w:rPr>
                <w:rFonts w:hint="eastAsia"/>
                <w:color w:val="000000"/>
                <w:kern w:val="0"/>
                <w:szCs w:val="21"/>
              </w:rPr>
              <w:t>　</w:t>
            </w:r>
            <w:r>
              <w:rPr>
                <w:rFonts w:hint="eastAsia"/>
                <w:color w:val="000000"/>
                <w:kern w:val="0"/>
                <w:szCs w:val="21"/>
                <w:lang w:val="en-US" w:eastAsia="zh-CN"/>
              </w:rPr>
              <w:t>35</w:t>
            </w:r>
          </w:p>
        </w:tc>
        <w:tc>
          <w:tcPr>
            <w:tcW w:w="1200"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6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其他资金</w:t>
            </w:r>
          </w:p>
        </w:tc>
        <w:tc>
          <w:tcPr>
            <w:tcW w:w="117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9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00"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65"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2" w:hRule="atLeast"/>
          <w:jc w:val="center"/>
        </w:trPr>
        <w:tc>
          <w:tcPr>
            <w:tcW w:w="706" w:type="dxa"/>
            <w:vMerge w:val="restart"/>
            <w:noWrap/>
            <w:vAlign w:val="center"/>
          </w:tcPr>
          <w:p>
            <w:pPr>
              <w:widowControl/>
              <w:spacing w:line="240" w:lineRule="exact"/>
              <w:jc w:val="center"/>
              <w:rPr>
                <w:color w:val="000000"/>
                <w:kern w:val="0"/>
                <w:szCs w:val="21"/>
              </w:rPr>
            </w:pPr>
            <w:r>
              <w:rPr>
                <w:rFonts w:hint="eastAsia"/>
                <w:color w:val="000000"/>
                <w:kern w:val="0"/>
                <w:szCs w:val="21"/>
              </w:rPr>
              <w:t>财政拨款结构</w:t>
            </w: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项目</w:t>
            </w: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合计</w:t>
            </w:r>
          </w:p>
        </w:tc>
        <w:tc>
          <w:tcPr>
            <w:tcW w:w="1291" w:type="dxa"/>
            <w:noWrap/>
            <w:vAlign w:val="center"/>
          </w:tcPr>
          <w:p>
            <w:pPr>
              <w:widowControl/>
              <w:spacing w:line="240" w:lineRule="exact"/>
              <w:jc w:val="center"/>
              <w:rPr>
                <w:color w:val="000000"/>
                <w:kern w:val="0"/>
                <w:szCs w:val="21"/>
              </w:rPr>
            </w:pPr>
            <w:r>
              <w:rPr>
                <w:rFonts w:hint="eastAsia"/>
                <w:color w:val="000000"/>
                <w:kern w:val="0"/>
                <w:szCs w:val="21"/>
              </w:rPr>
              <w:t>一般公共预算安排</w:t>
            </w:r>
          </w:p>
        </w:tc>
        <w:tc>
          <w:tcPr>
            <w:tcW w:w="1200" w:type="dxa"/>
            <w:noWrap/>
            <w:vAlign w:val="center"/>
          </w:tcPr>
          <w:p>
            <w:pPr>
              <w:widowControl/>
              <w:spacing w:line="240" w:lineRule="exact"/>
              <w:jc w:val="center"/>
              <w:rPr>
                <w:color w:val="000000"/>
                <w:kern w:val="0"/>
                <w:szCs w:val="21"/>
              </w:rPr>
            </w:pPr>
            <w:r>
              <w:rPr>
                <w:rFonts w:hint="eastAsia"/>
                <w:color w:val="000000"/>
                <w:kern w:val="0"/>
                <w:szCs w:val="21"/>
              </w:rPr>
              <w:t>政府性基金预算安排</w:t>
            </w:r>
          </w:p>
        </w:tc>
        <w:tc>
          <w:tcPr>
            <w:tcW w:w="1665" w:type="dxa"/>
            <w:noWrap/>
            <w:vAlign w:val="center"/>
          </w:tcPr>
          <w:p>
            <w:pPr>
              <w:widowControl/>
              <w:spacing w:line="240" w:lineRule="exact"/>
              <w:jc w:val="center"/>
              <w:rPr>
                <w:color w:val="000000"/>
                <w:kern w:val="0"/>
                <w:szCs w:val="21"/>
              </w:rPr>
            </w:pPr>
            <w:r>
              <w:rPr>
                <w:rFonts w:hint="eastAsia"/>
                <w:color w:val="000000"/>
                <w:kern w:val="0"/>
                <w:szCs w:val="21"/>
              </w:rPr>
              <w:t>国有资本经营预算安排</w:t>
            </w:r>
          </w:p>
        </w:tc>
        <w:tc>
          <w:tcPr>
            <w:tcW w:w="1653" w:type="dxa"/>
            <w:noWrap/>
            <w:vAlign w:val="center"/>
          </w:tcPr>
          <w:p>
            <w:pPr>
              <w:widowControl/>
              <w:spacing w:line="240" w:lineRule="exact"/>
              <w:jc w:val="center"/>
              <w:rPr>
                <w:color w:val="000000"/>
                <w:kern w:val="0"/>
                <w:szCs w:val="21"/>
              </w:rPr>
            </w:pPr>
            <w:r>
              <w:rPr>
                <w:rFonts w:hint="eastAsia"/>
                <w:color w:val="000000"/>
                <w:kern w:val="0"/>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预算额</w:t>
            </w:r>
          </w:p>
          <w:p>
            <w:pPr>
              <w:widowControl/>
              <w:spacing w:line="240" w:lineRule="exact"/>
              <w:jc w:val="center"/>
              <w:rPr>
                <w:color w:val="000000"/>
                <w:kern w:val="0"/>
                <w:szCs w:val="21"/>
              </w:rPr>
            </w:pPr>
            <w:r>
              <w:rPr>
                <w:color w:val="000000"/>
                <w:kern w:val="0"/>
                <w:szCs w:val="21"/>
              </w:rPr>
              <w:t>(</w:t>
            </w:r>
            <w:r>
              <w:rPr>
                <w:rFonts w:hint="eastAsia"/>
                <w:color w:val="000000"/>
                <w:kern w:val="0"/>
                <w:szCs w:val="21"/>
              </w:rPr>
              <w:t>百元</w:t>
            </w:r>
            <w:r>
              <w:rPr>
                <w:color w:val="000000"/>
                <w:kern w:val="0"/>
                <w:szCs w:val="21"/>
              </w:rPr>
              <w:t>)</w:t>
            </w:r>
          </w:p>
        </w:tc>
        <w:tc>
          <w:tcPr>
            <w:tcW w:w="1175" w:type="dxa"/>
            <w:noWrap/>
            <w:vAlign w:val="center"/>
          </w:tcPr>
          <w:p>
            <w:pPr>
              <w:widowControl/>
              <w:spacing w:line="240" w:lineRule="exact"/>
              <w:jc w:val="left"/>
              <w:rPr>
                <w:rFonts w:hint="default"/>
                <w:color w:val="000000"/>
                <w:kern w:val="0"/>
                <w:szCs w:val="21"/>
                <w:lang w:val="en-US"/>
              </w:rPr>
            </w:pPr>
            <w:r>
              <w:rPr>
                <w:rFonts w:hint="eastAsia"/>
                <w:color w:val="000000"/>
                <w:kern w:val="0"/>
                <w:szCs w:val="21"/>
              </w:rPr>
              <w:t>　</w:t>
            </w:r>
            <w:r>
              <w:rPr>
                <w:rFonts w:hint="eastAsia"/>
                <w:color w:val="000000"/>
                <w:kern w:val="0"/>
                <w:szCs w:val="21"/>
                <w:lang w:val="en-US" w:eastAsia="zh-CN"/>
              </w:rPr>
              <w:t>35</w:t>
            </w:r>
          </w:p>
        </w:tc>
        <w:tc>
          <w:tcPr>
            <w:tcW w:w="1291" w:type="dxa"/>
            <w:noWrap/>
            <w:vAlign w:val="center"/>
          </w:tcPr>
          <w:p>
            <w:pPr>
              <w:widowControl/>
              <w:spacing w:line="240" w:lineRule="exact"/>
              <w:jc w:val="left"/>
              <w:rPr>
                <w:rFonts w:hint="default"/>
                <w:color w:val="000000"/>
                <w:kern w:val="0"/>
                <w:szCs w:val="21"/>
                <w:lang w:val="en-US"/>
              </w:rPr>
            </w:pPr>
            <w:r>
              <w:rPr>
                <w:rFonts w:hint="eastAsia"/>
                <w:color w:val="000000"/>
                <w:kern w:val="0"/>
                <w:szCs w:val="21"/>
              </w:rPr>
              <w:t>　</w:t>
            </w:r>
            <w:r>
              <w:rPr>
                <w:rFonts w:hint="eastAsia"/>
                <w:color w:val="000000"/>
                <w:kern w:val="0"/>
                <w:szCs w:val="21"/>
                <w:lang w:val="en-US" w:eastAsia="zh-CN"/>
              </w:rPr>
              <w:t>35</w:t>
            </w:r>
          </w:p>
        </w:tc>
        <w:tc>
          <w:tcPr>
            <w:tcW w:w="1200"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6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执行额</w:t>
            </w:r>
          </w:p>
          <w:p>
            <w:pPr>
              <w:widowControl/>
              <w:spacing w:line="240" w:lineRule="exact"/>
              <w:jc w:val="center"/>
              <w:rPr>
                <w:color w:val="000000"/>
                <w:kern w:val="0"/>
                <w:szCs w:val="21"/>
              </w:rPr>
            </w:pPr>
            <w:r>
              <w:rPr>
                <w:color w:val="000000"/>
                <w:kern w:val="0"/>
                <w:szCs w:val="21"/>
              </w:rPr>
              <w:t>(</w:t>
            </w:r>
            <w:r>
              <w:rPr>
                <w:rFonts w:hint="eastAsia"/>
                <w:color w:val="000000"/>
                <w:kern w:val="0"/>
                <w:szCs w:val="21"/>
              </w:rPr>
              <w:t>百元</w:t>
            </w:r>
            <w:r>
              <w:rPr>
                <w:color w:val="000000"/>
                <w:kern w:val="0"/>
                <w:szCs w:val="21"/>
              </w:rPr>
              <w:t>)</w:t>
            </w:r>
          </w:p>
        </w:tc>
        <w:tc>
          <w:tcPr>
            <w:tcW w:w="1175" w:type="dxa"/>
            <w:noWrap/>
            <w:vAlign w:val="center"/>
          </w:tcPr>
          <w:p>
            <w:pPr>
              <w:widowControl/>
              <w:spacing w:line="240" w:lineRule="exact"/>
              <w:jc w:val="left"/>
              <w:rPr>
                <w:rFonts w:hint="default"/>
                <w:color w:val="000000"/>
                <w:kern w:val="0"/>
                <w:szCs w:val="21"/>
                <w:lang w:val="en-US"/>
              </w:rPr>
            </w:pPr>
            <w:r>
              <w:rPr>
                <w:rFonts w:hint="eastAsia"/>
                <w:color w:val="000000"/>
                <w:kern w:val="0"/>
                <w:szCs w:val="21"/>
              </w:rPr>
              <w:t>　</w:t>
            </w:r>
            <w:r>
              <w:rPr>
                <w:rFonts w:hint="eastAsia"/>
                <w:color w:val="000000"/>
                <w:kern w:val="0"/>
                <w:szCs w:val="21"/>
                <w:lang w:val="en-US" w:eastAsia="zh-CN"/>
              </w:rPr>
              <w:t>0</w:t>
            </w:r>
          </w:p>
        </w:tc>
        <w:tc>
          <w:tcPr>
            <w:tcW w:w="1291" w:type="dxa"/>
            <w:noWrap/>
            <w:vAlign w:val="center"/>
          </w:tcPr>
          <w:p>
            <w:pPr>
              <w:widowControl/>
              <w:spacing w:line="240" w:lineRule="exact"/>
              <w:jc w:val="left"/>
              <w:rPr>
                <w:rFonts w:hint="default"/>
                <w:color w:val="000000"/>
                <w:kern w:val="0"/>
                <w:szCs w:val="21"/>
                <w:lang w:val="en-US"/>
              </w:rPr>
            </w:pPr>
            <w:r>
              <w:rPr>
                <w:rFonts w:hint="eastAsia"/>
                <w:color w:val="000000"/>
                <w:kern w:val="0"/>
                <w:szCs w:val="21"/>
              </w:rPr>
              <w:t>　</w:t>
            </w:r>
            <w:r>
              <w:rPr>
                <w:rFonts w:hint="eastAsia"/>
                <w:color w:val="000000"/>
                <w:kern w:val="0"/>
                <w:szCs w:val="21"/>
                <w:lang w:val="en-US" w:eastAsia="zh-CN"/>
              </w:rPr>
              <w:t>0</w:t>
            </w:r>
          </w:p>
        </w:tc>
        <w:tc>
          <w:tcPr>
            <w:tcW w:w="1200"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6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当年结转结余额</w:t>
            </w:r>
            <w:r>
              <w:rPr>
                <w:color w:val="000000"/>
                <w:kern w:val="0"/>
                <w:szCs w:val="21"/>
              </w:rPr>
              <w:t>(</w:t>
            </w:r>
            <w:r>
              <w:rPr>
                <w:rFonts w:hint="eastAsia"/>
                <w:color w:val="000000"/>
                <w:kern w:val="0"/>
                <w:szCs w:val="21"/>
              </w:rPr>
              <w:t>百元</w:t>
            </w:r>
            <w:r>
              <w:rPr>
                <w:color w:val="000000"/>
                <w:kern w:val="0"/>
                <w:szCs w:val="21"/>
              </w:rPr>
              <w:t>)</w:t>
            </w:r>
          </w:p>
        </w:tc>
        <w:tc>
          <w:tcPr>
            <w:tcW w:w="117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9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00"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6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结转结余率</w:t>
            </w:r>
            <w:r>
              <w:rPr>
                <w:color w:val="000000"/>
                <w:kern w:val="0"/>
                <w:szCs w:val="21"/>
              </w:rPr>
              <w:t>%</w:t>
            </w:r>
          </w:p>
        </w:tc>
        <w:tc>
          <w:tcPr>
            <w:tcW w:w="117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9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00"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6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结转结余变动率</w:t>
            </w:r>
            <w:r>
              <w:rPr>
                <w:color w:val="000000"/>
                <w:kern w:val="0"/>
                <w:szCs w:val="21"/>
              </w:rPr>
              <w:t>%</w:t>
            </w:r>
          </w:p>
        </w:tc>
        <w:tc>
          <w:tcPr>
            <w:tcW w:w="117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9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00"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6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5" w:hRule="atLeast"/>
          <w:jc w:val="center"/>
        </w:trPr>
        <w:tc>
          <w:tcPr>
            <w:tcW w:w="706" w:type="dxa"/>
            <w:vMerge w:val="restart"/>
            <w:noWrap/>
            <w:vAlign w:val="center"/>
          </w:tcPr>
          <w:p>
            <w:pPr>
              <w:widowControl/>
              <w:spacing w:line="240" w:lineRule="exact"/>
              <w:jc w:val="center"/>
              <w:rPr>
                <w:color w:val="000000"/>
                <w:kern w:val="0"/>
                <w:szCs w:val="21"/>
              </w:rPr>
            </w:pPr>
            <w:r>
              <w:rPr>
                <w:rFonts w:hint="eastAsia"/>
                <w:color w:val="000000"/>
                <w:kern w:val="0"/>
                <w:szCs w:val="21"/>
              </w:rPr>
              <w:t>年度总体目标</w:t>
            </w:r>
          </w:p>
        </w:tc>
        <w:tc>
          <w:tcPr>
            <w:tcW w:w="2769" w:type="dxa"/>
            <w:gridSpan w:val="2"/>
            <w:noWrap/>
            <w:vAlign w:val="center"/>
          </w:tcPr>
          <w:p>
            <w:pPr>
              <w:widowControl/>
              <w:spacing w:line="240" w:lineRule="exact"/>
              <w:jc w:val="center"/>
              <w:rPr>
                <w:color w:val="000000"/>
                <w:kern w:val="0"/>
                <w:szCs w:val="21"/>
              </w:rPr>
            </w:pPr>
            <w:r>
              <w:rPr>
                <w:rFonts w:hint="eastAsia"/>
                <w:color w:val="000000"/>
                <w:kern w:val="0"/>
                <w:szCs w:val="21"/>
              </w:rPr>
              <w:t>预算总体目标</w:t>
            </w:r>
          </w:p>
        </w:tc>
        <w:tc>
          <w:tcPr>
            <w:tcW w:w="2491" w:type="dxa"/>
            <w:gridSpan w:val="2"/>
            <w:noWrap/>
            <w:vAlign w:val="center"/>
          </w:tcPr>
          <w:p>
            <w:pPr>
              <w:widowControl/>
              <w:spacing w:line="240" w:lineRule="exact"/>
              <w:jc w:val="center"/>
              <w:rPr>
                <w:color w:val="000000"/>
                <w:kern w:val="0"/>
                <w:szCs w:val="21"/>
              </w:rPr>
            </w:pPr>
            <w:r>
              <w:rPr>
                <w:rFonts w:hint="eastAsia"/>
                <w:color w:val="000000"/>
                <w:kern w:val="0"/>
                <w:szCs w:val="21"/>
              </w:rPr>
              <w:t>预算总体目标执行结果</w:t>
            </w:r>
          </w:p>
        </w:tc>
        <w:tc>
          <w:tcPr>
            <w:tcW w:w="3318" w:type="dxa"/>
            <w:gridSpan w:val="2"/>
            <w:noWrap/>
            <w:vAlign w:val="center"/>
          </w:tcPr>
          <w:p>
            <w:pPr>
              <w:widowControl/>
              <w:spacing w:line="240" w:lineRule="exact"/>
              <w:jc w:val="center"/>
              <w:rPr>
                <w:color w:val="000000"/>
                <w:kern w:val="0"/>
                <w:szCs w:val="21"/>
              </w:rPr>
            </w:pPr>
            <w:r>
              <w:rPr>
                <w:rFonts w:hint="eastAsia"/>
                <w:color w:val="000000"/>
                <w:kern w:val="0"/>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vMerge w:val="continue"/>
            <w:noWrap w:val="0"/>
            <w:vAlign w:val="center"/>
          </w:tcPr>
          <w:p>
            <w:pPr>
              <w:widowControl/>
              <w:spacing w:line="240" w:lineRule="exact"/>
              <w:jc w:val="left"/>
              <w:rPr>
                <w:color w:val="000000"/>
                <w:kern w:val="0"/>
                <w:szCs w:val="21"/>
              </w:rPr>
            </w:pPr>
          </w:p>
        </w:tc>
        <w:tc>
          <w:tcPr>
            <w:tcW w:w="2769" w:type="dxa"/>
            <w:gridSpan w:val="2"/>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lang w:val="en-US" w:eastAsia="zh-CN"/>
              </w:rPr>
              <w:t>完成垃圾清扫及清运</w:t>
            </w:r>
          </w:p>
        </w:tc>
        <w:tc>
          <w:tcPr>
            <w:tcW w:w="2491" w:type="dxa"/>
            <w:gridSpan w:val="2"/>
            <w:noWrap/>
            <w:vAlign w:val="center"/>
          </w:tcPr>
          <w:p>
            <w:pPr>
              <w:widowControl/>
              <w:spacing w:line="240" w:lineRule="exact"/>
              <w:jc w:val="both"/>
              <w:rPr>
                <w:color w:val="000000"/>
                <w:kern w:val="0"/>
                <w:szCs w:val="21"/>
              </w:rPr>
            </w:pPr>
            <w:r>
              <w:rPr>
                <w:rFonts w:hint="eastAsia"/>
                <w:color w:val="000000"/>
                <w:kern w:val="0"/>
                <w:szCs w:val="21"/>
                <w:lang w:val="en-US" w:eastAsia="zh-CN"/>
              </w:rPr>
              <w:t>完成垃圾清扫及清运</w:t>
            </w:r>
          </w:p>
        </w:tc>
        <w:tc>
          <w:tcPr>
            <w:tcW w:w="3318" w:type="dxa"/>
            <w:gridSpan w:val="2"/>
            <w:noWrap/>
            <w:vAlign w:val="center"/>
          </w:tcPr>
          <w:p>
            <w:pPr>
              <w:widowControl/>
              <w:spacing w:line="240" w:lineRule="exact"/>
              <w:jc w:val="center"/>
              <w:rPr>
                <w:rFonts w:hint="eastAsia" w:eastAsia="宋体"/>
                <w:color w:val="00000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0" w:hRule="atLeast"/>
          <w:jc w:val="center"/>
        </w:trPr>
        <w:tc>
          <w:tcPr>
            <w:tcW w:w="706" w:type="dxa"/>
            <w:vMerge w:val="restart"/>
            <w:noWrap/>
            <w:vAlign w:val="center"/>
          </w:tcPr>
          <w:p>
            <w:pPr>
              <w:widowControl/>
              <w:spacing w:line="240" w:lineRule="exact"/>
              <w:jc w:val="center"/>
              <w:rPr>
                <w:color w:val="000000"/>
                <w:kern w:val="0"/>
                <w:szCs w:val="21"/>
              </w:rPr>
            </w:pPr>
            <w:r>
              <w:rPr>
                <w:rFonts w:hint="eastAsia"/>
                <w:color w:val="000000"/>
                <w:kern w:val="0"/>
                <w:szCs w:val="21"/>
              </w:rPr>
              <w:t>年度绩</w:t>
            </w:r>
          </w:p>
          <w:p>
            <w:pPr>
              <w:widowControl/>
              <w:spacing w:line="240" w:lineRule="exact"/>
              <w:jc w:val="center"/>
              <w:rPr>
                <w:color w:val="000000"/>
                <w:kern w:val="0"/>
                <w:szCs w:val="21"/>
              </w:rPr>
            </w:pPr>
            <w:r>
              <w:rPr>
                <w:rFonts w:hint="eastAsia"/>
                <w:color w:val="000000"/>
                <w:kern w:val="0"/>
                <w:szCs w:val="21"/>
              </w:rPr>
              <w:t>效指标</w:t>
            </w: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一级</w:t>
            </w:r>
          </w:p>
          <w:p>
            <w:pPr>
              <w:widowControl/>
              <w:spacing w:line="240" w:lineRule="exact"/>
              <w:jc w:val="center"/>
              <w:rPr>
                <w:color w:val="000000"/>
                <w:kern w:val="0"/>
                <w:szCs w:val="21"/>
              </w:rPr>
            </w:pPr>
            <w:r>
              <w:rPr>
                <w:rFonts w:hint="eastAsia"/>
                <w:color w:val="000000"/>
                <w:kern w:val="0"/>
                <w:szCs w:val="21"/>
              </w:rPr>
              <w:t>指标</w:t>
            </w: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二级指标</w:t>
            </w:r>
          </w:p>
        </w:tc>
        <w:tc>
          <w:tcPr>
            <w:tcW w:w="1291" w:type="dxa"/>
            <w:noWrap/>
            <w:vAlign w:val="center"/>
          </w:tcPr>
          <w:p>
            <w:pPr>
              <w:widowControl/>
              <w:spacing w:line="240" w:lineRule="exact"/>
              <w:jc w:val="center"/>
              <w:rPr>
                <w:color w:val="000000"/>
                <w:kern w:val="0"/>
                <w:szCs w:val="21"/>
              </w:rPr>
            </w:pPr>
            <w:r>
              <w:rPr>
                <w:rFonts w:hint="eastAsia"/>
                <w:color w:val="000000"/>
                <w:kern w:val="0"/>
                <w:szCs w:val="21"/>
              </w:rPr>
              <w:t>三级</w:t>
            </w:r>
          </w:p>
          <w:p>
            <w:pPr>
              <w:widowControl/>
              <w:spacing w:line="240" w:lineRule="exact"/>
              <w:jc w:val="center"/>
              <w:rPr>
                <w:color w:val="000000"/>
                <w:kern w:val="0"/>
                <w:szCs w:val="21"/>
              </w:rPr>
            </w:pPr>
            <w:r>
              <w:rPr>
                <w:rFonts w:hint="eastAsia"/>
                <w:color w:val="000000"/>
                <w:kern w:val="0"/>
                <w:szCs w:val="21"/>
              </w:rPr>
              <w:t>指标</w:t>
            </w:r>
          </w:p>
        </w:tc>
        <w:tc>
          <w:tcPr>
            <w:tcW w:w="1200" w:type="dxa"/>
            <w:noWrap/>
            <w:vAlign w:val="center"/>
          </w:tcPr>
          <w:p>
            <w:pPr>
              <w:widowControl/>
              <w:spacing w:line="240" w:lineRule="exact"/>
              <w:jc w:val="center"/>
              <w:rPr>
                <w:color w:val="000000"/>
                <w:kern w:val="0"/>
                <w:szCs w:val="21"/>
              </w:rPr>
            </w:pPr>
            <w:r>
              <w:rPr>
                <w:rFonts w:hint="eastAsia"/>
                <w:color w:val="000000"/>
                <w:kern w:val="0"/>
                <w:szCs w:val="21"/>
              </w:rPr>
              <w:t>预算指标值</w:t>
            </w:r>
            <w:r>
              <w:rPr>
                <w:color w:val="000000"/>
                <w:kern w:val="0"/>
                <w:szCs w:val="21"/>
              </w:rPr>
              <w:t>(</w:t>
            </w:r>
            <w:r>
              <w:rPr>
                <w:rFonts w:hint="eastAsia"/>
                <w:color w:val="000000"/>
                <w:kern w:val="0"/>
                <w:szCs w:val="21"/>
              </w:rPr>
              <w:t>包含数字及文字描述</w:t>
            </w:r>
            <w:r>
              <w:rPr>
                <w:color w:val="000000"/>
                <w:kern w:val="0"/>
                <w:szCs w:val="21"/>
              </w:rPr>
              <w:t>)</w:t>
            </w:r>
          </w:p>
        </w:tc>
        <w:tc>
          <w:tcPr>
            <w:tcW w:w="1665" w:type="dxa"/>
            <w:noWrap/>
            <w:vAlign w:val="center"/>
          </w:tcPr>
          <w:p>
            <w:pPr>
              <w:widowControl/>
              <w:spacing w:line="240" w:lineRule="exact"/>
              <w:jc w:val="center"/>
              <w:rPr>
                <w:color w:val="000000"/>
                <w:kern w:val="0"/>
                <w:szCs w:val="21"/>
              </w:rPr>
            </w:pPr>
            <w:r>
              <w:rPr>
                <w:rFonts w:hint="eastAsia"/>
                <w:color w:val="000000"/>
                <w:kern w:val="0"/>
                <w:szCs w:val="21"/>
              </w:rPr>
              <w:t>预算指标值执行结果</w:t>
            </w:r>
            <w:r>
              <w:rPr>
                <w:color w:val="000000"/>
                <w:kern w:val="0"/>
                <w:szCs w:val="21"/>
              </w:rPr>
              <w:t>(</w:t>
            </w:r>
            <w:r>
              <w:rPr>
                <w:rFonts w:hint="eastAsia"/>
                <w:color w:val="000000"/>
                <w:kern w:val="0"/>
                <w:szCs w:val="21"/>
              </w:rPr>
              <w:t>包含数字及文字描述</w:t>
            </w:r>
            <w:r>
              <w:rPr>
                <w:color w:val="000000"/>
                <w:kern w:val="0"/>
                <w:szCs w:val="21"/>
              </w:rPr>
              <w:t>)</w:t>
            </w:r>
          </w:p>
        </w:tc>
        <w:tc>
          <w:tcPr>
            <w:tcW w:w="1653" w:type="dxa"/>
            <w:noWrap/>
            <w:vAlign w:val="center"/>
          </w:tcPr>
          <w:p>
            <w:pPr>
              <w:widowControl/>
              <w:spacing w:line="240" w:lineRule="exact"/>
              <w:jc w:val="center"/>
              <w:rPr>
                <w:color w:val="000000"/>
                <w:kern w:val="0"/>
                <w:szCs w:val="21"/>
              </w:rPr>
            </w:pPr>
            <w:r>
              <w:rPr>
                <w:rFonts w:hint="eastAsia"/>
                <w:color w:val="000000"/>
                <w:kern w:val="0"/>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90"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vMerge w:val="restart"/>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完成</w:t>
            </w: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数量</w:t>
            </w:r>
          </w:p>
          <w:p>
            <w:pPr>
              <w:widowControl/>
              <w:spacing w:line="240" w:lineRule="exact"/>
              <w:jc w:val="center"/>
              <w:rPr>
                <w:color w:val="000000"/>
                <w:kern w:val="0"/>
                <w:szCs w:val="21"/>
              </w:rPr>
            </w:pPr>
            <w:r>
              <w:rPr>
                <w:rFonts w:hint="eastAsia"/>
                <w:color w:val="000000"/>
                <w:kern w:val="0"/>
                <w:szCs w:val="21"/>
              </w:rPr>
              <w:t>指标</w:t>
            </w:r>
          </w:p>
        </w:tc>
        <w:tc>
          <w:tcPr>
            <w:tcW w:w="129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lang w:val="en-US" w:eastAsia="zh-CN"/>
              </w:rPr>
              <w:t>完成垃圾清扫及清运的村（社区）个数</w:t>
            </w:r>
          </w:p>
        </w:tc>
        <w:tc>
          <w:tcPr>
            <w:tcW w:w="1200"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≥16</w:t>
            </w:r>
          </w:p>
        </w:tc>
        <w:tc>
          <w:tcPr>
            <w:tcW w:w="1665"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完成垃圾清扫及清运的村（社区）个数</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vMerge w:val="continue"/>
            <w:noWrap w:val="0"/>
            <w:vAlign w:val="center"/>
          </w:tcPr>
          <w:p>
            <w:pPr>
              <w:widowControl/>
              <w:spacing w:line="240" w:lineRule="exact"/>
              <w:jc w:val="left"/>
              <w:rPr>
                <w:color w:val="000000"/>
                <w:kern w:val="0"/>
                <w:szCs w:val="21"/>
              </w:rPr>
            </w:pP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质量</w:t>
            </w:r>
          </w:p>
          <w:p>
            <w:pPr>
              <w:widowControl/>
              <w:spacing w:line="240" w:lineRule="exact"/>
              <w:jc w:val="center"/>
              <w:rPr>
                <w:color w:val="000000"/>
                <w:kern w:val="0"/>
                <w:szCs w:val="21"/>
              </w:rPr>
            </w:pPr>
            <w:r>
              <w:rPr>
                <w:rFonts w:hint="eastAsia"/>
                <w:color w:val="000000"/>
                <w:kern w:val="0"/>
                <w:szCs w:val="21"/>
              </w:rPr>
              <w:t>指标</w:t>
            </w:r>
          </w:p>
        </w:tc>
        <w:tc>
          <w:tcPr>
            <w:tcW w:w="1291"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垃圾清运率</w:t>
            </w:r>
          </w:p>
        </w:tc>
        <w:tc>
          <w:tcPr>
            <w:tcW w:w="1200"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大于等于98%</w:t>
            </w:r>
          </w:p>
        </w:tc>
        <w:tc>
          <w:tcPr>
            <w:tcW w:w="1665"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垃圾清运率</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vMerge w:val="continue"/>
            <w:noWrap w:val="0"/>
            <w:vAlign w:val="center"/>
          </w:tcPr>
          <w:p>
            <w:pPr>
              <w:widowControl/>
              <w:spacing w:line="240" w:lineRule="exact"/>
              <w:jc w:val="left"/>
              <w:rPr>
                <w:color w:val="000000"/>
                <w:kern w:val="0"/>
                <w:szCs w:val="21"/>
              </w:rPr>
            </w:pP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时效</w:t>
            </w:r>
          </w:p>
          <w:p>
            <w:pPr>
              <w:widowControl/>
              <w:spacing w:line="240" w:lineRule="exact"/>
              <w:jc w:val="center"/>
              <w:rPr>
                <w:color w:val="000000"/>
                <w:kern w:val="0"/>
                <w:szCs w:val="21"/>
              </w:rPr>
            </w:pPr>
            <w:r>
              <w:rPr>
                <w:rFonts w:hint="eastAsia"/>
                <w:color w:val="000000"/>
                <w:kern w:val="0"/>
                <w:szCs w:val="21"/>
              </w:rPr>
              <w:t>指标</w:t>
            </w:r>
          </w:p>
        </w:tc>
        <w:tc>
          <w:tcPr>
            <w:tcW w:w="1291"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完成时间</w:t>
            </w:r>
          </w:p>
        </w:tc>
        <w:tc>
          <w:tcPr>
            <w:tcW w:w="1200" w:type="dxa"/>
            <w:noWrap/>
            <w:vAlign w:val="center"/>
          </w:tcPr>
          <w:p>
            <w:pPr>
              <w:widowControl/>
              <w:spacing w:line="240" w:lineRule="exact"/>
              <w:jc w:val="left"/>
              <w:rPr>
                <w:rFonts w:hint="default"/>
                <w:color w:val="000000"/>
                <w:kern w:val="0"/>
                <w:szCs w:val="21"/>
                <w:lang w:val="en-US"/>
              </w:rPr>
            </w:pPr>
            <w:r>
              <w:rPr>
                <w:rFonts w:hint="eastAsia"/>
                <w:color w:val="000000"/>
                <w:kern w:val="0"/>
                <w:szCs w:val="21"/>
                <w:lang w:val="en-US" w:eastAsia="zh-CN"/>
              </w:rPr>
              <w:t>2022年</w:t>
            </w:r>
          </w:p>
        </w:tc>
        <w:tc>
          <w:tcPr>
            <w:tcW w:w="1665"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完成时间</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vMerge w:val="continue"/>
            <w:noWrap w:val="0"/>
            <w:vAlign w:val="center"/>
          </w:tcPr>
          <w:p>
            <w:pPr>
              <w:widowControl/>
              <w:spacing w:line="240" w:lineRule="exact"/>
              <w:jc w:val="left"/>
              <w:rPr>
                <w:color w:val="000000"/>
                <w:kern w:val="0"/>
                <w:szCs w:val="21"/>
              </w:rPr>
            </w:pP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成本</w:t>
            </w:r>
          </w:p>
          <w:p>
            <w:pPr>
              <w:widowControl/>
              <w:spacing w:line="240" w:lineRule="exact"/>
              <w:jc w:val="center"/>
              <w:rPr>
                <w:color w:val="000000"/>
                <w:kern w:val="0"/>
                <w:szCs w:val="21"/>
              </w:rPr>
            </w:pPr>
            <w:r>
              <w:rPr>
                <w:rFonts w:hint="eastAsia"/>
                <w:color w:val="000000"/>
                <w:kern w:val="0"/>
                <w:szCs w:val="21"/>
              </w:rPr>
              <w:t>指标</w:t>
            </w:r>
          </w:p>
        </w:tc>
        <w:tc>
          <w:tcPr>
            <w:tcW w:w="1291"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补助资金投入</w:t>
            </w:r>
          </w:p>
        </w:tc>
        <w:tc>
          <w:tcPr>
            <w:tcW w:w="1200"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≤35万元</w:t>
            </w:r>
          </w:p>
        </w:tc>
        <w:tc>
          <w:tcPr>
            <w:tcW w:w="1665"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补助资金投入</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vMerge w:val="continue"/>
            <w:noWrap w:val="0"/>
            <w:vAlign w:val="center"/>
          </w:tcPr>
          <w:p>
            <w:pPr>
              <w:widowControl/>
              <w:spacing w:line="240" w:lineRule="exact"/>
              <w:jc w:val="left"/>
              <w:rPr>
                <w:color w:val="000000"/>
                <w:kern w:val="0"/>
                <w:szCs w:val="21"/>
              </w:rPr>
            </w:pPr>
          </w:p>
        </w:tc>
        <w:tc>
          <w:tcPr>
            <w:tcW w:w="1175" w:type="dxa"/>
            <w:noWrap/>
            <w:vAlign w:val="center"/>
          </w:tcPr>
          <w:p>
            <w:pPr>
              <w:widowControl/>
              <w:spacing w:line="240" w:lineRule="exact"/>
              <w:jc w:val="center"/>
              <w:rPr>
                <w:rFonts w:hint="eastAsia"/>
                <w:color w:val="000000"/>
                <w:kern w:val="0"/>
                <w:szCs w:val="21"/>
              </w:rPr>
            </w:pPr>
            <w:r>
              <w:rPr>
                <w:rFonts w:hint="eastAsia"/>
                <w:color w:val="000000"/>
                <w:kern w:val="0"/>
                <w:szCs w:val="21"/>
              </w:rPr>
              <w:t>社会</w:t>
            </w:r>
          </w:p>
          <w:p>
            <w:pPr>
              <w:widowControl/>
              <w:spacing w:line="240" w:lineRule="exact"/>
              <w:jc w:val="center"/>
              <w:rPr>
                <w:rFonts w:hint="eastAsia"/>
                <w:color w:val="000000"/>
                <w:kern w:val="0"/>
                <w:szCs w:val="21"/>
              </w:rPr>
            </w:pPr>
            <w:r>
              <w:rPr>
                <w:rFonts w:hint="eastAsia"/>
                <w:color w:val="000000"/>
                <w:kern w:val="0"/>
                <w:szCs w:val="21"/>
              </w:rPr>
              <w:t>效益</w:t>
            </w:r>
          </w:p>
          <w:p>
            <w:pPr>
              <w:widowControl/>
              <w:spacing w:line="240" w:lineRule="exact"/>
              <w:jc w:val="center"/>
              <w:rPr>
                <w:color w:val="000000"/>
                <w:kern w:val="0"/>
                <w:szCs w:val="21"/>
              </w:rPr>
            </w:pPr>
            <w:r>
              <w:rPr>
                <w:rFonts w:hint="eastAsia"/>
                <w:color w:val="000000"/>
                <w:kern w:val="0"/>
                <w:szCs w:val="21"/>
              </w:rPr>
              <w:t>指标</w:t>
            </w:r>
          </w:p>
        </w:tc>
        <w:tc>
          <w:tcPr>
            <w:tcW w:w="1291"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提升群众满意度</w:t>
            </w:r>
          </w:p>
        </w:tc>
        <w:tc>
          <w:tcPr>
            <w:tcW w:w="1200" w:type="dxa"/>
            <w:noWrap/>
            <w:vAlign w:val="center"/>
          </w:tcPr>
          <w:p>
            <w:pPr>
              <w:widowControl/>
              <w:spacing w:line="240" w:lineRule="exact"/>
              <w:jc w:val="left"/>
              <w:rPr>
                <w:color w:val="000000"/>
                <w:kern w:val="0"/>
                <w:szCs w:val="21"/>
              </w:rPr>
            </w:pPr>
            <w:r>
              <w:rPr>
                <w:rFonts w:hint="eastAsia"/>
                <w:color w:val="000000"/>
                <w:kern w:val="0"/>
                <w:szCs w:val="21"/>
                <w:lang w:val="en-US" w:eastAsia="zh-CN"/>
              </w:rPr>
              <w:t>优</w:t>
            </w:r>
          </w:p>
        </w:tc>
        <w:tc>
          <w:tcPr>
            <w:tcW w:w="1665"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提升群众满意度</w:t>
            </w:r>
          </w:p>
        </w:tc>
        <w:tc>
          <w:tcPr>
            <w:tcW w:w="1653" w:type="dxa"/>
            <w:noWrap/>
            <w:vAlign w:val="center"/>
          </w:tcPr>
          <w:p>
            <w:pPr>
              <w:widowControl/>
              <w:spacing w:line="240" w:lineRule="exact"/>
              <w:jc w:val="left"/>
              <w:rPr>
                <w:color w:val="000000"/>
                <w:kern w:val="0"/>
                <w:szCs w:val="21"/>
              </w:rPr>
            </w:pPr>
            <w:r>
              <w:rPr>
                <w:rFonts w:hint="eastAsia"/>
                <w:color w:val="000000"/>
                <w:kern w:val="0"/>
                <w:szCs w:val="21"/>
              </w:rPr>
              <w:t>　</w:t>
            </w: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满意度</w:t>
            </w:r>
          </w:p>
          <w:p>
            <w:pPr>
              <w:widowControl/>
              <w:spacing w:line="240" w:lineRule="exact"/>
              <w:jc w:val="center"/>
              <w:rPr>
                <w:color w:val="000000"/>
                <w:kern w:val="0"/>
                <w:szCs w:val="21"/>
              </w:rPr>
            </w:pPr>
            <w:r>
              <w:rPr>
                <w:rFonts w:hint="eastAsia"/>
                <w:color w:val="000000"/>
                <w:kern w:val="0"/>
                <w:szCs w:val="21"/>
              </w:rPr>
              <w:t>指标</w:t>
            </w: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满意度指标</w:t>
            </w:r>
          </w:p>
        </w:tc>
        <w:tc>
          <w:tcPr>
            <w:tcW w:w="1291"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受益群众满意度</w:t>
            </w:r>
          </w:p>
        </w:tc>
        <w:tc>
          <w:tcPr>
            <w:tcW w:w="1200" w:type="dxa"/>
            <w:noWrap/>
            <w:vAlign w:val="center"/>
          </w:tcPr>
          <w:p>
            <w:pPr>
              <w:widowControl/>
              <w:spacing w:line="240" w:lineRule="exact"/>
              <w:jc w:val="left"/>
              <w:rPr>
                <w:color w:val="000000"/>
                <w:kern w:val="0"/>
                <w:szCs w:val="21"/>
              </w:rPr>
            </w:pPr>
            <w:r>
              <w:rPr>
                <w:rFonts w:hint="eastAsia"/>
                <w:color w:val="000000"/>
                <w:kern w:val="0"/>
                <w:szCs w:val="21"/>
                <w:lang w:val="en-US" w:eastAsia="zh-CN"/>
              </w:rPr>
              <w:t>大于等于95%</w:t>
            </w:r>
          </w:p>
        </w:tc>
        <w:tc>
          <w:tcPr>
            <w:tcW w:w="1665"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受益群众满意度</w:t>
            </w:r>
          </w:p>
        </w:tc>
        <w:tc>
          <w:tcPr>
            <w:tcW w:w="1653" w:type="dxa"/>
            <w:noWrap/>
            <w:vAlign w:val="center"/>
          </w:tcPr>
          <w:p>
            <w:pPr>
              <w:widowControl/>
              <w:spacing w:line="240" w:lineRule="exact"/>
              <w:jc w:val="left"/>
              <w:rPr>
                <w:color w:val="000000"/>
                <w:kern w:val="0"/>
                <w:szCs w:val="21"/>
              </w:rPr>
            </w:pPr>
            <w:r>
              <w:rPr>
                <w:rFonts w:hint="eastAsia"/>
                <w:color w:val="000000"/>
                <w:kern w:val="0"/>
                <w:szCs w:val="21"/>
              </w:rPr>
              <w:t>　</w:t>
            </w:r>
            <w:r>
              <w:rPr>
                <w:rFonts w:hint="eastAsia"/>
                <w:color w:val="000000"/>
                <w:kern w:val="0"/>
                <w:szCs w:val="21"/>
                <w:lang w:val="en-US" w:eastAsia="zh-CN"/>
              </w:rPr>
              <w:t>无</w:t>
            </w:r>
          </w:p>
        </w:tc>
      </w:tr>
    </w:tbl>
    <w:p>
      <w:pPr>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spacing w:line="58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lang w:val="en-US" w:eastAsia="zh-CN"/>
        </w:rPr>
        <w:t>2</w:t>
      </w:r>
      <w:r>
        <w:rPr>
          <w:rFonts w:hint="eastAsia" w:eastAsia="方正小标宋简体"/>
          <w:sz w:val="44"/>
          <w:szCs w:val="44"/>
        </w:rPr>
        <w:t>年乐至县项目支出绩效自评报告</w:t>
      </w:r>
    </w:p>
    <w:p>
      <w:pPr>
        <w:spacing w:line="580" w:lineRule="exact"/>
        <w:jc w:val="center"/>
        <w:rPr>
          <w:rFonts w:eastAsia="方正楷体简体"/>
          <w:b/>
          <w:sz w:val="32"/>
          <w:szCs w:val="32"/>
        </w:rPr>
      </w:pPr>
      <w:r>
        <w:rPr>
          <w:rFonts w:hint="eastAsia" w:eastAsia="方正楷体简体"/>
          <w:b/>
          <w:sz w:val="32"/>
          <w:szCs w:val="32"/>
        </w:rPr>
        <w:t>（</w:t>
      </w:r>
      <w:r>
        <w:rPr>
          <w:rFonts w:hint="eastAsia" w:eastAsia="方正楷体简体"/>
          <w:b/>
          <w:sz w:val="32"/>
          <w:szCs w:val="32"/>
          <w:lang w:eastAsia="zh-CN"/>
        </w:rPr>
        <w:t>劳动镇发展农旅融合</w:t>
      </w:r>
      <w:r>
        <w:rPr>
          <w:rFonts w:hint="eastAsia" w:eastAsia="方正楷体简体"/>
          <w:b/>
          <w:sz w:val="32"/>
          <w:szCs w:val="32"/>
        </w:rPr>
        <w:t>项目</w:t>
      </w:r>
      <w:r>
        <w:rPr>
          <w:rFonts w:hint="eastAsia" w:eastAsia="方正楷体简体"/>
          <w:b/>
          <w:sz w:val="32"/>
          <w:szCs w:val="32"/>
          <w:lang w:eastAsia="zh-CN"/>
        </w:rPr>
        <w:t>“荷花节”经费</w:t>
      </w:r>
      <w:r>
        <w:rPr>
          <w:rFonts w:hint="eastAsia" w:eastAsia="方正楷体简体"/>
          <w:b/>
          <w:sz w:val="32"/>
          <w:szCs w:val="32"/>
        </w:rPr>
        <w:t>）</w:t>
      </w:r>
    </w:p>
    <w:p>
      <w:pPr>
        <w:spacing w:line="580" w:lineRule="exact"/>
        <w:ind w:firstLine="640" w:firstLineChars="200"/>
        <w:rPr>
          <w:rFonts w:eastAsia="方正仿宋简体"/>
          <w:sz w:val="32"/>
          <w:szCs w:val="32"/>
        </w:rPr>
      </w:pPr>
      <w:r>
        <w:rPr>
          <w:rFonts w:hint="eastAsia" w:eastAsia="方正仿宋简体"/>
          <w:sz w:val="32"/>
          <w:szCs w:val="32"/>
        </w:rPr>
        <w:t>按照乐至县财政局《关于开展202</w:t>
      </w:r>
      <w:r>
        <w:rPr>
          <w:rFonts w:hint="eastAsia" w:eastAsia="方正仿宋简体"/>
          <w:sz w:val="32"/>
          <w:szCs w:val="32"/>
          <w:lang w:val="en-US" w:eastAsia="zh-CN"/>
        </w:rPr>
        <w:t>2</w:t>
      </w:r>
      <w:r>
        <w:rPr>
          <w:rFonts w:hint="eastAsia" w:eastAsia="方正仿宋简体"/>
          <w:sz w:val="32"/>
          <w:szCs w:val="32"/>
        </w:rPr>
        <w:t>年度财政支出绩效自评工作的通知》要求，我镇高度重视，认真组织开展劳动镇发展农旅融合项目“荷花节”经费支出绩效自评，现将自评工作总结如下。</w:t>
      </w:r>
    </w:p>
    <w:p>
      <w:pPr>
        <w:spacing w:line="580" w:lineRule="exact"/>
        <w:ind w:firstLine="640" w:firstLineChars="200"/>
        <w:rPr>
          <w:rFonts w:eastAsia="方正黑体简体"/>
          <w:sz w:val="32"/>
          <w:szCs w:val="32"/>
        </w:rPr>
      </w:pPr>
      <w:r>
        <w:rPr>
          <w:rFonts w:hint="eastAsia" w:eastAsia="方正黑体简体"/>
          <w:sz w:val="32"/>
          <w:szCs w:val="32"/>
        </w:rPr>
        <w:t>一、项目基本情况</w:t>
      </w:r>
    </w:p>
    <w:p>
      <w:pPr>
        <w:spacing w:line="580" w:lineRule="exact"/>
        <w:ind w:firstLine="643" w:firstLineChars="200"/>
        <w:rPr>
          <w:rFonts w:eastAsia="方正楷体简体"/>
          <w:b/>
          <w:sz w:val="32"/>
          <w:szCs w:val="32"/>
        </w:rPr>
      </w:pPr>
      <w:r>
        <w:rPr>
          <w:rFonts w:hint="eastAsia" w:eastAsia="方正楷体简体"/>
          <w:b/>
          <w:sz w:val="32"/>
          <w:szCs w:val="32"/>
        </w:rPr>
        <w:t>（一）概况</w:t>
      </w:r>
    </w:p>
    <w:p>
      <w:pPr>
        <w:spacing w:line="580" w:lineRule="exact"/>
        <w:ind w:firstLine="643" w:firstLineChars="200"/>
        <w:rPr>
          <w:rFonts w:hint="eastAsia" w:eastAsia="方正仿宋简体"/>
          <w:sz w:val="32"/>
          <w:szCs w:val="32"/>
        </w:rPr>
      </w:pPr>
      <w:r>
        <w:rPr>
          <w:rFonts w:eastAsia="方正仿宋简体"/>
          <w:b/>
          <w:sz w:val="32"/>
          <w:szCs w:val="32"/>
        </w:rPr>
        <w:t>1.</w:t>
      </w:r>
      <w:r>
        <w:rPr>
          <w:rFonts w:hint="eastAsia" w:eastAsia="方正仿宋简体"/>
          <w:sz w:val="32"/>
          <w:szCs w:val="32"/>
        </w:rPr>
        <w:t>立项背景及目的</w:t>
      </w:r>
    </w:p>
    <w:p>
      <w:pPr>
        <w:spacing w:line="580" w:lineRule="exact"/>
        <w:ind w:firstLine="640" w:firstLineChars="200"/>
        <w:rPr>
          <w:rFonts w:hint="eastAsia" w:eastAsia="方正仿宋简体"/>
          <w:sz w:val="32"/>
          <w:szCs w:val="32"/>
          <w:lang w:eastAsia="zh-CN"/>
        </w:rPr>
      </w:pPr>
      <w:r>
        <w:rPr>
          <w:rFonts w:hint="eastAsia" w:eastAsia="方正仿宋简体"/>
          <w:sz w:val="32"/>
          <w:szCs w:val="32"/>
        </w:rPr>
        <w:t>为配合开展陈毅故里荷花节</w:t>
      </w:r>
      <w:r>
        <w:rPr>
          <w:rFonts w:hint="eastAsia" w:eastAsia="方正仿宋简体"/>
          <w:sz w:val="32"/>
          <w:szCs w:val="32"/>
          <w:lang w:eastAsia="zh-CN"/>
        </w:rPr>
        <w:t>活动</w:t>
      </w:r>
      <w:r>
        <w:rPr>
          <w:rFonts w:hint="eastAsia" w:eastAsia="方正仿宋简体"/>
          <w:sz w:val="32"/>
          <w:szCs w:val="32"/>
        </w:rPr>
        <w:t>和陈毅故里</w:t>
      </w:r>
      <w:r>
        <w:rPr>
          <w:rFonts w:hint="eastAsia" w:eastAsia="方正仿宋简体"/>
          <w:sz w:val="32"/>
          <w:szCs w:val="32"/>
          <w:lang w:eastAsia="zh-CN"/>
        </w:rPr>
        <w:t>景区</w:t>
      </w:r>
      <w:r>
        <w:rPr>
          <w:rFonts w:hint="eastAsia" w:eastAsia="方正仿宋简体"/>
          <w:sz w:val="32"/>
          <w:szCs w:val="32"/>
        </w:rPr>
        <w:t>管</w:t>
      </w:r>
      <w:r>
        <w:rPr>
          <w:rFonts w:hint="eastAsia" w:eastAsia="方正仿宋简体"/>
          <w:sz w:val="32"/>
          <w:szCs w:val="32"/>
          <w:lang w:eastAsia="zh-CN"/>
        </w:rPr>
        <w:t>委会</w:t>
      </w:r>
      <w:r>
        <w:rPr>
          <w:rFonts w:hint="eastAsia" w:eastAsia="方正仿宋简体"/>
          <w:sz w:val="32"/>
          <w:szCs w:val="32"/>
        </w:rPr>
        <w:t>创建“5A”级红色文化旅游景区项目，根据县委主要领导指示，我镇在陈毅故里快速通道两侧租用242.838亩土地（其中水田182.624亩、干田41.214亩，堰塘19亩），将其纳入“荷花节”观光带打造范围，并实施建设</w:t>
      </w:r>
      <w:r>
        <w:rPr>
          <w:rFonts w:hint="eastAsia" w:eastAsia="方正仿宋简体"/>
          <w:sz w:val="32"/>
          <w:szCs w:val="32"/>
          <w:lang w:eastAsia="zh-CN"/>
        </w:rPr>
        <w:t>，以确保荷花节顺利召开。</w:t>
      </w:r>
    </w:p>
    <w:p>
      <w:pPr>
        <w:spacing w:line="580" w:lineRule="exact"/>
        <w:ind w:firstLine="643" w:firstLineChars="200"/>
        <w:rPr>
          <w:rFonts w:hint="eastAsia" w:eastAsia="方正仿宋简体"/>
          <w:sz w:val="32"/>
          <w:szCs w:val="32"/>
        </w:rPr>
      </w:pPr>
      <w:r>
        <w:rPr>
          <w:rFonts w:eastAsia="方正仿宋简体"/>
          <w:b/>
          <w:sz w:val="32"/>
          <w:szCs w:val="32"/>
        </w:rPr>
        <w:t>2.</w:t>
      </w:r>
      <w:r>
        <w:rPr>
          <w:rFonts w:hint="eastAsia" w:eastAsia="方正仿宋简体"/>
          <w:sz w:val="32"/>
          <w:szCs w:val="32"/>
        </w:rPr>
        <w:t>预算资金来源及使用情况</w:t>
      </w:r>
    </w:p>
    <w:p>
      <w:pPr>
        <w:spacing w:line="580" w:lineRule="exact"/>
        <w:ind w:firstLine="640" w:firstLineChars="200"/>
        <w:rPr>
          <w:rFonts w:hint="eastAsia" w:eastAsia="方正仿宋简体"/>
          <w:sz w:val="32"/>
          <w:szCs w:val="32"/>
          <w:lang w:eastAsia="zh-CN"/>
        </w:rPr>
      </w:pPr>
      <w:r>
        <w:rPr>
          <w:rFonts w:hint="eastAsia" w:eastAsia="方正仿宋简体"/>
          <w:sz w:val="32"/>
          <w:szCs w:val="32"/>
        </w:rPr>
        <w:t>项目全年预算数</w:t>
      </w:r>
      <w:r>
        <w:rPr>
          <w:rFonts w:hint="eastAsia" w:eastAsia="方正仿宋简体"/>
          <w:sz w:val="32"/>
          <w:szCs w:val="32"/>
          <w:lang w:val="en-US" w:eastAsia="zh-CN"/>
        </w:rPr>
        <w:t>43</w:t>
      </w:r>
      <w:r>
        <w:rPr>
          <w:rFonts w:hint="eastAsia" w:eastAsia="方正仿宋简体"/>
          <w:sz w:val="32"/>
          <w:szCs w:val="32"/>
        </w:rPr>
        <w:t>万元，执行数为</w:t>
      </w:r>
      <w:r>
        <w:rPr>
          <w:rFonts w:hint="eastAsia" w:eastAsia="方正仿宋简体"/>
          <w:sz w:val="32"/>
          <w:szCs w:val="32"/>
          <w:lang w:val="en-US" w:eastAsia="zh-CN"/>
        </w:rPr>
        <w:t>43</w:t>
      </w:r>
      <w:r>
        <w:rPr>
          <w:rFonts w:hint="eastAsia" w:eastAsia="方正仿宋简体"/>
          <w:sz w:val="32"/>
          <w:szCs w:val="32"/>
        </w:rPr>
        <w:t>万元，用于提质升级劳动镇农旅融合项目“荷花节”</w:t>
      </w:r>
      <w:r>
        <w:rPr>
          <w:rFonts w:hint="eastAsia" w:eastAsia="方正仿宋简体"/>
          <w:sz w:val="32"/>
          <w:szCs w:val="32"/>
          <w:lang w:eastAsia="zh-CN"/>
        </w:rPr>
        <w:t>。</w:t>
      </w:r>
    </w:p>
    <w:p>
      <w:pPr>
        <w:spacing w:line="580" w:lineRule="exact"/>
        <w:ind w:firstLine="643" w:firstLineChars="200"/>
        <w:rPr>
          <w:rFonts w:hint="eastAsia" w:eastAsia="方正仿宋简体"/>
          <w:sz w:val="32"/>
          <w:szCs w:val="32"/>
        </w:rPr>
      </w:pPr>
      <w:r>
        <w:rPr>
          <w:rFonts w:eastAsia="方正仿宋简体"/>
          <w:b/>
          <w:sz w:val="32"/>
          <w:szCs w:val="32"/>
        </w:rPr>
        <w:t>3.</w:t>
      </w:r>
      <w:r>
        <w:rPr>
          <w:rFonts w:hint="eastAsia" w:eastAsia="方正仿宋简体"/>
          <w:sz w:val="32"/>
          <w:szCs w:val="32"/>
        </w:rPr>
        <w:t>实施情况（项目完成情况）</w:t>
      </w:r>
    </w:p>
    <w:p>
      <w:pPr>
        <w:spacing w:line="580" w:lineRule="exact"/>
        <w:ind w:firstLine="640" w:firstLineChars="200"/>
        <w:rPr>
          <w:rFonts w:hint="eastAsia" w:eastAsia="方正仿宋简体"/>
          <w:sz w:val="32"/>
          <w:szCs w:val="32"/>
          <w:lang w:eastAsia="zh-CN"/>
        </w:rPr>
      </w:pPr>
      <w:r>
        <w:rPr>
          <w:rFonts w:hint="eastAsia" w:eastAsia="方正仿宋简体"/>
          <w:sz w:val="32"/>
          <w:szCs w:val="32"/>
          <w:lang w:eastAsia="zh-CN"/>
        </w:rPr>
        <w:t>已组织人员</w:t>
      </w:r>
      <w:r>
        <w:rPr>
          <w:rFonts w:hint="eastAsia" w:eastAsia="方正仿宋简体"/>
          <w:sz w:val="32"/>
          <w:szCs w:val="32"/>
        </w:rPr>
        <w:t>在陈毅故里快速通道两侧租用242.838亩土地</w:t>
      </w:r>
      <w:r>
        <w:rPr>
          <w:rFonts w:hint="eastAsia" w:eastAsia="方正仿宋简体"/>
          <w:sz w:val="32"/>
          <w:szCs w:val="32"/>
          <w:lang w:eastAsia="zh-CN"/>
        </w:rPr>
        <w:t>进行莲藕种植</w:t>
      </w:r>
      <w:r>
        <w:rPr>
          <w:rFonts w:hint="eastAsia" w:eastAsia="方正仿宋简体"/>
          <w:sz w:val="32"/>
          <w:szCs w:val="32"/>
        </w:rPr>
        <w:t>，打造“荷花节”观光带</w:t>
      </w:r>
      <w:r>
        <w:rPr>
          <w:rFonts w:hint="eastAsia" w:eastAsia="方正仿宋简体"/>
          <w:sz w:val="32"/>
          <w:szCs w:val="32"/>
          <w:lang w:eastAsia="zh-CN"/>
        </w:rPr>
        <w:t>，并常态化进行管护。</w:t>
      </w:r>
    </w:p>
    <w:p>
      <w:pPr>
        <w:spacing w:line="580" w:lineRule="exact"/>
        <w:ind w:firstLine="643" w:firstLineChars="200"/>
        <w:rPr>
          <w:rFonts w:hint="eastAsia" w:eastAsia="方正仿宋简体"/>
          <w:sz w:val="32"/>
          <w:szCs w:val="32"/>
        </w:rPr>
      </w:pPr>
      <w:r>
        <w:rPr>
          <w:rFonts w:eastAsia="方正仿宋简体"/>
          <w:b/>
          <w:sz w:val="32"/>
          <w:szCs w:val="32"/>
        </w:rPr>
        <w:t>4.</w:t>
      </w:r>
      <w:r>
        <w:rPr>
          <w:rFonts w:hint="eastAsia" w:eastAsia="方正仿宋简体"/>
          <w:sz w:val="32"/>
          <w:szCs w:val="32"/>
        </w:rPr>
        <w:t>组织及管理（项目组织、管理流程及实际执行情况）</w:t>
      </w:r>
    </w:p>
    <w:p>
      <w:pPr>
        <w:spacing w:line="580" w:lineRule="exact"/>
        <w:ind w:firstLine="640" w:firstLineChars="200"/>
        <w:rPr>
          <w:rFonts w:hint="eastAsia" w:eastAsia="方正楷体简体"/>
          <w:b/>
          <w:color w:val="auto"/>
          <w:sz w:val="32"/>
          <w:szCs w:val="32"/>
        </w:rPr>
      </w:pPr>
      <w:r>
        <w:rPr>
          <w:rFonts w:hint="eastAsia" w:eastAsia="方正仿宋简体"/>
          <w:color w:val="auto"/>
          <w:sz w:val="32"/>
          <w:szCs w:val="32"/>
          <w:lang w:eastAsia="zh-CN"/>
        </w:rPr>
        <w:t>项目启动阶段组织镇村干部协调土地租赁事宜，执行阶段组织周边村民进行莲藕种植养护，确保沿途荷花种植开放，保障荷花节顺利举行。</w:t>
      </w:r>
    </w:p>
    <w:p>
      <w:pPr>
        <w:spacing w:line="580" w:lineRule="exact"/>
        <w:ind w:firstLine="643" w:firstLineChars="200"/>
        <w:rPr>
          <w:rFonts w:eastAsia="方正楷体简体"/>
          <w:b/>
          <w:sz w:val="32"/>
          <w:szCs w:val="32"/>
        </w:rPr>
      </w:pPr>
      <w:r>
        <w:rPr>
          <w:rFonts w:hint="eastAsia" w:eastAsia="方正楷体简体"/>
          <w:b/>
          <w:sz w:val="32"/>
          <w:szCs w:val="32"/>
        </w:rPr>
        <w:t>（二）绩效目标</w:t>
      </w:r>
    </w:p>
    <w:p>
      <w:pPr>
        <w:spacing w:line="580" w:lineRule="exact"/>
        <w:ind w:firstLine="640" w:firstLineChars="200"/>
        <w:rPr>
          <w:rFonts w:eastAsia="方正仿宋简体"/>
          <w:color w:val="0000FF"/>
          <w:sz w:val="32"/>
          <w:szCs w:val="32"/>
        </w:rPr>
      </w:pPr>
      <w:r>
        <w:rPr>
          <w:rFonts w:hint="eastAsia" w:eastAsia="方正仿宋简体"/>
          <w:color w:val="auto"/>
          <w:sz w:val="32"/>
          <w:szCs w:val="32"/>
        </w:rPr>
        <w:t>绩效总体目标是保障</w:t>
      </w:r>
      <w:r>
        <w:rPr>
          <w:rFonts w:hint="eastAsia" w:eastAsia="方正仿宋简体"/>
          <w:color w:val="auto"/>
          <w:sz w:val="32"/>
          <w:szCs w:val="32"/>
          <w:lang w:eastAsia="zh-CN"/>
        </w:rPr>
        <w:t>荷花节</w:t>
      </w:r>
      <w:r>
        <w:rPr>
          <w:rFonts w:hint="eastAsia" w:eastAsia="方正仿宋简体"/>
          <w:color w:val="auto"/>
          <w:sz w:val="32"/>
          <w:szCs w:val="32"/>
        </w:rPr>
        <w:t>顺利</w:t>
      </w:r>
      <w:r>
        <w:rPr>
          <w:rFonts w:hint="eastAsia" w:eastAsia="方正仿宋简体"/>
          <w:color w:val="auto"/>
          <w:sz w:val="32"/>
          <w:szCs w:val="32"/>
          <w:lang w:eastAsia="zh-CN"/>
        </w:rPr>
        <w:t>举行</w:t>
      </w:r>
      <w:r>
        <w:rPr>
          <w:rFonts w:hint="eastAsia" w:eastAsia="方正仿宋简体"/>
          <w:color w:val="auto"/>
          <w:sz w:val="32"/>
          <w:szCs w:val="32"/>
        </w:rPr>
        <w:t>，</w:t>
      </w:r>
      <w:r>
        <w:rPr>
          <w:rFonts w:hint="eastAsia" w:eastAsia="方正仿宋简体"/>
          <w:color w:val="auto"/>
          <w:sz w:val="32"/>
          <w:szCs w:val="32"/>
          <w:lang w:eastAsia="zh-CN"/>
        </w:rPr>
        <w:t>沿途打造荷花景观带，起到良好的宣传效果</w:t>
      </w:r>
      <w:r>
        <w:rPr>
          <w:rFonts w:hint="eastAsia" w:eastAsia="方正仿宋简体"/>
          <w:color w:val="auto"/>
          <w:sz w:val="32"/>
          <w:szCs w:val="32"/>
        </w:rPr>
        <w:t>。数量指标：完成</w:t>
      </w:r>
      <w:r>
        <w:rPr>
          <w:rFonts w:hint="eastAsia" w:eastAsia="方正仿宋简体"/>
          <w:color w:val="auto"/>
          <w:sz w:val="32"/>
          <w:szCs w:val="32"/>
          <w:lang w:eastAsia="zh-CN"/>
        </w:rPr>
        <w:t>约</w:t>
      </w:r>
      <w:r>
        <w:rPr>
          <w:rFonts w:hint="eastAsia" w:eastAsia="方正仿宋简体"/>
          <w:color w:val="auto"/>
          <w:sz w:val="32"/>
          <w:szCs w:val="32"/>
          <w:lang w:val="en-US" w:eastAsia="zh-CN"/>
        </w:rPr>
        <w:t>243亩莲藕的种植管护</w:t>
      </w:r>
      <w:r>
        <w:rPr>
          <w:rFonts w:hint="eastAsia" w:eastAsia="方正仿宋简体"/>
          <w:color w:val="auto"/>
          <w:sz w:val="32"/>
          <w:szCs w:val="32"/>
        </w:rPr>
        <w:t>；质量指标：按照</w:t>
      </w:r>
      <w:r>
        <w:rPr>
          <w:rFonts w:hint="eastAsia" w:eastAsia="方正仿宋简体"/>
          <w:color w:val="auto"/>
          <w:sz w:val="32"/>
          <w:szCs w:val="32"/>
          <w:lang w:val="en-US" w:eastAsia="zh-CN"/>
        </w:rPr>
        <w:t>种植管护</w:t>
      </w:r>
      <w:r>
        <w:rPr>
          <w:rFonts w:hint="eastAsia" w:eastAsia="方正仿宋简体"/>
          <w:color w:val="auto"/>
          <w:sz w:val="32"/>
          <w:szCs w:val="32"/>
        </w:rPr>
        <w:t>要求达标率；时效指标：</w:t>
      </w:r>
      <w:r>
        <w:rPr>
          <w:rFonts w:hint="eastAsia" w:eastAsia="方正仿宋简体"/>
          <w:color w:val="auto"/>
          <w:sz w:val="32"/>
          <w:szCs w:val="32"/>
          <w:lang w:eastAsia="zh-CN"/>
        </w:rPr>
        <w:t>一</w:t>
      </w:r>
      <w:r>
        <w:rPr>
          <w:rFonts w:hint="eastAsia" w:eastAsia="方正仿宋简体"/>
          <w:color w:val="auto"/>
          <w:sz w:val="32"/>
          <w:szCs w:val="32"/>
        </w:rPr>
        <w:t>年内完成；成本指标：资金投入</w:t>
      </w:r>
      <w:r>
        <w:rPr>
          <w:rFonts w:hint="eastAsia" w:eastAsia="方正仿宋简体"/>
          <w:color w:val="auto"/>
          <w:sz w:val="32"/>
          <w:szCs w:val="32"/>
          <w:lang w:eastAsia="zh-CN"/>
        </w:rPr>
        <w:t>执行数为</w:t>
      </w:r>
      <w:r>
        <w:rPr>
          <w:rFonts w:hint="eastAsia" w:eastAsia="方正仿宋简体"/>
          <w:color w:val="auto"/>
          <w:sz w:val="32"/>
          <w:szCs w:val="32"/>
          <w:lang w:val="en-US" w:eastAsia="zh-CN"/>
        </w:rPr>
        <w:t>43</w:t>
      </w:r>
      <w:r>
        <w:rPr>
          <w:rFonts w:hint="eastAsia" w:eastAsia="方正仿宋简体"/>
          <w:color w:val="auto"/>
          <w:sz w:val="32"/>
          <w:szCs w:val="32"/>
        </w:rPr>
        <w:t>万元；社会效益指标：</w:t>
      </w:r>
      <w:r>
        <w:rPr>
          <w:rFonts w:hint="eastAsia" w:eastAsia="方正仿宋简体"/>
          <w:color w:val="auto"/>
          <w:sz w:val="32"/>
          <w:szCs w:val="32"/>
          <w:lang w:eastAsia="zh-CN"/>
        </w:rPr>
        <w:t>打造响亮的旅游品牌，推动我镇旅游业发展，助力陈毅故里景区创建</w:t>
      </w:r>
      <w:r>
        <w:rPr>
          <w:rFonts w:hint="eastAsia" w:eastAsia="方正仿宋简体"/>
          <w:color w:val="auto"/>
          <w:sz w:val="32"/>
          <w:szCs w:val="32"/>
          <w:lang w:val="en-US" w:eastAsia="zh-CN"/>
        </w:rPr>
        <w:t>5A</w:t>
      </w:r>
      <w:r>
        <w:rPr>
          <w:rFonts w:hint="eastAsia" w:eastAsia="方正仿宋简体"/>
          <w:color w:val="auto"/>
          <w:sz w:val="32"/>
          <w:szCs w:val="32"/>
        </w:rPr>
        <w:t>；满意度指标：受益群众满意度大于9</w:t>
      </w:r>
      <w:r>
        <w:rPr>
          <w:rFonts w:hint="eastAsia" w:eastAsia="方正仿宋简体"/>
          <w:color w:val="auto"/>
          <w:sz w:val="32"/>
          <w:szCs w:val="32"/>
          <w:lang w:val="en-US" w:eastAsia="zh-CN"/>
        </w:rPr>
        <w:t>2</w:t>
      </w:r>
      <w:r>
        <w:rPr>
          <w:rFonts w:hint="eastAsia" w:eastAsia="方正仿宋简体"/>
          <w:color w:val="auto"/>
          <w:sz w:val="32"/>
          <w:szCs w:val="32"/>
        </w:rPr>
        <w:t>%。</w:t>
      </w:r>
    </w:p>
    <w:p>
      <w:pPr>
        <w:spacing w:line="580" w:lineRule="exact"/>
        <w:ind w:firstLine="640" w:firstLineChars="200"/>
        <w:rPr>
          <w:rFonts w:eastAsia="方正黑体简体"/>
          <w:sz w:val="32"/>
          <w:szCs w:val="32"/>
        </w:rPr>
      </w:pPr>
      <w:r>
        <w:rPr>
          <w:rFonts w:hint="eastAsia" w:eastAsia="方正黑体简体"/>
          <w:sz w:val="32"/>
          <w:szCs w:val="32"/>
        </w:rPr>
        <w:t>二、绩效自评工作情况</w:t>
      </w:r>
    </w:p>
    <w:p>
      <w:pPr>
        <w:spacing w:line="580" w:lineRule="exact"/>
        <w:ind w:firstLine="643" w:firstLineChars="200"/>
        <w:rPr>
          <w:rFonts w:hint="eastAsia" w:eastAsia="方正楷体简体"/>
          <w:b/>
          <w:sz w:val="32"/>
          <w:szCs w:val="32"/>
        </w:rPr>
      </w:pPr>
      <w:r>
        <w:rPr>
          <w:rFonts w:hint="eastAsia" w:eastAsia="方正楷体简体"/>
          <w:b/>
          <w:sz w:val="32"/>
          <w:szCs w:val="32"/>
        </w:rPr>
        <w:t>（一）自评工作组织领导</w:t>
      </w:r>
    </w:p>
    <w:p>
      <w:pPr>
        <w:spacing w:line="580" w:lineRule="exact"/>
        <w:ind w:firstLine="640" w:firstLineChars="200"/>
        <w:rPr>
          <w:rFonts w:hint="eastAsia" w:eastAsia="方正仿宋简体"/>
          <w:sz w:val="32"/>
          <w:szCs w:val="32"/>
        </w:rPr>
      </w:pPr>
      <w:r>
        <w:rPr>
          <w:rFonts w:hint="eastAsia" w:eastAsia="方正仿宋简体"/>
          <w:sz w:val="32"/>
          <w:szCs w:val="32"/>
        </w:rPr>
        <w:t>镇党委政府高</w:t>
      </w:r>
      <w:r>
        <w:rPr>
          <w:rFonts w:hint="eastAsia" w:eastAsia="方正仿宋简体"/>
          <w:sz w:val="32"/>
          <w:szCs w:val="32"/>
          <w:lang w:eastAsia="zh-CN"/>
        </w:rPr>
        <w:t>度</w:t>
      </w:r>
      <w:r>
        <w:rPr>
          <w:rFonts w:hint="eastAsia" w:eastAsia="方正仿宋简体"/>
          <w:sz w:val="32"/>
          <w:szCs w:val="32"/>
        </w:rPr>
        <w:t>重视绩效自评工作，成立了绩效自评领导小组，组长由镇长担任</w:t>
      </w:r>
      <w:r>
        <w:rPr>
          <w:rFonts w:hint="eastAsia" w:eastAsia="方正仿宋简体"/>
          <w:sz w:val="32"/>
          <w:szCs w:val="32"/>
          <w:lang w:eastAsia="zh-CN"/>
        </w:rPr>
        <w:t>，成员由镇纪委、镇财政所及该项目负责部门同志组成。</w:t>
      </w:r>
    </w:p>
    <w:p>
      <w:pPr>
        <w:numPr>
          <w:ilvl w:val="0"/>
          <w:numId w:val="7"/>
        </w:numPr>
        <w:spacing w:line="580" w:lineRule="exact"/>
        <w:ind w:firstLine="643" w:firstLineChars="200"/>
        <w:rPr>
          <w:rFonts w:hint="eastAsia" w:eastAsia="方正楷体简体"/>
          <w:b/>
          <w:sz w:val="32"/>
          <w:szCs w:val="32"/>
        </w:rPr>
      </w:pPr>
      <w:r>
        <w:rPr>
          <w:rFonts w:hint="eastAsia" w:eastAsia="方正楷体简体"/>
          <w:b/>
          <w:sz w:val="32"/>
          <w:szCs w:val="32"/>
        </w:rPr>
        <w:t>自评方式、方法、重点等</w:t>
      </w:r>
    </w:p>
    <w:p>
      <w:pPr>
        <w:spacing w:line="580" w:lineRule="exact"/>
        <w:ind w:firstLine="640" w:firstLineChars="200"/>
        <w:rPr>
          <w:rFonts w:hint="eastAsia" w:eastAsia="方正楷体简体"/>
          <w:b/>
          <w:sz w:val="32"/>
          <w:szCs w:val="32"/>
        </w:rPr>
      </w:pPr>
      <w:r>
        <w:rPr>
          <w:rFonts w:hint="eastAsia" w:eastAsia="方正仿宋简体"/>
          <w:sz w:val="32"/>
          <w:szCs w:val="32"/>
        </w:rPr>
        <w:t>自评工作由绩效自评工作小组完成，完成对项目执行中对项目绩效目标实现程度和预算执行进度自评。具体就是对项目完成数量、质量、时效、成本等情况，对照项目计划完成目标，对截止评价时点的任务量完成、质量标准、进度计划、成本控制目标的实现程度进行评价，并进行分析说明。</w:t>
      </w:r>
    </w:p>
    <w:p>
      <w:pPr>
        <w:spacing w:line="580" w:lineRule="exact"/>
        <w:ind w:firstLine="640" w:firstLineChars="200"/>
        <w:rPr>
          <w:rFonts w:eastAsia="方正黑体简体"/>
          <w:sz w:val="32"/>
          <w:szCs w:val="32"/>
        </w:rPr>
      </w:pPr>
      <w:r>
        <w:rPr>
          <w:rFonts w:hint="eastAsia" w:eastAsia="方正黑体简体"/>
          <w:sz w:val="32"/>
          <w:szCs w:val="32"/>
        </w:rPr>
        <w:t>三、评价结论</w:t>
      </w:r>
    </w:p>
    <w:p>
      <w:pPr>
        <w:spacing w:line="580" w:lineRule="exact"/>
        <w:ind w:firstLine="640" w:firstLineChars="200"/>
        <w:rPr>
          <w:rFonts w:eastAsia="方正仿宋简体"/>
          <w:sz w:val="32"/>
          <w:szCs w:val="32"/>
        </w:rPr>
      </w:pPr>
      <w:r>
        <w:rPr>
          <w:rFonts w:hint="eastAsia" w:eastAsia="方正仿宋简体"/>
          <w:sz w:val="32"/>
          <w:szCs w:val="32"/>
        </w:rPr>
        <w:t>严格按照投入、过程、产出、效果等指标评分，自评等级为良。</w:t>
      </w:r>
    </w:p>
    <w:p>
      <w:pPr>
        <w:spacing w:line="580" w:lineRule="exact"/>
        <w:ind w:firstLine="640" w:firstLineChars="200"/>
        <w:rPr>
          <w:rFonts w:eastAsia="方正黑体简体"/>
          <w:sz w:val="32"/>
          <w:szCs w:val="32"/>
        </w:rPr>
      </w:pPr>
      <w:r>
        <w:rPr>
          <w:rFonts w:hint="eastAsia" w:eastAsia="方正黑体简体"/>
          <w:sz w:val="32"/>
          <w:szCs w:val="32"/>
        </w:rPr>
        <w:t>四、绩效分析</w:t>
      </w:r>
    </w:p>
    <w:p>
      <w:pPr>
        <w:spacing w:line="580" w:lineRule="exact"/>
        <w:ind w:firstLine="640" w:firstLineChars="200"/>
        <w:rPr>
          <w:rFonts w:hint="eastAsia" w:eastAsia="方正仿宋简体"/>
          <w:sz w:val="32"/>
          <w:szCs w:val="32"/>
        </w:rPr>
      </w:pPr>
      <w:r>
        <w:rPr>
          <w:rFonts w:hint="eastAsia" w:eastAsia="方正仿宋简体"/>
          <w:sz w:val="32"/>
          <w:szCs w:val="32"/>
        </w:rPr>
        <w:t>1、项目资金到位情况分析。202</w:t>
      </w:r>
      <w:r>
        <w:rPr>
          <w:rFonts w:hint="eastAsia" w:eastAsia="方正仿宋简体"/>
          <w:sz w:val="32"/>
          <w:szCs w:val="32"/>
          <w:lang w:val="en-US" w:eastAsia="zh-CN"/>
        </w:rPr>
        <w:t>2</w:t>
      </w:r>
      <w:r>
        <w:rPr>
          <w:rFonts w:hint="eastAsia" w:eastAsia="方正仿宋简体"/>
          <w:sz w:val="32"/>
          <w:szCs w:val="32"/>
        </w:rPr>
        <w:t>年度下达</w:t>
      </w:r>
      <w:r>
        <w:rPr>
          <w:rFonts w:hint="eastAsia" w:eastAsia="方正仿宋简体"/>
          <w:sz w:val="32"/>
          <w:szCs w:val="32"/>
          <w:lang w:eastAsia="zh-CN"/>
        </w:rPr>
        <w:t>荷花节经费</w:t>
      </w:r>
      <w:r>
        <w:rPr>
          <w:rFonts w:hint="eastAsia" w:eastAsia="方正仿宋简体"/>
          <w:sz w:val="32"/>
          <w:szCs w:val="32"/>
          <w:lang w:val="en-US" w:eastAsia="zh-CN"/>
        </w:rPr>
        <w:t>43</w:t>
      </w:r>
      <w:r>
        <w:rPr>
          <w:rFonts w:hint="eastAsia" w:eastAsia="方正仿宋简体"/>
          <w:sz w:val="32"/>
          <w:szCs w:val="32"/>
          <w:lang w:eastAsia="zh-CN"/>
        </w:rPr>
        <w:t>万</w:t>
      </w:r>
      <w:r>
        <w:rPr>
          <w:rFonts w:hint="eastAsia" w:eastAsia="方正仿宋简体"/>
          <w:sz w:val="32"/>
          <w:szCs w:val="32"/>
        </w:rPr>
        <w:t>元。2、项目资金执行情况分析。项目资金按要求用于</w:t>
      </w:r>
      <w:r>
        <w:rPr>
          <w:rFonts w:hint="eastAsia" w:eastAsia="方正仿宋简体"/>
          <w:sz w:val="32"/>
          <w:szCs w:val="32"/>
          <w:lang w:eastAsia="zh-CN"/>
        </w:rPr>
        <w:t>荷花节观光带打造</w:t>
      </w:r>
      <w:r>
        <w:rPr>
          <w:rFonts w:hint="eastAsia" w:eastAsia="方正仿宋简体"/>
          <w:sz w:val="32"/>
          <w:szCs w:val="32"/>
        </w:rPr>
        <w:t>，资金执行率为100%；3、项目资金管理情况分析。项目资金无挪用、截留情况。统一使用管理，规范了资金来源、支出范围、使用管理、监督管理，目前</w:t>
      </w:r>
      <w:r>
        <w:rPr>
          <w:rFonts w:hint="eastAsia" w:eastAsia="方正仿宋简体"/>
          <w:sz w:val="32"/>
          <w:szCs w:val="32"/>
          <w:lang w:eastAsia="zh-CN"/>
        </w:rPr>
        <w:t>荷花节已顺利举行</w:t>
      </w:r>
      <w:r>
        <w:rPr>
          <w:rFonts w:hint="eastAsia" w:eastAsia="方正仿宋简体"/>
          <w:sz w:val="32"/>
          <w:szCs w:val="32"/>
        </w:rPr>
        <w:t>，一定程度达到了预期效果。</w:t>
      </w:r>
    </w:p>
    <w:p>
      <w:pPr>
        <w:spacing w:line="580" w:lineRule="exact"/>
        <w:ind w:firstLine="640" w:firstLineChars="200"/>
        <w:rPr>
          <w:rFonts w:eastAsia="方正黑体简体"/>
          <w:sz w:val="32"/>
          <w:szCs w:val="32"/>
        </w:rPr>
      </w:pPr>
      <w:r>
        <w:rPr>
          <w:rFonts w:hint="eastAsia" w:eastAsia="方正黑体简体"/>
          <w:sz w:val="32"/>
          <w:szCs w:val="32"/>
        </w:rPr>
        <w:t>五、主要经验及做法、存在的问题和建议</w:t>
      </w:r>
    </w:p>
    <w:p>
      <w:pPr>
        <w:spacing w:line="580" w:lineRule="exact"/>
        <w:ind w:firstLine="640" w:firstLineChars="200"/>
        <w:rPr>
          <w:rFonts w:hint="eastAsia" w:eastAsia="方正仿宋简体"/>
          <w:sz w:val="32"/>
          <w:szCs w:val="32"/>
        </w:rPr>
      </w:pPr>
      <w:r>
        <w:rPr>
          <w:rFonts w:hint="eastAsia" w:eastAsia="方正仿宋简体"/>
          <w:sz w:val="32"/>
          <w:szCs w:val="32"/>
          <w:lang w:eastAsia="zh-CN"/>
        </w:rPr>
        <w:t>进一步</w:t>
      </w:r>
      <w:r>
        <w:rPr>
          <w:rFonts w:hint="eastAsia" w:eastAsia="方正仿宋简体"/>
          <w:sz w:val="32"/>
          <w:szCs w:val="32"/>
        </w:rPr>
        <w:t>完善对补助建设项目形成资产的管</w:t>
      </w:r>
      <w:r>
        <w:rPr>
          <w:rFonts w:hint="eastAsia" w:eastAsia="方正仿宋简体"/>
          <w:sz w:val="32"/>
          <w:szCs w:val="32"/>
          <w:lang w:eastAsia="zh-CN"/>
        </w:rPr>
        <w:t>理使用；</w:t>
      </w:r>
      <w:r>
        <w:rPr>
          <w:rFonts w:hint="eastAsia" w:eastAsia="方正仿宋简体"/>
          <w:sz w:val="32"/>
          <w:szCs w:val="32"/>
        </w:rPr>
        <w:t>建立健全各项运行</w:t>
      </w:r>
      <w:r>
        <w:rPr>
          <w:rFonts w:hint="eastAsia" w:eastAsia="方正仿宋简体"/>
          <w:sz w:val="32"/>
          <w:szCs w:val="32"/>
          <w:lang w:eastAsia="zh-CN"/>
        </w:rPr>
        <w:t>管理</w:t>
      </w:r>
      <w:r>
        <w:rPr>
          <w:rFonts w:hint="eastAsia" w:eastAsia="方正仿宋简体"/>
          <w:sz w:val="32"/>
          <w:szCs w:val="32"/>
        </w:rPr>
        <w:t>制度，制定</w:t>
      </w:r>
      <w:r>
        <w:rPr>
          <w:rFonts w:hint="eastAsia" w:eastAsia="方正仿宋简体"/>
          <w:sz w:val="32"/>
          <w:szCs w:val="32"/>
          <w:lang w:eastAsia="zh-CN"/>
        </w:rPr>
        <w:t>相关</w:t>
      </w:r>
      <w:r>
        <w:rPr>
          <w:rFonts w:hint="eastAsia" w:eastAsia="方正仿宋简体"/>
          <w:sz w:val="32"/>
          <w:szCs w:val="32"/>
        </w:rPr>
        <w:t>措施、落实</w:t>
      </w:r>
      <w:r>
        <w:rPr>
          <w:rFonts w:hint="eastAsia" w:eastAsia="方正仿宋简体"/>
          <w:sz w:val="32"/>
          <w:szCs w:val="32"/>
          <w:lang w:eastAsia="zh-CN"/>
        </w:rPr>
        <w:t>多方</w:t>
      </w:r>
      <w:r>
        <w:rPr>
          <w:rFonts w:hint="eastAsia" w:eastAsia="方正仿宋简体"/>
          <w:sz w:val="32"/>
          <w:szCs w:val="32"/>
        </w:rPr>
        <w:t>责任，保证项目正常运转，发挥长期效益。</w:t>
      </w:r>
    </w:p>
    <w:p>
      <w:pPr>
        <w:spacing w:line="580" w:lineRule="exact"/>
        <w:ind w:firstLine="640" w:firstLineChars="200"/>
        <w:rPr>
          <w:rFonts w:hint="eastAsia" w:eastAsia="方正仿宋简体"/>
          <w:sz w:val="32"/>
          <w:szCs w:val="32"/>
        </w:rPr>
      </w:pPr>
    </w:p>
    <w:p>
      <w:pPr>
        <w:spacing w:line="580" w:lineRule="exact"/>
        <w:ind w:firstLine="640" w:firstLineChars="200"/>
        <w:rPr>
          <w:rFonts w:eastAsia="方正仿宋简体"/>
          <w:sz w:val="32"/>
          <w:szCs w:val="32"/>
        </w:rPr>
      </w:pPr>
      <w:r>
        <w:rPr>
          <w:rFonts w:hint="eastAsia" w:eastAsia="方正仿宋简体"/>
          <w:sz w:val="32"/>
          <w:szCs w:val="32"/>
        </w:rPr>
        <w:t>附件：</w:t>
      </w:r>
      <w:r>
        <w:rPr>
          <w:rFonts w:eastAsia="方正仿宋简体"/>
          <w:sz w:val="32"/>
          <w:szCs w:val="32"/>
        </w:rPr>
        <w:t>1.202</w:t>
      </w:r>
      <w:r>
        <w:rPr>
          <w:rFonts w:hint="eastAsia" w:eastAsia="方正仿宋简体"/>
          <w:sz w:val="32"/>
          <w:szCs w:val="32"/>
          <w:lang w:val="en-US" w:eastAsia="zh-CN"/>
        </w:rPr>
        <w:t>2</w:t>
      </w:r>
      <w:r>
        <w:rPr>
          <w:rFonts w:hint="eastAsia" w:eastAsia="方正仿宋简体"/>
          <w:sz w:val="32"/>
          <w:szCs w:val="32"/>
        </w:rPr>
        <w:t>年度乐至县项目支出绩效自评计分表</w:t>
      </w:r>
    </w:p>
    <w:p>
      <w:pPr>
        <w:spacing w:line="580" w:lineRule="exact"/>
        <w:ind w:firstLine="1600" w:firstLineChars="500"/>
        <w:rPr>
          <w:rFonts w:eastAsia="方正仿宋简体"/>
          <w:sz w:val="32"/>
          <w:szCs w:val="32"/>
        </w:rPr>
      </w:pPr>
      <w:r>
        <w:rPr>
          <w:rFonts w:eastAsia="方正仿宋简体"/>
          <w:sz w:val="32"/>
          <w:szCs w:val="32"/>
        </w:rPr>
        <w:t>2.202</w:t>
      </w:r>
      <w:r>
        <w:rPr>
          <w:rFonts w:hint="eastAsia" w:eastAsia="方正仿宋简体"/>
          <w:sz w:val="32"/>
          <w:szCs w:val="32"/>
          <w:lang w:val="en-US" w:eastAsia="zh-CN"/>
        </w:rPr>
        <w:t>2</w:t>
      </w:r>
      <w:r>
        <w:rPr>
          <w:rFonts w:hint="eastAsia" w:eastAsia="方正仿宋简体"/>
          <w:sz w:val="32"/>
          <w:szCs w:val="32"/>
        </w:rPr>
        <w:t>年度乐至县项目支出绩效目标完成情况表</w:t>
      </w:r>
    </w:p>
    <w:p>
      <w:pPr>
        <w:spacing w:line="620" w:lineRule="exact"/>
        <w:ind w:left="1917" w:leftChars="760" w:hanging="321" w:hangingChars="100"/>
        <w:jc w:val="left"/>
        <w:rPr>
          <w:rFonts w:ascii="宋体" w:hAnsi="宋体" w:eastAsia="方正仿宋简体"/>
          <w:b/>
          <w:sz w:val="32"/>
          <w:szCs w:val="32"/>
        </w:rPr>
      </w:pPr>
    </w:p>
    <w:p>
      <w:pPr>
        <w:spacing w:line="620" w:lineRule="exact"/>
        <w:ind w:left="1917" w:leftChars="760" w:hanging="321" w:hangingChars="100"/>
        <w:jc w:val="left"/>
        <w:rPr>
          <w:rFonts w:ascii="宋体" w:hAnsi="宋体" w:eastAsia="方正仿宋简体"/>
          <w:b/>
          <w:sz w:val="32"/>
          <w:szCs w:val="32"/>
        </w:rPr>
      </w:pPr>
    </w:p>
    <w:p>
      <w:pPr>
        <w:spacing w:line="620" w:lineRule="exact"/>
        <w:ind w:left="1917" w:leftChars="760" w:hanging="321" w:hangingChars="100"/>
        <w:jc w:val="left"/>
        <w:rPr>
          <w:rFonts w:ascii="宋体" w:hAnsi="宋体" w:eastAsia="方正仿宋简体"/>
          <w:b/>
          <w:sz w:val="32"/>
          <w:szCs w:val="32"/>
        </w:rPr>
      </w:pPr>
    </w:p>
    <w:p>
      <w:pPr>
        <w:spacing w:line="620" w:lineRule="exact"/>
        <w:ind w:left="1917" w:leftChars="760" w:hanging="321" w:hangingChars="100"/>
        <w:jc w:val="left"/>
        <w:rPr>
          <w:rFonts w:ascii="宋体" w:hAnsi="宋体" w:eastAsia="方正仿宋简体"/>
          <w:b/>
          <w:sz w:val="32"/>
          <w:szCs w:val="32"/>
        </w:rPr>
      </w:pPr>
    </w:p>
    <w:p>
      <w:pPr>
        <w:spacing w:line="620" w:lineRule="exact"/>
        <w:ind w:left="1917" w:leftChars="760" w:hanging="321" w:hangingChars="100"/>
        <w:jc w:val="left"/>
        <w:rPr>
          <w:rFonts w:ascii="宋体" w:hAnsi="宋体" w:eastAsia="方正仿宋简体"/>
          <w:b/>
          <w:sz w:val="32"/>
          <w:szCs w:val="32"/>
        </w:rPr>
      </w:pPr>
    </w:p>
    <w:p>
      <w:pPr>
        <w:spacing w:line="620" w:lineRule="exact"/>
        <w:ind w:left="1917" w:leftChars="760" w:hanging="321" w:hangingChars="100"/>
        <w:jc w:val="left"/>
        <w:rPr>
          <w:rFonts w:ascii="宋体" w:hAnsi="宋体" w:eastAsia="方正仿宋简体"/>
          <w:b/>
          <w:sz w:val="32"/>
          <w:szCs w:val="32"/>
        </w:rPr>
      </w:pPr>
    </w:p>
    <w:p>
      <w:pPr>
        <w:spacing w:line="620" w:lineRule="exact"/>
        <w:ind w:left="1917" w:leftChars="760" w:hanging="321" w:hangingChars="100"/>
        <w:jc w:val="left"/>
        <w:rPr>
          <w:rFonts w:ascii="宋体" w:hAnsi="宋体" w:eastAsia="方正仿宋简体"/>
          <w:b/>
          <w:sz w:val="32"/>
          <w:szCs w:val="32"/>
        </w:rPr>
      </w:pPr>
    </w:p>
    <w:p>
      <w:pPr>
        <w:spacing w:line="620" w:lineRule="exact"/>
        <w:jc w:val="left"/>
        <w:rPr>
          <w:rFonts w:eastAsia="方正黑体简体"/>
          <w:bCs/>
          <w:kern w:val="0"/>
          <w:sz w:val="32"/>
          <w:szCs w:val="32"/>
        </w:rPr>
      </w:pPr>
      <w:r>
        <w:rPr>
          <w:rFonts w:hint="eastAsia" w:eastAsia="方正黑体简体"/>
          <w:bCs/>
          <w:kern w:val="0"/>
          <w:sz w:val="32"/>
          <w:szCs w:val="32"/>
        </w:rPr>
        <w:t>附件</w:t>
      </w:r>
      <w:r>
        <w:rPr>
          <w:rFonts w:eastAsia="方正黑体简体"/>
          <w:bCs/>
          <w:kern w:val="0"/>
          <w:sz w:val="32"/>
          <w:szCs w:val="32"/>
        </w:rPr>
        <w:t>4-1</w:t>
      </w:r>
    </w:p>
    <w:p>
      <w:pPr>
        <w:spacing w:line="620" w:lineRule="exact"/>
        <w:jc w:val="center"/>
        <w:rPr>
          <w:rFonts w:eastAsia="方正小标宋简体"/>
          <w:bCs/>
          <w:kern w:val="0"/>
          <w:sz w:val="44"/>
          <w:szCs w:val="44"/>
        </w:rPr>
      </w:pPr>
      <w:r>
        <w:rPr>
          <w:rFonts w:eastAsia="方正小标宋简体"/>
          <w:bCs/>
          <w:kern w:val="0"/>
          <w:sz w:val="44"/>
          <w:szCs w:val="44"/>
        </w:rPr>
        <w:t>202</w:t>
      </w:r>
      <w:r>
        <w:rPr>
          <w:rFonts w:hint="eastAsia" w:eastAsia="方正小标宋简体"/>
          <w:bCs/>
          <w:kern w:val="0"/>
          <w:sz w:val="44"/>
          <w:szCs w:val="44"/>
          <w:lang w:val="en-US" w:eastAsia="zh-CN"/>
        </w:rPr>
        <w:t>2</w:t>
      </w:r>
      <w:r>
        <w:rPr>
          <w:rFonts w:hint="eastAsia" w:eastAsia="方正小标宋简体"/>
          <w:bCs/>
          <w:kern w:val="0"/>
          <w:sz w:val="44"/>
          <w:szCs w:val="44"/>
        </w:rPr>
        <w:t>年度乐至县项目支出绩效自评计分表</w:t>
      </w:r>
    </w:p>
    <w:p>
      <w:pPr>
        <w:spacing w:line="620" w:lineRule="exact"/>
        <w:jc w:val="center"/>
        <w:rPr>
          <w:rFonts w:eastAsia="方正楷体简体"/>
          <w:b/>
          <w:bCs/>
          <w:kern w:val="0"/>
          <w:sz w:val="32"/>
          <w:szCs w:val="32"/>
        </w:rPr>
      </w:pPr>
      <w:r>
        <w:rPr>
          <w:rFonts w:hint="eastAsia" w:eastAsia="方正楷体简体"/>
          <w:b/>
          <w:bCs/>
          <w:kern w:val="0"/>
          <w:sz w:val="32"/>
          <w:szCs w:val="32"/>
        </w:rPr>
        <w:t>（劳动镇发展农旅融合项目“荷花节”经费）</w:t>
      </w:r>
    </w:p>
    <w:p>
      <w:pPr>
        <w:spacing w:line="620" w:lineRule="exact"/>
        <w:rPr>
          <w:rFonts w:hint="eastAsia" w:eastAsia="宋体"/>
          <w:sz w:val="24"/>
          <w:lang w:eastAsia="zh-CN"/>
        </w:rPr>
      </w:pPr>
      <w:r>
        <w:rPr>
          <w:rFonts w:hint="eastAsia"/>
          <w:bCs/>
          <w:kern w:val="0"/>
          <w:sz w:val="24"/>
        </w:rPr>
        <w:t>预算单位名称：</w:t>
      </w:r>
      <w:r>
        <w:rPr>
          <w:rFonts w:hint="eastAsia"/>
          <w:bCs/>
          <w:kern w:val="0"/>
          <w:sz w:val="24"/>
          <w:lang w:eastAsia="zh-CN"/>
        </w:rPr>
        <w:t>乐至县劳动镇人民政府</w:t>
      </w:r>
      <w:r>
        <w:rPr>
          <w:bCs/>
          <w:kern w:val="0"/>
          <w:sz w:val="24"/>
        </w:rPr>
        <w:t xml:space="preserve"> </w:t>
      </w:r>
      <w:r>
        <w:rPr>
          <w:rFonts w:hint="eastAsia"/>
          <w:bCs/>
          <w:kern w:val="0"/>
          <w:sz w:val="24"/>
        </w:rPr>
        <w:t>预算单位编码：</w:t>
      </w:r>
      <w:r>
        <w:rPr>
          <w:rFonts w:hint="eastAsia"/>
          <w:bCs/>
          <w:kern w:val="0"/>
          <w:sz w:val="24"/>
          <w:lang w:val="en-US" w:eastAsia="zh-CN"/>
        </w:rPr>
        <w:t>317001</w:t>
      </w:r>
      <w:r>
        <w:rPr>
          <w:bCs/>
          <w:kern w:val="0"/>
          <w:sz w:val="24"/>
        </w:rPr>
        <w:t xml:space="preserve">   </w:t>
      </w:r>
      <w:r>
        <w:rPr>
          <w:rFonts w:hint="eastAsia"/>
          <w:bCs/>
          <w:kern w:val="0"/>
          <w:sz w:val="24"/>
        </w:rPr>
        <w:t>自评等级：</w:t>
      </w:r>
      <w:r>
        <w:rPr>
          <w:rFonts w:hint="eastAsia"/>
          <w:bCs/>
          <w:kern w:val="0"/>
          <w:sz w:val="24"/>
          <w:lang w:eastAsia="zh-CN"/>
        </w:rPr>
        <w:t>良</w:t>
      </w:r>
    </w:p>
    <w:tbl>
      <w:tblPr>
        <w:tblStyle w:val="19"/>
        <w:tblW w:w="51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609"/>
        <w:gridCol w:w="597"/>
        <w:gridCol w:w="746"/>
        <w:gridCol w:w="1596"/>
        <w:gridCol w:w="3435"/>
        <w:gridCol w:w="603"/>
        <w:gridCol w:w="1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9" w:hRule="atLeast"/>
          <w:tblHeader/>
          <w:jc w:val="center"/>
        </w:trPr>
        <w:tc>
          <w:tcPr>
            <w:tcW w:w="392"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一级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385"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二级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467"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三级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933"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指标解释</w:t>
            </w:r>
          </w:p>
        </w:tc>
        <w:tc>
          <w:tcPr>
            <w:tcW w:w="1942"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指标说明（评价计分标准）</w:t>
            </w:r>
          </w:p>
        </w:tc>
        <w:tc>
          <w:tcPr>
            <w:tcW w:w="388"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自评</w:t>
            </w:r>
          </w:p>
          <w:p>
            <w:pPr>
              <w:widowControl/>
              <w:spacing w:line="240" w:lineRule="exact"/>
              <w:jc w:val="center"/>
              <w:rPr>
                <w:rFonts w:eastAsia="方正黑体简体"/>
                <w:bCs/>
                <w:kern w:val="0"/>
                <w:szCs w:val="21"/>
              </w:rPr>
            </w:pPr>
            <w:r>
              <w:rPr>
                <w:rFonts w:hint="eastAsia" w:eastAsia="方正黑体简体"/>
                <w:bCs/>
                <w:kern w:val="0"/>
                <w:szCs w:val="21"/>
              </w:rPr>
              <w:t>分数</w:t>
            </w:r>
          </w:p>
        </w:tc>
        <w:tc>
          <w:tcPr>
            <w:tcW w:w="493"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自评依据及说明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392"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投</w:t>
            </w:r>
            <w:r>
              <w:rPr>
                <w:kern w:val="0"/>
                <w:szCs w:val="21"/>
              </w:rPr>
              <w:t xml:space="preserve">   </w:t>
            </w:r>
            <w:r>
              <w:rPr>
                <w:rFonts w:hint="eastAsia"/>
                <w:kern w:val="0"/>
                <w:szCs w:val="21"/>
              </w:rPr>
              <w:t>入（</w:t>
            </w:r>
            <w:r>
              <w:rPr>
                <w:kern w:val="0"/>
                <w:szCs w:val="21"/>
              </w:rPr>
              <w:t>25</w:t>
            </w:r>
            <w:r>
              <w:rPr>
                <w:rFonts w:hint="eastAsia"/>
                <w:kern w:val="0"/>
                <w:szCs w:val="21"/>
              </w:rPr>
              <w:t>分）</w:t>
            </w:r>
          </w:p>
        </w:tc>
        <w:tc>
          <w:tcPr>
            <w:tcW w:w="385"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立项（</w:t>
            </w:r>
            <w:r>
              <w:rPr>
                <w:kern w:val="0"/>
                <w:szCs w:val="21"/>
              </w:rPr>
              <w:t>15</w:t>
            </w:r>
            <w:r>
              <w:rPr>
                <w:rFonts w:hint="eastAsia"/>
                <w:kern w:val="0"/>
                <w:szCs w:val="21"/>
              </w:rPr>
              <w:t>分）</w:t>
            </w: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项目立项规范性（</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项目的申请、设立过程是否符合相关要求，用以反映和考核项目立项的规范情况。</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①项目是否按照规定的程序申请设立；（</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②所提交的文件、材料是否符合相关要求；（</w:t>
            </w:r>
            <w:r>
              <w:rPr>
                <w:kern w:val="0"/>
                <w:szCs w:val="21"/>
              </w:rPr>
              <w:t>2</w:t>
            </w:r>
            <w:r>
              <w:rPr>
                <w:rFonts w:hint="eastAsia"/>
                <w:kern w:val="0"/>
                <w:szCs w:val="21"/>
              </w:rPr>
              <w:t>分）</w:t>
            </w:r>
          </w:p>
          <w:p>
            <w:pPr>
              <w:widowControl/>
              <w:spacing w:line="240" w:lineRule="exact"/>
              <w:jc w:val="left"/>
              <w:rPr>
                <w:kern w:val="0"/>
                <w:szCs w:val="21"/>
              </w:rPr>
            </w:pPr>
            <w:r>
              <w:rPr>
                <w:rFonts w:hint="eastAsia"/>
                <w:kern w:val="0"/>
                <w:szCs w:val="21"/>
              </w:rPr>
              <w:t>③事前是否已经过必要的可行性研究、专家论证、风险评估、集体决策等。（</w:t>
            </w:r>
            <w:r>
              <w:rPr>
                <w:kern w:val="0"/>
                <w:szCs w:val="21"/>
              </w:rPr>
              <w:t>2</w:t>
            </w:r>
            <w:r>
              <w:rPr>
                <w:rFonts w:hint="eastAsia"/>
                <w:kern w:val="0"/>
                <w:szCs w:val="21"/>
              </w:rPr>
              <w:t>分）</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rFonts w:hint="eastAsia" w:eastAsia="宋体"/>
                <w:kern w:val="0"/>
                <w:szCs w:val="21"/>
                <w:lang w:eastAsia="zh-CN"/>
              </w:rPr>
            </w:pPr>
            <w:r>
              <w:rPr>
                <w:rFonts w:hint="eastAsia"/>
                <w:kern w:val="0"/>
                <w:szCs w:val="21"/>
              </w:rPr>
              <w:t>　</w:t>
            </w:r>
            <w:r>
              <w:rPr>
                <w:rFonts w:hint="eastAsia"/>
                <w:kern w:val="0"/>
                <w:szCs w:val="21"/>
                <w:lang w:eastAsia="zh-CN"/>
              </w:rPr>
              <w:t>县委领导要求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8"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绩效目标合理性（</w:t>
            </w:r>
            <w:r>
              <w:rPr>
                <w:kern w:val="0"/>
                <w:szCs w:val="21"/>
              </w:rPr>
              <w:t>4</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项目所设定的绩效目标是否依据充分，是否符合客观实际，用以反映和考核项目绩效目标与项目实施的相符情况。</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①是否符合国家相关法律法规、国民经济发展规划和党委政府决策；（</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②是否与项目实施单位或委托单位职责密切相关；（</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③项目是否为促进事业发展所必需；（</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④项目预期产出效益和效果是否符合正常的业绩水平。（</w:t>
            </w:r>
            <w:r>
              <w:rPr>
                <w:kern w:val="0"/>
                <w:szCs w:val="21"/>
              </w:rPr>
              <w:t>1</w:t>
            </w:r>
            <w:r>
              <w:rPr>
                <w:rFonts w:hint="eastAsia"/>
                <w:kern w:val="0"/>
                <w:szCs w:val="21"/>
              </w:rPr>
              <w:t>分）</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4</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绩效指标明确性（</w:t>
            </w:r>
            <w:r>
              <w:rPr>
                <w:kern w:val="0"/>
                <w:szCs w:val="21"/>
              </w:rPr>
              <w:t>6</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依据绩效目标设定的绩效指标是否清晰、细化、可衡量等，用以反映和考核项目绩效目标的明细化情况。</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①是否将项目绩效目标细化分解为具体的绩效指标；（</w:t>
            </w:r>
            <w:r>
              <w:rPr>
                <w:kern w:val="0"/>
                <w:szCs w:val="21"/>
              </w:rPr>
              <w:t>2</w:t>
            </w:r>
            <w:r>
              <w:rPr>
                <w:rFonts w:hint="eastAsia"/>
                <w:kern w:val="0"/>
                <w:szCs w:val="21"/>
              </w:rPr>
              <w:t>分）</w:t>
            </w:r>
          </w:p>
          <w:p>
            <w:pPr>
              <w:widowControl/>
              <w:spacing w:line="240" w:lineRule="exact"/>
              <w:jc w:val="left"/>
              <w:rPr>
                <w:kern w:val="0"/>
                <w:szCs w:val="21"/>
              </w:rPr>
            </w:pPr>
            <w:r>
              <w:rPr>
                <w:rFonts w:hint="eastAsia"/>
                <w:kern w:val="0"/>
                <w:szCs w:val="21"/>
              </w:rPr>
              <w:t>②是否通过清晰、可衡量的指标值予以体现；（</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③是否与项目年度任务数或计划数相对应；（</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④是否与预算确定的项目投资额或资金量相匹配。（</w:t>
            </w:r>
            <w:r>
              <w:rPr>
                <w:kern w:val="0"/>
                <w:szCs w:val="21"/>
              </w:rPr>
              <w:t>2</w:t>
            </w:r>
            <w:r>
              <w:rPr>
                <w:rFonts w:hint="eastAsia"/>
                <w:kern w:val="0"/>
                <w:szCs w:val="21"/>
              </w:rPr>
              <w:t>分）</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6</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restart"/>
            <w:shd w:val="clear" w:color="auto" w:fill="FFFFFF"/>
            <w:noWrap w:val="0"/>
            <w:vAlign w:val="center"/>
          </w:tcPr>
          <w:p>
            <w:pPr>
              <w:widowControl/>
              <w:spacing w:line="240" w:lineRule="exact"/>
              <w:jc w:val="center"/>
              <w:rPr>
                <w:kern w:val="0"/>
                <w:szCs w:val="21"/>
              </w:rPr>
            </w:pPr>
            <w:r>
              <w:rPr>
                <w:rFonts w:hint="eastAsia"/>
                <w:kern w:val="0"/>
                <w:szCs w:val="21"/>
              </w:rPr>
              <w:t>资金</w:t>
            </w:r>
          </w:p>
          <w:p>
            <w:pPr>
              <w:widowControl/>
              <w:spacing w:line="240" w:lineRule="exact"/>
              <w:jc w:val="center"/>
              <w:rPr>
                <w:kern w:val="0"/>
                <w:szCs w:val="21"/>
              </w:rPr>
            </w:pPr>
            <w:r>
              <w:rPr>
                <w:rFonts w:hint="eastAsia"/>
                <w:kern w:val="0"/>
                <w:szCs w:val="21"/>
              </w:rPr>
              <w:t>落实（</w:t>
            </w:r>
            <w:r>
              <w:rPr>
                <w:kern w:val="0"/>
                <w:szCs w:val="21"/>
              </w:rPr>
              <w:t>10</w:t>
            </w:r>
            <w:r>
              <w:rPr>
                <w:rFonts w:hint="eastAsia"/>
                <w:kern w:val="0"/>
                <w:szCs w:val="21"/>
              </w:rPr>
              <w:t>分）</w:t>
            </w: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资金到位率（</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实际到位资金与计划投入资金的比率，用以反映和考核资金落实情况对项目实施的总体保障程度。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资金到位率</w:t>
            </w:r>
            <w:r>
              <w:rPr>
                <w:kern w:val="0"/>
                <w:szCs w:val="21"/>
              </w:rPr>
              <w:t>=</w:t>
            </w:r>
            <w:r>
              <w:rPr>
                <w:rFonts w:hint="eastAsia"/>
                <w:kern w:val="0"/>
                <w:szCs w:val="21"/>
              </w:rPr>
              <w:t>（实际到位资金</w:t>
            </w:r>
            <w:r>
              <w:rPr>
                <w:kern w:val="0"/>
                <w:szCs w:val="21"/>
              </w:rPr>
              <w:t>/</w:t>
            </w:r>
            <w:r>
              <w:rPr>
                <w:rFonts w:hint="eastAsia"/>
                <w:kern w:val="0"/>
                <w:szCs w:val="21"/>
              </w:rPr>
              <w:t>计划投入资金）×</w:t>
            </w:r>
            <w:r>
              <w:rPr>
                <w:kern w:val="0"/>
                <w:szCs w:val="21"/>
              </w:rPr>
              <w:t>100%</w:t>
            </w:r>
            <w:r>
              <w:rPr>
                <w:rFonts w:hint="eastAsia"/>
                <w:kern w:val="0"/>
                <w:szCs w:val="21"/>
              </w:rPr>
              <w:t>。（达到目标值得</w:t>
            </w:r>
            <w:r>
              <w:rPr>
                <w:kern w:val="0"/>
                <w:szCs w:val="21"/>
              </w:rPr>
              <w:t>5</w:t>
            </w:r>
            <w:r>
              <w:rPr>
                <w:rFonts w:hint="eastAsia"/>
                <w:kern w:val="0"/>
                <w:szCs w:val="21"/>
              </w:rPr>
              <w:t>分，每少一个百分点扣</w:t>
            </w:r>
            <w:r>
              <w:rPr>
                <w:kern w:val="0"/>
                <w:szCs w:val="21"/>
              </w:rPr>
              <w:t>1</w:t>
            </w:r>
            <w:r>
              <w:rPr>
                <w:rFonts w:hint="eastAsia"/>
                <w:kern w:val="0"/>
                <w:szCs w:val="21"/>
              </w:rPr>
              <w:t>分，扣完为止）</w:t>
            </w:r>
          </w:p>
          <w:p>
            <w:pPr>
              <w:widowControl/>
              <w:spacing w:line="240" w:lineRule="exact"/>
              <w:jc w:val="left"/>
              <w:rPr>
                <w:kern w:val="0"/>
                <w:szCs w:val="21"/>
              </w:rPr>
            </w:pPr>
            <w:r>
              <w:rPr>
                <w:rFonts w:hint="eastAsia"/>
                <w:kern w:val="0"/>
                <w:szCs w:val="21"/>
              </w:rPr>
              <w:t>实际到位资金：一定时期（本年度或项目期）内实际落实到具体项目的资金。</w:t>
            </w:r>
          </w:p>
          <w:p>
            <w:pPr>
              <w:widowControl/>
              <w:spacing w:line="240" w:lineRule="exact"/>
              <w:jc w:val="left"/>
              <w:rPr>
                <w:kern w:val="0"/>
                <w:szCs w:val="21"/>
              </w:rPr>
            </w:pPr>
            <w:r>
              <w:rPr>
                <w:rFonts w:hint="eastAsia"/>
                <w:kern w:val="0"/>
                <w:szCs w:val="21"/>
              </w:rPr>
              <w:t>计划投入资金：一定时期（本年度或项目期）内计划投入到具体项目的资金。</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1</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0"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到位及时率（</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及时到位资金与应到位资金的比率，用以反映和考核项目资金落实的及时性程度。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到位及时率</w:t>
            </w:r>
            <w:r>
              <w:rPr>
                <w:kern w:val="0"/>
                <w:szCs w:val="21"/>
              </w:rPr>
              <w:t>=</w:t>
            </w:r>
            <w:r>
              <w:rPr>
                <w:rFonts w:hint="eastAsia"/>
                <w:kern w:val="0"/>
                <w:szCs w:val="21"/>
              </w:rPr>
              <w:t>（及时到位资金</w:t>
            </w:r>
            <w:r>
              <w:rPr>
                <w:kern w:val="0"/>
                <w:szCs w:val="21"/>
              </w:rPr>
              <w:t>/</w:t>
            </w:r>
            <w:r>
              <w:rPr>
                <w:rFonts w:hint="eastAsia"/>
                <w:kern w:val="0"/>
                <w:szCs w:val="21"/>
              </w:rPr>
              <w:t>应到位资金）×</w:t>
            </w:r>
            <w:r>
              <w:rPr>
                <w:kern w:val="0"/>
                <w:szCs w:val="21"/>
              </w:rPr>
              <w:t>100%</w:t>
            </w:r>
            <w:r>
              <w:rPr>
                <w:rFonts w:hint="eastAsia"/>
                <w:kern w:val="0"/>
                <w:szCs w:val="21"/>
              </w:rPr>
              <w:t>。（达到目标值得</w:t>
            </w:r>
            <w:r>
              <w:rPr>
                <w:kern w:val="0"/>
                <w:szCs w:val="21"/>
              </w:rPr>
              <w:t>5</w:t>
            </w:r>
            <w:r>
              <w:rPr>
                <w:rFonts w:hint="eastAsia"/>
                <w:kern w:val="0"/>
                <w:szCs w:val="21"/>
              </w:rPr>
              <w:t>分，每少一个百分点扣</w:t>
            </w:r>
            <w:r>
              <w:rPr>
                <w:kern w:val="0"/>
                <w:szCs w:val="21"/>
              </w:rPr>
              <w:t>1</w:t>
            </w:r>
            <w:r>
              <w:rPr>
                <w:rFonts w:hint="eastAsia"/>
                <w:kern w:val="0"/>
                <w:szCs w:val="21"/>
              </w:rPr>
              <w:t>分，扣完为止）</w:t>
            </w:r>
          </w:p>
          <w:p>
            <w:pPr>
              <w:widowControl/>
              <w:spacing w:line="240" w:lineRule="exact"/>
              <w:jc w:val="left"/>
              <w:rPr>
                <w:kern w:val="0"/>
                <w:szCs w:val="21"/>
              </w:rPr>
            </w:pPr>
            <w:r>
              <w:rPr>
                <w:rFonts w:hint="eastAsia"/>
                <w:kern w:val="0"/>
                <w:szCs w:val="21"/>
              </w:rPr>
              <w:t>及时到位资金：截至规定时点实际落实到具体项目的资金。</w:t>
            </w:r>
          </w:p>
          <w:p>
            <w:pPr>
              <w:widowControl/>
              <w:spacing w:line="240" w:lineRule="exact"/>
              <w:jc w:val="left"/>
              <w:rPr>
                <w:kern w:val="0"/>
                <w:szCs w:val="21"/>
              </w:rPr>
            </w:pPr>
            <w:r>
              <w:rPr>
                <w:rFonts w:hint="eastAsia"/>
                <w:kern w:val="0"/>
                <w:szCs w:val="21"/>
              </w:rPr>
              <w:t>应到位资金：按照合同或项目进度要求截至规定时点应落实到具体项目的资金。</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4</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73" w:hRule="atLeast"/>
          <w:jc w:val="center"/>
        </w:trPr>
        <w:tc>
          <w:tcPr>
            <w:tcW w:w="392" w:type="pct"/>
            <w:vMerge w:val="restart"/>
            <w:shd w:val="clear" w:color="auto" w:fill="FFFFFF"/>
            <w:noWrap/>
            <w:textDirection w:val="tbRlV"/>
            <w:vAlign w:val="center"/>
          </w:tcPr>
          <w:p>
            <w:pPr>
              <w:widowControl/>
              <w:spacing w:line="260" w:lineRule="exact"/>
              <w:jc w:val="center"/>
              <w:rPr>
                <w:kern w:val="0"/>
                <w:szCs w:val="21"/>
              </w:rPr>
            </w:pPr>
            <w:r>
              <w:rPr>
                <w:rFonts w:hint="eastAsia"/>
                <w:kern w:val="0"/>
                <w:szCs w:val="21"/>
              </w:rPr>
              <w:t>过</w:t>
            </w:r>
            <w:r>
              <w:rPr>
                <w:kern w:val="0"/>
                <w:szCs w:val="21"/>
              </w:rPr>
              <w:t xml:space="preserve">   </w:t>
            </w:r>
            <w:r>
              <w:rPr>
                <w:rFonts w:hint="eastAsia"/>
                <w:kern w:val="0"/>
                <w:szCs w:val="21"/>
              </w:rPr>
              <w:t>程（</w:t>
            </w:r>
            <w:r>
              <w:rPr>
                <w:kern w:val="0"/>
                <w:szCs w:val="21"/>
              </w:rPr>
              <w:t>25</w:t>
            </w:r>
            <w:r>
              <w:rPr>
                <w:rFonts w:hint="eastAsia"/>
                <w:kern w:val="0"/>
                <w:szCs w:val="21"/>
              </w:rPr>
              <w:t>分）</w:t>
            </w:r>
          </w:p>
        </w:tc>
        <w:tc>
          <w:tcPr>
            <w:tcW w:w="385" w:type="pct"/>
            <w:vMerge w:val="restart"/>
            <w:shd w:val="clear" w:color="auto" w:fill="FFFFFF"/>
            <w:noWrap w:val="0"/>
            <w:vAlign w:val="center"/>
          </w:tcPr>
          <w:p>
            <w:pPr>
              <w:widowControl/>
              <w:spacing w:line="260" w:lineRule="exact"/>
              <w:jc w:val="center"/>
              <w:rPr>
                <w:kern w:val="0"/>
                <w:szCs w:val="21"/>
              </w:rPr>
            </w:pPr>
            <w:r>
              <w:rPr>
                <w:rFonts w:hint="eastAsia"/>
                <w:kern w:val="0"/>
                <w:szCs w:val="21"/>
              </w:rPr>
              <w:t>业务</w:t>
            </w:r>
          </w:p>
          <w:p>
            <w:pPr>
              <w:widowControl/>
              <w:spacing w:line="260" w:lineRule="exact"/>
              <w:jc w:val="center"/>
              <w:rPr>
                <w:kern w:val="0"/>
                <w:szCs w:val="21"/>
              </w:rPr>
            </w:pPr>
            <w:r>
              <w:rPr>
                <w:rFonts w:hint="eastAsia"/>
                <w:kern w:val="0"/>
                <w:szCs w:val="21"/>
              </w:rPr>
              <w:t>管理（</w:t>
            </w:r>
            <w:r>
              <w:rPr>
                <w:kern w:val="0"/>
                <w:szCs w:val="21"/>
              </w:rPr>
              <w:t>13</w:t>
            </w:r>
            <w:r>
              <w:rPr>
                <w:rFonts w:hint="eastAsia"/>
                <w:kern w:val="0"/>
                <w:szCs w:val="21"/>
              </w:rPr>
              <w:t>分）</w:t>
            </w: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管理制度健全性（</w:t>
            </w:r>
            <w:r>
              <w:rPr>
                <w:kern w:val="0"/>
                <w:szCs w:val="21"/>
              </w:rPr>
              <w:t>4</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项目实施单位的业务管理制度是否健全，用以反映和考核业务管理制度对项目顺利实施的保障情况。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①是否已制定或具有相应的业务管理制度；（</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②业务管理制度是否合法、合规、完整。（</w:t>
            </w:r>
            <w:r>
              <w:rPr>
                <w:kern w:val="0"/>
                <w:szCs w:val="21"/>
              </w:rPr>
              <w:t>2</w:t>
            </w:r>
            <w:r>
              <w:rPr>
                <w:rFonts w:hint="eastAsia"/>
                <w:kern w:val="0"/>
                <w:szCs w:val="21"/>
              </w:rPr>
              <w:t>分）</w:t>
            </w:r>
          </w:p>
        </w:tc>
        <w:tc>
          <w:tcPr>
            <w:tcW w:w="38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4</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97"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continue"/>
            <w:shd w:val="clear" w:color="auto" w:fill="auto"/>
            <w:noWrap w:val="0"/>
            <w:vAlign w:val="center"/>
          </w:tcPr>
          <w:p>
            <w:pPr>
              <w:widowControl/>
              <w:spacing w:line="260" w:lineRule="exact"/>
              <w:jc w:val="left"/>
              <w:rPr>
                <w:kern w:val="0"/>
                <w:szCs w:val="21"/>
              </w:rPr>
            </w:pP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制度执行有效性（</w:t>
            </w:r>
            <w:r>
              <w:rPr>
                <w:kern w:val="0"/>
                <w:szCs w:val="21"/>
              </w:rPr>
              <w:t>6</w:t>
            </w:r>
            <w:r>
              <w:rPr>
                <w:rFonts w:hint="eastAsia"/>
                <w:kern w:val="0"/>
                <w:szCs w:val="21"/>
              </w:rPr>
              <w:t>分</w:t>
            </w:r>
            <w:r>
              <w:rPr>
                <w:kern w:val="0"/>
                <w:szCs w:val="21"/>
              </w:rPr>
              <w:t>)</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项目实施是否符合相关业务管理规定，用以反映和考核业务管理制度的有效执行情况。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①是否遵守相关法律法规和业务管理规定；</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②项目调整及支出调整手续是否完备；（</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③项目合同书、验收报告、技术鉴定等资料是否齐全并及时归档；（</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④项目实施的人员条件、场地设备、信息支撑等是否落实到位。（</w:t>
            </w:r>
            <w:r>
              <w:rPr>
                <w:kern w:val="0"/>
                <w:szCs w:val="21"/>
              </w:rPr>
              <w:t>2</w:t>
            </w:r>
            <w:r>
              <w:rPr>
                <w:rFonts w:hint="eastAsia"/>
                <w:kern w:val="0"/>
                <w:szCs w:val="21"/>
              </w:rPr>
              <w:t>分）</w:t>
            </w:r>
          </w:p>
        </w:tc>
        <w:tc>
          <w:tcPr>
            <w:tcW w:w="38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6</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6"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continue"/>
            <w:shd w:val="clear" w:color="auto" w:fill="auto"/>
            <w:noWrap w:val="0"/>
            <w:vAlign w:val="center"/>
          </w:tcPr>
          <w:p>
            <w:pPr>
              <w:widowControl/>
              <w:spacing w:line="260" w:lineRule="exact"/>
              <w:jc w:val="left"/>
              <w:rPr>
                <w:kern w:val="0"/>
                <w:szCs w:val="21"/>
              </w:rPr>
            </w:pP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项目质量可控性（</w:t>
            </w:r>
            <w:r>
              <w:rPr>
                <w:kern w:val="0"/>
                <w:szCs w:val="21"/>
              </w:rPr>
              <w:t>3</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项目实施单位是否为达到项目质量要求而采取了必需的措施</w:t>
            </w:r>
            <w:r>
              <w:rPr>
                <w:kern w:val="0"/>
                <w:szCs w:val="21"/>
              </w:rPr>
              <w:t>,</w:t>
            </w:r>
            <w:r>
              <w:rPr>
                <w:rFonts w:hint="eastAsia"/>
                <w:kern w:val="0"/>
                <w:szCs w:val="21"/>
              </w:rPr>
              <w:t>用以反映和考核项目实施单位对项目质量的控制情况。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①是否已制定或具有相应的项目质量要求或标准；（</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②是否采取了相应的项目质量检查、验收等必需的控制措施或手段。（</w:t>
            </w:r>
            <w:r>
              <w:rPr>
                <w:kern w:val="0"/>
                <w:szCs w:val="21"/>
              </w:rPr>
              <w:t>2</w:t>
            </w:r>
            <w:r>
              <w:rPr>
                <w:rFonts w:hint="eastAsia"/>
                <w:kern w:val="0"/>
                <w:szCs w:val="21"/>
              </w:rPr>
              <w:t>分）</w:t>
            </w:r>
          </w:p>
        </w:tc>
        <w:tc>
          <w:tcPr>
            <w:tcW w:w="38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3</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6"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restart"/>
            <w:shd w:val="clear" w:color="auto" w:fill="FFFFFF"/>
            <w:noWrap w:val="0"/>
            <w:vAlign w:val="center"/>
          </w:tcPr>
          <w:p>
            <w:pPr>
              <w:widowControl/>
              <w:spacing w:line="260" w:lineRule="exact"/>
              <w:jc w:val="center"/>
              <w:rPr>
                <w:kern w:val="0"/>
                <w:szCs w:val="21"/>
              </w:rPr>
            </w:pPr>
            <w:r>
              <w:rPr>
                <w:rFonts w:hint="eastAsia"/>
                <w:kern w:val="0"/>
                <w:szCs w:val="21"/>
              </w:rPr>
              <w:t>财务</w:t>
            </w:r>
          </w:p>
          <w:p>
            <w:pPr>
              <w:widowControl/>
              <w:spacing w:line="260" w:lineRule="exact"/>
              <w:jc w:val="center"/>
              <w:rPr>
                <w:kern w:val="0"/>
                <w:szCs w:val="21"/>
              </w:rPr>
            </w:pPr>
            <w:r>
              <w:rPr>
                <w:rFonts w:hint="eastAsia"/>
                <w:kern w:val="0"/>
                <w:szCs w:val="21"/>
              </w:rPr>
              <w:t>管理（</w:t>
            </w:r>
            <w:r>
              <w:rPr>
                <w:kern w:val="0"/>
                <w:szCs w:val="21"/>
              </w:rPr>
              <w:t>12</w:t>
            </w:r>
            <w:r>
              <w:rPr>
                <w:rFonts w:hint="eastAsia"/>
                <w:kern w:val="0"/>
                <w:szCs w:val="21"/>
              </w:rPr>
              <w:t>分）</w:t>
            </w: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管理制度健全性（</w:t>
            </w:r>
            <w:r>
              <w:rPr>
                <w:kern w:val="0"/>
                <w:szCs w:val="21"/>
              </w:rPr>
              <w:t>3</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项目实施单位的财务制度是否健全，用以反映和考核财务管理制度对资金规范、安全运行的保障情况。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①是否已制定或具有相应的项目资金管理办法；（</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②项目资金管理办法是否符合相关财务会计制度的规定。（</w:t>
            </w:r>
            <w:r>
              <w:rPr>
                <w:kern w:val="0"/>
                <w:szCs w:val="21"/>
              </w:rPr>
              <w:t>1</w:t>
            </w:r>
            <w:r>
              <w:rPr>
                <w:rFonts w:hint="eastAsia"/>
                <w:kern w:val="0"/>
                <w:szCs w:val="21"/>
              </w:rPr>
              <w:t>分）</w:t>
            </w:r>
          </w:p>
        </w:tc>
        <w:tc>
          <w:tcPr>
            <w:tcW w:w="38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3</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2"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continue"/>
            <w:shd w:val="clear" w:color="auto" w:fill="auto"/>
            <w:noWrap w:val="0"/>
            <w:vAlign w:val="center"/>
          </w:tcPr>
          <w:p>
            <w:pPr>
              <w:widowControl/>
              <w:spacing w:line="260" w:lineRule="exact"/>
              <w:jc w:val="left"/>
              <w:rPr>
                <w:kern w:val="0"/>
                <w:szCs w:val="21"/>
              </w:rPr>
            </w:pP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资金使用合规性（</w:t>
            </w:r>
            <w:r>
              <w:rPr>
                <w:kern w:val="0"/>
                <w:szCs w:val="21"/>
              </w:rPr>
              <w:t>7</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项目资金使用是否符合相关的财务管理制度规定，用以反映和考核项目资金的规范运行情况。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①是否符合国家财经法规和财务管理制度以及有关专项资金管理办法的规定；（</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②资金的拨付是否有完整的审批程序和手续；（</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③项目的重大开支是否经过评估认证；（</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④是否符合项目预算批复或合同规定的用途；（</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⑤是否存在截留、挤占、挪用、虚列支出等情况。（</w:t>
            </w:r>
            <w:r>
              <w:rPr>
                <w:kern w:val="0"/>
                <w:szCs w:val="21"/>
              </w:rPr>
              <w:t>2</w:t>
            </w:r>
            <w:r>
              <w:rPr>
                <w:rFonts w:hint="eastAsia"/>
                <w:kern w:val="0"/>
                <w:szCs w:val="21"/>
              </w:rPr>
              <w:t>分）</w:t>
            </w:r>
          </w:p>
        </w:tc>
        <w:tc>
          <w:tcPr>
            <w:tcW w:w="38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7</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continue"/>
            <w:shd w:val="clear" w:color="auto" w:fill="auto"/>
            <w:noWrap w:val="0"/>
            <w:vAlign w:val="center"/>
          </w:tcPr>
          <w:p>
            <w:pPr>
              <w:widowControl/>
              <w:spacing w:line="260" w:lineRule="exact"/>
              <w:jc w:val="left"/>
              <w:rPr>
                <w:kern w:val="0"/>
                <w:szCs w:val="21"/>
              </w:rPr>
            </w:pP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财务监控有效性（</w:t>
            </w:r>
            <w:r>
              <w:rPr>
                <w:kern w:val="0"/>
                <w:szCs w:val="21"/>
              </w:rPr>
              <w:t>2</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项目实施单位是否为保障资金的安全、规范运行而采取了必要的监控措施，用以反映和考核项目实施单位对资金运行的控制情况。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①是否已制定或具有相应的监控机制；（</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②是否采取了相应的财务检查等必要的监控措施或手段。（</w:t>
            </w:r>
            <w:r>
              <w:rPr>
                <w:kern w:val="0"/>
                <w:szCs w:val="21"/>
              </w:rPr>
              <w:t>1</w:t>
            </w:r>
            <w:r>
              <w:rPr>
                <w:rFonts w:hint="eastAsia"/>
                <w:kern w:val="0"/>
                <w:szCs w:val="21"/>
              </w:rPr>
              <w:t>分）</w:t>
            </w:r>
          </w:p>
        </w:tc>
        <w:tc>
          <w:tcPr>
            <w:tcW w:w="38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2</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产</w:t>
            </w:r>
            <w:r>
              <w:rPr>
                <w:kern w:val="0"/>
                <w:szCs w:val="21"/>
              </w:rPr>
              <w:t xml:space="preserve">   </w:t>
            </w:r>
            <w:r>
              <w:rPr>
                <w:rFonts w:hint="eastAsia"/>
                <w:kern w:val="0"/>
                <w:szCs w:val="21"/>
              </w:rPr>
              <w:t>出（</w:t>
            </w:r>
            <w:r>
              <w:rPr>
                <w:kern w:val="0"/>
                <w:szCs w:val="21"/>
              </w:rPr>
              <w:t>20</w:t>
            </w:r>
            <w:r>
              <w:rPr>
                <w:rFonts w:hint="eastAsia"/>
                <w:kern w:val="0"/>
                <w:szCs w:val="21"/>
              </w:rPr>
              <w:t>分）</w:t>
            </w:r>
          </w:p>
        </w:tc>
        <w:tc>
          <w:tcPr>
            <w:tcW w:w="385"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产出（</w:t>
            </w:r>
            <w:r>
              <w:rPr>
                <w:kern w:val="0"/>
                <w:szCs w:val="21"/>
              </w:rPr>
              <w:t>20</w:t>
            </w:r>
            <w:r>
              <w:rPr>
                <w:rFonts w:hint="eastAsia"/>
                <w:kern w:val="0"/>
                <w:szCs w:val="21"/>
              </w:rPr>
              <w:t>分）</w:t>
            </w: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实际完成率（</w:t>
            </w:r>
            <w:r>
              <w:rPr>
                <w:kern w:val="0"/>
                <w:szCs w:val="21"/>
              </w:rPr>
              <w:t>4</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项目实施的实际产出数与计划产出数的比率，用以反映和考核项目产出数量目标的实现程度。</w:t>
            </w:r>
          </w:p>
        </w:tc>
        <w:tc>
          <w:tcPr>
            <w:tcW w:w="1942" w:type="pct"/>
            <w:shd w:val="clear" w:color="auto" w:fill="FFFFFF"/>
            <w:noWrap w:val="0"/>
            <w:vAlign w:val="center"/>
          </w:tcPr>
          <w:p>
            <w:pPr>
              <w:widowControl/>
              <w:spacing w:line="240" w:lineRule="exact"/>
              <w:jc w:val="left"/>
              <w:rPr>
                <w:spacing w:val="-14"/>
                <w:kern w:val="0"/>
                <w:szCs w:val="21"/>
              </w:rPr>
            </w:pPr>
            <w:r>
              <w:rPr>
                <w:rFonts w:hint="eastAsia"/>
                <w:spacing w:val="-14"/>
                <w:kern w:val="0"/>
                <w:szCs w:val="21"/>
              </w:rPr>
              <w:t>实际完成率</w:t>
            </w:r>
            <w:r>
              <w:rPr>
                <w:spacing w:val="-14"/>
                <w:kern w:val="0"/>
                <w:szCs w:val="21"/>
              </w:rPr>
              <w:t>=</w:t>
            </w:r>
            <w:r>
              <w:rPr>
                <w:rFonts w:hint="eastAsia"/>
                <w:spacing w:val="-14"/>
                <w:kern w:val="0"/>
                <w:szCs w:val="21"/>
              </w:rPr>
              <w:t>（实际产出数</w:t>
            </w:r>
            <w:r>
              <w:rPr>
                <w:spacing w:val="-14"/>
                <w:kern w:val="0"/>
                <w:szCs w:val="21"/>
              </w:rPr>
              <w:t>/</w:t>
            </w:r>
            <w:r>
              <w:rPr>
                <w:rFonts w:hint="eastAsia"/>
                <w:spacing w:val="-14"/>
                <w:kern w:val="0"/>
                <w:szCs w:val="21"/>
              </w:rPr>
              <w:t>计划产出数）×</w:t>
            </w:r>
            <w:r>
              <w:rPr>
                <w:spacing w:val="-14"/>
                <w:kern w:val="0"/>
                <w:szCs w:val="21"/>
              </w:rPr>
              <w:t>100%</w:t>
            </w:r>
            <w:r>
              <w:rPr>
                <w:rFonts w:hint="eastAsia"/>
                <w:spacing w:val="-14"/>
                <w:kern w:val="0"/>
                <w:szCs w:val="21"/>
              </w:rPr>
              <w:t>。（得分</w:t>
            </w:r>
            <w:r>
              <w:rPr>
                <w:spacing w:val="-14"/>
                <w:kern w:val="0"/>
                <w:szCs w:val="21"/>
              </w:rPr>
              <w:t>=</w:t>
            </w:r>
            <w:r>
              <w:rPr>
                <w:rFonts w:hint="eastAsia"/>
                <w:spacing w:val="-14"/>
                <w:kern w:val="0"/>
                <w:szCs w:val="21"/>
              </w:rPr>
              <w:t>实际完成率</w:t>
            </w:r>
            <w:r>
              <w:rPr>
                <w:spacing w:val="-14"/>
                <w:kern w:val="0"/>
                <w:szCs w:val="21"/>
              </w:rPr>
              <w:t>*4</w:t>
            </w:r>
            <w:r>
              <w:rPr>
                <w:rFonts w:hint="eastAsia"/>
                <w:spacing w:val="-14"/>
                <w:kern w:val="0"/>
                <w:szCs w:val="21"/>
              </w:rPr>
              <w:t>分）</w:t>
            </w:r>
          </w:p>
          <w:p>
            <w:pPr>
              <w:widowControl/>
              <w:spacing w:line="240" w:lineRule="exact"/>
              <w:jc w:val="left"/>
              <w:rPr>
                <w:spacing w:val="-14"/>
                <w:kern w:val="0"/>
                <w:szCs w:val="21"/>
              </w:rPr>
            </w:pPr>
            <w:r>
              <w:rPr>
                <w:rFonts w:hint="eastAsia"/>
                <w:spacing w:val="-14"/>
                <w:kern w:val="0"/>
                <w:szCs w:val="21"/>
              </w:rPr>
              <w:t>实际产出数：一定时期（本年度或项目期）内项目实际产出的产品或提供的服务数量。</w:t>
            </w:r>
          </w:p>
          <w:p>
            <w:pPr>
              <w:widowControl/>
              <w:spacing w:line="240" w:lineRule="exact"/>
              <w:jc w:val="left"/>
              <w:rPr>
                <w:kern w:val="0"/>
                <w:szCs w:val="21"/>
              </w:rPr>
            </w:pPr>
            <w:r>
              <w:rPr>
                <w:rFonts w:hint="eastAsia"/>
                <w:kern w:val="0"/>
                <w:szCs w:val="21"/>
              </w:rPr>
              <w:t>计划产出数：项目绩效目标确定的在一定时期（本年度或项目期）内计划产出的产品或提供的服务数量。</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4</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完成及时率（</w:t>
            </w:r>
            <w:r>
              <w:rPr>
                <w:kern w:val="0"/>
                <w:szCs w:val="21"/>
              </w:rPr>
              <w:t>6</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项目实际提前完成时间与计划完成时间的比率，用以反映和考核项目产出时效目标的实现程度。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完成及时率</w:t>
            </w:r>
            <w:r>
              <w:rPr>
                <w:kern w:val="0"/>
                <w:szCs w:val="21"/>
              </w:rPr>
              <w:t>=[</w:t>
            </w:r>
            <w:r>
              <w:rPr>
                <w:rFonts w:hint="eastAsia"/>
                <w:kern w:val="0"/>
                <w:szCs w:val="21"/>
              </w:rPr>
              <w:t>（计划完成时间</w:t>
            </w:r>
            <w:r>
              <w:rPr>
                <w:kern w:val="0"/>
                <w:szCs w:val="21"/>
              </w:rPr>
              <w:t>-</w:t>
            </w:r>
            <w:r>
              <w:rPr>
                <w:rFonts w:hint="eastAsia"/>
                <w:kern w:val="0"/>
                <w:szCs w:val="21"/>
              </w:rPr>
              <w:t>实际完成时间）</w:t>
            </w:r>
            <w:r>
              <w:rPr>
                <w:kern w:val="0"/>
                <w:szCs w:val="21"/>
              </w:rPr>
              <w:t>/</w:t>
            </w:r>
            <w:r>
              <w:rPr>
                <w:rFonts w:hint="eastAsia"/>
                <w:kern w:val="0"/>
                <w:szCs w:val="21"/>
              </w:rPr>
              <w:t>计划完成时间</w:t>
            </w:r>
            <w:r>
              <w:rPr>
                <w:kern w:val="0"/>
                <w:szCs w:val="21"/>
              </w:rPr>
              <w:t>]</w:t>
            </w:r>
            <w:r>
              <w:rPr>
                <w:rFonts w:hint="eastAsia"/>
                <w:kern w:val="0"/>
                <w:szCs w:val="21"/>
              </w:rPr>
              <w:t>×</w:t>
            </w:r>
            <w:r>
              <w:rPr>
                <w:kern w:val="0"/>
                <w:szCs w:val="21"/>
              </w:rPr>
              <w:t>100%</w:t>
            </w:r>
            <w:r>
              <w:rPr>
                <w:rFonts w:hint="eastAsia"/>
                <w:kern w:val="0"/>
                <w:szCs w:val="21"/>
              </w:rPr>
              <w:t>。（</w:t>
            </w:r>
            <w:r>
              <w:rPr>
                <w:kern w:val="0"/>
                <w:szCs w:val="21"/>
              </w:rPr>
              <w:t>1--4</w:t>
            </w:r>
            <w:r>
              <w:rPr>
                <w:rFonts w:hint="eastAsia"/>
                <w:kern w:val="0"/>
                <w:szCs w:val="21"/>
              </w:rPr>
              <w:t>季度各得</w:t>
            </w:r>
            <w:r>
              <w:rPr>
                <w:kern w:val="0"/>
                <w:szCs w:val="21"/>
              </w:rPr>
              <w:t>1.5</w:t>
            </w:r>
            <w:r>
              <w:rPr>
                <w:rFonts w:hint="eastAsia"/>
                <w:kern w:val="0"/>
                <w:szCs w:val="21"/>
              </w:rPr>
              <w:t>分）</w:t>
            </w:r>
          </w:p>
          <w:p>
            <w:pPr>
              <w:widowControl/>
              <w:spacing w:line="240" w:lineRule="exact"/>
              <w:jc w:val="left"/>
              <w:rPr>
                <w:kern w:val="0"/>
                <w:szCs w:val="21"/>
              </w:rPr>
            </w:pPr>
            <w:r>
              <w:rPr>
                <w:rFonts w:hint="eastAsia"/>
                <w:kern w:val="0"/>
                <w:szCs w:val="21"/>
              </w:rPr>
              <w:t>实际完成时间：项目实施单位完成该项目实际所耗用的时间。</w:t>
            </w:r>
          </w:p>
          <w:p>
            <w:pPr>
              <w:widowControl/>
              <w:spacing w:line="240" w:lineRule="exact"/>
              <w:jc w:val="left"/>
              <w:rPr>
                <w:kern w:val="0"/>
                <w:szCs w:val="21"/>
              </w:rPr>
            </w:pPr>
            <w:r>
              <w:rPr>
                <w:rFonts w:hint="eastAsia"/>
                <w:kern w:val="0"/>
                <w:szCs w:val="21"/>
              </w:rPr>
              <w:t>计划完成时间：按照项目实施计划或相关规定完成该项目所需的时间。</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6</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质量达标率（</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项目完成的质量达标产出数与实际产出数的比率，用以反映和考核项目产出质量目标的实现程度。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质量达标率</w:t>
            </w:r>
            <w:r>
              <w:rPr>
                <w:kern w:val="0"/>
                <w:szCs w:val="21"/>
              </w:rPr>
              <w:t>=</w:t>
            </w:r>
            <w:r>
              <w:rPr>
                <w:rFonts w:hint="eastAsia"/>
                <w:kern w:val="0"/>
                <w:szCs w:val="21"/>
              </w:rPr>
              <w:t>（质量达标产出数</w:t>
            </w:r>
            <w:r>
              <w:rPr>
                <w:kern w:val="0"/>
                <w:szCs w:val="21"/>
              </w:rPr>
              <w:t>/</w:t>
            </w:r>
            <w:r>
              <w:rPr>
                <w:rFonts w:hint="eastAsia"/>
                <w:kern w:val="0"/>
                <w:szCs w:val="21"/>
              </w:rPr>
              <w:t>实际产出数）×</w:t>
            </w:r>
            <w:r>
              <w:rPr>
                <w:kern w:val="0"/>
                <w:szCs w:val="21"/>
              </w:rPr>
              <w:t>100%</w:t>
            </w:r>
            <w:r>
              <w:rPr>
                <w:rFonts w:hint="eastAsia"/>
                <w:kern w:val="0"/>
                <w:szCs w:val="21"/>
              </w:rPr>
              <w:t>。（得分</w:t>
            </w:r>
            <w:r>
              <w:rPr>
                <w:kern w:val="0"/>
                <w:szCs w:val="21"/>
              </w:rPr>
              <w:t>=</w:t>
            </w:r>
            <w:r>
              <w:rPr>
                <w:rFonts w:hint="eastAsia"/>
                <w:kern w:val="0"/>
                <w:szCs w:val="21"/>
              </w:rPr>
              <w:t>达标率</w:t>
            </w:r>
            <w:r>
              <w:rPr>
                <w:kern w:val="0"/>
                <w:szCs w:val="21"/>
              </w:rPr>
              <w:t>*5</w:t>
            </w:r>
            <w:r>
              <w:rPr>
                <w:rFonts w:hint="eastAsia"/>
                <w:kern w:val="0"/>
                <w:szCs w:val="21"/>
              </w:rPr>
              <w:t>分）</w:t>
            </w:r>
          </w:p>
          <w:p>
            <w:pPr>
              <w:widowControl/>
              <w:spacing w:line="240" w:lineRule="exact"/>
              <w:jc w:val="left"/>
              <w:rPr>
                <w:kern w:val="0"/>
                <w:szCs w:val="21"/>
              </w:rPr>
            </w:pPr>
            <w:r>
              <w:rPr>
                <w:rFonts w:hint="eastAsia"/>
                <w:kern w:val="0"/>
                <w:szCs w:val="21"/>
              </w:rPr>
              <w:t>质量达标产出数：一定时期（本年度或项目期）内实际达到既定质量标准的产品或服务数量。</w:t>
            </w:r>
          </w:p>
          <w:p>
            <w:pPr>
              <w:widowControl/>
              <w:spacing w:line="240" w:lineRule="exact"/>
              <w:jc w:val="left"/>
              <w:rPr>
                <w:kern w:val="0"/>
                <w:szCs w:val="21"/>
              </w:rPr>
            </w:pPr>
            <w:r>
              <w:rPr>
                <w:rFonts w:hint="eastAsia"/>
                <w:spacing w:val="-10"/>
                <w:kern w:val="0"/>
                <w:szCs w:val="21"/>
              </w:rPr>
              <w:t>既定质量标准是指项目实施单位设立绩效目标时依据计划标准、行业标准、历史标准或其他标准而设定的绩效指标值。</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成本节约率（</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完成项目计划工作目标的实际节约成本与计划成本的比率，用以反映和考核项目的成本节约程度。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成本节约率</w:t>
            </w:r>
            <w:r>
              <w:rPr>
                <w:kern w:val="0"/>
                <w:szCs w:val="21"/>
              </w:rPr>
              <w:t>=[</w:t>
            </w:r>
            <w:r>
              <w:rPr>
                <w:rFonts w:hint="eastAsia"/>
                <w:kern w:val="0"/>
                <w:szCs w:val="21"/>
              </w:rPr>
              <w:t>（计划成本</w:t>
            </w:r>
            <w:r>
              <w:rPr>
                <w:kern w:val="0"/>
                <w:szCs w:val="21"/>
              </w:rPr>
              <w:t>-</w:t>
            </w:r>
            <w:r>
              <w:rPr>
                <w:rFonts w:hint="eastAsia"/>
                <w:kern w:val="0"/>
                <w:szCs w:val="21"/>
              </w:rPr>
              <w:t>实际成本）</w:t>
            </w:r>
            <w:r>
              <w:rPr>
                <w:kern w:val="0"/>
                <w:szCs w:val="21"/>
              </w:rPr>
              <w:t>/</w:t>
            </w:r>
            <w:r>
              <w:rPr>
                <w:rFonts w:hint="eastAsia"/>
                <w:kern w:val="0"/>
                <w:szCs w:val="21"/>
              </w:rPr>
              <w:t>计划成本</w:t>
            </w:r>
            <w:r>
              <w:rPr>
                <w:kern w:val="0"/>
                <w:szCs w:val="21"/>
              </w:rPr>
              <w:t>]</w:t>
            </w:r>
            <w:r>
              <w:rPr>
                <w:rFonts w:hint="eastAsia"/>
                <w:kern w:val="0"/>
                <w:szCs w:val="21"/>
              </w:rPr>
              <w:t>×</w:t>
            </w:r>
            <w:r>
              <w:rPr>
                <w:kern w:val="0"/>
                <w:szCs w:val="21"/>
              </w:rPr>
              <w:t>100%</w:t>
            </w:r>
            <w:r>
              <w:rPr>
                <w:rFonts w:hint="eastAsia"/>
                <w:kern w:val="0"/>
                <w:szCs w:val="21"/>
              </w:rPr>
              <w:t>。</w:t>
            </w:r>
            <w:r>
              <w:rPr>
                <w:kern w:val="0"/>
                <w:szCs w:val="21"/>
              </w:rPr>
              <w:t>(</w:t>
            </w:r>
            <w:r>
              <w:rPr>
                <w:rFonts w:hint="eastAsia"/>
                <w:kern w:val="0"/>
                <w:szCs w:val="21"/>
              </w:rPr>
              <w:t>节约的计</w:t>
            </w:r>
            <w:r>
              <w:rPr>
                <w:kern w:val="0"/>
                <w:szCs w:val="21"/>
              </w:rPr>
              <w:t>5</w:t>
            </w:r>
            <w:r>
              <w:rPr>
                <w:rFonts w:hint="eastAsia"/>
                <w:kern w:val="0"/>
                <w:szCs w:val="21"/>
              </w:rPr>
              <w:t>分</w:t>
            </w:r>
            <w:r>
              <w:rPr>
                <w:kern w:val="0"/>
                <w:szCs w:val="21"/>
              </w:rPr>
              <w:t>,</w:t>
            </w:r>
            <w:r>
              <w:rPr>
                <w:rFonts w:hint="eastAsia"/>
                <w:kern w:val="0"/>
                <w:szCs w:val="21"/>
              </w:rPr>
              <w:t>增加的按比例扣分</w:t>
            </w:r>
            <w:r>
              <w:rPr>
                <w:kern w:val="0"/>
                <w:szCs w:val="21"/>
              </w:rPr>
              <w:t>)</w:t>
            </w:r>
          </w:p>
          <w:p>
            <w:pPr>
              <w:widowControl/>
              <w:spacing w:line="240" w:lineRule="exact"/>
              <w:jc w:val="left"/>
              <w:rPr>
                <w:spacing w:val="-10"/>
                <w:kern w:val="0"/>
                <w:szCs w:val="21"/>
              </w:rPr>
            </w:pPr>
            <w:r>
              <w:rPr>
                <w:rFonts w:hint="eastAsia"/>
                <w:spacing w:val="-10"/>
                <w:kern w:val="0"/>
                <w:szCs w:val="21"/>
              </w:rPr>
              <w:t>实际成本：项目实施单位如期、保质、保量完成既定工作目标实际所耗费的支出。</w:t>
            </w:r>
          </w:p>
          <w:p>
            <w:pPr>
              <w:widowControl/>
              <w:spacing w:line="240" w:lineRule="exact"/>
              <w:jc w:val="left"/>
              <w:rPr>
                <w:kern w:val="0"/>
                <w:szCs w:val="21"/>
              </w:rPr>
            </w:pPr>
            <w:r>
              <w:rPr>
                <w:rFonts w:hint="eastAsia"/>
                <w:spacing w:val="-10"/>
                <w:kern w:val="0"/>
                <w:szCs w:val="21"/>
              </w:rPr>
              <w:t>计划成本：项目实施单位为完成工作目标计划安排的支出，一般以项目预算为参考。</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392"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效</w:t>
            </w:r>
            <w:r>
              <w:rPr>
                <w:kern w:val="0"/>
                <w:szCs w:val="21"/>
              </w:rPr>
              <w:t xml:space="preserve">   </w:t>
            </w:r>
            <w:r>
              <w:rPr>
                <w:rFonts w:hint="eastAsia"/>
                <w:kern w:val="0"/>
                <w:szCs w:val="21"/>
              </w:rPr>
              <w:t>果（</w:t>
            </w:r>
            <w:r>
              <w:rPr>
                <w:kern w:val="0"/>
                <w:szCs w:val="21"/>
              </w:rPr>
              <w:t>30</w:t>
            </w:r>
            <w:r>
              <w:rPr>
                <w:rFonts w:hint="eastAsia"/>
                <w:kern w:val="0"/>
                <w:szCs w:val="21"/>
              </w:rPr>
              <w:t>分）</w:t>
            </w:r>
          </w:p>
        </w:tc>
        <w:tc>
          <w:tcPr>
            <w:tcW w:w="385"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效益（</w:t>
            </w:r>
            <w:r>
              <w:rPr>
                <w:kern w:val="0"/>
                <w:szCs w:val="21"/>
              </w:rPr>
              <w:t>30</w:t>
            </w:r>
            <w:r>
              <w:rPr>
                <w:rFonts w:hint="eastAsia"/>
                <w:kern w:val="0"/>
                <w:szCs w:val="21"/>
              </w:rPr>
              <w:t>分）</w:t>
            </w: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经济效益</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项目实施对经济发展所带来的直接或间接影响情况。</w:t>
            </w:r>
          </w:p>
        </w:tc>
        <w:tc>
          <w:tcPr>
            <w:tcW w:w="1942" w:type="pct"/>
            <w:vMerge w:val="restart"/>
            <w:shd w:val="clear" w:color="auto" w:fill="FFFFFF"/>
            <w:noWrap w:val="0"/>
            <w:vAlign w:val="center"/>
          </w:tcPr>
          <w:p>
            <w:pPr>
              <w:widowControl/>
              <w:spacing w:line="240" w:lineRule="exact"/>
              <w:jc w:val="left"/>
              <w:rPr>
                <w:kern w:val="0"/>
                <w:szCs w:val="21"/>
              </w:rPr>
            </w:pPr>
            <w:r>
              <w:rPr>
                <w:rFonts w:hint="eastAsia"/>
                <w:kern w:val="0"/>
                <w:szCs w:val="21"/>
              </w:rPr>
              <w:t>此四项指标为项目支出绩效评价指标的共性要素，各单位按照项目支出绩效目标实现程度为依据。（按经济效益实现程度</w:t>
            </w:r>
            <w:r>
              <w:rPr>
                <w:kern w:val="0"/>
                <w:szCs w:val="21"/>
              </w:rPr>
              <w:t>*5</w:t>
            </w:r>
            <w:r>
              <w:rPr>
                <w:rFonts w:hint="eastAsia"/>
                <w:kern w:val="0"/>
                <w:szCs w:val="21"/>
              </w:rPr>
              <w:t>分、社会效益实现程度</w:t>
            </w:r>
            <w:r>
              <w:rPr>
                <w:kern w:val="0"/>
                <w:szCs w:val="21"/>
              </w:rPr>
              <w:t>*5</w:t>
            </w:r>
            <w:r>
              <w:rPr>
                <w:rFonts w:hint="eastAsia"/>
                <w:kern w:val="0"/>
                <w:szCs w:val="21"/>
              </w:rPr>
              <w:t>分、生态效益实现程度</w:t>
            </w:r>
            <w:r>
              <w:rPr>
                <w:kern w:val="0"/>
                <w:szCs w:val="21"/>
              </w:rPr>
              <w:t>*5</w:t>
            </w:r>
            <w:r>
              <w:rPr>
                <w:rFonts w:hint="eastAsia"/>
                <w:kern w:val="0"/>
                <w:szCs w:val="21"/>
              </w:rPr>
              <w:t>分、可持续影响程度</w:t>
            </w:r>
            <w:r>
              <w:rPr>
                <w:kern w:val="0"/>
                <w:szCs w:val="21"/>
              </w:rPr>
              <w:t>*5</w:t>
            </w:r>
            <w:r>
              <w:rPr>
                <w:rFonts w:hint="eastAsia"/>
                <w:kern w:val="0"/>
                <w:szCs w:val="21"/>
              </w:rPr>
              <w:t>分计算实际得分）</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社会效益（</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项目实施对社会发展所带来的直接或间接影响情况。</w:t>
            </w:r>
          </w:p>
        </w:tc>
        <w:tc>
          <w:tcPr>
            <w:tcW w:w="1942" w:type="pct"/>
            <w:vMerge w:val="continue"/>
            <w:noWrap w:val="0"/>
            <w:vAlign w:val="center"/>
          </w:tcPr>
          <w:p>
            <w:pPr>
              <w:widowControl/>
              <w:spacing w:line="240" w:lineRule="exact"/>
              <w:jc w:val="left"/>
              <w:rPr>
                <w:kern w:val="0"/>
                <w:szCs w:val="21"/>
              </w:rPr>
            </w:pP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生态效益（</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项目实施对生态环境所带来的直接或间接影响情况。</w:t>
            </w:r>
          </w:p>
        </w:tc>
        <w:tc>
          <w:tcPr>
            <w:tcW w:w="1942" w:type="pct"/>
            <w:vMerge w:val="continue"/>
            <w:noWrap w:val="0"/>
            <w:vAlign w:val="center"/>
          </w:tcPr>
          <w:p>
            <w:pPr>
              <w:widowControl/>
              <w:spacing w:line="240" w:lineRule="exact"/>
              <w:jc w:val="left"/>
              <w:rPr>
                <w:kern w:val="0"/>
                <w:szCs w:val="21"/>
              </w:rPr>
            </w:pP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可持续影响</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项目后续运行及成效发挥的可持续影响情况。</w:t>
            </w:r>
          </w:p>
        </w:tc>
        <w:tc>
          <w:tcPr>
            <w:tcW w:w="1942" w:type="pct"/>
            <w:vMerge w:val="continue"/>
            <w:noWrap w:val="0"/>
            <w:vAlign w:val="center"/>
          </w:tcPr>
          <w:p>
            <w:pPr>
              <w:widowControl/>
              <w:spacing w:line="240" w:lineRule="exact"/>
              <w:jc w:val="left"/>
              <w:rPr>
                <w:kern w:val="0"/>
                <w:szCs w:val="21"/>
              </w:rPr>
            </w:pP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社会公众或服务对象满意度（</w:t>
            </w:r>
            <w:r>
              <w:rPr>
                <w:spacing w:val="-10"/>
                <w:kern w:val="0"/>
                <w:szCs w:val="21"/>
              </w:rPr>
              <w:t>10</w:t>
            </w:r>
            <w:r>
              <w:rPr>
                <w:rFonts w:hint="eastAsia"/>
                <w:spacing w:val="-10"/>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社会公众或服务对象对项目实施效果的满意程度。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社会公众或服务对象是指因该项目实施而受到影响的部门（单位）、群体或个人。一般采取社会调查的方式。（按收到的服务对象的满意率计算得分）</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9</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4118" w:type="pct"/>
            <w:gridSpan w:val="5"/>
            <w:tcBorders>
              <w:bottom w:val="single" w:color="auto" w:sz="12" w:space="0"/>
            </w:tcBorders>
            <w:shd w:val="clear" w:color="auto" w:fill="FFFFFF"/>
            <w:noWrap w:val="0"/>
            <w:vAlign w:val="center"/>
          </w:tcPr>
          <w:p>
            <w:pPr>
              <w:widowControl/>
              <w:spacing w:line="240" w:lineRule="exact"/>
              <w:jc w:val="center"/>
              <w:rPr>
                <w:kern w:val="0"/>
                <w:szCs w:val="21"/>
              </w:rPr>
            </w:pPr>
            <w:r>
              <w:rPr>
                <w:rFonts w:hint="eastAsia"/>
                <w:kern w:val="0"/>
                <w:szCs w:val="21"/>
              </w:rPr>
              <w:t>合计</w:t>
            </w:r>
          </w:p>
        </w:tc>
        <w:tc>
          <w:tcPr>
            <w:tcW w:w="388" w:type="pct"/>
            <w:tcBorders>
              <w:bottom w:val="single" w:color="auto" w:sz="12" w:space="0"/>
            </w:tcBorders>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94</w:t>
            </w:r>
          </w:p>
        </w:tc>
        <w:tc>
          <w:tcPr>
            <w:tcW w:w="493" w:type="pct"/>
            <w:tcBorders>
              <w:bottom w:val="single" w:color="auto" w:sz="12" w:space="0"/>
            </w:tcBorders>
            <w:noWrap/>
            <w:vAlign w:val="center"/>
          </w:tcPr>
          <w:p>
            <w:pPr>
              <w:widowControl/>
              <w:spacing w:line="240" w:lineRule="exact"/>
              <w:jc w:val="left"/>
              <w:rPr>
                <w:kern w:val="0"/>
                <w:szCs w:val="21"/>
              </w:rPr>
            </w:pPr>
            <w:r>
              <w:rPr>
                <w:rFonts w:hint="eastAsia"/>
                <w:kern w:val="0"/>
                <w:szCs w:val="21"/>
              </w:rPr>
              <w:t>　</w:t>
            </w:r>
          </w:p>
        </w:tc>
      </w:tr>
    </w:tbl>
    <w:p>
      <w:pPr>
        <w:spacing w:line="580" w:lineRule="exact"/>
        <w:jc w:val="center"/>
        <w:rPr>
          <w:rFonts w:eastAsia="方正小标宋简体"/>
          <w:sz w:val="44"/>
          <w:szCs w:val="44"/>
        </w:rPr>
      </w:pPr>
      <w:r>
        <w:rPr>
          <w:rFonts w:eastAsia="方正小标宋简体"/>
          <w:sz w:val="44"/>
          <w:szCs w:val="44"/>
        </w:rPr>
        <w:t>20</w:t>
      </w:r>
      <w:r>
        <w:rPr>
          <w:rFonts w:hint="eastAsia" w:eastAsia="方正小标宋简体"/>
          <w:sz w:val="44"/>
          <w:szCs w:val="44"/>
          <w:lang w:val="en-US" w:eastAsia="zh-CN"/>
        </w:rPr>
        <w:t>22</w:t>
      </w:r>
      <w:r>
        <w:rPr>
          <w:rFonts w:hint="eastAsia" w:eastAsia="方正小标宋简体"/>
          <w:sz w:val="44"/>
          <w:szCs w:val="44"/>
        </w:rPr>
        <w:t>年乐至县项目支出绩效自评报告</w:t>
      </w:r>
    </w:p>
    <w:p>
      <w:pPr>
        <w:spacing w:line="580" w:lineRule="exact"/>
        <w:jc w:val="center"/>
        <w:rPr>
          <w:rFonts w:hint="eastAsia" w:eastAsia="方正楷体简体"/>
          <w:b/>
          <w:sz w:val="32"/>
          <w:szCs w:val="32"/>
        </w:rPr>
      </w:pPr>
      <w:r>
        <w:rPr>
          <w:rFonts w:hint="eastAsia" w:eastAsia="方正楷体简体"/>
          <w:b/>
          <w:sz w:val="32"/>
          <w:szCs w:val="32"/>
        </w:rPr>
        <w:t>（</w:t>
      </w:r>
      <w:r>
        <w:rPr>
          <w:rFonts w:hint="eastAsia" w:eastAsia="方正楷体简体"/>
          <w:b/>
          <w:sz w:val="32"/>
          <w:szCs w:val="32"/>
          <w:lang w:eastAsia="zh-CN"/>
        </w:rPr>
        <w:t>双龙村公益性基础设施建设所需资金</w:t>
      </w:r>
      <w:r>
        <w:rPr>
          <w:rFonts w:hint="eastAsia" w:eastAsia="方正楷体简体"/>
          <w:b/>
          <w:sz w:val="32"/>
          <w:szCs w:val="32"/>
        </w:rPr>
        <w:t>）</w:t>
      </w:r>
    </w:p>
    <w:p>
      <w:pPr>
        <w:spacing w:line="580" w:lineRule="exact"/>
        <w:ind w:firstLine="560" w:firstLineChars="200"/>
        <w:rPr>
          <w:rFonts w:hint="eastAsia" w:eastAsia="方正仿宋简体"/>
          <w:sz w:val="28"/>
          <w:szCs w:val="28"/>
          <w:lang w:val="en-US" w:eastAsia="zh-CN"/>
        </w:rPr>
      </w:pPr>
      <w:r>
        <w:rPr>
          <w:rFonts w:hint="eastAsia" w:eastAsia="方正仿宋简体"/>
          <w:sz w:val="28"/>
          <w:szCs w:val="28"/>
          <w:lang w:val="en-US" w:eastAsia="zh-CN"/>
        </w:rPr>
        <w:t>按照乐至县财政局要求，我镇高度重视，认真组织开展劳动镇双龙村公益性基础设施建设项目支出绩效自评，现将自评工作总结如下。</w:t>
      </w:r>
    </w:p>
    <w:p>
      <w:pPr>
        <w:spacing w:line="580" w:lineRule="exact"/>
        <w:ind w:firstLine="640" w:firstLineChars="200"/>
        <w:rPr>
          <w:rFonts w:eastAsia="方正黑体简体"/>
          <w:sz w:val="32"/>
          <w:szCs w:val="32"/>
        </w:rPr>
      </w:pPr>
      <w:r>
        <w:rPr>
          <w:rFonts w:hint="eastAsia" w:eastAsia="方正黑体简体"/>
          <w:sz w:val="32"/>
          <w:szCs w:val="32"/>
        </w:rPr>
        <w:t>一、项目基本情况</w:t>
      </w:r>
    </w:p>
    <w:p>
      <w:pPr>
        <w:spacing w:line="580" w:lineRule="exact"/>
        <w:ind w:firstLine="643" w:firstLineChars="200"/>
        <w:rPr>
          <w:rFonts w:eastAsia="方正楷体简体"/>
          <w:b/>
          <w:sz w:val="32"/>
          <w:szCs w:val="32"/>
        </w:rPr>
      </w:pPr>
      <w:r>
        <w:rPr>
          <w:rFonts w:hint="eastAsia" w:eastAsia="方正楷体简体"/>
          <w:b/>
          <w:sz w:val="32"/>
          <w:szCs w:val="32"/>
        </w:rPr>
        <w:t>（一）概况</w:t>
      </w:r>
    </w:p>
    <w:p>
      <w:pPr>
        <w:pStyle w:val="8"/>
        <w:keepNext w:val="0"/>
        <w:keepLines w:val="0"/>
        <w:pageBreakBefore w:val="0"/>
        <w:widowControl w:val="0"/>
        <w:kinsoku/>
        <w:wordWrap/>
        <w:overflowPunct/>
        <w:topLinePunct w:val="0"/>
        <w:autoSpaceDE/>
        <w:autoSpaceDN/>
        <w:bidi w:val="0"/>
        <w:adjustRightInd/>
        <w:snapToGrid/>
        <w:spacing w:after="0" w:line="590" w:lineRule="exact"/>
        <w:ind w:firstLine="548" w:firstLineChars="196"/>
        <w:textAlignment w:val="auto"/>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1.立项背景及目的。危桥修复（新建），确保群众出行安全，方面群众生产生活</w:t>
      </w:r>
    </w:p>
    <w:p>
      <w:pPr>
        <w:spacing w:line="580" w:lineRule="exact"/>
        <w:ind w:firstLine="560" w:firstLineChars="200"/>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2.预算资金来源及使用情况。项目全年预算数</w:t>
      </w:r>
      <w:r>
        <w:rPr>
          <w:rFonts w:hint="eastAsia" w:eastAsia="方正仿宋简体" w:cs="Times New Roman"/>
          <w:kern w:val="2"/>
          <w:sz w:val="28"/>
          <w:szCs w:val="28"/>
          <w:lang w:val="en-US" w:eastAsia="zh-CN" w:bidi="ar-SA"/>
        </w:rPr>
        <w:t>10</w:t>
      </w:r>
      <w:r>
        <w:rPr>
          <w:rFonts w:hint="eastAsia" w:ascii="Times New Roman" w:hAnsi="Times New Roman" w:eastAsia="方正仿宋简体" w:cs="Times New Roman"/>
          <w:kern w:val="2"/>
          <w:sz w:val="28"/>
          <w:szCs w:val="28"/>
          <w:lang w:val="en-US" w:eastAsia="zh-CN" w:bidi="ar-SA"/>
        </w:rPr>
        <w:t>万元，执行数为</w:t>
      </w:r>
      <w:r>
        <w:rPr>
          <w:rFonts w:hint="eastAsia" w:eastAsia="方正仿宋简体" w:cs="Times New Roman"/>
          <w:kern w:val="2"/>
          <w:sz w:val="28"/>
          <w:szCs w:val="28"/>
          <w:lang w:val="en-US" w:eastAsia="zh-CN" w:bidi="ar-SA"/>
        </w:rPr>
        <w:t>10</w:t>
      </w:r>
      <w:r>
        <w:rPr>
          <w:rFonts w:hint="eastAsia" w:ascii="Times New Roman" w:hAnsi="Times New Roman" w:eastAsia="方正仿宋简体" w:cs="Times New Roman"/>
          <w:kern w:val="2"/>
          <w:sz w:val="28"/>
          <w:szCs w:val="28"/>
          <w:lang w:val="en-US" w:eastAsia="zh-CN" w:bidi="ar-SA"/>
        </w:rPr>
        <w:t>万元，完成预算的100%。</w:t>
      </w:r>
    </w:p>
    <w:p>
      <w:pPr>
        <w:spacing w:line="580" w:lineRule="exact"/>
        <w:ind w:firstLine="560" w:firstLineChars="200"/>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3.组织实施情况。</w:t>
      </w:r>
      <w:r>
        <w:rPr>
          <w:rFonts w:hint="eastAsia" w:eastAsia="方正仿宋简体" w:cs="Times New Roman"/>
          <w:kern w:val="2"/>
          <w:sz w:val="28"/>
          <w:szCs w:val="28"/>
          <w:lang w:val="en-US" w:eastAsia="zh-CN" w:bidi="ar-SA"/>
        </w:rPr>
        <w:t>以镇组织，双龙村为主体实施修复（新建）。</w:t>
      </w:r>
    </w:p>
    <w:p>
      <w:pPr>
        <w:spacing w:line="580" w:lineRule="exact"/>
        <w:ind w:firstLine="643" w:firstLineChars="200"/>
        <w:rPr>
          <w:rFonts w:eastAsia="方正楷体简体"/>
          <w:b/>
          <w:sz w:val="32"/>
          <w:szCs w:val="32"/>
        </w:rPr>
      </w:pPr>
      <w:r>
        <w:rPr>
          <w:rFonts w:hint="eastAsia" w:eastAsia="方正楷体简体"/>
          <w:b/>
          <w:sz w:val="32"/>
          <w:szCs w:val="32"/>
        </w:rPr>
        <w:t>（二）绩效目标</w:t>
      </w:r>
    </w:p>
    <w:p>
      <w:pPr>
        <w:spacing w:line="580" w:lineRule="exact"/>
        <w:ind w:firstLine="560" w:firstLineChars="200"/>
        <w:rPr>
          <w:rFonts w:eastAsia="方正仿宋简体"/>
          <w:sz w:val="32"/>
          <w:szCs w:val="32"/>
        </w:rPr>
      </w:pPr>
      <w:r>
        <w:rPr>
          <w:rFonts w:hint="eastAsia" w:eastAsia="方正仿宋简体"/>
          <w:sz w:val="28"/>
          <w:szCs w:val="28"/>
          <w:lang w:val="en-US" w:eastAsia="zh-CN"/>
        </w:rPr>
        <w:t>绩效总体目标是保障</w:t>
      </w:r>
      <w:r>
        <w:rPr>
          <w:rFonts w:hint="eastAsia" w:eastAsia="方正仿宋简体" w:cs="Times New Roman"/>
          <w:kern w:val="2"/>
          <w:sz w:val="28"/>
          <w:szCs w:val="28"/>
          <w:lang w:val="en-US" w:eastAsia="zh-CN" w:bidi="ar-SA"/>
        </w:rPr>
        <w:t>疫情防控作</w:t>
      </w:r>
      <w:r>
        <w:rPr>
          <w:rFonts w:hint="eastAsia" w:eastAsia="方正仿宋简体"/>
          <w:sz w:val="28"/>
          <w:szCs w:val="28"/>
          <w:lang w:val="en-US" w:eastAsia="zh-CN"/>
        </w:rPr>
        <w:t>顺利实施，数量指标：修复（新建）桥梁一座。质量指标：验收合格率100%；时效指标：本年度完成；成本指标：资金投入大于等于10万元；社会效益指标：反面群众出行：受益群众满意度大于98%。</w:t>
      </w:r>
    </w:p>
    <w:p>
      <w:pPr>
        <w:spacing w:line="580" w:lineRule="exact"/>
        <w:ind w:firstLine="640" w:firstLineChars="200"/>
        <w:rPr>
          <w:rFonts w:eastAsia="方正黑体简体"/>
          <w:sz w:val="32"/>
          <w:szCs w:val="32"/>
        </w:rPr>
      </w:pPr>
      <w:r>
        <w:rPr>
          <w:rFonts w:hint="eastAsia" w:eastAsia="方正黑体简体"/>
          <w:sz w:val="32"/>
          <w:szCs w:val="32"/>
        </w:rPr>
        <w:t>二、绩效自评工作情况</w:t>
      </w:r>
    </w:p>
    <w:p>
      <w:pPr>
        <w:spacing w:line="580" w:lineRule="exact"/>
        <w:ind w:firstLine="560" w:firstLineChars="200"/>
        <w:rPr>
          <w:rFonts w:hint="eastAsia" w:eastAsia="方正仿宋简体"/>
          <w:sz w:val="28"/>
          <w:szCs w:val="28"/>
          <w:lang w:val="en-US" w:eastAsia="zh-CN"/>
        </w:rPr>
      </w:pPr>
      <w:r>
        <w:rPr>
          <w:rFonts w:hint="eastAsia" w:eastAsia="方正仿宋简体"/>
          <w:sz w:val="28"/>
          <w:szCs w:val="28"/>
          <w:lang w:val="en-US" w:eastAsia="zh-CN"/>
        </w:rPr>
        <w:t>镇党委政府高中重视绩效自评工作，成立了绩效自评领导小组，组长由镇长担任。自评工作由绩效自评工作小组完成，完成对项目执行中对项目绩效目标实现程度和预算执行进度自评。具体就是对项目完成数量、质量、时效、成本等情况，对照项目计划完成目标，对截止评价时点的任务量完成、质量标准、进度计划、成本控制目标的实现程度进行评价，并进行分析说明。</w:t>
      </w:r>
    </w:p>
    <w:p>
      <w:pPr>
        <w:spacing w:line="580" w:lineRule="exact"/>
        <w:ind w:firstLine="640" w:firstLineChars="200"/>
        <w:rPr>
          <w:rFonts w:eastAsia="方正黑体简体"/>
          <w:sz w:val="32"/>
          <w:szCs w:val="32"/>
        </w:rPr>
      </w:pPr>
      <w:r>
        <w:rPr>
          <w:rFonts w:hint="eastAsia" w:eastAsia="方正黑体简体"/>
          <w:sz w:val="32"/>
          <w:szCs w:val="32"/>
        </w:rPr>
        <w:t>三、评价结论</w:t>
      </w:r>
    </w:p>
    <w:p>
      <w:pPr>
        <w:spacing w:line="580" w:lineRule="exact"/>
        <w:ind w:firstLine="560" w:firstLineChars="200"/>
        <w:rPr>
          <w:rFonts w:hint="eastAsia" w:ascii="Times New Roman" w:hAnsi="Times New Roman" w:eastAsia="方正仿宋简体" w:cs="Times New Roman"/>
          <w:kern w:val="2"/>
          <w:sz w:val="28"/>
          <w:szCs w:val="28"/>
          <w:lang w:val="en-US" w:eastAsia="zh-CN" w:bidi="ar-SA"/>
        </w:rPr>
      </w:pPr>
      <w:r>
        <w:rPr>
          <w:rFonts w:hint="eastAsia" w:eastAsia="方正仿宋简体"/>
          <w:sz w:val="28"/>
          <w:szCs w:val="28"/>
          <w:lang w:val="en-US" w:eastAsia="zh-CN"/>
        </w:rPr>
        <w:t>严格按照投入、过程、产出、效果等指标评分，自评等级为良。</w:t>
      </w:r>
    </w:p>
    <w:p>
      <w:pPr>
        <w:spacing w:line="580" w:lineRule="exact"/>
        <w:ind w:firstLine="640" w:firstLineChars="200"/>
        <w:rPr>
          <w:rFonts w:eastAsia="方正黑体简体"/>
          <w:sz w:val="32"/>
          <w:szCs w:val="32"/>
        </w:rPr>
      </w:pPr>
      <w:r>
        <w:rPr>
          <w:rFonts w:hint="eastAsia" w:eastAsia="方正黑体简体"/>
          <w:sz w:val="32"/>
          <w:szCs w:val="32"/>
        </w:rPr>
        <w:t>四、绩效分析</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Times New Roman" w:hAnsi="Times New Roman" w:eastAsia="方正仿宋简体" w:cs="Times New Roman"/>
          <w:kern w:val="2"/>
          <w:sz w:val="28"/>
          <w:szCs w:val="28"/>
          <w:lang w:val="en-US" w:eastAsia="zh-CN" w:bidi="ar-SA"/>
        </w:rPr>
      </w:pPr>
      <w:r>
        <w:rPr>
          <w:rFonts w:hint="eastAsia" w:eastAsia="方正仿宋简体" w:cs="Times New Roman"/>
          <w:kern w:val="2"/>
          <w:sz w:val="28"/>
          <w:szCs w:val="28"/>
          <w:lang w:val="en-US" w:eastAsia="zh-CN" w:bidi="ar-SA"/>
        </w:rPr>
        <w:t>1、</w:t>
      </w:r>
      <w:r>
        <w:rPr>
          <w:rFonts w:hint="eastAsia" w:ascii="Times New Roman" w:hAnsi="Times New Roman" w:eastAsia="方正仿宋简体" w:cs="Times New Roman"/>
          <w:kern w:val="2"/>
          <w:sz w:val="28"/>
          <w:szCs w:val="28"/>
          <w:lang w:val="en-US" w:eastAsia="zh-CN" w:bidi="ar-SA"/>
        </w:rPr>
        <w:t>项目资金到位情况分析</w:t>
      </w:r>
      <w:r>
        <w:rPr>
          <w:rFonts w:hint="eastAsia" w:eastAsia="方正仿宋简体" w:cs="Times New Roman"/>
          <w:kern w:val="2"/>
          <w:sz w:val="28"/>
          <w:szCs w:val="28"/>
          <w:lang w:val="en-US" w:eastAsia="zh-CN" w:bidi="ar-SA"/>
        </w:rPr>
        <w:t>。2022年下达双龙村公益性基础设施建设所需资金10万元，资金</w:t>
      </w:r>
      <w:r>
        <w:rPr>
          <w:rFonts w:hint="eastAsia" w:ascii="Times New Roman" w:hAnsi="Times New Roman" w:eastAsia="方正仿宋简体" w:cs="Times New Roman"/>
          <w:kern w:val="2"/>
          <w:sz w:val="28"/>
          <w:szCs w:val="28"/>
          <w:lang w:val="en-US" w:eastAsia="zh-CN" w:bidi="ar-SA"/>
        </w:rPr>
        <w:t>到位率</w:t>
      </w:r>
      <w:r>
        <w:rPr>
          <w:rFonts w:hint="eastAsia" w:eastAsia="方正仿宋简体" w:cs="Times New Roman"/>
          <w:kern w:val="2"/>
          <w:sz w:val="28"/>
          <w:szCs w:val="28"/>
          <w:lang w:val="en-US" w:eastAsia="zh-CN" w:bidi="ar-SA"/>
        </w:rPr>
        <w:t>100</w:t>
      </w:r>
      <w:r>
        <w:rPr>
          <w:rFonts w:hint="eastAsia" w:ascii="Times New Roman" w:hAnsi="Times New Roman" w:eastAsia="方正仿宋简体" w:cs="Times New Roman"/>
          <w:kern w:val="2"/>
          <w:sz w:val="28"/>
          <w:szCs w:val="28"/>
          <w:lang w:val="en-US" w:eastAsia="zh-CN" w:bidi="ar-SA"/>
        </w:rPr>
        <w:t>%。2、项目资金执行情况分析</w:t>
      </w:r>
      <w:r>
        <w:rPr>
          <w:rFonts w:hint="eastAsia" w:eastAsia="方正仿宋简体" w:cs="Times New Roman"/>
          <w:kern w:val="2"/>
          <w:sz w:val="28"/>
          <w:szCs w:val="28"/>
          <w:lang w:val="en-US" w:eastAsia="zh-CN" w:bidi="ar-SA"/>
        </w:rPr>
        <w:t>，</w:t>
      </w:r>
      <w:r>
        <w:rPr>
          <w:rFonts w:hint="eastAsia" w:ascii="Times New Roman" w:hAnsi="Times New Roman" w:eastAsia="方正仿宋简体" w:cs="Times New Roman"/>
          <w:kern w:val="2"/>
          <w:sz w:val="28"/>
          <w:szCs w:val="28"/>
          <w:lang w:val="en-US" w:eastAsia="zh-CN" w:bidi="ar-SA"/>
        </w:rPr>
        <w:t>项目资金按要求</w:t>
      </w:r>
      <w:r>
        <w:rPr>
          <w:rFonts w:hint="eastAsia" w:eastAsia="方正仿宋简体" w:cs="Times New Roman"/>
          <w:kern w:val="2"/>
          <w:sz w:val="28"/>
          <w:szCs w:val="28"/>
          <w:lang w:val="en-US" w:eastAsia="zh-CN" w:bidi="ar-SA"/>
        </w:rPr>
        <w:t>用于双龙村公益性基础设施建设工作</w:t>
      </w:r>
      <w:r>
        <w:rPr>
          <w:rFonts w:hint="eastAsia" w:ascii="Times New Roman" w:hAnsi="Times New Roman" w:eastAsia="方正仿宋简体" w:cs="Times New Roman"/>
          <w:kern w:val="2"/>
          <w:sz w:val="28"/>
          <w:szCs w:val="28"/>
          <w:lang w:val="en-US" w:eastAsia="zh-CN" w:bidi="ar-SA"/>
        </w:rPr>
        <w:t>，资金执行率为100%；3、项目资金管理情况分析</w:t>
      </w:r>
      <w:r>
        <w:rPr>
          <w:rFonts w:hint="eastAsia" w:eastAsia="方正仿宋简体" w:cs="Times New Roman"/>
          <w:kern w:val="2"/>
          <w:sz w:val="28"/>
          <w:szCs w:val="28"/>
          <w:lang w:val="en-US" w:eastAsia="zh-CN" w:bidi="ar-SA"/>
        </w:rPr>
        <w:t>。</w:t>
      </w:r>
      <w:r>
        <w:rPr>
          <w:rFonts w:hint="eastAsia" w:ascii="Times New Roman" w:hAnsi="Times New Roman" w:eastAsia="方正仿宋简体" w:cs="Times New Roman"/>
          <w:kern w:val="2"/>
          <w:sz w:val="28"/>
          <w:szCs w:val="28"/>
          <w:lang w:val="en-US" w:eastAsia="zh-CN" w:bidi="ar-SA"/>
        </w:rPr>
        <w:t>项目资金无挪用、截留情况。统一使用管理，规范了资金来源、支出范围、使用管理、监督管理，</w:t>
      </w:r>
      <w:r>
        <w:rPr>
          <w:rFonts w:hint="eastAsia" w:eastAsia="方正仿宋简体" w:cs="Times New Roman"/>
          <w:kern w:val="2"/>
          <w:sz w:val="28"/>
          <w:szCs w:val="28"/>
          <w:lang w:val="en-US" w:eastAsia="zh-CN" w:bidi="ar-SA"/>
        </w:rPr>
        <w:t>目前项目施工完成，达到了预期效果</w:t>
      </w:r>
      <w:r>
        <w:rPr>
          <w:rFonts w:hint="eastAsia" w:ascii="Times New Roman" w:hAnsi="Times New Roman" w:eastAsia="方正仿宋简体" w:cs="Times New Roman"/>
          <w:kern w:val="2"/>
          <w:sz w:val="28"/>
          <w:szCs w:val="28"/>
          <w:lang w:val="en-US" w:eastAsia="zh-CN" w:bidi="ar-SA"/>
        </w:rPr>
        <w:t>。</w:t>
      </w:r>
    </w:p>
    <w:p>
      <w:pPr>
        <w:spacing w:line="580" w:lineRule="exact"/>
        <w:ind w:firstLine="640" w:firstLineChars="200"/>
        <w:rPr>
          <w:rFonts w:eastAsia="方正黑体简体"/>
          <w:sz w:val="32"/>
          <w:szCs w:val="32"/>
        </w:rPr>
      </w:pPr>
      <w:r>
        <w:rPr>
          <w:rFonts w:hint="eastAsia" w:eastAsia="方正黑体简体"/>
          <w:sz w:val="32"/>
          <w:szCs w:val="32"/>
        </w:rPr>
        <w:t>五、主要经验及做法、存在的问题和建议</w:t>
      </w:r>
    </w:p>
    <w:p>
      <w:pPr>
        <w:spacing w:line="580" w:lineRule="exact"/>
        <w:ind w:firstLine="560" w:firstLineChars="200"/>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完善对补助建设项目形成资产的管护。建立健全各项运行</w:t>
      </w:r>
      <w:r>
        <w:rPr>
          <w:rFonts w:hint="eastAsia" w:eastAsia="方正仿宋简体" w:cs="Times New Roman"/>
          <w:kern w:val="2"/>
          <w:sz w:val="28"/>
          <w:szCs w:val="28"/>
          <w:lang w:val="en-US" w:eastAsia="zh-CN" w:bidi="ar-SA"/>
        </w:rPr>
        <w:t>管护</w:t>
      </w:r>
      <w:r>
        <w:rPr>
          <w:rFonts w:hint="eastAsia" w:ascii="Times New Roman" w:hAnsi="Times New Roman" w:eastAsia="方正仿宋简体" w:cs="Times New Roman"/>
          <w:kern w:val="2"/>
          <w:sz w:val="28"/>
          <w:szCs w:val="28"/>
          <w:lang w:val="en-US" w:eastAsia="zh-CN" w:bidi="ar-SA"/>
        </w:rPr>
        <w:t>制度，制定管护措施、落实管护责任，保证项目正常运转，发挥长期效益。</w:t>
      </w:r>
    </w:p>
    <w:p>
      <w:pPr>
        <w:spacing w:line="580" w:lineRule="exact"/>
        <w:ind w:firstLine="560" w:firstLineChars="200"/>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附件：1.202</w:t>
      </w:r>
      <w:r>
        <w:rPr>
          <w:rFonts w:hint="eastAsia" w:eastAsia="方正仿宋简体" w:cs="Times New Roman"/>
          <w:kern w:val="2"/>
          <w:sz w:val="28"/>
          <w:szCs w:val="28"/>
          <w:lang w:val="en-US" w:eastAsia="zh-CN" w:bidi="ar-SA"/>
        </w:rPr>
        <w:t>2</w:t>
      </w:r>
      <w:r>
        <w:rPr>
          <w:rFonts w:hint="eastAsia" w:ascii="Times New Roman" w:hAnsi="Times New Roman" w:eastAsia="方正仿宋简体" w:cs="Times New Roman"/>
          <w:kern w:val="2"/>
          <w:sz w:val="28"/>
          <w:szCs w:val="28"/>
          <w:lang w:val="en-US" w:eastAsia="zh-CN" w:bidi="ar-SA"/>
        </w:rPr>
        <w:t>年度乐至县项目支出绩效自评计分表</w:t>
      </w:r>
    </w:p>
    <w:p>
      <w:pPr>
        <w:spacing w:line="580" w:lineRule="exact"/>
        <w:ind w:firstLine="1400" w:firstLineChars="500"/>
        <w:rPr>
          <w:rFonts w:ascii="宋体" w:hAnsi="宋体" w:eastAsia="方正小标宋简体"/>
          <w:bCs/>
          <w:kern w:val="0"/>
          <w:sz w:val="40"/>
          <w:szCs w:val="40"/>
        </w:rPr>
        <w:sectPr>
          <w:pgSz w:w="11907" w:h="16840"/>
          <w:pgMar w:top="2098" w:right="1474" w:bottom="1928" w:left="1588" w:header="851" w:footer="992" w:gutter="0"/>
          <w:cols w:space="425" w:num="1"/>
          <w:docGrid w:type="lines" w:linePitch="312" w:charSpace="0"/>
        </w:sectPr>
      </w:pPr>
      <w:r>
        <w:rPr>
          <w:rFonts w:hint="eastAsia" w:ascii="Times New Roman" w:hAnsi="Times New Roman" w:eastAsia="方正仿宋简体" w:cs="Times New Roman"/>
          <w:kern w:val="2"/>
          <w:sz w:val="28"/>
          <w:szCs w:val="28"/>
          <w:lang w:val="en-US" w:eastAsia="zh-CN" w:bidi="ar-SA"/>
        </w:rPr>
        <w:t>2.202</w:t>
      </w:r>
      <w:r>
        <w:rPr>
          <w:rFonts w:hint="eastAsia" w:eastAsia="方正仿宋简体" w:cs="Times New Roman"/>
          <w:kern w:val="2"/>
          <w:sz w:val="28"/>
          <w:szCs w:val="28"/>
          <w:lang w:val="en-US" w:eastAsia="zh-CN" w:bidi="ar-SA"/>
        </w:rPr>
        <w:t>2</w:t>
      </w:r>
      <w:r>
        <w:rPr>
          <w:rFonts w:hint="eastAsia" w:ascii="Times New Roman" w:hAnsi="Times New Roman" w:eastAsia="方正仿宋简体" w:cs="Times New Roman"/>
          <w:kern w:val="2"/>
          <w:sz w:val="28"/>
          <w:szCs w:val="28"/>
          <w:lang w:val="en-US" w:eastAsia="zh-CN" w:bidi="ar-SA"/>
        </w:rPr>
        <w:t>年度乐至县项目支出绩效目标完成情况表</w:t>
      </w:r>
    </w:p>
    <w:p>
      <w:pPr>
        <w:spacing w:line="620" w:lineRule="exact"/>
        <w:jc w:val="left"/>
        <w:rPr>
          <w:rFonts w:eastAsia="方正黑体简体"/>
          <w:bCs/>
          <w:kern w:val="0"/>
          <w:sz w:val="32"/>
          <w:szCs w:val="32"/>
        </w:rPr>
      </w:pPr>
      <w:r>
        <w:rPr>
          <w:rFonts w:hint="eastAsia" w:eastAsia="方正黑体简体"/>
          <w:bCs/>
          <w:kern w:val="0"/>
          <w:sz w:val="32"/>
          <w:szCs w:val="32"/>
        </w:rPr>
        <w:t>附件</w:t>
      </w:r>
      <w:r>
        <w:rPr>
          <w:rFonts w:eastAsia="方正黑体简体"/>
          <w:bCs/>
          <w:kern w:val="0"/>
          <w:sz w:val="32"/>
          <w:szCs w:val="32"/>
        </w:rPr>
        <w:t>1</w:t>
      </w:r>
    </w:p>
    <w:p>
      <w:pPr>
        <w:spacing w:line="620" w:lineRule="exact"/>
        <w:jc w:val="center"/>
        <w:rPr>
          <w:rFonts w:eastAsia="方正小标宋简体"/>
          <w:bCs/>
          <w:kern w:val="0"/>
          <w:sz w:val="44"/>
          <w:szCs w:val="44"/>
        </w:rPr>
      </w:pPr>
      <w:r>
        <w:rPr>
          <w:rFonts w:hint="eastAsia" w:eastAsia="方正小标宋简体"/>
          <w:bCs/>
          <w:kern w:val="0"/>
          <w:sz w:val="44"/>
          <w:szCs w:val="44"/>
          <w:lang w:val="en-US" w:eastAsia="zh-CN"/>
        </w:rPr>
        <w:t>2022</w:t>
      </w:r>
      <w:r>
        <w:rPr>
          <w:rFonts w:hint="eastAsia" w:eastAsia="方正小标宋简体"/>
          <w:bCs/>
          <w:kern w:val="0"/>
          <w:sz w:val="44"/>
          <w:szCs w:val="44"/>
        </w:rPr>
        <w:t>年度乐至县项目支出绩效自评计分表</w:t>
      </w:r>
    </w:p>
    <w:p>
      <w:pPr>
        <w:spacing w:line="620" w:lineRule="exact"/>
        <w:jc w:val="center"/>
        <w:rPr>
          <w:rFonts w:eastAsia="方正楷体简体"/>
          <w:b/>
          <w:bCs/>
          <w:kern w:val="0"/>
          <w:sz w:val="32"/>
          <w:szCs w:val="32"/>
        </w:rPr>
      </w:pPr>
      <w:r>
        <w:rPr>
          <w:rFonts w:hint="eastAsia" w:eastAsia="方正楷体简体"/>
          <w:b/>
          <w:bCs/>
          <w:kern w:val="0"/>
          <w:sz w:val="32"/>
          <w:szCs w:val="32"/>
        </w:rPr>
        <w:t>（</w:t>
      </w:r>
      <w:r>
        <w:rPr>
          <w:rFonts w:hint="eastAsia" w:eastAsia="方正楷体简体"/>
          <w:b/>
          <w:sz w:val="32"/>
          <w:szCs w:val="32"/>
          <w:lang w:eastAsia="zh-CN"/>
        </w:rPr>
        <w:t>双龙村公益性基础设施建设所需资金</w:t>
      </w:r>
      <w:r>
        <w:rPr>
          <w:rFonts w:hint="eastAsia" w:eastAsia="方正楷体简体"/>
          <w:b/>
          <w:bCs/>
          <w:kern w:val="0"/>
          <w:sz w:val="32"/>
          <w:szCs w:val="32"/>
        </w:rPr>
        <w:t>）</w:t>
      </w:r>
    </w:p>
    <w:p>
      <w:pPr>
        <w:spacing w:line="620" w:lineRule="exact"/>
        <w:rPr>
          <w:rFonts w:hint="eastAsia" w:eastAsia="宋体"/>
          <w:sz w:val="24"/>
          <w:lang w:val="en-US" w:eastAsia="zh-CN"/>
        </w:rPr>
      </w:pPr>
      <w:r>
        <w:rPr>
          <w:rFonts w:hint="eastAsia"/>
          <w:bCs/>
          <w:kern w:val="0"/>
          <w:sz w:val="24"/>
        </w:rPr>
        <w:t>预算单位名称：</w:t>
      </w:r>
      <w:r>
        <w:rPr>
          <w:rFonts w:hint="eastAsia"/>
          <w:bCs/>
          <w:kern w:val="0"/>
          <w:sz w:val="24"/>
          <w:lang w:val="en-US" w:eastAsia="zh-CN"/>
        </w:rPr>
        <w:t>乐至县劳动镇人民政府</w:t>
      </w:r>
      <w:r>
        <w:rPr>
          <w:bCs/>
          <w:kern w:val="0"/>
          <w:sz w:val="24"/>
        </w:rPr>
        <w:t xml:space="preserve">  </w:t>
      </w:r>
      <w:r>
        <w:rPr>
          <w:rFonts w:hint="eastAsia"/>
          <w:bCs/>
          <w:kern w:val="0"/>
          <w:sz w:val="24"/>
        </w:rPr>
        <w:t>预算单位编码：</w:t>
      </w:r>
      <w:r>
        <w:rPr>
          <w:rFonts w:hint="eastAsia"/>
          <w:bCs/>
          <w:kern w:val="0"/>
          <w:sz w:val="24"/>
          <w:lang w:val="en-US" w:eastAsia="zh-CN"/>
        </w:rPr>
        <w:t>317001</w:t>
      </w:r>
      <w:r>
        <w:rPr>
          <w:bCs/>
          <w:kern w:val="0"/>
          <w:sz w:val="24"/>
        </w:rPr>
        <w:t xml:space="preserve">   </w:t>
      </w:r>
      <w:r>
        <w:rPr>
          <w:rFonts w:hint="eastAsia"/>
          <w:bCs/>
          <w:kern w:val="0"/>
          <w:sz w:val="24"/>
        </w:rPr>
        <w:t>自评等级：</w:t>
      </w:r>
      <w:r>
        <w:rPr>
          <w:rFonts w:hint="eastAsia"/>
          <w:bCs/>
          <w:kern w:val="0"/>
          <w:sz w:val="24"/>
          <w:lang w:val="en-US" w:eastAsia="zh-CN"/>
        </w:rPr>
        <w:t>优</w:t>
      </w:r>
    </w:p>
    <w:tbl>
      <w:tblPr>
        <w:tblStyle w:val="19"/>
        <w:tblW w:w="51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714"/>
        <w:gridCol w:w="702"/>
        <w:gridCol w:w="851"/>
        <w:gridCol w:w="1700"/>
        <w:gridCol w:w="3539"/>
        <w:gridCol w:w="707"/>
        <w:gridCol w:w="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9" w:hRule="atLeast"/>
          <w:tblHeader/>
          <w:jc w:val="center"/>
        </w:trPr>
        <w:tc>
          <w:tcPr>
            <w:tcW w:w="392"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一级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385"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二级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467"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三级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933"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指标解释</w:t>
            </w:r>
          </w:p>
        </w:tc>
        <w:tc>
          <w:tcPr>
            <w:tcW w:w="1942"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指标说明（评价计分标准）</w:t>
            </w:r>
          </w:p>
        </w:tc>
        <w:tc>
          <w:tcPr>
            <w:tcW w:w="388"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自评</w:t>
            </w:r>
          </w:p>
          <w:p>
            <w:pPr>
              <w:widowControl/>
              <w:spacing w:line="240" w:lineRule="exact"/>
              <w:jc w:val="center"/>
              <w:rPr>
                <w:rFonts w:eastAsia="方正黑体简体"/>
                <w:bCs/>
                <w:kern w:val="0"/>
                <w:szCs w:val="21"/>
              </w:rPr>
            </w:pPr>
            <w:r>
              <w:rPr>
                <w:rFonts w:hint="eastAsia" w:eastAsia="方正黑体简体"/>
                <w:bCs/>
                <w:kern w:val="0"/>
                <w:szCs w:val="21"/>
              </w:rPr>
              <w:t>分数</w:t>
            </w:r>
          </w:p>
        </w:tc>
        <w:tc>
          <w:tcPr>
            <w:tcW w:w="493"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自评依据及说明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392"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投</w:t>
            </w:r>
            <w:r>
              <w:rPr>
                <w:kern w:val="0"/>
                <w:szCs w:val="21"/>
              </w:rPr>
              <w:t xml:space="preserve">   </w:t>
            </w:r>
            <w:r>
              <w:rPr>
                <w:rFonts w:hint="eastAsia"/>
                <w:kern w:val="0"/>
                <w:szCs w:val="21"/>
              </w:rPr>
              <w:t>入（</w:t>
            </w:r>
            <w:r>
              <w:rPr>
                <w:kern w:val="0"/>
                <w:szCs w:val="21"/>
              </w:rPr>
              <w:t>25</w:t>
            </w:r>
            <w:r>
              <w:rPr>
                <w:rFonts w:hint="eastAsia"/>
                <w:kern w:val="0"/>
                <w:szCs w:val="21"/>
              </w:rPr>
              <w:t>分）</w:t>
            </w:r>
          </w:p>
        </w:tc>
        <w:tc>
          <w:tcPr>
            <w:tcW w:w="385"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立项（</w:t>
            </w:r>
            <w:r>
              <w:rPr>
                <w:kern w:val="0"/>
                <w:szCs w:val="21"/>
              </w:rPr>
              <w:t>15</w:t>
            </w:r>
            <w:r>
              <w:rPr>
                <w:rFonts w:hint="eastAsia"/>
                <w:kern w:val="0"/>
                <w:szCs w:val="21"/>
              </w:rPr>
              <w:t>分）</w:t>
            </w: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项目立项规范性（</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项目的申请、设立过程是否符合相关要求，用以反映和考核项目立项的规范情况。</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①项目是否按照规定的程序申请设立；（</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②所提交的文件、材料是否符合相关要求；（</w:t>
            </w:r>
            <w:r>
              <w:rPr>
                <w:kern w:val="0"/>
                <w:szCs w:val="21"/>
              </w:rPr>
              <w:t>2</w:t>
            </w:r>
            <w:r>
              <w:rPr>
                <w:rFonts w:hint="eastAsia"/>
                <w:kern w:val="0"/>
                <w:szCs w:val="21"/>
              </w:rPr>
              <w:t>分）</w:t>
            </w:r>
          </w:p>
          <w:p>
            <w:pPr>
              <w:widowControl/>
              <w:spacing w:line="240" w:lineRule="exact"/>
              <w:jc w:val="left"/>
              <w:rPr>
                <w:kern w:val="0"/>
                <w:szCs w:val="21"/>
              </w:rPr>
            </w:pPr>
            <w:r>
              <w:rPr>
                <w:rFonts w:hint="eastAsia"/>
                <w:kern w:val="0"/>
                <w:szCs w:val="21"/>
              </w:rPr>
              <w:t>③事前是否已经过必要的可行性研究、专家论证、风险评估、集体决策等。（</w:t>
            </w:r>
            <w:r>
              <w:rPr>
                <w:kern w:val="0"/>
                <w:szCs w:val="21"/>
              </w:rPr>
              <w:t>2</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3</w:t>
            </w:r>
          </w:p>
        </w:tc>
        <w:tc>
          <w:tcPr>
            <w:tcW w:w="493" w:type="pct"/>
            <w:noWrap/>
            <w:vAlign w:val="center"/>
          </w:tcPr>
          <w:p>
            <w:pPr>
              <w:widowControl/>
              <w:spacing w:line="240" w:lineRule="exact"/>
              <w:jc w:val="left"/>
              <w:rPr>
                <w:rFonts w:hint="default" w:eastAsia="宋体"/>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8"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绩效目标合理性（</w:t>
            </w:r>
            <w:r>
              <w:rPr>
                <w:kern w:val="0"/>
                <w:szCs w:val="21"/>
              </w:rPr>
              <w:t>4</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项目所设定的绩效目标是否依据充分，是否符合客观实际，用以反映和考核项目绩效目标与项目实施的相符情况。</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①是否符合国家相关法律法规、国民经济发展规划和党委政府决策；（</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②是否与项目实施单位或委托单位职责密切相关；（</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③项目是否为促进事业发展所必需；（</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④项目预期产出效益和效果是否符合正常的业绩水平。（</w:t>
            </w:r>
            <w:r>
              <w:rPr>
                <w:kern w:val="0"/>
                <w:szCs w:val="21"/>
              </w:rPr>
              <w:t>1</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3</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绩效指标明确性（</w:t>
            </w:r>
            <w:r>
              <w:rPr>
                <w:kern w:val="0"/>
                <w:szCs w:val="21"/>
              </w:rPr>
              <w:t>6</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依据绩效目标设定的绩效指标是否清晰、细化、可衡量等，用以反映和考核项目绩效目标的明细化情况。</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①是否将项目绩效目标细化分解为具体的绩效指标；（</w:t>
            </w:r>
            <w:r>
              <w:rPr>
                <w:kern w:val="0"/>
                <w:szCs w:val="21"/>
              </w:rPr>
              <w:t>2</w:t>
            </w:r>
            <w:r>
              <w:rPr>
                <w:rFonts w:hint="eastAsia"/>
                <w:kern w:val="0"/>
                <w:szCs w:val="21"/>
              </w:rPr>
              <w:t>分）</w:t>
            </w:r>
          </w:p>
          <w:p>
            <w:pPr>
              <w:widowControl/>
              <w:spacing w:line="240" w:lineRule="exact"/>
              <w:jc w:val="left"/>
              <w:rPr>
                <w:kern w:val="0"/>
                <w:szCs w:val="21"/>
              </w:rPr>
            </w:pPr>
            <w:r>
              <w:rPr>
                <w:rFonts w:hint="eastAsia"/>
                <w:kern w:val="0"/>
                <w:szCs w:val="21"/>
              </w:rPr>
              <w:t>②是否通过清晰、可衡量的指标值予以体现；（</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③是否与项目年度任务数或计划数相对应；（</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④是否与预算确定的项目投资额或资金量相匹配。（</w:t>
            </w:r>
            <w:r>
              <w:rPr>
                <w:kern w:val="0"/>
                <w:szCs w:val="21"/>
              </w:rPr>
              <w:t>2</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4</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restart"/>
            <w:shd w:val="clear" w:color="auto" w:fill="FFFFFF"/>
            <w:noWrap w:val="0"/>
            <w:vAlign w:val="center"/>
          </w:tcPr>
          <w:p>
            <w:pPr>
              <w:widowControl/>
              <w:spacing w:line="240" w:lineRule="exact"/>
              <w:jc w:val="center"/>
              <w:rPr>
                <w:kern w:val="0"/>
                <w:szCs w:val="21"/>
              </w:rPr>
            </w:pPr>
            <w:r>
              <w:rPr>
                <w:rFonts w:hint="eastAsia"/>
                <w:kern w:val="0"/>
                <w:szCs w:val="21"/>
              </w:rPr>
              <w:t>资金</w:t>
            </w:r>
          </w:p>
          <w:p>
            <w:pPr>
              <w:widowControl/>
              <w:spacing w:line="240" w:lineRule="exact"/>
              <w:jc w:val="center"/>
              <w:rPr>
                <w:kern w:val="0"/>
                <w:szCs w:val="21"/>
              </w:rPr>
            </w:pPr>
            <w:r>
              <w:rPr>
                <w:rFonts w:hint="eastAsia"/>
                <w:kern w:val="0"/>
                <w:szCs w:val="21"/>
              </w:rPr>
              <w:t>落实（</w:t>
            </w:r>
            <w:r>
              <w:rPr>
                <w:kern w:val="0"/>
                <w:szCs w:val="21"/>
              </w:rPr>
              <w:t>10</w:t>
            </w:r>
            <w:r>
              <w:rPr>
                <w:rFonts w:hint="eastAsia"/>
                <w:kern w:val="0"/>
                <w:szCs w:val="21"/>
              </w:rPr>
              <w:t>分）</w:t>
            </w: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资金到位率（</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实际到位资金与计划投入资金的比率，用以反映和考核资金落实情况对项目实施的总体保障程度。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资金到位率</w:t>
            </w:r>
            <w:r>
              <w:rPr>
                <w:kern w:val="0"/>
                <w:szCs w:val="21"/>
              </w:rPr>
              <w:t>=</w:t>
            </w:r>
            <w:r>
              <w:rPr>
                <w:rFonts w:hint="eastAsia"/>
                <w:kern w:val="0"/>
                <w:szCs w:val="21"/>
              </w:rPr>
              <w:t>（实际到位资金</w:t>
            </w:r>
            <w:r>
              <w:rPr>
                <w:kern w:val="0"/>
                <w:szCs w:val="21"/>
              </w:rPr>
              <w:t>/</w:t>
            </w:r>
            <w:r>
              <w:rPr>
                <w:rFonts w:hint="eastAsia"/>
                <w:kern w:val="0"/>
                <w:szCs w:val="21"/>
              </w:rPr>
              <w:t>计划投入资金）×</w:t>
            </w:r>
            <w:r>
              <w:rPr>
                <w:kern w:val="0"/>
                <w:szCs w:val="21"/>
              </w:rPr>
              <w:t>100%</w:t>
            </w:r>
            <w:r>
              <w:rPr>
                <w:rFonts w:hint="eastAsia"/>
                <w:kern w:val="0"/>
                <w:szCs w:val="21"/>
              </w:rPr>
              <w:t>。（达到目标值得</w:t>
            </w:r>
            <w:r>
              <w:rPr>
                <w:kern w:val="0"/>
                <w:szCs w:val="21"/>
              </w:rPr>
              <w:t>5</w:t>
            </w:r>
            <w:r>
              <w:rPr>
                <w:rFonts w:hint="eastAsia"/>
                <w:kern w:val="0"/>
                <w:szCs w:val="21"/>
              </w:rPr>
              <w:t>分，每少一个百分点扣</w:t>
            </w:r>
            <w:r>
              <w:rPr>
                <w:kern w:val="0"/>
                <w:szCs w:val="21"/>
              </w:rPr>
              <w:t>1</w:t>
            </w:r>
            <w:r>
              <w:rPr>
                <w:rFonts w:hint="eastAsia"/>
                <w:kern w:val="0"/>
                <w:szCs w:val="21"/>
              </w:rPr>
              <w:t>分，扣完为止）</w:t>
            </w:r>
          </w:p>
          <w:p>
            <w:pPr>
              <w:widowControl/>
              <w:spacing w:line="240" w:lineRule="exact"/>
              <w:jc w:val="left"/>
              <w:rPr>
                <w:kern w:val="0"/>
                <w:szCs w:val="21"/>
              </w:rPr>
            </w:pPr>
            <w:r>
              <w:rPr>
                <w:rFonts w:hint="eastAsia"/>
                <w:kern w:val="0"/>
                <w:szCs w:val="21"/>
              </w:rPr>
              <w:t>实际到位资金：一定时期（本年度或项目期）内实际落实到具体项目的资金。</w:t>
            </w:r>
          </w:p>
          <w:p>
            <w:pPr>
              <w:widowControl/>
              <w:spacing w:line="240" w:lineRule="exact"/>
              <w:jc w:val="left"/>
              <w:rPr>
                <w:kern w:val="0"/>
                <w:szCs w:val="21"/>
              </w:rPr>
            </w:pPr>
            <w:r>
              <w:rPr>
                <w:rFonts w:hint="eastAsia"/>
                <w:kern w:val="0"/>
                <w:szCs w:val="21"/>
              </w:rPr>
              <w:t>计划投入资金：一定时期（本年度或项目期）内计划投入到具体项目的资金。</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0"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到位及时率（</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及时到位资金与应到位资金的比率，用以反映和考核项目资金落实的及时性程度。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到位及时率</w:t>
            </w:r>
            <w:r>
              <w:rPr>
                <w:kern w:val="0"/>
                <w:szCs w:val="21"/>
              </w:rPr>
              <w:t>=</w:t>
            </w:r>
            <w:r>
              <w:rPr>
                <w:rFonts w:hint="eastAsia"/>
                <w:kern w:val="0"/>
                <w:szCs w:val="21"/>
              </w:rPr>
              <w:t>（及时到位资金</w:t>
            </w:r>
            <w:r>
              <w:rPr>
                <w:kern w:val="0"/>
                <w:szCs w:val="21"/>
              </w:rPr>
              <w:t>/</w:t>
            </w:r>
            <w:r>
              <w:rPr>
                <w:rFonts w:hint="eastAsia"/>
                <w:kern w:val="0"/>
                <w:szCs w:val="21"/>
              </w:rPr>
              <w:t>应到位资金）×</w:t>
            </w:r>
            <w:r>
              <w:rPr>
                <w:kern w:val="0"/>
                <w:szCs w:val="21"/>
              </w:rPr>
              <w:t>100%</w:t>
            </w:r>
            <w:r>
              <w:rPr>
                <w:rFonts w:hint="eastAsia"/>
                <w:kern w:val="0"/>
                <w:szCs w:val="21"/>
              </w:rPr>
              <w:t>。（达到目标值得</w:t>
            </w:r>
            <w:r>
              <w:rPr>
                <w:kern w:val="0"/>
                <w:szCs w:val="21"/>
              </w:rPr>
              <w:t>5</w:t>
            </w:r>
            <w:r>
              <w:rPr>
                <w:rFonts w:hint="eastAsia"/>
                <w:kern w:val="0"/>
                <w:szCs w:val="21"/>
              </w:rPr>
              <w:t>分，每少一个百分点扣</w:t>
            </w:r>
            <w:r>
              <w:rPr>
                <w:kern w:val="0"/>
                <w:szCs w:val="21"/>
              </w:rPr>
              <w:t>1</w:t>
            </w:r>
            <w:r>
              <w:rPr>
                <w:rFonts w:hint="eastAsia"/>
                <w:kern w:val="0"/>
                <w:szCs w:val="21"/>
              </w:rPr>
              <w:t>分，扣完为止）</w:t>
            </w:r>
          </w:p>
          <w:p>
            <w:pPr>
              <w:widowControl/>
              <w:spacing w:line="240" w:lineRule="exact"/>
              <w:jc w:val="left"/>
              <w:rPr>
                <w:kern w:val="0"/>
                <w:szCs w:val="21"/>
              </w:rPr>
            </w:pPr>
            <w:r>
              <w:rPr>
                <w:rFonts w:hint="eastAsia"/>
                <w:kern w:val="0"/>
                <w:szCs w:val="21"/>
              </w:rPr>
              <w:t>及时到位资金：截至规定时点实际落实到具体项目的资金。</w:t>
            </w:r>
          </w:p>
          <w:p>
            <w:pPr>
              <w:widowControl/>
              <w:spacing w:line="240" w:lineRule="exact"/>
              <w:jc w:val="left"/>
              <w:rPr>
                <w:kern w:val="0"/>
                <w:szCs w:val="21"/>
              </w:rPr>
            </w:pPr>
            <w:r>
              <w:rPr>
                <w:rFonts w:hint="eastAsia"/>
                <w:kern w:val="0"/>
                <w:szCs w:val="21"/>
              </w:rPr>
              <w:t>应到位资金：按照合同或项目进度要求截至规定时点应落实到具体项目的资金。</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73" w:hRule="atLeast"/>
          <w:jc w:val="center"/>
        </w:trPr>
        <w:tc>
          <w:tcPr>
            <w:tcW w:w="392" w:type="pct"/>
            <w:vMerge w:val="restart"/>
            <w:shd w:val="clear" w:color="auto" w:fill="FFFFFF"/>
            <w:noWrap/>
            <w:textDirection w:val="tbRlV"/>
            <w:vAlign w:val="center"/>
          </w:tcPr>
          <w:p>
            <w:pPr>
              <w:widowControl/>
              <w:spacing w:line="260" w:lineRule="exact"/>
              <w:jc w:val="center"/>
              <w:rPr>
                <w:kern w:val="0"/>
                <w:szCs w:val="21"/>
              </w:rPr>
            </w:pPr>
            <w:r>
              <w:rPr>
                <w:rFonts w:hint="eastAsia"/>
                <w:kern w:val="0"/>
                <w:szCs w:val="21"/>
              </w:rPr>
              <w:t>过</w:t>
            </w:r>
            <w:r>
              <w:rPr>
                <w:kern w:val="0"/>
                <w:szCs w:val="21"/>
              </w:rPr>
              <w:t xml:space="preserve">   </w:t>
            </w:r>
            <w:r>
              <w:rPr>
                <w:rFonts w:hint="eastAsia"/>
                <w:kern w:val="0"/>
                <w:szCs w:val="21"/>
              </w:rPr>
              <w:t>程（</w:t>
            </w:r>
            <w:r>
              <w:rPr>
                <w:kern w:val="0"/>
                <w:szCs w:val="21"/>
              </w:rPr>
              <w:t>25</w:t>
            </w:r>
            <w:r>
              <w:rPr>
                <w:rFonts w:hint="eastAsia"/>
                <w:kern w:val="0"/>
                <w:szCs w:val="21"/>
              </w:rPr>
              <w:t>分）</w:t>
            </w:r>
          </w:p>
        </w:tc>
        <w:tc>
          <w:tcPr>
            <w:tcW w:w="385" w:type="pct"/>
            <w:vMerge w:val="restart"/>
            <w:shd w:val="clear" w:color="auto" w:fill="FFFFFF"/>
            <w:noWrap w:val="0"/>
            <w:vAlign w:val="center"/>
          </w:tcPr>
          <w:p>
            <w:pPr>
              <w:widowControl/>
              <w:spacing w:line="260" w:lineRule="exact"/>
              <w:jc w:val="center"/>
              <w:rPr>
                <w:kern w:val="0"/>
                <w:szCs w:val="21"/>
              </w:rPr>
            </w:pPr>
            <w:r>
              <w:rPr>
                <w:rFonts w:hint="eastAsia"/>
                <w:kern w:val="0"/>
                <w:szCs w:val="21"/>
              </w:rPr>
              <w:t>业务</w:t>
            </w:r>
          </w:p>
          <w:p>
            <w:pPr>
              <w:widowControl/>
              <w:spacing w:line="260" w:lineRule="exact"/>
              <w:jc w:val="center"/>
              <w:rPr>
                <w:kern w:val="0"/>
                <w:szCs w:val="21"/>
              </w:rPr>
            </w:pPr>
            <w:r>
              <w:rPr>
                <w:rFonts w:hint="eastAsia"/>
                <w:kern w:val="0"/>
                <w:szCs w:val="21"/>
              </w:rPr>
              <w:t>管理（</w:t>
            </w:r>
            <w:r>
              <w:rPr>
                <w:kern w:val="0"/>
                <w:szCs w:val="21"/>
              </w:rPr>
              <w:t>13</w:t>
            </w:r>
            <w:r>
              <w:rPr>
                <w:rFonts w:hint="eastAsia"/>
                <w:kern w:val="0"/>
                <w:szCs w:val="21"/>
              </w:rPr>
              <w:t>分）</w:t>
            </w: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管理制度健全性（</w:t>
            </w:r>
            <w:r>
              <w:rPr>
                <w:kern w:val="0"/>
                <w:szCs w:val="21"/>
              </w:rPr>
              <w:t>4</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项目实施单位的业务管理制度是否健全，用以反映和考核业务管理制度对项目顺利实施的保障情况。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①是否已制定或具有相应的业务管理制度；（</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②业务管理制度是否合法、合规、完整。（</w:t>
            </w:r>
            <w:r>
              <w:rPr>
                <w:kern w:val="0"/>
                <w:szCs w:val="21"/>
              </w:rPr>
              <w:t>2</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60" w:lineRule="exact"/>
              <w:ind w:left="0" w:leftChars="0" w:right="0" w:rightChars="0"/>
              <w:jc w:val="left"/>
              <w:rPr>
                <w:kern w:val="0"/>
                <w:szCs w:val="21"/>
              </w:rPr>
            </w:pPr>
            <w:r>
              <w:rPr>
                <w:rFonts w:hint="eastAsia"/>
                <w:kern w:val="0"/>
                <w:szCs w:val="21"/>
              </w:rPr>
              <w:t>　</w:t>
            </w:r>
            <w:r>
              <w:rPr>
                <w:rFonts w:hint="eastAsia"/>
                <w:kern w:val="0"/>
                <w:szCs w:val="21"/>
                <w:lang w:val="en-US" w:eastAsia="zh-CN"/>
              </w:rPr>
              <w:t>4</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97"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continue"/>
            <w:shd w:val="clear" w:color="auto" w:fill="auto"/>
            <w:noWrap w:val="0"/>
            <w:vAlign w:val="center"/>
          </w:tcPr>
          <w:p>
            <w:pPr>
              <w:widowControl/>
              <w:spacing w:line="260" w:lineRule="exact"/>
              <w:jc w:val="left"/>
              <w:rPr>
                <w:kern w:val="0"/>
                <w:szCs w:val="21"/>
              </w:rPr>
            </w:pP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制度执行有效性（</w:t>
            </w:r>
            <w:r>
              <w:rPr>
                <w:kern w:val="0"/>
                <w:szCs w:val="21"/>
              </w:rPr>
              <w:t>6</w:t>
            </w:r>
            <w:r>
              <w:rPr>
                <w:rFonts w:hint="eastAsia"/>
                <w:kern w:val="0"/>
                <w:szCs w:val="21"/>
              </w:rPr>
              <w:t>分</w:t>
            </w:r>
            <w:r>
              <w:rPr>
                <w:kern w:val="0"/>
                <w:szCs w:val="21"/>
              </w:rPr>
              <w:t>)</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项目实施是否符合相关业务管理规定，用以反映和考核业务管理制度的有效执行情况。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①是否遵守相关法律法规和业务管理规定；</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②项目调整及支出调整手续是否完备；（</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③项目合同书、验收报告、技术鉴定等资料是否齐全并及时归档；（</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④项目实施的人员条件、场地设备、信息支撑等是否落实到位。（</w:t>
            </w:r>
            <w:r>
              <w:rPr>
                <w:kern w:val="0"/>
                <w:szCs w:val="21"/>
              </w:rPr>
              <w:t>2</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60" w:lineRule="exact"/>
              <w:ind w:left="0" w:leftChars="0" w:right="0" w:rightChars="0"/>
              <w:jc w:val="left"/>
              <w:rPr>
                <w:kern w:val="0"/>
                <w:szCs w:val="21"/>
              </w:rPr>
            </w:pPr>
            <w:r>
              <w:rPr>
                <w:rFonts w:hint="eastAsia"/>
                <w:kern w:val="0"/>
                <w:szCs w:val="21"/>
              </w:rPr>
              <w:t>　</w:t>
            </w:r>
            <w:r>
              <w:rPr>
                <w:rFonts w:hint="eastAsia"/>
                <w:kern w:val="0"/>
                <w:szCs w:val="21"/>
                <w:lang w:val="en-US" w:eastAsia="zh-CN"/>
              </w:rPr>
              <w:t>6</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6"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continue"/>
            <w:shd w:val="clear" w:color="auto" w:fill="auto"/>
            <w:noWrap w:val="0"/>
            <w:vAlign w:val="center"/>
          </w:tcPr>
          <w:p>
            <w:pPr>
              <w:widowControl/>
              <w:spacing w:line="260" w:lineRule="exact"/>
              <w:jc w:val="left"/>
              <w:rPr>
                <w:kern w:val="0"/>
                <w:szCs w:val="21"/>
              </w:rPr>
            </w:pP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项目质量可控性（</w:t>
            </w:r>
            <w:r>
              <w:rPr>
                <w:kern w:val="0"/>
                <w:szCs w:val="21"/>
              </w:rPr>
              <w:t>3</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项目实施单位是否为达到项目质量要求而采取了必需的措施</w:t>
            </w:r>
            <w:r>
              <w:rPr>
                <w:kern w:val="0"/>
                <w:szCs w:val="21"/>
              </w:rPr>
              <w:t>,</w:t>
            </w:r>
            <w:r>
              <w:rPr>
                <w:rFonts w:hint="eastAsia"/>
                <w:kern w:val="0"/>
                <w:szCs w:val="21"/>
              </w:rPr>
              <w:t>用以反映和考核项目实施单位对项目质量的控制情况。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①是否已制定或具有相应的项目质量要求或标准；（</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②是否采取了相应的项目质量检查、验收等必需的控制措施或手段。（</w:t>
            </w:r>
            <w:r>
              <w:rPr>
                <w:kern w:val="0"/>
                <w:szCs w:val="21"/>
              </w:rPr>
              <w:t>2</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60" w:lineRule="exact"/>
              <w:ind w:left="0" w:leftChars="0" w:right="0" w:rightChars="0"/>
              <w:jc w:val="left"/>
              <w:rPr>
                <w:kern w:val="0"/>
                <w:szCs w:val="21"/>
              </w:rPr>
            </w:pPr>
            <w:r>
              <w:rPr>
                <w:rFonts w:hint="eastAsia"/>
                <w:kern w:val="0"/>
                <w:szCs w:val="21"/>
              </w:rPr>
              <w:t>　</w:t>
            </w:r>
            <w:r>
              <w:rPr>
                <w:rFonts w:hint="eastAsia"/>
                <w:kern w:val="0"/>
                <w:szCs w:val="21"/>
                <w:lang w:val="en-US" w:eastAsia="zh-CN"/>
              </w:rPr>
              <w:t>3</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6"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restart"/>
            <w:shd w:val="clear" w:color="auto" w:fill="FFFFFF"/>
            <w:noWrap w:val="0"/>
            <w:vAlign w:val="center"/>
          </w:tcPr>
          <w:p>
            <w:pPr>
              <w:widowControl/>
              <w:spacing w:line="260" w:lineRule="exact"/>
              <w:jc w:val="center"/>
              <w:rPr>
                <w:kern w:val="0"/>
                <w:szCs w:val="21"/>
              </w:rPr>
            </w:pPr>
            <w:r>
              <w:rPr>
                <w:rFonts w:hint="eastAsia"/>
                <w:kern w:val="0"/>
                <w:szCs w:val="21"/>
              </w:rPr>
              <w:t>财务</w:t>
            </w:r>
          </w:p>
          <w:p>
            <w:pPr>
              <w:widowControl/>
              <w:spacing w:line="260" w:lineRule="exact"/>
              <w:jc w:val="center"/>
              <w:rPr>
                <w:kern w:val="0"/>
                <w:szCs w:val="21"/>
              </w:rPr>
            </w:pPr>
            <w:r>
              <w:rPr>
                <w:rFonts w:hint="eastAsia"/>
                <w:kern w:val="0"/>
                <w:szCs w:val="21"/>
              </w:rPr>
              <w:t>管理（</w:t>
            </w:r>
            <w:r>
              <w:rPr>
                <w:kern w:val="0"/>
                <w:szCs w:val="21"/>
              </w:rPr>
              <w:t>12</w:t>
            </w:r>
            <w:r>
              <w:rPr>
                <w:rFonts w:hint="eastAsia"/>
                <w:kern w:val="0"/>
                <w:szCs w:val="21"/>
              </w:rPr>
              <w:t>分）</w:t>
            </w: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管理制度健全性（</w:t>
            </w:r>
            <w:r>
              <w:rPr>
                <w:kern w:val="0"/>
                <w:szCs w:val="21"/>
              </w:rPr>
              <w:t>3</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项目实施单位的财务制度是否健全，用以反映和考核财务管理制度对资金规范、安全运行的保障情况。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①是否已制定或具有相应的项目资金管理办法；（</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②项目资金管理办法是否符合相关财务会计制度的规定。（</w:t>
            </w:r>
            <w:r>
              <w:rPr>
                <w:kern w:val="0"/>
                <w:szCs w:val="21"/>
              </w:rPr>
              <w:t>1</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60" w:lineRule="exact"/>
              <w:ind w:left="0" w:leftChars="0" w:right="0" w:rightChars="0"/>
              <w:jc w:val="left"/>
              <w:rPr>
                <w:kern w:val="0"/>
                <w:szCs w:val="21"/>
              </w:rPr>
            </w:pPr>
            <w:r>
              <w:rPr>
                <w:rFonts w:hint="eastAsia"/>
                <w:kern w:val="0"/>
                <w:szCs w:val="21"/>
              </w:rPr>
              <w:t>　</w:t>
            </w:r>
            <w:r>
              <w:rPr>
                <w:rFonts w:hint="eastAsia"/>
                <w:kern w:val="0"/>
                <w:szCs w:val="21"/>
                <w:lang w:val="en-US" w:eastAsia="zh-CN"/>
              </w:rPr>
              <w:t>3</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2"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continue"/>
            <w:shd w:val="clear" w:color="auto" w:fill="auto"/>
            <w:noWrap w:val="0"/>
            <w:vAlign w:val="center"/>
          </w:tcPr>
          <w:p>
            <w:pPr>
              <w:widowControl/>
              <w:spacing w:line="260" w:lineRule="exact"/>
              <w:jc w:val="left"/>
              <w:rPr>
                <w:kern w:val="0"/>
                <w:szCs w:val="21"/>
              </w:rPr>
            </w:pP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资金使用合规性（</w:t>
            </w:r>
            <w:r>
              <w:rPr>
                <w:kern w:val="0"/>
                <w:szCs w:val="21"/>
              </w:rPr>
              <w:t>7</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项目资金使用是否符合相关的财务管理制度规定，用以反映和考核项目资金的规范运行情况。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①是否符合国家财经法规和财务管理制度以及有关专项资金管理办法的规定；（</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②资金的拨付是否有完整的审批程序和手续；（</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③项目的重大开支是否经过评估认证；（</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④是否符合项目预算批复或合同规定的用途；（</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⑤是否存在截留、挤占、挪用、虚列支出等情况。（</w:t>
            </w:r>
            <w:r>
              <w:rPr>
                <w:kern w:val="0"/>
                <w:szCs w:val="21"/>
              </w:rPr>
              <w:t>2</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60" w:lineRule="exact"/>
              <w:ind w:left="0" w:leftChars="0" w:right="0" w:rightChars="0"/>
              <w:jc w:val="left"/>
              <w:rPr>
                <w:kern w:val="0"/>
                <w:szCs w:val="21"/>
              </w:rPr>
            </w:pPr>
            <w:r>
              <w:rPr>
                <w:rFonts w:hint="eastAsia"/>
                <w:kern w:val="0"/>
                <w:szCs w:val="21"/>
              </w:rPr>
              <w:t>　</w:t>
            </w:r>
            <w:r>
              <w:rPr>
                <w:rFonts w:hint="eastAsia"/>
                <w:kern w:val="0"/>
                <w:szCs w:val="21"/>
                <w:lang w:val="en-US" w:eastAsia="zh-CN"/>
              </w:rPr>
              <w:t>7</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continue"/>
            <w:shd w:val="clear" w:color="auto" w:fill="auto"/>
            <w:noWrap w:val="0"/>
            <w:vAlign w:val="center"/>
          </w:tcPr>
          <w:p>
            <w:pPr>
              <w:widowControl/>
              <w:spacing w:line="260" w:lineRule="exact"/>
              <w:jc w:val="left"/>
              <w:rPr>
                <w:kern w:val="0"/>
                <w:szCs w:val="21"/>
              </w:rPr>
            </w:pP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财务监控有效性（</w:t>
            </w:r>
            <w:r>
              <w:rPr>
                <w:kern w:val="0"/>
                <w:szCs w:val="21"/>
              </w:rPr>
              <w:t>2</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项目实施单位是否为保障资金的安全、规范运行而采取了必要的监控措施，用以反映和考核项目实施单位对资金运行的控制情况。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①是否已制定或具有相应的监控机制；（</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②是否采取了相应的财务检查等必要的监控措施或手段。（</w:t>
            </w:r>
            <w:r>
              <w:rPr>
                <w:kern w:val="0"/>
                <w:szCs w:val="21"/>
              </w:rPr>
              <w:t>1</w:t>
            </w:r>
            <w:r>
              <w:rPr>
                <w:rFonts w:hint="eastAsia"/>
                <w:kern w:val="0"/>
                <w:szCs w:val="21"/>
              </w:rPr>
              <w:t>分）</w:t>
            </w:r>
          </w:p>
        </w:tc>
        <w:tc>
          <w:tcPr>
            <w:tcW w:w="707" w:type="dxa"/>
            <w:noWrap/>
            <w:vAlign w:val="center"/>
          </w:tcPr>
          <w:p>
            <w:pPr>
              <w:keepNext w:val="0"/>
              <w:keepLines w:val="0"/>
              <w:widowControl/>
              <w:suppressLineNumbers w:val="0"/>
              <w:spacing w:before="0" w:beforeAutospacing="0" w:after="0" w:afterAutospacing="0" w:line="260" w:lineRule="exact"/>
              <w:ind w:left="0" w:leftChars="0" w:right="0" w:rightChars="0"/>
              <w:jc w:val="left"/>
              <w:rPr>
                <w:kern w:val="0"/>
                <w:szCs w:val="21"/>
              </w:rPr>
            </w:pPr>
            <w:r>
              <w:rPr>
                <w:rFonts w:hint="eastAsia"/>
                <w:kern w:val="0"/>
                <w:szCs w:val="21"/>
              </w:rPr>
              <w:t>　</w:t>
            </w:r>
            <w:r>
              <w:rPr>
                <w:rFonts w:hint="eastAsia"/>
                <w:kern w:val="0"/>
                <w:szCs w:val="21"/>
                <w:lang w:val="en-US" w:eastAsia="zh-CN"/>
              </w:rPr>
              <w:t>2</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产</w:t>
            </w:r>
            <w:r>
              <w:rPr>
                <w:kern w:val="0"/>
                <w:szCs w:val="21"/>
              </w:rPr>
              <w:t xml:space="preserve">   </w:t>
            </w:r>
            <w:r>
              <w:rPr>
                <w:rFonts w:hint="eastAsia"/>
                <w:kern w:val="0"/>
                <w:szCs w:val="21"/>
              </w:rPr>
              <w:t>出（</w:t>
            </w:r>
            <w:r>
              <w:rPr>
                <w:kern w:val="0"/>
                <w:szCs w:val="21"/>
              </w:rPr>
              <w:t>20</w:t>
            </w:r>
            <w:r>
              <w:rPr>
                <w:rFonts w:hint="eastAsia"/>
                <w:kern w:val="0"/>
                <w:szCs w:val="21"/>
              </w:rPr>
              <w:t>分）</w:t>
            </w:r>
          </w:p>
        </w:tc>
        <w:tc>
          <w:tcPr>
            <w:tcW w:w="385"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产出（</w:t>
            </w:r>
            <w:r>
              <w:rPr>
                <w:kern w:val="0"/>
                <w:szCs w:val="21"/>
              </w:rPr>
              <w:t>20</w:t>
            </w:r>
            <w:r>
              <w:rPr>
                <w:rFonts w:hint="eastAsia"/>
                <w:kern w:val="0"/>
                <w:szCs w:val="21"/>
              </w:rPr>
              <w:t>分）</w:t>
            </w: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实际完成率（</w:t>
            </w:r>
            <w:r>
              <w:rPr>
                <w:kern w:val="0"/>
                <w:szCs w:val="21"/>
              </w:rPr>
              <w:t>4</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项目实施的实际产出数与计划产出数的比率，用以反映和考核项目产出数量目标的实现程度。</w:t>
            </w:r>
          </w:p>
        </w:tc>
        <w:tc>
          <w:tcPr>
            <w:tcW w:w="1942" w:type="pct"/>
            <w:shd w:val="clear" w:color="auto" w:fill="FFFFFF"/>
            <w:noWrap w:val="0"/>
            <w:vAlign w:val="center"/>
          </w:tcPr>
          <w:p>
            <w:pPr>
              <w:widowControl/>
              <w:spacing w:line="240" w:lineRule="exact"/>
              <w:jc w:val="left"/>
              <w:rPr>
                <w:spacing w:val="-14"/>
                <w:kern w:val="0"/>
                <w:szCs w:val="21"/>
              </w:rPr>
            </w:pPr>
            <w:r>
              <w:rPr>
                <w:rFonts w:hint="eastAsia"/>
                <w:spacing w:val="-14"/>
                <w:kern w:val="0"/>
                <w:szCs w:val="21"/>
              </w:rPr>
              <w:t>实际完成率</w:t>
            </w:r>
            <w:r>
              <w:rPr>
                <w:spacing w:val="-14"/>
                <w:kern w:val="0"/>
                <w:szCs w:val="21"/>
              </w:rPr>
              <w:t>=</w:t>
            </w:r>
            <w:r>
              <w:rPr>
                <w:rFonts w:hint="eastAsia"/>
                <w:spacing w:val="-14"/>
                <w:kern w:val="0"/>
                <w:szCs w:val="21"/>
              </w:rPr>
              <w:t>（实际产出数</w:t>
            </w:r>
            <w:r>
              <w:rPr>
                <w:spacing w:val="-14"/>
                <w:kern w:val="0"/>
                <w:szCs w:val="21"/>
              </w:rPr>
              <w:t>/</w:t>
            </w:r>
            <w:r>
              <w:rPr>
                <w:rFonts w:hint="eastAsia"/>
                <w:spacing w:val="-14"/>
                <w:kern w:val="0"/>
                <w:szCs w:val="21"/>
              </w:rPr>
              <w:t>计划产出数）×</w:t>
            </w:r>
            <w:r>
              <w:rPr>
                <w:spacing w:val="-14"/>
                <w:kern w:val="0"/>
                <w:szCs w:val="21"/>
              </w:rPr>
              <w:t>100%</w:t>
            </w:r>
            <w:r>
              <w:rPr>
                <w:rFonts w:hint="eastAsia"/>
                <w:spacing w:val="-14"/>
                <w:kern w:val="0"/>
                <w:szCs w:val="21"/>
              </w:rPr>
              <w:t>。（得分</w:t>
            </w:r>
            <w:r>
              <w:rPr>
                <w:spacing w:val="-14"/>
                <w:kern w:val="0"/>
                <w:szCs w:val="21"/>
              </w:rPr>
              <w:t>=</w:t>
            </w:r>
            <w:r>
              <w:rPr>
                <w:rFonts w:hint="eastAsia"/>
                <w:spacing w:val="-14"/>
                <w:kern w:val="0"/>
                <w:szCs w:val="21"/>
              </w:rPr>
              <w:t>实际完成率</w:t>
            </w:r>
            <w:r>
              <w:rPr>
                <w:spacing w:val="-14"/>
                <w:kern w:val="0"/>
                <w:szCs w:val="21"/>
              </w:rPr>
              <w:t>*4</w:t>
            </w:r>
            <w:r>
              <w:rPr>
                <w:rFonts w:hint="eastAsia"/>
                <w:spacing w:val="-14"/>
                <w:kern w:val="0"/>
                <w:szCs w:val="21"/>
              </w:rPr>
              <w:t>分）</w:t>
            </w:r>
          </w:p>
          <w:p>
            <w:pPr>
              <w:widowControl/>
              <w:spacing w:line="240" w:lineRule="exact"/>
              <w:jc w:val="left"/>
              <w:rPr>
                <w:spacing w:val="-14"/>
                <w:kern w:val="0"/>
                <w:szCs w:val="21"/>
              </w:rPr>
            </w:pPr>
            <w:r>
              <w:rPr>
                <w:rFonts w:hint="eastAsia"/>
                <w:spacing w:val="-14"/>
                <w:kern w:val="0"/>
                <w:szCs w:val="21"/>
              </w:rPr>
              <w:t>实际产出数：一定时期（本年度或项目期）内项目实际产出的产品或提供的服务数量。</w:t>
            </w:r>
          </w:p>
          <w:p>
            <w:pPr>
              <w:widowControl/>
              <w:spacing w:line="240" w:lineRule="exact"/>
              <w:jc w:val="left"/>
              <w:rPr>
                <w:kern w:val="0"/>
                <w:szCs w:val="21"/>
              </w:rPr>
            </w:pPr>
            <w:r>
              <w:rPr>
                <w:rFonts w:hint="eastAsia"/>
                <w:kern w:val="0"/>
                <w:szCs w:val="21"/>
              </w:rPr>
              <w:t>计划产出数：项目绩效目标确定的在一定时期（本年度或项目期）内计划产出的产品或提供的服务数量。</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4</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完成及时率（</w:t>
            </w:r>
            <w:r>
              <w:rPr>
                <w:kern w:val="0"/>
                <w:szCs w:val="21"/>
              </w:rPr>
              <w:t>6</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项目实际提前完成时间与计划完成时间的比率，用以反映和考核项目产出时效目标的实现程度。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完成及时率</w:t>
            </w:r>
            <w:r>
              <w:rPr>
                <w:kern w:val="0"/>
                <w:szCs w:val="21"/>
              </w:rPr>
              <w:t>=[</w:t>
            </w:r>
            <w:r>
              <w:rPr>
                <w:rFonts w:hint="eastAsia"/>
                <w:kern w:val="0"/>
                <w:szCs w:val="21"/>
              </w:rPr>
              <w:t>（计划完成时间</w:t>
            </w:r>
            <w:r>
              <w:rPr>
                <w:kern w:val="0"/>
                <w:szCs w:val="21"/>
              </w:rPr>
              <w:t>-</w:t>
            </w:r>
            <w:r>
              <w:rPr>
                <w:rFonts w:hint="eastAsia"/>
                <w:kern w:val="0"/>
                <w:szCs w:val="21"/>
              </w:rPr>
              <w:t>实际完成时间）</w:t>
            </w:r>
            <w:r>
              <w:rPr>
                <w:kern w:val="0"/>
                <w:szCs w:val="21"/>
              </w:rPr>
              <w:t>/</w:t>
            </w:r>
            <w:r>
              <w:rPr>
                <w:rFonts w:hint="eastAsia"/>
                <w:kern w:val="0"/>
                <w:szCs w:val="21"/>
              </w:rPr>
              <w:t>计划完成时间</w:t>
            </w:r>
            <w:r>
              <w:rPr>
                <w:kern w:val="0"/>
                <w:szCs w:val="21"/>
              </w:rPr>
              <w:t>]</w:t>
            </w:r>
            <w:r>
              <w:rPr>
                <w:rFonts w:hint="eastAsia"/>
                <w:kern w:val="0"/>
                <w:szCs w:val="21"/>
              </w:rPr>
              <w:t>×</w:t>
            </w:r>
            <w:r>
              <w:rPr>
                <w:kern w:val="0"/>
                <w:szCs w:val="21"/>
              </w:rPr>
              <w:t>100%</w:t>
            </w:r>
            <w:r>
              <w:rPr>
                <w:rFonts w:hint="eastAsia"/>
                <w:kern w:val="0"/>
                <w:szCs w:val="21"/>
              </w:rPr>
              <w:t>。（</w:t>
            </w:r>
            <w:r>
              <w:rPr>
                <w:kern w:val="0"/>
                <w:szCs w:val="21"/>
              </w:rPr>
              <w:t>1--4</w:t>
            </w:r>
            <w:r>
              <w:rPr>
                <w:rFonts w:hint="eastAsia"/>
                <w:kern w:val="0"/>
                <w:szCs w:val="21"/>
              </w:rPr>
              <w:t>季度各得</w:t>
            </w:r>
            <w:r>
              <w:rPr>
                <w:kern w:val="0"/>
                <w:szCs w:val="21"/>
              </w:rPr>
              <w:t>1.5</w:t>
            </w:r>
            <w:r>
              <w:rPr>
                <w:rFonts w:hint="eastAsia"/>
                <w:kern w:val="0"/>
                <w:szCs w:val="21"/>
              </w:rPr>
              <w:t>分）</w:t>
            </w:r>
          </w:p>
          <w:p>
            <w:pPr>
              <w:widowControl/>
              <w:spacing w:line="240" w:lineRule="exact"/>
              <w:jc w:val="left"/>
              <w:rPr>
                <w:kern w:val="0"/>
                <w:szCs w:val="21"/>
              </w:rPr>
            </w:pPr>
            <w:r>
              <w:rPr>
                <w:rFonts w:hint="eastAsia"/>
                <w:kern w:val="0"/>
                <w:szCs w:val="21"/>
              </w:rPr>
              <w:t>实际完成时间：项目实施单位完成该项目实际所耗用的时间。</w:t>
            </w:r>
          </w:p>
          <w:p>
            <w:pPr>
              <w:widowControl/>
              <w:spacing w:line="240" w:lineRule="exact"/>
              <w:jc w:val="left"/>
              <w:rPr>
                <w:kern w:val="0"/>
                <w:szCs w:val="21"/>
              </w:rPr>
            </w:pPr>
            <w:r>
              <w:rPr>
                <w:rFonts w:hint="eastAsia"/>
                <w:kern w:val="0"/>
                <w:szCs w:val="21"/>
              </w:rPr>
              <w:t>计划完成时间：按照项目实施计划或相关规定完成该项目所需的时间。</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6</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质量达标率（</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项目完成的质量达标产出数与实际产出数的比率，用以反映和考核项目产出质量目标的实现程度。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质量达标率</w:t>
            </w:r>
            <w:r>
              <w:rPr>
                <w:kern w:val="0"/>
                <w:szCs w:val="21"/>
              </w:rPr>
              <w:t>=</w:t>
            </w:r>
            <w:r>
              <w:rPr>
                <w:rFonts w:hint="eastAsia"/>
                <w:kern w:val="0"/>
                <w:szCs w:val="21"/>
              </w:rPr>
              <w:t>（质量达标产出数</w:t>
            </w:r>
            <w:r>
              <w:rPr>
                <w:kern w:val="0"/>
                <w:szCs w:val="21"/>
              </w:rPr>
              <w:t>/</w:t>
            </w:r>
            <w:r>
              <w:rPr>
                <w:rFonts w:hint="eastAsia"/>
                <w:kern w:val="0"/>
                <w:szCs w:val="21"/>
              </w:rPr>
              <w:t>实际产出数）×</w:t>
            </w:r>
            <w:r>
              <w:rPr>
                <w:kern w:val="0"/>
                <w:szCs w:val="21"/>
              </w:rPr>
              <w:t>100%</w:t>
            </w:r>
            <w:r>
              <w:rPr>
                <w:rFonts w:hint="eastAsia"/>
                <w:kern w:val="0"/>
                <w:szCs w:val="21"/>
              </w:rPr>
              <w:t>。（得分</w:t>
            </w:r>
            <w:r>
              <w:rPr>
                <w:kern w:val="0"/>
                <w:szCs w:val="21"/>
              </w:rPr>
              <w:t>=</w:t>
            </w:r>
            <w:r>
              <w:rPr>
                <w:rFonts w:hint="eastAsia"/>
                <w:kern w:val="0"/>
                <w:szCs w:val="21"/>
              </w:rPr>
              <w:t>达标率</w:t>
            </w:r>
            <w:r>
              <w:rPr>
                <w:kern w:val="0"/>
                <w:szCs w:val="21"/>
              </w:rPr>
              <w:t>*5</w:t>
            </w:r>
            <w:r>
              <w:rPr>
                <w:rFonts w:hint="eastAsia"/>
                <w:kern w:val="0"/>
                <w:szCs w:val="21"/>
              </w:rPr>
              <w:t>分）</w:t>
            </w:r>
          </w:p>
          <w:p>
            <w:pPr>
              <w:widowControl/>
              <w:spacing w:line="240" w:lineRule="exact"/>
              <w:jc w:val="left"/>
              <w:rPr>
                <w:kern w:val="0"/>
                <w:szCs w:val="21"/>
              </w:rPr>
            </w:pPr>
            <w:r>
              <w:rPr>
                <w:rFonts w:hint="eastAsia"/>
                <w:kern w:val="0"/>
                <w:szCs w:val="21"/>
              </w:rPr>
              <w:t>质量达标产出数：一定时期（本年度或项目期）内实际达到既定质量标准的产品或服务数量。</w:t>
            </w:r>
          </w:p>
          <w:p>
            <w:pPr>
              <w:widowControl/>
              <w:spacing w:line="240" w:lineRule="exact"/>
              <w:jc w:val="left"/>
              <w:rPr>
                <w:kern w:val="0"/>
                <w:szCs w:val="21"/>
              </w:rPr>
            </w:pPr>
            <w:r>
              <w:rPr>
                <w:rFonts w:hint="eastAsia"/>
                <w:spacing w:val="-10"/>
                <w:kern w:val="0"/>
                <w:szCs w:val="21"/>
              </w:rPr>
              <w:t>既定质量标准是指项目实施单位设立绩效目标时依据计划标准、行业标准、历史标准或其他标准而设定的绩效指标值。</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成本节约率（</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完成项目计划工作目标的实际节约成本与计划成本的比率，用以反映和考核项目的成本节约程度。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成本节约率</w:t>
            </w:r>
            <w:r>
              <w:rPr>
                <w:kern w:val="0"/>
                <w:szCs w:val="21"/>
              </w:rPr>
              <w:t>=[</w:t>
            </w:r>
            <w:r>
              <w:rPr>
                <w:rFonts w:hint="eastAsia"/>
                <w:kern w:val="0"/>
                <w:szCs w:val="21"/>
              </w:rPr>
              <w:t>（计划成本</w:t>
            </w:r>
            <w:r>
              <w:rPr>
                <w:kern w:val="0"/>
                <w:szCs w:val="21"/>
              </w:rPr>
              <w:t>-</w:t>
            </w:r>
            <w:r>
              <w:rPr>
                <w:rFonts w:hint="eastAsia"/>
                <w:kern w:val="0"/>
                <w:szCs w:val="21"/>
              </w:rPr>
              <w:t>实际成本）</w:t>
            </w:r>
            <w:r>
              <w:rPr>
                <w:kern w:val="0"/>
                <w:szCs w:val="21"/>
              </w:rPr>
              <w:t>/</w:t>
            </w:r>
            <w:r>
              <w:rPr>
                <w:rFonts w:hint="eastAsia"/>
                <w:kern w:val="0"/>
                <w:szCs w:val="21"/>
              </w:rPr>
              <w:t>计划成本</w:t>
            </w:r>
            <w:r>
              <w:rPr>
                <w:kern w:val="0"/>
                <w:szCs w:val="21"/>
              </w:rPr>
              <w:t>]</w:t>
            </w:r>
            <w:r>
              <w:rPr>
                <w:rFonts w:hint="eastAsia"/>
                <w:kern w:val="0"/>
                <w:szCs w:val="21"/>
              </w:rPr>
              <w:t>×</w:t>
            </w:r>
            <w:r>
              <w:rPr>
                <w:kern w:val="0"/>
                <w:szCs w:val="21"/>
              </w:rPr>
              <w:t>100%</w:t>
            </w:r>
            <w:r>
              <w:rPr>
                <w:rFonts w:hint="eastAsia"/>
                <w:kern w:val="0"/>
                <w:szCs w:val="21"/>
              </w:rPr>
              <w:t>。</w:t>
            </w:r>
            <w:r>
              <w:rPr>
                <w:kern w:val="0"/>
                <w:szCs w:val="21"/>
              </w:rPr>
              <w:t>(</w:t>
            </w:r>
            <w:r>
              <w:rPr>
                <w:rFonts w:hint="eastAsia"/>
                <w:kern w:val="0"/>
                <w:szCs w:val="21"/>
              </w:rPr>
              <w:t>节约的计</w:t>
            </w:r>
            <w:r>
              <w:rPr>
                <w:kern w:val="0"/>
                <w:szCs w:val="21"/>
              </w:rPr>
              <w:t>5</w:t>
            </w:r>
            <w:r>
              <w:rPr>
                <w:rFonts w:hint="eastAsia"/>
                <w:kern w:val="0"/>
                <w:szCs w:val="21"/>
              </w:rPr>
              <w:t>分</w:t>
            </w:r>
            <w:r>
              <w:rPr>
                <w:kern w:val="0"/>
                <w:szCs w:val="21"/>
              </w:rPr>
              <w:t>,</w:t>
            </w:r>
            <w:r>
              <w:rPr>
                <w:rFonts w:hint="eastAsia"/>
                <w:kern w:val="0"/>
                <w:szCs w:val="21"/>
              </w:rPr>
              <w:t>增加的按比例扣分</w:t>
            </w:r>
            <w:r>
              <w:rPr>
                <w:kern w:val="0"/>
                <w:szCs w:val="21"/>
              </w:rPr>
              <w:t>)</w:t>
            </w:r>
          </w:p>
          <w:p>
            <w:pPr>
              <w:widowControl/>
              <w:spacing w:line="240" w:lineRule="exact"/>
              <w:jc w:val="left"/>
              <w:rPr>
                <w:spacing w:val="-10"/>
                <w:kern w:val="0"/>
                <w:szCs w:val="21"/>
              </w:rPr>
            </w:pPr>
            <w:r>
              <w:rPr>
                <w:rFonts w:hint="eastAsia"/>
                <w:spacing w:val="-10"/>
                <w:kern w:val="0"/>
                <w:szCs w:val="21"/>
              </w:rPr>
              <w:t>实际成本：项目实施单位如期、保质、保量完成既定工作目标实际所耗费的支出。</w:t>
            </w:r>
          </w:p>
          <w:p>
            <w:pPr>
              <w:widowControl/>
              <w:spacing w:line="240" w:lineRule="exact"/>
              <w:jc w:val="left"/>
              <w:rPr>
                <w:kern w:val="0"/>
                <w:szCs w:val="21"/>
              </w:rPr>
            </w:pPr>
            <w:r>
              <w:rPr>
                <w:rFonts w:hint="eastAsia"/>
                <w:spacing w:val="-10"/>
                <w:kern w:val="0"/>
                <w:szCs w:val="21"/>
              </w:rPr>
              <w:t>计划成本：项目实施单位为完成工作目标计划安排的支出，一般以项目预算为参考。</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392"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效</w:t>
            </w:r>
            <w:r>
              <w:rPr>
                <w:kern w:val="0"/>
                <w:szCs w:val="21"/>
              </w:rPr>
              <w:t xml:space="preserve">   </w:t>
            </w:r>
            <w:r>
              <w:rPr>
                <w:rFonts w:hint="eastAsia"/>
                <w:kern w:val="0"/>
                <w:szCs w:val="21"/>
              </w:rPr>
              <w:t>果（</w:t>
            </w:r>
            <w:r>
              <w:rPr>
                <w:kern w:val="0"/>
                <w:szCs w:val="21"/>
              </w:rPr>
              <w:t>30</w:t>
            </w:r>
            <w:r>
              <w:rPr>
                <w:rFonts w:hint="eastAsia"/>
                <w:kern w:val="0"/>
                <w:szCs w:val="21"/>
              </w:rPr>
              <w:t>分）</w:t>
            </w:r>
          </w:p>
        </w:tc>
        <w:tc>
          <w:tcPr>
            <w:tcW w:w="385"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效益（</w:t>
            </w:r>
            <w:r>
              <w:rPr>
                <w:kern w:val="0"/>
                <w:szCs w:val="21"/>
              </w:rPr>
              <w:t>30</w:t>
            </w:r>
            <w:r>
              <w:rPr>
                <w:rFonts w:hint="eastAsia"/>
                <w:kern w:val="0"/>
                <w:szCs w:val="21"/>
              </w:rPr>
              <w:t>分）</w:t>
            </w: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经济效益</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项目实施对经济发展所带来的直接或间接影响情况。</w:t>
            </w:r>
          </w:p>
        </w:tc>
        <w:tc>
          <w:tcPr>
            <w:tcW w:w="1942" w:type="pct"/>
            <w:vMerge w:val="restart"/>
            <w:shd w:val="clear" w:color="auto" w:fill="FFFFFF"/>
            <w:noWrap w:val="0"/>
            <w:vAlign w:val="center"/>
          </w:tcPr>
          <w:p>
            <w:pPr>
              <w:widowControl/>
              <w:spacing w:line="240" w:lineRule="exact"/>
              <w:jc w:val="left"/>
              <w:rPr>
                <w:kern w:val="0"/>
                <w:szCs w:val="21"/>
              </w:rPr>
            </w:pPr>
            <w:r>
              <w:rPr>
                <w:rFonts w:hint="eastAsia"/>
                <w:kern w:val="0"/>
                <w:szCs w:val="21"/>
              </w:rPr>
              <w:t>此四项指标为项目支出绩效评价指标的共性要素，各单位按照项目支出绩效目标实现程度为依据。（按经济效益实现程度</w:t>
            </w:r>
            <w:r>
              <w:rPr>
                <w:kern w:val="0"/>
                <w:szCs w:val="21"/>
              </w:rPr>
              <w:t>*5</w:t>
            </w:r>
            <w:r>
              <w:rPr>
                <w:rFonts w:hint="eastAsia"/>
                <w:kern w:val="0"/>
                <w:szCs w:val="21"/>
              </w:rPr>
              <w:t>分、社会效益实现程度</w:t>
            </w:r>
            <w:r>
              <w:rPr>
                <w:kern w:val="0"/>
                <w:szCs w:val="21"/>
              </w:rPr>
              <w:t>*5</w:t>
            </w:r>
            <w:r>
              <w:rPr>
                <w:rFonts w:hint="eastAsia"/>
                <w:kern w:val="0"/>
                <w:szCs w:val="21"/>
              </w:rPr>
              <w:t>分、生态效益实现程度</w:t>
            </w:r>
            <w:r>
              <w:rPr>
                <w:kern w:val="0"/>
                <w:szCs w:val="21"/>
              </w:rPr>
              <w:t>*5</w:t>
            </w:r>
            <w:r>
              <w:rPr>
                <w:rFonts w:hint="eastAsia"/>
                <w:kern w:val="0"/>
                <w:szCs w:val="21"/>
              </w:rPr>
              <w:t>分、可持续影响程度</w:t>
            </w:r>
            <w:r>
              <w:rPr>
                <w:kern w:val="0"/>
                <w:szCs w:val="21"/>
              </w:rPr>
              <w:t>*5</w:t>
            </w:r>
            <w:r>
              <w:rPr>
                <w:rFonts w:hint="eastAsia"/>
                <w:kern w:val="0"/>
                <w:szCs w:val="21"/>
              </w:rPr>
              <w:t>分计算实际得分）</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社会效益（</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项目实施对社会发展所带来的直接或间接影响情况。</w:t>
            </w:r>
          </w:p>
        </w:tc>
        <w:tc>
          <w:tcPr>
            <w:tcW w:w="1942" w:type="pct"/>
            <w:vMerge w:val="continue"/>
            <w:noWrap w:val="0"/>
            <w:vAlign w:val="center"/>
          </w:tcPr>
          <w:p>
            <w:pPr>
              <w:widowControl/>
              <w:spacing w:line="240" w:lineRule="exact"/>
              <w:jc w:val="left"/>
              <w:rPr>
                <w:kern w:val="0"/>
                <w:szCs w:val="21"/>
              </w:rPr>
            </w:pP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生态效益（</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项目实施对生态环境所带来的直接或间接影响情况。</w:t>
            </w:r>
          </w:p>
        </w:tc>
        <w:tc>
          <w:tcPr>
            <w:tcW w:w="1942" w:type="pct"/>
            <w:vMerge w:val="continue"/>
            <w:noWrap w:val="0"/>
            <w:vAlign w:val="center"/>
          </w:tcPr>
          <w:p>
            <w:pPr>
              <w:widowControl/>
              <w:spacing w:line="240" w:lineRule="exact"/>
              <w:jc w:val="left"/>
              <w:rPr>
                <w:kern w:val="0"/>
                <w:szCs w:val="21"/>
              </w:rPr>
            </w:pP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可持续影响</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项目后续运行及成效发挥的可持续影响情况。</w:t>
            </w:r>
          </w:p>
        </w:tc>
        <w:tc>
          <w:tcPr>
            <w:tcW w:w="1942" w:type="pct"/>
            <w:vMerge w:val="continue"/>
            <w:noWrap w:val="0"/>
            <w:vAlign w:val="center"/>
          </w:tcPr>
          <w:p>
            <w:pPr>
              <w:widowControl/>
              <w:spacing w:line="240" w:lineRule="exact"/>
              <w:jc w:val="left"/>
              <w:rPr>
                <w:kern w:val="0"/>
                <w:szCs w:val="21"/>
              </w:rPr>
            </w:pP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社会公众或服务对象满意度（</w:t>
            </w:r>
            <w:r>
              <w:rPr>
                <w:spacing w:val="-10"/>
                <w:kern w:val="0"/>
                <w:szCs w:val="21"/>
              </w:rPr>
              <w:t>10</w:t>
            </w:r>
            <w:r>
              <w:rPr>
                <w:rFonts w:hint="eastAsia"/>
                <w:spacing w:val="-10"/>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社会公众或服务对象对项目实施效果的满意程度。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社会公众或服务对象是指因该项目实施而受到影响的部门（单位）、群体或个人。一般采取社会调查的方式。（按收到的服务对象的满意率计算得分）</w:t>
            </w:r>
          </w:p>
        </w:tc>
        <w:tc>
          <w:tcPr>
            <w:tcW w:w="707" w:type="dxa"/>
            <w:noWrap/>
            <w:vAlign w:val="center"/>
          </w:tcPr>
          <w:p>
            <w:pPr>
              <w:keepNext w:val="0"/>
              <w:keepLines w:val="0"/>
              <w:widowControl/>
              <w:suppressLineNumbers w:val="0"/>
              <w:spacing w:before="0" w:beforeAutospacing="0" w:after="0" w:afterAutospacing="0" w:line="240" w:lineRule="exact"/>
              <w:ind w:left="0" w:leftChars="0" w:right="0" w:rightChars="0"/>
              <w:jc w:val="left"/>
              <w:rPr>
                <w:kern w:val="0"/>
                <w:szCs w:val="21"/>
              </w:rPr>
            </w:pPr>
            <w:r>
              <w:rPr>
                <w:rFonts w:hint="eastAsia"/>
                <w:kern w:val="0"/>
                <w:szCs w:val="21"/>
              </w:rPr>
              <w:t>　</w:t>
            </w:r>
            <w:r>
              <w:rPr>
                <w:rFonts w:hint="eastAsia"/>
                <w:kern w:val="0"/>
                <w:szCs w:val="21"/>
                <w:lang w:val="en-US" w:eastAsia="zh-CN"/>
              </w:rPr>
              <w:t>9</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4118" w:type="pct"/>
            <w:gridSpan w:val="5"/>
            <w:tcBorders>
              <w:bottom w:val="single" w:color="auto" w:sz="12" w:space="0"/>
            </w:tcBorders>
            <w:shd w:val="clear" w:color="auto" w:fill="FFFFFF"/>
            <w:noWrap w:val="0"/>
            <w:vAlign w:val="center"/>
          </w:tcPr>
          <w:p>
            <w:pPr>
              <w:widowControl/>
              <w:spacing w:line="240" w:lineRule="exact"/>
              <w:jc w:val="center"/>
              <w:rPr>
                <w:kern w:val="0"/>
                <w:szCs w:val="21"/>
              </w:rPr>
            </w:pPr>
            <w:r>
              <w:rPr>
                <w:rFonts w:hint="eastAsia"/>
                <w:kern w:val="0"/>
                <w:szCs w:val="21"/>
              </w:rPr>
              <w:t>合计</w:t>
            </w:r>
          </w:p>
        </w:tc>
        <w:tc>
          <w:tcPr>
            <w:tcW w:w="707" w:type="dxa"/>
            <w:tcBorders>
              <w:bottom w:val="single" w:color="auto" w:sz="12" w:space="0"/>
            </w:tcBorders>
            <w:noWrap/>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kern w:val="0"/>
                <w:szCs w:val="21"/>
                <w:lang w:val="en-US"/>
              </w:rPr>
            </w:pPr>
            <w:r>
              <w:rPr>
                <w:rFonts w:hint="eastAsia"/>
                <w:kern w:val="0"/>
                <w:szCs w:val="21"/>
              </w:rPr>
              <w:t>　</w:t>
            </w:r>
            <w:r>
              <w:rPr>
                <w:rFonts w:hint="eastAsia"/>
                <w:kern w:val="0"/>
                <w:szCs w:val="21"/>
                <w:lang w:val="en-US" w:eastAsia="zh-CN"/>
              </w:rPr>
              <w:t>94</w:t>
            </w:r>
          </w:p>
        </w:tc>
        <w:tc>
          <w:tcPr>
            <w:tcW w:w="493" w:type="pct"/>
            <w:tcBorders>
              <w:bottom w:val="single" w:color="auto" w:sz="12" w:space="0"/>
            </w:tcBorders>
            <w:noWrap/>
            <w:vAlign w:val="center"/>
          </w:tcPr>
          <w:p>
            <w:pPr>
              <w:widowControl/>
              <w:spacing w:line="240" w:lineRule="exact"/>
              <w:jc w:val="left"/>
              <w:rPr>
                <w:kern w:val="0"/>
                <w:szCs w:val="21"/>
              </w:rPr>
            </w:pPr>
            <w:r>
              <w:rPr>
                <w:rFonts w:hint="eastAsia"/>
                <w:kern w:val="0"/>
                <w:szCs w:val="21"/>
              </w:rPr>
              <w:t>　</w:t>
            </w:r>
          </w:p>
        </w:tc>
      </w:tr>
    </w:tbl>
    <w:p>
      <w:pPr>
        <w:spacing w:line="620" w:lineRule="exact"/>
        <w:jc w:val="left"/>
        <w:rPr>
          <w:rFonts w:ascii="宋体"/>
          <w:sz w:val="32"/>
          <w:szCs w:val="32"/>
        </w:rPr>
      </w:pPr>
    </w:p>
    <w:p>
      <w:pPr>
        <w:spacing w:line="620" w:lineRule="exact"/>
        <w:jc w:val="left"/>
        <w:rPr>
          <w:rFonts w:ascii="??????" w:hAnsi="宋体" w:eastAsia="Times New Roman"/>
          <w:sz w:val="33"/>
          <w:szCs w:val="33"/>
        </w:rPr>
        <w:sectPr>
          <w:pgSz w:w="11907" w:h="16840"/>
          <w:pgMar w:top="2098" w:right="1474" w:bottom="1928" w:left="1588" w:header="851" w:footer="992" w:gutter="0"/>
          <w:cols w:space="425" w:num="1"/>
          <w:docGrid w:type="lines" w:linePitch="312" w:charSpace="0"/>
        </w:sectPr>
      </w:pPr>
    </w:p>
    <w:p>
      <w:pPr>
        <w:spacing w:line="620" w:lineRule="exact"/>
        <w:jc w:val="left"/>
        <w:rPr>
          <w:rFonts w:eastAsia="方正黑体简体"/>
          <w:sz w:val="32"/>
          <w:szCs w:val="32"/>
        </w:rPr>
      </w:pPr>
      <w:r>
        <w:rPr>
          <w:rFonts w:hint="eastAsia" w:eastAsia="方正黑体简体"/>
          <w:sz w:val="32"/>
          <w:szCs w:val="32"/>
        </w:rPr>
        <w:t>附件</w:t>
      </w:r>
      <w:r>
        <w:rPr>
          <w:rFonts w:eastAsia="方正黑体简体"/>
          <w:sz w:val="32"/>
          <w:szCs w:val="32"/>
        </w:rPr>
        <w:t>2</w:t>
      </w:r>
    </w:p>
    <w:p>
      <w:pPr>
        <w:spacing w:line="620" w:lineRule="exact"/>
        <w:jc w:val="center"/>
        <w:rPr>
          <w:rFonts w:eastAsia="方正小标宋简体"/>
          <w:color w:val="000000"/>
          <w:spacing w:val="-12"/>
          <w:kern w:val="0"/>
          <w:sz w:val="44"/>
          <w:szCs w:val="44"/>
        </w:rPr>
      </w:pPr>
      <w:r>
        <w:rPr>
          <w:rFonts w:hint="eastAsia" w:eastAsia="方正小标宋简体"/>
          <w:color w:val="000000"/>
          <w:spacing w:val="-12"/>
          <w:kern w:val="0"/>
          <w:sz w:val="44"/>
          <w:szCs w:val="44"/>
          <w:lang w:val="en-US" w:eastAsia="zh-CN"/>
        </w:rPr>
        <w:t>2022</w:t>
      </w:r>
      <w:r>
        <w:rPr>
          <w:rFonts w:hint="eastAsia" w:eastAsia="方正小标宋简体"/>
          <w:color w:val="000000"/>
          <w:spacing w:val="-12"/>
          <w:kern w:val="0"/>
          <w:sz w:val="44"/>
          <w:szCs w:val="44"/>
        </w:rPr>
        <w:t>年度乐至县项目支出绩效目标完成情况表</w:t>
      </w:r>
    </w:p>
    <w:p>
      <w:pPr>
        <w:pStyle w:val="8"/>
        <w:spacing w:after="0" w:line="240" w:lineRule="exact"/>
        <w:rPr>
          <w:rFonts w:ascii="宋体"/>
        </w:rPr>
      </w:pPr>
    </w:p>
    <w:tbl>
      <w:tblPr>
        <w:tblStyle w:val="19"/>
        <w:tblW w:w="92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06"/>
        <w:gridCol w:w="1594"/>
        <w:gridCol w:w="1175"/>
        <w:gridCol w:w="1291"/>
        <w:gridCol w:w="1200"/>
        <w:gridCol w:w="1665"/>
        <w:gridCol w:w="16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tcBorders>
              <w:top w:val="single" w:color="auto" w:sz="12" w:space="0"/>
            </w:tcBorders>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名称</w:t>
            </w:r>
          </w:p>
        </w:tc>
        <w:tc>
          <w:tcPr>
            <w:tcW w:w="8578" w:type="dxa"/>
            <w:gridSpan w:val="6"/>
            <w:tcBorders>
              <w:top w:val="single" w:color="auto" w:sz="12" w:space="0"/>
            </w:tcBorders>
            <w:noWrap/>
            <w:vAlign w:val="center"/>
          </w:tcPr>
          <w:p>
            <w:pPr>
              <w:widowControl/>
              <w:spacing w:line="240" w:lineRule="exact"/>
              <w:jc w:val="center"/>
              <w:rPr>
                <w:rFonts w:hint="eastAsia" w:eastAsia="宋体"/>
                <w:color w:val="000000"/>
                <w:kern w:val="0"/>
                <w:szCs w:val="21"/>
                <w:lang w:eastAsia="zh-CN"/>
              </w:rPr>
            </w:pPr>
            <w:r>
              <w:rPr>
                <w:rFonts w:hint="eastAsia"/>
                <w:color w:val="000000"/>
                <w:kern w:val="0"/>
                <w:szCs w:val="21"/>
                <w:lang w:eastAsia="zh-CN"/>
              </w:rPr>
              <w:t>双龙村公益性基础设施建设所需资金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vMerge w:val="restart"/>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类型</w:t>
            </w: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产业发展</w:t>
            </w: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民生</w:t>
            </w:r>
          </w:p>
          <w:p>
            <w:pPr>
              <w:widowControl/>
              <w:spacing w:line="240" w:lineRule="exact"/>
              <w:jc w:val="center"/>
              <w:rPr>
                <w:color w:val="000000"/>
                <w:kern w:val="0"/>
                <w:szCs w:val="21"/>
              </w:rPr>
            </w:pPr>
            <w:r>
              <w:rPr>
                <w:rFonts w:hint="eastAsia"/>
                <w:color w:val="000000"/>
                <w:kern w:val="0"/>
                <w:szCs w:val="21"/>
              </w:rPr>
              <w:t>保障</w:t>
            </w:r>
          </w:p>
        </w:tc>
        <w:tc>
          <w:tcPr>
            <w:tcW w:w="2491" w:type="dxa"/>
            <w:gridSpan w:val="2"/>
            <w:noWrap/>
            <w:vAlign w:val="center"/>
          </w:tcPr>
          <w:p>
            <w:pPr>
              <w:widowControl/>
              <w:spacing w:line="240" w:lineRule="exact"/>
              <w:jc w:val="center"/>
              <w:rPr>
                <w:color w:val="000000"/>
                <w:kern w:val="0"/>
                <w:szCs w:val="21"/>
              </w:rPr>
            </w:pPr>
            <w:r>
              <w:rPr>
                <w:rFonts w:hint="eastAsia"/>
                <w:color w:val="000000"/>
                <w:kern w:val="0"/>
                <w:szCs w:val="21"/>
              </w:rPr>
              <w:t>基础设施</w:t>
            </w:r>
          </w:p>
        </w:tc>
        <w:tc>
          <w:tcPr>
            <w:tcW w:w="3318" w:type="dxa"/>
            <w:gridSpan w:val="2"/>
            <w:noWrap/>
            <w:vAlign w:val="center"/>
          </w:tcPr>
          <w:p>
            <w:pPr>
              <w:widowControl/>
              <w:spacing w:line="240" w:lineRule="exact"/>
              <w:jc w:val="center"/>
              <w:rPr>
                <w:color w:val="000000"/>
                <w:kern w:val="0"/>
                <w:szCs w:val="21"/>
              </w:rPr>
            </w:pPr>
            <w:r>
              <w:rPr>
                <w:rFonts w:hint="eastAsia"/>
                <w:color w:val="000000"/>
                <w:kern w:val="0"/>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w:t>
            </w:r>
          </w:p>
        </w:tc>
        <w:tc>
          <w:tcPr>
            <w:tcW w:w="1175" w:type="dxa"/>
            <w:noWrap/>
            <w:vAlign w:val="center"/>
          </w:tcPr>
          <w:p>
            <w:pPr>
              <w:spacing w:line="240" w:lineRule="exact"/>
              <w:jc w:val="center"/>
              <w:rPr>
                <w:szCs w:val="21"/>
              </w:rPr>
            </w:pPr>
            <w:r>
              <w:rPr>
                <w:rFonts w:hint="eastAsia"/>
                <w:color w:val="000000"/>
                <w:kern w:val="0"/>
                <w:szCs w:val="21"/>
              </w:rPr>
              <w:sym w:font="Wingdings 2" w:char="00A3"/>
            </w:r>
          </w:p>
        </w:tc>
        <w:tc>
          <w:tcPr>
            <w:tcW w:w="2491" w:type="dxa"/>
            <w:gridSpan w:val="2"/>
            <w:noWrap/>
            <w:vAlign w:val="center"/>
          </w:tcPr>
          <w:p>
            <w:pPr>
              <w:spacing w:line="240" w:lineRule="exact"/>
              <w:jc w:val="center"/>
              <w:rPr>
                <w:szCs w:val="21"/>
              </w:rPr>
            </w:pPr>
            <w:r>
              <w:rPr>
                <w:rFonts w:hint="eastAsia"/>
                <w:color w:val="000000"/>
                <w:kern w:val="0"/>
                <w:szCs w:val="21"/>
              </w:rPr>
              <w:sym w:font="Wingdings 2" w:char="0052"/>
            </w:r>
          </w:p>
        </w:tc>
        <w:tc>
          <w:tcPr>
            <w:tcW w:w="3318" w:type="dxa"/>
            <w:gridSpan w:val="2"/>
            <w:noWrap/>
            <w:vAlign w:val="center"/>
          </w:tcPr>
          <w:p>
            <w:pPr>
              <w:spacing w:line="240" w:lineRule="exact"/>
              <w:jc w:val="center"/>
              <w:rPr>
                <w:szCs w:val="21"/>
              </w:rPr>
            </w:pPr>
            <w:r>
              <w:rPr>
                <w:rFonts w:hint="eastAsia"/>
                <w:color w:val="000000"/>
                <w:kern w:val="0"/>
                <w:szCs w:val="21"/>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noWrap/>
            <w:vAlign w:val="center"/>
          </w:tcPr>
          <w:p>
            <w:pPr>
              <w:widowControl/>
              <w:spacing w:line="240" w:lineRule="exact"/>
              <w:jc w:val="center"/>
              <w:rPr>
                <w:color w:val="000000"/>
                <w:kern w:val="0"/>
                <w:szCs w:val="21"/>
              </w:rPr>
            </w:pPr>
            <w:r>
              <w:rPr>
                <w:rFonts w:hint="eastAsia"/>
                <w:color w:val="000000"/>
                <w:kern w:val="0"/>
                <w:szCs w:val="21"/>
              </w:rPr>
              <w:t>部门（单位）名称</w:t>
            </w:r>
          </w:p>
        </w:tc>
        <w:tc>
          <w:tcPr>
            <w:tcW w:w="5260" w:type="dxa"/>
            <w:gridSpan w:val="4"/>
            <w:noWrap/>
            <w:vAlign w:val="center"/>
          </w:tcPr>
          <w:p>
            <w:pPr>
              <w:widowControl/>
              <w:spacing w:line="240" w:lineRule="exact"/>
              <w:jc w:val="center"/>
              <w:rPr>
                <w:color w:val="000000"/>
                <w:kern w:val="0"/>
                <w:szCs w:val="21"/>
              </w:rPr>
            </w:pPr>
            <w:r>
              <w:rPr>
                <w:rFonts w:hint="eastAsia"/>
                <w:color w:val="000000"/>
                <w:kern w:val="0"/>
                <w:szCs w:val="21"/>
                <w:lang w:val="en-US" w:eastAsia="zh-CN"/>
              </w:rPr>
              <w:t>乐至县劳动镇人民政府</w:t>
            </w:r>
            <w:r>
              <w:rPr>
                <w:rFonts w:hint="eastAsia"/>
                <w:color w:val="000000"/>
                <w:kern w:val="0"/>
                <w:szCs w:val="21"/>
              </w:rPr>
              <w:t>　</w:t>
            </w:r>
          </w:p>
        </w:tc>
        <w:tc>
          <w:tcPr>
            <w:tcW w:w="1665" w:type="dxa"/>
            <w:noWrap/>
            <w:vAlign w:val="center"/>
          </w:tcPr>
          <w:p>
            <w:pPr>
              <w:widowControl/>
              <w:spacing w:line="240" w:lineRule="exact"/>
              <w:jc w:val="center"/>
              <w:rPr>
                <w:color w:val="000000"/>
                <w:kern w:val="0"/>
                <w:szCs w:val="21"/>
              </w:rPr>
            </w:pPr>
            <w:r>
              <w:rPr>
                <w:rFonts w:hint="eastAsia"/>
                <w:color w:val="000000"/>
                <w:kern w:val="0"/>
                <w:szCs w:val="21"/>
              </w:rPr>
              <w:t>预算单位编码</w:t>
            </w:r>
          </w:p>
        </w:tc>
        <w:tc>
          <w:tcPr>
            <w:tcW w:w="1653"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317001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9" w:hRule="atLeast"/>
          <w:jc w:val="center"/>
        </w:trPr>
        <w:tc>
          <w:tcPr>
            <w:tcW w:w="706" w:type="dxa"/>
            <w:vMerge w:val="restart"/>
            <w:noWrap/>
            <w:vAlign w:val="center"/>
          </w:tcPr>
          <w:p>
            <w:pPr>
              <w:widowControl/>
              <w:spacing w:line="240" w:lineRule="exact"/>
              <w:jc w:val="center"/>
              <w:rPr>
                <w:color w:val="000000"/>
                <w:kern w:val="0"/>
                <w:szCs w:val="21"/>
              </w:rPr>
            </w:pPr>
            <w:r>
              <w:rPr>
                <w:rFonts w:hint="eastAsia"/>
                <w:color w:val="000000"/>
                <w:kern w:val="0"/>
                <w:szCs w:val="21"/>
              </w:rPr>
              <w:t>预算执行情况</w:t>
            </w: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项目</w:t>
            </w: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预算额</w:t>
            </w:r>
            <w:r>
              <w:rPr>
                <w:color w:val="000000"/>
                <w:kern w:val="0"/>
                <w:szCs w:val="21"/>
              </w:rPr>
              <w:t>(</w:t>
            </w:r>
            <w:r>
              <w:rPr>
                <w:rFonts w:hint="eastAsia"/>
                <w:color w:val="000000"/>
                <w:kern w:val="0"/>
                <w:szCs w:val="21"/>
                <w:lang w:eastAsia="zh-CN"/>
              </w:rPr>
              <w:t>万元</w:t>
            </w:r>
            <w:r>
              <w:rPr>
                <w:color w:val="000000"/>
                <w:kern w:val="0"/>
                <w:szCs w:val="21"/>
              </w:rPr>
              <w:t>)</w:t>
            </w:r>
          </w:p>
        </w:tc>
        <w:tc>
          <w:tcPr>
            <w:tcW w:w="1291" w:type="dxa"/>
            <w:noWrap/>
            <w:vAlign w:val="center"/>
          </w:tcPr>
          <w:p>
            <w:pPr>
              <w:widowControl/>
              <w:spacing w:line="240" w:lineRule="exact"/>
              <w:jc w:val="center"/>
              <w:rPr>
                <w:color w:val="000000"/>
                <w:kern w:val="0"/>
                <w:szCs w:val="21"/>
              </w:rPr>
            </w:pPr>
            <w:r>
              <w:rPr>
                <w:rFonts w:hint="eastAsia"/>
                <w:color w:val="000000"/>
                <w:kern w:val="0"/>
                <w:szCs w:val="21"/>
              </w:rPr>
              <w:t>执行额</w:t>
            </w:r>
            <w:r>
              <w:rPr>
                <w:color w:val="000000"/>
                <w:kern w:val="0"/>
                <w:szCs w:val="21"/>
              </w:rPr>
              <w:t>(</w:t>
            </w:r>
            <w:r>
              <w:rPr>
                <w:rFonts w:hint="eastAsia"/>
                <w:color w:val="000000"/>
                <w:kern w:val="0"/>
                <w:szCs w:val="21"/>
                <w:lang w:eastAsia="zh-CN"/>
              </w:rPr>
              <w:t>万元</w:t>
            </w:r>
            <w:r>
              <w:rPr>
                <w:color w:val="000000"/>
                <w:kern w:val="0"/>
                <w:szCs w:val="21"/>
              </w:rPr>
              <w:t>)</w:t>
            </w:r>
          </w:p>
        </w:tc>
        <w:tc>
          <w:tcPr>
            <w:tcW w:w="1200" w:type="dxa"/>
            <w:noWrap/>
            <w:vAlign w:val="center"/>
          </w:tcPr>
          <w:p>
            <w:pPr>
              <w:widowControl/>
              <w:spacing w:line="240" w:lineRule="exact"/>
              <w:jc w:val="center"/>
              <w:rPr>
                <w:color w:val="000000"/>
                <w:kern w:val="0"/>
                <w:szCs w:val="21"/>
              </w:rPr>
            </w:pPr>
            <w:r>
              <w:rPr>
                <w:rFonts w:hint="eastAsia"/>
                <w:color w:val="000000"/>
                <w:kern w:val="0"/>
                <w:szCs w:val="21"/>
              </w:rPr>
              <w:t>当年结转结余额</w:t>
            </w:r>
            <w:r>
              <w:rPr>
                <w:color w:val="000000"/>
                <w:kern w:val="0"/>
                <w:szCs w:val="21"/>
              </w:rPr>
              <w:t>(</w:t>
            </w:r>
            <w:r>
              <w:rPr>
                <w:rFonts w:hint="eastAsia"/>
                <w:color w:val="000000"/>
                <w:kern w:val="0"/>
                <w:szCs w:val="21"/>
              </w:rPr>
              <w:t>百元</w:t>
            </w:r>
            <w:r>
              <w:rPr>
                <w:color w:val="000000"/>
                <w:kern w:val="0"/>
                <w:szCs w:val="21"/>
              </w:rPr>
              <w:t>)</w:t>
            </w:r>
          </w:p>
        </w:tc>
        <w:tc>
          <w:tcPr>
            <w:tcW w:w="1665" w:type="dxa"/>
            <w:noWrap/>
            <w:vAlign w:val="center"/>
          </w:tcPr>
          <w:p>
            <w:pPr>
              <w:widowControl/>
              <w:spacing w:line="240" w:lineRule="exact"/>
              <w:jc w:val="center"/>
              <w:rPr>
                <w:color w:val="000000"/>
                <w:kern w:val="0"/>
                <w:szCs w:val="21"/>
              </w:rPr>
            </w:pPr>
            <w:r>
              <w:rPr>
                <w:rFonts w:hint="eastAsia"/>
                <w:color w:val="000000"/>
                <w:kern w:val="0"/>
                <w:szCs w:val="21"/>
              </w:rPr>
              <w:t>结转结余率</w:t>
            </w:r>
            <w:r>
              <w:rPr>
                <w:color w:val="000000"/>
                <w:kern w:val="0"/>
                <w:szCs w:val="21"/>
              </w:rPr>
              <w:t>%</w:t>
            </w:r>
          </w:p>
        </w:tc>
        <w:tc>
          <w:tcPr>
            <w:tcW w:w="1653" w:type="dxa"/>
            <w:noWrap/>
            <w:vAlign w:val="center"/>
          </w:tcPr>
          <w:p>
            <w:pPr>
              <w:widowControl/>
              <w:spacing w:line="240" w:lineRule="exact"/>
              <w:jc w:val="center"/>
              <w:rPr>
                <w:color w:val="000000"/>
                <w:kern w:val="0"/>
                <w:szCs w:val="21"/>
              </w:rPr>
            </w:pPr>
            <w:r>
              <w:rPr>
                <w:rFonts w:hint="eastAsia"/>
                <w:color w:val="000000"/>
                <w:kern w:val="0"/>
                <w:szCs w:val="21"/>
              </w:rPr>
              <w:t>结转结余变动率</w:t>
            </w: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合</w:t>
            </w:r>
            <w:r>
              <w:rPr>
                <w:color w:val="000000"/>
                <w:kern w:val="0"/>
                <w:szCs w:val="21"/>
              </w:rPr>
              <w:t xml:space="preserve">   </w:t>
            </w:r>
            <w:r>
              <w:rPr>
                <w:rFonts w:hint="eastAsia"/>
                <w:color w:val="000000"/>
                <w:kern w:val="0"/>
                <w:szCs w:val="21"/>
              </w:rPr>
              <w:t>计</w:t>
            </w:r>
          </w:p>
        </w:tc>
        <w:tc>
          <w:tcPr>
            <w:tcW w:w="1175"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10</w:t>
            </w:r>
          </w:p>
        </w:tc>
        <w:tc>
          <w:tcPr>
            <w:tcW w:w="1291" w:type="dxa"/>
            <w:noWrap/>
            <w:vAlign w:val="center"/>
          </w:tcPr>
          <w:p>
            <w:pPr>
              <w:widowControl/>
              <w:spacing w:line="240" w:lineRule="exact"/>
              <w:jc w:val="left"/>
              <w:rPr>
                <w:rFonts w:hint="default"/>
                <w:color w:val="000000"/>
                <w:kern w:val="0"/>
                <w:szCs w:val="21"/>
                <w:lang w:val="en-US"/>
              </w:rPr>
            </w:pPr>
            <w:r>
              <w:rPr>
                <w:rFonts w:hint="eastAsia"/>
                <w:color w:val="000000"/>
                <w:kern w:val="0"/>
                <w:szCs w:val="21"/>
              </w:rPr>
              <w:t>　</w:t>
            </w:r>
            <w:r>
              <w:rPr>
                <w:rFonts w:hint="eastAsia"/>
                <w:color w:val="000000"/>
                <w:kern w:val="0"/>
                <w:szCs w:val="21"/>
                <w:lang w:val="en-US" w:eastAsia="zh-CN"/>
              </w:rPr>
              <w:t>0</w:t>
            </w:r>
          </w:p>
        </w:tc>
        <w:tc>
          <w:tcPr>
            <w:tcW w:w="1200" w:type="dxa"/>
            <w:noWrap/>
            <w:vAlign w:val="center"/>
          </w:tcPr>
          <w:p>
            <w:pPr>
              <w:widowControl/>
              <w:spacing w:line="240" w:lineRule="exact"/>
              <w:jc w:val="left"/>
              <w:rPr>
                <w:color w:val="000000"/>
                <w:kern w:val="0"/>
                <w:szCs w:val="21"/>
              </w:rPr>
            </w:pPr>
            <w:r>
              <w:rPr>
                <w:rFonts w:hint="eastAsia"/>
                <w:color w:val="000000"/>
                <w:kern w:val="0"/>
                <w:szCs w:val="21"/>
              </w:rPr>
              <w:t>　</w:t>
            </w:r>
            <w:r>
              <w:rPr>
                <w:rFonts w:hint="eastAsia"/>
                <w:color w:val="000000"/>
                <w:kern w:val="0"/>
                <w:szCs w:val="21"/>
                <w:lang w:val="en-US" w:eastAsia="zh-CN"/>
              </w:rPr>
              <w:t>0</w:t>
            </w:r>
          </w:p>
        </w:tc>
        <w:tc>
          <w:tcPr>
            <w:tcW w:w="166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财政拨款</w:t>
            </w:r>
          </w:p>
        </w:tc>
        <w:tc>
          <w:tcPr>
            <w:tcW w:w="1175" w:type="dxa"/>
            <w:noWrap/>
            <w:vAlign w:val="center"/>
          </w:tcPr>
          <w:p>
            <w:pPr>
              <w:widowControl/>
              <w:spacing w:line="240" w:lineRule="exact"/>
              <w:jc w:val="left"/>
              <w:rPr>
                <w:rFonts w:hint="default"/>
                <w:color w:val="000000"/>
                <w:kern w:val="0"/>
                <w:szCs w:val="21"/>
                <w:lang w:val="en-US"/>
              </w:rPr>
            </w:pPr>
            <w:r>
              <w:rPr>
                <w:rFonts w:hint="eastAsia"/>
                <w:color w:val="000000"/>
                <w:kern w:val="0"/>
                <w:szCs w:val="21"/>
                <w:lang w:val="en-US" w:eastAsia="zh-CN"/>
              </w:rPr>
              <w:t>10</w:t>
            </w:r>
          </w:p>
        </w:tc>
        <w:tc>
          <w:tcPr>
            <w:tcW w:w="1291" w:type="dxa"/>
            <w:noWrap/>
            <w:vAlign w:val="center"/>
          </w:tcPr>
          <w:p>
            <w:pPr>
              <w:widowControl/>
              <w:spacing w:line="240" w:lineRule="exact"/>
              <w:jc w:val="left"/>
              <w:rPr>
                <w:rFonts w:hint="default"/>
                <w:color w:val="000000"/>
                <w:kern w:val="0"/>
                <w:szCs w:val="21"/>
                <w:lang w:val="en-US"/>
              </w:rPr>
            </w:pPr>
            <w:r>
              <w:rPr>
                <w:rFonts w:hint="eastAsia"/>
                <w:color w:val="000000"/>
                <w:kern w:val="0"/>
                <w:szCs w:val="21"/>
              </w:rPr>
              <w:t>　</w:t>
            </w:r>
            <w:r>
              <w:rPr>
                <w:rFonts w:hint="eastAsia"/>
                <w:color w:val="000000"/>
                <w:kern w:val="0"/>
                <w:szCs w:val="21"/>
                <w:lang w:val="en-US" w:eastAsia="zh-CN"/>
              </w:rPr>
              <w:t>0</w:t>
            </w:r>
          </w:p>
        </w:tc>
        <w:tc>
          <w:tcPr>
            <w:tcW w:w="1200"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6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其他资金</w:t>
            </w:r>
          </w:p>
        </w:tc>
        <w:tc>
          <w:tcPr>
            <w:tcW w:w="117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9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00"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65"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2" w:hRule="atLeast"/>
          <w:jc w:val="center"/>
        </w:trPr>
        <w:tc>
          <w:tcPr>
            <w:tcW w:w="706" w:type="dxa"/>
            <w:vMerge w:val="restart"/>
            <w:noWrap/>
            <w:vAlign w:val="center"/>
          </w:tcPr>
          <w:p>
            <w:pPr>
              <w:widowControl/>
              <w:spacing w:line="240" w:lineRule="exact"/>
              <w:jc w:val="center"/>
              <w:rPr>
                <w:color w:val="000000"/>
                <w:kern w:val="0"/>
                <w:szCs w:val="21"/>
              </w:rPr>
            </w:pPr>
            <w:r>
              <w:rPr>
                <w:rFonts w:hint="eastAsia"/>
                <w:color w:val="000000"/>
                <w:kern w:val="0"/>
                <w:szCs w:val="21"/>
              </w:rPr>
              <w:t>财政拨款结构</w:t>
            </w: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项目</w:t>
            </w: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合计</w:t>
            </w:r>
          </w:p>
        </w:tc>
        <w:tc>
          <w:tcPr>
            <w:tcW w:w="1291" w:type="dxa"/>
            <w:noWrap/>
            <w:vAlign w:val="center"/>
          </w:tcPr>
          <w:p>
            <w:pPr>
              <w:widowControl/>
              <w:spacing w:line="240" w:lineRule="exact"/>
              <w:jc w:val="center"/>
              <w:rPr>
                <w:color w:val="000000"/>
                <w:kern w:val="0"/>
                <w:szCs w:val="21"/>
              </w:rPr>
            </w:pPr>
            <w:r>
              <w:rPr>
                <w:rFonts w:hint="eastAsia"/>
                <w:color w:val="000000"/>
                <w:kern w:val="0"/>
                <w:szCs w:val="21"/>
              </w:rPr>
              <w:t>一般公共预算安排</w:t>
            </w:r>
          </w:p>
        </w:tc>
        <w:tc>
          <w:tcPr>
            <w:tcW w:w="1200" w:type="dxa"/>
            <w:noWrap/>
            <w:vAlign w:val="center"/>
          </w:tcPr>
          <w:p>
            <w:pPr>
              <w:widowControl/>
              <w:spacing w:line="240" w:lineRule="exact"/>
              <w:jc w:val="center"/>
              <w:rPr>
                <w:color w:val="000000"/>
                <w:kern w:val="0"/>
                <w:szCs w:val="21"/>
              </w:rPr>
            </w:pPr>
            <w:r>
              <w:rPr>
                <w:rFonts w:hint="eastAsia"/>
                <w:color w:val="000000"/>
                <w:kern w:val="0"/>
                <w:szCs w:val="21"/>
              </w:rPr>
              <w:t>政府性基金预算安排</w:t>
            </w:r>
          </w:p>
        </w:tc>
        <w:tc>
          <w:tcPr>
            <w:tcW w:w="1665" w:type="dxa"/>
            <w:noWrap/>
            <w:vAlign w:val="center"/>
          </w:tcPr>
          <w:p>
            <w:pPr>
              <w:widowControl/>
              <w:spacing w:line="240" w:lineRule="exact"/>
              <w:jc w:val="center"/>
              <w:rPr>
                <w:color w:val="000000"/>
                <w:kern w:val="0"/>
                <w:szCs w:val="21"/>
              </w:rPr>
            </w:pPr>
            <w:r>
              <w:rPr>
                <w:rFonts w:hint="eastAsia"/>
                <w:color w:val="000000"/>
                <w:kern w:val="0"/>
                <w:szCs w:val="21"/>
              </w:rPr>
              <w:t>国有资本经营预算安排</w:t>
            </w:r>
          </w:p>
        </w:tc>
        <w:tc>
          <w:tcPr>
            <w:tcW w:w="1653" w:type="dxa"/>
            <w:noWrap/>
            <w:vAlign w:val="center"/>
          </w:tcPr>
          <w:p>
            <w:pPr>
              <w:widowControl/>
              <w:spacing w:line="240" w:lineRule="exact"/>
              <w:jc w:val="center"/>
              <w:rPr>
                <w:color w:val="000000"/>
                <w:kern w:val="0"/>
                <w:szCs w:val="21"/>
              </w:rPr>
            </w:pPr>
            <w:r>
              <w:rPr>
                <w:rFonts w:hint="eastAsia"/>
                <w:color w:val="000000"/>
                <w:kern w:val="0"/>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预算额</w:t>
            </w:r>
          </w:p>
          <w:p>
            <w:pPr>
              <w:widowControl/>
              <w:spacing w:line="240" w:lineRule="exact"/>
              <w:jc w:val="center"/>
              <w:rPr>
                <w:color w:val="000000"/>
                <w:kern w:val="0"/>
                <w:szCs w:val="21"/>
              </w:rPr>
            </w:pPr>
            <w:r>
              <w:rPr>
                <w:color w:val="000000"/>
                <w:kern w:val="0"/>
                <w:szCs w:val="21"/>
              </w:rPr>
              <w:t>(</w:t>
            </w:r>
            <w:r>
              <w:rPr>
                <w:rFonts w:hint="eastAsia"/>
                <w:color w:val="000000"/>
                <w:kern w:val="0"/>
                <w:szCs w:val="21"/>
              </w:rPr>
              <w:t>百元</w:t>
            </w:r>
            <w:r>
              <w:rPr>
                <w:color w:val="000000"/>
                <w:kern w:val="0"/>
                <w:szCs w:val="21"/>
              </w:rPr>
              <w:t>)</w:t>
            </w:r>
          </w:p>
        </w:tc>
        <w:tc>
          <w:tcPr>
            <w:tcW w:w="1175" w:type="dxa"/>
            <w:noWrap/>
            <w:vAlign w:val="center"/>
          </w:tcPr>
          <w:p>
            <w:pPr>
              <w:widowControl/>
              <w:spacing w:line="240" w:lineRule="exact"/>
              <w:jc w:val="left"/>
              <w:rPr>
                <w:rFonts w:hint="default"/>
                <w:color w:val="000000"/>
                <w:kern w:val="0"/>
                <w:szCs w:val="21"/>
                <w:lang w:val="en-US"/>
              </w:rPr>
            </w:pPr>
            <w:r>
              <w:rPr>
                <w:rFonts w:hint="eastAsia"/>
                <w:color w:val="000000"/>
                <w:kern w:val="0"/>
                <w:szCs w:val="21"/>
              </w:rPr>
              <w:t>　</w:t>
            </w:r>
            <w:r>
              <w:rPr>
                <w:rFonts w:hint="eastAsia"/>
                <w:color w:val="000000"/>
                <w:kern w:val="0"/>
                <w:szCs w:val="21"/>
                <w:lang w:val="en-US" w:eastAsia="zh-CN"/>
              </w:rPr>
              <w:t>1000</w:t>
            </w:r>
          </w:p>
        </w:tc>
        <w:tc>
          <w:tcPr>
            <w:tcW w:w="1291"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1000</w:t>
            </w:r>
          </w:p>
        </w:tc>
        <w:tc>
          <w:tcPr>
            <w:tcW w:w="1200"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6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执行额</w:t>
            </w:r>
          </w:p>
          <w:p>
            <w:pPr>
              <w:widowControl/>
              <w:spacing w:line="240" w:lineRule="exact"/>
              <w:jc w:val="center"/>
              <w:rPr>
                <w:color w:val="000000"/>
                <w:kern w:val="0"/>
                <w:szCs w:val="21"/>
              </w:rPr>
            </w:pPr>
            <w:r>
              <w:rPr>
                <w:color w:val="000000"/>
                <w:kern w:val="0"/>
                <w:szCs w:val="21"/>
              </w:rPr>
              <w:t>(</w:t>
            </w:r>
            <w:r>
              <w:rPr>
                <w:rFonts w:hint="eastAsia"/>
                <w:color w:val="000000"/>
                <w:kern w:val="0"/>
                <w:szCs w:val="21"/>
              </w:rPr>
              <w:t>百元</w:t>
            </w:r>
            <w:r>
              <w:rPr>
                <w:color w:val="000000"/>
                <w:kern w:val="0"/>
                <w:szCs w:val="21"/>
              </w:rPr>
              <w:t>)</w:t>
            </w:r>
          </w:p>
        </w:tc>
        <w:tc>
          <w:tcPr>
            <w:tcW w:w="1175" w:type="dxa"/>
            <w:noWrap/>
            <w:vAlign w:val="center"/>
          </w:tcPr>
          <w:p>
            <w:pPr>
              <w:widowControl/>
              <w:spacing w:line="240" w:lineRule="exact"/>
              <w:jc w:val="left"/>
              <w:rPr>
                <w:rFonts w:hint="default"/>
                <w:color w:val="000000"/>
                <w:kern w:val="0"/>
                <w:szCs w:val="21"/>
                <w:lang w:val="en-US"/>
              </w:rPr>
            </w:pPr>
            <w:r>
              <w:rPr>
                <w:rFonts w:hint="eastAsia"/>
                <w:color w:val="000000"/>
                <w:kern w:val="0"/>
                <w:szCs w:val="21"/>
              </w:rPr>
              <w:t>　</w:t>
            </w:r>
            <w:r>
              <w:rPr>
                <w:rFonts w:hint="eastAsia"/>
                <w:color w:val="000000"/>
                <w:kern w:val="0"/>
                <w:szCs w:val="21"/>
                <w:lang w:val="en-US" w:eastAsia="zh-CN"/>
              </w:rPr>
              <w:t>0</w:t>
            </w:r>
          </w:p>
        </w:tc>
        <w:tc>
          <w:tcPr>
            <w:tcW w:w="1291" w:type="dxa"/>
            <w:noWrap/>
            <w:vAlign w:val="center"/>
          </w:tcPr>
          <w:p>
            <w:pPr>
              <w:widowControl/>
              <w:spacing w:line="240" w:lineRule="exact"/>
              <w:jc w:val="left"/>
              <w:rPr>
                <w:rFonts w:hint="default"/>
                <w:color w:val="000000"/>
                <w:kern w:val="0"/>
                <w:szCs w:val="21"/>
                <w:lang w:val="en-US"/>
              </w:rPr>
            </w:pPr>
            <w:r>
              <w:rPr>
                <w:rFonts w:hint="eastAsia"/>
                <w:color w:val="000000"/>
                <w:kern w:val="0"/>
                <w:szCs w:val="21"/>
              </w:rPr>
              <w:t>　</w:t>
            </w:r>
            <w:r>
              <w:rPr>
                <w:rFonts w:hint="eastAsia"/>
                <w:color w:val="000000"/>
                <w:kern w:val="0"/>
                <w:szCs w:val="21"/>
                <w:lang w:val="en-US" w:eastAsia="zh-CN"/>
              </w:rPr>
              <w:t>0</w:t>
            </w:r>
          </w:p>
        </w:tc>
        <w:tc>
          <w:tcPr>
            <w:tcW w:w="1200"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6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当年结转结余额</w:t>
            </w:r>
            <w:r>
              <w:rPr>
                <w:color w:val="000000"/>
                <w:kern w:val="0"/>
                <w:szCs w:val="21"/>
              </w:rPr>
              <w:t>(</w:t>
            </w:r>
            <w:r>
              <w:rPr>
                <w:rFonts w:hint="eastAsia"/>
                <w:color w:val="000000"/>
                <w:kern w:val="0"/>
                <w:szCs w:val="21"/>
              </w:rPr>
              <w:t>百元</w:t>
            </w:r>
            <w:r>
              <w:rPr>
                <w:color w:val="000000"/>
                <w:kern w:val="0"/>
                <w:szCs w:val="21"/>
              </w:rPr>
              <w:t>)</w:t>
            </w:r>
          </w:p>
        </w:tc>
        <w:tc>
          <w:tcPr>
            <w:tcW w:w="117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9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00"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6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结转结余率</w:t>
            </w:r>
            <w:r>
              <w:rPr>
                <w:color w:val="000000"/>
                <w:kern w:val="0"/>
                <w:szCs w:val="21"/>
              </w:rPr>
              <w:t>%</w:t>
            </w:r>
          </w:p>
        </w:tc>
        <w:tc>
          <w:tcPr>
            <w:tcW w:w="117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9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00"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6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结转结余变动率</w:t>
            </w:r>
            <w:r>
              <w:rPr>
                <w:color w:val="000000"/>
                <w:kern w:val="0"/>
                <w:szCs w:val="21"/>
              </w:rPr>
              <w:t>%</w:t>
            </w:r>
          </w:p>
        </w:tc>
        <w:tc>
          <w:tcPr>
            <w:tcW w:w="117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9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00"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6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5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5" w:hRule="atLeast"/>
          <w:jc w:val="center"/>
        </w:trPr>
        <w:tc>
          <w:tcPr>
            <w:tcW w:w="706" w:type="dxa"/>
            <w:vMerge w:val="restart"/>
            <w:noWrap/>
            <w:vAlign w:val="center"/>
          </w:tcPr>
          <w:p>
            <w:pPr>
              <w:widowControl/>
              <w:spacing w:line="240" w:lineRule="exact"/>
              <w:jc w:val="center"/>
              <w:rPr>
                <w:color w:val="000000"/>
                <w:kern w:val="0"/>
                <w:szCs w:val="21"/>
              </w:rPr>
            </w:pPr>
            <w:r>
              <w:rPr>
                <w:rFonts w:hint="eastAsia"/>
                <w:color w:val="000000"/>
                <w:kern w:val="0"/>
                <w:szCs w:val="21"/>
              </w:rPr>
              <w:t>年度总体目标</w:t>
            </w:r>
          </w:p>
        </w:tc>
        <w:tc>
          <w:tcPr>
            <w:tcW w:w="2769" w:type="dxa"/>
            <w:gridSpan w:val="2"/>
            <w:noWrap/>
            <w:vAlign w:val="center"/>
          </w:tcPr>
          <w:p>
            <w:pPr>
              <w:widowControl/>
              <w:spacing w:line="240" w:lineRule="exact"/>
              <w:jc w:val="center"/>
              <w:rPr>
                <w:color w:val="000000"/>
                <w:kern w:val="0"/>
                <w:szCs w:val="21"/>
              </w:rPr>
            </w:pPr>
            <w:r>
              <w:rPr>
                <w:rFonts w:hint="eastAsia"/>
                <w:color w:val="000000"/>
                <w:kern w:val="0"/>
                <w:szCs w:val="21"/>
              </w:rPr>
              <w:t>预算总体目标</w:t>
            </w:r>
          </w:p>
        </w:tc>
        <w:tc>
          <w:tcPr>
            <w:tcW w:w="2491" w:type="dxa"/>
            <w:gridSpan w:val="2"/>
            <w:noWrap/>
            <w:vAlign w:val="center"/>
          </w:tcPr>
          <w:p>
            <w:pPr>
              <w:widowControl/>
              <w:spacing w:line="240" w:lineRule="exact"/>
              <w:jc w:val="center"/>
              <w:rPr>
                <w:color w:val="000000"/>
                <w:kern w:val="0"/>
                <w:szCs w:val="21"/>
              </w:rPr>
            </w:pPr>
            <w:r>
              <w:rPr>
                <w:rFonts w:hint="eastAsia"/>
                <w:color w:val="000000"/>
                <w:kern w:val="0"/>
                <w:szCs w:val="21"/>
              </w:rPr>
              <w:t>预算总体目标执行结果</w:t>
            </w:r>
          </w:p>
        </w:tc>
        <w:tc>
          <w:tcPr>
            <w:tcW w:w="3318" w:type="dxa"/>
            <w:gridSpan w:val="2"/>
            <w:noWrap/>
            <w:vAlign w:val="center"/>
          </w:tcPr>
          <w:p>
            <w:pPr>
              <w:widowControl/>
              <w:spacing w:line="240" w:lineRule="exact"/>
              <w:jc w:val="center"/>
              <w:rPr>
                <w:color w:val="000000"/>
                <w:kern w:val="0"/>
                <w:szCs w:val="21"/>
              </w:rPr>
            </w:pPr>
            <w:r>
              <w:rPr>
                <w:rFonts w:hint="eastAsia"/>
                <w:color w:val="000000"/>
                <w:kern w:val="0"/>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vMerge w:val="continue"/>
            <w:noWrap w:val="0"/>
            <w:vAlign w:val="center"/>
          </w:tcPr>
          <w:p>
            <w:pPr>
              <w:widowControl/>
              <w:spacing w:line="240" w:lineRule="exact"/>
              <w:jc w:val="left"/>
              <w:rPr>
                <w:color w:val="000000"/>
                <w:kern w:val="0"/>
                <w:szCs w:val="21"/>
              </w:rPr>
            </w:pPr>
          </w:p>
        </w:tc>
        <w:tc>
          <w:tcPr>
            <w:tcW w:w="2769" w:type="dxa"/>
            <w:gridSpan w:val="2"/>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完成双龙村桥梁修复（新建）</w:t>
            </w:r>
          </w:p>
        </w:tc>
        <w:tc>
          <w:tcPr>
            <w:tcW w:w="2491" w:type="dxa"/>
            <w:gridSpan w:val="2"/>
            <w:noWrap/>
            <w:vAlign w:val="center"/>
          </w:tcPr>
          <w:p>
            <w:pPr>
              <w:widowControl/>
              <w:spacing w:line="240" w:lineRule="exact"/>
              <w:jc w:val="both"/>
              <w:rPr>
                <w:color w:val="000000"/>
                <w:kern w:val="0"/>
                <w:szCs w:val="21"/>
              </w:rPr>
            </w:pPr>
            <w:r>
              <w:rPr>
                <w:rFonts w:hint="eastAsia"/>
                <w:color w:val="000000"/>
                <w:kern w:val="0"/>
                <w:szCs w:val="21"/>
                <w:lang w:val="en-US" w:eastAsia="zh-CN"/>
              </w:rPr>
              <w:t>完成双龙村桥梁修复（新建）</w:t>
            </w:r>
          </w:p>
        </w:tc>
        <w:tc>
          <w:tcPr>
            <w:tcW w:w="3318" w:type="dxa"/>
            <w:gridSpan w:val="2"/>
            <w:noWrap/>
            <w:vAlign w:val="center"/>
          </w:tcPr>
          <w:p>
            <w:pPr>
              <w:widowControl/>
              <w:spacing w:line="240" w:lineRule="exact"/>
              <w:jc w:val="center"/>
              <w:rPr>
                <w:rFonts w:hint="eastAsia" w:eastAsia="宋体"/>
                <w:color w:val="00000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0" w:hRule="atLeast"/>
          <w:jc w:val="center"/>
        </w:trPr>
        <w:tc>
          <w:tcPr>
            <w:tcW w:w="706" w:type="dxa"/>
            <w:vMerge w:val="restart"/>
            <w:noWrap/>
            <w:vAlign w:val="center"/>
          </w:tcPr>
          <w:p>
            <w:pPr>
              <w:widowControl/>
              <w:spacing w:line="240" w:lineRule="exact"/>
              <w:jc w:val="center"/>
              <w:rPr>
                <w:color w:val="000000"/>
                <w:kern w:val="0"/>
                <w:szCs w:val="21"/>
              </w:rPr>
            </w:pPr>
            <w:r>
              <w:rPr>
                <w:rFonts w:hint="eastAsia"/>
                <w:color w:val="000000"/>
                <w:kern w:val="0"/>
                <w:szCs w:val="21"/>
              </w:rPr>
              <w:t>年度绩</w:t>
            </w:r>
          </w:p>
          <w:p>
            <w:pPr>
              <w:widowControl/>
              <w:spacing w:line="240" w:lineRule="exact"/>
              <w:jc w:val="center"/>
              <w:rPr>
                <w:color w:val="000000"/>
                <w:kern w:val="0"/>
                <w:szCs w:val="21"/>
              </w:rPr>
            </w:pPr>
            <w:r>
              <w:rPr>
                <w:rFonts w:hint="eastAsia"/>
                <w:color w:val="000000"/>
                <w:kern w:val="0"/>
                <w:szCs w:val="21"/>
              </w:rPr>
              <w:t>效指标</w:t>
            </w: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一级</w:t>
            </w:r>
          </w:p>
          <w:p>
            <w:pPr>
              <w:widowControl/>
              <w:spacing w:line="240" w:lineRule="exact"/>
              <w:jc w:val="center"/>
              <w:rPr>
                <w:color w:val="000000"/>
                <w:kern w:val="0"/>
                <w:szCs w:val="21"/>
              </w:rPr>
            </w:pPr>
            <w:r>
              <w:rPr>
                <w:rFonts w:hint="eastAsia"/>
                <w:color w:val="000000"/>
                <w:kern w:val="0"/>
                <w:szCs w:val="21"/>
              </w:rPr>
              <w:t>指标</w:t>
            </w: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二级指标</w:t>
            </w:r>
          </w:p>
        </w:tc>
        <w:tc>
          <w:tcPr>
            <w:tcW w:w="1291" w:type="dxa"/>
            <w:noWrap/>
            <w:vAlign w:val="center"/>
          </w:tcPr>
          <w:p>
            <w:pPr>
              <w:widowControl/>
              <w:spacing w:line="240" w:lineRule="exact"/>
              <w:jc w:val="center"/>
              <w:rPr>
                <w:color w:val="000000"/>
                <w:kern w:val="0"/>
                <w:szCs w:val="21"/>
              </w:rPr>
            </w:pPr>
            <w:r>
              <w:rPr>
                <w:rFonts w:hint="eastAsia"/>
                <w:color w:val="000000"/>
                <w:kern w:val="0"/>
                <w:szCs w:val="21"/>
              </w:rPr>
              <w:t>三级</w:t>
            </w:r>
          </w:p>
          <w:p>
            <w:pPr>
              <w:widowControl/>
              <w:spacing w:line="240" w:lineRule="exact"/>
              <w:jc w:val="center"/>
              <w:rPr>
                <w:color w:val="000000"/>
                <w:kern w:val="0"/>
                <w:szCs w:val="21"/>
              </w:rPr>
            </w:pPr>
            <w:r>
              <w:rPr>
                <w:rFonts w:hint="eastAsia"/>
                <w:color w:val="000000"/>
                <w:kern w:val="0"/>
                <w:szCs w:val="21"/>
              </w:rPr>
              <w:t>指标</w:t>
            </w:r>
          </w:p>
        </w:tc>
        <w:tc>
          <w:tcPr>
            <w:tcW w:w="1200" w:type="dxa"/>
            <w:noWrap/>
            <w:vAlign w:val="center"/>
          </w:tcPr>
          <w:p>
            <w:pPr>
              <w:widowControl/>
              <w:spacing w:line="240" w:lineRule="exact"/>
              <w:jc w:val="center"/>
              <w:rPr>
                <w:color w:val="000000"/>
                <w:kern w:val="0"/>
                <w:szCs w:val="21"/>
              </w:rPr>
            </w:pPr>
            <w:r>
              <w:rPr>
                <w:rFonts w:hint="eastAsia"/>
                <w:color w:val="000000"/>
                <w:kern w:val="0"/>
                <w:szCs w:val="21"/>
              </w:rPr>
              <w:t>预算指标值</w:t>
            </w:r>
            <w:r>
              <w:rPr>
                <w:color w:val="000000"/>
                <w:kern w:val="0"/>
                <w:szCs w:val="21"/>
              </w:rPr>
              <w:t>(</w:t>
            </w:r>
            <w:r>
              <w:rPr>
                <w:rFonts w:hint="eastAsia"/>
                <w:color w:val="000000"/>
                <w:kern w:val="0"/>
                <w:szCs w:val="21"/>
              </w:rPr>
              <w:t>包含数字及文字描述</w:t>
            </w:r>
            <w:r>
              <w:rPr>
                <w:color w:val="000000"/>
                <w:kern w:val="0"/>
                <w:szCs w:val="21"/>
              </w:rPr>
              <w:t>)</w:t>
            </w:r>
          </w:p>
        </w:tc>
        <w:tc>
          <w:tcPr>
            <w:tcW w:w="1665" w:type="dxa"/>
            <w:noWrap/>
            <w:vAlign w:val="center"/>
          </w:tcPr>
          <w:p>
            <w:pPr>
              <w:widowControl/>
              <w:spacing w:line="240" w:lineRule="exact"/>
              <w:jc w:val="center"/>
              <w:rPr>
                <w:color w:val="000000"/>
                <w:kern w:val="0"/>
                <w:szCs w:val="21"/>
              </w:rPr>
            </w:pPr>
            <w:r>
              <w:rPr>
                <w:rFonts w:hint="eastAsia"/>
                <w:color w:val="000000"/>
                <w:kern w:val="0"/>
                <w:szCs w:val="21"/>
              </w:rPr>
              <w:t>预算指标值执行结果</w:t>
            </w:r>
            <w:r>
              <w:rPr>
                <w:color w:val="000000"/>
                <w:kern w:val="0"/>
                <w:szCs w:val="21"/>
              </w:rPr>
              <w:t>(</w:t>
            </w:r>
            <w:r>
              <w:rPr>
                <w:rFonts w:hint="eastAsia"/>
                <w:color w:val="000000"/>
                <w:kern w:val="0"/>
                <w:szCs w:val="21"/>
              </w:rPr>
              <w:t>包含数字及文字描述</w:t>
            </w:r>
            <w:r>
              <w:rPr>
                <w:color w:val="000000"/>
                <w:kern w:val="0"/>
                <w:szCs w:val="21"/>
              </w:rPr>
              <w:t>)</w:t>
            </w:r>
          </w:p>
        </w:tc>
        <w:tc>
          <w:tcPr>
            <w:tcW w:w="1653" w:type="dxa"/>
            <w:noWrap/>
            <w:vAlign w:val="center"/>
          </w:tcPr>
          <w:p>
            <w:pPr>
              <w:widowControl/>
              <w:spacing w:line="240" w:lineRule="exact"/>
              <w:jc w:val="center"/>
              <w:rPr>
                <w:color w:val="000000"/>
                <w:kern w:val="0"/>
                <w:szCs w:val="21"/>
              </w:rPr>
            </w:pPr>
            <w:r>
              <w:rPr>
                <w:rFonts w:hint="eastAsia"/>
                <w:color w:val="000000"/>
                <w:kern w:val="0"/>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90"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vMerge w:val="restart"/>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完成</w:t>
            </w: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数量</w:t>
            </w:r>
          </w:p>
          <w:p>
            <w:pPr>
              <w:widowControl/>
              <w:spacing w:line="240" w:lineRule="exact"/>
              <w:jc w:val="center"/>
              <w:rPr>
                <w:color w:val="000000"/>
                <w:kern w:val="0"/>
                <w:szCs w:val="21"/>
              </w:rPr>
            </w:pPr>
            <w:r>
              <w:rPr>
                <w:rFonts w:hint="eastAsia"/>
                <w:color w:val="000000"/>
                <w:kern w:val="0"/>
                <w:szCs w:val="21"/>
              </w:rPr>
              <w:t>指标</w:t>
            </w:r>
          </w:p>
        </w:tc>
        <w:tc>
          <w:tcPr>
            <w:tcW w:w="129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lang w:val="en-US" w:eastAsia="zh-CN"/>
              </w:rPr>
              <w:t>修复（新建）桥梁</w:t>
            </w:r>
          </w:p>
        </w:tc>
        <w:tc>
          <w:tcPr>
            <w:tcW w:w="1200"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一座</w:t>
            </w:r>
          </w:p>
        </w:tc>
        <w:tc>
          <w:tcPr>
            <w:tcW w:w="1665"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修复（新建）桥梁</w:t>
            </w:r>
          </w:p>
        </w:tc>
        <w:tc>
          <w:tcPr>
            <w:tcW w:w="1653" w:type="dxa"/>
            <w:noWrap/>
            <w:vAlign w:val="center"/>
          </w:tcPr>
          <w:p>
            <w:pPr>
              <w:widowControl/>
              <w:spacing w:line="24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一座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vMerge w:val="continue"/>
            <w:noWrap w:val="0"/>
            <w:vAlign w:val="center"/>
          </w:tcPr>
          <w:p>
            <w:pPr>
              <w:widowControl/>
              <w:spacing w:line="240" w:lineRule="exact"/>
              <w:jc w:val="left"/>
              <w:rPr>
                <w:color w:val="000000"/>
                <w:kern w:val="0"/>
                <w:szCs w:val="21"/>
              </w:rPr>
            </w:pP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质量</w:t>
            </w:r>
          </w:p>
          <w:p>
            <w:pPr>
              <w:widowControl/>
              <w:spacing w:line="240" w:lineRule="exact"/>
              <w:jc w:val="center"/>
              <w:rPr>
                <w:color w:val="000000"/>
                <w:kern w:val="0"/>
                <w:szCs w:val="21"/>
              </w:rPr>
            </w:pPr>
            <w:r>
              <w:rPr>
                <w:rFonts w:hint="eastAsia"/>
                <w:color w:val="000000"/>
                <w:kern w:val="0"/>
                <w:szCs w:val="21"/>
              </w:rPr>
              <w:t>指标</w:t>
            </w:r>
          </w:p>
        </w:tc>
        <w:tc>
          <w:tcPr>
            <w:tcW w:w="1291"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验收合格率</w:t>
            </w:r>
          </w:p>
        </w:tc>
        <w:tc>
          <w:tcPr>
            <w:tcW w:w="1200"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100%</w:t>
            </w:r>
          </w:p>
        </w:tc>
        <w:tc>
          <w:tcPr>
            <w:tcW w:w="1665"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验收合格率</w:t>
            </w:r>
          </w:p>
        </w:tc>
        <w:tc>
          <w:tcPr>
            <w:tcW w:w="1653" w:type="dxa"/>
            <w:noWrap/>
            <w:vAlign w:val="center"/>
          </w:tcPr>
          <w:p>
            <w:pPr>
              <w:widowControl/>
              <w:spacing w:line="24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vMerge w:val="continue"/>
            <w:noWrap w:val="0"/>
            <w:vAlign w:val="center"/>
          </w:tcPr>
          <w:p>
            <w:pPr>
              <w:widowControl/>
              <w:spacing w:line="240" w:lineRule="exact"/>
              <w:jc w:val="left"/>
              <w:rPr>
                <w:color w:val="000000"/>
                <w:kern w:val="0"/>
                <w:szCs w:val="21"/>
              </w:rPr>
            </w:pP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时效</w:t>
            </w:r>
          </w:p>
          <w:p>
            <w:pPr>
              <w:widowControl/>
              <w:spacing w:line="240" w:lineRule="exact"/>
              <w:jc w:val="center"/>
              <w:rPr>
                <w:color w:val="000000"/>
                <w:kern w:val="0"/>
                <w:szCs w:val="21"/>
              </w:rPr>
            </w:pPr>
            <w:r>
              <w:rPr>
                <w:rFonts w:hint="eastAsia"/>
                <w:color w:val="000000"/>
                <w:kern w:val="0"/>
                <w:szCs w:val="21"/>
              </w:rPr>
              <w:t>指标</w:t>
            </w:r>
          </w:p>
        </w:tc>
        <w:tc>
          <w:tcPr>
            <w:tcW w:w="1291"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完成时间</w:t>
            </w:r>
          </w:p>
        </w:tc>
        <w:tc>
          <w:tcPr>
            <w:tcW w:w="1200" w:type="dxa"/>
            <w:noWrap/>
            <w:vAlign w:val="center"/>
          </w:tcPr>
          <w:p>
            <w:pPr>
              <w:widowControl/>
              <w:spacing w:line="240" w:lineRule="exact"/>
              <w:jc w:val="left"/>
              <w:rPr>
                <w:rFonts w:hint="default"/>
                <w:color w:val="000000"/>
                <w:kern w:val="0"/>
                <w:szCs w:val="21"/>
                <w:lang w:val="en-US"/>
              </w:rPr>
            </w:pPr>
            <w:r>
              <w:rPr>
                <w:rFonts w:hint="eastAsia"/>
                <w:color w:val="000000"/>
                <w:kern w:val="0"/>
                <w:szCs w:val="21"/>
                <w:lang w:val="en-US" w:eastAsia="zh-CN"/>
              </w:rPr>
              <w:t>2022年</w:t>
            </w:r>
          </w:p>
        </w:tc>
        <w:tc>
          <w:tcPr>
            <w:tcW w:w="1665"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完成时间</w:t>
            </w:r>
          </w:p>
        </w:tc>
        <w:tc>
          <w:tcPr>
            <w:tcW w:w="1653" w:type="dxa"/>
            <w:noWrap/>
            <w:vAlign w:val="center"/>
          </w:tcPr>
          <w:p>
            <w:pPr>
              <w:widowControl/>
              <w:spacing w:line="24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2022年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84"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vMerge w:val="continue"/>
            <w:noWrap w:val="0"/>
            <w:vAlign w:val="center"/>
          </w:tcPr>
          <w:p>
            <w:pPr>
              <w:widowControl/>
              <w:spacing w:line="240" w:lineRule="exact"/>
              <w:jc w:val="left"/>
              <w:rPr>
                <w:color w:val="000000"/>
                <w:kern w:val="0"/>
                <w:szCs w:val="21"/>
              </w:rPr>
            </w:pP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成本</w:t>
            </w:r>
          </w:p>
          <w:p>
            <w:pPr>
              <w:widowControl/>
              <w:spacing w:line="240" w:lineRule="exact"/>
              <w:jc w:val="center"/>
              <w:rPr>
                <w:color w:val="000000"/>
                <w:kern w:val="0"/>
                <w:szCs w:val="21"/>
              </w:rPr>
            </w:pPr>
            <w:r>
              <w:rPr>
                <w:rFonts w:hint="eastAsia"/>
                <w:color w:val="000000"/>
                <w:kern w:val="0"/>
                <w:szCs w:val="21"/>
              </w:rPr>
              <w:t>指标</w:t>
            </w:r>
          </w:p>
        </w:tc>
        <w:tc>
          <w:tcPr>
            <w:tcW w:w="1291"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补助资金投入</w:t>
            </w:r>
          </w:p>
        </w:tc>
        <w:tc>
          <w:tcPr>
            <w:tcW w:w="1200"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大于等于10万元</w:t>
            </w:r>
          </w:p>
        </w:tc>
        <w:tc>
          <w:tcPr>
            <w:tcW w:w="1665"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补助资金投入</w:t>
            </w:r>
          </w:p>
        </w:tc>
        <w:tc>
          <w:tcPr>
            <w:tcW w:w="1653" w:type="dxa"/>
            <w:noWrap/>
            <w:vAlign w:val="center"/>
          </w:tcPr>
          <w:p>
            <w:pPr>
              <w:widowControl/>
              <w:spacing w:line="24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大于等于10万元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vMerge w:val="continue"/>
            <w:noWrap w:val="0"/>
            <w:vAlign w:val="center"/>
          </w:tcPr>
          <w:p>
            <w:pPr>
              <w:widowControl/>
              <w:spacing w:line="240" w:lineRule="exact"/>
              <w:jc w:val="left"/>
              <w:rPr>
                <w:color w:val="000000"/>
                <w:kern w:val="0"/>
                <w:szCs w:val="21"/>
              </w:rPr>
            </w:pPr>
          </w:p>
        </w:tc>
        <w:tc>
          <w:tcPr>
            <w:tcW w:w="1175" w:type="dxa"/>
            <w:noWrap/>
            <w:vAlign w:val="center"/>
          </w:tcPr>
          <w:p>
            <w:pPr>
              <w:widowControl/>
              <w:spacing w:line="240" w:lineRule="exact"/>
              <w:jc w:val="center"/>
              <w:rPr>
                <w:rFonts w:hint="eastAsia"/>
                <w:color w:val="000000"/>
                <w:kern w:val="0"/>
                <w:szCs w:val="21"/>
              </w:rPr>
            </w:pPr>
            <w:r>
              <w:rPr>
                <w:rFonts w:hint="eastAsia"/>
                <w:color w:val="000000"/>
                <w:kern w:val="0"/>
                <w:szCs w:val="21"/>
              </w:rPr>
              <w:t>社会</w:t>
            </w:r>
          </w:p>
          <w:p>
            <w:pPr>
              <w:widowControl/>
              <w:spacing w:line="240" w:lineRule="exact"/>
              <w:jc w:val="center"/>
              <w:rPr>
                <w:rFonts w:hint="eastAsia"/>
                <w:color w:val="000000"/>
                <w:kern w:val="0"/>
                <w:szCs w:val="21"/>
              </w:rPr>
            </w:pPr>
            <w:r>
              <w:rPr>
                <w:rFonts w:hint="eastAsia"/>
                <w:color w:val="000000"/>
                <w:kern w:val="0"/>
                <w:szCs w:val="21"/>
              </w:rPr>
              <w:t>效益</w:t>
            </w:r>
          </w:p>
          <w:p>
            <w:pPr>
              <w:widowControl/>
              <w:spacing w:line="240" w:lineRule="exact"/>
              <w:jc w:val="center"/>
              <w:rPr>
                <w:color w:val="000000"/>
                <w:kern w:val="0"/>
                <w:szCs w:val="21"/>
              </w:rPr>
            </w:pPr>
            <w:r>
              <w:rPr>
                <w:rFonts w:hint="eastAsia"/>
                <w:color w:val="000000"/>
                <w:kern w:val="0"/>
                <w:szCs w:val="21"/>
              </w:rPr>
              <w:t>指标</w:t>
            </w:r>
          </w:p>
        </w:tc>
        <w:tc>
          <w:tcPr>
            <w:tcW w:w="1291"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提升群众满意度、出行安全</w:t>
            </w:r>
          </w:p>
        </w:tc>
        <w:tc>
          <w:tcPr>
            <w:tcW w:w="1200" w:type="dxa"/>
            <w:noWrap/>
            <w:vAlign w:val="center"/>
          </w:tcPr>
          <w:p>
            <w:pPr>
              <w:widowControl/>
              <w:spacing w:line="240" w:lineRule="exact"/>
              <w:jc w:val="left"/>
              <w:rPr>
                <w:color w:val="000000"/>
                <w:kern w:val="0"/>
                <w:szCs w:val="21"/>
              </w:rPr>
            </w:pPr>
            <w:r>
              <w:rPr>
                <w:rFonts w:hint="eastAsia"/>
                <w:color w:val="000000"/>
                <w:kern w:val="0"/>
                <w:szCs w:val="21"/>
                <w:lang w:val="en-US" w:eastAsia="zh-CN"/>
              </w:rPr>
              <w:t>优</w:t>
            </w:r>
          </w:p>
        </w:tc>
        <w:tc>
          <w:tcPr>
            <w:tcW w:w="1665"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提升群众满意度、出行安全</w:t>
            </w:r>
          </w:p>
        </w:tc>
        <w:tc>
          <w:tcPr>
            <w:tcW w:w="1653" w:type="dxa"/>
            <w:noWrap/>
            <w:vAlign w:val="center"/>
          </w:tcPr>
          <w:p>
            <w:pPr>
              <w:widowControl/>
              <w:spacing w:line="240" w:lineRule="exact"/>
              <w:jc w:val="left"/>
              <w:rPr>
                <w:rFonts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06" w:type="dxa"/>
            <w:vMerge w:val="continue"/>
            <w:noWrap w:val="0"/>
            <w:vAlign w:val="center"/>
          </w:tcPr>
          <w:p>
            <w:pPr>
              <w:widowControl/>
              <w:spacing w:line="240" w:lineRule="exact"/>
              <w:jc w:val="left"/>
              <w:rPr>
                <w:color w:val="000000"/>
                <w:kern w:val="0"/>
                <w:szCs w:val="21"/>
              </w:rPr>
            </w:pPr>
          </w:p>
        </w:tc>
        <w:tc>
          <w:tcPr>
            <w:tcW w:w="1594" w:type="dxa"/>
            <w:noWrap/>
            <w:vAlign w:val="center"/>
          </w:tcPr>
          <w:p>
            <w:pPr>
              <w:widowControl/>
              <w:spacing w:line="240" w:lineRule="exact"/>
              <w:jc w:val="center"/>
              <w:rPr>
                <w:color w:val="000000"/>
                <w:kern w:val="0"/>
                <w:szCs w:val="21"/>
              </w:rPr>
            </w:pPr>
            <w:r>
              <w:rPr>
                <w:rFonts w:hint="eastAsia"/>
                <w:color w:val="000000"/>
                <w:kern w:val="0"/>
                <w:szCs w:val="21"/>
              </w:rPr>
              <w:t>满意度</w:t>
            </w:r>
          </w:p>
          <w:p>
            <w:pPr>
              <w:widowControl/>
              <w:spacing w:line="240" w:lineRule="exact"/>
              <w:jc w:val="center"/>
              <w:rPr>
                <w:color w:val="000000"/>
                <w:kern w:val="0"/>
                <w:szCs w:val="21"/>
              </w:rPr>
            </w:pPr>
            <w:r>
              <w:rPr>
                <w:rFonts w:hint="eastAsia"/>
                <w:color w:val="000000"/>
                <w:kern w:val="0"/>
                <w:szCs w:val="21"/>
              </w:rPr>
              <w:t>指标</w:t>
            </w:r>
          </w:p>
        </w:tc>
        <w:tc>
          <w:tcPr>
            <w:tcW w:w="1175" w:type="dxa"/>
            <w:noWrap/>
            <w:vAlign w:val="center"/>
          </w:tcPr>
          <w:p>
            <w:pPr>
              <w:widowControl/>
              <w:spacing w:line="240" w:lineRule="exact"/>
              <w:jc w:val="center"/>
              <w:rPr>
                <w:color w:val="000000"/>
                <w:kern w:val="0"/>
                <w:szCs w:val="21"/>
              </w:rPr>
            </w:pPr>
            <w:r>
              <w:rPr>
                <w:rFonts w:hint="eastAsia"/>
                <w:color w:val="000000"/>
                <w:kern w:val="0"/>
                <w:szCs w:val="21"/>
              </w:rPr>
              <w:t>满意度指标</w:t>
            </w:r>
          </w:p>
        </w:tc>
        <w:tc>
          <w:tcPr>
            <w:tcW w:w="1291"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受益群众满意度</w:t>
            </w:r>
          </w:p>
        </w:tc>
        <w:tc>
          <w:tcPr>
            <w:tcW w:w="1200" w:type="dxa"/>
            <w:noWrap/>
            <w:vAlign w:val="center"/>
          </w:tcPr>
          <w:p>
            <w:pPr>
              <w:widowControl/>
              <w:spacing w:line="240" w:lineRule="exact"/>
              <w:jc w:val="left"/>
              <w:rPr>
                <w:color w:val="000000"/>
                <w:kern w:val="0"/>
                <w:szCs w:val="21"/>
              </w:rPr>
            </w:pPr>
            <w:r>
              <w:rPr>
                <w:rFonts w:hint="eastAsia"/>
                <w:color w:val="000000"/>
                <w:kern w:val="0"/>
                <w:szCs w:val="21"/>
                <w:lang w:val="en-US" w:eastAsia="zh-CN"/>
              </w:rPr>
              <w:t>大于等于95%</w:t>
            </w:r>
          </w:p>
        </w:tc>
        <w:tc>
          <w:tcPr>
            <w:tcW w:w="1665"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受益群众满意度</w:t>
            </w:r>
          </w:p>
        </w:tc>
        <w:tc>
          <w:tcPr>
            <w:tcW w:w="1653" w:type="dxa"/>
            <w:noWrap/>
            <w:vAlign w:val="center"/>
          </w:tcPr>
          <w:p>
            <w:pPr>
              <w:widowControl/>
              <w:spacing w:line="240" w:lineRule="exact"/>
              <w:jc w:val="left"/>
              <w:rPr>
                <w:rFonts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大于等于95%</w:t>
            </w:r>
          </w:p>
        </w:tc>
      </w:tr>
    </w:tbl>
    <w:p>
      <w:pPr>
        <w:pStyle w:val="8"/>
        <w:spacing w:before="93"/>
        <w:rPr>
          <w:rFonts w:hint="eastAsia" w:hAnsi="宋体" w:cs="宋体"/>
          <w:sz w:val="32"/>
          <w:szCs w:val="32"/>
          <w:shd w:val="clear" w:color="auto" w:fill="FFFFFF"/>
          <w:lang w:val="zh-CN"/>
        </w:rPr>
      </w:pPr>
    </w:p>
    <w:p>
      <w:pPr>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spacing w:line="58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lang w:val="en-US" w:eastAsia="zh-CN"/>
        </w:rPr>
        <w:t>2</w:t>
      </w:r>
      <w:r>
        <w:rPr>
          <w:rFonts w:hint="eastAsia" w:eastAsia="方正小标宋简体"/>
          <w:sz w:val="44"/>
          <w:szCs w:val="44"/>
        </w:rPr>
        <w:t>年乐至县项目支出绩效自评报告</w:t>
      </w:r>
    </w:p>
    <w:p>
      <w:pPr>
        <w:spacing w:line="580" w:lineRule="exact"/>
        <w:jc w:val="center"/>
        <w:rPr>
          <w:rFonts w:eastAsia="方正楷体简体"/>
          <w:b/>
          <w:sz w:val="32"/>
          <w:szCs w:val="32"/>
        </w:rPr>
      </w:pPr>
      <w:r>
        <w:rPr>
          <w:rFonts w:hint="eastAsia" w:eastAsia="方正楷体简体"/>
          <w:b/>
          <w:sz w:val="32"/>
          <w:szCs w:val="32"/>
        </w:rPr>
        <w:t>（</w:t>
      </w:r>
      <w:r>
        <w:rPr>
          <w:rFonts w:hint="eastAsia" w:eastAsia="方正楷体简体"/>
          <w:b/>
          <w:sz w:val="32"/>
          <w:szCs w:val="32"/>
          <w:lang w:eastAsia="zh-CN"/>
        </w:rPr>
        <w:t>劳动镇石家坳村狮行桥改造项目</w:t>
      </w:r>
      <w:r>
        <w:rPr>
          <w:rFonts w:hint="eastAsia" w:eastAsia="方正楷体简体"/>
          <w:b/>
          <w:sz w:val="32"/>
          <w:szCs w:val="32"/>
        </w:rPr>
        <w:t>）</w:t>
      </w:r>
    </w:p>
    <w:p>
      <w:pPr>
        <w:spacing w:line="580" w:lineRule="exact"/>
        <w:ind w:firstLine="560" w:firstLineChars="200"/>
        <w:rPr>
          <w:rFonts w:eastAsia="方正黑体简体"/>
          <w:sz w:val="32"/>
          <w:szCs w:val="32"/>
        </w:rPr>
      </w:pPr>
      <w:r>
        <w:rPr>
          <w:rFonts w:hint="eastAsia" w:eastAsia="方正仿宋简体"/>
          <w:sz w:val="28"/>
          <w:szCs w:val="28"/>
          <w:lang w:val="en-US" w:eastAsia="zh-CN"/>
        </w:rPr>
        <w:t>按照乐至县财政局《关于开展2022年度财政支出绩效自评工作的通知》要求，我镇高度重视，认真组织开展劳动镇双龙村狮行桥改造项目支出绩效自评，现将自评工作总结如下。</w:t>
      </w:r>
    </w:p>
    <w:p>
      <w:pPr>
        <w:spacing w:line="580" w:lineRule="exact"/>
        <w:ind w:firstLine="640" w:firstLineChars="200"/>
        <w:rPr>
          <w:rFonts w:eastAsia="方正黑体简体"/>
          <w:sz w:val="32"/>
          <w:szCs w:val="32"/>
        </w:rPr>
      </w:pPr>
      <w:r>
        <w:rPr>
          <w:rFonts w:hint="eastAsia" w:eastAsia="方正黑体简体"/>
          <w:sz w:val="32"/>
          <w:szCs w:val="32"/>
        </w:rPr>
        <w:t>一、项目基本情况</w:t>
      </w:r>
    </w:p>
    <w:p>
      <w:pPr>
        <w:spacing w:line="580" w:lineRule="exact"/>
        <w:ind w:firstLine="643" w:firstLineChars="200"/>
        <w:rPr>
          <w:rFonts w:eastAsia="方正楷体简体"/>
          <w:b/>
          <w:sz w:val="32"/>
          <w:szCs w:val="32"/>
        </w:rPr>
      </w:pPr>
      <w:r>
        <w:rPr>
          <w:rFonts w:hint="eastAsia" w:eastAsia="方正楷体简体"/>
          <w:b/>
          <w:sz w:val="32"/>
          <w:szCs w:val="32"/>
        </w:rPr>
        <w:t>（一）概况</w:t>
      </w:r>
    </w:p>
    <w:p>
      <w:pPr>
        <w:spacing w:line="580" w:lineRule="exact"/>
        <w:ind w:firstLine="643" w:firstLineChars="200"/>
        <w:rPr>
          <w:rFonts w:hint="eastAsia" w:eastAsia="方正仿宋简体"/>
          <w:sz w:val="32"/>
          <w:szCs w:val="32"/>
        </w:rPr>
      </w:pPr>
      <w:r>
        <w:rPr>
          <w:rFonts w:eastAsia="方正仿宋简体"/>
          <w:b/>
          <w:sz w:val="32"/>
          <w:szCs w:val="32"/>
        </w:rPr>
        <w:t>1.</w:t>
      </w:r>
      <w:r>
        <w:rPr>
          <w:rFonts w:hint="eastAsia" w:eastAsia="方正仿宋简体"/>
          <w:sz w:val="32"/>
          <w:szCs w:val="32"/>
        </w:rPr>
        <w:t>立项背景及目的</w:t>
      </w:r>
    </w:p>
    <w:p>
      <w:pPr>
        <w:spacing w:line="580" w:lineRule="exact"/>
        <w:ind w:firstLine="640" w:firstLineChars="200"/>
        <w:rPr>
          <w:rFonts w:hint="eastAsia" w:eastAsia="方正仿宋简体"/>
          <w:sz w:val="32"/>
          <w:szCs w:val="32"/>
          <w:lang w:eastAsia="zh-CN"/>
        </w:rPr>
      </w:pPr>
      <w:r>
        <w:rPr>
          <w:rFonts w:hint="eastAsia" w:eastAsia="方正仿宋简体"/>
          <w:sz w:val="32"/>
          <w:szCs w:val="32"/>
        </w:rPr>
        <w:t>劳动镇以“我为群众办实事”为着力点，主动作为、认真谋划，积极回应百姓诉求，把全面推进农村公路桥梁安全改造纳入为民办实事任务清单，</w:t>
      </w:r>
      <w:r>
        <w:rPr>
          <w:rFonts w:hint="eastAsia" w:eastAsia="方正仿宋简体"/>
          <w:sz w:val="32"/>
          <w:szCs w:val="32"/>
          <w:lang w:eastAsia="zh-CN"/>
        </w:rPr>
        <w:t>双龙村狮行桥存在较大通行安全隐患，且影响村民便利出行，群众反映强烈。</w:t>
      </w:r>
    </w:p>
    <w:p>
      <w:pPr>
        <w:spacing w:line="580" w:lineRule="exact"/>
        <w:ind w:firstLine="643" w:firstLineChars="200"/>
        <w:rPr>
          <w:rFonts w:hint="eastAsia" w:eastAsia="方正仿宋简体"/>
          <w:sz w:val="32"/>
          <w:szCs w:val="32"/>
        </w:rPr>
      </w:pPr>
      <w:r>
        <w:rPr>
          <w:rFonts w:eastAsia="方正仿宋简体"/>
          <w:b/>
          <w:sz w:val="32"/>
          <w:szCs w:val="32"/>
        </w:rPr>
        <w:t>2.</w:t>
      </w:r>
      <w:r>
        <w:rPr>
          <w:rFonts w:hint="eastAsia" w:eastAsia="方正仿宋简体"/>
          <w:sz w:val="32"/>
          <w:szCs w:val="32"/>
        </w:rPr>
        <w:t>预算资金来源及使用情况</w:t>
      </w:r>
    </w:p>
    <w:p>
      <w:pPr>
        <w:spacing w:line="580" w:lineRule="exact"/>
        <w:ind w:firstLine="640" w:firstLineChars="200"/>
        <w:rPr>
          <w:rFonts w:hint="eastAsia" w:eastAsia="方正仿宋简体"/>
          <w:sz w:val="32"/>
          <w:szCs w:val="32"/>
          <w:lang w:eastAsia="zh-CN"/>
        </w:rPr>
      </w:pPr>
      <w:r>
        <w:rPr>
          <w:rFonts w:hint="eastAsia" w:eastAsia="方正仿宋简体"/>
          <w:sz w:val="32"/>
          <w:szCs w:val="32"/>
          <w:lang w:eastAsia="zh-CN"/>
        </w:rPr>
        <w:t>项目资金来源是</w:t>
      </w:r>
      <w:r>
        <w:rPr>
          <w:rFonts w:hint="eastAsia" w:eastAsia="方正仿宋简体"/>
          <w:sz w:val="32"/>
          <w:szCs w:val="32"/>
          <w:lang w:val="en-US" w:eastAsia="zh-CN"/>
        </w:rPr>
        <w:t>2022年市级财政农村综合改革专项资金，</w:t>
      </w:r>
      <w:r>
        <w:rPr>
          <w:rFonts w:hint="eastAsia" w:eastAsia="方正仿宋简体"/>
          <w:sz w:val="32"/>
          <w:szCs w:val="32"/>
          <w:lang w:eastAsia="zh-CN"/>
        </w:rPr>
        <w:t>全年预算数</w:t>
      </w:r>
      <w:r>
        <w:rPr>
          <w:rFonts w:hint="eastAsia" w:eastAsia="方正仿宋简体"/>
          <w:sz w:val="32"/>
          <w:szCs w:val="32"/>
          <w:lang w:val="en-US" w:eastAsia="zh-CN"/>
        </w:rPr>
        <w:t>30.00</w:t>
      </w:r>
      <w:r>
        <w:rPr>
          <w:rFonts w:hint="eastAsia" w:eastAsia="方正仿宋简体"/>
          <w:sz w:val="32"/>
          <w:szCs w:val="32"/>
          <w:lang w:eastAsia="zh-CN"/>
        </w:rPr>
        <w:t>万元，执行数为</w:t>
      </w:r>
      <w:r>
        <w:rPr>
          <w:rFonts w:hint="eastAsia" w:eastAsia="方正仿宋简体"/>
          <w:sz w:val="32"/>
          <w:szCs w:val="32"/>
          <w:lang w:val="en-US" w:eastAsia="zh-CN"/>
        </w:rPr>
        <w:t>30.00</w:t>
      </w:r>
      <w:r>
        <w:rPr>
          <w:rFonts w:hint="eastAsia" w:eastAsia="方正仿宋简体"/>
          <w:sz w:val="32"/>
          <w:szCs w:val="32"/>
          <w:lang w:eastAsia="zh-CN"/>
        </w:rPr>
        <w:t>万元，用于改建双龙村狮行桥。</w:t>
      </w:r>
    </w:p>
    <w:p>
      <w:pPr>
        <w:spacing w:line="580" w:lineRule="exact"/>
        <w:ind w:firstLine="643" w:firstLineChars="200"/>
        <w:rPr>
          <w:rFonts w:hint="eastAsia" w:eastAsia="方正仿宋简体"/>
          <w:sz w:val="32"/>
          <w:szCs w:val="32"/>
        </w:rPr>
      </w:pPr>
      <w:r>
        <w:rPr>
          <w:rFonts w:eastAsia="方正仿宋简体"/>
          <w:b/>
          <w:sz w:val="32"/>
          <w:szCs w:val="32"/>
        </w:rPr>
        <w:t>3.</w:t>
      </w:r>
      <w:r>
        <w:rPr>
          <w:rFonts w:hint="eastAsia" w:eastAsia="方正仿宋简体"/>
          <w:sz w:val="32"/>
          <w:szCs w:val="32"/>
        </w:rPr>
        <w:t>实施情况（项目完成情况）</w:t>
      </w:r>
    </w:p>
    <w:p>
      <w:pPr>
        <w:spacing w:line="580" w:lineRule="exact"/>
        <w:ind w:firstLine="640" w:firstLineChars="200"/>
        <w:rPr>
          <w:rFonts w:hint="eastAsia" w:eastAsia="方正仿宋简体"/>
          <w:sz w:val="32"/>
          <w:szCs w:val="32"/>
        </w:rPr>
      </w:pPr>
      <w:r>
        <w:rPr>
          <w:rFonts w:hint="eastAsia" w:eastAsia="方正仿宋简体"/>
          <w:sz w:val="32"/>
          <w:szCs w:val="32"/>
          <w:lang w:eastAsia="zh-CN"/>
        </w:rPr>
        <w:t>双龙村狮行桥已完成改建顺利通车，大大便利了里面群众出行，推动了双龙村枳壳产业园区建设。</w:t>
      </w:r>
    </w:p>
    <w:p>
      <w:pPr>
        <w:spacing w:line="580" w:lineRule="exact"/>
        <w:ind w:firstLine="643" w:firstLineChars="200"/>
        <w:rPr>
          <w:rFonts w:hint="eastAsia" w:eastAsia="方正仿宋简体"/>
          <w:sz w:val="32"/>
          <w:szCs w:val="32"/>
        </w:rPr>
      </w:pPr>
      <w:r>
        <w:rPr>
          <w:rFonts w:eastAsia="方正仿宋简体"/>
          <w:b/>
          <w:sz w:val="32"/>
          <w:szCs w:val="32"/>
        </w:rPr>
        <w:t>4.</w:t>
      </w:r>
      <w:r>
        <w:rPr>
          <w:rFonts w:hint="eastAsia" w:eastAsia="方正仿宋简体"/>
          <w:sz w:val="32"/>
          <w:szCs w:val="32"/>
        </w:rPr>
        <w:t>组织及管理（项目组织、管理流程及实际执行情况）</w:t>
      </w:r>
    </w:p>
    <w:p>
      <w:pPr>
        <w:spacing w:line="580" w:lineRule="exact"/>
        <w:ind w:firstLine="640" w:firstLineChars="200"/>
        <w:rPr>
          <w:rFonts w:hint="eastAsia" w:eastAsia="方正仿宋简体"/>
          <w:sz w:val="32"/>
          <w:szCs w:val="32"/>
          <w:lang w:eastAsia="zh-CN"/>
        </w:rPr>
      </w:pPr>
      <w:r>
        <w:rPr>
          <w:rFonts w:hint="eastAsia" w:eastAsia="方正仿宋简体"/>
          <w:sz w:val="32"/>
          <w:szCs w:val="32"/>
        </w:rPr>
        <w:t>项目启动阶段请</w:t>
      </w:r>
      <w:r>
        <w:rPr>
          <w:rFonts w:hint="eastAsia" w:eastAsia="方正仿宋简体"/>
          <w:sz w:val="32"/>
          <w:szCs w:val="32"/>
          <w:lang w:eastAsia="zh-CN"/>
        </w:rPr>
        <w:t>首辅工程设计有限公司</w:t>
      </w:r>
      <w:r>
        <w:rPr>
          <w:rFonts w:hint="eastAsia" w:eastAsia="方正仿宋简体"/>
          <w:sz w:val="32"/>
          <w:szCs w:val="32"/>
        </w:rPr>
        <w:t>进行</w:t>
      </w:r>
      <w:r>
        <w:rPr>
          <w:rFonts w:hint="eastAsia" w:eastAsia="方正仿宋简体"/>
          <w:sz w:val="32"/>
          <w:szCs w:val="32"/>
          <w:lang w:eastAsia="zh-CN"/>
        </w:rPr>
        <w:t>桥梁改建设计</w:t>
      </w:r>
      <w:r>
        <w:rPr>
          <w:rFonts w:hint="eastAsia" w:eastAsia="方正仿宋简体"/>
          <w:sz w:val="32"/>
          <w:szCs w:val="32"/>
        </w:rPr>
        <w:t>，执行阶段请</w:t>
      </w:r>
      <w:r>
        <w:rPr>
          <w:rFonts w:hint="eastAsia" w:eastAsia="方正仿宋简体"/>
          <w:sz w:val="32"/>
          <w:szCs w:val="32"/>
          <w:lang w:eastAsia="zh-CN"/>
        </w:rPr>
        <w:t>中天恒发建筑工程有限</w:t>
      </w:r>
      <w:r>
        <w:rPr>
          <w:rFonts w:hint="eastAsia" w:eastAsia="方正仿宋简体"/>
          <w:sz w:val="32"/>
          <w:szCs w:val="32"/>
        </w:rPr>
        <w:t>公司进行</w:t>
      </w:r>
      <w:r>
        <w:rPr>
          <w:rFonts w:hint="eastAsia" w:eastAsia="方正仿宋简体"/>
          <w:sz w:val="32"/>
          <w:szCs w:val="32"/>
          <w:lang w:eastAsia="zh-CN"/>
        </w:rPr>
        <w:t>桥梁改建</w:t>
      </w:r>
      <w:r>
        <w:rPr>
          <w:rFonts w:hint="eastAsia" w:eastAsia="方正仿宋简体"/>
          <w:sz w:val="32"/>
          <w:szCs w:val="32"/>
        </w:rPr>
        <w:t>工程，</w:t>
      </w:r>
      <w:r>
        <w:rPr>
          <w:rFonts w:hint="eastAsia" w:eastAsia="方正仿宋简体"/>
          <w:sz w:val="32"/>
          <w:szCs w:val="32"/>
          <w:lang w:eastAsia="zh-CN"/>
        </w:rPr>
        <w:t>目前已顺利完工通车。</w:t>
      </w:r>
    </w:p>
    <w:p>
      <w:pPr>
        <w:spacing w:line="580" w:lineRule="exact"/>
        <w:ind w:firstLine="643" w:firstLineChars="200"/>
        <w:rPr>
          <w:rFonts w:eastAsia="方正楷体简体"/>
          <w:b/>
          <w:sz w:val="32"/>
          <w:szCs w:val="32"/>
        </w:rPr>
      </w:pPr>
      <w:r>
        <w:rPr>
          <w:rFonts w:hint="eastAsia" w:eastAsia="方正楷体简体"/>
          <w:b/>
          <w:sz w:val="32"/>
          <w:szCs w:val="32"/>
        </w:rPr>
        <w:t>（二）绩效目标</w:t>
      </w:r>
    </w:p>
    <w:p>
      <w:pPr>
        <w:spacing w:line="580" w:lineRule="exact"/>
        <w:ind w:firstLine="640" w:firstLineChars="200"/>
        <w:rPr>
          <w:rFonts w:hint="eastAsia" w:eastAsia="方正仿宋简体"/>
          <w:sz w:val="32"/>
          <w:szCs w:val="32"/>
        </w:rPr>
      </w:pPr>
      <w:r>
        <w:rPr>
          <w:rFonts w:hint="eastAsia" w:eastAsia="方正仿宋简体"/>
          <w:sz w:val="32"/>
          <w:szCs w:val="32"/>
        </w:rPr>
        <w:t>绩效总体目标是</w:t>
      </w:r>
      <w:r>
        <w:rPr>
          <w:rFonts w:hint="eastAsia" w:eastAsia="方正仿宋简体"/>
          <w:sz w:val="32"/>
          <w:szCs w:val="32"/>
          <w:lang w:eastAsia="zh-CN"/>
        </w:rPr>
        <w:t>完成狮行桥改建，</w:t>
      </w:r>
      <w:r>
        <w:rPr>
          <w:rFonts w:hint="eastAsia" w:eastAsia="方正仿宋简体"/>
          <w:sz w:val="32"/>
          <w:szCs w:val="32"/>
        </w:rPr>
        <w:t>保障</w:t>
      </w:r>
      <w:r>
        <w:rPr>
          <w:rFonts w:hint="eastAsia" w:eastAsia="方正仿宋简体"/>
          <w:sz w:val="32"/>
          <w:szCs w:val="32"/>
          <w:lang w:eastAsia="zh-CN"/>
        </w:rPr>
        <w:t>群众便利安全出行</w:t>
      </w:r>
      <w:r>
        <w:rPr>
          <w:rFonts w:hint="eastAsia" w:eastAsia="方正仿宋简体"/>
          <w:sz w:val="32"/>
          <w:szCs w:val="32"/>
        </w:rPr>
        <w:t>。数量指标：拆除原有危桥，改建成1座长35米宽3米的人车通行桥梁；质量指标：按照设计要求达标率</w:t>
      </w:r>
      <w:r>
        <w:rPr>
          <w:rFonts w:hint="eastAsia" w:eastAsia="方正仿宋简体"/>
          <w:sz w:val="32"/>
          <w:szCs w:val="32"/>
          <w:lang w:val="en-US" w:eastAsia="zh-CN"/>
        </w:rPr>
        <w:t>100%</w:t>
      </w:r>
      <w:r>
        <w:rPr>
          <w:rFonts w:hint="eastAsia" w:eastAsia="方正仿宋简体"/>
          <w:sz w:val="32"/>
          <w:szCs w:val="32"/>
        </w:rPr>
        <w:t>；时效指标：</w:t>
      </w:r>
      <w:r>
        <w:rPr>
          <w:rFonts w:hint="eastAsia" w:eastAsia="方正仿宋简体"/>
          <w:sz w:val="32"/>
          <w:szCs w:val="32"/>
          <w:lang w:eastAsia="zh-CN"/>
        </w:rPr>
        <w:t>一</w:t>
      </w:r>
      <w:r>
        <w:rPr>
          <w:rFonts w:hint="eastAsia" w:eastAsia="方正仿宋简体"/>
          <w:sz w:val="32"/>
          <w:szCs w:val="32"/>
        </w:rPr>
        <w:t>年内完成；成本指标：资金</w:t>
      </w:r>
      <w:r>
        <w:rPr>
          <w:rFonts w:hint="eastAsia" w:eastAsia="方正仿宋简体"/>
          <w:sz w:val="32"/>
          <w:szCs w:val="32"/>
          <w:lang w:eastAsia="zh-CN"/>
        </w:rPr>
        <w:t>预算</w:t>
      </w:r>
      <w:r>
        <w:rPr>
          <w:rFonts w:hint="eastAsia" w:eastAsia="方正仿宋简体"/>
          <w:sz w:val="32"/>
          <w:szCs w:val="32"/>
        </w:rPr>
        <w:t>投入</w:t>
      </w:r>
      <w:r>
        <w:rPr>
          <w:rFonts w:hint="eastAsia" w:eastAsia="方正仿宋简体"/>
          <w:sz w:val="32"/>
          <w:szCs w:val="32"/>
          <w:lang w:val="en-US" w:eastAsia="zh-CN"/>
        </w:rPr>
        <w:t>30</w:t>
      </w:r>
      <w:r>
        <w:rPr>
          <w:rFonts w:hint="eastAsia" w:eastAsia="方正仿宋简体"/>
          <w:sz w:val="32"/>
          <w:szCs w:val="32"/>
        </w:rPr>
        <w:t>万元；社会效益指标：方便群众</w:t>
      </w:r>
      <w:r>
        <w:rPr>
          <w:rFonts w:hint="eastAsia" w:eastAsia="方正仿宋简体"/>
          <w:sz w:val="32"/>
          <w:szCs w:val="32"/>
          <w:lang w:eastAsia="zh-CN"/>
        </w:rPr>
        <w:t>安全</w:t>
      </w:r>
      <w:r>
        <w:rPr>
          <w:rFonts w:hint="eastAsia" w:eastAsia="方正仿宋简体"/>
          <w:sz w:val="32"/>
          <w:szCs w:val="32"/>
        </w:rPr>
        <w:t>出行及减少洪水灾害影响；满意度指标：受益群众满意度大于9</w:t>
      </w:r>
      <w:r>
        <w:rPr>
          <w:rFonts w:hint="eastAsia" w:eastAsia="方正仿宋简体"/>
          <w:sz w:val="32"/>
          <w:szCs w:val="32"/>
          <w:lang w:val="en-US" w:eastAsia="zh-CN"/>
        </w:rPr>
        <w:t>5</w:t>
      </w:r>
      <w:r>
        <w:rPr>
          <w:rFonts w:hint="eastAsia" w:eastAsia="方正仿宋简体"/>
          <w:sz w:val="32"/>
          <w:szCs w:val="32"/>
        </w:rPr>
        <w:t>%。</w:t>
      </w:r>
    </w:p>
    <w:p>
      <w:pPr>
        <w:spacing w:line="580" w:lineRule="exact"/>
        <w:ind w:firstLine="640" w:firstLineChars="200"/>
        <w:rPr>
          <w:rFonts w:eastAsia="方正黑体简体"/>
          <w:sz w:val="32"/>
          <w:szCs w:val="32"/>
        </w:rPr>
      </w:pPr>
      <w:r>
        <w:rPr>
          <w:rFonts w:hint="eastAsia" w:eastAsia="方正黑体简体"/>
          <w:sz w:val="32"/>
          <w:szCs w:val="32"/>
        </w:rPr>
        <w:t>二、绩效自评工作情况</w:t>
      </w:r>
    </w:p>
    <w:p>
      <w:pPr>
        <w:spacing w:line="580" w:lineRule="exact"/>
        <w:ind w:firstLine="643" w:firstLineChars="200"/>
        <w:rPr>
          <w:rFonts w:hint="eastAsia" w:eastAsia="方正楷体简体"/>
          <w:b/>
          <w:sz w:val="32"/>
          <w:szCs w:val="32"/>
        </w:rPr>
      </w:pPr>
      <w:r>
        <w:rPr>
          <w:rFonts w:hint="eastAsia" w:eastAsia="方正楷体简体"/>
          <w:b/>
          <w:sz w:val="32"/>
          <w:szCs w:val="32"/>
        </w:rPr>
        <w:t>（一）自评工作组织领导</w:t>
      </w:r>
    </w:p>
    <w:p>
      <w:pPr>
        <w:spacing w:line="580" w:lineRule="exact"/>
        <w:ind w:firstLine="640" w:firstLineChars="200"/>
        <w:rPr>
          <w:rFonts w:hint="eastAsia" w:eastAsia="方正楷体简体"/>
          <w:b/>
          <w:sz w:val="32"/>
          <w:szCs w:val="32"/>
        </w:rPr>
      </w:pPr>
      <w:r>
        <w:rPr>
          <w:rFonts w:hint="eastAsia" w:eastAsia="方正仿宋简体"/>
          <w:sz w:val="32"/>
          <w:szCs w:val="32"/>
        </w:rPr>
        <w:t>镇党委政府高</w:t>
      </w:r>
      <w:r>
        <w:rPr>
          <w:rFonts w:hint="eastAsia" w:eastAsia="方正仿宋简体"/>
          <w:sz w:val="32"/>
          <w:szCs w:val="32"/>
          <w:lang w:eastAsia="zh-CN"/>
        </w:rPr>
        <w:t>度</w:t>
      </w:r>
      <w:r>
        <w:rPr>
          <w:rFonts w:hint="eastAsia" w:eastAsia="方正仿宋简体"/>
          <w:sz w:val="32"/>
          <w:szCs w:val="32"/>
        </w:rPr>
        <w:t>重视绩效自评工作，成立了绩效自评领导小组，组长由镇长担任</w:t>
      </w:r>
      <w:r>
        <w:rPr>
          <w:rFonts w:hint="eastAsia" w:eastAsia="方正仿宋简体"/>
          <w:sz w:val="32"/>
          <w:szCs w:val="32"/>
          <w:lang w:eastAsia="zh-CN"/>
        </w:rPr>
        <w:t>，成员由镇纪委、镇财政所及该项目负责部门同志组成。</w:t>
      </w:r>
    </w:p>
    <w:p>
      <w:pPr>
        <w:spacing w:line="580" w:lineRule="exact"/>
        <w:ind w:firstLine="643" w:firstLineChars="200"/>
        <w:rPr>
          <w:rFonts w:hint="eastAsia" w:eastAsia="方正楷体简体"/>
          <w:b/>
          <w:sz w:val="32"/>
          <w:szCs w:val="32"/>
        </w:rPr>
      </w:pPr>
      <w:r>
        <w:rPr>
          <w:rFonts w:hint="eastAsia" w:eastAsia="方正楷体简体"/>
          <w:b/>
          <w:sz w:val="32"/>
          <w:szCs w:val="32"/>
        </w:rPr>
        <w:t>（二）自评方式、方法、重点等</w:t>
      </w:r>
    </w:p>
    <w:p>
      <w:pPr>
        <w:spacing w:line="580" w:lineRule="exact"/>
        <w:ind w:firstLine="640" w:firstLineChars="200"/>
        <w:rPr>
          <w:rFonts w:hint="eastAsia" w:eastAsia="方正楷体简体"/>
          <w:b/>
          <w:sz w:val="32"/>
          <w:szCs w:val="32"/>
        </w:rPr>
      </w:pPr>
      <w:r>
        <w:rPr>
          <w:rFonts w:hint="eastAsia" w:eastAsia="方正仿宋简体"/>
          <w:sz w:val="32"/>
          <w:szCs w:val="32"/>
        </w:rPr>
        <w:t>自评工作由绩效自评工作小组完成，完成对项目执行中对项目绩效目标实现程度和预算执行进度自评。具体就是对项目完成数量、质量、时效、成本等情况，对照项目计划完成目标，对截止评价时点的任务量完成、质量标准、进度计划、成本控制目标的实现程度进行评价，并进行分析说明。</w:t>
      </w:r>
    </w:p>
    <w:p>
      <w:pPr>
        <w:spacing w:line="580" w:lineRule="exact"/>
        <w:ind w:firstLine="640" w:firstLineChars="200"/>
        <w:rPr>
          <w:rFonts w:eastAsia="方正黑体简体"/>
          <w:sz w:val="32"/>
          <w:szCs w:val="32"/>
        </w:rPr>
      </w:pPr>
      <w:r>
        <w:rPr>
          <w:rFonts w:hint="eastAsia" w:eastAsia="方正黑体简体"/>
          <w:sz w:val="32"/>
          <w:szCs w:val="32"/>
        </w:rPr>
        <w:t>三、评价结论</w:t>
      </w:r>
    </w:p>
    <w:p>
      <w:pPr>
        <w:spacing w:line="580" w:lineRule="exact"/>
        <w:ind w:firstLine="640" w:firstLineChars="200"/>
        <w:rPr>
          <w:rFonts w:eastAsia="方正仿宋简体"/>
          <w:sz w:val="32"/>
          <w:szCs w:val="32"/>
        </w:rPr>
      </w:pPr>
      <w:r>
        <w:rPr>
          <w:rFonts w:hint="eastAsia" w:eastAsia="方正仿宋简体"/>
          <w:sz w:val="32"/>
          <w:szCs w:val="32"/>
        </w:rPr>
        <w:t>严格按照投入、过程、产出、效果等指标评分，自评等级为良。</w:t>
      </w:r>
    </w:p>
    <w:p>
      <w:pPr>
        <w:spacing w:line="580" w:lineRule="exact"/>
        <w:ind w:firstLine="640" w:firstLineChars="200"/>
        <w:rPr>
          <w:rFonts w:eastAsia="方正黑体简体"/>
          <w:sz w:val="32"/>
          <w:szCs w:val="32"/>
        </w:rPr>
      </w:pPr>
      <w:r>
        <w:rPr>
          <w:rFonts w:hint="eastAsia" w:eastAsia="方正黑体简体"/>
          <w:sz w:val="32"/>
          <w:szCs w:val="32"/>
        </w:rPr>
        <w:t>四、绩效分析</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rPr>
          <w:rFonts w:eastAsia="方正仿宋简体"/>
          <w:sz w:val="32"/>
          <w:szCs w:val="32"/>
        </w:rPr>
      </w:pPr>
      <w:r>
        <w:rPr>
          <w:rFonts w:hint="eastAsia" w:ascii="Times New Roman" w:hAnsi="Times New Roman" w:eastAsia="方正仿宋简体" w:cs="Times New Roman"/>
          <w:kern w:val="2"/>
          <w:sz w:val="32"/>
          <w:szCs w:val="32"/>
          <w:lang w:val="en-US" w:eastAsia="zh-CN" w:bidi="ar-SA"/>
        </w:rPr>
        <w:t>1、项目资金到位情况分析。202</w:t>
      </w:r>
      <w:r>
        <w:rPr>
          <w:rFonts w:hint="eastAsia" w:eastAsia="方正仿宋简体" w:cs="Times New Roman"/>
          <w:kern w:val="2"/>
          <w:sz w:val="32"/>
          <w:szCs w:val="32"/>
          <w:lang w:val="en-US" w:eastAsia="zh-CN" w:bidi="ar-SA"/>
        </w:rPr>
        <w:t>2</w:t>
      </w:r>
      <w:r>
        <w:rPr>
          <w:rFonts w:hint="eastAsia" w:ascii="Times New Roman" w:hAnsi="Times New Roman" w:eastAsia="方正仿宋简体" w:cs="Times New Roman"/>
          <w:kern w:val="2"/>
          <w:sz w:val="32"/>
          <w:szCs w:val="32"/>
          <w:lang w:val="en-US" w:eastAsia="zh-CN" w:bidi="ar-SA"/>
        </w:rPr>
        <w:t>年度下达市级财政农村综合改革专项资金</w:t>
      </w:r>
      <w:r>
        <w:rPr>
          <w:rFonts w:hint="eastAsia" w:eastAsia="方正仿宋简体" w:cs="Times New Roman"/>
          <w:kern w:val="2"/>
          <w:sz w:val="32"/>
          <w:szCs w:val="32"/>
          <w:lang w:val="en-US" w:eastAsia="zh-CN" w:bidi="ar-SA"/>
        </w:rPr>
        <w:t>30.00万</w:t>
      </w:r>
      <w:r>
        <w:rPr>
          <w:rFonts w:hint="eastAsia" w:ascii="Times New Roman" w:hAnsi="Times New Roman" w:eastAsia="方正仿宋简体" w:cs="Times New Roman"/>
          <w:kern w:val="2"/>
          <w:sz w:val="32"/>
          <w:szCs w:val="32"/>
          <w:lang w:val="en-US" w:eastAsia="zh-CN" w:bidi="ar-SA"/>
        </w:rPr>
        <w:t>元，资金到位率</w:t>
      </w:r>
      <w:r>
        <w:rPr>
          <w:rFonts w:hint="eastAsia" w:eastAsia="方正仿宋简体" w:cs="Times New Roman"/>
          <w:kern w:val="2"/>
          <w:sz w:val="32"/>
          <w:szCs w:val="32"/>
          <w:lang w:val="en-US" w:eastAsia="zh-CN" w:bidi="ar-SA"/>
        </w:rPr>
        <w:t>10</w:t>
      </w:r>
      <w:r>
        <w:rPr>
          <w:rFonts w:hint="eastAsia" w:ascii="Times New Roman" w:hAnsi="Times New Roman" w:eastAsia="方正仿宋简体" w:cs="Times New Roman"/>
          <w:kern w:val="2"/>
          <w:sz w:val="32"/>
          <w:szCs w:val="32"/>
          <w:lang w:val="en-US" w:eastAsia="zh-CN" w:bidi="ar-SA"/>
        </w:rPr>
        <w:t>0%。2、项目资金执行情况分析。资金执行率为</w:t>
      </w:r>
      <w:r>
        <w:rPr>
          <w:rFonts w:hint="eastAsia" w:eastAsia="方正仿宋简体" w:cs="Times New Roman"/>
          <w:kern w:val="2"/>
          <w:sz w:val="32"/>
          <w:szCs w:val="32"/>
          <w:lang w:val="en-US" w:eastAsia="zh-CN" w:bidi="ar-SA"/>
        </w:rPr>
        <w:t>10</w:t>
      </w:r>
      <w:r>
        <w:rPr>
          <w:rFonts w:hint="eastAsia" w:ascii="Times New Roman" w:hAnsi="Times New Roman" w:eastAsia="方正仿宋简体" w:cs="Times New Roman"/>
          <w:kern w:val="2"/>
          <w:sz w:val="32"/>
          <w:szCs w:val="32"/>
          <w:lang w:val="en-US" w:eastAsia="zh-CN" w:bidi="ar-SA"/>
        </w:rPr>
        <w:t>0%；3、项目资金管理情况分析。项目资金无挪用、截留情况，统一使用管理，规范了资金来源、支出范围、使用管理、监督管理，目前双龙村狮行桥已完工通车，一定程度达到了预期效果。</w:t>
      </w:r>
    </w:p>
    <w:p>
      <w:pPr>
        <w:spacing w:line="580" w:lineRule="exact"/>
        <w:ind w:firstLine="640" w:firstLineChars="200"/>
        <w:rPr>
          <w:rFonts w:eastAsia="方正黑体简体"/>
          <w:sz w:val="32"/>
          <w:szCs w:val="32"/>
        </w:rPr>
      </w:pPr>
      <w:r>
        <w:rPr>
          <w:rFonts w:hint="eastAsia" w:eastAsia="方正黑体简体"/>
          <w:sz w:val="32"/>
          <w:szCs w:val="32"/>
        </w:rPr>
        <w:t>五、主要经验及做法、存在的问题和建议</w:t>
      </w:r>
    </w:p>
    <w:p>
      <w:pPr>
        <w:spacing w:line="580" w:lineRule="exact"/>
        <w:ind w:firstLine="640" w:firstLineChars="200"/>
        <w:rPr>
          <w:rFonts w:hint="eastAsia" w:eastAsia="方正仿宋简体"/>
          <w:sz w:val="32"/>
          <w:szCs w:val="32"/>
        </w:rPr>
      </w:pPr>
      <w:r>
        <w:rPr>
          <w:rFonts w:hint="eastAsia" w:eastAsia="方正仿宋简体"/>
          <w:sz w:val="32"/>
          <w:szCs w:val="32"/>
          <w:lang w:eastAsia="zh-CN"/>
        </w:rPr>
        <w:t>进一步</w:t>
      </w:r>
      <w:r>
        <w:rPr>
          <w:rFonts w:hint="eastAsia" w:eastAsia="方正仿宋简体"/>
          <w:sz w:val="32"/>
          <w:szCs w:val="32"/>
        </w:rPr>
        <w:t>完善对补助建设项目形成资产的管</w:t>
      </w:r>
      <w:r>
        <w:rPr>
          <w:rFonts w:hint="eastAsia" w:eastAsia="方正仿宋简体"/>
          <w:sz w:val="32"/>
          <w:szCs w:val="32"/>
          <w:lang w:eastAsia="zh-CN"/>
        </w:rPr>
        <w:t>理使用；</w:t>
      </w:r>
      <w:r>
        <w:rPr>
          <w:rFonts w:hint="eastAsia" w:eastAsia="方正仿宋简体"/>
          <w:sz w:val="32"/>
          <w:szCs w:val="32"/>
        </w:rPr>
        <w:t>建立健全各项运行</w:t>
      </w:r>
      <w:r>
        <w:rPr>
          <w:rFonts w:hint="eastAsia" w:eastAsia="方正仿宋简体"/>
          <w:sz w:val="32"/>
          <w:szCs w:val="32"/>
          <w:lang w:eastAsia="zh-CN"/>
        </w:rPr>
        <w:t>管理</w:t>
      </w:r>
      <w:r>
        <w:rPr>
          <w:rFonts w:hint="eastAsia" w:eastAsia="方正仿宋简体"/>
          <w:sz w:val="32"/>
          <w:szCs w:val="32"/>
        </w:rPr>
        <w:t>制度，制定</w:t>
      </w:r>
      <w:r>
        <w:rPr>
          <w:rFonts w:hint="eastAsia" w:eastAsia="方正仿宋简体"/>
          <w:sz w:val="32"/>
          <w:szCs w:val="32"/>
          <w:lang w:eastAsia="zh-CN"/>
        </w:rPr>
        <w:t>相关</w:t>
      </w:r>
      <w:r>
        <w:rPr>
          <w:rFonts w:hint="eastAsia" w:eastAsia="方正仿宋简体"/>
          <w:sz w:val="32"/>
          <w:szCs w:val="32"/>
        </w:rPr>
        <w:t>措施、落实</w:t>
      </w:r>
      <w:r>
        <w:rPr>
          <w:rFonts w:hint="eastAsia" w:eastAsia="方正仿宋简体"/>
          <w:sz w:val="32"/>
          <w:szCs w:val="32"/>
          <w:lang w:eastAsia="zh-CN"/>
        </w:rPr>
        <w:t>多方</w:t>
      </w:r>
      <w:r>
        <w:rPr>
          <w:rFonts w:hint="eastAsia" w:eastAsia="方正仿宋简体"/>
          <w:sz w:val="32"/>
          <w:szCs w:val="32"/>
        </w:rPr>
        <w:t>责任，保证项目正常运转，发挥长期效益。</w:t>
      </w:r>
    </w:p>
    <w:p>
      <w:pPr>
        <w:spacing w:line="580" w:lineRule="exact"/>
        <w:ind w:firstLine="640" w:firstLineChars="200"/>
        <w:rPr>
          <w:rFonts w:eastAsia="方正仿宋简体"/>
          <w:sz w:val="32"/>
          <w:szCs w:val="32"/>
        </w:rPr>
      </w:pPr>
    </w:p>
    <w:p>
      <w:pPr>
        <w:spacing w:line="580" w:lineRule="exact"/>
        <w:ind w:firstLine="640" w:firstLineChars="200"/>
        <w:rPr>
          <w:rFonts w:eastAsia="方正仿宋简体"/>
          <w:sz w:val="32"/>
          <w:szCs w:val="32"/>
        </w:rPr>
      </w:pPr>
      <w:r>
        <w:rPr>
          <w:rFonts w:hint="eastAsia" w:eastAsia="方正仿宋简体"/>
          <w:sz w:val="32"/>
          <w:szCs w:val="32"/>
        </w:rPr>
        <w:t>附件：</w:t>
      </w:r>
      <w:r>
        <w:rPr>
          <w:rFonts w:eastAsia="方正仿宋简体"/>
          <w:sz w:val="32"/>
          <w:szCs w:val="32"/>
        </w:rPr>
        <w:t>1.202</w:t>
      </w:r>
      <w:r>
        <w:rPr>
          <w:rFonts w:hint="eastAsia" w:eastAsia="方正仿宋简体"/>
          <w:sz w:val="32"/>
          <w:szCs w:val="32"/>
          <w:lang w:val="en-US" w:eastAsia="zh-CN"/>
        </w:rPr>
        <w:t>2</w:t>
      </w:r>
      <w:r>
        <w:rPr>
          <w:rFonts w:hint="eastAsia" w:eastAsia="方正仿宋简体"/>
          <w:sz w:val="32"/>
          <w:szCs w:val="32"/>
        </w:rPr>
        <w:t>年度乐至县项目支出绩效自评计分表</w:t>
      </w:r>
    </w:p>
    <w:p>
      <w:pPr>
        <w:spacing w:line="580" w:lineRule="exact"/>
        <w:ind w:firstLine="1600" w:firstLineChars="500"/>
        <w:rPr>
          <w:rFonts w:eastAsia="方正仿宋简体"/>
          <w:sz w:val="32"/>
          <w:szCs w:val="32"/>
        </w:rPr>
      </w:pPr>
      <w:r>
        <w:rPr>
          <w:rFonts w:eastAsia="方正仿宋简体"/>
          <w:sz w:val="32"/>
          <w:szCs w:val="32"/>
        </w:rPr>
        <w:t>2.202</w:t>
      </w:r>
      <w:r>
        <w:rPr>
          <w:rFonts w:hint="eastAsia" w:eastAsia="方正仿宋简体"/>
          <w:sz w:val="32"/>
          <w:szCs w:val="32"/>
          <w:lang w:val="en-US" w:eastAsia="zh-CN"/>
        </w:rPr>
        <w:t>2</w:t>
      </w:r>
      <w:r>
        <w:rPr>
          <w:rFonts w:hint="eastAsia" w:eastAsia="方正仿宋简体"/>
          <w:sz w:val="32"/>
          <w:szCs w:val="32"/>
        </w:rPr>
        <w:t>年度乐至县项目支出绩效目标完成情况表</w:t>
      </w:r>
    </w:p>
    <w:p>
      <w:pPr>
        <w:spacing w:line="620" w:lineRule="exact"/>
        <w:ind w:left="1917" w:leftChars="760" w:hanging="321" w:hangingChars="100"/>
        <w:jc w:val="left"/>
        <w:rPr>
          <w:rFonts w:ascii="宋体" w:hAnsi="宋体" w:eastAsia="方正仿宋简体"/>
          <w:b/>
          <w:sz w:val="32"/>
          <w:szCs w:val="32"/>
        </w:rPr>
      </w:pPr>
    </w:p>
    <w:p>
      <w:pPr>
        <w:spacing w:line="620" w:lineRule="exact"/>
        <w:ind w:left="1917" w:leftChars="760" w:hanging="321" w:hangingChars="100"/>
        <w:jc w:val="left"/>
        <w:rPr>
          <w:rFonts w:ascii="宋体" w:hAnsi="宋体" w:eastAsia="方正仿宋简体"/>
          <w:b/>
          <w:sz w:val="32"/>
          <w:szCs w:val="32"/>
        </w:rPr>
      </w:pPr>
    </w:p>
    <w:p>
      <w:pPr>
        <w:spacing w:line="620" w:lineRule="exact"/>
        <w:ind w:left="1917" w:leftChars="760" w:hanging="321" w:hangingChars="100"/>
        <w:jc w:val="left"/>
        <w:rPr>
          <w:rFonts w:ascii="宋体" w:hAnsi="宋体" w:eastAsia="方正仿宋简体"/>
          <w:b/>
          <w:sz w:val="32"/>
          <w:szCs w:val="32"/>
        </w:rPr>
      </w:pPr>
    </w:p>
    <w:p>
      <w:pPr>
        <w:spacing w:line="620" w:lineRule="exact"/>
        <w:ind w:left="1917" w:leftChars="760" w:hanging="321" w:hangingChars="100"/>
        <w:jc w:val="left"/>
        <w:rPr>
          <w:rFonts w:ascii="宋体" w:hAnsi="宋体" w:eastAsia="方正仿宋简体"/>
          <w:b/>
          <w:sz w:val="32"/>
          <w:szCs w:val="32"/>
        </w:rPr>
      </w:pPr>
    </w:p>
    <w:p>
      <w:pPr>
        <w:spacing w:line="620" w:lineRule="exact"/>
        <w:ind w:left="1917" w:leftChars="760" w:hanging="321" w:hangingChars="100"/>
        <w:jc w:val="left"/>
        <w:rPr>
          <w:rFonts w:ascii="宋体" w:hAnsi="宋体" w:eastAsia="方正仿宋简体"/>
          <w:b/>
          <w:sz w:val="32"/>
          <w:szCs w:val="32"/>
        </w:rPr>
      </w:pPr>
    </w:p>
    <w:p>
      <w:pPr>
        <w:spacing w:line="620" w:lineRule="exact"/>
        <w:jc w:val="left"/>
        <w:rPr>
          <w:rFonts w:ascii="宋体" w:hAnsi="宋体" w:eastAsia="方正仿宋简体"/>
          <w:b/>
          <w:sz w:val="32"/>
          <w:szCs w:val="32"/>
        </w:rPr>
      </w:pPr>
    </w:p>
    <w:p>
      <w:pPr>
        <w:spacing w:line="620" w:lineRule="exact"/>
        <w:ind w:left="1917" w:leftChars="760" w:hanging="321" w:hangingChars="100"/>
        <w:jc w:val="left"/>
        <w:rPr>
          <w:rFonts w:ascii="宋体" w:hAnsi="宋体" w:eastAsia="方正仿宋简体"/>
          <w:b/>
          <w:sz w:val="32"/>
          <w:szCs w:val="32"/>
        </w:rPr>
      </w:pPr>
    </w:p>
    <w:p>
      <w:pPr>
        <w:spacing w:line="620" w:lineRule="exact"/>
        <w:jc w:val="left"/>
        <w:rPr>
          <w:rFonts w:eastAsia="方正黑体简体"/>
          <w:bCs/>
          <w:kern w:val="0"/>
          <w:sz w:val="32"/>
          <w:szCs w:val="32"/>
        </w:rPr>
      </w:pPr>
      <w:r>
        <w:rPr>
          <w:rFonts w:hint="eastAsia" w:eastAsia="方正黑体简体"/>
          <w:bCs/>
          <w:kern w:val="0"/>
          <w:sz w:val="32"/>
          <w:szCs w:val="32"/>
        </w:rPr>
        <w:t>附件</w:t>
      </w:r>
      <w:r>
        <w:rPr>
          <w:rFonts w:eastAsia="方正黑体简体"/>
          <w:bCs/>
          <w:kern w:val="0"/>
          <w:sz w:val="32"/>
          <w:szCs w:val="32"/>
        </w:rPr>
        <w:t>4-1</w:t>
      </w:r>
    </w:p>
    <w:p>
      <w:pPr>
        <w:spacing w:line="620" w:lineRule="exact"/>
        <w:jc w:val="center"/>
        <w:rPr>
          <w:rFonts w:eastAsia="方正小标宋简体"/>
          <w:bCs/>
          <w:kern w:val="0"/>
          <w:sz w:val="44"/>
          <w:szCs w:val="44"/>
        </w:rPr>
      </w:pPr>
      <w:r>
        <w:rPr>
          <w:rFonts w:eastAsia="方正小标宋简体"/>
          <w:bCs/>
          <w:kern w:val="0"/>
          <w:sz w:val="44"/>
          <w:szCs w:val="44"/>
        </w:rPr>
        <w:t>202</w:t>
      </w:r>
      <w:r>
        <w:rPr>
          <w:rFonts w:hint="eastAsia" w:eastAsia="方正小标宋简体"/>
          <w:bCs/>
          <w:kern w:val="0"/>
          <w:sz w:val="44"/>
          <w:szCs w:val="44"/>
          <w:lang w:val="en-US" w:eastAsia="zh-CN"/>
        </w:rPr>
        <w:t>2</w:t>
      </w:r>
      <w:r>
        <w:rPr>
          <w:rFonts w:hint="eastAsia" w:eastAsia="方正小标宋简体"/>
          <w:bCs/>
          <w:kern w:val="0"/>
          <w:sz w:val="44"/>
          <w:szCs w:val="44"/>
        </w:rPr>
        <w:t>年度乐至县项目支出绩效自评计分表</w:t>
      </w:r>
    </w:p>
    <w:p>
      <w:pPr>
        <w:spacing w:line="620" w:lineRule="exact"/>
        <w:jc w:val="center"/>
        <w:rPr>
          <w:rFonts w:eastAsia="方正楷体简体"/>
          <w:b/>
          <w:bCs/>
          <w:kern w:val="0"/>
          <w:sz w:val="32"/>
          <w:szCs w:val="32"/>
        </w:rPr>
      </w:pPr>
      <w:r>
        <w:rPr>
          <w:rFonts w:hint="eastAsia" w:eastAsia="方正楷体简体"/>
          <w:b/>
          <w:bCs/>
          <w:kern w:val="0"/>
          <w:sz w:val="32"/>
          <w:szCs w:val="32"/>
        </w:rPr>
        <w:t>（</w:t>
      </w:r>
      <w:r>
        <w:rPr>
          <w:rFonts w:hint="eastAsia" w:eastAsia="方正楷体简体"/>
          <w:b/>
          <w:sz w:val="32"/>
          <w:szCs w:val="32"/>
          <w:lang w:eastAsia="zh-CN"/>
        </w:rPr>
        <w:t>劳动镇石家坳村狮行桥改造项目</w:t>
      </w:r>
      <w:r>
        <w:rPr>
          <w:rFonts w:hint="eastAsia" w:eastAsia="方正楷体简体"/>
          <w:b/>
          <w:bCs/>
          <w:kern w:val="0"/>
          <w:sz w:val="32"/>
          <w:szCs w:val="32"/>
        </w:rPr>
        <w:t>）</w:t>
      </w:r>
    </w:p>
    <w:p>
      <w:pPr>
        <w:spacing w:line="620" w:lineRule="exact"/>
        <w:rPr>
          <w:sz w:val="24"/>
        </w:rPr>
      </w:pPr>
      <w:r>
        <w:rPr>
          <w:rFonts w:hint="eastAsia"/>
          <w:bCs/>
          <w:kern w:val="0"/>
          <w:sz w:val="24"/>
        </w:rPr>
        <w:t>预算单位名称：</w:t>
      </w:r>
      <w:r>
        <w:rPr>
          <w:rFonts w:hint="eastAsia"/>
          <w:bCs/>
          <w:kern w:val="0"/>
          <w:sz w:val="24"/>
          <w:lang w:eastAsia="zh-CN"/>
        </w:rPr>
        <w:t>乐至县劳动镇人民政府</w:t>
      </w:r>
      <w:r>
        <w:rPr>
          <w:bCs/>
          <w:kern w:val="0"/>
          <w:sz w:val="24"/>
        </w:rPr>
        <w:t xml:space="preserve"> </w:t>
      </w:r>
      <w:r>
        <w:rPr>
          <w:rFonts w:hint="eastAsia"/>
          <w:bCs/>
          <w:kern w:val="0"/>
          <w:sz w:val="24"/>
          <w:lang w:val="en-US" w:eastAsia="zh-CN"/>
        </w:rPr>
        <w:t xml:space="preserve"> </w:t>
      </w:r>
      <w:r>
        <w:rPr>
          <w:rFonts w:hint="eastAsia"/>
          <w:bCs/>
          <w:kern w:val="0"/>
          <w:sz w:val="24"/>
        </w:rPr>
        <w:t>预算单位编码：</w:t>
      </w:r>
      <w:r>
        <w:rPr>
          <w:rFonts w:hint="eastAsia"/>
          <w:bCs/>
          <w:kern w:val="0"/>
          <w:sz w:val="24"/>
          <w:lang w:val="en-US" w:eastAsia="zh-CN"/>
        </w:rPr>
        <w:t>317001</w:t>
      </w:r>
      <w:r>
        <w:rPr>
          <w:bCs/>
          <w:kern w:val="0"/>
          <w:sz w:val="24"/>
        </w:rPr>
        <w:t xml:space="preserve">   </w:t>
      </w:r>
      <w:r>
        <w:rPr>
          <w:rFonts w:hint="eastAsia"/>
          <w:bCs/>
          <w:kern w:val="0"/>
          <w:sz w:val="24"/>
        </w:rPr>
        <w:t>自评等级：</w:t>
      </w:r>
      <w:r>
        <w:rPr>
          <w:rFonts w:hint="eastAsia"/>
          <w:bCs/>
          <w:kern w:val="0"/>
          <w:sz w:val="24"/>
          <w:lang w:eastAsia="zh-CN"/>
        </w:rPr>
        <w:t>良</w:t>
      </w:r>
    </w:p>
    <w:tbl>
      <w:tblPr>
        <w:tblStyle w:val="19"/>
        <w:tblW w:w="51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714"/>
        <w:gridCol w:w="702"/>
        <w:gridCol w:w="851"/>
        <w:gridCol w:w="1700"/>
        <w:gridCol w:w="3539"/>
        <w:gridCol w:w="707"/>
        <w:gridCol w:w="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9" w:hRule="atLeast"/>
          <w:tblHeader/>
          <w:jc w:val="center"/>
        </w:trPr>
        <w:tc>
          <w:tcPr>
            <w:tcW w:w="392"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一级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385"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二级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467"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三级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933"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指标解释</w:t>
            </w:r>
          </w:p>
        </w:tc>
        <w:tc>
          <w:tcPr>
            <w:tcW w:w="1942"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指标说明（评价计分标准）</w:t>
            </w:r>
          </w:p>
        </w:tc>
        <w:tc>
          <w:tcPr>
            <w:tcW w:w="388"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自评</w:t>
            </w:r>
          </w:p>
          <w:p>
            <w:pPr>
              <w:widowControl/>
              <w:spacing w:line="240" w:lineRule="exact"/>
              <w:jc w:val="center"/>
              <w:rPr>
                <w:rFonts w:eastAsia="方正黑体简体"/>
                <w:bCs/>
                <w:kern w:val="0"/>
                <w:szCs w:val="21"/>
              </w:rPr>
            </w:pPr>
            <w:r>
              <w:rPr>
                <w:rFonts w:hint="eastAsia" w:eastAsia="方正黑体简体"/>
                <w:bCs/>
                <w:kern w:val="0"/>
                <w:szCs w:val="21"/>
              </w:rPr>
              <w:t>分数</w:t>
            </w:r>
          </w:p>
        </w:tc>
        <w:tc>
          <w:tcPr>
            <w:tcW w:w="493"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自评依据及说明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392"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投</w:t>
            </w:r>
            <w:r>
              <w:rPr>
                <w:kern w:val="0"/>
                <w:szCs w:val="21"/>
              </w:rPr>
              <w:t xml:space="preserve">   </w:t>
            </w:r>
            <w:r>
              <w:rPr>
                <w:rFonts w:hint="eastAsia"/>
                <w:kern w:val="0"/>
                <w:szCs w:val="21"/>
              </w:rPr>
              <w:t>入（</w:t>
            </w:r>
            <w:r>
              <w:rPr>
                <w:kern w:val="0"/>
                <w:szCs w:val="21"/>
              </w:rPr>
              <w:t>25</w:t>
            </w:r>
            <w:r>
              <w:rPr>
                <w:rFonts w:hint="eastAsia"/>
                <w:kern w:val="0"/>
                <w:szCs w:val="21"/>
              </w:rPr>
              <w:t>分）</w:t>
            </w:r>
          </w:p>
        </w:tc>
        <w:tc>
          <w:tcPr>
            <w:tcW w:w="385"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立项（</w:t>
            </w:r>
            <w:r>
              <w:rPr>
                <w:kern w:val="0"/>
                <w:szCs w:val="21"/>
              </w:rPr>
              <w:t>15</w:t>
            </w:r>
            <w:r>
              <w:rPr>
                <w:rFonts w:hint="eastAsia"/>
                <w:kern w:val="0"/>
                <w:szCs w:val="21"/>
              </w:rPr>
              <w:t>分）</w:t>
            </w: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项目立项规范性（</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项目的申请、设立过程是否符合相关要求，用以反映和考核项目立项的规范情况。</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①项目是否按照规定的程序申请设立；（</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②所提交的文件、材料是否符合相关要求；（</w:t>
            </w:r>
            <w:r>
              <w:rPr>
                <w:kern w:val="0"/>
                <w:szCs w:val="21"/>
              </w:rPr>
              <w:t>2</w:t>
            </w:r>
            <w:r>
              <w:rPr>
                <w:rFonts w:hint="eastAsia"/>
                <w:kern w:val="0"/>
                <w:szCs w:val="21"/>
              </w:rPr>
              <w:t>分）</w:t>
            </w:r>
          </w:p>
          <w:p>
            <w:pPr>
              <w:widowControl/>
              <w:spacing w:line="240" w:lineRule="exact"/>
              <w:jc w:val="left"/>
              <w:rPr>
                <w:kern w:val="0"/>
                <w:szCs w:val="21"/>
              </w:rPr>
            </w:pPr>
            <w:r>
              <w:rPr>
                <w:rFonts w:hint="eastAsia"/>
                <w:kern w:val="0"/>
                <w:szCs w:val="21"/>
              </w:rPr>
              <w:t>③事前是否已经过必要的可行性研究、专家论证、风险评估、集体决策等。（</w:t>
            </w:r>
            <w:r>
              <w:rPr>
                <w:kern w:val="0"/>
                <w:szCs w:val="21"/>
              </w:rPr>
              <w:t>2</w:t>
            </w:r>
            <w:r>
              <w:rPr>
                <w:rFonts w:hint="eastAsia"/>
                <w:kern w:val="0"/>
                <w:szCs w:val="21"/>
              </w:rPr>
              <w:t>分）</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8"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绩效目标合理性（</w:t>
            </w:r>
            <w:r>
              <w:rPr>
                <w:kern w:val="0"/>
                <w:szCs w:val="21"/>
              </w:rPr>
              <w:t>4</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项目所设定的绩效目标是否依据充分，是否符合客观实际，用以反映和考核项目绩效目标与项目实施的相符情况。</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①是否符合国家相关法律法规、国民经济发展规划和党委政府决策；（</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②是否与项目实施单位或委托单位职责密切相关；（</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③项目是否为促进事业发展所必需；（</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④项目预期产出效益和效果是否符合正常的业绩水平。（</w:t>
            </w:r>
            <w:r>
              <w:rPr>
                <w:kern w:val="0"/>
                <w:szCs w:val="21"/>
              </w:rPr>
              <w:t>1</w:t>
            </w:r>
            <w:r>
              <w:rPr>
                <w:rFonts w:hint="eastAsia"/>
                <w:kern w:val="0"/>
                <w:szCs w:val="21"/>
              </w:rPr>
              <w:t>分）</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4</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绩效指标明确性（</w:t>
            </w:r>
            <w:r>
              <w:rPr>
                <w:kern w:val="0"/>
                <w:szCs w:val="21"/>
              </w:rPr>
              <w:t>6</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依据绩效目标设定的绩效指标是否清晰、细化、可衡量等，用以反映和考核项目绩效目标的明细化情况。</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①是否将项目绩效目标细化分解为具体的绩效指标；（</w:t>
            </w:r>
            <w:r>
              <w:rPr>
                <w:kern w:val="0"/>
                <w:szCs w:val="21"/>
              </w:rPr>
              <w:t>2</w:t>
            </w:r>
            <w:r>
              <w:rPr>
                <w:rFonts w:hint="eastAsia"/>
                <w:kern w:val="0"/>
                <w:szCs w:val="21"/>
              </w:rPr>
              <w:t>分）</w:t>
            </w:r>
          </w:p>
          <w:p>
            <w:pPr>
              <w:widowControl/>
              <w:spacing w:line="240" w:lineRule="exact"/>
              <w:jc w:val="left"/>
              <w:rPr>
                <w:kern w:val="0"/>
                <w:szCs w:val="21"/>
              </w:rPr>
            </w:pPr>
            <w:r>
              <w:rPr>
                <w:rFonts w:hint="eastAsia"/>
                <w:kern w:val="0"/>
                <w:szCs w:val="21"/>
              </w:rPr>
              <w:t>②是否通过清晰、可衡量的指标值予以体现；（</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③是否与项目年度任务数或计划数相对应；（</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④是否与预算确定的项目投资额或资金量相匹配。（</w:t>
            </w:r>
            <w:r>
              <w:rPr>
                <w:kern w:val="0"/>
                <w:szCs w:val="21"/>
              </w:rPr>
              <w:t>2</w:t>
            </w:r>
            <w:r>
              <w:rPr>
                <w:rFonts w:hint="eastAsia"/>
                <w:kern w:val="0"/>
                <w:szCs w:val="21"/>
              </w:rPr>
              <w:t>分）</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6</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restart"/>
            <w:shd w:val="clear" w:color="auto" w:fill="FFFFFF"/>
            <w:noWrap w:val="0"/>
            <w:vAlign w:val="center"/>
          </w:tcPr>
          <w:p>
            <w:pPr>
              <w:widowControl/>
              <w:spacing w:line="240" w:lineRule="exact"/>
              <w:jc w:val="center"/>
              <w:rPr>
                <w:kern w:val="0"/>
                <w:szCs w:val="21"/>
              </w:rPr>
            </w:pPr>
            <w:r>
              <w:rPr>
                <w:rFonts w:hint="eastAsia"/>
                <w:kern w:val="0"/>
                <w:szCs w:val="21"/>
              </w:rPr>
              <w:t>资金</w:t>
            </w:r>
          </w:p>
          <w:p>
            <w:pPr>
              <w:widowControl/>
              <w:spacing w:line="240" w:lineRule="exact"/>
              <w:jc w:val="center"/>
              <w:rPr>
                <w:kern w:val="0"/>
                <w:szCs w:val="21"/>
              </w:rPr>
            </w:pPr>
            <w:r>
              <w:rPr>
                <w:rFonts w:hint="eastAsia"/>
                <w:kern w:val="0"/>
                <w:szCs w:val="21"/>
              </w:rPr>
              <w:t>落实（</w:t>
            </w:r>
            <w:r>
              <w:rPr>
                <w:kern w:val="0"/>
                <w:szCs w:val="21"/>
              </w:rPr>
              <w:t>10</w:t>
            </w:r>
            <w:r>
              <w:rPr>
                <w:rFonts w:hint="eastAsia"/>
                <w:kern w:val="0"/>
                <w:szCs w:val="21"/>
              </w:rPr>
              <w:t>分）</w:t>
            </w: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资金到位率（</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实际到位资金与计划投入资金的比率，用以反映和考核资金落实情况对项目实施的总体保障程度。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资金到位率</w:t>
            </w:r>
            <w:r>
              <w:rPr>
                <w:kern w:val="0"/>
                <w:szCs w:val="21"/>
              </w:rPr>
              <w:t>=</w:t>
            </w:r>
            <w:r>
              <w:rPr>
                <w:rFonts w:hint="eastAsia"/>
                <w:kern w:val="0"/>
                <w:szCs w:val="21"/>
              </w:rPr>
              <w:t>（实际到位资金</w:t>
            </w:r>
            <w:r>
              <w:rPr>
                <w:kern w:val="0"/>
                <w:szCs w:val="21"/>
              </w:rPr>
              <w:t>/</w:t>
            </w:r>
            <w:r>
              <w:rPr>
                <w:rFonts w:hint="eastAsia"/>
                <w:kern w:val="0"/>
                <w:szCs w:val="21"/>
              </w:rPr>
              <w:t>计划投入资金）×</w:t>
            </w:r>
            <w:r>
              <w:rPr>
                <w:kern w:val="0"/>
                <w:szCs w:val="21"/>
              </w:rPr>
              <w:t>100%</w:t>
            </w:r>
            <w:r>
              <w:rPr>
                <w:rFonts w:hint="eastAsia"/>
                <w:kern w:val="0"/>
                <w:szCs w:val="21"/>
              </w:rPr>
              <w:t>。（达到目标值得</w:t>
            </w:r>
            <w:r>
              <w:rPr>
                <w:kern w:val="0"/>
                <w:szCs w:val="21"/>
              </w:rPr>
              <w:t>5</w:t>
            </w:r>
            <w:r>
              <w:rPr>
                <w:rFonts w:hint="eastAsia"/>
                <w:kern w:val="0"/>
                <w:szCs w:val="21"/>
              </w:rPr>
              <w:t>分，每少一个百分点扣</w:t>
            </w:r>
            <w:r>
              <w:rPr>
                <w:kern w:val="0"/>
                <w:szCs w:val="21"/>
              </w:rPr>
              <w:t>1</w:t>
            </w:r>
            <w:r>
              <w:rPr>
                <w:rFonts w:hint="eastAsia"/>
                <w:kern w:val="0"/>
                <w:szCs w:val="21"/>
              </w:rPr>
              <w:t>分，扣完为止）</w:t>
            </w:r>
          </w:p>
          <w:p>
            <w:pPr>
              <w:widowControl/>
              <w:spacing w:line="240" w:lineRule="exact"/>
              <w:jc w:val="left"/>
              <w:rPr>
                <w:kern w:val="0"/>
                <w:szCs w:val="21"/>
              </w:rPr>
            </w:pPr>
            <w:r>
              <w:rPr>
                <w:rFonts w:hint="eastAsia"/>
                <w:kern w:val="0"/>
                <w:szCs w:val="21"/>
              </w:rPr>
              <w:t>实际到位资金：一定时期（本年度或项目期）内实际落实到具体项目的资金。</w:t>
            </w:r>
          </w:p>
          <w:p>
            <w:pPr>
              <w:widowControl/>
              <w:spacing w:line="240" w:lineRule="exact"/>
              <w:jc w:val="left"/>
              <w:rPr>
                <w:kern w:val="0"/>
                <w:szCs w:val="21"/>
              </w:rPr>
            </w:pPr>
            <w:r>
              <w:rPr>
                <w:rFonts w:hint="eastAsia"/>
                <w:kern w:val="0"/>
                <w:szCs w:val="21"/>
              </w:rPr>
              <w:t>计划投入资金：一定时期（本年度或项目期）内计划投入到具体项目的资金。</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0"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到位及时率（</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及时到位资金与应到位资金的比率，用以反映和考核项目资金落实的及时性程度。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到位及时率</w:t>
            </w:r>
            <w:r>
              <w:rPr>
                <w:kern w:val="0"/>
                <w:szCs w:val="21"/>
              </w:rPr>
              <w:t>=</w:t>
            </w:r>
            <w:r>
              <w:rPr>
                <w:rFonts w:hint="eastAsia"/>
                <w:kern w:val="0"/>
                <w:szCs w:val="21"/>
              </w:rPr>
              <w:t>（及时到位资金</w:t>
            </w:r>
            <w:r>
              <w:rPr>
                <w:kern w:val="0"/>
                <w:szCs w:val="21"/>
              </w:rPr>
              <w:t>/</w:t>
            </w:r>
            <w:r>
              <w:rPr>
                <w:rFonts w:hint="eastAsia"/>
                <w:kern w:val="0"/>
                <w:szCs w:val="21"/>
              </w:rPr>
              <w:t>应到位资金）×</w:t>
            </w:r>
            <w:r>
              <w:rPr>
                <w:kern w:val="0"/>
                <w:szCs w:val="21"/>
              </w:rPr>
              <w:t>100%</w:t>
            </w:r>
            <w:r>
              <w:rPr>
                <w:rFonts w:hint="eastAsia"/>
                <w:kern w:val="0"/>
                <w:szCs w:val="21"/>
              </w:rPr>
              <w:t>。（达到目标值得</w:t>
            </w:r>
            <w:r>
              <w:rPr>
                <w:kern w:val="0"/>
                <w:szCs w:val="21"/>
              </w:rPr>
              <w:t>5</w:t>
            </w:r>
            <w:r>
              <w:rPr>
                <w:rFonts w:hint="eastAsia"/>
                <w:kern w:val="0"/>
                <w:szCs w:val="21"/>
              </w:rPr>
              <w:t>分，每少一个百分点扣</w:t>
            </w:r>
            <w:r>
              <w:rPr>
                <w:kern w:val="0"/>
                <w:szCs w:val="21"/>
              </w:rPr>
              <w:t>1</w:t>
            </w:r>
            <w:r>
              <w:rPr>
                <w:rFonts w:hint="eastAsia"/>
                <w:kern w:val="0"/>
                <w:szCs w:val="21"/>
              </w:rPr>
              <w:t>分，扣完为止）</w:t>
            </w:r>
          </w:p>
          <w:p>
            <w:pPr>
              <w:widowControl/>
              <w:spacing w:line="240" w:lineRule="exact"/>
              <w:jc w:val="left"/>
              <w:rPr>
                <w:kern w:val="0"/>
                <w:szCs w:val="21"/>
              </w:rPr>
            </w:pPr>
            <w:r>
              <w:rPr>
                <w:rFonts w:hint="eastAsia"/>
                <w:kern w:val="0"/>
                <w:szCs w:val="21"/>
              </w:rPr>
              <w:t>及时到位资金：截至规定时点实际落实到具体项目的资金。</w:t>
            </w:r>
          </w:p>
          <w:p>
            <w:pPr>
              <w:widowControl/>
              <w:spacing w:line="240" w:lineRule="exact"/>
              <w:jc w:val="left"/>
              <w:rPr>
                <w:kern w:val="0"/>
                <w:szCs w:val="21"/>
              </w:rPr>
            </w:pPr>
            <w:r>
              <w:rPr>
                <w:rFonts w:hint="eastAsia"/>
                <w:kern w:val="0"/>
                <w:szCs w:val="21"/>
              </w:rPr>
              <w:t>应到位资金：按照合同或项目进度要求截至规定时点应落实到具体项目的资金。</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73" w:hRule="atLeast"/>
          <w:jc w:val="center"/>
        </w:trPr>
        <w:tc>
          <w:tcPr>
            <w:tcW w:w="392" w:type="pct"/>
            <w:vMerge w:val="restart"/>
            <w:shd w:val="clear" w:color="auto" w:fill="FFFFFF"/>
            <w:noWrap/>
            <w:textDirection w:val="tbRlV"/>
            <w:vAlign w:val="center"/>
          </w:tcPr>
          <w:p>
            <w:pPr>
              <w:widowControl/>
              <w:spacing w:line="260" w:lineRule="exact"/>
              <w:jc w:val="center"/>
              <w:rPr>
                <w:kern w:val="0"/>
                <w:szCs w:val="21"/>
              </w:rPr>
            </w:pPr>
            <w:r>
              <w:rPr>
                <w:rFonts w:hint="eastAsia"/>
                <w:kern w:val="0"/>
                <w:szCs w:val="21"/>
              </w:rPr>
              <w:t>过</w:t>
            </w:r>
            <w:r>
              <w:rPr>
                <w:kern w:val="0"/>
                <w:szCs w:val="21"/>
              </w:rPr>
              <w:t xml:space="preserve">   </w:t>
            </w:r>
            <w:r>
              <w:rPr>
                <w:rFonts w:hint="eastAsia"/>
                <w:kern w:val="0"/>
                <w:szCs w:val="21"/>
              </w:rPr>
              <w:t>程（</w:t>
            </w:r>
            <w:r>
              <w:rPr>
                <w:kern w:val="0"/>
                <w:szCs w:val="21"/>
              </w:rPr>
              <w:t>25</w:t>
            </w:r>
            <w:r>
              <w:rPr>
                <w:rFonts w:hint="eastAsia"/>
                <w:kern w:val="0"/>
                <w:szCs w:val="21"/>
              </w:rPr>
              <w:t>分）</w:t>
            </w:r>
          </w:p>
        </w:tc>
        <w:tc>
          <w:tcPr>
            <w:tcW w:w="385" w:type="pct"/>
            <w:vMerge w:val="restart"/>
            <w:shd w:val="clear" w:color="auto" w:fill="FFFFFF"/>
            <w:noWrap w:val="0"/>
            <w:vAlign w:val="center"/>
          </w:tcPr>
          <w:p>
            <w:pPr>
              <w:widowControl/>
              <w:spacing w:line="260" w:lineRule="exact"/>
              <w:jc w:val="center"/>
              <w:rPr>
                <w:kern w:val="0"/>
                <w:szCs w:val="21"/>
              </w:rPr>
            </w:pPr>
            <w:r>
              <w:rPr>
                <w:rFonts w:hint="eastAsia"/>
                <w:kern w:val="0"/>
                <w:szCs w:val="21"/>
              </w:rPr>
              <w:t>业务</w:t>
            </w:r>
          </w:p>
          <w:p>
            <w:pPr>
              <w:widowControl/>
              <w:spacing w:line="260" w:lineRule="exact"/>
              <w:jc w:val="center"/>
              <w:rPr>
                <w:kern w:val="0"/>
                <w:szCs w:val="21"/>
              </w:rPr>
            </w:pPr>
            <w:r>
              <w:rPr>
                <w:rFonts w:hint="eastAsia"/>
                <w:kern w:val="0"/>
                <w:szCs w:val="21"/>
              </w:rPr>
              <w:t>管理（</w:t>
            </w:r>
            <w:r>
              <w:rPr>
                <w:kern w:val="0"/>
                <w:szCs w:val="21"/>
              </w:rPr>
              <w:t>13</w:t>
            </w:r>
            <w:r>
              <w:rPr>
                <w:rFonts w:hint="eastAsia"/>
                <w:kern w:val="0"/>
                <w:szCs w:val="21"/>
              </w:rPr>
              <w:t>分）</w:t>
            </w: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管理制度健全性（</w:t>
            </w:r>
            <w:r>
              <w:rPr>
                <w:kern w:val="0"/>
                <w:szCs w:val="21"/>
              </w:rPr>
              <w:t>4</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项目实施单位的业务管理制度是否健全，用以反映和考核业务管理制度对项目顺利实施的保障情况。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①是否已制定或具有相应的业务管理制度；（</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②业务管理制度是否合法、合规、完整。（</w:t>
            </w:r>
            <w:r>
              <w:rPr>
                <w:kern w:val="0"/>
                <w:szCs w:val="21"/>
              </w:rPr>
              <w:t>2</w:t>
            </w:r>
            <w:r>
              <w:rPr>
                <w:rFonts w:hint="eastAsia"/>
                <w:kern w:val="0"/>
                <w:szCs w:val="21"/>
              </w:rPr>
              <w:t>分）</w:t>
            </w:r>
          </w:p>
        </w:tc>
        <w:tc>
          <w:tcPr>
            <w:tcW w:w="38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4</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97"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continue"/>
            <w:shd w:val="clear" w:color="auto" w:fill="auto"/>
            <w:noWrap w:val="0"/>
            <w:vAlign w:val="center"/>
          </w:tcPr>
          <w:p>
            <w:pPr>
              <w:widowControl/>
              <w:spacing w:line="260" w:lineRule="exact"/>
              <w:jc w:val="left"/>
              <w:rPr>
                <w:kern w:val="0"/>
                <w:szCs w:val="21"/>
              </w:rPr>
            </w:pP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制度执行有效性（</w:t>
            </w:r>
            <w:r>
              <w:rPr>
                <w:kern w:val="0"/>
                <w:szCs w:val="21"/>
              </w:rPr>
              <w:t>6</w:t>
            </w:r>
            <w:r>
              <w:rPr>
                <w:rFonts w:hint="eastAsia"/>
                <w:kern w:val="0"/>
                <w:szCs w:val="21"/>
              </w:rPr>
              <w:t>分</w:t>
            </w:r>
            <w:r>
              <w:rPr>
                <w:kern w:val="0"/>
                <w:szCs w:val="21"/>
              </w:rPr>
              <w:t>)</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项目实施是否符合相关业务管理规定，用以反映和考核业务管理制度的有效执行情况。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①是否遵守相关法律法规和业务管理规定；</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②项目调整及支出调整手续是否完备；（</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③项目合同书、验收报告、技术鉴定等资料是否齐全并及时归档；（</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④项目实施的人员条件、场地设备、信息支撑等是否落实到位。（</w:t>
            </w:r>
            <w:r>
              <w:rPr>
                <w:kern w:val="0"/>
                <w:szCs w:val="21"/>
              </w:rPr>
              <w:t>2</w:t>
            </w:r>
            <w:r>
              <w:rPr>
                <w:rFonts w:hint="eastAsia"/>
                <w:kern w:val="0"/>
                <w:szCs w:val="21"/>
              </w:rPr>
              <w:t>分）</w:t>
            </w:r>
          </w:p>
        </w:tc>
        <w:tc>
          <w:tcPr>
            <w:tcW w:w="38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6</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6"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continue"/>
            <w:shd w:val="clear" w:color="auto" w:fill="auto"/>
            <w:noWrap w:val="0"/>
            <w:vAlign w:val="center"/>
          </w:tcPr>
          <w:p>
            <w:pPr>
              <w:widowControl/>
              <w:spacing w:line="260" w:lineRule="exact"/>
              <w:jc w:val="left"/>
              <w:rPr>
                <w:kern w:val="0"/>
                <w:szCs w:val="21"/>
              </w:rPr>
            </w:pP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项目质量可控性（</w:t>
            </w:r>
            <w:r>
              <w:rPr>
                <w:kern w:val="0"/>
                <w:szCs w:val="21"/>
              </w:rPr>
              <w:t>3</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项目实施单位是否为达到项目质量要求而采取了必需的措施</w:t>
            </w:r>
            <w:r>
              <w:rPr>
                <w:kern w:val="0"/>
                <w:szCs w:val="21"/>
              </w:rPr>
              <w:t>,</w:t>
            </w:r>
            <w:r>
              <w:rPr>
                <w:rFonts w:hint="eastAsia"/>
                <w:kern w:val="0"/>
                <w:szCs w:val="21"/>
              </w:rPr>
              <w:t>用以反映和考核项目实施单位对项目质量的控制情况。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①是否已制定或具有相应的项目质量要求或标准；（</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②是否采取了相应的项目质量检查、验收等必需的控制措施或手段。（</w:t>
            </w:r>
            <w:r>
              <w:rPr>
                <w:kern w:val="0"/>
                <w:szCs w:val="21"/>
              </w:rPr>
              <w:t>2</w:t>
            </w:r>
            <w:r>
              <w:rPr>
                <w:rFonts w:hint="eastAsia"/>
                <w:kern w:val="0"/>
                <w:szCs w:val="21"/>
              </w:rPr>
              <w:t>分）</w:t>
            </w:r>
          </w:p>
        </w:tc>
        <w:tc>
          <w:tcPr>
            <w:tcW w:w="38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3</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6"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restart"/>
            <w:shd w:val="clear" w:color="auto" w:fill="FFFFFF"/>
            <w:noWrap w:val="0"/>
            <w:vAlign w:val="center"/>
          </w:tcPr>
          <w:p>
            <w:pPr>
              <w:widowControl/>
              <w:spacing w:line="260" w:lineRule="exact"/>
              <w:jc w:val="center"/>
              <w:rPr>
                <w:kern w:val="0"/>
                <w:szCs w:val="21"/>
              </w:rPr>
            </w:pPr>
            <w:r>
              <w:rPr>
                <w:rFonts w:hint="eastAsia"/>
                <w:kern w:val="0"/>
                <w:szCs w:val="21"/>
              </w:rPr>
              <w:t>财务</w:t>
            </w:r>
          </w:p>
          <w:p>
            <w:pPr>
              <w:widowControl/>
              <w:spacing w:line="260" w:lineRule="exact"/>
              <w:jc w:val="center"/>
              <w:rPr>
                <w:kern w:val="0"/>
                <w:szCs w:val="21"/>
              </w:rPr>
            </w:pPr>
            <w:r>
              <w:rPr>
                <w:rFonts w:hint="eastAsia"/>
                <w:kern w:val="0"/>
                <w:szCs w:val="21"/>
              </w:rPr>
              <w:t>管理（</w:t>
            </w:r>
            <w:r>
              <w:rPr>
                <w:kern w:val="0"/>
                <w:szCs w:val="21"/>
              </w:rPr>
              <w:t>12</w:t>
            </w:r>
            <w:r>
              <w:rPr>
                <w:rFonts w:hint="eastAsia"/>
                <w:kern w:val="0"/>
                <w:szCs w:val="21"/>
              </w:rPr>
              <w:t>分）</w:t>
            </w: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管理制度健全性（</w:t>
            </w:r>
            <w:r>
              <w:rPr>
                <w:kern w:val="0"/>
                <w:szCs w:val="21"/>
              </w:rPr>
              <w:t>3</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项目实施单位的财务制度是否健全，用以反映和考核财务管理制度对资金规范、安全运行的保障情况。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①是否已制定或具有相应的项目资金管理办法；（</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②项目资金管理办法是否符合相关财务会计制度的规定。（</w:t>
            </w:r>
            <w:r>
              <w:rPr>
                <w:kern w:val="0"/>
                <w:szCs w:val="21"/>
              </w:rPr>
              <w:t>1</w:t>
            </w:r>
            <w:r>
              <w:rPr>
                <w:rFonts w:hint="eastAsia"/>
                <w:kern w:val="0"/>
                <w:szCs w:val="21"/>
              </w:rPr>
              <w:t>分）</w:t>
            </w:r>
          </w:p>
        </w:tc>
        <w:tc>
          <w:tcPr>
            <w:tcW w:w="38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3</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2"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continue"/>
            <w:shd w:val="clear" w:color="auto" w:fill="auto"/>
            <w:noWrap w:val="0"/>
            <w:vAlign w:val="center"/>
          </w:tcPr>
          <w:p>
            <w:pPr>
              <w:widowControl/>
              <w:spacing w:line="260" w:lineRule="exact"/>
              <w:jc w:val="left"/>
              <w:rPr>
                <w:kern w:val="0"/>
                <w:szCs w:val="21"/>
              </w:rPr>
            </w:pP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资金使用合规性（</w:t>
            </w:r>
            <w:r>
              <w:rPr>
                <w:kern w:val="0"/>
                <w:szCs w:val="21"/>
              </w:rPr>
              <w:t>7</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项目资金使用是否符合相关的财务管理制度规定，用以反映和考核项目资金的规范运行情况。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①是否符合国家财经法规和财务管理制度以及有关专项资金管理办法的规定；（</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②资金的拨付是否有完整的审批程序和手续；（</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③项目的重大开支是否经过评估认证；（</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④是否符合项目预算批复或合同规定的用途；（</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⑤是否存在截留、挤占、挪用、虚列支出等情况。（</w:t>
            </w:r>
            <w:r>
              <w:rPr>
                <w:kern w:val="0"/>
                <w:szCs w:val="21"/>
              </w:rPr>
              <w:t>2</w:t>
            </w:r>
            <w:r>
              <w:rPr>
                <w:rFonts w:hint="eastAsia"/>
                <w:kern w:val="0"/>
                <w:szCs w:val="21"/>
              </w:rPr>
              <w:t>分）</w:t>
            </w:r>
          </w:p>
        </w:tc>
        <w:tc>
          <w:tcPr>
            <w:tcW w:w="38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7</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92" w:type="pct"/>
            <w:vMerge w:val="continue"/>
            <w:shd w:val="clear" w:color="auto" w:fill="auto"/>
            <w:noWrap w:val="0"/>
            <w:vAlign w:val="center"/>
          </w:tcPr>
          <w:p>
            <w:pPr>
              <w:widowControl/>
              <w:spacing w:line="260" w:lineRule="exact"/>
              <w:jc w:val="left"/>
              <w:rPr>
                <w:kern w:val="0"/>
                <w:szCs w:val="21"/>
              </w:rPr>
            </w:pPr>
          </w:p>
        </w:tc>
        <w:tc>
          <w:tcPr>
            <w:tcW w:w="385" w:type="pct"/>
            <w:vMerge w:val="continue"/>
            <w:shd w:val="clear" w:color="auto" w:fill="auto"/>
            <w:noWrap w:val="0"/>
            <w:vAlign w:val="center"/>
          </w:tcPr>
          <w:p>
            <w:pPr>
              <w:widowControl/>
              <w:spacing w:line="260" w:lineRule="exact"/>
              <w:jc w:val="left"/>
              <w:rPr>
                <w:kern w:val="0"/>
                <w:szCs w:val="21"/>
              </w:rPr>
            </w:pPr>
          </w:p>
        </w:tc>
        <w:tc>
          <w:tcPr>
            <w:tcW w:w="467" w:type="pct"/>
            <w:shd w:val="clear" w:color="auto" w:fill="FFFFFF"/>
            <w:noWrap w:val="0"/>
            <w:vAlign w:val="center"/>
          </w:tcPr>
          <w:p>
            <w:pPr>
              <w:widowControl/>
              <w:spacing w:line="260" w:lineRule="exact"/>
              <w:jc w:val="left"/>
              <w:rPr>
                <w:kern w:val="0"/>
                <w:szCs w:val="21"/>
              </w:rPr>
            </w:pPr>
            <w:r>
              <w:rPr>
                <w:rFonts w:hint="eastAsia"/>
                <w:kern w:val="0"/>
                <w:szCs w:val="21"/>
              </w:rPr>
              <w:t>财务监控有效性（</w:t>
            </w:r>
            <w:r>
              <w:rPr>
                <w:kern w:val="0"/>
                <w:szCs w:val="21"/>
              </w:rPr>
              <w:t>2</w:t>
            </w:r>
            <w:r>
              <w:rPr>
                <w:rFonts w:hint="eastAsia"/>
                <w:kern w:val="0"/>
                <w:szCs w:val="21"/>
              </w:rPr>
              <w:t>分）</w:t>
            </w:r>
          </w:p>
        </w:tc>
        <w:tc>
          <w:tcPr>
            <w:tcW w:w="933" w:type="pct"/>
            <w:shd w:val="clear" w:color="auto" w:fill="FFFFFF"/>
            <w:noWrap w:val="0"/>
            <w:vAlign w:val="center"/>
          </w:tcPr>
          <w:p>
            <w:pPr>
              <w:widowControl/>
              <w:spacing w:line="260" w:lineRule="exact"/>
              <w:jc w:val="left"/>
              <w:rPr>
                <w:kern w:val="0"/>
                <w:szCs w:val="21"/>
              </w:rPr>
            </w:pPr>
            <w:r>
              <w:rPr>
                <w:rFonts w:hint="eastAsia"/>
                <w:kern w:val="0"/>
                <w:szCs w:val="21"/>
              </w:rPr>
              <w:t>项目实施单位是否为保障资金的安全、规范运行而采取了必要的监控措施，用以反映和考核项目实施单位对资金运行的控制情况。</w:t>
            </w:r>
          </w:p>
        </w:tc>
        <w:tc>
          <w:tcPr>
            <w:tcW w:w="1942"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①是否已制定或具有相应的监控机制；（</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②是否采取了相应的财务检查等必要的监控措施或手段。（</w:t>
            </w:r>
            <w:r>
              <w:rPr>
                <w:kern w:val="0"/>
                <w:szCs w:val="21"/>
              </w:rPr>
              <w:t>1</w:t>
            </w:r>
            <w:r>
              <w:rPr>
                <w:rFonts w:hint="eastAsia"/>
                <w:kern w:val="0"/>
                <w:szCs w:val="21"/>
              </w:rPr>
              <w:t>分）</w:t>
            </w:r>
          </w:p>
        </w:tc>
        <w:tc>
          <w:tcPr>
            <w:tcW w:w="38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2</w:t>
            </w:r>
          </w:p>
        </w:tc>
        <w:tc>
          <w:tcPr>
            <w:tcW w:w="493" w:type="pct"/>
            <w:noWrap/>
            <w:vAlign w:val="center"/>
          </w:tcPr>
          <w:p>
            <w:pPr>
              <w:widowControl/>
              <w:spacing w:line="26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产</w:t>
            </w:r>
            <w:r>
              <w:rPr>
                <w:kern w:val="0"/>
                <w:szCs w:val="21"/>
              </w:rPr>
              <w:t xml:space="preserve">   </w:t>
            </w:r>
            <w:r>
              <w:rPr>
                <w:rFonts w:hint="eastAsia"/>
                <w:kern w:val="0"/>
                <w:szCs w:val="21"/>
              </w:rPr>
              <w:t>出（</w:t>
            </w:r>
            <w:r>
              <w:rPr>
                <w:kern w:val="0"/>
                <w:szCs w:val="21"/>
              </w:rPr>
              <w:t>20</w:t>
            </w:r>
            <w:r>
              <w:rPr>
                <w:rFonts w:hint="eastAsia"/>
                <w:kern w:val="0"/>
                <w:szCs w:val="21"/>
              </w:rPr>
              <w:t>分）</w:t>
            </w:r>
          </w:p>
        </w:tc>
        <w:tc>
          <w:tcPr>
            <w:tcW w:w="385"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产出（</w:t>
            </w:r>
            <w:r>
              <w:rPr>
                <w:kern w:val="0"/>
                <w:szCs w:val="21"/>
              </w:rPr>
              <w:t>20</w:t>
            </w:r>
            <w:r>
              <w:rPr>
                <w:rFonts w:hint="eastAsia"/>
                <w:kern w:val="0"/>
                <w:szCs w:val="21"/>
              </w:rPr>
              <w:t>分）</w:t>
            </w: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实际完成率（</w:t>
            </w:r>
            <w:r>
              <w:rPr>
                <w:kern w:val="0"/>
                <w:szCs w:val="21"/>
              </w:rPr>
              <w:t>4</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项目实施的实际产出数与计划产出数的比率，用以反映和考核项目产出数量目标的实现程度。</w:t>
            </w:r>
          </w:p>
        </w:tc>
        <w:tc>
          <w:tcPr>
            <w:tcW w:w="1942" w:type="pct"/>
            <w:shd w:val="clear" w:color="auto" w:fill="FFFFFF"/>
            <w:noWrap w:val="0"/>
            <w:vAlign w:val="center"/>
          </w:tcPr>
          <w:p>
            <w:pPr>
              <w:widowControl/>
              <w:spacing w:line="240" w:lineRule="exact"/>
              <w:jc w:val="left"/>
              <w:rPr>
                <w:spacing w:val="-14"/>
                <w:kern w:val="0"/>
                <w:szCs w:val="21"/>
              </w:rPr>
            </w:pPr>
            <w:r>
              <w:rPr>
                <w:rFonts w:hint="eastAsia"/>
                <w:spacing w:val="-14"/>
                <w:kern w:val="0"/>
                <w:szCs w:val="21"/>
              </w:rPr>
              <w:t>实际完成率</w:t>
            </w:r>
            <w:r>
              <w:rPr>
                <w:spacing w:val="-14"/>
                <w:kern w:val="0"/>
                <w:szCs w:val="21"/>
              </w:rPr>
              <w:t>=</w:t>
            </w:r>
            <w:r>
              <w:rPr>
                <w:rFonts w:hint="eastAsia"/>
                <w:spacing w:val="-14"/>
                <w:kern w:val="0"/>
                <w:szCs w:val="21"/>
              </w:rPr>
              <w:t>（实际产出数</w:t>
            </w:r>
            <w:r>
              <w:rPr>
                <w:spacing w:val="-14"/>
                <w:kern w:val="0"/>
                <w:szCs w:val="21"/>
              </w:rPr>
              <w:t>/</w:t>
            </w:r>
            <w:r>
              <w:rPr>
                <w:rFonts w:hint="eastAsia"/>
                <w:spacing w:val="-14"/>
                <w:kern w:val="0"/>
                <w:szCs w:val="21"/>
              </w:rPr>
              <w:t>计划产出数）×</w:t>
            </w:r>
            <w:r>
              <w:rPr>
                <w:spacing w:val="-14"/>
                <w:kern w:val="0"/>
                <w:szCs w:val="21"/>
              </w:rPr>
              <w:t>100%</w:t>
            </w:r>
            <w:r>
              <w:rPr>
                <w:rFonts w:hint="eastAsia"/>
                <w:spacing w:val="-14"/>
                <w:kern w:val="0"/>
                <w:szCs w:val="21"/>
              </w:rPr>
              <w:t>。（得分</w:t>
            </w:r>
            <w:r>
              <w:rPr>
                <w:spacing w:val="-14"/>
                <w:kern w:val="0"/>
                <w:szCs w:val="21"/>
              </w:rPr>
              <w:t>=</w:t>
            </w:r>
            <w:r>
              <w:rPr>
                <w:rFonts w:hint="eastAsia"/>
                <w:spacing w:val="-14"/>
                <w:kern w:val="0"/>
                <w:szCs w:val="21"/>
              </w:rPr>
              <w:t>实际完成率</w:t>
            </w:r>
            <w:r>
              <w:rPr>
                <w:spacing w:val="-14"/>
                <w:kern w:val="0"/>
                <w:szCs w:val="21"/>
              </w:rPr>
              <w:t>*4</w:t>
            </w:r>
            <w:r>
              <w:rPr>
                <w:rFonts w:hint="eastAsia"/>
                <w:spacing w:val="-14"/>
                <w:kern w:val="0"/>
                <w:szCs w:val="21"/>
              </w:rPr>
              <w:t>分）</w:t>
            </w:r>
          </w:p>
          <w:p>
            <w:pPr>
              <w:widowControl/>
              <w:spacing w:line="240" w:lineRule="exact"/>
              <w:jc w:val="left"/>
              <w:rPr>
                <w:spacing w:val="-14"/>
                <w:kern w:val="0"/>
                <w:szCs w:val="21"/>
              </w:rPr>
            </w:pPr>
            <w:r>
              <w:rPr>
                <w:rFonts w:hint="eastAsia"/>
                <w:spacing w:val="-14"/>
                <w:kern w:val="0"/>
                <w:szCs w:val="21"/>
              </w:rPr>
              <w:t>实际产出数：一定时期（本年度或项目期）内项目实际产出的产品或提供的服务数量。</w:t>
            </w:r>
          </w:p>
          <w:p>
            <w:pPr>
              <w:widowControl/>
              <w:spacing w:line="240" w:lineRule="exact"/>
              <w:jc w:val="left"/>
              <w:rPr>
                <w:kern w:val="0"/>
                <w:szCs w:val="21"/>
              </w:rPr>
            </w:pPr>
            <w:r>
              <w:rPr>
                <w:rFonts w:hint="eastAsia"/>
                <w:kern w:val="0"/>
                <w:szCs w:val="21"/>
              </w:rPr>
              <w:t>计划产出数：项目绩效目标确定的在一定时期（本年度或项目期）内计划产出的产品或提供的服务数量。</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4</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完成及时率（</w:t>
            </w:r>
            <w:r>
              <w:rPr>
                <w:kern w:val="0"/>
                <w:szCs w:val="21"/>
              </w:rPr>
              <w:t>6</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项目实际提前完成时间与计划完成时间的比率，用以反映和考核项目产出时效目标的实现程度。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完成及时率</w:t>
            </w:r>
            <w:r>
              <w:rPr>
                <w:kern w:val="0"/>
                <w:szCs w:val="21"/>
              </w:rPr>
              <w:t>=[</w:t>
            </w:r>
            <w:r>
              <w:rPr>
                <w:rFonts w:hint="eastAsia"/>
                <w:kern w:val="0"/>
                <w:szCs w:val="21"/>
              </w:rPr>
              <w:t>（计划完成时间</w:t>
            </w:r>
            <w:r>
              <w:rPr>
                <w:kern w:val="0"/>
                <w:szCs w:val="21"/>
              </w:rPr>
              <w:t>-</w:t>
            </w:r>
            <w:r>
              <w:rPr>
                <w:rFonts w:hint="eastAsia"/>
                <w:kern w:val="0"/>
                <w:szCs w:val="21"/>
              </w:rPr>
              <w:t>实际完成时间）</w:t>
            </w:r>
            <w:r>
              <w:rPr>
                <w:kern w:val="0"/>
                <w:szCs w:val="21"/>
              </w:rPr>
              <w:t>/</w:t>
            </w:r>
            <w:r>
              <w:rPr>
                <w:rFonts w:hint="eastAsia"/>
                <w:kern w:val="0"/>
                <w:szCs w:val="21"/>
              </w:rPr>
              <w:t>计划完成时间</w:t>
            </w:r>
            <w:r>
              <w:rPr>
                <w:kern w:val="0"/>
                <w:szCs w:val="21"/>
              </w:rPr>
              <w:t>]</w:t>
            </w:r>
            <w:r>
              <w:rPr>
                <w:rFonts w:hint="eastAsia"/>
                <w:kern w:val="0"/>
                <w:szCs w:val="21"/>
              </w:rPr>
              <w:t>×</w:t>
            </w:r>
            <w:r>
              <w:rPr>
                <w:kern w:val="0"/>
                <w:szCs w:val="21"/>
              </w:rPr>
              <w:t>100%</w:t>
            </w:r>
            <w:r>
              <w:rPr>
                <w:rFonts w:hint="eastAsia"/>
                <w:kern w:val="0"/>
                <w:szCs w:val="21"/>
              </w:rPr>
              <w:t>。（</w:t>
            </w:r>
            <w:r>
              <w:rPr>
                <w:kern w:val="0"/>
                <w:szCs w:val="21"/>
              </w:rPr>
              <w:t>1--4</w:t>
            </w:r>
            <w:r>
              <w:rPr>
                <w:rFonts w:hint="eastAsia"/>
                <w:kern w:val="0"/>
                <w:szCs w:val="21"/>
              </w:rPr>
              <w:t>季度各得</w:t>
            </w:r>
            <w:r>
              <w:rPr>
                <w:kern w:val="0"/>
                <w:szCs w:val="21"/>
              </w:rPr>
              <w:t>1.5</w:t>
            </w:r>
            <w:r>
              <w:rPr>
                <w:rFonts w:hint="eastAsia"/>
                <w:kern w:val="0"/>
                <w:szCs w:val="21"/>
              </w:rPr>
              <w:t>分）</w:t>
            </w:r>
          </w:p>
          <w:p>
            <w:pPr>
              <w:widowControl/>
              <w:spacing w:line="240" w:lineRule="exact"/>
              <w:jc w:val="left"/>
              <w:rPr>
                <w:kern w:val="0"/>
                <w:szCs w:val="21"/>
              </w:rPr>
            </w:pPr>
            <w:r>
              <w:rPr>
                <w:rFonts w:hint="eastAsia"/>
                <w:kern w:val="0"/>
                <w:szCs w:val="21"/>
              </w:rPr>
              <w:t>实际完成时间：项目实施单位完成该项目实际所耗用的时间。</w:t>
            </w:r>
          </w:p>
          <w:p>
            <w:pPr>
              <w:widowControl/>
              <w:spacing w:line="240" w:lineRule="exact"/>
              <w:jc w:val="left"/>
              <w:rPr>
                <w:kern w:val="0"/>
                <w:szCs w:val="21"/>
              </w:rPr>
            </w:pPr>
            <w:r>
              <w:rPr>
                <w:rFonts w:hint="eastAsia"/>
                <w:kern w:val="0"/>
                <w:szCs w:val="21"/>
              </w:rPr>
              <w:t>计划完成时间：按照项目实施计划或相关规定完成该项目所需的时间。</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6</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质量达标率（</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项目完成的质量达标产出数与实际产出数的比率，用以反映和考核项目产出质量目标的实现程度。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质量达标率</w:t>
            </w:r>
            <w:r>
              <w:rPr>
                <w:kern w:val="0"/>
                <w:szCs w:val="21"/>
              </w:rPr>
              <w:t>=</w:t>
            </w:r>
            <w:r>
              <w:rPr>
                <w:rFonts w:hint="eastAsia"/>
                <w:kern w:val="0"/>
                <w:szCs w:val="21"/>
              </w:rPr>
              <w:t>（质量达标产出数</w:t>
            </w:r>
            <w:r>
              <w:rPr>
                <w:kern w:val="0"/>
                <w:szCs w:val="21"/>
              </w:rPr>
              <w:t>/</w:t>
            </w:r>
            <w:r>
              <w:rPr>
                <w:rFonts w:hint="eastAsia"/>
                <w:kern w:val="0"/>
                <w:szCs w:val="21"/>
              </w:rPr>
              <w:t>实际产出数）×</w:t>
            </w:r>
            <w:r>
              <w:rPr>
                <w:kern w:val="0"/>
                <w:szCs w:val="21"/>
              </w:rPr>
              <w:t>100%</w:t>
            </w:r>
            <w:r>
              <w:rPr>
                <w:rFonts w:hint="eastAsia"/>
                <w:kern w:val="0"/>
                <w:szCs w:val="21"/>
              </w:rPr>
              <w:t>。（得分</w:t>
            </w:r>
            <w:r>
              <w:rPr>
                <w:kern w:val="0"/>
                <w:szCs w:val="21"/>
              </w:rPr>
              <w:t>=</w:t>
            </w:r>
            <w:r>
              <w:rPr>
                <w:rFonts w:hint="eastAsia"/>
                <w:kern w:val="0"/>
                <w:szCs w:val="21"/>
              </w:rPr>
              <w:t>达标率</w:t>
            </w:r>
            <w:r>
              <w:rPr>
                <w:kern w:val="0"/>
                <w:szCs w:val="21"/>
              </w:rPr>
              <w:t>*5</w:t>
            </w:r>
            <w:r>
              <w:rPr>
                <w:rFonts w:hint="eastAsia"/>
                <w:kern w:val="0"/>
                <w:szCs w:val="21"/>
              </w:rPr>
              <w:t>分）</w:t>
            </w:r>
          </w:p>
          <w:p>
            <w:pPr>
              <w:widowControl/>
              <w:spacing w:line="240" w:lineRule="exact"/>
              <w:jc w:val="left"/>
              <w:rPr>
                <w:kern w:val="0"/>
                <w:szCs w:val="21"/>
              </w:rPr>
            </w:pPr>
            <w:r>
              <w:rPr>
                <w:rFonts w:hint="eastAsia"/>
                <w:kern w:val="0"/>
                <w:szCs w:val="21"/>
              </w:rPr>
              <w:t>质量达标产出数：一定时期（本年度或项目期）内实际达到既定质量标准的产品或服务数量。</w:t>
            </w:r>
          </w:p>
          <w:p>
            <w:pPr>
              <w:widowControl/>
              <w:spacing w:line="240" w:lineRule="exact"/>
              <w:jc w:val="left"/>
              <w:rPr>
                <w:kern w:val="0"/>
                <w:szCs w:val="21"/>
              </w:rPr>
            </w:pPr>
            <w:r>
              <w:rPr>
                <w:rFonts w:hint="eastAsia"/>
                <w:spacing w:val="-10"/>
                <w:kern w:val="0"/>
                <w:szCs w:val="21"/>
              </w:rPr>
              <w:t>既定质量标准是指项目实施单位设立绩效目标时依据计划标准、行业标准、历史标准或其他标准而设定的绩效指标值。</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成本节约率（</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完成项目计划工作目标的实际节约成本与计划成本的比率，用以反映和考核项目的成本节约程度。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成本节约率</w:t>
            </w:r>
            <w:r>
              <w:rPr>
                <w:kern w:val="0"/>
                <w:szCs w:val="21"/>
              </w:rPr>
              <w:t>=[</w:t>
            </w:r>
            <w:r>
              <w:rPr>
                <w:rFonts w:hint="eastAsia"/>
                <w:kern w:val="0"/>
                <w:szCs w:val="21"/>
              </w:rPr>
              <w:t>（计划成本</w:t>
            </w:r>
            <w:r>
              <w:rPr>
                <w:kern w:val="0"/>
                <w:szCs w:val="21"/>
              </w:rPr>
              <w:t>-</w:t>
            </w:r>
            <w:r>
              <w:rPr>
                <w:rFonts w:hint="eastAsia"/>
                <w:kern w:val="0"/>
                <w:szCs w:val="21"/>
              </w:rPr>
              <w:t>实际成本）</w:t>
            </w:r>
            <w:r>
              <w:rPr>
                <w:kern w:val="0"/>
                <w:szCs w:val="21"/>
              </w:rPr>
              <w:t>/</w:t>
            </w:r>
            <w:r>
              <w:rPr>
                <w:rFonts w:hint="eastAsia"/>
                <w:kern w:val="0"/>
                <w:szCs w:val="21"/>
              </w:rPr>
              <w:t>计划成本</w:t>
            </w:r>
            <w:r>
              <w:rPr>
                <w:kern w:val="0"/>
                <w:szCs w:val="21"/>
              </w:rPr>
              <w:t>]</w:t>
            </w:r>
            <w:r>
              <w:rPr>
                <w:rFonts w:hint="eastAsia"/>
                <w:kern w:val="0"/>
                <w:szCs w:val="21"/>
              </w:rPr>
              <w:t>×</w:t>
            </w:r>
            <w:r>
              <w:rPr>
                <w:kern w:val="0"/>
                <w:szCs w:val="21"/>
              </w:rPr>
              <w:t>100%</w:t>
            </w:r>
            <w:r>
              <w:rPr>
                <w:rFonts w:hint="eastAsia"/>
                <w:kern w:val="0"/>
                <w:szCs w:val="21"/>
              </w:rPr>
              <w:t>。</w:t>
            </w:r>
            <w:r>
              <w:rPr>
                <w:kern w:val="0"/>
                <w:szCs w:val="21"/>
              </w:rPr>
              <w:t>(</w:t>
            </w:r>
            <w:r>
              <w:rPr>
                <w:rFonts w:hint="eastAsia"/>
                <w:kern w:val="0"/>
                <w:szCs w:val="21"/>
              </w:rPr>
              <w:t>节约的计</w:t>
            </w:r>
            <w:r>
              <w:rPr>
                <w:kern w:val="0"/>
                <w:szCs w:val="21"/>
              </w:rPr>
              <w:t>5</w:t>
            </w:r>
            <w:r>
              <w:rPr>
                <w:rFonts w:hint="eastAsia"/>
                <w:kern w:val="0"/>
                <w:szCs w:val="21"/>
              </w:rPr>
              <w:t>分</w:t>
            </w:r>
            <w:r>
              <w:rPr>
                <w:kern w:val="0"/>
                <w:szCs w:val="21"/>
              </w:rPr>
              <w:t>,</w:t>
            </w:r>
            <w:r>
              <w:rPr>
                <w:rFonts w:hint="eastAsia"/>
                <w:kern w:val="0"/>
                <w:szCs w:val="21"/>
              </w:rPr>
              <w:t>增加的按比例扣分</w:t>
            </w:r>
            <w:r>
              <w:rPr>
                <w:kern w:val="0"/>
                <w:szCs w:val="21"/>
              </w:rPr>
              <w:t>)</w:t>
            </w:r>
          </w:p>
          <w:p>
            <w:pPr>
              <w:widowControl/>
              <w:spacing w:line="240" w:lineRule="exact"/>
              <w:jc w:val="left"/>
              <w:rPr>
                <w:spacing w:val="-10"/>
                <w:kern w:val="0"/>
                <w:szCs w:val="21"/>
              </w:rPr>
            </w:pPr>
            <w:r>
              <w:rPr>
                <w:rFonts w:hint="eastAsia"/>
                <w:spacing w:val="-10"/>
                <w:kern w:val="0"/>
                <w:szCs w:val="21"/>
              </w:rPr>
              <w:t>实际成本：项目实施单位如期、保质、保量完成既定工作目标实际所耗费的支出。</w:t>
            </w:r>
          </w:p>
          <w:p>
            <w:pPr>
              <w:widowControl/>
              <w:spacing w:line="240" w:lineRule="exact"/>
              <w:jc w:val="left"/>
              <w:rPr>
                <w:kern w:val="0"/>
                <w:szCs w:val="21"/>
              </w:rPr>
            </w:pPr>
            <w:r>
              <w:rPr>
                <w:rFonts w:hint="eastAsia"/>
                <w:spacing w:val="-10"/>
                <w:kern w:val="0"/>
                <w:szCs w:val="21"/>
              </w:rPr>
              <w:t>计划成本：项目实施单位为完成工作目标计划安排的支出，一般以项目预算为参考。</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392"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效</w:t>
            </w:r>
            <w:r>
              <w:rPr>
                <w:kern w:val="0"/>
                <w:szCs w:val="21"/>
              </w:rPr>
              <w:t xml:space="preserve">   </w:t>
            </w:r>
            <w:r>
              <w:rPr>
                <w:rFonts w:hint="eastAsia"/>
                <w:kern w:val="0"/>
                <w:szCs w:val="21"/>
              </w:rPr>
              <w:t>果（</w:t>
            </w:r>
            <w:r>
              <w:rPr>
                <w:kern w:val="0"/>
                <w:szCs w:val="21"/>
              </w:rPr>
              <w:t>30</w:t>
            </w:r>
            <w:r>
              <w:rPr>
                <w:rFonts w:hint="eastAsia"/>
                <w:kern w:val="0"/>
                <w:szCs w:val="21"/>
              </w:rPr>
              <w:t>分）</w:t>
            </w:r>
          </w:p>
        </w:tc>
        <w:tc>
          <w:tcPr>
            <w:tcW w:w="385"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效益（</w:t>
            </w:r>
            <w:r>
              <w:rPr>
                <w:kern w:val="0"/>
                <w:szCs w:val="21"/>
              </w:rPr>
              <w:t>30</w:t>
            </w:r>
            <w:r>
              <w:rPr>
                <w:rFonts w:hint="eastAsia"/>
                <w:kern w:val="0"/>
                <w:szCs w:val="21"/>
              </w:rPr>
              <w:t>分）</w:t>
            </w: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经济效益</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项目实施对经济发展所带来的直接或间接影响情况。</w:t>
            </w:r>
          </w:p>
        </w:tc>
        <w:tc>
          <w:tcPr>
            <w:tcW w:w="1942" w:type="pct"/>
            <w:vMerge w:val="restart"/>
            <w:shd w:val="clear" w:color="auto" w:fill="FFFFFF"/>
            <w:noWrap w:val="0"/>
            <w:vAlign w:val="center"/>
          </w:tcPr>
          <w:p>
            <w:pPr>
              <w:widowControl/>
              <w:spacing w:line="240" w:lineRule="exact"/>
              <w:jc w:val="left"/>
              <w:rPr>
                <w:kern w:val="0"/>
                <w:szCs w:val="21"/>
              </w:rPr>
            </w:pPr>
            <w:r>
              <w:rPr>
                <w:rFonts w:hint="eastAsia"/>
                <w:kern w:val="0"/>
                <w:szCs w:val="21"/>
              </w:rPr>
              <w:t>此四项指标为项目支出绩效评价指标的共性要素，各单位按照项目支出绩效目标实现程度为依据。（按经济效益实现程度</w:t>
            </w:r>
            <w:r>
              <w:rPr>
                <w:kern w:val="0"/>
                <w:szCs w:val="21"/>
              </w:rPr>
              <w:t>*5</w:t>
            </w:r>
            <w:r>
              <w:rPr>
                <w:rFonts w:hint="eastAsia"/>
                <w:kern w:val="0"/>
                <w:szCs w:val="21"/>
              </w:rPr>
              <w:t>分、社会效益实现程度</w:t>
            </w:r>
            <w:r>
              <w:rPr>
                <w:kern w:val="0"/>
                <w:szCs w:val="21"/>
              </w:rPr>
              <w:t>*5</w:t>
            </w:r>
            <w:r>
              <w:rPr>
                <w:rFonts w:hint="eastAsia"/>
                <w:kern w:val="0"/>
                <w:szCs w:val="21"/>
              </w:rPr>
              <w:t>分、生态效益实现程度</w:t>
            </w:r>
            <w:r>
              <w:rPr>
                <w:kern w:val="0"/>
                <w:szCs w:val="21"/>
              </w:rPr>
              <w:t>*5</w:t>
            </w:r>
            <w:r>
              <w:rPr>
                <w:rFonts w:hint="eastAsia"/>
                <w:kern w:val="0"/>
                <w:szCs w:val="21"/>
              </w:rPr>
              <w:t>分、可持续影响程度</w:t>
            </w:r>
            <w:r>
              <w:rPr>
                <w:kern w:val="0"/>
                <w:szCs w:val="21"/>
              </w:rPr>
              <w:t>*5</w:t>
            </w:r>
            <w:r>
              <w:rPr>
                <w:rFonts w:hint="eastAsia"/>
                <w:kern w:val="0"/>
                <w:szCs w:val="21"/>
              </w:rPr>
              <w:t>分计算实际得分）</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社会效益（</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项目实施对社会发展所带来的直接或间接影响情况。</w:t>
            </w:r>
          </w:p>
        </w:tc>
        <w:tc>
          <w:tcPr>
            <w:tcW w:w="1942" w:type="pct"/>
            <w:vMerge w:val="continue"/>
            <w:noWrap w:val="0"/>
            <w:vAlign w:val="center"/>
          </w:tcPr>
          <w:p>
            <w:pPr>
              <w:widowControl/>
              <w:spacing w:line="240" w:lineRule="exact"/>
              <w:jc w:val="left"/>
              <w:rPr>
                <w:kern w:val="0"/>
                <w:szCs w:val="21"/>
              </w:rPr>
            </w:pP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生态效益（</w:t>
            </w:r>
            <w:r>
              <w:rPr>
                <w:kern w:val="0"/>
                <w:szCs w:val="21"/>
              </w:rPr>
              <w:t>5</w:t>
            </w:r>
            <w:r>
              <w:rPr>
                <w:rFonts w:hint="eastAsia"/>
                <w:kern w:val="0"/>
                <w:szCs w:val="21"/>
              </w:rPr>
              <w:t>分）</w:t>
            </w:r>
          </w:p>
        </w:tc>
        <w:tc>
          <w:tcPr>
            <w:tcW w:w="933"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项目实施对生态环境所带来的直接或间接影响情况。</w:t>
            </w:r>
          </w:p>
        </w:tc>
        <w:tc>
          <w:tcPr>
            <w:tcW w:w="1942" w:type="pct"/>
            <w:vMerge w:val="continue"/>
            <w:noWrap w:val="0"/>
            <w:vAlign w:val="center"/>
          </w:tcPr>
          <w:p>
            <w:pPr>
              <w:widowControl/>
              <w:spacing w:line="240" w:lineRule="exact"/>
              <w:jc w:val="left"/>
              <w:rPr>
                <w:kern w:val="0"/>
                <w:szCs w:val="21"/>
              </w:rPr>
            </w:pP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kern w:val="0"/>
                <w:szCs w:val="21"/>
              </w:rPr>
            </w:pPr>
            <w:r>
              <w:rPr>
                <w:rFonts w:hint="eastAsia"/>
                <w:kern w:val="0"/>
                <w:szCs w:val="21"/>
              </w:rPr>
              <w:t>可持续影响</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项目后续运行及成效发挥的可持续影响情况。</w:t>
            </w:r>
          </w:p>
        </w:tc>
        <w:tc>
          <w:tcPr>
            <w:tcW w:w="1942" w:type="pct"/>
            <w:vMerge w:val="continue"/>
            <w:noWrap w:val="0"/>
            <w:vAlign w:val="center"/>
          </w:tcPr>
          <w:p>
            <w:pPr>
              <w:widowControl/>
              <w:spacing w:line="240" w:lineRule="exact"/>
              <w:jc w:val="left"/>
              <w:rPr>
                <w:kern w:val="0"/>
                <w:szCs w:val="21"/>
              </w:rPr>
            </w:pP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392" w:type="pct"/>
            <w:vMerge w:val="continue"/>
            <w:shd w:val="clear" w:color="auto" w:fill="auto"/>
            <w:noWrap w:val="0"/>
            <w:vAlign w:val="center"/>
          </w:tcPr>
          <w:p>
            <w:pPr>
              <w:widowControl/>
              <w:spacing w:line="240" w:lineRule="exact"/>
              <w:jc w:val="left"/>
              <w:rPr>
                <w:kern w:val="0"/>
                <w:szCs w:val="21"/>
              </w:rPr>
            </w:pPr>
          </w:p>
        </w:tc>
        <w:tc>
          <w:tcPr>
            <w:tcW w:w="385" w:type="pct"/>
            <w:vMerge w:val="continue"/>
            <w:shd w:val="clear" w:color="auto" w:fill="auto"/>
            <w:noWrap w:val="0"/>
            <w:vAlign w:val="center"/>
          </w:tcPr>
          <w:p>
            <w:pPr>
              <w:widowControl/>
              <w:spacing w:line="240" w:lineRule="exact"/>
              <w:jc w:val="left"/>
              <w:rPr>
                <w:kern w:val="0"/>
                <w:szCs w:val="21"/>
              </w:rPr>
            </w:pPr>
          </w:p>
        </w:tc>
        <w:tc>
          <w:tcPr>
            <w:tcW w:w="467"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社会公众或服务对象满意度（</w:t>
            </w:r>
            <w:r>
              <w:rPr>
                <w:spacing w:val="-10"/>
                <w:kern w:val="0"/>
                <w:szCs w:val="21"/>
              </w:rPr>
              <w:t>10</w:t>
            </w:r>
            <w:r>
              <w:rPr>
                <w:rFonts w:hint="eastAsia"/>
                <w:spacing w:val="-10"/>
                <w:kern w:val="0"/>
                <w:szCs w:val="21"/>
              </w:rPr>
              <w:t>分）</w:t>
            </w:r>
          </w:p>
        </w:tc>
        <w:tc>
          <w:tcPr>
            <w:tcW w:w="933" w:type="pct"/>
            <w:shd w:val="clear" w:color="auto" w:fill="FFFFFF"/>
            <w:noWrap w:val="0"/>
            <w:vAlign w:val="center"/>
          </w:tcPr>
          <w:p>
            <w:pPr>
              <w:widowControl/>
              <w:spacing w:line="240" w:lineRule="exact"/>
              <w:jc w:val="left"/>
              <w:rPr>
                <w:kern w:val="0"/>
                <w:szCs w:val="21"/>
              </w:rPr>
            </w:pPr>
            <w:r>
              <w:rPr>
                <w:rFonts w:hint="eastAsia"/>
                <w:kern w:val="0"/>
                <w:szCs w:val="21"/>
              </w:rPr>
              <w:t>社会公众或服务对象对项目实施效果的满意程度。</w:t>
            </w:r>
          </w:p>
        </w:tc>
        <w:tc>
          <w:tcPr>
            <w:tcW w:w="1942" w:type="pct"/>
            <w:shd w:val="clear" w:color="auto" w:fill="FFFFFF"/>
            <w:noWrap w:val="0"/>
            <w:vAlign w:val="center"/>
          </w:tcPr>
          <w:p>
            <w:pPr>
              <w:widowControl/>
              <w:spacing w:line="240" w:lineRule="exact"/>
              <w:jc w:val="left"/>
              <w:rPr>
                <w:kern w:val="0"/>
                <w:szCs w:val="21"/>
              </w:rPr>
            </w:pPr>
            <w:r>
              <w:rPr>
                <w:rFonts w:hint="eastAsia"/>
                <w:kern w:val="0"/>
                <w:szCs w:val="21"/>
              </w:rPr>
              <w:t>社会公众或服务对象是指因该项目实施而受到影响的部门（单位）、群体或个人。一般采取社会调查的方式。（按收到的服务对象的满意率计算得分）</w:t>
            </w:r>
          </w:p>
        </w:tc>
        <w:tc>
          <w:tcPr>
            <w:tcW w:w="38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9</w:t>
            </w:r>
          </w:p>
        </w:tc>
        <w:tc>
          <w:tcPr>
            <w:tcW w:w="493" w:type="pct"/>
            <w:noWrap/>
            <w:vAlign w:val="center"/>
          </w:tcPr>
          <w:p>
            <w:pPr>
              <w:widowControl/>
              <w:spacing w:line="240" w:lineRule="exact"/>
              <w:jc w:val="left"/>
              <w:rPr>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4118" w:type="pct"/>
            <w:gridSpan w:val="5"/>
            <w:tcBorders>
              <w:bottom w:val="single" w:color="auto" w:sz="12" w:space="0"/>
            </w:tcBorders>
            <w:shd w:val="clear" w:color="auto" w:fill="FFFFFF"/>
            <w:noWrap w:val="0"/>
            <w:vAlign w:val="center"/>
          </w:tcPr>
          <w:p>
            <w:pPr>
              <w:widowControl/>
              <w:spacing w:line="240" w:lineRule="exact"/>
              <w:jc w:val="center"/>
              <w:rPr>
                <w:kern w:val="0"/>
                <w:szCs w:val="21"/>
              </w:rPr>
            </w:pPr>
            <w:r>
              <w:rPr>
                <w:rFonts w:hint="eastAsia"/>
                <w:kern w:val="0"/>
                <w:szCs w:val="21"/>
              </w:rPr>
              <w:t>合计</w:t>
            </w:r>
          </w:p>
        </w:tc>
        <w:tc>
          <w:tcPr>
            <w:tcW w:w="388" w:type="pct"/>
            <w:tcBorders>
              <w:bottom w:val="single" w:color="auto" w:sz="12" w:space="0"/>
            </w:tcBorders>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98</w:t>
            </w:r>
          </w:p>
        </w:tc>
        <w:tc>
          <w:tcPr>
            <w:tcW w:w="493" w:type="pct"/>
            <w:tcBorders>
              <w:bottom w:val="single" w:color="auto" w:sz="12" w:space="0"/>
            </w:tcBorders>
            <w:noWrap/>
            <w:vAlign w:val="center"/>
          </w:tcPr>
          <w:p>
            <w:pPr>
              <w:widowControl/>
              <w:spacing w:line="240" w:lineRule="exact"/>
              <w:jc w:val="left"/>
              <w:rPr>
                <w:kern w:val="0"/>
                <w:szCs w:val="21"/>
              </w:rPr>
            </w:pPr>
            <w:r>
              <w:rPr>
                <w:rFonts w:hint="eastAsia"/>
                <w:kern w:val="0"/>
                <w:szCs w:val="21"/>
              </w:rPr>
              <w:t>　</w:t>
            </w:r>
          </w:p>
        </w:tc>
      </w:tr>
    </w:tbl>
    <w:p>
      <w:pPr>
        <w:spacing w:line="620" w:lineRule="exact"/>
        <w:jc w:val="left"/>
        <w:rPr>
          <w:rFonts w:ascii="宋体"/>
          <w:sz w:val="32"/>
          <w:szCs w:val="32"/>
        </w:rPr>
      </w:pPr>
    </w:p>
    <w:p>
      <w:pPr>
        <w:spacing w:line="620" w:lineRule="exact"/>
        <w:jc w:val="left"/>
        <w:rPr>
          <w:rFonts w:ascii="??????" w:hAnsi="宋体" w:eastAsia="Times New Roman"/>
          <w:sz w:val="33"/>
          <w:szCs w:val="33"/>
        </w:rPr>
        <w:sectPr>
          <w:pgSz w:w="11907" w:h="16840"/>
          <w:pgMar w:top="2098" w:right="1474" w:bottom="1928" w:left="1588" w:header="851" w:footer="992" w:gutter="0"/>
          <w:cols w:space="720" w:num="1"/>
          <w:docGrid w:type="lines" w:linePitch="312" w:charSpace="0"/>
        </w:sectPr>
      </w:pPr>
    </w:p>
    <w:p>
      <w:pPr>
        <w:spacing w:line="620" w:lineRule="exact"/>
        <w:jc w:val="left"/>
        <w:rPr>
          <w:rFonts w:eastAsia="方正黑体简体"/>
          <w:sz w:val="32"/>
          <w:szCs w:val="32"/>
        </w:rPr>
      </w:pPr>
      <w:r>
        <w:rPr>
          <w:rFonts w:hint="eastAsia" w:eastAsia="方正黑体简体"/>
          <w:sz w:val="32"/>
          <w:szCs w:val="32"/>
        </w:rPr>
        <w:t>附件</w:t>
      </w:r>
      <w:r>
        <w:rPr>
          <w:rFonts w:eastAsia="方正黑体简体"/>
          <w:sz w:val="32"/>
          <w:szCs w:val="32"/>
        </w:rPr>
        <w:t>4-2</w:t>
      </w:r>
    </w:p>
    <w:p>
      <w:pPr>
        <w:spacing w:line="620" w:lineRule="exact"/>
        <w:jc w:val="center"/>
        <w:rPr>
          <w:rFonts w:eastAsia="方正小标宋简体"/>
          <w:color w:val="000000"/>
          <w:spacing w:val="-12"/>
          <w:kern w:val="0"/>
          <w:sz w:val="44"/>
          <w:szCs w:val="44"/>
        </w:rPr>
      </w:pPr>
      <w:r>
        <w:rPr>
          <w:rFonts w:eastAsia="方正小标宋简体"/>
          <w:color w:val="000000"/>
          <w:spacing w:val="-12"/>
          <w:kern w:val="0"/>
          <w:sz w:val="44"/>
          <w:szCs w:val="44"/>
        </w:rPr>
        <w:t>2021</w:t>
      </w:r>
      <w:r>
        <w:rPr>
          <w:rFonts w:hint="eastAsia" w:eastAsia="方正小标宋简体"/>
          <w:color w:val="000000"/>
          <w:spacing w:val="-12"/>
          <w:kern w:val="0"/>
          <w:sz w:val="44"/>
          <w:szCs w:val="44"/>
        </w:rPr>
        <w:t>年度乐至县项目支出绩效目标完成情况表</w:t>
      </w:r>
    </w:p>
    <w:p>
      <w:pPr>
        <w:pStyle w:val="8"/>
        <w:spacing w:after="0" w:line="240" w:lineRule="exact"/>
        <w:rPr>
          <w:rFonts w:ascii="宋体"/>
        </w:rPr>
      </w:pPr>
    </w:p>
    <w:tbl>
      <w:tblPr>
        <w:tblStyle w:val="19"/>
        <w:tblW w:w="96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97"/>
        <w:gridCol w:w="968"/>
        <w:gridCol w:w="725"/>
        <w:gridCol w:w="821"/>
        <w:gridCol w:w="1599"/>
        <w:gridCol w:w="2019"/>
        <w:gridCol w:w="25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97" w:type="dxa"/>
            <w:tcBorders>
              <w:top w:val="single" w:color="auto" w:sz="12" w:space="0"/>
            </w:tcBorders>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名称</w:t>
            </w:r>
          </w:p>
        </w:tc>
        <w:tc>
          <w:tcPr>
            <w:tcW w:w="8713" w:type="dxa"/>
            <w:gridSpan w:val="6"/>
            <w:tcBorders>
              <w:top w:val="single" w:color="auto" w:sz="12" w:space="0"/>
            </w:tcBorders>
            <w:noWrap/>
            <w:vAlign w:val="center"/>
          </w:tcPr>
          <w:p>
            <w:pPr>
              <w:widowControl/>
              <w:spacing w:line="240" w:lineRule="exact"/>
              <w:jc w:val="center"/>
              <w:rPr>
                <w:color w:val="000000"/>
                <w:kern w:val="0"/>
                <w:szCs w:val="21"/>
              </w:rPr>
            </w:pPr>
            <w:r>
              <w:rPr>
                <w:rFonts w:hint="eastAsia"/>
                <w:color w:val="000000"/>
                <w:kern w:val="0"/>
                <w:szCs w:val="21"/>
              </w:rPr>
              <w:t>　劳动镇石家坳村狮行桥改造项目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97" w:type="dxa"/>
            <w:vMerge w:val="restart"/>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类型</w:t>
            </w:r>
          </w:p>
        </w:tc>
        <w:tc>
          <w:tcPr>
            <w:tcW w:w="968" w:type="dxa"/>
            <w:noWrap/>
            <w:vAlign w:val="center"/>
          </w:tcPr>
          <w:p>
            <w:pPr>
              <w:widowControl/>
              <w:spacing w:line="240" w:lineRule="exact"/>
              <w:jc w:val="center"/>
              <w:rPr>
                <w:color w:val="000000"/>
                <w:kern w:val="0"/>
                <w:szCs w:val="21"/>
              </w:rPr>
            </w:pPr>
            <w:r>
              <w:rPr>
                <w:rFonts w:hint="eastAsia"/>
                <w:color w:val="000000"/>
                <w:kern w:val="0"/>
                <w:szCs w:val="21"/>
              </w:rPr>
              <w:t>产业发展</w:t>
            </w:r>
          </w:p>
        </w:tc>
        <w:tc>
          <w:tcPr>
            <w:tcW w:w="725" w:type="dxa"/>
            <w:noWrap/>
            <w:vAlign w:val="center"/>
          </w:tcPr>
          <w:p>
            <w:pPr>
              <w:widowControl/>
              <w:spacing w:line="240" w:lineRule="exact"/>
              <w:jc w:val="center"/>
              <w:rPr>
                <w:color w:val="000000"/>
                <w:kern w:val="0"/>
                <w:szCs w:val="21"/>
              </w:rPr>
            </w:pPr>
            <w:r>
              <w:rPr>
                <w:rFonts w:hint="eastAsia"/>
                <w:color w:val="000000"/>
                <w:kern w:val="0"/>
                <w:szCs w:val="21"/>
              </w:rPr>
              <w:t>民生</w:t>
            </w:r>
          </w:p>
          <w:p>
            <w:pPr>
              <w:widowControl/>
              <w:spacing w:line="240" w:lineRule="exact"/>
              <w:jc w:val="center"/>
              <w:rPr>
                <w:color w:val="000000"/>
                <w:kern w:val="0"/>
                <w:szCs w:val="21"/>
              </w:rPr>
            </w:pPr>
            <w:r>
              <w:rPr>
                <w:rFonts w:hint="eastAsia"/>
                <w:color w:val="000000"/>
                <w:kern w:val="0"/>
                <w:szCs w:val="21"/>
              </w:rPr>
              <w:t>保障</w:t>
            </w:r>
          </w:p>
        </w:tc>
        <w:tc>
          <w:tcPr>
            <w:tcW w:w="2420" w:type="dxa"/>
            <w:gridSpan w:val="2"/>
            <w:noWrap/>
            <w:vAlign w:val="center"/>
          </w:tcPr>
          <w:p>
            <w:pPr>
              <w:widowControl/>
              <w:spacing w:line="240" w:lineRule="exact"/>
              <w:jc w:val="center"/>
              <w:rPr>
                <w:color w:val="000000"/>
                <w:kern w:val="0"/>
                <w:szCs w:val="21"/>
              </w:rPr>
            </w:pPr>
            <w:r>
              <w:rPr>
                <w:rFonts w:hint="eastAsia"/>
                <w:color w:val="000000"/>
                <w:kern w:val="0"/>
                <w:szCs w:val="21"/>
              </w:rPr>
              <w:t>基础设施</w:t>
            </w:r>
          </w:p>
        </w:tc>
        <w:tc>
          <w:tcPr>
            <w:tcW w:w="4600" w:type="dxa"/>
            <w:gridSpan w:val="2"/>
            <w:noWrap/>
            <w:vAlign w:val="center"/>
          </w:tcPr>
          <w:p>
            <w:pPr>
              <w:widowControl/>
              <w:spacing w:line="240" w:lineRule="exact"/>
              <w:jc w:val="center"/>
              <w:rPr>
                <w:color w:val="000000"/>
                <w:kern w:val="0"/>
                <w:szCs w:val="21"/>
              </w:rPr>
            </w:pPr>
            <w:r>
              <w:rPr>
                <w:rFonts w:hint="eastAsia"/>
                <w:color w:val="000000"/>
                <w:kern w:val="0"/>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 w:hRule="atLeast"/>
          <w:jc w:val="center"/>
        </w:trPr>
        <w:tc>
          <w:tcPr>
            <w:tcW w:w="897" w:type="dxa"/>
            <w:vMerge w:val="continue"/>
            <w:noWrap w:val="0"/>
            <w:vAlign w:val="center"/>
          </w:tcPr>
          <w:p>
            <w:pPr>
              <w:widowControl/>
              <w:spacing w:line="240" w:lineRule="exact"/>
              <w:jc w:val="left"/>
              <w:rPr>
                <w:color w:val="000000"/>
                <w:kern w:val="0"/>
                <w:szCs w:val="21"/>
              </w:rPr>
            </w:pPr>
          </w:p>
        </w:tc>
        <w:tc>
          <w:tcPr>
            <w:tcW w:w="968" w:type="dxa"/>
            <w:noWrap/>
            <w:vAlign w:val="center"/>
          </w:tcPr>
          <w:p>
            <w:pPr>
              <w:widowControl/>
              <w:spacing w:line="240" w:lineRule="exact"/>
              <w:jc w:val="center"/>
              <w:rPr>
                <w:color w:val="000000"/>
                <w:kern w:val="0"/>
                <w:szCs w:val="21"/>
              </w:rPr>
            </w:pPr>
            <w:r>
              <w:rPr>
                <w:rFonts w:hint="eastAsia"/>
                <w:color w:val="000000"/>
                <w:kern w:val="0"/>
                <w:szCs w:val="21"/>
              </w:rPr>
              <w:t>□</w:t>
            </w:r>
          </w:p>
        </w:tc>
        <w:tc>
          <w:tcPr>
            <w:tcW w:w="725" w:type="dxa"/>
            <w:noWrap/>
            <w:vAlign w:val="center"/>
          </w:tcPr>
          <w:p>
            <w:pPr>
              <w:spacing w:line="240" w:lineRule="exact"/>
              <w:jc w:val="center"/>
              <w:rPr>
                <w:rFonts w:hint="eastAsia" w:eastAsia="宋体"/>
                <w:szCs w:val="21"/>
                <w:lang w:eastAsia="zh-CN"/>
              </w:rPr>
            </w:pPr>
            <w:r>
              <w:rPr>
                <w:rFonts w:hint="eastAsia"/>
                <w:color w:val="000000"/>
                <w:kern w:val="0"/>
                <w:szCs w:val="21"/>
                <w:lang w:eastAsia="zh-CN"/>
              </w:rPr>
              <w:t>☑</w:t>
            </w:r>
          </w:p>
        </w:tc>
        <w:tc>
          <w:tcPr>
            <w:tcW w:w="2420" w:type="dxa"/>
            <w:gridSpan w:val="2"/>
            <w:noWrap/>
            <w:vAlign w:val="center"/>
          </w:tcPr>
          <w:p>
            <w:pPr>
              <w:spacing w:line="240" w:lineRule="exact"/>
              <w:jc w:val="center"/>
              <w:rPr>
                <w:rFonts w:hint="eastAsia" w:eastAsia="宋体"/>
                <w:szCs w:val="21"/>
                <w:lang w:eastAsia="zh-CN"/>
              </w:rPr>
            </w:pPr>
            <w:r>
              <w:rPr>
                <w:rFonts w:hint="eastAsia"/>
                <w:color w:val="000000"/>
                <w:kern w:val="0"/>
                <w:szCs w:val="21"/>
                <w:lang w:eastAsia="zh-CN"/>
              </w:rPr>
              <w:t>☑</w:t>
            </w:r>
          </w:p>
        </w:tc>
        <w:tc>
          <w:tcPr>
            <w:tcW w:w="4600" w:type="dxa"/>
            <w:gridSpan w:val="2"/>
            <w:noWrap/>
            <w:vAlign w:val="center"/>
          </w:tcPr>
          <w:p>
            <w:pPr>
              <w:spacing w:line="240" w:lineRule="exact"/>
              <w:jc w:val="center"/>
              <w:rPr>
                <w:szCs w:val="21"/>
              </w:rPr>
            </w:pPr>
            <w:r>
              <w:rPr>
                <w:rFonts w:hint="eastAsia"/>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97" w:type="dxa"/>
            <w:noWrap/>
            <w:vAlign w:val="center"/>
          </w:tcPr>
          <w:p>
            <w:pPr>
              <w:widowControl/>
              <w:spacing w:line="240" w:lineRule="exact"/>
              <w:jc w:val="center"/>
              <w:rPr>
                <w:color w:val="000000"/>
                <w:kern w:val="0"/>
                <w:szCs w:val="21"/>
              </w:rPr>
            </w:pPr>
            <w:r>
              <w:rPr>
                <w:rFonts w:hint="eastAsia"/>
                <w:color w:val="000000"/>
                <w:kern w:val="0"/>
                <w:szCs w:val="21"/>
              </w:rPr>
              <w:t>部门（单位）名称</w:t>
            </w:r>
          </w:p>
        </w:tc>
        <w:tc>
          <w:tcPr>
            <w:tcW w:w="4113" w:type="dxa"/>
            <w:gridSpan w:val="4"/>
            <w:noWrap/>
            <w:vAlign w:val="center"/>
          </w:tcPr>
          <w:p>
            <w:pPr>
              <w:widowControl/>
              <w:spacing w:line="240" w:lineRule="exact"/>
              <w:jc w:val="center"/>
              <w:rPr>
                <w:rFonts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乐至县劳动镇人民政府</w:t>
            </w:r>
            <w:r>
              <w:rPr>
                <w:rFonts w:hint="eastAsia"/>
                <w:color w:val="000000"/>
                <w:kern w:val="0"/>
                <w:szCs w:val="21"/>
              </w:rPr>
              <w:t>　　</w:t>
            </w:r>
          </w:p>
        </w:tc>
        <w:tc>
          <w:tcPr>
            <w:tcW w:w="2019" w:type="dxa"/>
            <w:noWrap/>
            <w:vAlign w:val="center"/>
          </w:tcPr>
          <w:p>
            <w:pPr>
              <w:widowControl/>
              <w:spacing w:line="240" w:lineRule="exact"/>
              <w:jc w:val="center"/>
              <w:rPr>
                <w:rFonts w:ascii="Times New Roman" w:hAnsi="Times New Roman" w:eastAsia="宋体" w:cs="Times New Roman"/>
                <w:color w:val="000000"/>
                <w:kern w:val="0"/>
                <w:sz w:val="21"/>
                <w:szCs w:val="21"/>
                <w:lang w:val="en-US" w:eastAsia="zh-CN" w:bidi="ar-SA"/>
              </w:rPr>
            </w:pPr>
            <w:r>
              <w:rPr>
                <w:rFonts w:hint="eastAsia"/>
                <w:color w:val="000000"/>
                <w:kern w:val="0"/>
                <w:szCs w:val="21"/>
              </w:rPr>
              <w:t>预算单位编码</w:t>
            </w:r>
          </w:p>
        </w:tc>
        <w:tc>
          <w:tcPr>
            <w:tcW w:w="2581" w:type="dxa"/>
            <w:noWrap/>
            <w:vAlign w:val="center"/>
          </w:tcPr>
          <w:p>
            <w:pPr>
              <w:widowControl/>
              <w:spacing w:line="240" w:lineRule="exact"/>
              <w:jc w:val="left"/>
              <w:rPr>
                <w:rFonts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ascii="Times New Roman" w:hAnsi="Times New Roman" w:cs="Times New Roman"/>
                <w:color w:val="000000"/>
                <w:kern w:val="0"/>
                <w:szCs w:val="21"/>
                <w:lang w:val="en-US" w:eastAsia="zh-CN"/>
              </w:rPr>
              <w:t>317001</w:t>
            </w:r>
            <w:r>
              <w:rPr>
                <w:bCs/>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9" w:hRule="atLeast"/>
          <w:jc w:val="center"/>
        </w:trPr>
        <w:tc>
          <w:tcPr>
            <w:tcW w:w="897" w:type="dxa"/>
            <w:vMerge w:val="restart"/>
            <w:noWrap/>
            <w:vAlign w:val="center"/>
          </w:tcPr>
          <w:p>
            <w:pPr>
              <w:widowControl/>
              <w:spacing w:line="240" w:lineRule="exact"/>
              <w:jc w:val="center"/>
              <w:rPr>
                <w:color w:val="000000"/>
                <w:kern w:val="0"/>
                <w:szCs w:val="21"/>
              </w:rPr>
            </w:pPr>
            <w:r>
              <w:rPr>
                <w:rFonts w:hint="eastAsia"/>
                <w:color w:val="000000"/>
                <w:kern w:val="0"/>
                <w:szCs w:val="21"/>
              </w:rPr>
              <w:t>预算执行情况</w:t>
            </w:r>
          </w:p>
        </w:tc>
        <w:tc>
          <w:tcPr>
            <w:tcW w:w="968" w:type="dxa"/>
            <w:noWrap/>
            <w:vAlign w:val="center"/>
          </w:tcPr>
          <w:p>
            <w:pPr>
              <w:widowControl/>
              <w:spacing w:line="240" w:lineRule="exact"/>
              <w:jc w:val="center"/>
              <w:rPr>
                <w:color w:val="000000"/>
                <w:kern w:val="0"/>
                <w:szCs w:val="21"/>
              </w:rPr>
            </w:pPr>
            <w:r>
              <w:rPr>
                <w:rFonts w:hint="eastAsia"/>
                <w:color w:val="000000"/>
                <w:kern w:val="0"/>
                <w:szCs w:val="21"/>
              </w:rPr>
              <w:t>项目</w:t>
            </w:r>
          </w:p>
        </w:tc>
        <w:tc>
          <w:tcPr>
            <w:tcW w:w="725" w:type="dxa"/>
            <w:noWrap/>
            <w:vAlign w:val="center"/>
          </w:tcPr>
          <w:p>
            <w:pPr>
              <w:widowControl/>
              <w:spacing w:line="240" w:lineRule="exact"/>
              <w:jc w:val="center"/>
              <w:rPr>
                <w:color w:val="000000"/>
                <w:kern w:val="0"/>
                <w:szCs w:val="21"/>
              </w:rPr>
            </w:pPr>
            <w:r>
              <w:rPr>
                <w:rFonts w:hint="eastAsia"/>
                <w:color w:val="000000"/>
                <w:kern w:val="0"/>
                <w:szCs w:val="21"/>
              </w:rPr>
              <w:t>预算额</w:t>
            </w:r>
            <w:r>
              <w:rPr>
                <w:color w:val="000000"/>
                <w:kern w:val="0"/>
                <w:szCs w:val="21"/>
              </w:rPr>
              <w:t>(</w:t>
            </w:r>
            <w:r>
              <w:rPr>
                <w:rFonts w:hint="eastAsia"/>
                <w:color w:val="000000"/>
                <w:kern w:val="0"/>
                <w:szCs w:val="21"/>
                <w:lang w:eastAsia="zh-CN"/>
              </w:rPr>
              <w:t>万</w:t>
            </w:r>
            <w:r>
              <w:rPr>
                <w:rFonts w:hint="eastAsia"/>
                <w:color w:val="000000"/>
                <w:kern w:val="0"/>
                <w:szCs w:val="21"/>
              </w:rPr>
              <w:t>元</w:t>
            </w:r>
            <w:r>
              <w:rPr>
                <w:color w:val="000000"/>
                <w:kern w:val="0"/>
                <w:szCs w:val="21"/>
              </w:rPr>
              <w:t>)</w:t>
            </w:r>
          </w:p>
        </w:tc>
        <w:tc>
          <w:tcPr>
            <w:tcW w:w="821" w:type="dxa"/>
            <w:noWrap/>
            <w:vAlign w:val="center"/>
          </w:tcPr>
          <w:p>
            <w:pPr>
              <w:widowControl/>
              <w:spacing w:line="240" w:lineRule="exact"/>
              <w:jc w:val="center"/>
              <w:rPr>
                <w:color w:val="000000"/>
                <w:kern w:val="0"/>
                <w:szCs w:val="21"/>
              </w:rPr>
            </w:pPr>
            <w:r>
              <w:rPr>
                <w:rFonts w:hint="eastAsia"/>
                <w:color w:val="000000"/>
                <w:kern w:val="0"/>
                <w:szCs w:val="21"/>
              </w:rPr>
              <w:t>执行额</w:t>
            </w:r>
            <w:r>
              <w:rPr>
                <w:color w:val="000000"/>
                <w:kern w:val="0"/>
                <w:szCs w:val="21"/>
              </w:rPr>
              <w:t>(</w:t>
            </w:r>
            <w:r>
              <w:rPr>
                <w:rFonts w:hint="eastAsia"/>
                <w:color w:val="000000"/>
                <w:kern w:val="0"/>
                <w:szCs w:val="21"/>
                <w:lang w:eastAsia="zh-CN"/>
              </w:rPr>
              <w:t>万</w:t>
            </w:r>
            <w:r>
              <w:rPr>
                <w:rFonts w:hint="eastAsia"/>
                <w:color w:val="000000"/>
                <w:kern w:val="0"/>
                <w:szCs w:val="21"/>
              </w:rPr>
              <w:t>元</w:t>
            </w:r>
            <w:r>
              <w:rPr>
                <w:color w:val="000000"/>
                <w:kern w:val="0"/>
                <w:szCs w:val="21"/>
              </w:rPr>
              <w:t>)</w:t>
            </w:r>
          </w:p>
        </w:tc>
        <w:tc>
          <w:tcPr>
            <w:tcW w:w="1599" w:type="dxa"/>
            <w:noWrap/>
            <w:vAlign w:val="center"/>
          </w:tcPr>
          <w:p>
            <w:pPr>
              <w:widowControl/>
              <w:spacing w:line="240" w:lineRule="exact"/>
              <w:jc w:val="center"/>
              <w:rPr>
                <w:color w:val="000000"/>
                <w:kern w:val="0"/>
                <w:szCs w:val="21"/>
              </w:rPr>
            </w:pPr>
            <w:r>
              <w:rPr>
                <w:rFonts w:hint="eastAsia"/>
                <w:color w:val="000000"/>
                <w:kern w:val="0"/>
                <w:szCs w:val="21"/>
              </w:rPr>
              <w:t>当年结转结余额</w:t>
            </w:r>
            <w:r>
              <w:rPr>
                <w:color w:val="000000"/>
                <w:kern w:val="0"/>
                <w:szCs w:val="21"/>
              </w:rPr>
              <w:t>(</w:t>
            </w:r>
            <w:r>
              <w:rPr>
                <w:rFonts w:hint="eastAsia"/>
                <w:color w:val="000000"/>
                <w:kern w:val="0"/>
                <w:szCs w:val="21"/>
                <w:lang w:eastAsia="zh-CN"/>
              </w:rPr>
              <w:t>万</w:t>
            </w:r>
            <w:r>
              <w:rPr>
                <w:rFonts w:hint="eastAsia"/>
                <w:color w:val="000000"/>
                <w:kern w:val="0"/>
                <w:szCs w:val="21"/>
              </w:rPr>
              <w:t>元</w:t>
            </w:r>
            <w:r>
              <w:rPr>
                <w:color w:val="000000"/>
                <w:kern w:val="0"/>
                <w:szCs w:val="21"/>
              </w:rPr>
              <w:t>)</w:t>
            </w:r>
          </w:p>
        </w:tc>
        <w:tc>
          <w:tcPr>
            <w:tcW w:w="2019" w:type="dxa"/>
            <w:noWrap/>
            <w:vAlign w:val="center"/>
          </w:tcPr>
          <w:p>
            <w:pPr>
              <w:widowControl/>
              <w:spacing w:line="240" w:lineRule="exact"/>
              <w:jc w:val="center"/>
              <w:rPr>
                <w:color w:val="000000"/>
                <w:kern w:val="0"/>
                <w:szCs w:val="21"/>
              </w:rPr>
            </w:pPr>
            <w:r>
              <w:rPr>
                <w:rFonts w:hint="eastAsia"/>
                <w:color w:val="000000"/>
                <w:kern w:val="0"/>
                <w:szCs w:val="21"/>
              </w:rPr>
              <w:t>结转结余率</w:t>
            </w:r>
            <w:r>
              <w:rPr>
                <w:color w:val="000000"/>
                <w:kern w:val="0"/>
                <w:szCs w:val="21"/>
              </w:rPr>
              <w:t>%</w:t>
            </w:r>
          </w:p>
        </w:tc>
        <w:tc>
          <w:tcPr>
            <w:tcW w:w="2581" w:type="dxa"/>
            <w:noWrap/>
            <w:vAlign w:val="center"/>
          </w:tcPr>
          <w:p>
            <w:pPr>
              <w:widowControl/>
              <w:spacing w:line="240" w:lineRule="exact"/>
              <w:jc w:val="center"/>
              <w:rPr>
                <w:color w:val="000000"/>
                <w:kern w:val="0"/>
                <w:szCs w:val="21"/>
              </w:rPr>
            </w:pPr>
            <w:r>
              <w:rPr>
                <w:rFonts w:hint="eastAsia"/>
                <w:color w:val="000000"/>
                <w:kern w:val="0"/>
                <w:szCs w:val="21"/>
              </w:rPr>
              <w:t>结转结余变动率</w:t>
            </w: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97" w:type="dxa"/>
            <w:vMerge w:val="continue"/>
            <w:noWrap w:val="0"/>
            <w:vAlign w:val="center"/>
          </w:tcPr>
          <w:p>
            <w:pPr>
              <w:widowControl/>
              <w:spacing w:line="240" w:lineRule="exact"/>
              <w:jc w:val="left"/>
              <w:rPr>
                <w:color w:val="000000"/>
                <w:kern w:val="0"/>
                <w:szCs w:val="21"/>
              </w:rPr>
            </w:pPr>
          </w:p>
        </w:tc>
        <w:tc>
          <w:tcPr>
            <w:tcW w:w="968" w:type="dxa"/>
            <w:noWrap/>
            <w:vAlign w:val="center"/>
          </w:tcPr>
          <w:p>
            <w:pPr>
              <w:widowControl/>
              <w:spacing w:line="240" w:lineRule="exact"/>
              <w:jc w:val="center"/>
              <w:rPr>
                <w:color w:val="000000"/>
                <w:kern w:val="0"/>
                <w:szCs w:val="21"/>
              </w:rPr>
            </w:pPr>
            <w:r>
              <w:rPr>
                <w:rFonts w:hint="eastAsia"/>
                <w:color w:val="000000"/>
                <w:kern w:val="0"/>
                <w:szCs w:val="21"/>
              </w:rPr>
              <w:t>合</w:t>
            </w:r>
            <w:r>
              <w:rPr>
                <w:color w:val="000000"/>
                <w:kern w:val="0"/>
                <w:szCs w:val="21"/>
              </w:rPr>
              <w:t xml:space="preserve">   </w:t>
            </w:r>
            <w:r>
              <w:rPr>
                <w:rFonts w:hint="eastAsia"/>
                <w:color w:val="000000"/>
                <w:kern w:val="0"/>
                <w:szCs w:val="21"/>
              </w:rPr>
              <w:t>计</w:t>
            </w:r>
          </w:p>
        </w:tc>
        <w:tc>
          <w:tcPr>
            <w:tcW w:w="725"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30</w:t>
            </w:r>
          </w:p>
        </w:tc>
        <w:tc>
          <w:tcPr>
            <w:tcW w:w="821"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30</w:t>
            </w:r>
          </w:p>
        </w:tc>
        <w:tc>
          <w:tcPr>
            <w:tcW w:w="159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019" w:type="dxa"/>
            <w:noWrap/>
            <w:vAlign w:val="center"/>
          </w:tcPr>
          <w:p>
            <w:pPr>
              <w:widowControl/>
              <w:spacing w:line="240" w:lineRule="exact"/>
              <w:jc w:val="left"/>
              <w:rPr>
                <w:rFonts w:hint="default" w:eastAsia="宋体"/>
                <w:color w:val="000000"/>
                <w:kern w:val="0"/>
                <w:szCs w:val="21"/>
                <w:lang w:val="en-US" w:eastAsia="zh-CN"/>
              </w:rPr>
            </w:pPr>
          </w:p>
        </w:tc>
        <w:tc>
          <w:tcPr>
            <w:tcW w:w="258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97" w:type="dxa"/>
            <w:vMerge w:val="continue"/>
            <w:noWrap w:val="0"/>
            <w:vAlign w:val="center"/>
          </w:tcPr>
          <w:p>
            <w:pPr>
              <w:widowControl/>
              <w:spacing w:line="240" w:lineRule="exact"/>
              <w:jc w:val="left"/>
              <w:rPr>
                <w:color w:val="000000"/>
                <w:kern w:val="0"/>
                <w:szCs w:val="21"/>
              </w:rPr>
            </w:pPr>
          </w:p>
        </w:tc>
        <w:tc>
          <w:tcPr>
            <w:tcW w:w="968" w:type="dxa"/>
            <w:noWrap/>
            <w:vAlign w:val="center"/>
          </w:tcPr>
          <w:p>
            <w:pPr>
              <w:widowControl/>
              <w:spacing w:line="240" w:lineRule="exact"/>
              <w:jc w:val="center"/>
              <w:rPr>
                <w:color w:val="000000"/>
                <w:kern w:val="0"/>
                <w:szCs w:val="21"/>
              </w:rPr>
            </w:pPr>
            <w:r>
              <w:rPr>
                <w:rFonts w:hint="eastAsia"/>
                <w:color w:val="000000"/>
                <w:kern w:val="0"/>
                <w:szCs w:val="21"/>
              </w:rPr>
              <w:t>财政拨款</w:t>
            </w:r>
          </w:p>
        </w:tc>
        <w:tc>
          <w:tcPr>
            <w:tcW w:w="725"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30</w:t>
            </w:r>
          </w:p>
        </w:tc>
        <w:tc>
          <w:tcPr>
            <w:tcW w:w="821"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30</w:t>
            </w:r>
          </w:p>
        </w:tc>
        <w:tc>
          <w:tcPr>
            <w:tcW w:w="1599"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rPr>
              <w:t>　</w:t>
            </w:r>
          </w:p>
        </w:tc>
        <w:tc>
          <w:tcPr>
            <w:tcW w:w="2019"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p>
        </w:tc>
        <w:tc>
          <w:tcPr>
            <w:tcW w:w="258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97" w:type="dxa"/>
            <w:vMerge w:val="continue"/>
            <w:noWrap w:val="0"/>
            <w:vAlign w:val="center"/>
          </w:tcPr>
          <w:p>
            <w:pPr>
              <w:widowControl/>
              <w:spacing w:line="240" w:lineRule="exact"/>
              <w:jc w:val="left"/>
              <w:rPr>
                <w:color w:val="000000"/>
                <w:kern w:val="0"/>
                <w:szCs w:val="21"/>
              </w:rPr>
            </w:pPr>
          </w:p>
        </w:tc>
        <w:tc>
          <w:tcPr>
            <w:tcW w:w="968" w:type="dxa"/>
            <w:noWrap/>
            <w:vAlign w:val="center"/>
          </w:tcPr>
          <w:p>
            <w:pPr>
              <w:widowControl/>
              <w:spacing w:line="240" w:lineRule="exact"/>
              <w:jc w:val="center"/>
              <w:rPr>
                <w:color w:val="000000"/>
                <w:kern w:val="0"/>
                <w:szCs w:val="21"/>
              </w:rPr>
            </w:pPr>
            <w:r>
              <w:rPr>
                <w:rFonts w:hint="eastAsia"/>
                <w:color w:val="000000"/>
                <w:kern w:val="0"/>
                <w:szCs w:val="21"/>
              </w:rPr>
              <w:t>其他资金</w:t>
            </w:r>
          </w:p>
        </w:tc>
        <w:tc>
          <w:tcPr>
            <w:tcW w:w="72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82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599"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019"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58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2" w:hRule="atLeast"/>
          <w:jc w:val="center"/>
        </w:trPr>
        <w:tc>
          <w:tcPr>
            <w:tcW w:w="897" w:type="dxa"/>
            <w:vMerge w:val="restart"/>
            <w:noWrap/>
            <w:vAlign w:val="center"/>
          </w:tcPr>
          <w:p>
            <w:pPr>
              <w:widowControl/>
              <w:spacing w:line="240" w:lineRule="exact"/>
              <w:jc w:val="center"/>
              <w:rPr>
                <w:color w:val="000000"/>
                <w:kern w:val="0"/>
                <w:szCs w:val="21"/>
              </w:rPr>
            </w:pPr>
            <w:r>
              <w:rPr>
                <w:rFonts w:hint="eastAsia"/>
                <w:color w:val="000000"/>
                <w:kern w:val="0"/>
                <w:szCs w:val="21"/>
              </w:rPr>
              <w:t>财政拨款结构</w:t>
            </w:r>
          </w:p>
        </w:tc>
        <w:tc>
          <w:tcPr>
            <w:tcW w:w="968" w:type="dxa"/>
            <w:noWrap/>
            <w:vAlign w:val="center"/>
          </w:tcPr>
          <w:p>
            <w:pPr>
              <w:widowControl/>
              <w:spacing w:line="240" w:lineRule="exact"/>
              <w:jc w:val="center"/>
              <w:rPr>
                <w:color w:val="000000"/>
                <w:kern w:val="0"/>
                <w:szCs w:val="21"/>
              </w:rPr>
            </w:pPr>
            <w:r>
              <w:rPr>
                <w:rFonts w:hint="eastAsia"/>
                <w:color w:val="000000"/>
                <w:kern w:val="0"/>
                <w:szCs w:val="21"/>
              </w:rPr>
              <w:t>项目</w:t>
            </w:r>
          </w:p>
        </w:tc>
        <w:tc>
          <w:tcPr>
            <w:tcW w:w="725" w:type="dxa"/>
            <w:noWrap/>
            <w:vAlign w:val="center"/>
          </w:tcPr>
          <w:p>
            <w:pPr>
              <w:widowControl/>
              <w:spacing w:line="240" w:lineRule="exact"/>
              <w:jc w:val="center"/>
              <w:rPr>
                <w:color w:val="000000"/>
                <w:kern w:val="0"/>
                <w:szCs w:val="21"/>
              </w:rPr>
            </w:pPr>
            <w:r>
              <w:rPr>
                <w:rFonts w:hint="eastAsia"/>
                <w:color w:val="000000"/>
                <w:kern w:val="0"/>
                <w:szCs w:val="21"/>
              </w:rPr>
              <w:t>合计</w:t>
            </w:r>
          </w:p>
        </w:tc>
        <w:tc>
          <w:tcPr>
            <w:tcW w:w="821" w:type="dxa"/>
            <w:noWrap/>
            <w:vAlign w:val="center"/>
          </w:tcPr>
          <w:p>
            <w:pPr>
              <w:widowControl/>
              <w:spacing w:line="240" w:lineRule="exact"/>
              <w:jc w:val="center"/>
              <w:rPr>
                <w:color w:val="000000"/>
                <w:kern w:val="0"/>
                <w:szCs w:val="21"/>
              </w:rPr>
            </w:pPr>
            <w:r>
              <w:rPr>
                <w:rFonts w:hint="eastAsia"/>
                <w:color w:val="000000"/>
                <w:kern w:val="0"/>
                <w:szCs w:val="21"/>
              </w:rPr>
              <w:t>一般公共预算安排</w:t>
            </w:r>
          </w:p>
        </w:tc>
        <w:tc>
          <w:tcPr>
            <w:tcW w:w="1599" w:type="dxa"/>
            <w:noWrap/>
            <w:vAlign w:val="center"/>
          </w:tcPr>
          <w:p>
            <w:pPr>
              <w:widowControl/>
              <w:spacing w:line="240" w:lineRule="exact"/>
              <w:jc w:val="center"/>
              <w:rPr>
                <w:color w:val="000000"/>
                <w:kern w:val="0"/>
                <w:szCs w:val="21"/>
              </w:rPr>
            </w:pPr>
            <w:r>
              <w:rPr>
                <w:rFonts w:hint="eastAsia"/>
                <w:color w:val="000000"/>
                <w:kern w:val="0"/>
                <w:szCs w:val="21"/>
              </w:rPr>
              <w:t>政府性基金预算安排</w:t>
            </w:r>
          </w:p>
        </w:tc>
        <w:tc>
          <w:tcPr>
            <w:tcW w:w="2019" w:type="dxa"/>
            <w:noWrap/>
            <w:vAlign w:val="center"/>
          </w:tcPr>
          <w:p>
            <w:pPr>
              <w:widowControl/>
              <w:spacing w:line="240" w:lineRule="exact"/>
              <w:jc w:val="center"/>
              <w:rPr>
                <w:color w:val="000000"/>
                <w:kern w:val="0"/>
                <w:szCs w:val="21"/>
              </w:rPr>
            </w:pPr>
            <w:r>
              <w:rPr>
                <w:rFonts w:hint="eastAsia"/>
                <w:color w:val="000000"/>
                <w:kern w:val="0"/>
                <w:szCs w:val="21"/>
              </w:rPr>
              <w:t>国有资本经营预算安排</w:t>
            </w:r>
          </w:p>
        </w:tc>
        <w:tc>
          <w:tcPr>
            <w:tcW w:w="2581" w:type="dxa"/>
            <w:noWrap/>
            <w:vAlign w:val="center"/>
          </w:tcPr>
          <w:p>
            <w:pPr>
              <w:widowControl/>
              <w:spacing w:line="240" w:lineRule="exact"/>
              <w:jc w:val="center"/>
              <w:rPr>
                <w:color w:val="000000"/>
                <w:kern w:val="0"/>
                <w:szCs w:val="21"/>
              </w:rPr>
            </w:pPr>
            <w:r>
              <w:rPr>
                <w:rFonts w:hint="eastAsia"/>
                <w:color w:val="000000"/>
                <w:kern w:val="0"/>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97" w:type="dxa"/>
            <w:vMerge w:val="continue"/>
            <w:noWrap w:val="0"/>
            <w:vAlign w:val="center"/>
          </w:tcPr>
          <w:p>
            <w:pPr>
              <w:widowControl/>
              <w:spacing w:line="240" w:lineRule="exact"/>
              <w:jc w:val="left"/>
              <w:rPr>
                <w:color w:val="000000"/>
                <w:kern w:val="0"/>
                <w:szCs w:val="21"/>
              </w:rPr>
            </w:pPr>
          </w:p>
        </w:tc>
        <w:tc>
          <w:tcPr>
            <w:tcW w:w="968" w:type="dxa"/>
            <w:noWrap/>
            <w:vAlign w:val="center"/>
          </w:tcPr>
          <w:p>
            <w:pPr>
              <w:widowControl/>
              <w:spacing w:line="240" w:lineRule="exact"/>
              <w:jc w:val="center"/>
              <w:rPr>
                <w:color w:val="000000"/>
                <w:kern w:val="0"/>
                <w:szCs w:val="21"/>
              </w:rPr>
            </w:pPr>
            <w:r>
              <w:rPr>
                <w:rFonts w:hint="eastAsia"/>
                <w:color w:val="000000"/>
                <w:kern w:val="0"/>
                <w:szCs w:val="21"/>
              </w:rPr>
              <w:t>预算额</w:t>
            </w:r>
          </w:p>
          <w:p>
            <w:pPr>
              <w:widowControl/>
              <w:spacing w:line="240" w:lineRule="exact"/>
              <w:jc w:val="center"/>
              <w:rPr>
                <w:color w:val="000000"/>
                <w:kern w:val="0"/>
                <w:szCs w:val="21"/>
              </w:rPr>
            </w:pPr>
            <w:r>
              <w:rPr>
                <w:color w:val="000000"/>
                <w:kern w:val="0"/>
                <w:szCs w:val="21"/>
              </w:rPr>
              <w:t>(</w:t>
            </w:r>
            <w:r>
              <w:rPr>
                <w:rFonts w:hint="eastAsia"/>
                <w:color w:val="000000"/>
                <w:kern w:val="0"/>
                <w:szCs w:val="21"/>
              </w:rPr>
              <w:t>元</w:t>
            </w:r>
            <w:r>
              <w:rPr>
                <w:color w:val="000000"/>
                <w:kern w:val="0"/>
                <w:szCs w:val="21"/>
              </w:rPr>
              <w:t>)</w:t>
            </w:r>
          </w:p>
        </w:tc>
        <w:tc>
          <w:tcPr>
            <w:tcW w:w="725"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30</w:t>
            </w:r>
          </w:p>
        </w:tc>
        <w:tc>
          <w:tcPr>
            <w:tcW w:w="821"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30</w:t>
            </w:r>
          </w:p>
        </w:tc>
        <w:tc>
          <w:tcPr>
            <w:tcW w:w="1599"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019"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58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97" w:type="dxa"/>
            <w:vMerge w:val="continue"/>
            <w:noWrap w:val="0"/>
            <w:vAlign w:val="center"/>
          </w:tcPr>
          <w:p>
            <w:pPr>
              <w:widowControl/>
              <w:spacing w:line="240" w:lineRule="exact"/>
              <w:jc w:val="left"/>
              <w:rPr>
                <w:color w:val="000000"/>
                <w:kern w:val="0"/>
                <w:szCs w:val="21"/>
              </w:rPr>
            </w:pPr>
          </w:p>
        </w:tc>
        <w:tc>
          <w:tcPr>
            <w:tcW w:w="968" w:type="dxa"/>
            <w:noWrap/>
            <w:vAlign w:val="center"/>
          </w:tcPr>
          <w:p>
            <w:pPr>
              <w:widowControl/>
              <w:spacing w:line="240" w:lineRule="exact"/>
              <w:jc w:val="center"/>
              <w:rPr>
                <w:color w:val="000000"/>
                <w:kern w:val="0"/>
                <w:szCs w:val="21"/>
              </w:rPr>
            </w:pPr>
            <w:r>
              <w:rPr>
                <w:rFonts w:hint="eastAsia"/>
                <w:color w:val="000000"/>
                <w:kern w:val="0"/>
                <w:szCs w:val="21"/>
              </w:rPr>
              <w:t>执行额</w:t>
            </w:r>
          </w:p>
          <w:p>
            <w:pPr>
              <w:widowControl/>
              <w:spacing w:line="240" w:lineRule="exact"/>
              <w:jc w:val="center"/>
              <w:rPr>
                <w:color w:val="000000"/>
                <w:kern w:val="0"/>
                <w:szCs w:val="21"/>
              </w:rPr>
            </w:pPr>
            <w:r>
              <w:rPr>
                <w:color w:val="000000"/>
                <w:kern w:val="0"/>
                <w:szCs w:val="21"/>
              </w:rPr>
              <w:t>(</w:t>
            </w:r>
            <w:r>
              <w:rPr>
                <w:rFonts w:hint="eastAsia"/>
                <w:color w:val="000000"/>
                <w:kern w:val="0"/>
                <w:szCs w:val="21"/>
              </w:rPr>
              <w:t>元</w:t>
            </w:r>
            <w:r>
              <w:rPr>
                <w:color w:val="000000"/>
                <w:kern w:val="0"/>
                <w:szCs w:val="21"/>
              </w:rPr>
              <w:t>)</w:t>
            </w:r>
          </w:p>
        </w:tc>
        <w:tc>
          <w:tcPr>
            <w:tcW w:w="725"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30</w:t>
            </w:r>
          </w:p>
        </w:tc>
        <w:tc>
          <w:tcPr>
            <w:tcW w:w="821"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30</w:t>
            </w:r>
          </w:p>
        </w:tc>
        <w:tc>
          <w:tcPr>
            <w:tcW w:w="1599"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019"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58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97" w:type="dxa"/>
            <w:vMerge w:val="continue"/>
            <w:noWrap w:val="0"/>
            <w:vAlign w:val="center"/>
          </w:tcPr>
          <w:p>
            <w:pPr>
              <w:widowControl/>
              <w:spacing w:line="240" w:lineRule="exact"/>
              <w:jc w:val="left"/>
              <w:rPr>
                <w:color w:val="000000"/>
                <w:kern w:val="0"/>
                <w:szCs w:val="21"/>
              </w:rPr>
            </w:pPr>
          </w:p>
        </w:tc>
        <w:tc>
          <w:tcPr>
            <w:tcW w:w="968" w:type="dxa"/>
            <w:noWrap/>
            <w:vAlign w:val="center"/>
          </w:tcPr>
          <w:p>
            <w:pPr>
              <w:widowControl/>
              <w:spacing w:line="240" w:lineRule="exact"/>
              <w:jc w:val="center"/>
              <w:rPr>
                <w:color w:val="000000"/>
                <w:kern w:val="0"/>
                <w:szCs w:val="21"/>
              </w:rPr>
            </w:pPr>
            <w:r>
              <w:rPr>
                <w:rFonts w:hint="eastAsia"/>
                <w:color w:val="000000"/>
                <w:kern w:val="0"/>
                <w:szCs w:val="21"/>
              </w:rPr>
              <w:t>当年结转结余额</w:t>
            </w:r>
            <w:r>
              <w:rPr>
                <w:color w:val="000000"/>
                <w:kern w:val="0"/>
                <w:szCs w:val="21"/>
              </w:rPr>
              <w:t>(</w:t>
            </w:r>
            <w:r>
              <w:rPr>
                <w:rFonts w:hint="eastAsia"/>
                <w:color w:val="000000"/>
                <w:kern w:val="0"/>
                <w:szCs w:val="21"/>
              </w:rPr>
              <w:t>元</w:t>
            </w:r>
            <w:r>
              <w:rPr>
                <w:color w:val="000000"/>
                <w:kern w:val="0"/>
                <w:szCs w:val="21"/>
              </w:rPr>
              <w:t>)</w:t>
            </w:r>
          </w:p>
        </w:tc>
        <w:tc>
          <w:tcPr>
            <w:tcW w:w="725"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p>
        </w:tc>
        <w:tc>
          <w:tcPr>
            <w:tcW w:w="821" w:type="dxa"/>
            <w:noWrap/>
            <w:vAlign w:val="center"/>
          </w:tcPr>
          <w:p>
            <w:pPr>
              <w:widowControl/>
              <w:spacing w:line="240" w:lineRule="exact"/>
              <w:jc w:val="left"/>
              <w:rPr>
                <w:rFonts w:hint="default" w:ascii="Times New Roman" w:hAnsi="Times New Roman" w:eastAsia="宋体" w:cs="Times New Roman"/>
                <w:color w:val="000000"/>
                <w:kern w:val="0"/>
                <w:sz w:val="21"/>
                <w:szCs w:val="21"/>
                <w:lang w:val="en-US" w:eastAsia="zh-CN" w:bidi="ar-SA"/>
              </w:rPr>
            </w:pPr>
          </w:p>
        </w:tc>
        <w:tc>
          <w:tcPr>
            <w:tcW w:w="1599" w:type="dxa"/>
            <w:noWrap/>
            <w:vAlign w:val="center"/>
          </w:tcPr>
          <w:p>
            <w:pPr>
              <w:widowControl/>
              <w:spacing w:line="24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0</w:t>
            </w:r>
          </w:p>
        </w:tc>
        <w:tc>
          <w:tcPr>
            <w:tcW w:w="2019" w:type="dxa"/>
            <w:noWrap/>
            <w:vAlign w:val="center"/>
          </w:tcPr>
          <w:p>
            <w:pPr>
              <w:widowControl/>
              <w:spacing w:line="24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0</w:t>
            </w:r>
          </w:p>
        </w:tc>
        <w:tc>
          <w:tcPr>
            <w:tcW w:w="2581" w:type="dxa"/>
            <w:noWrap/>
            <w:vAlign w:val="center"/>
          </w:tcPr>
          <w:p>
            <w:pPr>
              <w:widowControl/>
              <w:spacing w:line="24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97" w:type="dxa"/>
            <w:vMerge w:val="continue"/>
            <w:noWrap w:val="0"/>
            <w:vAlign w:val="center"/>
          </w:tcPr>
          <w:p>
            <w:pPr>
              <w:widowControl/>
              <w:spacing w:line="240" w:lineRule="exact"/>
              <w:jc w:val="left"/>
              <w:rPr>
                <w:color w:val="000000"/>
                <w:kern w:val="0"/>
                <w:szCs w:val="21"/>
              </w:rPr>
            </w:pPr>
          </w:p>
        </w:tc>
        <w:tc>
          <w:tcPr>
            <w:tcW w:w="968" w:type="dxa"/>
            <w:noWrap/>
            <w:vAlign w:val="center"/>
          </w:tcPr>
          <w:p>
            <w:pPr>
              <w:widowControl/>
              <w:spacing w:line="240" w:lineRule="exact"/>
              <w:jc w:val="center"/>
              <w:rPr>
                <w:color w:val="000000"/>
                <w:kern w:val="0"/>
                <w:szCs w:val="21"/>
              </w:rPr>
            </w:pPr>
            <w:r>
              <w:rPr>
                <w:rFonts w:hint="eastAsia"/>
                <w:color w:val="000000"/>
                <w:kern w:val="0"/>
                <w:szCs w:val="21"/>
              </w:rPr>
              <w:t>结转结余率</w:t>
            </w:r>
            <w:r>
              <w:rPr>
                <w:color w:val="000000"/>
                <w:kern w:val="0"/>
                <w:szCs w:val="21"/>
              </w:rPr>
              <w:t>%</w:t>
            </w:r>
          </w:p>
        </w:tc>
        <w:tc>
          <w:tcPr>
            <w:tcW w:w="725" w:type="dxa"/>
            <w:noWrap/>
            <w:vAlign w:val="center"/>
          </w:tcPr>
          <w:p>
            <w:pPr>
              <w:widowControl/>
              <w:spacing w:line="240" w:lineRule="exact"/>
              <w:jc w:val="left"/>
              <w:rPr>
                <w:rFonts w:hint="default" w:eastAsia="宋体"/>
                <w:color w:val="000000"/>
                <w:kern w:val="0"/>
                <w:szCs w:val="21"/>
                <w:lang w:val="en-US" w:eastAsia="zh-CN"/>
              </w:rPr>
            </w:pPr>
          </w:p>
        </w:tc>
        <w:tc>
          <w:tcPr>
            <w:tcW w:w="821" w:type="dxa"/>
            <w:noWrap/>
            <w:vAlign w:val="center"/>
          </w:tcPr>
          <w:p>
            <w:pPr>
              <w:widowControl/>
              <w:spacing w:line="240" w:lineRule="exact"/>
              <w:jc w:val="left"/>
              <w:rPr>
                <w:rFonts w:hint="default" w:eastAsia="宋体"/>
                <w:color w:val="000000"/>
                <w:kern w:val="0"/>
                <w:szCs w:val="21"/>
                <w:lang w:val="en-US" w:eastAsia="zh-CN"/>
              </w:rPr>
            </w:pPr>
          </w:p>
        </w:tc>
        <w:tc>
          <w:tcPr>
            <w:tcW w:w="1599"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019"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58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97" w:type="dxa"/>
            <w:vMerge w:val="continue"/>
            <w:noWrap w:val="0"/>
            <w:vAlign w:val="center"/>
          </w:tcPr>
          <w:p>
            <w:pPr>
              <w:widowControl/>
              <w:spacing w:line="240" w:lineRule="exact"/>
              <w:jc w:val="left"/>
              <w:rPr>
                <w:color w:val="000000"/>
                <w:kern w:val="0"/>
                <w:szCs w:val="21"/>
              </w:rPr>
            </w:pPr>
          </w:p>
        </w:tc>
        <w:tc>
          <w:tcPr>
            <w:tcW w:w="968" w:type="dxa"/>
            <w:noWrap/>
            <w:vAlign w:val="center"/>
          </w:tcPr>
          <w:p>
            <w:pPr>
              <w:widowControl/>
              <w:spacing w:line="240" w:lineRule="exact"/>
              <w:jc w:val="center"/>
              <w:rPr>
                <w:color w:val="000000"/>
                <w:kern w:val="0"/>
                <w:szCs w:val="21"/>
              </w:rPr>
            </w:pPr>
            <w:r>
              <w:rPr>
                <w:rFonts w:hint="eastAsia"/>
                <w:color w:val="000000"/>
                <w:kern w:val="0"/>
                <w:szCs w:val="21"/>
              </w:rPr>
              <w:t>结转结余变动率</w:t>
            </w:r>
            <w:r>
              <w:rPr>
                <w:color w:val="000000"/>
                <w:kern w:val="0"/>
                <w:szCs w:val="21"/>
              </w:rPr>
              <w:t>%</w:t>
            </w:r>
          </w:p>
        </w:tc>
        <w:tc>
          <w:tcPr>
            <w:tcW w:w="72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82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599"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019"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581"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5" w:hRule="atLeast"/>
          <w:jc w:val="center"/>
        </w:trPr>
        <w:tc>
          <w:tcPr>
            <w:tcW w:w="897" w:type="dxa"/>
            <w:vMerge w:val="restart"/>
            <w:noWrap/>
            <w:vAlign w:val="center"/>
          </w:tcPr>
          <w:p>
            <w:pPr>
              <w:widowControl/>
              <w:spacing w:line="240" w:lineRule="exact"/>
              <w:jc w:val="center"/>
              <w:rPr>
                <w:color w:val="000000"/>
                <w:kern w:val="0"/>
                <w:szCs w:val="21"/>
              </w:rPr>
            </w:pPr>
            <w:r>
              <w:rPr>
                <w:rFonts w:hint="eastAsia"/>
                <w:color w:val="000000"/>
                <w:kern w:val="0"/>
                <w:szCs w:val="21"/>
              </w:rPr>
              <w:t>年度总体目标</w:t>
            </w:r>
          </w:p>
        </w:tc>
        <w:tc>
          <w:tcPr>
            <w:tcW w:w="1693" w:type="dxa"/>
            <w:gridSpan w:val="2"/>
            <w:noWrap/>
            <w:vAlign w:val="center"/>
          </w:tcPr>
          <w:p>
            <w:pPr>
              <w:widowControl/>
              <w:spacing w:line="240" w:lineRule="exact"/>
              <w:jc w:val="center"/>
              <w:rPr>
                <w:color w:val="000000"/>
                <w:kern w:val="0"/>
                <w:szCs w:val="21"/>
              </w:rPr>
            </w:pPr>
            <w:r>
              <w:rPr>
                <w:rFonts w:hint="eastAsia"/>
                <w:color w:val="000000"/>
                <w:kern w:val="0"/>
                <w:szCs w:val="21"/>
              </w:rPr>
              <w:t>预算总体目标</w:t>
            </w:r>
          </w:p>
        </w:tc>
        <w:tc>
          <w:tcPr>
            <w:tcW w:w="2420" w:type="dxa"/>
            <w:gridSpan w:val="2"/>
            <w:noWrap/>
            <w:vAlign w:val="center"/>
          </w:tcPr>
          <w:p>
            <w:pPr>
              <w:widowControl/>
              <w:spacing w:line="240" w:lineRule="exact"/>
              <w:jc w:val="center"/>
              <w:rPr>
                <w:color w:val="000000"/>
                <w:kern w:val="0"/>
                <w:szCs w:val="21"/>
              </w:rPr>
            </w:pPr>
            <w:r>
              <w:rPr>
                <w:rFonts w:hint="eastAsia"/>
                <w:color w:val="000000"/>
                <w:kern w:val="0"/>
                <w:szCs w:val="21"/>
              </w:rPr>
              <w:t>预算总体目标执行结果</w:t>
            </w:r>
          </w:p>
        </w:tc>
        <w:tc>
          <w:tcPr>
            <w:tcW w:w="4600" w:type="dxa"/>
            <w:gridSpan w:val="2"/>
            <w:noWrap/>
            <w:vAlign w:val="center"/>
          </w:tcPr>
          <w:p>
            <w:pPr>
              <w:widowControl/>
              <w:spacing w:line="240" w:lineRule="exact"/>
              <w:jc w:val="center"/>
              <w:rPr>
                <w:color w:val="000000"/>
                <w:kern w:val="0"/>
                <w:szCs w:val="21"/>
              </w:rPr>
            </w:pPr>
            <w:r>
              <w:rPr>
                <w:rFonts w:hint="eastAsia"/>
                <w:color w:val="000000"/>
                <w:kern w:val="0"/>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97" w:type="dxa"/>
            <w:vMerge w:val="continue"/>
            <w:noWrap w:val="0"/>
            <w:vAlign w:val="center"/>
          </w:tcPr>
          <w:p>
            <w:pPr>
              <w:widowControl/>
              <w:spacing w:line="240" w:lineRule="exact"/>
              <w:jc w:val="left"/>
              <w:rPr>
                <w:color w:val="000000"/>
                <w:kern w:val="0"/>
                <w:szCs w:val="21"/>
              </w:rPr>
            </w:pPr>
          </w:p>
        </w:tc>
        <w:tc>
          <w:tcPr>
            <w:tcW w:w="1693" w:type="dxa"/>
            <w:gridSpan w:val="2"/>
            <w:noWrap/>
            <w:vAlign w:val="center"/>
          </w:tcPr>
          <w:p>
            <w:pPr>
              <w:widowControl/>
              <w:spacing w:line="240" w:lineRule="exact"/>
              <w:jc w:val="left"/>
              <w:rPr>
                <w:rFonts w:hint="eastAsia" w:eastAsia="宋体"/>
                <w:color w:val="000000"/>
                <w:kern w:val="0"/>
                <w:szCs w:val="21"/>
                <w:lang w:eastAsia="zh-CN"/>
              </w:rPr>
            </w:pPr>
            <w:r>
              <w:rPr>
                <w:rFonts w:hint="eastAsia"/>
                <w:color w:val="000000"/>
                <w:kern w:val="0"/>
                <w:szCs w:val="21"/>
                <w:lang w:eastAsia="zh-CN"/>
              </w:rPr>
              <w:t>完成双龙村狮行桥改建，保障群众安全便利出行</w:t>
            </w:r>
          </w:p>
        </w:tc>
        <w:tc>
          <w:tcPr>
            <w:tcW w:w="2420" w:type="dxa"/>
            <w:gridSpan w:val="2"/>
            <w:noWrap/>
            <w:vAlign w:val="center"/>
          </w:tcPr>
          <w:p>
            <w:pPr>
              <w:widowControl/>
              <w:spacing w:line="240" w:lineRule="exact"/>
              <w:jc w:val="center"/>
              <w:rPr>
                <w:color w:val="000000"/>
                <w:kern w:val="0"/>
                <w:szCs w:val="21"/>
              </w:rPr>
            </w:pPr>
            <w:r>
              <w:rPr>
                <w:rFonts w:hint="eastAsia"/>
                <w:color w:val="000000"/>
                <w:kern w:val="0"/>
                <w:szCs w:val="21"/>
                <w:lang w:eastAsia="zh-CN"/>
              </w:rPr>
              <w:t>桥梁改进已完工通车，达到了预期效果</w:t>
            </w:r>
            <w:r>
              <w:rPr>
                <w:rFonts w:hint="eastAsia"/>
                <w:color w:val="000000"/>
                <w:kern w:val="0"/>
                <w:szCs w:val="21"/>
              </w:rPr>
              <w:t>　</w:t>
            </w:r>
          </w:p>
        </w:tc>
        <w:tc>
          <w:tcPr>
            <w:tcW w:w="4600" w:type="dxa"/>
            <w:gridSpan w:val="2"/>
            <w:noWrap/>
            <w:vAlign w:val="center"/>
          </w:tcPr>
          <w:p>
            <w:pPr>
              <w:widowControl/>
              <w:spacing w:line="240" w:lineRule="exact"/>
              <w:jc w:val="center"/>
              <w:rPr>
                <w:color w:val="000000"/>
                <w:kern w:val="0"/>
                <w:szCs w:val="21"/>
              </w:rPr>
            </w:pPr>
            <w:r>
              <w:rPr>
                <w:rFonts w:hint="eastAsia"/>
                <w:color w:val="000000"/>
                <w:kern w:val="0"/>
                <w:szCs w:val="21"/>
                <w:lang w:eastAsia="zh-CN"/>
              </w:rPr>
              <w:t>无</w:t>
            </w: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0" w:hRule="atLeast"/>
          <w:jc w:val="center"/>
        </w:trPr>
        <w:tc>
          <w:tcPr>
            <w:tcW w:w="897" w:type="dxa"/>
            <w:vMerge w:val="restart"/>
            <w:noWrap/>
            <w:vAlign w:val="center"/>
          </w:tcPr>
          <w:p>
            <w:pPr>
              <w:widowControl/>
              <w:spacing w:line="240" w:lineRule="exact"/>
              <w:jc w:val="center"/>
              <w:rPr>
                <w:color w:val="000000"/>
                <w:kern w:val="0"/>
                <w:szCs w:val="21"/>
              </w:rPr>
            </w:pPr>
            <w:r>
              <w:rPr>
                <w:rFonts w:hint="eastAsia"/>
                <w:color w:val="000000"/>
                <w:kern w:val="0"/>
                <w:szCs w:val="21"/>
              </w:rPr>
              <w:t>年度绩</w:t>
            </w:r>
          </w:p>
          <w:p>
            <w:pPr>
              <w:widowControl/>
              <w:spacing w:line="240" w:lineRule="exact"/>
              <w:jc w:val="center"/>
              <w:rPr>
                <w:color w:val="000000"/>
                <w:kern w:val="0"/>
                <w:szCs w:val="21"/>
              </w:rPr>
            </w:pPr>
            <w:r>
              <w:rPr>
                <w:rFonts w:hint="eastAsia"/>
                <w:color w:val="000000"/>
                <w:kern w:val="0"/>
                <w:szCs w:val="21"/>
              </w:rPr>
              <w:t>效指标</w:t>
            </w:r>
          </w:p>
        </w:tc>
        <w:tc>
          <w:tcPr>
            <w:tcW w:w="968" w:type="dxa"/>
            <w:noWrap/>
            <w:vAlign w:val="center"/>
          </w:tcPr>
          <w:p>
            <w:pPr>
              <w:widowControl/>
              <w:spacing w:line="240" w:lineRule="exact"/>
              <w:jc w:val="center"/>
              <w:rPr>
                <w:color w:val="000000"/>
                <w:kern w:val="0"/>
                <w:szCs w:val="21"/>
              </w:rPr>
            </w:pPr>
            <w:r>
              <w:rPr>
                <w:rFonts w:hint="eastAsia"/>
                <w:color w:val="000000"/>
                <w:kern w:val="0"/>
                <w:szCs w:val="21"/>
              </w:rPr>
              <w:t>一级</w:t>
            </w:r>
          </w:p>
          <w:p>
            <w:pPr>
              <w:widowControl/>
              <w:spacing w:line="240" w:lineRule="exact"/>
              <w:jc w:val="center"/>
              <w:rPr>
                <w:color w:val="000000"/>
                <w:kern w:val="0"/>
                <w:szCs w:val="21"/>
              </w:rPr>
            </w:pPr>
            <w:r>
              <w:rPr>
                <w:rFonts w:hint="eastAsia"/>
                <w:color w:val="000000"/>
                <w:kern w:val="0"/>
                <w:szCs w:val="21"/>
              </w:rPr>
              <w:t>指标</w:t>
            </w:r>
          </w:p>
        </w:tc>
        <w:tc>
          <w:tcPr>
            <w:tcW w:w="725" w:type="dxa"/>
            <w:noWrap/>
            <w:vAlign w:val="center"/>
          </w:tcPr>
          <w:p>
            <w:pPr>
              <w:widowControl/>
              <w:spacing w:line="240" w:lineRule="exact"/>
              <w:jc w:val="center"/>
              <w:rPr>
                <w:color w:val="000000"/>
                <w:kern w:val="0"/>
                <w:szCs w:val="21"/>
              </w:rPr>
            </w:pPr>
            <w:r>
              <w:rPr>
                <w:rFonts w:hint="eastAsia"/>
                <w:color w:val="000000"/>
                <w:kern w:val="0"/>
                <w:szCs w:val="21"/>
              </w:rPr>
              <w:t>二级指标</w:t>
            </w:r>
          </w:p>
        </w:tc>
        <w:tc>
          <w:tcPr>
            <w:tcW w:w="821" w:type="dxa"/>
            <w:noWrap/>
            <w:vAlign w:val="center"/>
          </w:tcPr>
          <w:p>
            <w:pPr>
              <w:widowControl/>
              <w:spacing w:line="240" w:lineRule="exact"/>
              <w:jc w:val="center"/>
              <w:rPr>
                <w:color w:val="000000"/>
                <w:kern w:val="0"/>
                <w:szCs w:val="21"/>
              </w:rPr>
            </w:pPr>
            <w:r>
              <w:rPr>
                <w:rFonts w:hint="eastAsia"/>
                <w:color w:val="000000"/>
                <w:kern w:val="0"/>
                <w:szCs w:val="21"/>
              </w:rPr>
              <w:t>三级</w:t>
            </w:r>
          </w:p>
          <w:p>
            <w:pPr>
              <w:widowControl/>
              <w:spacing w:line="240" w:lineRule="exact"/>
              <w:jc w:val="center"/>
              <w:rPr>
                <w:color w:val="000000"/>
                <w:kern w:val="0"/>
                <w:szCs w:val="21"/>
              </w:rPr>
            </w:pPr>
            <w:r>
              <w:rPr>
                <w:rFonts w:hint="eastAsia"/>
                <w:color w:val="000000"/>
                <w:kern w:val="0"/>
                <w:szCs w:val="21"/>
              </w:rPr>
              <w:t>指标</w:t>
            </w:r>
          </w:p>
        </w:tc>
        <w:tc>
          <w:tcPr>
            <w:tcW w:w="1599" w:type="dxa"/>
            <w:noWrap/>
            <w:vAlign w:val="center"/>
          </w:tcPr>
          <w:p>
            <w:pPr>
              <w:widowControl/>
              <w:spacing w:line="240" w:lineRule="exact"/>
              <w:jc w:val="center"/>
              <w:rPr>
                <w:color w:val="000000"/>
                <w:kern w:val="0"/>
                <w:szCs w:val="21"/>
              </w:rPr>
            </w:pPr>
            <w:r>
              <w:rPr>
                <w:rFonts w:hint="eastAsia"/>
                <w:color w:val="000000"/>
                <w:kern w:val="0"/>
                <w:szCs w:val="21"/>
              </w:rPr>
              <w:t>预算指标值</w:t>
            </w:r>
            <w:r>
              <w:rPr>
                <w:color w:val="000000"/>
                <w:kern w:val="0"/>
                <w:szCs w:val="21"/>
              </w:rPr>
              <w:t>(</w:t>
            </w:r>
            <w:r>
              <w:rPr>
                <w:rFonts w:hint="eastAsia"/>
                <w:color w:val="000000"/>
                <w:kern w:val="0"/>
                <w:szCs w:val="21"/>
              </w:rPr>
              <w:t>包含数字及文字描述</w:t>
            </w:r>
            <w:r>
              <w:rPr>
                <w:color w:val="000000"/>
                <w:kern w:val="0"/>
                <w:szCs w:val="21"/>
              </w:rPr>
              <w:t>)</w:t>
            </w:r>
          </w:p>
        </w:tc>
        <w:tc>
          <w:tcPr>
            <w:tcW w:w="2019" w:type="dxa"/>
            <w:noWrap/>
            <w:vAlign w:val="center"/>
          </w:tcPr>
          <w:p>
            <w:pPr>
              <w:widowControl/>
              <w:spacing w:line="240" w:lineRule="exact"/>
              <w:jc w:val="center"/>
              <w:rPr>
                <w:color w:val="000000"/>
                <w:kern w:val="0"/>
                <w:szCs w:val="21"/>
              </w:rPr>
            </w:pPr>
            <w:r>
              <w:rPr>
                <w:rFonts w:hint="eastAsia"/>
                <w:color w:val="000000"/>
                <w:kern w:val="0"/>
                <w:szCs w:val="21"/>
              </w:rPr>
              <w:t>预算指标值执行结果</w:t>
            </w:r>
            <w:r>
              <w:rPr>
                <w:color w:val="000000"/>
                <w:kern w:val="0"/>
                <w:szCs w:val="21"/>
              </w:rPr>
              <w:t>(</w:t>
            </w:r>
            <w:r>
              <w:rPr>
                <w:rFonts w:hint="eastAsia"/>
                <w:color w:val="000000"/>
                <w:kern w:val="0"/>
                <w:szCs w:val="21"/>
              </w:rPr>
              <w:t>包含数字及文字描述</w:t>
            </w:r>
            <w:r>
              <w:rPr>
                <w:color w:val="000000"/>
                <w:kern w:val="0"/>
                <w:szCs w:val="21"/>
              </w:rPr>
              <w:t>)</w:t>
            </w:r>
          </w:p>
        </w:tc>
        <w:tc>
          <w:tcPr>
            <w:tcW w:w="2581" w:type="dxa"/>
            <w:noWrap/>
            <w:vAlign w:val="center"/>
          </w:tcPr>
          <w:p>
            <w:pPr>
              <w:widowControl/>
              <w:spacing w:line="240" w:lineRule="exact"/>
              <w:jc w:val="center"/>
              <w:rPr>
                <w:color w:val="000000"/>
                <w:kern w:val="0"/>
                <w:szCs w:val="21"/>
              </w:rPr>
            </w:pPr>
            <w:r>
              <w:rPr>
                <w:rFonts w:hint="eastAsia"/>
                <w:color w:val="000000"/>
                <w:kern w:val="0"/>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97" w:type="dxa"/>
            <w:vMerge w:val="continue"/>
            <w:noWrap w:val="0"/>
            <w:vAlign w:val="center"/>
          </w:tcPr>
          <w:p>
            <w:pPr>
              <w:widowControl/>
              <w:spacing w:line="240" w:lineRule="exact"/>
              <w:jc w:val="left"/>
              <w:rPr>
                <w:color w:val="000000"/>
                <w:kern w:val="0"/>
                <w:szCs w:val="21"/>
              </w:rPr>
            </w:pPr>
          </w:p>
        </w:tc>
        <w:tc>
          <w:tcPr>
            <w:tcW w:w="968" w:type="dxa"/>
            <w:vMerge w:val="restart"/>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完成</w:t>
            </w:r>
          </w:p>
        </w:tc>
        <w:tc>
          <w:tcPr>
            <w:tcW w:w="725" w:type="dxa"/>
            <w:noWrap/>
            <w:vAlign w:val="center"/>
          </w:tcPr>
          <w:p>
            <w:pPr>
              <w:widowControl/>
              <w:spacing w:line="240" w:lineRule="exact"/>
              <w:jc w:val="center"/>
              <w:rPr>
                <w:color w:val="000000"/>
                <w:kern w:val="0"/>
                <w:szCs w:val="21"/>
              </w:rPr>
            </w:pPr>
            <w:r>
              <w:rPr>
                <w:rFonts w:hint="eastAsia"/>
                <w:color w:val="000000"/>
                <w:kern w:val="0"/>
                <w:szCs w:val="21"/>
              </w:rPr>
              <w:t>数量</w:t>
            </w:r>
          </w:p>
          <w:p>
            <w:pPr>
              <w:widowControl/>
              <w:spacing w:line="240" w:lineRule="exact"/>
              <w:jc w:val="center"/>
              <w:rPr>
                <w:color w:val="000000"/>
                <w:kern w:val="0"/>
                <w:szCs w:val="21"/>
              </w:rPr>
            </w:pPr>
            <w:r>
              <w:rPr>
                <w:rFonts w:hint="eastAsia"/>
                <w:color w:val="000000"/>
                <w:kern w:val="0"/>
                <w:szCs w:val="21"/>
              </w:rPr>
              <w:t>指标</w:t>
            </w:r>
          </w:p>
        </w:tc>
        <w:tc>
          <w:tcPr>
            <w:tcW w:w="821" w:type="dxa"/>
            <w:noWrap/>
            <w:vAlign w:val="center"/>
          </w:tcPr>
          <w:p>
            <w:pPr>
              <w:widowControl/>
              <w:spacing w:line="240" w:lineRule="exact"/>
              <w:jc w:val="left"/>
              <w:rPr>
                <w:rFonts w:hint="eastAsia" w:eastAsia="宋体"/>
                <w:color w:val="000000"/>
                <w:kern w:val="0"/>
                <w:szCs w:val="21"/>
                <w:lang w:eastAsia="zh-CN"/>
              </w:rPr>
            </w:pPr>
            <w:r>
              <w:rPr>
                <w:rFonts w:hint="eastAsia"/>
                <w:color w:val="000000"/>
                <w:kern w:val="0"/>
                <w:szCs w:val="21"/>
              </w:rPr>
              <w:t>指标</w:t>
            </w:r>
            <w:r>
              <w:rPr>
                <w:color w:val="000000"/>
                <w:kern w:val="0"/>
                <w:szCs w:val="21"/>
              </w:rPr>
              <w:t>1:</w:t>
            </w:r>
            <w:r>
              <w:rPr>
                <w:rFonts w:hint="eastAsia"/>
                <w:color w:val="000000"/>
                <w:kern w:val="0"/>
                <w:szCs w:val="21"/>
                <w:lang w:eastAsia="zh-CN"/>
              </w:rPr>
              <w:t>改建桥梁</w:t>
            </w:r>
          </w:p>
        </w:tc>
        <w:tc>
          <w:tcPr>
            <w:tcW w:w="1599" w:type="dxa"/>
            <w:noWrap/>
            <w:vAlign w:val="center"/>
          </w:tcPr>
          <w:p>
            <w:pPr>
              <w:widowControl/>
              <w:spacing w:line="240" w:lineRule="exact"/>
              <w:jc w:val="left"/>
              <w:rPr>
                <w:color w:val="000000"/>
                <w:kern w:val="0"/>
                <w:szCs w:val="21"/>
              </w:rPr>
            </w:pPr>
            <w:r>
              <w:rPr>
                <w:rFonts w:hint="eastAsia"/>
                <w:kern w:val="0"/>
                <w:sz w:val="24"/>
                <w:szCs w:val="24"/>
                <w:lang w:val="en-US" w:eastAsia="zh-CN"/>
              </w:rPr>
              <w:t>拆除原有危桥，改建成</w:t>
            </w:r>
            <w:r>
              <w:rPr>
                <w:rFonts w:hint="eastAsia" w:eastAsia="宋体"/>
                <w:kern w:val="0"/>
                <w:sz w:val="24"/>
                <w:szCs w:val="24"/>
                <w:lang w:val="en-US" w:eastAsia="zh-CN"/>
              </w:rPr>
              <w:t>1座</w:t>
            </w:r>
            <w:r>
              <w:rPr>
                <w:rFonts w:hint="eastAsia"/>
                <w:kern w:val="0"/>
                <w:sz w:val="24"/>
                <w:szCs w:val="24"/>
                <w:lang w:val="en-US" w:eastAsia="zh-CN"/>
              </w:rPr>
              <w:t>长35米宽3米的人车通行桥梁</w:t>
            </w:r>
          </w:p>
        </w:tc>
        <w:tc>
          <w:tcPr>
            <w:tcW w:w="201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eastAsia="zh-CN"/>
              </w:rPr>
              <w:t>完成桥梁改建</w:t>
            </w:r>
            <w:r>
              <w:rPr>
                <w:rFonts w:hint="eastAsia"/>
                <w:color w:val="000000"/>
                <w:kern w:val="0"/>
                <w:szCs w:val="21"/>
                <w:lang w:val="en-US" w:eastAsia="zh-CN"/>
              </w:rPr>
              <w:t>1座</w:t>
            </w:r>
          </w:p>
        </w:tc>
        <w:tc>
          <w:tcPr>
            <w:tcW w:w="2581" w:type="dxa"/>
            <w:noWrap/>
            <w:vAlign w:val="center"/>
          </w:tcPr>
          <w:p>
            <w:pPr>
              <w:widowControl/>
              <w:spacing w:line="240" w:lineRule="exact"/>
              <w:jc w:val="left"/>
              <w:rPr>
                <w:rFonts w:hint="eastAsia" w:eastAsia="宋体"/>
                <w:color w:val="000000"/>
                <w:kern w:val="0"/>
                <w:szCs w:val="21"/>
                <w:lang w:eastAsia="zh-CN"/>
              </w:rPr>
            </w:pPr>
            <w:r>
              <w:rPr>
                <w:rFonts w:hint="eastAsia"/>
                <w:color w:val="000000"/>
                <w:kern w:val="0"/>
                <w:szCs w:val="21"/>
              </w:rPr>
              <w:t>　</w:t>
            </w:r>
            <w:r>
              <w:rPr>
                <w:rFonts w:hint="eastAsia"/>
                <w:color w:val="000000"/>
                <w:kern w:val="0"/>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97" w:type="dxa"/>
            <w:vMerge w:val="continue"/>
            <w:noWrap w:val="0"/>
            <w:vAlign w:val="center"/>
          </w:tcPr>
          <w:p>
            <w:pPr>
              <w:widowControl/>
              <w:spacing w:line="240" w:lineRule="exact"/>
              <w:jc w:val="left"/>
              <w:rPr>
                <w:color w:val="000000"/>
                <w:kern w:val="0"/>
                <w:szCs w:val="21"/>
              </w:rPr>
            </w:pPr>
          </w:p>
        </w:tc>
        <w:tc>
          <w:tcPr>
            <w:tcW w:w="968" w:type="dxa"/>
            <w:vMerge w:val="continue"/>
            <w:noWrap w:val="0"/>
            <w:vAlign w:val="center"/>
          </w:tcPr>
          <w:p>
            <w:pPr>
              <w:widowControl/>
              <w:spacing w:line="240" w:lineRule="exact"/>
              <w:jc w:val="left"/>
              <w:rPr>
                <w:color w:val="000000"/>
                <w:kern w:val="0"/>
                <w:szCs w:val="21"/>
              </w:rPr>
            </w:pPr>
          </w:p>
        </w:tc>
        <w:tc>
          <w:tcPr>
            <w:tcW w:w="725" w:type="dxa"/>
            <w:noWrap/>
            <w:vAlign w:val="center"/>
          </w:tcPr>
          <w:p>
            <w:pPr>
              <w:widowControl/>
              <w:spacing w:line="240" w:lineRule="exact"/>
              <w:jc w:val="center"/>
              <w:rPr>
                <w:color w:val="000000"/>
                <w:kern w:val="0"/>
                <w:szCs w:val="21"/>
              </w:rPr>
            </w:pPr>
            <w:r>
              <w:rPr>
                <w:rFonts w:hint="eastAsia"/>
                <w:color w:val="000000"/>
                <w:kern w:val="0"/>
                <w:szCs w:val="21"/>
              </w:rPr>
              <w:t>质量</w:t>
            </w:r>
          </w:p>
          <w:p>
            <w:pPr>
              <w:widowControl/>
              <w:spacing w:line="240" w:lineRule="exact"/>
              <w:jc w:val="center"/>
              <w:rPr>
                <w:color w:val="000000"/>
                <w:kern w:val="0"/>
                <w:szCs w:val="21"/>
              </w:rPr>
            </w:pPr>
            <w:r>
              <w:rPr>
                <w:rFonts w:hint="eastAsia"/>
                <w:color w:val="000000"/>
                <w:kern w:val="0"/>
                <w:szCs w:val="21"/>
              </w:rPr>
              <w:t>指标</w:t>
            </w:r>
          </w:p>
        </w:tc>
        <w:tc>
          <w:tcPr>
            <w:tcW w:w="821" w:type="dxa"/>
            <w:noWrap/>
            <w:vAlign w:val="center"/>
          </w:tcPr>
          <w:p>
            <w:pPr>
              <w:widowControl/>
              <w:spacing w:line="240" w:lineRule="exact"/>
              <w:jc w:val="left"/>
              <w:rPr>
                <w:rFonts w:hint="eastAsia" w:eastAsia="宋体"/>
                <w:color w:val="000000"/>
                <w:kern w:val="0"/>
                <w:szCs w:val="21"/>
                <w:lang w:eastAsia="zh-CN"/>
              </w:rPr>
            </w:pPr>
            <w:r>
              <w:rPr>
                <w:rFonts w:hint="eastAsia"/>
                <w:color w:val="000000"/>
                <w:kern w:val="0"/>
                <w:szCs w:val="21"/>
              </w:rPr>
              <w:t>指标</w:t>
            </w:r>
            <w:r>
              <w:rPr>
                <w:color w:val="000000"/>
                <w:kern w:val="0"/>
                <w:szCs w:val="21"/>
              </w:rPr>
              <w:t>1:</w:t>
            </w:r>
            <w:r>
              <w:rPr>
                <w:rFonts w:hint="eastAsia"/>
                <w:color w:val="000000"/>
                <w:kern w:val="0"/>
                <w:szCs w:val="21"/>
                <w:lang w:eastAsia="zh-CN"/>
              </w:rPr>
              <w:t>验收合格率</w:t>
            </w:r>
          </w:p>
        </w:tc>
        <w:tc>
          <w:tcPr>
            <w:tcW w:w="159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eastAsia="zh-CN"/>
              </w:rPr>
              <w:t>大于等于</w:t>
            </w:r>
            <w:r>
              <w:rPr>
                <w:rFonts w:hint="eastAsia"/>
                <w:color w:val="000000"/>
                <w:kern w:val="0"/>
                <w:szCs w:val="21"/>
                <w:lang w:val="en-US" w:eastAsia="zh-CN"/>
              </w:rPr>
              <w:t>90%</w:t>
            </w:r>
          </w:p>
        </w:tc>
        <w:tc>
          <w:tcPr>
            <w:tcW w:w="201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100%</w:t>
            </w:r>
          </w:p>
        </w:tc>
        <w:tc>
          <w:tcPr>
            <w:tcW w:w="2581" w:type="dxa"/>
            <w:noWrap/>
            <w:vAlign w:val="center"/>
          </w:tcPr>
          <w:p>
            <w:pPr>
              <w:widowControl/>
              <w:spacing w:line="240" w:lineRule="exact"/>
              <w:jc w:val="left"/>
              <w:rPr>
                <w:color w:val="000000"/>
                <w:kern w:val="0"/>
                <w:szCs w:val="21"/>
              </w:rPr>
            </w:pPr>
            <w:r>
              <w:rPr>
                <w:rFonts w:hint="eastAsia"/>
                <w:color w:val="000000"/>
                <w:kern w:val="0"/>
                <w:szCs w:val="21"/>
              </w:rPr>
              <w:t>　</w:t>
            </w:r>
            <w:r>
              <w:rPr>
                <w:rFonts w:hint="eastAsia"/>
                <w:color w:val="000000"/>
                <w:kern w:val="0"/>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97" w:type="dxa"/>
            <w:vMerge w:val="continue"/>
            <w:noWrap w:val="0"/>
            <w:vAlign w:val="center"/>
          </w:tcPr>
          <w:p>
            <w:pPr>
              <w:widowControl/>
              <w:spacing w:line="240" w:lineRule="exact"/>
              <w:jc w:val="left"/>
              <w:rPr>
                <w:color w:val="000000"/>
                <w:kern w:val="0"/>
                <w:szCs w:val="21"/>
              </w:rPr>
            </w:pPr>
          </w:p>
        </w:tc>
        <w:tc>
          <w:tcPr>
            <w:tcW w:w="968" w:type="dxa"/>
            <w:vMerge w:val="continue"/>
            <w:noWrap w:val="0"/>
            <w:vAlign w:val="center"/>
          </w:tcPr>
          <w:p>
            <w:pPr>
              <w:widowControl/>
              <w:spacing w:line="240" w:lineRule="exact"/>
              <w:jc w:val="left"/>
              <w:rPr>
                <w:color w:val="000000"/>
                <w:kern w:val="0"/>
                <w:szCs w:val="21"/>
              </w:rPr>
            </w:pPr>
          </w:p>
        </w:tc>
        <w:tc>
          <w:tcPr>
            <w:tcW w:w="725" w:type="dxa"/>
            <w:noWrap/>
            <w:vAlign w:val="center"/>
          </w:tcPr>
          <w:p>
            <w:pPr>
              <w:widowControl/>
              <w:spacing w:line="240" w:lineRule="exact"/>
              <w:jc w:val="center"/>
              <w:rPr>
                <w:color w:val="000000"/>
                <w:kern w:val="0"/>
                <w:szCs w:val="21"/>
              </w:rPr>
            </w:pPr>
            <w:r>
              <w:rPr>
                <w:rFonts w:hint="eastAsia"/>
                <w:color w:val="000000"/>
                <w:kern w:val="0"/>
                <w:szCs w:val="21"/>
              </w:rPr>
              <w:t>时效</w:t>
            </w:r>
          </w:p>
          <w:p>
            <w:pPr>
              <w:widowControl/>
              <w:spacing w:line="240" w:lineRule="exact"/>
              <w:jc w:val="center"/>
              <w:rPr>
                <w:color w:val="000000"/>
                <w:kern w:val="0"/>
                <w:szCs w:val="21"/>
              </w:rPr>
            </w:pPr>
            <w:r>
              <w:rPr>
                <w:rFonts w:hint="eastAsia"/>
                <w:color w:val="000000"/>
                <w:kern w:val="0"/>
                <w:szCs w:val="21"/>
              </w:rPr>
              <w:t>指标</w:t>
            </w:r>
          </w:p>
        </w:tc>
        <w:tc>
          <w:tcPr>
            <w:tcW w:w="821" w:type="dxa"/>
            <w:noWrap/>
            <w:vAlign w:val="center"/>
          </w:tcPr>
          <w:p>
            <w:pPr>
              <w:widowControl/>
              <w:spacing w:line="240" w:lineRule="exact"/>
              <w:jc w:val="left"/>
              <w:rPr>
                <w:rFonts w:hint="eastAsia" w:eastAsia="宋体"/>
                <w:color w:val="000000"/>
                <w:kern w:val="0"/>
                <w:szCs w:val="21"/>
                <w:lang w:eastAsia="zh-CN"/>
              </w:rPr>
            </w:pPr>
            <w:r>
              <w:rPr>
                <w:rFonts w:hint="eastAsia"/>
                <w:color w:val="000000"/>
                <w:kern w:val="0"/>
                <w:szCs w:val="21"/>
              </w:rPr>
              <w:t>指标</w:t>
            </w:r>
            <w:r>
              <w:rPr>
                <w:color w:val="000000"/>
                <w:kern w:val="0"/>
                <w:szCs w:val="21"/>
              </w:rPr>
              <w:t>1:</w:t>
            </w:r>
            <w:r>
              <w:rPr>
                <w:rFonts w:hint="eastAsia"/>
                <w:color w:val="000000"/>
                <w:kern w:val="0"/>
                <w:szCs w:val="21"/>
                <w:lang w:eastAsia="zh-CN"/>
              </w:rPr>
              <w:t>建设周期</w:t>
            </w:r>
          </w:p>
        </w:tc>
        <w:tc>
          <w:tcPr>
            <w:tcW w:w="1599" w:type="dxa"/>
            <w:noWrap/>
            <w:vAlign w:val="center"/>
          </w:tcPr>
          <w:p>
            <w:pPr>
              <w:widowControl/>
              <w:spacing w:line="240" w:lineRule="exact"/>
              <w:jc w:val="left"/>
              <w:rPr>
                <w:rFonts w:hint="eastAsia" w:eastAsia="宋体"/>
                <w:color w:val="000000"/>
                <w:kern w:val="0"/>
                <w:szCs w:val="21"/>
                <w:lang w:eastAsia="zh-CN"/>
              </w:rPr>
            </w:pPr>
            <w:r>
              <w:rPr>
                <w:rFonts w:hint="eastAsia"/>
                <w:color w:val="000000"/>
                <w:kern w:val="0"/>
                <w:szCs w:val="21"/>
                <w:lang w:eastAsia="zh-CN"/>
              </w:rPr>
              <w:t>一年</w:t>
            </w:r>
          </w:p>
        </w:tc>
        <w:tc>
          <w:tcPr>
            <w:tcW w:w="201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2022年前完工</w:t>
            </w:r>
          </w:p>
        </w:tc>
        <w:tc>
          <w:tcPr>
            <w:tcW w:w="2581" w:type="dxa"/>
            <w:noWrap/>
            <w:vAlign w:val="center"/>
          </w:tcPr>
          <w:p>
            <w:pPr>
              <w:widowControl/>
              <w:spacing w:line="240" w:lineRule="exact"/>
              <w:jc w:val="left"/>
              <w:rPr>
                <w:color w:val="000000"/>
                <w:kern w:val="0"/>
                <w:szCs w:val="21"/>
              </w:rPr>
            </w:pPr>
            <w:r>
              <w:rPr>
                <w:rFonts w:hint="eastAsia"/>
                <w:color w:val="000000"/>
                <w:kern w:val="0"/>
                <w:szCs w:val="21"/>
              </w:rPr>
              <w:t>　</w:t>
            </w:r>
            <w:r>
              <w:rPr>
                <w:rFonts w:hint="eastAsia"/>
                <w:color w:val="000000"/>
                <w:kern w:val="0"/>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97" w:type="dxa"/>
            <w:vMerge w:val="continue"/>
            <w:noWrap w:val="0"/>
            <w:vAlign w:val="center"/>
          </w:tcPr>
          <w:p>
            <w:pPr>
              <w:widowControl/>
              <w:spacing w:line="240" w:lineRule="exact"/>
              <w:jc w:val="left"/>
              <w:rPr>
                <w:color w:val="000000"/>
                <w:kern w:val="0"/>
                <w:szCs w:val="21"/>
              </w:rPr>
            </w:pPr>
          </w:p>
        </w:tc>
        <w:tc>
          <w:tcPr>
            <w:tcW w:w="968" w:type="dxa"/>
            <w:vMerge w:val="continue"/>
            <w:noWrap w:val="0"/>
            <w:vAlign w:val="center"/>
          </w:tcPr>
          <w:p>
            <w:pPr>
              <w:widowControl/>
              <w:spacing w:line="240" w:lineRule="exact"/>
              <w:jc w:val="left"/>
              <w:rPr>
                <w:color w:val="000000"/>
                <w:kern w:val="0"/>
                <w:szCs w:val="21"/>
              </w:rPr>
            </w:pPr>
          </w:p>
        </w:tc>
        <w:tc>
          <w:tcPr>
            <w:tcW w:w="725" w:type="dxa"/>
            <w:noWrap/>
            <w:vAlign w:val="center"/>
          </w:tcPr>
          <w:p>
            <w:pPr>
              <w:widowControl/>
              <w:spacing w:line="240" w:lineRule="exact"/>
              <w:jc w:val="center"/>
              <w:rPr>
                <w:color w:val="000000"/>
                <w:kern w:val="0"/>
                <w:szCs w:val="21"/>
              </w:rPr>
            </w:pPr>
            <w:r>
              <w:rPr>
                <w:rFonts w:hint="eastAsia"/>
                <w:color w:val="000000"/>
                <w:kern w:val="0"/>
                <w:szCs w:val="21"/>
              </w:rPr>
              <w:t>成本</w:t>
            </w:r>
          </w:p>
          <w:p>
            <w:pPr>
              <w:widowControl/>
              <w:spacing w:line="240" w:lineRule="exact"/>
              <w:jc w:val="center"/>
              <w:rPr>
                <w:color w:val="000000"/>
                <w:kern w:val="0"/>
                <w:szCs w:val="21"/>
              </w:rPr>
            </w:pPr>
            <w:r>
              <w:rPr>
                <w:rFonts w:hint="eastAsia"/>
                <w:color w:val="000000"/>
                <w:kern w:val="0"/>
                <w:szCs w:val="21"/>
              </w:rPr>
              <w:t>指标</w:t>
            </w:r>
          </w:p>
        </w:tc>
        <w:tc>
          <w:tcPr>
            <w:tcW w:w="821" w:type="dxa"/>
            <w:noWrap/>
            <w:vAlign w:val="center"/>
          </w:tcPr>
          <w:p>
            <w:pPr>
              <w:widowControl/>
              <w:spacing w:line="240" w:lineRule="exact"/>
              <w:jc w:val="left"/>
              <w:rPr>
                <w:rFonts w:hint="eastAsia" w:eastAsia="宋体"/>
                <w:color w:val="000000"/>
                <w:kern w:val="0"/>
                <w:szCs w:val="21"/>
                <w:lang w:eastAsia="zh-CN"/>
              </w:rPr>
            </w:pPr>
            <w:r>
              <w:rPr>
                <w:rFonts w:hint="eastAsia"/>
                <w:color w:val="000000"/>
                <w:kern w:val="0"/>
                <w:szCs w:val="21"/>
              </w:rPr>
              <w:t>指标</w:t>
            </w:r>
            <w:r>
              <w:rPr>
                <w:color w:val="000000"/>
                <w:kern w:val="0"/>
                <w:szCs w:val="21"/>
              </w:rPr>
              <w:t>1:</w:t>
            </w:r>
            <w:r>
              <w:rPr>
                <w:rFonts w:hint="eastAsia"/>
                <w:color w:val="000000"/>
                <w:kern w:val="0"/>
                <w:szCs w:val="21"/>
                <w:lang w:eastAsia="zh-CN"/>
              </w:rPr>
              <w:t>建设费用</w:t>
            </w:r>
          </w:p>
        </w:tc>
        <w:tc>
          <w:tcPr>
            <w:tcW w:w="159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eastAsia="zh-CN"/>
              </w:rPr>
              <w:t>小于等于</w:t>
            </w:r>
            <w:r>
              <w:rPr>
                <w:rFonts w:hint="eastAsia"/>
                <w:color w:val="000000"/>
                <w:kern w:val="0"/>
                <w:szCs w:val="21"/>
                <w:lang w:val="en-US" w:eastAsia="zh-CN"/>
              </w:rPr>
              <w:t>30万元</w:t>
            </w:r>
          </w:p>
        </w:tc>
        <w:tc>
          <w:tcPr>
            <w:tcW w:w="201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300000</w:t>
            </w:r>
          </w:p>
        </w:tc>
        <w:tc>
          <w:tcPr>
            <w:tcW w:w="2581" w:type="dxa"/>
            <w:noWrap/>
            <w:vAlign w:val="center"/>
          </w:tcPr>
          <w:p>
            <w:pPr>
              <w:widowControl/>
              <w:spacing w:line="24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97" w:type="dxa"/>
            <w:vMerge w:val="restart"/>
            <w:noWrap w:val="0"/>
            <w:vAlign w:val="center"/>
          </w:tcPr>
          <w:p>
            <w:pPr>
              <w:spacing w:line="240" w:lineRule="exact"/>
              <w:jc w:val="center"/>
              <w:rPr>
                <w:color w:val="000000"/>
                <w:kern w:val="0"/>
                <w:szCs w:val="21"/>
              </w:rPr>
            </w:pPr>
            <w:r>
              <w:rPr>
                <w:rFonts w:hint="eastAsia"/>
                <w:color w:val="000000"/>
                <w:kern w:val="0"/>
                <w:szCs w:val="21"/>
              </w:rPr>
              <w:t>年度绩效指标</w:t>
            </w:r>
          </w:p>
        </w:tc>
        <w:tc>
          <w:tcPr>
            <w:tcW w:w="968" w:type="dxa"/>
            <w:vMerge w:val="restart"/>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效益</w:t>
            </w:r>
          </w:p>
        </w:tc>
        <w:tc>
          <w:tcPr>
            <w:tcW w:w="725" w:type="dxa"/>
            <w:noWrap/>
            <w:vAlign w:val="center"/>
          </w:tcPr>
          <w:p>
            <w:pPr>
              <w:widowControl/>
              <w:spacing w:line="240" w:lineRule="exact"/>
              <w:jc w:val="center"/>
              <w:rPr>
                <w:color w:val="000000"/>
                <w:kern w:val="0"/>
                <w:szCs w:val="21"/>
              </w:rPr>
            </w:pPr>
            <w:r>
              <w:rPr>
                <w:rFonts w:hint="eastAsia"/>
                <w:color w:val="000000"/>
                <w:kern w:val="0"/>
                <w:szCs w:val="21"/>
              </w:rPr>
              <w:t>社会效益指标</w:t>
            </w:r>
          </w:p>
        </w:tc>
        <w:tc>
          <w:tcPr>
            <w:tcW w:w="821" w:type="dxa"/>
            <w:noWrap/>
            <w:vAlign w:val="center"/>
          </w:tcPr>
          <w:p>
            <w:pPr>
              <w:widowControl/>
              <w:spacing w:line="240" w:lineRule="exact"/>
              <w:jc w:val="left"/>
              <w:rPr>
                <w:rFonts w:hint="eastAsia" w:eastAsia="宋体"/>
                <w:color w:val="000000"/>
                <w:kern w:val="0"/>
                <w:szCs w:val="21"/>
                <w:lang w:eastAsia="zh-CN"/>
              </w:rPr>
            </w:pPr>
            <w:r>
              <w:rPr>
                <w:rFonts w:hint="eastAsia"/>
                <w:color w:val="000000"/>
                <w:kern w:val="0"/>
                <w:szCs w:val="21"/>
              </w:rPr>
              <w:t>指标</w:t>
            </w:r>
            <w:r>
              <w:rPr>
                <w:color w:val="000000"/>
                <w:kern w:val="0"/>
                <w:szCs w:val="21"/>
              </w:rPr>
              <w:t>1:</w:t>
            </w:r>
            <w:r>
              <w:rPr>
                <w:rFonts w:hint="eastAsia"/>
                <w:color w:val="000000"/>
                <w:kern w:val="0"/>
                <w:szCs w:val="21"/>
                <w:lang w:eastAsia="zh-CN"/>
              </w:rPr>
              <w:t>便利周边群众出行</w:t>
            </w:r>
          </w:p>
        </w:tc>
        <w:tc>
          <w:tcPr>
            <w:tcW w:w="159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eastAsia="zh-CN"/>
              </w:rPr>
              <w:t>大于等于</w:t>
            </w:r>
            <w:r>
              <w:rPr>
                <w:rFonts w:hint="eastAsia"/>
                <w:color w:val="000000"/>
                <w:kern w:val="0"/>
                <w:szCs w:val="21"/>
                <w:lang w:val="en-US" w:eastAsia="zh-CN"/>
              </w:rPr>
              <w:t>150人</w:t>
            </w:r>
          </w:p>
        </w:tc>
        <w:tc>
          <w:tcPr>
            <w:tcW w:w="201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200人</w:t>
            </w:r>
          </w:p>
        </w:tc>
        <w:tc>
          <w:tcPr>
            <w:tcW w:w="2581" w:type="dxa"/>
            <w:noWrap/>
            <w:vAlign w:val="center"/>
          </w:tcPr>
          <w:p>
            <w:pPr>
              <w:widowControl/>
              <w:spacing w:line="24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97" w:type="dxa"/>
            <w:vMerge w:val="continue"/>
            <w:noWrap w:val="0"/>
            <w:vAlign w:val="center"/>
          </w:tcPr>
          <w:p>
            <w:pPr>
              <w:widowControl/>
              <w:spacing w:line="240" w:lineRule="exact"/>
              <w:jc w:val="left"/>
              <w:rPr>
                <w:color w:val="000000"/>
                <w:kern w:val="0"/>
                <w:szCs w:val="21"/>
              </w:rPr>
            </w:pPr>
          </w:p>
        </w:tc>
        <w:tc>
          <w:tcPr>
            <w:tcW w:w="968" w:type="dxa"/>
            <w:vMerge w:val="continue"/>
            <w:noWrap w:val="0"/>
            <w:vAlign w:val="center"/>
          </w:tcPr>
          <w:p>
            <w:pPr>
              <w:widowControl/>
              <w:spacing w:line="240" w:lineRule="exact"/>
              <w:jc w:val="left"/>
              <w:rPr>
                <w:color w:val="000000"/>
                <w:kern w:val="0"/>
                <w:szCs w:val="21"/>
              </w:rPr>
            </w:pPr>
          </w:p>
        </w:tc>
        <w:tc>
          <w:tcPr>
            <w:tcW w:w="725" w:type="dxa"/>
            <w:noWrap/>
            <w:vAlign w:val="center"/>
          </w:tcPr>
          <w:p>
            <w:pPr>
              <w:widowControl/>
              <w:spacing w:line="240" w:lineRule="exact"/>
              <w:jc w:val="center"/>
              <w:rPr>
                <w:color w:val="000000"/>
                <w:kern w:val="0"/>
                <w:szCs w:val="21"/>
              </w:rPr>
            </w:pPr>
            <w:r>
              <w:rPr>
                <w:rFonts w:hint="eastAsia"/>
                <w:color w:val="000000"/>
                <w:kern w:val="0"/>
                <w:szCs w:val="21"/>
              </w:rPr>
              <w:t>可持续影响指标</w:t>
            </w:r>
          </w:p>
        </w:tc>
        <w:tc>
          <w:tcPr>
            <w:tcW w:w="821" w:type="dxa"/>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1:</w:t>
            </w:r>
            <w:r>
              <w:rPr>
                <w:rFonts w:hint="eastAsia"/>
                <w:color w:val="000000"/>
                <w:kern w:val="0"/>
                <w:szCs w:val="21"/>
              </w:rPr>
              <w:t>新建桥梁使用时间</w:t>
            </w:r>
          </w:p>
        </w:tc>
        <w:tc>
          <w:tcPr>
            <w:tcW w:w="159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eastAsia="zh-CN"/>
              </w:rPr>
              <w:t>大于等于</w:t>
            </w:r>
            <w:r>
              <w:rPr>
                <w:rFonts w:hint="eastAsia"/>
                <w:color w:val="000000"/>
                <w:kern w:val="0"/>
                <w:szCs w:val="21"/>
                <w:lang w:val="en-US" w:eastAsia="zh-CN"/>
              </w:rPr>
              <w:t>15年</w:t>
            </w:r>
          </w:p>
        </w:tc>
        <w:tc>
          <w:tcPr>
            <w:tcW w:w="201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eastAsia="zh-CN"/>
              </w:rPr>
              <w:t>大于等于</w:t>
            </w:r>
            <w:r>
              <w:rPr>
                <w:rFonts w:hint="eastAsia"/>
                <w:color w:val="000000"/>
                <w:kern w:val="0"/>
                <w:szCs w:val="21"/>
                <w:lang w:val="en-US" w:eastAsia="zh-CN"/>
              </w:rPr>
              <w:t>15年</w:t>
            </w:r>
          </w:p>
        </w:tc>
        <w:tc>
          <w:tcPr>
            <w:tcW w:w="2581" w:type="dxa"/>
            <w:noWrap/>
            <w:vAlign w:val="center"/>
          </w:tcPr>
          <w:p>
            <w:pPr>
              <w:widowControl/>
              <w:spacing w:line="24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97" w:type="dxa"/>
            <w:vMerge w:val="continue"/>
            <w:noWrap w:val="0"/>
            <w:vAlign w:val="center"/>
          </w:tcPr>
          <w:p>
            <w:pPr>
              <w:widowControl/>
              <w:spacing w:line="240" w:lineRule="exact"/>
              <w:jc w:val="left"/>
              <w:rPr>
                <w:color w:val="000000"/>
                <w:kern w:val="0"/>
                <w:szCs w:val="21"/>
              </w:rPr>
            </w:pPr>
          </w:p>
        </w:tc>
        <w:tc>
          <w:tcPr>
            <w:tcW w:w="968" w:type="dxa"/>
            <w:noWrap/>
            <w:vAlign w:val="center"/>
          </w:tcPr>
          <w:p>
            <w:pPr>
              <w:widowControl/>
              <w:spacing w:line="240" w:lineRule="exact"/>
              <w:jc w:val="center"/>
              <w:rPr>
                <w:color w:val="000000"/>
                <w:kern w:val="0"/>
                <w:szCs w:val="21"/>
              </w:rPr>
            </w:pPr>
            <w:r>
              <w:rPr>
                <w:rFonts w:hint="eastAsia"/>
                <w:color w:val="000000"/>
                <w:kern w:val="0"/>
                <w:szCs w:val="21"/>
              </w:rPr>
              <w:t>满意度</w:t>
            </w:r>
          </w:p>
          <w:p>
            <w:pPr>
              <w:widowControl/>
              <w:spacing w:line="240" w:lineRule="exact"/>
              <w:jc w:val="center"/>
              <w:rPr>
                <w:color w:val="000000"/>
                <w:kern w:val="0"/>
                <w:szCs w:val="21"/>
              </w:rPr>
            </w:pPr>
            <w:r>
              <w:rPr>
                <w:rFonts w:hint="eastAsia"/>
                <w:color w:val="000000"/>
                <w:kern w:val="0"/>
                <w:szCs w:val="21"/>
              </w:rPr>
              <w:t>指标</w:t>
            </w:r>
          </w:p>
        </w:tc>
        <w:tc>
          <w:tcPr>
            <w:tcW w:w="725" w:type="dxa"/>
            <w:noWrap/>
            <w:vAlign w:val="center"/>
          </w:tcPr>
          <w:p>
            <w:pPr>
              <w:widowControl/>
              <w:spacing w:line="240" w:lineRule="exact"/>
              <w:jc w:val="left"/>
              <w:rPr>
                <w:rFonts w:hint="eastAsia" w:ascii="Times New Roman" w:hAnsi="Times New Roman" w:cs="Times New Roman"/>
                <w:color w:val="000000"/>
                <w:kern w:val="0"/>
                <w:szCs w:val="21"/>
              </w:rPr>
            </w:pPr>
            <w:r>
              <w:rPr>
                <w:rFonts w:hint="eastAsia" w:ascii="Times New Roman" w:hAnsi="Times New Roman" w:cs="Times New Roman"/>
                <w:color w:val="000000"/>
                <w:kern w:val="0"/>
                <w:szCs w:val="21"/>
              </w:rPr>
              <w:t>满意度指标</w:t>
            </w:r>
          </w:p>
        </w:tc>
        <w:tc>
          <w:tcPr>
            <w:tcW w:w="821" w:type="dxa"/>
            <w:noWrap/>
            <w:vAlign w:val="center"/>
          </w:tcPr>
          <w:p>
            <w:pPr>
              <w:widowControl/>
              <w:spacing w:line="240" w:lineRule="exact"/>
              <w:jc w:val="left"/>
              <w:rPr>
                <w:rFonts w:hint="eastAsia" w:ascii="Times New Roman" w:hAnsi="Times New Roman" w:cs="Times New Roman"/>
                <w:color w:val="000000"/>
                <w:kern w:val="0"/>
                <w:szCs w:val="21"/>
              </w:rPr>
            </w:pPr>
            <w:r>
              <w:rPr>
                <w:rFonts w:hint="eastAsia" w:ascii="Times New Roman" w:hAnsi="Times New Roman" w:cs="Times New Roman"/>
                <w:color w:val="000000"/>
                <w:kern w:val="0"/>
                <w:szCs w:val="21"/>
              </w:rPr>
              <w:t>指标1:</w:t>
            </w:r>
            <w:r>
              <w:rPr>
                <w:rFonts w:hint="eastAsia" w:ascii="Times New Roman" w:hAnsi="Times New Roman" w:cs="Times New Roman"/>
                <w:color w:val="000000"/>
                <w:kern w:val="0"/>
                <w:szCs w:val="21"/>
                <w:lang w:eastAsia="zh-CN"/>
              </w:rPr>
              <w:t>受益群众满意度</w:t>
            </w:r>
          </w:p>
        </w:tc>
        <w:tc>
          <w:tcPr>
            <w:tcW w:w="159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eastAsia="zh-CN"/>
              </w:rPr>
              <w:t>大于等于</w:t>
            </w:r>
            <w:r>
              <w:rPr>
                <w:rFonts w:hint="eastAsia"/>
                <w:color w:val="000000"/>
                <w:kern w:val="0"/>
                <w:szCs w:val="21"/>
                <w:lang w:val="en-US" w:eastAsia="zh-CN"/>
              </w:rPr>
              <w:t>95%</w:t>
            </w:r>
          </w:p>
        </w:tc>
        <w:tc>
          <w:tcPr>
            <w:tcW w:w="201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98%</w:t>
            </w:r>
          </w:p>
        </w:tc>
        <w:tc>
          <w:tcPr>
            <w:tcW w:w="2581" w:type="dxa"/>
            <w:noWrap/>
            <w:vAlign w:val="center"/>
          </w:tcPr>
          <w:p>
            <w:pPr>
              <w:widowControl/>
              <w:spacing w:line="240" w:lineRule="exact"/>
              <w:jc w:val="left"/>
              <w:rPr>
                <w:color w:val="000000"/>
                <w:kern w:val="0"/>
                <w:szCs w:val="21"/>
              </w:rPr>
            </w:pPr>
            <w:r>
              <w:rPr>
                <w:rFonts w:hint="eastAsia"/>
                <w:color w:val="000000"/>
                <w:kern w:val="0"/>
                <w:szCs w:val="21"/>
              </w:rPr>
              <w:t>　</w:t>
            </w:r>
          </w:p>
        </w:tc>
      </w:tr>
    </w:tbl>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spacing w:line="58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lang w:val="en-US" w:eastAsia="zh-CN"/>
        </w:rPr>
        <w:t>2</w:t>
      </w:r>
      <w:r>
        <w:rPr>
          <w:rFonts w:hint="eastAsia" w:eastAsia="方正小标宋简体"/>
          <w:sz w:val="44"/>
          <w:szCs w:val="44"/>
        </w:rPr>
        <w:t>年乐至县</w:t>
      </w:r>
      <w:r>
        <w:rPr>
          <w:rFonts w:hint="eastAsia" w:eastAsia="方正小标宋简体"/>
          <w:sz w:val="44"/>
          <w:szCs w:val="44"/>
          <w:lang w:val="en-US" w:eastAsia="zh-CN"/>
        </w:rPr>
        <w:t>劳动镇人民政府</w:t>
      </w:r>
      <w:r>
        <w:rPr>
          <w:rFonts w:hint="eastAsia" w:eastAsia="方正小标宋简体"/>
          <w:sz w:val="44"/>
          <w:szCs w:val="44"/>
        </w:rPr>
        <w:t>项目支出绩效自评报告</w:t>
      </w:r>
    </w:p>
    <w:p>
      <w:pPr>
        <w:spacing w:line="580" w:lineRule="exact"/>
        <w:jc w:val="center"/>
        <w:rPr>
          <w:rFonts w:eastAsia="方正楷体简体"/>
          <w:b/>
          <w:sz w:val="32"/>
          <w:szCs w:val="32"/>
        </w:rPr>
      </w:pPr>
      <w:r>
        <w:rPr>
          <w:rFonts w:hint="eastAsia" w:eastAsia="方正楷体简体"/>
          <w:b/>
          <w:sz w:val="32"/>
          <w:szCs w:val="32"/>
        </w:rPr>
        <w:t>（</w:t>
      </w:r>
      <w:r>
        <w:rPr>
          <w:rFonts w:hint="eastAsia" w:eastAsia="方正楷体简体"/>
          <w:b/>
          <w:sz w:val="32"/>
          <w:szCs w:val="32"/>
          <w:lang w:val="en-US" w:eastAsia="zh-CN"/>
        </w:rPr>
        <w:t>劳动镇薛苞大桥项目前期费用</w:t>
      </w:r>
      <w:r>
        <w:rPr>
          <w:rFonts w:hint="eastAsia" w:eastAsia="方正楷体简体"/>
          <w:b/>
          <w:sz w:val="32"/>
          <w:szCs w:val="32"/>
        </w:rPr>
        <w:t>）</w:t>
      </w:r>
    </w:p>
    <w:p>
      <w:pPr>
        <w:spacing w:line="580" w:lineRule="exact"/>
        <w:ind w:firstLine="640" w:firstLineChars="200"/>
        <w:rPr>
          <w:rFonts w:eastAsia="方正仿宋简体"/>
          <w:sz w:val="32"/>
          <w:szCs w:val="32"/>
        </w:rPr>
      </w:pPr>
    </w:p>
    <w:p>
      <w:pPr>
        <w:spacing w:line="580" w:lineRule="exact"/>
        <w:ind w:firstLine="560" w:firstLineChars="200"/>
        <w:rPr>
          <w:rFonts w:hint="eastAsia" w:eastAsia="方正仿宋简体"/>
          <w:sz w:val="28"/>
          <w:szCs w:val="28"/>
          <w:lang w:val="en-US" w:eastAsia="zh-CN"/>
        </w:rPr>
      </w:pPr>
      <w:r>
        <w:rPr>
          <w:rFonts w:hint="eastAsia" w:eastAsia="方正仿宋简体"/>
          <w:sz w:val="28"/>
          <w:szCs w:val="28"/>
          <w:lang w:val="en-US" w:eastAsia="zh-CN"/>
        </w:rPr>
        <w:t>按照乐至县财政局《关于开展2022年度财政支出绩效自评工作的通知》要求，我镇高度重视，认真组织开展劳动镇薛苞大桥项目前期费用项目支出绩效自评，现将自评工作总结如下。</w:t>
      </w:r>
    </w:p>
    <w:p>
      <w:pPr>
        <w:spacing w:line="580" w:lineRule="exact"/>
        <w:ind w:firstLine="640" w:firstLineChars="200"/>
        <w:rPr>
          <w:rFonts w:eastAsia="方正黑体简体"/>
          <w:sz w:val="32"/>
          <w:szCs w:val="32"/>
        </w:rPr>
      </w:pPr>
      <w:r>
        <w:rPr>
          <w:rFonts w:hint="eastAsia" w:eastAsia="方正黑体简体"/>
          <w:sz w:val="32"/>
          <w:szCs w:val="32"/>
        </w:rPr>
        <w:t>一、项目基本情况</w:t>
      </w:r>
    </w:p>
    <w:p>
      <w:pPr>
        <w:spacing w:line="580" w:lineRule="exact"/>
        <w:ind w:firstLine="643" w:firstLineChars="200"/>
        <w:rPr>
          <w:rFonts w:eastAsia="方正楷体简体"/>
          <w:b/>
          <w:bCs w:val="0"/>
          <w:sz w:val="32"/>
          <w:szCs w:val="32"/>
        </w:rPr>
      </w:pPr>
      <w:r>
        <w:rPr>
          <w:rFonts w:hint="eastAsia" w:eastAsia="方正楷体简体"/>
          <w:b/>
          <w:bCs w:val="0"/>
          <w:sz w:val="32"/>
          <w:szCs w:val="32"/>
        </w:rPr>
        <w:t>（一）概况</w:t>
      </w:r>
    </w:p>
    <w:p>
      <w:pPr>
        <w:keepNext w:val="0"/>
        <w:keepLines w:val="0"/>
        <w:widowControl/>
        <w:suppressLineNumbers w:val="0"/>
        <w:ind w:firstLine="640" w:firstLineChars="200"/>
        <w:jc w:val="left"/>
        <w:rPr>
          <w:rFonts w:hint="eastAsia" w:ascii="Times New Roman" w:hAnsi="Times New Roman" w:eastAsia="方正仿宋简体" w:cs="Times New Roman"/>
          <w:sz w:val="28"/>
          <w:szCs w:val="28"/>
          <w:lang w:val="en-US" w:eastAsia="zh-CN"/>
        </w:rPr>
      </w:pPr>
      <w:r>
        <w:rPr>
          <w:rFonts w:hint="eastAsia" w:eastAsia="方正仿宋简体"/>
          <w:sz w:val="32"/>
          <w:szCs w:val="32"/>
          <w:lang w:val="en-US" w:eastAsia="zh-CN"/>
        </w:rPr>
        <w:t>1.立项背景和目的。</w:t>
      </w:r>
      <w:r>
        <w:rPr>
          <w:rFonts w:hint="eastAsia" w:ascii="Times New Roman" w:hAnsi="Times New Roman" w:eastAsia="方正仿宋简体" w:cs="Times New Roman"/>
          <w:sz w:val="28"/>
          <w:szCs w:val="28"/>
          <w:lang w:val="en-US" w:eastAsia="zh-CN"/>
        </w:rPr>
        <w:t>劳动镇薛苞大桥设计建设位置为劳动镇旧居村2组、庙山村7组，建成后将串联劳动场镇、薛苞古街、羊叉河生态农业公园，真正意义上实现陈毅故里景区、场镇、羊叉河乡村振兴示范带的旅游闭环，为劳动镇百镇试点镇建设、创建省级中心镇、乐至帅府小镇和推动“红色旅游+农旅+文旅”发展起到至关重要的作用。由于项目资金均为专项资金，不能</w:t>
      </w:r>
      <w:r>
        <w:rPr>
          <w:rFonts w:hint="default" w:ascii="Times New Roman" w:hAnsi="Times New Roman" w:eastAsia="方正仿宋简体" w:cs="Times New Roman"/>
          <w:sz w:val="28"/>
          <w:szCs w:val="28"/>
          <w:lang w:val="en-US" w:eastAsia="zh-CN"/>
        </w:rPr>
        <w:t>作为项目建设的前期经费使用</w:t>
      </w:r>
      <w:r>
        <w:rPr>
          <w:rFonts w:hint="eastAsia" w:ascii="Times New Roman" w:hAnsi="Times New Roman" w:eastAsia="方正仿宋简体" w:cs="Times New Roman"/>
          <w:sz w:val="28"/>
          <w:szCs w:val="28"/>
          <w:lang w:val="en-US" w:eastAsia="zh-CN"/>
        </w:rPr>
        <w:t>，为项目能够顺利推进，故立此项目。</w:t>
      </w:r>
    </w:p>
    <w:p>
      <w:pPr>
        <w:spacing w:line="580" w:lineRule="exact"/>
        <w:ind w:firstLine="643" w:firstLineChars="200"/>
        <w:rPr>
          <w:rFonts w:hint="default" w:eastAsia="方正仿宋简体"/>
          <w:sz w:val="28"/>
          <w:szCs w:val="28"/>
          <w:lang w:val="en-US" w:eastAsia="zh-CN"/>
        </w:rPr>
      </w:pPr>
      <w:r>
        <w:rPr>
          <w:rFonts w:eastAsia="方正仿宋简体"/>
          <w:b/>
          <w:sz w:val="32"/>
          <w:szCs w:val="32"/>
        </w:rPr>
        <w:t>2.</w:t>
      </w:r>
      <w:r>
        <w:rPr>
          <w:rFonts w:hint="eastAsia" w:eastAsia="方正仿宋简体"/>
          <w:sz w:val="32"/>
          <w:szCs w:val="32"/>
        </w:rPr>
        <w:t>预算资金来源及使用情况</w:t>
      </w:r>
      <w:r>
        <w:rPr>
          <w:rFonts w:hint="eastAsia" w:eastAsia="方正仿宋简体"/>
          <w:sz w:val="32"/>
          <w:szCs w:val="32"/>
          <w:lang w:eastAsia="zh-CN"/>
        </w:rPr>
        <w:t>。</w:t>
      </w:r>
      <w:r>
        <w:rPr>
          <w:rFonts w:hint="eastAsia" w:ascii="Times New Roman" w:hAnsi="Times New Roman" w:eastAsia="方正仿宋简体" w:cs="Times New Roman"/>
          <w:sz w:val="28"/>
          <w:szCs w:val="28"/>
          <w:lang w:val="en-US" w:eastAsia="zh-CN"/>
        </w:rPr>
        <w:t>项目</w:t>
      </w:r>
      <w:r>
        <w:rPr>
          <w:rFonts w:hint="eastAsia" w:eastAsia="方正仿宋简体" w:cs="Times New Roman"/>
          <w:sz w:val="28"/>
          <w:szCs w:val="28"/>
          <w:lang w:val="en-US" w:eastAsia="zh-CN"/>
        </w:rPr>
        <w:t>前期</w:t>
      </w:r>
      <w:r>
        <w:rPr>
          <w:rFonts w:hint="eastAsia" w:ascii="Times New Roman" w:hAnsi="Times New Roman" w:eastAsia="方正仿宋简体" w:cs="Times New Roman"/>
          <w:sz w:val="28"/>
          <w:szCs w:val="28"/>
          <w:lang w:val="en-US" w:eastAsia="zh-CN"/>
        </w:rPr>
        <w:t>预算数</w:t>
      </w:r>
      <w:r>
        <w:rPr>
          <w:rFonts w:hint="eastAsia" w:eastAsia="方正仿宋简体" w:cs="Times New Roman"/>
          <w:sz w:val="28"/>
          <w:szCs w:val="28"/>
          <w:lang w:val="en-US" w:eastAsia="zh-CN"/>
        </w:rPr>
        <w:t>20</w:t>
      </w:r>
      <w:r>
        <w:rPr>
          <w:rFonts w:hint="eastAsia" w:ascii="Times New Roman" w:hAnsi="Times New Roman" w:eastAsia="方正仿宋简体" w:cs="Times New Roman"/>
          <w:sz w:val="28"/>
          <w:szCs w:val="28"/>
          <w:lang w:val="en-US" w:eastAsia="zh-CN"/>
        </w:rPr>
        <w:t>万元，执行数为</w:t>
      </w:r>
      <w:r>
        <w:rPr>
          <w:rFonts w:hint="eastAsia" w:eastAsia="方正仿宋简体" w:cs="Times New Roman"/>
          <w:sz w:val="28"/>
          <w:szCs w:val="28"/>
          <w:lang w:val="en-US" w:eastAsia="zh-CN"/>
        </w:rPr>
        <w:t>20</w:t>
      </w:r>
      <w:r>
        <w:rPr>
          <w:rFonts w:hint="eastAsia" w:ascii="Times New Roman" w:hAnsi="Times New Roman" w:eastAsia="方正仿宋简体" w:cs="Times New Roman"/>
          <w:sz w:val="28"/>
          <w:szCs w:val="28"/>
          <w:lang w:val="en-US" w:eastAsia="zh-CN"/>
        </w:rPr>
        <w:t>万元，用于</w:t>
      </w:r>
      <w:r>
        <w:rPr>
          <w:rFonts w:hint="eastAsia" w:eastAsia="方正仿宋简体"/>
          <w:sz w:val="28"/>
          <w:szCs w:val="28"/>
          <w:lang w:val="en-US" w:eastAsia="zh-CN"/>
        </w:rPr>
        <w:t>薛苞大桥建设项目前期</w:t>
      </w:r>
      <w:r>
        <w:rPr>
          <w:rFonts w:hint="eastAsia" w:ascii="Times New Roman" w:hAnsi="Times New Roman" w:eastAsia="方正仿宋简体" w:cs="Times New Roman"/>
          <w:sz w:val="28"/>
          <w:szCs w:val="28"/>
          <w:lang w:val="en-US" w:eastAsia="zh-CN"/>
        </w:rPr>
        <w:t>的各项支出，完成预算的100%。</w:t>
      </w:r>
    </w:p>
    <w:p>
      <w:pPr>
        <w:spacing w:line="580" w:lineRule="exact"/>
        <w:ind w:firstLine="643" w:firstLineChars="200"/>
        <w:rPr>
          <w:rFonts w:hint="default" w:ascii="Times New Roman" w:hAnsi="Times New Roman" w:eastAsia="方正仿宋简体" w:cs="Times New Roman"/>
          <w:kern w:val="2"/>
          <w:sz w:val="28"/>
          <w:szCs w:val="28"/>
          <w:lang w:val="en-US" w:eastAsia="zh-CN" w:bidi="ar-SA"/>
        </w:rPr>
      </w:pPr>
      <w:r>
        <w:rPr>
          <w:rFonts w:eastAsia="方正仿宋简体"/>
          <w:b/>
          <w:sz w:val="32"/>
          <w:szCs w:val="32"/>
        </w:rPr>
        <w:t>3.</w:t>
      </w:r>
      <w:r>
        <w:rPr>
          <w:rFonts w:hint="eastAsia" w:eastAsia="方正仿宋简体"/>
          <w:sz w:val="32"/>
          <w:szCs w:val="32"/>
        </w:rPr>
        <w:t>实施情况</w:t>
      </w:r>
      <w:r>
        <w:rPr>
          <w:rFonts w:hint="eastAsia" w:eastAsia="方正仿宋简体"/>
          <w:sz w:val="28"/>
          <w:szCs w:val="28"/>
          <w:lang w:val="en-US" w:eastAsia="zh-CN"/>
        </w:rPr>
        <w:t>。用于薛苞大桥建设项目前期费用总计22.7万元，其中预算编制1万元，设计费18万元，工程勘察1.4万元，环境影响评估0.8万元，水土保持方案编制0.7万元，施工图技术审查咨询费0.8万元。</w:t>
      </w:r>
    </w:p>
    <w:p>
      <w:pPr>
        <w:spacing w:line="580" w:lineRule="exact"/>
        <w:ind w:firstLine="643" w:firstLineChars="200"/>
        <w:rPr>
          <w:rFonts w:eastAsia="方正楷体简体"/>
          <w:b/>
          <w:bCs w:val="0"/>
          <w:sz w:val="32"/>
          <w:szCs w:val="32"/>
        </w:rPr>
      </w:pPr>
      <w:r>
        <w:rPr>
          <w:rFonts w:hint="eastAsia" w:eastAsia="方正楷体简体"/>
          <w:b/>
          <w:bCs w:val="0"/>
          <w:sz w:val="32"/>
          <w:szCs w:val="32"/>
        </w:rPr>
        <w:t>（二）绩效目标</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560" w:firstLineChars="200"/>
        <w:jc w:val="left"/>
        <w:rPr>
          <w:rFonts w:hint="default"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劳动镇薛苞大桥项目前期费用总体目标：</w:t>
      </w:r>
      <w:r>
        <w:rPr>
          <w:rFonts w:hint="eastAsia" w:eastAsia="方正仿宋简体" w:cs="Times New Roman"/>
          <w:kern w:val="2"/>
          <w:sz w:val="28"/>
          <w:szCs w:val="28"/>
          <w:lang w:val="en-US" w:eastAsia="zh-CN" w:bidi="ar-SA"/>
        </w:rPr>
        <w:t>保障</w:t>
      </w:r>
      <w:r>
        <w:rPr>
          <w:rFonts w:hint="eastAsia" w:eastAsia="方正仿宋简体"/>
          <w:sz w:val="28"/>
          <w:szCs w:val="28"/>
          <w:lang w:val="en-US" w:eastAsia="zh-CN"/>
        </w:rPr>
        <w:t>薛苞大桥建设项目</w:t>
      </w:r>
      <w:r>
        <w:rPr>
          <w:rFonts w:hint="eastAsia" w:eastAsia="方正仿宋简体" w:cs="Times New Roman"/>
          <w:kern w:val="2"/>
          <w:sz w:val="28"/>
          <w:szCs w:val="28"/>
          <w:lang w:val="en-US" w:eastAsia="zh-CN" w:bidi="ar-SA"/>
        </w:rPr>
        <w:t>顺利进行</w:t>
      </w:r>
      <w:r>
        <w:rPr>
          <w:rFonts w:hint="eastAsia" w:ascii="Times New Roman" w:hAnsi="Times New Roman" w:eastAsia="方正仿宋简体" w:cs="Times New Roman"/>
          <w:kern w:val="2"/>
          <w:sz w:val="28"/>
          <w:szCs w:val="28"/>
          <w:lang w:val="en-US" w:eastAsia="zh-CN" w:bidi="ar-SA"/>
        </w:rPr>
        <w:t>。具体绩效目标：1.产出指标：</w:t>
      </w:r>
      <w:r>
        <w:rPr>
          <w:rFonts w:hint="eastAsia" w:eastAsia="方正仿宋简体"/>
          <w:sz w:val="28"/>
          <w:szCs w:val="28"/>
          <w:lang w:val="en-US" w:eastAsia="zh-CN"/>
        </w:rPr>
        <w:t>预算书，施工图纸，工程勘察报告，环境影响评估报告，水土保持方案，施工图技术审查</w:t>
      </w:r>
      <w:r>
        <w:rPr>
          <w:rFonts w:hint="eastAsia" w:ascii="Times New Roman" w:hAnsi="Times New Roman" w:eastAsia="方正仿宋简体" w:cs="Times New Roman"/>
          <w:kern w:val="2"/>
          <w:sz w:val="28"/>
          <w:szCs w:val="28"/>
          <w:lang w:val="en-US" w:eastAsia="zh-CN" w:bidi="ar-SA"/>
        </w:rPr>
        <w:t>。2.效益指标：</w:t>
      </w:r>
      <w:r>
        <w:rPr>
          <w:rFonts w:hint="eastAsia" w:eastAsia="方正仿宋简体" w:cs="Times New Roman"/>
          <w:kern w:val="2"/>
          <w:sz w:val="28"/>
          <w:szCs w:val="28"/>
          <w:lang w:val="en-US" w:eastAsia="zh-CN" w:bidi="ar-SA"/>
        </w:rPr>
        <w:t>推动项目建设、完善基础设施、方便群众出行</w:t>
      </w:r>
      <w:r>
        <w:rPr>
          <w:rFonts w:hint="eastAsia" w:ascii="Times New Roman" w:hAnsi="Times New Roman" w:eastAsia="方正仿宋简体" w:cs="Times New Roman"/>
          <w:kern w:val="2"/>
          <w:sz w:val="28"/>
          <w:szCs w:val="28"/>
          <w:lang w:val="en-US" w:eastAsia="zh-CN" w:bidi="ar-SA"/>
        </w:rPr>
        <w:t>。100%</w:t>
      </w:r>
      <w:r>
        <w:rPr>
          <w:rFonts w:hint="eastAsia" w:eastAsia="方正仿宋简体" w:cs="Times New Roman"/>
          <w:kern w:val="2"/>
          <w:sz w:val="28"/>
          <w:szCs w:val="28"/>
          <w:lang w:val="en-US" w:eastAsia="zh-CN" w:bidi="ar-SA"/>
        </w:rPr>
        <w:t>有效</w:t>
      </w:r>
      <w:r>
        <w:rPr>
          <w:rFonts w:hint="eastAsia" w:ascii="Times New Roman" w:hAnsi="Times New Roman" w:eastAsia="方正仿宋简体" w:cs="Times New Roman"/>
          <w:kern w:val="2"/>
          <w:sz w:val="28"/>
          <w:szCs w:val="28"/>
          <w:lang w:val="en-US" w:eastAsia="zh-CN" w:bidi="ar-SA"/>
        </w:rPr>
        <w:t>。3.满意度指标：</w:t>
      </w:r>
      <w:r>
        <w:rPr>
          <w:rFonts w:hint="eastAsia" w:eastAsia="方正仿宋简体" w:cs="Times New Roman"/>
          <w:kern w:val="2"/>
          <w:sz w:val="28"/>
          <w:szCs w:val="28"/>
          <w:lang w:val="en-US" w:eastAsia="zh-CN" w:bidi="ar-SA"/>
        </w:rPr>
        <w:t>群众</w:t>
      </w:r>
      <w:r>
        <w:rPr>
          <w:rFonts w:hint="eastAsia" w:ascii="Times New Roman" w:hAnsi="Times New Roman" w:eastAsia="方正仿宋简体" w:cs="Times New Roman"/>
          <w:kern w:val="2"/>
          <w:sz w:val="28"/>
          <w:szCs w:val="28"/>
          <w:lang w:val="en-US" w:eastAsia="zh-CN" w:bidi="ar-SA"/>
        </w:rPr>
        <w:t>满意率&gt;=90%。</w:t>
      </w:r>
    </w:p>
    <w:p>
      <w:pPr>
        <w:spacing w:line="580" w:lineRule="exact"/>
        <w:ind w:firstLine="640" w:firstLineChars="200"/>
        <w:rPr>
          <w:rFonts w:eastAsia="方正黑体简体"/>
          <w:sz w:val="32"/>
          <w:szCs w:val="32"/>
        </w:rPr>
      </w:pPr>
      <w:r>
        <w:rPr>
          <w:rFonts w:hint="eastAsia" w:eastAsia="方正黑体简体"/>
          <w:sz w:val="32"/>
          <w:szCs w:val="32"/>
        </w:rPr>
        <w:t>二、绩效自评工作情况</w:t>
      </w:r>
    </w:p>
    <w:p>
      <w:pPr>
        <w:spacing w:line="580" w:lineRule="exact"/>
        <w:ind w:firstLine="560" w:firstLineChars="200"/>
        <w:rPr>
          <w:rFonts w:hint="eastAsia" w:ascii="仿宋" w:hAnsi="仿宋" w:eastAsia="仿宋" w:cs="仿宋"/>
          <w:i w:val="0"/>
          <w:iCs w:val="0"/>
          <w:caps w:val="0"/>
          <w:color w:val="000000"/>
          <w:spacing w:val="0"/>
          <w:kern w:val="2"/>
          <w:sz w:val="32"/>
          <w:szCs w:val="32"/>
          <w:shd w:val="clear" w:fill="FFFFFF"/>
          <w:lang w:val="en-US" w:eastAsia="zh-CN" w:bidi="ar-SA"/>
        </w:rPr>
      </w:pPr>
      <w:r>
        <w:rPr>
          <w:rFonts w:hint="eastAsia" w:ascii="Times New Roman" w:hAnsi="Times New Roman" w:eastAsia="方正仿宋简体" w:cs="Times New Roman"/>
          <w:kern w:val="2"/>
          <w:sz w:val="28"/>
          <w:szCs w:val="28"/>
          <w:lang w:val="en-US" w:eastAsia="zh-CN" w:bidi="ar-SA"/>
        </w:rPr>
        <w:t>镇党委政府高中重视绩效自评工作，成立了绩效自评领导小组，组长由镇长担任。自评工作由绩效自评工作小组完成，完成对项目执行中对项目绩效目标实现程度和预算执行进度自评。具体就是对项目完成质量、时效、成本等情况，对照项目计划完成目标，对截止评价时点的任务量完成、质量标准、进度计划、成本控制目标的实现程度进行评价，并进行分析说明。</w:t>
      </w:r>
    </w:p>
    <w:p>
      <w:pPr>
        <w:spacing w:line="580" w:lineRule="exact"/>
        <w:ind w:firstLine="640" w:firstLineChars="200"/>
        <w:rPr>
          <w:rFonts w:eastAsia="方正黑体简体"/>
          <w:sz w:val="32"/>
          <w:szCs w:val="32"/>
        </w:rPr>
      </w:pPr>
      <w:r>
        <w:rPr>
          <w:rFonts w:hint="eastAsia" w:eastAsia="方正黑体简体"/>
          <w:sz w:val="32"/>
          <w:szCs w:val="32"/>
        </w:rPr>
        <w:t>三、评价结论</w:t>
      </w:r>
    </w:p>
    <w:p>
      <w:pPr>
        <w:spacing w:line="580" w:lineRule="exact"/>
        <w:ind w:firstLine="560" w:firstLineChars="200"/>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全面完成该项目支出绩效内部自评工作，严格按照投入、过程、产出、效果指标评分，自评等级为优。</w:t>
      </w:r>
    </w:p>
    <w:p>
      <w:pPr>
        <w:numPr>
          <w:ilvl w:val="0"/>
          <w:numId w:val="8"/>
        </w:numPr>
        <w:spacing w:line="580" w:lineRule="exact"/>
        <w:ind w:firstLine="640" w:firstLineChars="200"/>
        <w:rPr>
          <w:rFonts w:hint="eastAsia" w:eastAsia="方正黑体简体"/>
          <w:sz w:val="32"/>
          <w:szCs w:val="32"/>
        </w:rPr>
      </w:pPr>
      <w:r>
        <w:rPr>
          <w:rFonts w:hint="eastAsia" w:eastAsia="方正黑体简体"/>
          <w:sz w:val="32"/>
          <w:szCs w:val="32"/>
        </w:rPr>
        <w:t>绩效分析</w:t>
      </w:r>
    </w:p>
    <w:p>
      <w:pPr>
        <w:numPr>
          <w:ilvl w:val="0"/>
          <w:numId w:val="0"/>
        </w:numPr>
        <w:spacing w:line="580" w:lineRule="exact"/>
        <w:ind w:firstLine="560" w:firstLineChars="200"/>
        <w:rPr>
          <w:rFonts w:hint="eastAsia" w:ascii="仿宋" w:hAnsi="仿宋" w:eastAsia="仿宋" w:cs="仿宋"/>
          <w:i w:val="0"/>
          <w:iCs w:val="0"/>
          <w:caps w:val="0"/>
          <w:color w:val="000000"/>
          <w:spacing w:val="0"/>
          <w:kern w:val="2"/>
          <w:sz w:val="32"/>
          <w:szCs w:val="32"/>
          <w:shd w:val="clear" w:fill="FFFFFF"/>
          <w:lang w:val="en-US" w:eastAsia="zh-CN" w:bidi="ar-SA"/>
        </w:rPr>
      </w:pPr>
      <w:r>
        <w:rPr>
          <w:rFonts w:hint="eastAsia" w:ascii="Times New Roman" w:hAnsi="Times New Roman" w:eastAsia="方正仿宋简体" w:cs="Times New Roman"/>
          <w:kern w:val="2"/>
          <w:sz w:val="28"/>
          <w:szCs w:val="28"/>
          <w:lang w:val="en-US" w:eastAsia="zh-CN" w:bidi="ar-SA"/>
        </w:rPr>
        <w:t>一</w:t>
      </w:r>
      <w:r>
        <w:rPr>
          <w:rFonts w:hint="eastAsia" w:eastAsia="方正仿宋简体" w:cs="Times New Roman"/>
          <w:kern w:val="2"/>
          <w:sz w:val="28"/>
          <w:szCs w:val="28"/>
          <w:lang w:val="en-US" w:eastAsia="zh-CN" w:bidi="ar-SA"/>
        </w:rPr>
        <w:t>是</w:t>
      </w:r>
      <w:r>
        <w:rPr>
          <w:rFonts w:hint="eastAsia" w:ascii="Times New Roman" w:hAnsi="Times New Roman" w:eastAsia="方正仿宋简体" w:cs="Times New Roman"/>
          <w:kern w:val="2"/>
          <w:sz w:val="28"/>
          <w:szCs w:val="28"/>
          <w:lang w:val="en-US" w:eastAsia="zh-CN" w:bidi="ar-SA"/>
        </w:rPr>
        <w:t>项目决策情况。项目设立是经过严格评估论证，与部门职责相符，属于公共财政支持范围，符合地方事权支出责任划分原则，与相关部门同类项目或部门内部相关项目不重复。项目规划符合县委、县政府重大决策部署，与项目年度目标一致。项目指导意见、管理办法、申报指南、实施细则等管理制度完善，不存在脱离实际、缺陷、漏洞导致执行偏离预期。二</w:t>
      </w:r>
      <w:r>
        <w:rPr>
          <w:rFonts w:hint="eastAsia" w:eastAsia="方正仿宋简体" w:cs="Times New Roman"/>
          <w:kern w:val="2"/>
          <w:sz w:val="28"/>
          <w:szCs w:val="28"/>
          <w:lang w:val="en-US" w:eastAsia="zh-CN" w:bidi="ar-SA"/>
        </w:rPr>
        <w:t>是</w:t>
      </w:r>
      <w:r>
        <w:rPr>
          <w:rFonts w:hint="eastAsia" w:ascii="Times New Roman" w:hAnsi="Times New Roman" w:eastAsia="方正仿宋简体" w:cs="Times New Roman"/>
          <w:kern w:val="2"/>
          <w:sz w:val="28"/>
          <w:szCs w:val="28"/>
          <w:lang w:val="en-US" w:eastAsia="zh-CN" w:bidi="ar-SA"/>
        </w:rPr>
        <w:t>项目管理情况。我单位目标任务的制定与国家政策法规、部门职责、部门中长期规划相符。目标任务制定明确，全面反映部门目标任务完成和预期效益情。目标任务合理可行，财政资源配置合理。三</w:t>
      </w:r>
      <w:r>
        <w:rPr>
          <w:rFonts w:hint="eastAsia" w:eastAsia="方正仿宋简体" w:cs="Times New Roman"/>
          <w:kern w:val="2"/>
          <w:sz w:val="28"/>
          <w:szCs w:val="28"/>
          <w:lang w:val="en-US" w:eastAsia="zh-CN" w:bidi="ar-SA"/>
        </w:rPr>
        <w:t>是</w:t>
      </w:r>
      <w:r>
        <w:rPr>
          <w:rFonts w:hint="eastAsia" w:ascii="Times New Roman" w:hAnsi="Times New Roman" w:eastAsia="方正仿宋简体" w:cs="Times New Roman"/>
          <w:kern w:val="2"/>
          <w:sz w:val="28"/>
          <w:szCs w:val="28"/>
          <w:lang w:val="en-US" w:eastAsia="zh-CN" w:bidi="ar-SA"/>
        </w:rPr>
        <w:t>项目产出情况。通过项目实施，保证了</w:t>
      </w:r>
      <w:r>
        <w:rPr>
          <w:rFonts w:hint="eastAsia" w:eastAsia="方正仿宋简体" w:cs="Times New Roman"/>
          <w:kern w:val="2"/>
          <w:sz w:val="28"/>
          <w:szCs w:val="28"/>
          <w:lang w:val="en-US" w:eastAsia="zh-CN" w:bidi="ar-SA"/>
        </w:rPr>
        <w:t>薛苞大桥设计</w:t>
      </w:r>
      <w:r>
        <w:rPr>
          <w:rFonts w:hint="eastAsia" w:ascii="Times New Roman" w:hAnsi="Times New Roman" w:eastAsia="方正仿宋简体" w:cs="Times New Roman"/>
          <w:kern w:val="2"/>
          <w:sz w:val="28"/>
          <w:szCs w:val="28"/>
          <w:lang w:val="en-US" w:eastAsia="zh-CN" w:bidi="ar-SA"/>
        </w:rPr>
        <w:t>工作顺利完成。四</w:t>
      </w:r>
      <w:r>
        <w:rPr>
          <w:rFonts w:hint="eastAsia" w:eastAsia="方正仿宋简体" w:cs="Times New Roman"/>
          <w:kern w:val="2"/>
          <w:sz w:val="28"/>
          <w:szCs w:val="28"/>
          <w:lang w:val="en-US" w:eastAsia="zh-CN" w:bidi="ar-SA"/>
        </w:rPr>
        <w:t>是</w:t>
      </w:r>
      <w:r>
        <w:rPr>
          <w:rFonts w:hint="eastAsia" w:ascii="Times New Roman" w:hAnsi="Times New Roman" w:eastAsia="方正仿宋简体" w:cs="Times New Roman"/>
          <w:kern w:val="2"/>
          <w:sz w:val="28"/>
          <w:szCs w:val="28"/>
          <w:lang w:val="en-US" w:eastAsia="zh-CN" w:bidi="ar-SA"/>
        </w:rPr>
        <w:t>项目绩效情况。质量指标、社会效益指标、满意度指标，绩效目标完成率100%。</w:t>
      </w:r>
    </w:p>
    <w:p>
      <w:pPr>
        <w:numPr>
          <w:ilvl w:val="0"/>
          <w:numId w:val="9"/>
        </w:numPr>
        <w:spacing w:line="580" w:lineRule="exact"/>
        <w:ind w:firstLine="640" w:firstLineChars="200"/>
        <w:rPr>
          <w:rFonts w:hint="eastAsia" w:eastAsia="方正黑体简体"/>
          <w:sz w:val="32"/>
          <w:szCs w:val="32"/>
        </w:rPr>
      </w:pPr>
      <w:r>
        <w:rPr>
          <w:rFonts w:hint="eastAsia" w:eastAsia="方正黑体简体"/>
          <w:sz w:val="32"/>
          <w:szCs w:val="32"/>
        </w:rPr>
        <w:t>主要经验及做法、存在的问题和建议</w:t>
      </w:r>
    </w:p>
    <w:p>
      <w:pPr>
        <w:numPr>
          <w:ilvl w:val="0"/>
          <w:numId w:val="0"/>
        </w:numPr>
        <w:spacing w:line="580" w:lineRule="exact"/>
        <w:ind w:firstLine="560" w:firstLineChars="200"/>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主要问题</w:t>
      </w:r>
      <w:r>
        <w:rPr>
          <w:rFonts w:hint="eastAsia" w:eastAsia="方正仿宋简体" w:cs="Times New Roman"/>
          <w:kern w:val="2"/>
          <w:sz w:val="28"/>
          <w:szCs w:val="28"/>
          <w:lang w:val="en-US" w:eastAsia="zh-CN" w:bidi="ar-SA"/>
        </w:rPr>
        <w:t>是</w:t>
      </w:r>
      <w:r>
        <w:rPr>
          <w:rFonts w:hint="eastAsia" w:ascii="Times New Roman" w:hAnsi="Times New Roman" w:eastAsia="方正仿宋简体" w:cs="Times New Roman"/>
          <w:kern w:val="2"/>
          <w:sz w:val="28"/>
          <w:szCs w:val="28"/>
          <w:lang w:val="en-US" w:eastAsia="zh-CN" w:bidi="ar-SA"/>
        </w:rPr>
        <w:t>绩效指标明确性有待提高。</w:t>
      </w:r>
      <w:r>
        <w:rPr>
          <w:rFonts w:hint="eastAsia" w:eastAsia="方正仿宋简体" w:cs="Times New Roman"/>
          <w:kern w:val="2"/>
          <w:sz w:val="28"/>
          <w:szCs w:val="28"/>
          <w:lang w:val="en-US" w:eastAsia="zh-CN" w:bidi="ar-SA"/>
        </w:rPr>
        <w:t>今后将</w:t>
      </w:r>
      <w:r>
        <w:rPr>
          <w:rFonts w:hint="eastAsia" w:ascii="Times New Roman" w:hAnsi="Times New Roman" w:eastAsia="方正仿宋简体" w:cs="Times New Roman"/>
          <w:kern w:val="2"/>
          <w:sz w:val="28"/>
          <w:szCs w:val="28"/>
          <w:lang w:val="en-US" w:eastAsia="zh-CN" w:bidi="ar-SA"/>
        </w:rPr>
        <w:t>提高指标明确性，准确把握工作绩效目标要求，提高工作细化程度。</w:t>
      </w:r>
    </w:p>
    <w:p>
      <w:pPr>
        <w:numPr>
          <w:ilvl w:val="0"/>
          <w:numId w:val="0"/>
        </w:numPr>
        <w:spacing w:line="580" w:lineRule="exact"/>
        <w:ind w:firstLine="560" w:firstLineChars="200"/>
        <w:rPr>
          <w:rFonts w:hint="eastAsia" w:ascii="Times New Roman" w:hAnsi="Times New Roman" w:eastAsia="方正仿宋简体" w:cs="Times New Roman"/>
          <w:kern w:val="2"/>
          <w:sz w:val="28"/>
          <w:szCs w:val="28"/>
          <w:lang w:val="en-US" w:eastAsia="zh-CN" w:bidi="ar-SA"/>
        </w:rPr>
      </w:pPr>
    </w:p>
    <w:p>
      <w:pPr>
        <w:numPr>
          <w:ilvl w:val="0"/>
          <w:numId w:val="0"/>
        </w:numPr>
        <w:spacing w:line="580" w:lineRule="exact"/>
        <w:ind w:firstLine="560" w:firstLineChars="200"/>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附件：1.202</w:t>
      </w:r>
      <w:r>
        <w:rPr>
          <w:rFonts w:hint="eastAsia" w:eastAsia="方正仿宋简体" w:cs="Times New Roman"/>
          <w:kern w:val="2"/>
          <w:sz w:val="28"/>
          <w:szCs w:val="28"/>
          <w:lang w:val="en-US" w:eastAsia="zh-CN" w:bidi="ar-SA"/>
        </w:rPr>
        <w:t>2</w:t>
      </w:r>
      <w:r>
        <w:rPr>
          <w:rFonts w:hint="eastAsia" w:ascii="Times New Roman" w:hAnsi="Times New Roman" w:eastAsia="方正仿宋简体" w:cs="Times New Roman"/>
          <w:kern w:val="2"/>
          <w:sz w:val="28"/>
          <w:szCs w:val="28"/>
          <w:lang w:val="en-US" w:eastAsia="zh-CN" w:bidi="ar-SA"/>
        </w:rPr>
        <w:t>年度乐至县项目支出绩效自评计分表</w:t>
      </w:r>
    </w:p>
    <w:p>
      <w:pPr>
        <w:numPr>
          <w:ilvl w:val="0"/>
          <w:numId w:val="0"/>
        </w:numPr>
        <w:spacing w:line="580" w:lineRule="exact"/>
        <w:ind w:firstLine="1400" w:firstLineChars="500"/>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2.202</w:t>
      </w:r>
      <w:r>
        <w:rPr>
          <w:rFonts w:hint="eastAsia" w:eastAsia="方正仿宋简体" w:cs="Times New Roman"/>
          <w:kern w:val="2"/>
          <w:sz w:val="28"/>
          <w:szCs w:val="28"/>
          <w:lang w:val="en-US" w:eastAsia="zh-CN" w:bidi="ar-SA"/>
        </w:rPr>
        <w:t>2</w:t>
      </w:r>
      <w:r>
        <w:rPr>
          <w:rFonts w:hint="eastAsia" w:ascii="Times New Roman" w:hAnsi="Times New Roman" w:eastAsia="方正仿宋简体" w:cs="Times New Roman"/>
          <w:kern w:val="2"/>
          <w:sz w:val="28"/>
          <w:szCs w:val="28"/>
          <w:lang w:val="en-US" w:eastAsia="zh-CN" w:bidi="ar-SA"/>
        </w:rPr>
        <w:t>年度乐至县项目支出绩效目标完成情况表</w:t>
      </w:r>
    </w:p>
    <w:p>
      <w:pPr>
        <w:numPr>
          <w:ilvl w:val="0"/>
          <w:numId w:val="0"/>
        </w:numPr>
        <w:spacing w:line="580" w:lineRule="exact"/>
        <w:ind w:firstLine="560" w:firstLineChars="200"/>
        <w:rPr>
          <w:rFonts w:hint="eastAsia" w:ascii="Times New Roman" w:hAnsi="Times New Roman" w:eastAsia="方正仿宋简体" w:cs="Times New Roman"/>
          <w:kern w:val="2"/>
          <w:sz w:val="28"/>
          <w:szCs w:val="28"/>
          <w:lang w:val="en-US" w:eastAsia="zh-CN" w:bidi="ar-SA"/>
        </w:rPr>
        <w:sectPr>
          <w:pgSz w:w="11907" w:h="16840"/>
          <w:pgMar w:top="2098" w:right="1474" w:bottom="1928" w:left="1588" w:header="851" w:footer="992" w:gutter="0"/>
          <w:cols w:space="425" w:num="1"/>
          <w:docGrid w:type="lines" w:linePitch="312" w:charSpace="0"/>
        </w:sectPr>
      </w:pPr>
    </w:p>
    <w:p>
      <w:pPr>
        <w:spacing w:line="620" w:lineRule="exact"/>
        <w:jc w:val="left"/>
        <w:rPr>
          <w:rFonts w:eastAsia="方正黑体简体"/>
          <w:bCs/>
          <w:kern w:val="0"/>
          <w:sz w:val="32"/>
          <w:szCs w:val="32"/>
        </w:rPr>
      </w:pPr>
      <w:r>
        <w:rPr>
          <w:rFonts w:hint="eastAsia" w:eastAsia="方正黑体简体"/>
          <w:bCs/>
          <w:kern w:val="0"/>
          <w:sz w:val="32"/>
          <w:szCs w:val="32"/>
        </w:rPr>
        <w:t>附件</w:t>
      </w:r>
      <w:r>
        <w:rPr>
          <w:rFonts w:eastAsia="方正黑体简体"/>
          <w:bCs/>
          <w:kern w:val="0"/>
          <w:sz w:val="32"/>
          <w:szCs w:val="32"/>
        </w:rPr>
        <w:t>1</w:t>
      </w:r>
    </w:p>
    <w:p>
      <w:pPr>
        <w:spacing w:line="620" w:lineRule="exact"/>
        <w:jc w:val="center"/>
        <w:rPr>
          <w:rFonts w:eastAsia="方正小标宋简体"/>
          <w:bCs/>
          <w:kern w:val="0"/>
          <w:sz w:val="44"/>
          <w:szCs w:val="44"/>
        </w:rPr>
      </w:pPr>
      <w:r>
        <w:rPr>
          <w:rFonts w:eastAsia="方正小标宋简体"/>
          <w:bCs/>
          <w:kern w:val="0"/>
          <w:sz w:val="44"/>
          <w:szCs w:val="44"/>
        </w:rPr>
        <w:t>202</w:t>
      </w:r>
      <w:r>
        <w:rPr>
          <w:rFonts w:hint="eastAsia" w:eastAsia="方正小标宋简体"/>
          <w:bCs/>
          <w:kern w:val="0"/>
          <w:sz w:val="44"/>
          <w:szCs w:val="44"/>
          <w:lang w:val="en-US" w:eastAsia="zh-CN"/>
        </w:rPr>
        <w:t>2</w:t>
      </w:r>
      <w:r>
        <w:rPr>
          <w:rFonts w:hint="eastAsia" w:eastAsia="方正小标宋简体"/>
          <w:bCs/>
          <w:kern w:val="0"/>
          <w:sz w:val="44"/>
          <w:szCs w:val="44"/>
        </w:rPr>
        <w:t>年度乐至县项目支出绩效自评计分表</w:t>
      </w:r>
    </w:p>
    <w:p>
      <w:pPr>
        <w:spacing w:line="620" w:lineRule="exact"/>
        <w:jc w:val="center"/>
        <w:rPr>
          <w:rFonts w:eastAsia="方正楷体简体"/>
          <w:b/>
          <w:bCs/>
          <w:kern w:val="0"/>
          <w:sz w:val="32"/>
          <w:szCs w:val="32"/>
        </w:rPr>
      </w:pPr>
      <w:r>
        <w:rPr>
          <w:rFonts w:hint="eastAsia" w:eastAsia="方正楷体简体"/>
          <w:b/>
          <w:bCs/>
          <w:kern w:val="0"/>
          <w:sz w:val="32"/>
          <w:szCs w:val="32"/>
        </w:rPr>
        <w:t>（</w:t>
      </w:r>
      <w:r>
        <w:rPr>
          <w:rFonts w:hint="eastAsia" w:eastAsia="方正楷体简体"/>
          <w:b/>
          <w:sz w:val="32"/>
          <w:szCs w:val="32"/>
          <w:lang w:val="en-US" w:eastAsia="zh-CN"/>
        </w:rPr>
        <w:t>劳动镇薛苞大桥项目前期费用</w:t>
      </w:r>
      <w:r>
        <w:rPr>
          <w:rFonts w:hint="eastAsia" w:eastAsia="方正楷体简体"/>
          <w:b/>
          <w:bCs/>
          <w:kern w:val="0"/>
          <w:sz w:val="32"/>
          <w:szCs w:val="32"/>
        </w:rPr>
        <w:t>）</w:t>
      </w:r>
    </w:p>
    <w:p>
      <w:pPr>
        <w:spacing w:line="620" w:lineRule="exact"/>
        <w:rPr>
          <w:rFonts w:hint="eastAsia" w:eastAsia="宋体"/>
          <w:sz w:val="24"/>
          <w:lang w:val="en-US" w:eastAsia="zh-CN"/>
        </w:rPr>
      </w:pPr>
      <w:r>
        <w:rPr>
          <w:rFonts w:hint="eastAsia"/>
          <w:bCs/>
          <w:kern w:val="0"/>
          <w:sz w:val="24"/>
        </w:rPr>
        <w:t>预算单位名称：</w:t>
      </w:r>
      <w:r>
        <w:rPr>
          <w:rFonts w:hint="eastAsia"/>
          <w:bCs/>
          <w:kern w:val="0"/>
          <w:sz w:val="24"/>
          <w:lang w:val="en-US" w:eastAsia="zh-CN"/>
        </w:rPr>
        <w:t>劳动镇人民政府</w:t>
      </w:r>
      <w:r>
        <w:rPr>
          <w:bCs/>
          <w:kern w:val="0"/>
          <w:sz w:val="24"/>
        </w:rPr>
        <w:t xml:space="preserve">      </w:t>
      </w:r>
      <w:r>
        <w:rPr>
          <w:rFonts w:hint="eastAsia"/>
          <w:bCs/>
          <w:kern w:val="0"/>
          <w:sz w:val="24"/>
        </w:rPr>
        <w:t>预算单位编码：</w:t>
      </w:r>
      <w:r>
        <w:rPr>
          <w:rFonts w:hint="eastAsia"/>
          <w:bCs/>
          <w:color w:val="FF0000"/>
          <w:kern w:val="0"/>
          <w:sz w:val="24"/>
          <w:lang w:val="en-US" w:eastAsia="zh-CN"/>
        </w:rPr>
        <w:t>317001</w:t>
      </w:r>
      <w:r>
        <w:rPr>
          <w:bCs/>
          <w:kern w:val="0"/>
          <w:sz w:val="24"/>
        </w:rPr>
        <w:t xml:space="preserve"> </w:t>
      </w:r>
      <w:r>
        <w:rPr>
          <w:rFonts w:hint="eastAsia"/>
          <w:bCs/>
          <w:kern w:val="0"/>
          <w:sz w:val="24"/>
        </w:rPr>
        <w:t>自评等级：</w:t>
      </w:r>
      <w:r>
        <w:rPr>
          <w:rFonts w:hint="eastAsia"/>
          <w:bCs/>
          <w:kern w:val="0"/>
          <w:sz w:val="24"/>
          <w:lang w:val="en-US" w:eastAsia="zh-CN"/>
        </w:rPr>
        <w:t>优</w:t>
      </w:r>
    </w:p>
    <w:tbl>
      <w:tblPr>
        <w:tblStyle w:val="19"/>
        <w:tblW w:w="51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72"/>
        <w:gridCol w:w="562"/>
        <w:gridCol w:w="868"/>
        <w:gridCol w:w="1673"/>
        <w:gridCol w:w="3750"/>
        <w:gridCol w:w="795"/>
        <w:gridCol w:w="8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9" w:hRule="atLeast"/>
          <w:tblHeader/>
          <w:jc w:val="center"/>
        </w:trPr>
        <w:tc>
          <w:tcPr>
            <w:tcW w:w="313" w:type="pct"/>
            <w:tcBorders>
              <w:top w:val="single" w:color="auto" w:sz="12"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eastAsia="方正黑体简体"/>
                <w:bCs/>
                <w:kern w:val="0"/>
                <w:szCs w:val="21"/>
              </w:rPr>
            </w:pPr>
            <w:r>
              <w:rPr>
                <w:rFonts w:hint="eastAsia" w:eastAsia="方正黑体简体"/>
                <w:bCs/>
                <w:kern w:val="0"/>
                <w:szCs w:val="21"/>
              </w:rPr>
              <w:t>一级</w:t>
            </w:r>
          </w:p>
          <w:p>
            <w:pPr>
              <w:keepNext w:val="0"/>
              <w:keepLines w:val="0"/>
              <w:widowControl/>
              <w:suppressLineNumbers w:val="0"/>
              <w:spacing w:before="0" w:beforeAutospacing="0" w:after="0" w:afterAutospacing="0" w:line="240" w:lineRule="exact"/>
              <w:ind w:left="0" w:right="0"/>
              <w:jc w:val="center"/>
              <w:rPr>
                <w:rFonts w:hint="default" w:eastAsia="方正黑体简体"/>
                <w:bCs/>
                <w:kern w:val="0"/>
                <w:szCs w:val="21"/>
              </w:rPr>
            </w:pPr>
            <w:r>
              <w:rPr>
                <w:rFonts w:hint="eastAsia" w:eastAsia="方正黑体简体"/>
                <w:bCs/>
                <w:kern w:val="0"/>
                <w:szCs w:val="21"/>
              </w:rPr>
              <w:t>指标</w:t>
            </w:r>
          </w:p>
        </w:tc>
        <w:tc>
          <w:tcPr>
            <w:tcW w:w="308" w:type="pct"/>
            <w:tcBorders>
              <w:top w:val="single" w:color="auto" w:sz="12"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eastAsia="方正黑体简体"/>
                <w:bCs/>
                <w:kern w:val="0"/>
                <w:szCs w:val="21"/>
              </w:rPr>
            </w:pPr>
            <w:r>
              <w:rPr>
                <w:rFonts w:hint="eastAsia" w:eastAsia="方正黑体简体"/>
                <w:bCs/>
                <w:kern w:val="0"/>
                <w:szCs w:val="21"/>
              </w:rPr>
              <w:t>二级</w:t>
            </w:r>
          </w:p>
          <w:p>
            <w:pPr>
              <w:keepNext w:val="0"/>
              <w:keepLines w:val="0"/>
              <w:widowControl/>
              <w:suppressLineNumbers w:val="0"/>
              <w:spacing w:before="0" w:beforeAutospacing="0" w:after="0" w:afterAutospacing="0" w:line="240" w:lineRule="exact"/>
              <w:ind w:left="0" w:right="0"/>
              <w:jc w:val="center"/>
              <w:rPr>
                <w:rFonts w:hint="default" w:eastAsia="方正黑体简体"/>
                <w:bCs/>
                <w:kern w:val="0"/>
                <w:szCs w:val="21"/>
              </w:rPr>
            </w:pPr>
            <w:r>
              <w:rPr>
                <w:rFonts w:hint="eastAsia" w:eastAsia="方正黑体简体"/>
                <w:bCs/>
                <w:kern w:val="0"/>
                <w:szCs w:val="21"/>
              </w:rPr>
              <w:t>指标</w:t>
            </w:r>
          </w:p>
        </w:tc>
        <w:tc>
          <w:tcPr>
            <w:tcW w:w="476" w:type="pct"/>
            <w:tcBorders>
              <w:top w:val="single" w:color="auto" w:sz="12"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eastAsia="方正黑体简体"/>
                <w:bCs/>
                <w:kern w:val="0"/>
                <w:szCs w:val="21"/>
              </w:rPr>
            </w:pPr>
            <w:r>
              <w:rPr>
                <w:rFonts w:hint="eastAsia" w:eastAsia="方正黑体简体"/>
                <w:bCs/>
                <w:kern w:val="0"/>
                <w:szCs w:val="21"/>
              </w:rPr>
              <w:t>三级</w:t>
            </w:r>
          </w:p>
          <w:p>
            <w:pPr>
              <w:keepNext w:val="0"/>
              <w:keepLines w:val="0"/>
              <w:widowControl/>
              <w:suppressLineNumbers w:val="0"/>
              <w:spacing w:before="0" w:beforeAutospacing="0" w:after="0" w:afterAutospacing="0" w:line="240" w:lineRule="exact"/>
              <w:ind w:left="0" w:right="0"/>
              <w:jc w:val="center"/>
              <w:rPr>
                <w:rFonts w:hint="default" w:eastAsia="方正黑体简体"/>
                <w:bCs/>
                <w:kern w:val="0"/>
                <w:szCs w:val="21"/>
              </w:rPr>
            </w:pPr>
            <w:r>
              <w:rPr>
                <w:rFonts w:hint="eastAsia" w:eastAsia="方正黑体简体"/>
                <w:bCs/>
                <w:kern w:val="0"/>
                <w:szCs w:val="21"/>
              </w:rPr>
              <w:t>指标</w:t>
            </w:r>
          </w:p>
        </w:tc>
        <w:tc>
          <w:tcPr>
            <w:tcW w:w="917" w:type="pct"/>
            <w:tcBorders>
              <w:top w:val="single" w:color="auto" w:sz="12"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eastAsia="方正黑体简体"/>
                <w:bCs/>
                <w:kern w:val="0"/>
                <w:szCs w:val="21"/>
              </w:rPr>
            </w:pPr>
            <w:r>
              <w:rPr>
                <w:rFonts w:hint="eastAsia" w:eastAsia="方正黑体简体"/>
                <w:bCs/>
                <w:kern w:val="0"/>
                <w:szCs w:val="21"/>
              </w:rPr>
              <w:t>指标解释</w:t>
            </w:r>
          </w:p>
        </w:tc>
        <w:tc>
          <w:tcPr>
            <w:tcW w:w="2057" w:type="pct"/>
            <w:tcBorders>
              <w:top w:val="single" w:color="auto" w:sz="12"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eastAsia="方正黑体简体"/>
                <w:bCs/>
                <w:kern w:val="0"/>
                <w:szCs w:val="21"/>
              </w:rPr>
            </w:pPr>
            <w:r>
              <w:rPr>
                <w:rFonts w:hint="eastAsia" w:eastAsia="方正黑体简体"/>
                <w:bCs/>
                <w:kern w:val="0"/>
                <w:szCs w:val="21"/>
              </w:rPr>
              <w:t>指标说明（评价计分标准）</w:t>
            </w:r>
          </w:p>
        </w:tc>
        <w:tc>
          <w:tcPr>
            <w:tcW w:w="436" w:type="pct"/>
            <w:tcBorders>
              <w:top w:val="single" w:color="auto" w:sz="12"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eastAsia="方正黑体简体"/>
                <w:bCs/>
                <w:kern w:val="0"/>
                <w:szCs w:val="21"/>
              </w:rPr>
            </w:pPr>
            <w:r>
              <w:rPr>
                <w:rFonts w:hint="eastAsia" w:eastAsia="方正黑体简体"/>
                <w:bCs/>
                <w:kern w:val="0"/>
                <w:szCs w:val="21"/>
              </w:rPr>
              <w:t>自评</w:t>
            </w:r>
          </w:p>
          <w:p>
            <w:pPr>
              <w:keepNext w:val="0"/>
              <w:keepLines w:val="0"/>
              <w:widowControl/>
              <w:suppressLineNumbers w:val="0"/>
              <w:spacing w:before="0" w:beforeAutospacing="0" w:after="0" w:afterAutospacing="0" w:line="240" w:lineRule="exact"/>
              <w:ind w:left="0" w:right="0"/>
              <w:jc w:val="center"/>
              <w:rPr>
                <w:rFonts w:hint="default" w:eastAsia="方正黑体简体"/>
                <w:bCs/>
                <w:kern w:val="0"/>
                <w:szCs w:val="21"/>
              </w:rPr>
            </w:pPr>
            <w:r>
              <w:rPr>
                <w:rFonts w:hint="eastAsia" w:eastAsia="方正黑体简体"/>
                <w:bCs/>
                <w:kern w:val="0"/>
                <w:szCs w:val="21"/>
              </w:rPr>
              <w:t>分数</w:t>
            </w:r>
          </w:p>
        </w:tc>
        <w:tc>
          <w:tcPr>
            <w:tcW w:w="489" w:type="pct"/>
            <w:tcBorders>
              <w:top w:val="single" w:color="auto" w:sz="12"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eastAsia="方正黑体简体"/>
                <w:bCs/>
                <w:kern w:val="0"/>
                <w:szCs w:val="21"/>
              </w:rPr>
            </w:pPr>
            <w:r>
              <w:rPr>
                <w:rFonts w:hint="eastAsia" w:eastAsia="方正黑体简体"/>
                <w:bCs/>
                <w:kern w:val="0"/>
                <w:szCs w:val="21"/>
              </w:rPr>
              <w:t>自评依据及说明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313" w:type="pct"/>
            <w:vMerge w:val="restart"/>
            <w:shd w:val="clear" w:color="auto" w:fill="FFFFFF"/>
            <w:noWrap/>
            <w:textDirection w:val="tbRlV"/>
            <w:vAlign w:val="center"/>
          </w:tcPr>
          <w:p>
            <w:pPr>
              <w:keepNext w:val="0"/>
              <w:keepLines w:val="0"/>
              <w:widowControl/>
              <w:suppressLineNumbers w:val="0"/>
              <w:spacing w:before="0" w:beforeAutospacing="0" w:after="0" w:afterAutospacing="0" w:line="240" w:lineRule="exact"/>
              <w:ind w:left="0" w:right="0"/>
              <w:jc w:val="center"/>
              <w:rPr>
                <w:rFonts w:hint="default"/>
                <w:kern w:val="0"/>
                <w:szCs w:val="21"/>
              </w:rPr>
            </w:pPr>
            <w:r>
              <w:rPr>
                <w:rFonts w:hint="eastAsia"/>
                <w:kern w:val="0"/>
                <w:szCs w:val="21"/>
              </w:rPr>
              <w:t>投</w:t>
            </w:r>
            <w:r>
              <w:rPr>
                <w:rFonts w:hint="default"/>
                <w:kern w:val="0"/>
                <w:szCs w:val="21"/>
              </w:rPr>
              <w:t xml:space="preserve">   </w:t>
            </w:r>
            <w:r>
              <w:rPr>
                <w:rFonts w:hint="eastAsia"/>
                <w:kern w:val="0"/>
                <w:szCs w:val="21"/>
              </w:rPr>
              <w:t>入（</w:t>
            </w:r>
            <w:r>
              <w:rPr>
                <w:rFonts w:hint="default"/>
                <w:kern w:val="0"/>
                <w:szCs w:val="21"/>
              </w:rPr>
              <w:t>25</w:t>
            </w:r>
            <w:r>
              <w:rPr>
                <w:rFonts w:hint="eastAsia"/>
                <w:kern w:val="0"/>
                <w:szCs w:val="21"/>
              </w:rPr>
              <w:t>分）</w:t>
            </w:r>
          </w:p>
        </w:tc>
        <w:tc>
          <w:tcPr>
            <w:tcW w:w="308" w:type="pct"/>
            <w:vMerge w:val="restart"/>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kern w:val="0"/>
                <w:szCs w:val="21"/>
              </w:rPr>
            </w:pPr>
            <w:r>
              <w:rPr>
                <w:rFonts w:hint="eastAsia"/>
                <w:kern w:val="0"/>
                <w:szCs w:val="21"/>
              </w:rPr>
              <w:t>项目</w:t>
            </w:r>
          </w:p>
          <w:p>
            <w:pPr>
              <w:keepNext w:val="0"/>
              <w:keepLines w:val="0"/>
              <w:widowControl/>
              <w:suppressLineNumbers w:val="0"/>
              <w:spacing w:before="0" w:beforeAutospacing="0" w:after="0" w:afterAutospacing="0" w:line="240" w:lineRule="exact"/>
              <w:ind w:left="0" w:right="0"/>
              <w:jc w:val="center"/>
              <w:rPr>
                <w:rFonts w:hint="default"/>
                <w:kern w:val="0"/>
                <w:szCs w:val="21"/>
              </w:rPr>
            </w:pPr>
            <w:r>
              <w:rPr>
                <w:rFonts w:hint="eastAsia"/>
                <w:kern w:val="0"/>
                <w:szCs w:val="21"/>
              </w:rPr>
              <w:t>立项（</w:t>
            </w:r>
            <w:r>
              <w:rPr>
                <w:rFonts w:hint="default"/>
                <w:kern w:val="0"/>
                <w:szCs w:val="21"/>
              </w:rPr>
              <w:t>15</w:t>
            </w:r>
            <w:r>
              <w:rPr>
                <w:rFonts w:hint="eastAsia"/>
                <w:kern w:val="0"/>
                <w:szCs w:val="21"/>
              </w:rPr>
              <w:t>分）</w:t>
            </w:r>
          </w:p>
        </w:tc>
        <w:tc>
          <w:tcPr>
            <w:tcW w:w="476"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项目立项规范性（</w:t>
            </w:r>
            <w:r>
              <w:rPr>
                <w:rFonts w:hint="default"/>
                <w:kern w:val="0"/>
                <w:szCs w:val="21"/>
              </w:rPr>
              <w:t>5</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项目的申请、设立过程是否符合相关要求，用以反映和考核项目立项的规范情况。</w:t>
            </w:r>
          </w:p>
        </w:tc>
        <w:tc>
          <w:tcPr>
            <w:tcW w:w="205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①项目是否按照规定的程序申请设立；（</w:t>
            </w:r>
            <w:r>
              <w:rPr>
                <w:rFonts w:hint="default"/>
                <w:kern w:val="0"/>
                <w:szCs w:val="21"/>
              </w:rPr>
              <w:t>1</w:t>
            </w:r>
            <w:r>
              <w:rPr>
                <w:rFonts w:hint="eastAsia"/>
                <w:kern w:val="0"/>
                <w:szCs w:val="21"/>
              </w:rPr>
              <w:t>分）</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②所提交的文件、材料是否符合相关要求；（</w:t>
            </w:r>
            <w:r>
              <w:rPr>
                <w:rFonts w:hint="default"/>
                <w:kern w:val="0"/>
                <w:szCs w:val="21"/>
              </w:rPr>
              <w:t>2</w:t>
            </w:r>
            <w:r>
              <w:rPr>
                <w:rFonts w:hint="eastAsia"/>
                <w:kern w:val="0"/>
                <w:szCs w:val="21"/>
              </w:rPr>
              <w:t>分）</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③事前是否已经过必要的可行性研究、专家论证、风险评估、集体决策等。（</w:t>
            </w:r>
            <w:r>
              <w:rPr>
                <w:rFonts w:hint="default"/>
                <w:kern w:val="0"/>
                <w:szCs w:val="21"/>
              </w:rPr>
              <w:t>2</w:t>
            </w:r>
            <w:r>
              <w:rPr>
                <w:rFonts w:hint="eastAsia"/>
                <w:kern w:val="0"/>
                <w:szCs w:val="21"/>
              </w:rPr>
              <w:t>分）</w:t>
            </w:r>
          </w:p>
        </w:tc>
        <w:tc>
          <w:tcPr>
            <w:tcW w:w="436" w:type="pct"/>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89" w:type="pct"/>
            <w:noWrap/>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lang w:val="en-US" w:eastAsia="zh-CN"/>
              </w:rPr>
            </w:pPr>
            <w:r>
              <w:rPr>
                <w:rFonts w:hint="eastAsia"/>
                <w:kern w:val="0"/>
                <w:szCs w:val="21"/>
                <w:lang w:val="en-US" w:eastAsia="zh-CN"/>
              </w:rPr>
              <w:t>按照县委要求执行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13"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308"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476"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绩效目标合理性（</w:t>
            </w:r>
            <w:r>
              <w:rPr>
                <w:rFonts w:hint="default"/>
                <w:kern w:val="0"/>
                <w:szCs w:val="21"/>
              </w:rPr>
              <w:t>4</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项目所设定的绩效目标是否依据充分，是否符合客观实际，用以反映和考核项目绩效目标与项目实施的相符情况。</w:t>
            </w:r>
          </w:p>
        </w:tc>
        <w:tc>
          <w:tcPr>
            <w:tcW w:w="205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①是否符合国家相关法律法规、国民经济发展规划和党委政府决策；（</w:t>
            </w:r>
            <w:r>
              <w:rPr>
                <w:rFonts w:hint="default"/>
                <w:kern w:val="0"/>
                <w:szCs w:val="21"/>
              </w:rPr>
              <w:t>1</w:t>
            </w:r>
            <w:r>
              <w:rPr>
                <w:rFonts w:hint="eastAsia"/>
                <w:kern w:val="0"/>
                <w:szCs w:val="21"/>
              </w:rPr>
              <w:t>分）</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②是否与项目实施单位或委托单位职责密切相关；（</w:t>
            </w:r>
            <w:r>
              <w:rPr>
                <w:rFonts w:hint="default"/>
                <w:kern w:val="0"/>
                <w:szCs w:val="21"/>
              </w:rPr>
              <w:t>1</w:t>
            </w:r>
            <w:r>
              <w:rPr>
                <w:rFonts w:hint="eastAsia"/>
                <w:kern w:val="0"/>
                <w:szCs w:val="21"/>
              </w:rPr>
              <w:t>分）</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③项目是否为促进事业发展所必需；（</w:t>
            </w:r>
            <w:r>
              <w:rPr>
                <w:rFonts w:hint="default"/>
                <w:kern w:val="0"/>
                <w:szCs w:val="21"/>
              </w:rPr>
              <w:t>1</w:t>
            </w:r>
            <w:r>
              <w:rPr>
                <w:rFonts w:hint="eastAsia"/>
                <w:kern w:val="0"/>
                <w:szCs w:val="21"/>
              </w:rPr>
              <w:t>分）</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④项目预期产出效益和效果是否符合正常的业绩水平。（</w:t>
            </w:r>
            <w:r>
              <w:rPr>
                <w:rFonts w:hint="default"/>
                <w:kern w:val="0"/>
                <w:szCs w:val="21"/>
              </w:rPr>
              <w:t>1</w:t>
            </w:r>
            <w:r>
              <w:rPr>
                <w:rFonts w:hint="eastAsia"/>
                <w:kern w:val="0"/>
                <w:szCs w:val="21"/>
              </w:rPr>
              <w:t>分）</w:t>
            </w:r>
          </w:p>
        </w:tc>
        <w:tc>
          <w:tcPr>
            <w:tcW w:w="436" w:type="pct"/>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4</w:t>
            </w:r>
          </w:p>
        </w:tc>
        <w:tc>
          <w:tcPr>
            <w:tcW w:w="489" w:type="pct"/>
            <w:noWrap/>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313"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308"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476"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绩效指标明确性（</w:t>
            </w:r>
            <w:r>
              <w:rPr>
                <w:rFonts w:hint="default"/>
                <w:kern w:val="0"/>
                <w:szCs w:val="21"/>
              </w:rPr>
              <w:t>6</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依据绩效目标设定的绩效指标是否清晰、细化、可衡量等，用以反映和考核项目绩效目标的明细化情况。</w:t>
            </w:r>
          </w:p>
        </w:tc>
        <w:tc>
          <w:tcPr>
            <w:tcW w:w="205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①是否将项目绩效目标细化分解为具体的绩效指标；（</w:t>
            </w:r>
            <w:r>
              <w:rPr>
                <w:rFonts w:hint="default"/>
                <w:kern w:val="0"/>
                <w:szCs w:val="21"/>
              </w:rPr>
              <w:t>2</w:t>
            </w:r>
            <w:r>
              <w:rPr>
                <w:rFonts w:hint="eastAsia"/>
                <w:kern w:val="0"/>
                <w:szCs w:val="21"/>
              </w:rPr>
              <w:t>分）</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②是否通过清晰、可衡量的指标值予以体现；（</w:t>
            </w:r>
            <w:r>
              <w:rPr>
                <w:rFonts w:hint="default"/>
                <w:kern w:val="0"/>
                <w:szCs w:val="21"/>
              </w:rPr>
              <w:t>1</w:t>
            </w:r>
            <w:r>
              <w:rPr>
                <w:rFonts w:hint="eastAsia"/>
                <w:kern w:val="0"/>
                <w:szCs w:val="21"/>
              </w:rPr>
              <w:t>分）</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③是否与项目年度任务数或计划数相对应；（</w:t>
            </w:r>
            <w:r>
              <w:rPr>
                <w:rFonts w:hint="default"/>
                <w:kern w:val="0"/>
                <w:szCs w:val="21"/>
              </w:rPr>
              <w:t>1</w:t>
            </w:r>
            <w:r>
              <w:rPr>
                <w:rFonts w:hint="eastAsia"/>
                <w:kern w:val="0"/>
                <w:szCs w:val="21"/>
              </w:rPr>
              <w:t>分）</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④是否与预算确定的项目投资额或资金量相匹配。（</w:t>
            </w:r>
            <w:r>
              <w:rPr>
                <w:rFonts w:hint="default"/>
                <w:kern w:val="0"/>
                <w:szCs w:val="21"/>
              </w:rPr>
              <w:t>2</w:t>
            </w:r>
            <w:r>
              <w:rPr>
                <w:rFonts w:hint="eastAsia"/>
                <w:kern w:val="0"/>
                <w:szCs w:val="21"/>
              </w:rPr>
              <w:t>分）</w:t>
            </w:r>
          </w:p>
        </w:tc>
        <w:tc>
          <w:tcPr>
            <w:tcW w:w="436" w:type="pct"/>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6</w:t>
            </w:r>
          </w:p>
        </w:tc>
        <w:tc>
          <w:tcPr>
            <w:tcW w:w="489" w:type="pct"/>
            <w:noWrap/>
            <w:vAlign w:val="center"/>
          </w:tcPr>
          <w:p>
            <w:pPr>
              <w:keepNext w:val="0"/>
              <w:keepLines w:val="0"/>
              <w:widowControl/>
              <w:suppressLineNumbers w:val="0"/>
              <w:spacing w:before="0" w:beforeAutospacing="0" w:after="0" w:afterAutospacing="0" w:line="240" w:lineRule="exact"/>
              <w:ind w:left="0" w:right="0"/>
              <w:jc w:val="both"/>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313"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308" w:type="pct"/>
            <w:vMerge w:val="restart"/>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kern w:val="0"/>
                <w:szCs w:val="21"/>
              </w:rPr>
            </w:pPr>
            <w:r>
              <w:rPr>
                <w:rFonts w:hint="eastAsia"/>
                <w:kern w:val="0"/>
                <w:szCs w:val="21"/>
              </w:rPr>
              <w:t>资金</w:t>
            </w:r>
          </w:p>
          <w:p>
            <w:pPr>
              <w:keepNext w:val="0"/>
              <w:keepLines w:val="0"/>
              <w:widowControl/>
              <w:suppressLineNumbers w:val="0"/>
              <w:spacing w:before="0" w:beforeAutospacing="0" w:after="0" w:afterAutospacing="0" w:line="240" w:lineRule="exact"/>
              <w:ind w:left="0" w:right="0"/>
              <w:jc w:val="center"/>
              <w:rPr>
                <w:rFonts w:hint="default"/>
                <w:kern w:val="0"/>
                <w:szCs w:val="21"/>
              </w:rPr>
            </w:pPr>
            <w:r>
              <w:rPr>
                <w:rFonts w:hint="eastAsia"/>
                <w:kern w:val="0"/>
                <w:szCs w:val="21"/>
              </w:rPr>
              <w:t>落实（</w:t>
            </w:r>
            <w:r>
              <w:rPr>
                <w:rFonts w:hint="default"/>
                <w:kern w:val="0"/>
                <w:szCs w:val="21"/>
              </w:rPr>
              <w:t>10</w:t>
            </w:r>
            <w:r>
              <w:rPr>
                <w:rFonts w:hint="eastAsia"/>
                <w:kern w:val="0"/>
                <w:szCs w:val="21"/>
              </w:rPr>
              <w:t>分）</w:t>
            </w:r>
          </w:p>
        </w:tc>
        <w:tc>
          <w:tcPr>
            <w:tcW w:w="476"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资金到位率（</w:t>
            </w:r>
            <w:r>
              <w:rPr>
                <w:rFonts w:hint="default"/>
                <w:kern w:val="0"/>
                <w:szCs w:val="21"/>
              </w:rPr>
              <w:t>5</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实际到位资金与计划投入资金的比率，用以反映和考核资金落实情况对项目实施的总体保障程度。</w:t>
            </w:r>
          </w:p>
        </w:tc>
        <w:tc>
          <w:tcPr>
            <w:tcW w:w="205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资金到位率</w:t>
            </w:r>
            <w:r>
              <w:rPr>
                <w:rFonts w:hint="default"/>
                <w:kern w:val="0"/>
                <w:szCs w:val="21"/>
              </w:rPr>
              <w:t>=</w:t>
            </w:r>
            <w:r>
              <w:rPr>
                <w:rFonts w:hint="eastAsia"/>
                <w:kern w:val="0"/>
                <w:szCs w:val="21"/>
              </w:rPr>
              <w:t>（实际到位资金</w:t>
            </w:r>
            <w:r>
              <w:rPr>
                <w:rFonts w:hint="default"/>
                <w:kern w:val="0"/>
                <w:szCs w:val="21"/>
              </w:rPr>
              <w:t>/</w:t>
            </w:r>
            <w:r>
              <w:rPr>
                <w:rFonts w:hint="eastAsia"/>
                <w:kern w:val="0"/>
                <w:szCs w:val="21"/>
              </w:rPr>
              <w:t>计划投入资金）×</w:t>
            </w:r>
            <w:r>
              <w:rPr>
                <w:rFonts w:hint="default"/>
                <w:kern w:val="0"/>
                <w:szCs w:val="21"/>
              </w:rPr>
              <w:t>100%</w:t>
            </w:r>
            <w:r>
              <w:rPr>
                <w:rFonts w:hint="eastAsia"/>
                <w:kern w:val="0"/>
                <w:szCs w:val="21"/>
              </w:rPr>
              <w:t>。（达到目标值得</w:t>
            </w:r>
            <w:r>
              <w:rPr>
                <w:rFonts w:hint="default"/>
                <w:kern w:val="0"/>
                <w:szCs w:val="21"/>
              </w:rPr>
              <w:t>5</w:t>
            </w:r>
            <w:r>
              <w:rPr>
                <w:rFonts w:hint="eastAsia"/>
                <w:kern w:val="0"/>
                <w:szCs w:val="21"/>
              </w:rPr>
              <w:t>分，每少一个百分点扣</w:t>
            </w:r>
            <w:r>
              <w:rPr>
                <w:rFonts w:hint="default"/>
                <w:kern w:val="0"/>
                <w:szCs w:val="21"/>
              </w:rPr>
              <w:t>1</w:t>
            </w:r>
            <w:r>
              <w:rPr>
                <w:rFonts w:hint="eastAsia"/>
                <w:kern w:val="0"/>
                <w:szCs w:val="21"/>
              </w:rPr>
              <w:t>分，扣完为止）</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实际到位资金：一定时期（本年度或项目期）内实际落实到具体项目的资金。</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计划投入资金：一定时期（本年度或项目期）内计划投入到具体项目的资金。</w:t>
            </w:r>
          </w:p>
        </w:tc>
        <w:tc>
          <w:tcPr>
            <w:tcW w:w="436" w:type="pct"/>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89" w:type="pct"/>
            <w:noWrap/>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0" w:hRule="atLeast"/>
          <w:jc w:val="center"/>
        </w:trPr>
        <w:tc>
          <w:tcPr>
            <w:tcW w:w="313"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308"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476"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到位及时率（</w:t>
            </w:r>
            <w:r>
              <w:rPr>
                <w:rFonts w:hint="default"/>
                <w:kern w:val="0"/>
                <w:szCs w:val="21"/>
              </w:rPr>
              <w:t>5</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及时到位资金与应到位资金的比率，用以反映和考核项目资金落实的及时性程度。</w:t>
            </w:r>
          </w:p>
        </w:tc>
        <w:tc>
          <w:tcPr>
            <w:tcW w:w="205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到位及时率</w:t>
            </w:r>
            <w:r>
              <w:rPr>
                <w:rFonts w:hint="default"/>
                <w:kern w:val="0"/>
                <w:szCs w:val="21"/>
              </w:rPr>
              <w:t>=</w:t>
            </w:r>
            <w:r>
              <w:rPr>
                <w:rFonts w:hint="eastAsia"/>
                <w:kern w:val="0"/>
                <w:szCs w:val="21"/>
              </w:rPr>
              <w:t>（及时到位资金</w:t>
            </w:r>
            <w:r>
              <w:rPr>
                <w:rFonts w:hint="default"/>
                <w:kern w:val="0"/>
                <w:szCs w:val="21"/>
              </w:rPr>
              <w:t>/</w:t>
            </w:r>
            <w:r>
              <w:rPr>
                <w:rFonts w:hint="eastAsia"/>
                <w:kern w:val="0"/>
                <w:szCs w:val="21"/>
              </w:rPr>
              <w:t>应到位资金）×</w:t>
            </w:r>
            <w:r>
              <w:rPr>
                <w:rFonts w:hint="default"/>
                <w:kern w:val="0"/>
                <w:szCs w:val="21"/>
              </w:rPr>
              <w:t>100%</w:t>
            </w:r>
            <w:r>
              <w:rPr>
                <w:rFonts w:hint="eastAsia"/>
                <w:kern w:val="0"/>
                <w:szCs w:val="21"/>
              </w:rPr>
              <w:t>。（达到目标值得</w:t>
            </w:r>
            <w:r>
              <w:rPr>
                <w:rFonts w:hint="default"/>
                <w:kern w:val="0"/>
                <w:szCs w:val="21"/>
              </w:rPr>
              <w:t>5</w:t>
            </w:r>
            <w:r>
              <w:rPr>
                <w:rFonts w:hint="eastAsia"/>
                <w:kern w:val="0"/>
                <w:szCs w:val="21"/>
              </w:rPr>
              <w:t>分，每少一个百分点扣</w:t>
            </w:r>
            <w:r>
              <w:rPr>
                <w:rFonts w:hint="default"/>
                <w:kern w:val="0"/>
                <w:szCs w:val="21"/>
              </w:rPr>
              <w:t>1</w:t>
            </w:r>
            <w:r>
              <w:rPr>
                <w:rFonts w:hint="eastAsia"/>
                <w:kern w:val="0"/>
                <w:szCs w:val="21"/>
              </w:rPr>
              <w:t>分，扣完为止）</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及时到位资金：截至规定时点实际落实到具体项目的资金。</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应到位资金：按照合同或项目进度要求截至规定时点应落实到具体项目的资金。</w:t>
            </w:r>
          </w:p>
        </w:tc>
        <w:tc>
          <w:tcPr>
            <w:tcW w:w="436" w:type="pct"/>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89" w:type="pct"/>
            <w:noWrap/>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73" w:hRule="atLeast"/>
          <w:jc w:val="center"/>
        </w:trPr>
        <w:tc>
          <w:tcPr>
            <w:tcW w:w="313" w:type="pct"/>
            <w:vMerge w:val="restart"/>
            <w:shd w:val="clear" w:color="auto" w:fill="FFFFFF"/>
            <w:noWrap/>
            <w:textDirection w:val="tbRlV"/>
            <w:vAlign w:val="center"/>
          </w:tcPr>
          <w:p>
            <w:pPr>
              <w:keepNext w:val="0"/>
              <w:keepLines w:val="0"/>
              <w:widowControl/>
              <w:suppressLineNumbers w:val="0"/>
              <w:spacing w:before="0" w:beforeAutospacing="0" w:after="0" w:afterAutospacing="0" w:line="260" w:lineRule="exact"/>
              <w:ind w:left="0" w:right="0"/>
              <w:jc w:val="center"/>
              <w:rPr>
                <w:rFonts w:hint="default"/>
                <w:kern w:val="0"/>
                <w:szCs w:val="21"/>
              </w:rPr>
            </w:pPr>
            <w:r>
              <w:rPr>
                <w:rFonts w:hint="eastAsia"/>
                <w:kern w:val="0"/>
                <w:szCs w:val="21"/>
              </w:rPr>
              <w:t>过</w:t>
            </w:r>
            <w:r>
              <w:rPr>
                <w:rFonts w:hint="default"/>
                <w:kern w:val="0"/>
                <w:szCs w:val="21"/>
              </w:rPr>
              <w:t xml:space="preserve">   </w:t>
            </w:r>
            <w:r>
              <w:rPr>
                <w:rFonts w:hint="eastAsia"/>
                <w:kern w:val="0"/>
                <w:szCs w:val="21"/>
              </w:rPr>
              <w:t>程（</w:t>
            </w:r>
            <w:r>
              <w:rPr>
                <w:rFonts w:hint="default"/>
                <w:kern w:val="0"/>
                <w:szCs w:val="21"/>
              </w:rPr>
              <w:t>25</w:t>
            </w:r>
            <w:r>
              <w:rPr>
                <w:rFonts w:hint="eastAsia"/>
                <w:kern w:val="0"/>
                <w:szCs w:val="21"/>
              </w:rPr>
              <w:t>分）</w:t>
            </w:r>
          </w:p>
        </w:tc>
        <w:tc>
          <w:tcPr>
            <w:tcW w:w="308" w:type="pct"/>
            <w:vMerge w:val="restart"/>
            <w:shd w:val="clear" w:color="auto" w:fill="FFFFFF"/>
            <w:noWrap w:val="0"/>
            <w:vAlign w:val="center"/>
          </w:tcPr>
          <w:p>
            <w:pPr>
              <w:keepNext w:val="0"/>
              <w:keepLines w:val="0"/>
              <w:widowControl/>
              <w:suppressLineNumbers w:val="0"/>
              <w:spacing w:before="0" w:beforeAutospacing="0" w:after="0" w:afterAutospacing="0" w:line="260" w:lineRule="exact"/>
              <w:ind w:left="0" w:right="0"/>
              <w:jc w:val="center"/>
              <w:rPr>
                <w:rFonts w:hint="default"/>
                <w:kern w:val="0"/>
                <w:szCs w:val="21"/>
              </w:rPr>
            </w:pPr>
            <w:r>
              <w:rPr>
                <w:rFonts w:hint="eastAsia"/>
                <w:kern w:val="0"/>
                <w:szCs w:val="21"/>
              </w:rPr>
              <w:t>业务</w:t>
            </w:r>
          </w:p>
          <w:p>
            <w:pPr>
              <w:keepNext w:val="0"/>
              <w:keepLines w:val="0"/>
              <w:widowControl/>
              <w:suppressLineNumbers w:val="0"/>
              <w:spacing w:before="0" w:beforeAutospacing="0" w:after="0" w:afterAutospacing="0" w:line="260" w:lineRule="exact"/>
              <w:ind w:left="0" w:right="0"/>
              <w:jc w:val="center"/>
              <w:rPr>
                <w:rFonts w:hint="default"/>
                <w:kern w:val="0"/>
                <w:szCs w:val="21"/>
              </w:rPr>
            </w:pPr>
            <w:r>
              <w:rPr>
                <w:rFonts w:hint="eastAsia"/>
                <w:kern w:val="0"/>
                <w:szCs w:val="21"/>
              </w:rPr>
              <w:t>管理（</w:t>
            </w:r>
            <w:r>
              <w:rPr>
                <w:rFonts w:hint="default"/>
                <w:kern w:val="0"/>
                <w:szCs w:val="21"/>
              </w:rPr>
              <w:t>13</w:t>
            </w:r>
            <w:r>
              <w:rPr>
                <w:rFonts w:hint="eastAsia"/>
                <w:kern w:val="0"/>
                <w:szCs w:val="21"/>
              </w:rPr>
              <w:t>分）</w:t>
            </w:r>
          </w:p>
        </w:tc>
        <w:tc>
          <w:tcPr>
            <w:tcW w:w="476"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管理制度健全性（</w:t>
            </w:r>
            <w:r>
              <w:rPr>
                <w:rFonts w:hint="default"/>
                <w:kern w:val="0"/>
                <w:szCs w:val="21"/>
              </w:rPr>
              <w:t>4</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项目实施单位的业务管理制度是否健全，用以反映和考核业务管理制度对项目顺利实施的保障情况。</w:t>
            </w:r>
          </w:p>
        </w:tc>
        <w:tc>
          <w:tcPr>
            <w:tcW w:w="2057"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①是否已制定或具有相应的业务管理制度；（</w:t>
            </w:r>
            <w:r>
              <w:rPr>
                <w:rFonts w:hint="default"/>
                <w:kern w:val="0"/>
                <w:szCs w:val="21"/>
              </w:rPr>
              <w:t>2</w:t>
            </w:r>
            <w:r>
              <w:rPr>
                <w:rFonts w:hint="eastAsia"/>
                <w:kern w:val="0"/>
                <w:szCs w:val="21"/>
              </w:rPr>
              <w:t>分）</w:t>
            </w:r>
          </w:p>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②业务管理制度是否合法、合规、完整。（</w:t>
            </w:r>
            <w:r>
              <w:rPr>
                <w:rFonts w:hint="default"/>
                <w:kern w:val="0"/>
                <w:szCs w:val="21"/>
              </w:rPr>
              <w:t>2</w:t>
            </w:r>
            <w:r>
              <w:rPr>
                <w:rFonts w:hint="eastAsia"/>
                <w:kern w:val="0"/>
                <w:szCs w:val="21"/>
              </w:rPr>
              <w:t>分）</w:t>
            </w:r>
          </w:p>
        </w:tc>
        <w:tc>
          <w:tcPr>
            <w:tcW w:w="436" w:type="pct"/>
            <w:noWrap/>
            <w:vAlign w:val="center"/>
          </w:tcPr>
          <w:p>
            <w:pPr>
              <w:keepNext w:val="0"/>
              <w:keepLines w:val="0"/>
              <w:widowControl/>
              <w:suppressLineNumbers w:val="0"/>
              <w:spacing w:before="0" w:beforeAutospacing="0" w:after="0" w:afterAutospacing="0" w:line="26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4</w:t>
            </w:r>
          </w:p>
        </w:tc>
        <w:tc>
          <w:tcPr>
            <w:tcW w:w="489" w:type="pct"/>
            <w:noWrap/>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97" w:hRule="atLeast"/>
          <w:jc w:val="center"/>
        </w:trPr>
        <w:tc>
          <w:tcPr>
            <w:tcW w:w="313" w:type="pct"/>
            <w:vMerge w:val="continue"/>
            <w:shd w:val="clear" w:color="auto" w:fill="auto"/>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p>
        </w:tc>
        <w:tc>
          <w:tcPr>
            <w:tcW w:w="308" w:type="pct"/>
            <w:vMerge w:val="continue"/>
            <w:shd w:val="clear" w:color="auto" w:fill="auto"/>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p>
        </w:tc>
        <w:tc>
          <w:tcPr>
            <w:tcW w:w="476"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制度执行有效性（</w:t>
            </w:r>
            <w:r>
              <w:rPr>
                <w:rFonts w:hint="default"/>
                <w:kern w:val="0"/>
                <w:szCs w:val="21"/>
              </w:rPr>
              <w:t>6</w:t>
            </w:r>
            <w:r>
              <w:rPr>
                <w:rFonts w:hint="eastAsia"/>
                <w:kern w:val="0"/>
                <w:szCs w:val="21"/>
              </w:rPr>
              <w:t>分</w:t>
            </w:r>
            <w:r>
              <w:rPr>
                <w:rFonts w:hint="default"/>
                <w:kern w:val="0"/>
                <w:szCs w:val="21"/>
              </w:rPr>
              <w:t>)</w:t>
            </w:r>
          </w:p>
        </w:tc>
        <w:tc>
          <w:tcPr>
            <w:tcW w:w="917"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项目实施是否符合相关业务管理规定，用以反映和考核业务管理制度的有效执行情况。</w:t>
            </w:r>
          </w:p>
        </w:tc>
        <w:tc>
          <w:tcPr>
            <w:tcW w:w="2057"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①是否遵守相关法律法规和业务管理规定；</w:t>
            </w:r>
            <w:r>
              <w:rPr>
                <w:rFonts w:hint="default"/>
                <w:kern w:val="0"/>
                <w:szCs w:val="21"/>
              </w:rPr>
              <w:t>(1</w:t>
            </w:r>
            <w:r>
              <w:rPr>
                <w:rFonts w:hint="eastAsia"/>
                <w:kern w:val="0"/>
                <w:szCs w:val="21"/>
              </w:rPr>
              <w:t>分）</w:t>
            </w:r>
          </w:p>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②项目调整及支出调整手续是否完备；（</w:t>
            </w:r>
            <w:r>
              <w:rPr>
                <w:rFonts w:hint="default"/>
                <w:kern w:val="0"/>
                <w:szCs w:val="21"/>
              </w:rPr>
              <w:t>1</w:t>
            </w:r>
            <w:r>
              <w:rPr>
                <w:rFonts w:hint="eastAsia"/>
                <w:kern w:val="0"/>
                <w:szCs w:val="21"/>
              </w:rPr>
              <w:t>分）</w:t>
            </w:r>
          </w:p>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③项目合同书、验收报告、技术鉴定等资料是否齐全并及时归档；（</w:t>
            </w:r>
            <w:r>
              <w:rPr>
                <w:rFonts w:hint="default"/>
                <w:kern w:val="0"/>
                <w:szCs w:val="21"/>
              </w:rPr>
              <w:t>2</w:t>
            </w:r>
            <w:r>
              <w:rPr>
                <w:rFonts w:hint="eastAsia"/>
                <w:kern w:val="0"/>
                <w:szCs w:val="21"/>
              </w:rPr>
              <w:t>分）</w:t>
            </w:r>
          </w:p>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④项目实施的人员条件、场地设备、信息支撑等是否落实到位。（</w:t>
            </w:r>
            <w:r>
              <w:rPr>
                <w:rFonts w:hint="default"/>
                <w:kern w:val="0"/>
                <w:szCs w:val="21"/>
              </w:rPr>
              <w:t>2</w:t>
            </w:r>
            <w:r>
              <w:rPr>
                <w:rFonts w:hint="eastAsia"/>
                <w:kern w:val="0"/>
                <w:szCs w:val="21"/>
              </w:rPr>
              <w:t>分）</w:t>
            </w:r>
          </w:p>
        </w:tc>
        <w:tc>
          <w:tcPr>
            <w:tcW w:w="436" w:type="pct"/>
            <w:noWrap/>
            <w:vAlign w:val="center"/>
          </w:tcPr>
          <w:p>
            <w:pPr>
              <w:keepNext w:val="0"/>
              <w:keepLines w:val="0"/>
              <w:widowControl/>
              <w:suppressLineNumbers w:val="0"/>
              <w:spacing w:before="0" w:beforeAutospacing="0" w:after="0" w:afterAutospacing="0" w:line="26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6</w:t>
            </w:r>
          </w:p>
        </w:tc>
        <w:tc>
          <w:tcPr>
            <w:tcW w:w="489" w:type="pct"/>
            <w:noWrap/>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6" w:hRule="atLeast"/>
          <w:jc w:val="center"/>
        </w:trPr>
        <w:tc>
          <w:tcPr>
            <w:tcW w:w="313" w:type="pct"/>
            <w:vMerge w:val="continue"/>
            <w:shd w:val="clear" w:color="auto" w:fill="auto"/>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p>
        </w:tc>
        <w:tc>
          <w:tcPr>
            <w:tcW w:w="308" w:type="pct"/>
            <w:vMerge w:val="continue"/>
            <w:shd w:val="clear" w:color="auto" w:fill="auto"/>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p>
        </w:tc>
        <w:tc>
          <w:tcPr>
            <w:tcW w:w="476"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项目质量可控性（</w:t>
            </w:r>
            <w:r>
              <w:rPr>
                <w:rFonts w:hint="default"/>
                <w:kern w:val="0"/>
                <w:szCs w:val="21"/>
              </w:rPr>
              <w:t>3</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项目实施单位是否为达到项目质量要求而采取了必需的措施</w:t>
            </w:r>
            <w:r>
              <w:rPr>
                <w:rFonts w:hint="default"/>
                <w:kern w:val="0"/>
                <w:szCs w:val="21"/>
              </w:rPr>
              <w:t>,</w:t>
            </w:r>
            <w:r>
              <w:rPr>
                <w:rFonts w:hint="eastAsia"/>
                <w:kern w:val="0"/>
                <w:szCs w:val="21"/>
              </w:rPr>
              <w:t>用以反映和考核项目实施单位对项目质量的控制情况。</w:t>
            </w:r>
          </w:p>
        </w:tc>
        <w:tc>
          <w:tcPr>
            <w:tcW w:w="2057"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①是否已制定或具有相应的项目质量要求或标准；（</w:t>
            </w:r>
            <w:r>
              <w:rPr>
                <w:rFonts w:hint="default"/>
                <w:kern w:val="0"/>
                <w:szCs w:val="21"/>
              </w:rPr>
              <w:t>1</w:t>
            </w:r>
            <w:r>
              <w:rPr>
                <w:rFonts w:hint="eastAsia"/>
                <w:kern w:val="0"/>
                <w:szCs w:val="21"/>
              </w:rPr>
              <w:t>分）</w:t>
            </w:r>
          </w:p>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②是否采取了相应的项目质量检查、验收等必需的控制措施或手段。（</w:t>
            </w:r>
            <w:r>
              <w:rPr>
                <w:rFonts w:hint="default"/>
                <w:kern w:val="0"/>
                <w:szCs w:val="21"/>
              </w:rPr>
              <w:t>2</w:t>
            </w:r>
            <w:r>
              <w:rPr>
                <w:rFonts w:hint="eastAsia"/>
                <w:kern w:val="0"/>
                <w:szCs w:val="21"/>
              </w:rPr>
              <w:t>分）</w:t>
            </w:r>
          </w:p>
        </w:tc>
        <w:tc>
          <w:tcPr>
            <w:tcW w:w="436" w:type="pct"/>
            <w:noWrap/>
            <w:vAlign w:val="center"/>
          </w:tcPr>
          <w:p>
            <w:pPr>
              <w:keepNext w:val="0"/>
              <w:keepLines w:val="0"/>
              <w:widowControl/>
              <w:suppressLineNumbers w:val="0"/>
              <w:spacing w:before="0" w:beforeAutospacing="0" w:after="0" w:afterAutospacing="0" w:line="26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3</w:t>
            </w:r>
          </w:p>
        </w:tc>
        <w:tc>
          <w:tcPr>
            <w:tcW w:w="489" w:type="pct"/>
            <w:noWrap/>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6" w:hRule="atLeast"/>
          <w:jc w:val="center"/>
        </w:trPr>
        <w:tc>
          <w:tcPr>
            <w:tcW w:w="313" w:type="pct"/>
            <w:vMerge w:val="continue"/>
            <w:shd w:val="clear" w:color="auto" w:fill="auto"/>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p>
        </w:tc>
        <w:tc>
          <w:tcPr>
            <w:tcW w:w="308" w:type="pct"/>
            <w:vMerge w:val="restart"/>
            <w:shd w:val="clear" w:color="auto" w:fill="FFFFFF"/>
            <w:noWrap w:val="0"/>
            <w:vAlign w:val="center"/>
          </w:tcPr>
          <w:p>
            <w:pPr>
              <w:keepNext w:val="0"/>
              <w:keepLines w:val="0"/>
              <w:widowControl/>
              <w:suppressLineNumbers w:val="0"/>
              <w:spacing w:before="0" w:beforeAutospacing="0" w:after="0" w:afterAutospacing="0" w:line="260" w:lineRule="exact"/>
              <w:ind w:left="0" w:right="0"/>
              <w:jc w:val="center"/>
              <w:rPr>
                <w:rFonts w:hint="default"/>
                <w:kern w:val="0"/>
                <w:szCs w:val="21"/>
              </w:rPr>
            </w:pPr>
            <w:r>
              <w:rPr>
                <w:rFonts w:hint="eastAsia"/>
                <w:kern w:val="0"/>
                <w:szCs w:val="21"/>
              </w:rPr>
              <w:t>财务</w:t>
            </w:r>
          </w:p>
          <w:p>
            <w:pPr>
              <w:keepNext w:val="0"/>
              <w:keepLines w:val="0"/>
              <w:widowControl/>
              <w:suppressLineNumbers w:val="0"/>
              <w:spacing w:before="0" w:beforeAutospacing="0" w:after="0" w:afterAutospacing="0" w:line="260" w:lineRule="exact"/>
              <w:ind w:left="0" w:right="0"/>
              <w:jc w:val="center"/>
              <w:rPr>
                <w:rFonts w:hint="default"/>
                <w:kern w:val="0"/>
                <w:szCs w:val="21"/>
              </w:rPr>
            </w:pPr>
            <w:r>
              <w:rPr>
                <w:rFonts w:hint="eastAsia"/>
                <w:kern w:val="0"/>
                <w:szCs w:val="21"/>
              </w:rPr>
              <w:t>管理（</w:t>
            </w:r>
            <w:r>
              <w:rPr>
                <w:rFonts w:hint="default"/>
                <w:kern w:val="0"/>
                <w:szCs w:val="21"/>
              </w:rPr>
              <w:t>12</w:t>
            </w:r>
            <w:r>
              <w:rPr>
                <w:rFonts w:hint="eastAsia"/>
                <w:kern w:val="0"/>
                <w:szCs w:val="21"/>
              </w:rPr>
              <w:t>分）</w:t>
            </w:r>
          </w:p>
        </w:tc>
        <w:tc>
          <w:tcPr>
            <w:tcW w:w="476"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管理制度健全性（</w:t>
            </w:r>
            <w:r>
              <w:rPr>
                <w:rFonts w:hint="default"/>
                <w:kern w:val="0"/>
                <w:szCs w:val="21"/>
              </w:rPr>
              <w:t>3</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项目实施单位的财务制度是否健全，用以反映和考核财务管理制度对资金规范、安全运行的保障情况。</w:t>
            </w:r>
          </w:p>
        </w:tc>
        <w:tc>
          <w:tcPr>
            <w:tcW w:w="2057"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①是否已制定或具有相应的项目资金管理办法；（</w:t>
            </w:r>
            <w:r>
              <w:rPr>
                <w:rFonts w:hint="default"/>
                <w:kern w:val="0"/>
                <w:szCs w:val="21"/>
              </w:rPr>
              <w:t>2</w:t>
            </w:r>
            <w:r>
              <w:rPr>
                <w:rFonts w:hint="eastAsia"/>
                <w:kern w:val="0"/>
                <w:szCs w:val="21"/>
              </w:rPr>
              <w:t>分）</w:t>
            </w:r>
          </w:p>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②项目资金管理办法是否符合相关财务会计制度的规定。（</w:t>
            </w:r>
            <w:r>
              <w:rPr>
                <w:rFonts w:hint="default"/>
                <w:kern w:val="0"/>
                <w:szCs w:val="21"/>
              </w:rPr>
              <w:t>1</w:t>
            </w:r>
            <w:r>
              <w:rPr>
                <w:rFonts w:hint="eastAsia"/>
                <w:kern w:val="0"/>
                <w:szCs w:val="21"/>
              </w:rPr>
              <w:t>分）</w:t>
            </w:r>
          </w:p>
        </w:tc>
        <w:tc>
          <w:tcPr>
            <w:tcW w:w="436" w:type="pct"/>
            <w:noWrap/>
            <w:vAlign w:val="center"/>
          </w:tcPr>
          <w:p>
            <w:pPr>
              <w:keepNext w:val="0"/>
              <w:keepLines w:val="0"/>
              <w:widowControl/>
              <w:suppressLineNumbers w:val="0"/>
              <w:spacing w:before="0" w:beforeAutospacing="0" w:after="0" w:afterAutospacing="0" w:line="26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3</w:t>
            </w:r>
          </w:p>
        </w:tc>
        <w:tc>
          <w:tcPr>
            <w:tcW w:w="489" w:type="pct"/>
            <w:noWrap/>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2" w:hRule="atLeast"/>
          <w:jc w:val="center"/>
        </w:trPr>
        <w:tc>
          <w:tcPr>
            <w:tcW w:w="313" w:type="pct"/>
            <w:vMerge w:val="continue"/>
            <w:shd w:val="clear" w:color="auto" w:fill="auto"/>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p>
        </w:tc>
        <w:tc>
          <w:tcPr>
            <w:tcW w:w="308" w:type="pct"/>
            <w:vMerge w:val="continue"/>
            <w:shd w:val="clear" w:color="auto" w:fill="auto"/>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p>
        </w:tc>
        <w:tc>
          <w:tcPr>
            <w:tcW w:w="476"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资金使用合规性（</w:t>
            </w:r>
            <w:r>
              <w:rPr>
                <w:rFonts w:hint="default"/>
                <w:kern w:val="0"/>
                <w:szCs w:val="21"/>
              </w:rPr>
              <w:t>7</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项目资金使用是否符合相关的财务管理制度规定，用以反映和考核项目资金的规范运行情况。</w:t>
            </w:r>
          </w:p>
        </w:tc>
        <w:tc>
          <w:tcPr>
            <w:tcW w:w="2057"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①是否符合国家财经法规和财务管理制度以及有关专项资金管理办法的规定；（</w:t>
            </w:r>
            <w:r>
              <w:rPr>
                <w:rFonts w:hint="default"/>
                <w:kern w:val="0"/>
                <w:szCs w:val="21"/>
              </w:rPr>
              <w:t>1</w:t>
            </w:r>
            <w:r>
              <w:rPr>
                <w:rFonts w:hint="eastAsia"/>
                <w:kern w:val="0"/>
                <w:szCs w:val="21"/>
              </w:rPr>
              <w:t>分）</w:t>
            </w:r>
          </w:p>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②资金的拨付是否有完整的审批程序和手续；（</w:t>
            </w:r>
            <w:r>
              <w:rPr>
                <w:rFonts w:hint="default"/>
                <w:kern w:val="0"/>
                <w:szCs w:val="21"/>
              </w:rPr>
              <w:t>2</w:t>
            </w:r>
            <w:r>
              <w:rPr>
                <w:rFonts w:hint="eastAsia"/>
                <w:kern w:val="0"/>
                <w:szCs w:val="21"/>
              </w:rPr>
              <w:t>分）</w:t>
            </w:r>
          </w:p>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③项目的重大开支是否经过评估认证；（</w:t>
            </w:r>
            <w:r>
              <w:rPr>
                <w:rFonts w:hint="default"/>
                <w:kern w:val="0"/>
                <w:szCs w:val="21"/>
              </w:rPr>
              <w:t>1</w:t>
            </w:r>
            <w:r>
              <w:rPr>
                <w:rFonts w:hint="eastAsia"/>
                <w:kern w:val="0"/>
                <w:szCs w:val="21"/>
              </w:rPr>
              <w:t>分）</w:t>
            </w:r>
          </w:p>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④是否符合项目预算批复或合同规定的用途；（</w:t>
            </w:r>
            <w:r>
              <w:rPr>
                <w:rFonts w:hint="default"/>
                <w:kern w:val="0"/>
                <w:szCs w:val="21"/>
              </w:rPr>
              <w:t>1</w:t>
            </w:r>
            <w:r>
              <w:rPr>
                <w:rFonts w:hint="eastAsia"/>
                <w:kern w:val="0"/>
                <w:szCs w:val="21"/>
              </w:rPr>
              <w:t>分）</w:t>
            </w:r>
          </w:p>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⑤是否存在截留、挤占、挪用、虚列支出等情况。（</w:t>
            </w:r>
            <w:r>
              <w:rPr>
                <w:rFonts w:hint="default"/>
                <w:kern w:val="0"/>
                <w:szCs w:val="21"/>
              </w:rPr>
              <w:t>2</w:t>
            </w:r>
            <w:r>
              <w:rPr>
                <w:rFonts w:hint="eastAsia"/>
                <w:kern w:val="0"/>
                <w:szCs w:val="21"/>
              </w:rPr>
              <w:t>分）</w:t>
            </w:r>
          </w:p>
        </w:tc>
        <w:tc>
          <w:tcPr>
            <w:tcW w:w="436" w:type="pct"/>
            <w:noWrap/>
            <w:vAlign w:val="center"/>
          </w:tcPr>
          <w:p>
            <w:pPr>
              <w:keepNext w:val="0"/>
              <w:keepLines w:val="0"/>
              <w:widowControl/>
              <w:suppressLineNumbers w:val="0"/>
              <w:spacing w:before="0" w:beforeAutospacing="0" w:after="0" w:afterAutospacing="0" w:line="26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7</w:t>
            </w:r>
          </w:p>
        </w:tc>
        <w:tc>
          <w:tcPr>
            <w:tcW w:w="489" w:type="pct"/>
            <w:noWrap/>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13" w:type="pct"/>
            <w:vMerge w:val="continue"/>
            <w:shd w:val="clear" w:color="auto" w:fill="auto"/>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p>
        </w:tc>
        <w:tc>
          <w:tcPr>
            <w:tcW w:w="308" w:type="pct"/>
            <w:vMerge w:val="continue"/>
            <w:shd w:val="clear" w:color="auto" w:fill="auto"/>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p>
        </w:tc>
        <w:tc>
          <w:tcPr>
            <w:tcW w:w="476"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财务监控有效性（</w:t>
            </w:r>
            <w:r>
              <w:rPr>
                <w:rFonts w:hint="default"/>
                <w:kern w:val="0"/>
                <w:szCs w:val="21"/>
              </w:rPr>
              <w:t>2</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项目实施单位是否为保障资金的安全、规范运行而采取了必要的监控措施，用以反映和考核项目实施单位对资金运行的控制情况。</w:t>
            </w:r>
          </w:p>
        </w:tc>
        <w:tc>
          <w:tcPr>
            <w:tcW w:w="2057" w:type="pct"/>
            <w:shd w:val="clear" w:color="auto" w:fill="FFFFFF"/>
            <w:noWrap w:val="0"/>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①是否已制定或具有相应的监控机制；（</w:t>
            </w:r>
            <w:r>
              <w:rPr>
                <w:rFonts w:hint="default"/>
                <w:kern w:val="0"/>
                <w:szCs w:val="21"/>
              </w:rPr>
              <w:t>1</w:t>
            </w:r>
            <w:r>
              <w:rPr>
                <w:rFonts w:hint="eastAsia"/>
                <w:kern w:val="0"/>
                <w:szCs w:val="21"/>
              </w:rPr>
              <w:t>分）</w:t>
            </w:r>
          </w:p>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②是否采取了相应的财务检查等必要的监控措施或手段。（</w:t>
            </w:r>
            <w:r>
              <w:rPr>
                <w:rFonts w:hint="default"/>
                <w:kern w:val="0"/>
                <w:szCs w:val="21"/>
              </w:rPr>
              <w:t>1</w:t>
            </w:r>
            <w:r>
              <w:rPr>
                <w:rFonts w:hint="eastAsia"/>
                <w:kern w:val="0"/>
                <w:szCs w:val="21"/>
              </w:rPr>
              <w:t>分）</w:t>
            </w:r>
          </w:p>
        </w:tc>
        <w:tc>
          <w:tcPr>
            <w:tcW w:w="436" w:type="pct"/>
            <w:noWrap/>
            <w:vAlign w:val="center"/>
          </w:tcPr>
          <w:p>
            <w:pPr>
              <w:keepNext w:val="0"/>
              <w:keepLines w:val="0"/>
              <w:widowControl/>
              <w:suppressLineNumbers w:val="0"/>
              <w:spacing w:before="0" w:beforeAutospacing="0" w:after="0" w:afterAutospacing="0" w:line="26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2</w:t>
            </w:r>
          </w:p>
        </w:tc>
        <w:tc>
          <w:tcPr>
            <w:tcW w:w="489" w:type="pct"/>
            <w:noWrap/>
            <w:vAlign w:val="center"/>
          </w:tcPr>
          <w:p>
            <w:pPr>
              <w:keepNext w:val="0"/>
              <w:keepLines w:val="0"/>
              <w:widowControl/>
              <w:suppressLineNumbers w:val="0"/>
              <w:spacing w:before="0" w:beforeAutospacing="0" w:after="0" w:afterAutospacing="0" w:line="26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13" w:type="pct"/>
            <w:vMerge w:val="restart"/>
            <w:shd w:val="clear" w:color="auto" w:fill="FFFFFF"/>
            <w:noWrap/>
            <w:textDirection w:val="tbRlV"/>
            <w:vAlign w:val="center"/>
          </w:tcPr>
          <w:p>
            <w:pPr>
              <w:keepNext w:val="0"/>
              <w:keepLines w:val="0"/>
              <w:widowControl/>
              <w:suppressLineNumbers w:val="0"/>
              <w:spacing w:before="0" w:beforeAutospacing="0" w:after="0" w:afterAutospacing="0" w:line="240" w:lineRule="exact"/>
              <w:ind w:left="0" w:right="0"/>
              <w:jc w:val="center"/>
              <w:rPr>
                <w:rFonts w:hint="default"/>
                <w:kern w:val="0"/>
                <w:szCs w:val="21"/>
              </w:rPr>
            </w:pPr>
            <w:r>
              <w:rPr>
                <w:rFonts w:hint="eastAsia"/>
                <w:kern w:val="0"/>
                <w:szCs w:val="21"/>
              </w:rPr>
              <w:t>产</w:t>
            </w:r>
            <w:r>
              <w:rPr>
                <w:rFonts w:hint="default"/>
                <w:kern w:val="0"/>
                <w:szCs w:val="21"/>
              </w:rPr>
              <w:t xml:space="preserve">   </w:t>
            </w:r>
            <w:r>
              <w:rPr>
                <w:rFonts w:hint="eastAsia"/>
                <w:kern w:val="0"/>
                <w:szCs w:val="21"/>
              </w:rPr>
              <w:t>出（</w:t>
            </w:r>
            <w:r>
              <w:rPr>
                <w:rFonts w:hint="default"/>
                <w:kern w:val="0"/>
                <w:szCs w:val="21"/>
              </w:rPr>
              <w:t>20</w:t>
            </w:r>
            <w:r>
              <w:rPr>
                <w:rFonts w:hint="eastAsia"/>
                <w:kern w:val="0"/>
                <w:szCs w:val="21"/>
              </w:rPr>
              <w:t>分）</w:t>
            </w:r>
          </w:p>
        </w:tc>
        <w:tc>
          <w:tcPr>
            <w:tcW w:w="308" w:type="pct"/>
            <w:vMerge w:val="restart"/>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kern w:val="0"/>
                <w:szCs w:val="21"/>
              </w:rPr>
            </w:pPr>
            <w:r>
              <w:rPr>
                <w:rFonts w:hint="eastAsia"/>
                <w:kern w:val="0"/>
                <w:szCs w:val="21"/>
              </w:rPr>
              <w:t>项目</w:t>
            </w:r>
          </w:p>
          <w:p>
            <w:pPr>
              <w:keepNext w:val="0"/>
              <w:keepLines w:val="0"/>
              <w:widowControl/>
              <w:suppressLineNumbers w:val="0"/>
              <w:spacing w:before="0" w:beforeAutospacing="0" w:after="0" w:afterAutospacing="0" w:line="240" w:lineRule="exact"/>
              <w:ind w:left="0" w:right="0"/>
              <w:jc w:val="center"/>
              <w:rPr>
                <w:rFonts w:hint="default"/>
                <w:kern w:val="0"/>
                <w:szCs w:val="21"/>
              </w:rPr>
            </w:pPr>
            <w:r>
              <w:rPr>
                <w:rFonts w:hint="eastAsia"/>
                <w:kern w:val="0"/>
                <w:szCs w:val="21"/>
              </w:rPr>
              <w:t>产出（</w:t>
            </w:r>
            <w:r>
              <w:rPr>
                <w:rFonts w:hint="default"/>
                <w:kern w:val="0"/>
                <w:szCs w:val="21"/>
              </w:rPr>
              <w:t>20</w:t>
            </w:r>
            <w:r>
              <w:rPr>
                <w:rFonts w:hint="eastAsia"/>
                <w:kern w:val="0"/>
                <w:szCs w:val="21"/>
              </w:rPr>
              <w:t>分）</w:t>
            </w:r>
          </w:p>
        </w:tc>
        <w:tc>
          <w:tcPr>
            <w:tcW w:w="476"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实际完成率（</w:t>
            </w:r>
            <w:r>
              <w:rPr>
                <w:rFonts w:hint="default"/>
                <w:kern w:val="0"/>
                <w:szCs w:val="21"/>
              </w:rPr>
              <w:t>4</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项目实施的实际产出数与计划产出数的比率，用以反映和考核项目产出数量目标的实现程度。</w:t>
            </w:r>
          </w:p>
        </w:tc>
        <w:tc>
          <w:tcPr>
            <w:tcW w:w="205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spacing w:val="-14"/>
                <w:kern w:val="0"/>
                <w:szCs w:val="21"/>
              </w:rPr>
            </w:pPr>
            <w:r>
              <w:rPr>
                <w:rFonts w:hint="eastAsia"/>
                <w:spacing w:val="-14"/>
                <w:kern w:val="0"/>
                <w:szCs w:val="21"/>
              </w:rPr>
              <w:t>实际完成率</w:t>
            </w:r>
            <w:r>
              <w:rPr>
                <w:rFonts w:hint="default"/>
                <w:spacing w:val="-14"/>
                <w:kern w:val="0"/>
                <w:szCs w:val="21"/>
              </w:rPr>
              <w:t>=</w:t>
            </w:r>
            <w:r>
              <w:rPr>
                <w:rFonts w:hint="eastAsia"/>
                <w:spacing w:val="-14"/>
                <w:kern w:val="0"/>
                <w:szCs w:val="21"/>
              </w:rPr>
              <w:t>（实际产出数</w:t>
            </w:r>
            <w:r>
              <w:rPr>
                <w:rFonts w:hint="default"/>
                <w:spacing w:val="-14"/>
                <w:kern w:val="0"/>
                <w:szCs w:val="21"/>
              </w:rPr>
              <w:t>/</w:t>
            </w:r>
            <w:r>
              <w:rPr>
                <w:rFonts w:hint="eastAsia"/>
                <w:spacing w:val="-14"/>
                <w:kern w:val="0"/>
                <w:szCs w:val="21"/>
              </w:rPr>
              <w:t>计划产出数）×</w:t>
            </w:r>
            <w:r>
              <w:rPr>
                <w:rFonts w:hint="default"/>
                <w:spacing w:val="-14"/>
                <w:kern w:val="0"/>
                <w:szCs w:val="21"/>
              </w:rPr>
              <w:t>100%</w:t>
            </w:r>
            <w:r>
              <w:rPr>
                <w:rFonts w:hint="eastAsia"/>
                <w:spacing w:val="-14"/>
                <w:kern w:val="0"/>
                <w:szCs w:val="21"/>
              </w:rPr>
              <w:t>。（得分</w:t>
            </w:r>
            <w:r>
              <w:rPr>
                <w:rFonts w:hint="default"/>
                <w:spacing w:val="-14"/>
                <w:kern w:val="0"/>
                <w:szCs w:val="21"/>
              </w:rPr>
              <w:t>=</w:t>
            </w:r>
            <w:r>
              <w:rPr>
                <w:rFonts w:hint="eastAsia"/>
                <w:spacing w:val="-14"/>
                <w:kern w:val="0"/>
                <w:szCs w:val="21"/>
              </w:rPr>
              <w:t>实际完成率</w:t>
            </w:r>
            <w:r>
              <w:rPr>
                <w:rFonts w:hint="default"/>
                <w:spacing w:val="-14"/>
                <w:kern w:val="0"/>
                <w:szCs w:val="21"/>
              </w:rPr>
              <w:t>*4</w:t>
            </w:r>
            <w:r>
              <w:rPr>
                <w:rFonts w:hint="eastAsia"/>
                <w:spacing w:val="-14"/>
                <w:kern w:val="0"/>
                <w:szCs w:val="21"/>
              </w:rPr>
              <w:t>分）</w:t>
            </w:r>
          </w:p>
          <w:p>
            <w:pPr>
              <w:keepNext w:val="0"/>
              <w:keepLines w:val="0"/>
              <w:widowControl/>
              <w:suppressLineNumbers w:val="0"/>
              <w:spacing w:before="0" w:beforeAutospacing="0" w:after="0" w:afterAutospacing="0" w:line="240" w:lineRule="exact"/>
              <w:ind w:left="0" w:right="0"/>
              <w:jc w:val="left"/>
              <w:rPr>
                <w:rFonts w:hint="default"/>
                <w:spacing w:val="-14"/>
                <w:kern w:val="0"/>
                <w:szCs w:val="21"/>
              </w:rPr>
            </w:pPr>
            <w:r>
              <w:rPr>
                <w:rFonts w:hint="eastAsia"/>
                <w:spacing w:val="-14"/>
                <w:kern w:val="0"/>
                <w:szCs w:val="21"/>
              </w:rPr>
              <w:t>实际产出数：一定时期（本年度或项目期）内项目实际产出的产品或提供的服务数量。</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计划产出数：项目绩效目标确定的在一定时期（本年度或项目期）内计划产出的产品或提供的服务数量。</w:t>
            </w:r>
          </w:p>
        </w:tc>
        <w:tc>
          <w:tcPr>
            <w:tcW w:w="436" w:type="pct"/>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4</w:t>
            </w:r>
          </w:p>
        </w:tc>
        <w:tc>
          <w:tcPr>
            <w:tcW w:w="489" w:type="pct"/>
            <w:noWrap/>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13"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308"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476"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完成及时率（</w:t>
            </w:r>
            <w:r>
              <w:rPr>
                <w:rFonts w:hint="default"/>
                <w:kern w:val="0"/>
                <w:szCs w:val="21"/>
              </w:rPr>
              <w:t>6</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项目实际提前完成时间与计划完成时间的比率，用以反映和考核项目产出时效目标的实现程度。</w:t>
            </w:r>
          </w:p>
        </w:tc>
        <w:tc>
          <w:tcPr>
            <w:tcW w:w="205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完成及时率</w:t>
            </w:r>
            <w:r>
              <w:rPr>
                <w:rFonts w:hint="default"/>
                <w:kern w:val="0"/>
                <w:szCs w:val="21"/>
              </w:rPr>
              <w:t>=[</w:t>
            </w:r>
            <w:r>
              <w:rPr>
                <w:rFonts w:hint="eastAsia"/>
                <w:kern w:val="0"/>
                <w:szCs w:val="21"/>
              </w:rPr>
              <w:t>（计划完成时间</w:t>
            </w:r>
            <w:r>
              <w:rPr>
                <w:rFonts w:hint="default"/>
                <w:kern w:val="0"/>
                <w:szCs w:val="21"/>
              </w:rPr>
              <w:t>-</w:t>
            </w:r>
            <w:r>
              <w:rPr>
                <w:rFonts w:hint="eastAsia"/>
                <w:kern w:val="0"/>
                <w:szCs w:val="21"/>
              </w:rPr>
              <w:t>实际完成时间）</w:t>
            </w:r>
            <w:r>
              <w:rPr>
                <w:rFonts w:hint="default"/>
                <w:kern w:val="0"/>
                <w:szCs w:val="21"/>
              </w:rPr>
              <w:t>/</w:t>
            </w:r>
            <w:r>
              <w:rPr>
                <w:rFonts w:hint="eastAsia"/>
                <w:kern w:val="0"/>
                <w:szCs w:val="21"/>
              </w:rPr>
              <w:t>计划完成时间</w:t>
            </w:r>
            <w:r>
              <w:rPr>
                <w:rFonts w:hint="default"/>
                <w:kern w:val="0"/>
                <w:szCs w:val="21"/>
              </w:rPr>
              <w:t>]</w:t>
            </w:r>
            <w:r>
              <w:rPr>
                <w:rFonts w:hint="eastAsia"/>
                <w:kern w:val="0"/>
                <w:szCs w:val="21"/>
              </w:rPr>
              <w:t>×</w:t>
            </w:r>
            <w:r>
              <w:rPr>
                <w:rFonts w:hint="default"/>
                <w:kern w:val="0"/>
                <w:szCs w:val="21"/>
              </w:rPr>
              <w:t>100%</w:t>
            </w:r>
            <w:r>
              <w:rPr>
                <w:rFonts w:hint="eastAsia"/>
                <w:kern w:val="0"/>
                <w:szCs w:val="21"/>
              </w:rPr>
              <w:t>。（</w:t>
            </w:r>
            <w:r>
              <w:rPr>
                <w:rFonts w:hint="default"/>
                <w:kern w:val="0"/>
                <w:szCs w:val="21"/>
              </w:rPr>
              <w:t>1--4</w:t>
            </w:r>
            <w:r>
              <w:rPr>
                <w:rFonts w:hint="eastAsia"/>
                <w:kern w:val="0"/>
                <w:szCs w:val="21"/>
              </w:rPr>
              <w:t>季度各得</w:t>
            </w:r>
            <w:r>
              <w:rPr>
                <w:rFonts w:hint="default"/>
                <w:kern w:val="0"/>
                <w:szCs w:val="21"/>
              </w:rPr>
              <w:t>1.5</w:t>
            </w:r>
            <w:r>
              <w:rPr>
                <w:rFonts w:hint="eastAsia"/>
                <w:kern w:val="0"/>
                <w:szCs w:val="21"/>
              </w:rPr>
              <w:t>分）</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实际完成时间：项目实施单位完成该项目实际所耗用的时间。</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计划完成时间：按照项目实施计划或相关规定完成该项目所需的时间。</w:t>
            </w:r>
          </w:p>
        </w:tc>
        <w:tc>
          <w:tcPr>
            <w:tcW w:w="436" w:type="pct"/>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6</w:t>
            </w:r>
          </w:p>
        </w:tc>
        <w:tc>
          <w:tcPr>
            <w:tcW w:w="489" w:type="pct"/>
            <w:noWrap/>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313"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308"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476"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质量达标率（</w:t>
            </w:r>
            <w:r>
              <w:rPr>
                <w:rFonts w:hint="default"/>
                <w:kern w:val="0"/>
                <w:szCs w:val="21"/>
              </w:rPr>
              <w:t>5</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项目完成的质量达标产出数与实际产出数的比率，用以反映和考核项目产出质量目标的实现程度。</w:t>
            </w:r>
          </w:p>
        </w:tc>
        <w:tc>
          <w:tcPr>
            <w:tcW w:w="205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质量达标率</w:t>
            </w:r>
            <w:r>
              <w:rPr>
                <w:rFonts w:hint="default"/>
                <w:kern w:val="0"/>
                <w:szCs w:val="21"/>
              </w:rPr>
              <w:t>=</w:t>
            </w:r>
            <w:r>
              <w:rPr>
                <w:rFonts w:hint="eastAsia"/>
                <w:kern w:val="0"/>
                <w:szCs w:val="21"/>
              </w:rPr>
              <w:t>（质量达标产出数</w:t>
            </w:r>
            <w:r>
              <w:rPr>
                <w:rFonts w:hint="default"/>
                <w:kern w:val="0"/>
                <w:szCs w:val="21"/>
              </w:rPr>
              <w:t>/</w:t>
            </w:r>
            <w:r>
              <w:rPr>
                <w:rFonts w:hint="eastAsia"/>
                <w:kern w:val="0"/>
                <w:szCs w:val="21"/>
              </w:rPr>
              <w:t>实际产出数）×</w:t>
            </w:r>
            <w:r>
              <w:rPr>
                <w:rFonts w:hint="default"/>
                <w:kern w:val="0"/>
                <w:szCs w:val="21"/>
              </w:rPr>
              <w:t>100%</w:t>
            </w:r>
            <w:r>
              <w:rPr>
                <w:rFonts w:hint="eastAsia"/>
                <w:kern w:val="0"/>
                <w:szCs w:val="21"/>
              </w:rPr>
              <w:t>。（得分</w:t>
            </w:r>
            <w:r>
              <w:rPr>
                <w:rFonts w:hint="default"/>
                <w:kern w:val="0"/>
                <w:szCs w:val="21"/>
              </w:rPr>
              <w:t>=</w:t>
            </w:r>
            <w:r>
              <w:rPr>
                <w:rFonts w:hint="eastAsia"/>
                <w:kern w:val="0"/>
                <w:szCs w:val="21"/>
              </w:rPr>
              <w:t>达标率</w:t>
            </w:r>
            <w:r>
              <w:rPr>
                <w:rFonts w:hint="default"/>
                <w:kern w:val="0"/>
                <w:szCs w:val="21"/>
              </w:rPr>
              <w:t>*5</w:t>
            </w:r>
            <w:r>
              <w:rPr>
                <w:rFonts w:hint="eastAsia"/>
                <w:kern w:val="0"/>
                <w:szCs w:val="21"/>
              </w:rPr>
              <w:t>分）</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质量达标产出数：一定时期（本年度或项目期）内实际达到既定质量标准的产品或服务数量。</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spacing w:val="-10"/>
                <w:kern w:val="0"/>
                <w:szCs w:val="21"/>
              </w:rPr>
              <w:t>既定质量标准是指项目实施单位设立绩效目标时依据计划标准、行业标准、历史标准或其他标准而设定的绩效指标值。</w:t>
            </w:r>
          </w:p>
        </w:tc>
        <w:tc>
          <w:tcPr>
            <w:tcW w:w="436" w:type="pct"/>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89" w:type="pct"/>
            <w:noWrap/>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313"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308"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476"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成本节约率（</w:t>
            </w:r>
            <w:r>
              <w:rPr>
                <w:rFonts w:hint="default"/>
                <w:kern w:val="0"/>
                <w:szCs w:val="21"/>
              </w:rPr>
              <w:t>5</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完成项目计划工作目标的实际节约成本与计划成本的比率，用以反映和考核项目的成本节约程度。</w:t>
            </w:r>
          </w:p>
        </w:tc>
        <w:tc>
          <w:tcPr>
            <w:tcW w:w="205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成本节约率</w:t>
            </w:r>
            <w:r>
              <w:rPr>
                <w:rFonts w:hint="default"/>
                <w:kern w:val="0"/>
                <w:szCs w:val="21"/>
              </w:rPr>
              <w:t>=[</w:t>
            </w:r>
            <w:r>
              <w:rPr>
                <w:rFonts w:hint="eastAsia"/>
                <w:kern w:val="0"/>
                <w:szCs w:val="21"/>
              </w:rPr>
              <w:t>（计划成本</w:t>
            </w:r>
            <w:r>
              <w:rPr>
                <w:rFonts w:hint="default"/>
                <w:kern w:val="0"/>
                <w:szCs w:val="21"/>
              </w:rPr>
              <w:t>-</w:t>
            </w:r>
            <w:r>
              <w:rPr>
                <w:rFonts w:hint="eastAsia"/>
                <w:kern w:val="0"/>
                <w:szCs w:val="21"/>
              </w:rPr>
              <w:t>实际成本）</w:t>
            </w:r>
            <w:r>
              <w:rPr>
                <w:rFonts w:hint="default"/>
                <w:kern w:val="0"/>
                <w:szCs w:val="21"/>
              </w:rPr>
              <w:t>/</w:t>
            </w:r>
            <w:r>
              <w:rPr>
                <w:rFonts w:hint="eastAsia"/>
                <w:kern w:val="0"/>
                <w:szCs w:val="21"/>
              </w:rPr>
              <w:t>计划成本</w:t>
            </w:r>
            <w:r>
              <w:rPr>
                <w:rFonts w:hint="default"/>
                <w:kern w:val="0"/>
                <w:szCs w:val="21"/>
              </w:rPr>
              <w:t>]</w:t>
            </w:r>
            <w:r>
              <w:rPr>
                <w:rFonts w:hint="eastAsia"/>
                <w:kern w:val="0"/>
                <w:szCs w:val="21"/>
              </w:rPr>
              <w:t>×</w:t>
            </w:r>
            <w:r>
              <w:rPr>
                <w:rFonts w:hint="default"/>
                <w:kern w:val="0"/>
                <w:szCs w:val="21"/>
              </w:rPr>
              <w:t>100%</w:t>
            </w:r>
            <w:r>
              <w:rPr>
                <w:rFonts w:hint="eastAsia"/>
                <w:kern w:val="0"/>
                <w:szCs w:val="21"/>
              </w:rPr>
              <w:t>。</w:t>
            </w:r>
            <w:r>
              <w:rPr>
                <w:rFonts w:hint="default"/>
                <w:kern w:val="0"/>
                <w:szCs w:val="21"/>
              </w:rPr>
              <w:t>(</w:t>
            </w:r>
            <w:r>
              <w:rPr>
                <w:rFonts w:hint="eastAsia"/>
                <w:kern w:val="0"/>
                <w:szCs w:val="21"/>
              </w:rPr>
              <w:t>节约的计</w:t>
            </w:r>
            <w:r>
              <w:rPr>
                <w:rFonts w:hint="default"/>
                <w:kern w:val="0"/>
                <w:szCs w:val="21"/>
              </w:rPr>
              <w:t>5</w:t>
            </w:r>
            <w:r>
              <w:rPr>
                <w:rFonts w:hint="eastAsia"/>
                <w:kern w:val="0"/>
                <w:szCs w:val="21"/>
              </w:rPr>
              <w:t>分</w:t>
            </w:r>
            <w:r>
              <w:rPr>
                <w:rFonts w:hint="default"/>
                <w:kern w:val="0"/>
                <w:szCs w:val="21"/>
              </w:rPr>
              <w:t>,</w:t>
            </w:r>
            <w:r>
              <w:rPr>
                <w:rFonts w:hint="eastAsia"/>
                <w:kern w:val="0"/>
                <w:szCs w:val="21"/>
              </w:rPr>
              <w:t>增加的按比例扣分</w:t>
            </w:r>
            <w:r>
              <w:rPr>
                <w:rFonts w:hint="default"/>
                <w:kern w:val="0"/>
                <w:szCs w:val="21"/>
              </w:rPr>
              <w:t>)</w:t>
            </w:r>
          </w:p>
          <w:p>
            <w:pPr>
              <w:keepNext w:val="0"/>
              <w:keepLines w:val="0"/>
              <w:widowControl/>
              <w:suppressLineNumbers w:val="0"/>
              <w:spacing w:before="0" w:beforeAutospacing="0" w:after="0" w:afterAutospacing="0" w:line="240" w:lineRule="exact"/>
              <w:ind w:left="0" w:right="0"/>
              <w:jc w:val="left"/>
              <w:rPr>
                <w:rFonts w:hint="default"/>
                <w:spacing w:val="-10"/>
                <w:kern w:val="0"/>
                <w:szCs w:val="21"/>
              </w:rPr>
            </w:pPr>
            <w:r>
              <w:rPr>
                <w:rFonts w:hint="eastAsia"/>
                <w:spacing w:val="-10"/>
                <w:kern w:val="0"/>
                <w:szCs w:val="21"/>
              </w:rPr>
              <w:t>实际成本：项目实施单位如期、保质、保量完成既定工作目标实际所耗费的支出。</w:t>
            </w:r>
          </w:p>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spacing w:val="-10"/>
                <w:kern w:val="0"/>
                <w:szCs w:val="21"/>
              </w:rPr>
              <w:t>计划成本：项目实施单位为完成工作目标计划安排的支出，一般以项目预算为参考。</w:t>
            </w:r>
          </w:p>
        </w:tc>
        <w:tc>
          <w:tcPr>
            <w:tcW w:w="436" w:type="pct"/>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89" w:type="pct"/>
            <w:noWrap/>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313" w:type="pct"/>
            <w:vMerge w:val="restart"/>
            <w:shd w:val="clear" w:color="auto" w:fill="FFFFFF"/>
            <w:noWrap/>
            <w:textDirection w:val="tbRlV"/>
            <w:vAlign w:val="center"/>
          </w:tcPr>
          <w:p>
            <w:pPr>
              <w:keepNext w:val="0"/>
              <w:keepLines w:val="0"/>
              <w:widowControl/>
              <w:suppressLineNumbers w:val="0"/>
              <w:spacing w:before="0" w:beforeAutospacing="0" w:after="0" w:afterAutospacing="0" w:line="240" w:lineRule="exact"/>
              <w:ind w:left="0" w:right="0"/>
              <w:jc w:val="center"/>
              <w:rPr>
                <w:rFonts w:hint="default"/>
                <w:kern w:val="0"/>
                <w:szCs w:val="21"/>
              </w:rPr>
            </w:pPr>
            <w:r>
              <w:rPr>
                <w:rFonts w:hint="eastAsia"/>
                <w:kern w:val="0"/>
                <w:szCs w:val="21"/>
              </w:rPr>
              <w:t>效</w:t>
            </w:r>
            <w:r>
              <w:rPr>
                <w:rFonts w:hint="default"/>
                <w:kern w:val="0"/>
                <w:szCs w:val="21"/>
              </w:rPr>
              <w:t xml:space="preserve">   </w:t>
            </w:r>
            <w:r>
              <w:rPr>
                <w:rFonts w:hint="eastAsia"/>
                <w:kern w:val="0"/>
                <w:szCs w:val="21"/>
              </w:rPr>
              <w:t>果（</w:t>
            </w:r>
            <w:r>
              <w:rPr>
                <w:rFonts w:hint="default"/>
                <w:kern w:val="0"/>
                <w:szCs w:val="21"/>
              </w:rPr>
              <w:t>30</w:t>
            </w:r>
            <w:r>
              <w:rPr>
                <w:rFonts w:hint="eastAsia"/>
                <w:kern w:val="0"/>
                <w:szCs w:val="21"/>
              </w:rPr>
              <w:t>分）</w:t>
            </w:r>
          </w:p>
        </w:tc>
        <w:tc>
          <w:tcPr>
            <w:tcW w:w="308" w:type="pct"/>
            <w:vMerge w:val="restart"/>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kern w:val="0"/>
                <w:szCs w:val="21"/>
              </w:rPr>
            </w:pPr>
            <w:r>
              <w:rPr>
                <w:rFonts w:hint="eastAsia"/>
                <w:kern w:val="0"/>
                <w:szCs w:val="21"/>
              </w:rPr>
              <w:t>项目</w:t>
            </w:r>
          </w:p>
          <w:p>
            <w:pPr>
              <w:keepNext w:val="0"/>
              <w:keepLines w:val="0"/>
              <w:widowControl/>
              <w:suppressLineNumbers w:val="0"/>
              <w:spacing w:before="0" w:beforeAutospacing="0" w:after="0" w:afterAutospacing="0" w:line="240" w:lineRule="exact"/>
              <w:ind w:left="0" w:right="0"/>
              <w:jc w:val="center"/>
              <w:rPr>
                <w:rFonts w:hint="default"/>
                <w:kern w:val="0"/>
                <w:szCs w:val="21"/>
              </w:rPr>
            </w:pPr>
            <w:r>
              <w:rPr>
                <w:rFonts w:hint="eastAsia"/>
                <w:kern w:val="0"/>
                <w:szCs w:val="21"/>
              </w:rPr>
              <w:t>效益（</w:t>
            </w:r>
            <w:r>
              <w:rPr>
                <w:rFonts w:hint="default"/>
                <w:kern w:val="0"/>
                <w:szCs w:val="21"/>
              </w:rPr>
              <w:t>30</w:t>
            </w:r>
            <w:r>
              <w:rPr>
                <w:rFonts w:hint="eastAsia"/>
                <w:kern w:val="0"/>
                <w:szCs w:val="21"/>
              </w:rPr>
              <w:t>分）</w:t>
            </w:r>
          </w:p>
        </w:tc>
        <w:tc>
          <w:tcPr>
            <w:tcW w:w="476"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经济效益</w:t>
            </w:r>
            <w:r>
              <w:rPr>
                <w:rFonts w:hint="default"/>
                <w:kern w:val="0"/>
                <w:szCs w:val="21"/>
              </w:rPr>
              <w:t>(5</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spacing w:val="-10"/>
                <w:kern w:val="0"/>
                <w:szCs w:val="21"/>
              </w:rPr>
            </w:pPr>
            <w:r>
              <w:rPr>
                <w:rFonts w:hint="eastAsia"/>
                <w:spacing w:val="-10"/>
                <w:kern w:val="0"/>
                <w:szCs w:val="21"/>
              </w:rPr>
              <w:t>项目实施对经济发展所带来的直接或间接影响情况。</w:t>
            </w:r>
          </w:p>
        </w:tc>
        <w:tc>
          <w:tcPr>
            <w:tcW w:w="2057" w:type="pct"/>
            <w:vMerge w:val="restar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此四项指标为项目支出绩效评价指标的共性要素，各单位按照项目支出绩效目标实现程度为依据。（按经济效益实现程度</w:t>
            </w:r>
            <w:r>
              <w:rPr>
                <w:rFonts w:hint="default"/>
                <w:kern w:val="0"/>
                <w:szCs w:val="21"/>
              </w:rPr>
              <w:t>*5</w:t>
            </w:r>
            <w:r>
              <w:rPr>
                <w:rFonts w:hint="eastAsia"/>
                <w:kern w:val="0"/>
                <w:szCs w:val="21"/>
              </w:rPr>
              <w:t>分、社会效益实现程度</w:t>
            </w:r>
            <w:r>
              <w:rPr>
                <w:rFonts w:hint="default"/>
                <w:kern w:val="0"/>
                <w:szCs w:val="21"/>
              </w:rPr>
              <w:t>*5</w:t>
            </w:r>
            <w:r>
              <w:rPr>
                <w:rFonts w:hint="eastAsia"/>
                <w:kern w:val="0"/>
                <w:szCs w:val="21"/>
              </w:rPr>
              <w:t>分、生态效益实现程度</w:t>
            </w:r>
            <w:r>
              <w:rPr>
                <w:rFonts w:hint="default"/>
                <w:kern w:val="0"/>
                <w:szCs w:val="21"/>
              </w:rPr>
              <w:t>*5</w:t>
            </w:r>
            <w:r>
              <w:rPr>
                <w:rFonts w:hint="eastAsia"/>
                <w:kern w:val="0"/>
                <w:szCs w:val="21"/>
              </w:rPr>
              <w:t>分、可持续影响程度</w:t>
            </w:r>
            <w:r>
              <w:rPr>
                <w:rFonts w:hint="default"/>
                <w:kern w:val="0"/>
                <w:szCs w:val="21"/>
              </w:rPr>
              <w:t>*5</w:t>
            </w:r>
            <w:r>
              <w:rPr>
                <w:rFonts w:hint="eastAsia"/>
                <w:kern w:val="0"/>
                <w:szCs w:val="21"/>
              </w:rPr>
              <w:t>分计算实际得分）</w:t>
            </w:r>
          </w:p>
        </w:tc>
        <w:tc>
          <w:tcPr>
            <w:tcW w:w="436" w:type="pct"/>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89" w:type="pct"/>
            <w:noWrap/>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313"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308"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476"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社会效益（</w:t>
            </w:r>
            <w:r>
              <w:rPr>
                <w:rFonts w:hint="default"/>
                <w:kern w:val="0"/>
                <w:szCs w:val="21"/>
              </w:rPr>
              <w:t>5</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spacing w:val="-10"/>
                <w:kern w:val="0"/>
                <w:szCs w:val="21"/>
              </w:rPr>
            </w:pPr>
            <w:r>
              <w:rPr>
                <w:rFonts w:hint="eastAsia"/>
                <w:spacing w:val="-10"/>
                <w:kern w:val="0"/>
                <w:szCs w:val="21"/>
              </w:rPr>
              <w:t>项目实施对社会发展所带来的直接或间接影响情况。</w:t>
            </w:r>
          </w:p>
        </w:tc>
        <w:tc>
          <w:tcPr>
            <w:tcW w:w="2057" w:type="pct"/>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436" w:type="pct"/>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89" w:type="pct"/>
            <w:noWrap/>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13"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308"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476"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生态效益（</w:t>
            </w:r>
            <w:r>
              <w:rPr>
                <w:rFonts w:hint="default"/>
                <w:kern w:val="0"/>
                <w:szCs w:val="21"/>
              </w:rPr>
              <w:t>5</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spacing w:val="-10"/>
                <w:kern w:val="0"/>
                <w:szCs w:val="21"/>
              </w:rPr>
            </w:pPr>
            <w:r>
              <w:rPr>
                <w:rFonts w:hint="eastAsia"/>
                <w:spacing w:val="-10"/>
                <w:kern w:val="0"/>
                <w:szCs w:val="21"/>
              </w:rPr>
              <w:t>项目实施对生态环境所带来的直接或间接影响情况。</w:t>
            </w:r>
          </w:p>
        </w:tc>
        <w:tc>
          <w:tcPr>
            <w:tcW w:w="2057" w:type="pct"/>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436" w:type="pct"/>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89" w:type="pct"/>
            <w:noWrap/>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13"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308"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476"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eastAsia" w:eastAsia="宋体"/>
                <w:kern w:val="0"/>
                <w:szCs w:val="21"/>
                <w:lang w:val="en-US" w:eastAsia="zh-CN"/>
              </w:rPr>
            </w:pPr>
            <w:r>
              <w:rPr>
                <w:rFonts w:hint="eastAsia"/>
                <w:kern w:val="0"/>
                <w:szCs w:val="21"/>
              </w:rPr>
              <w:t>可持续影响（</w:t>
            </w:r>
            <w:r>
              <w:rPr>
                <w:rFonts w:hint="default"/>
                <w:kern w:val="0"/>
                <w:szCs w:val="21"/>
              </w:rPr>
              <w:t>5</w:t>
            </w:r>
            <w:r>
              <w:rPr>
                <w:rFonts w:hint="eastAsia"/>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项目后续运行及成效发挥的可持续影响情况。</w:t>
            </w:r>
          </w:p>
        </w:tc>
        <w:tc>
          <w:tcPr>
            <w:tcW w:w="2057" w:type="pct"/>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436" w:type="pct"/>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489" w:type="pct"/>
            <w:noWrap/>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313"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308" w:type="pct"/>
            <w:vMerge w:val="continue"/>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p>
        </w:tc>
        <w:tc>
          <w:tcPr>
            <w:tcW w:w="476"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spacing w:val="-10"/>
                <w:kern w:val="0"/>
                <w:szCs w:val="21"/>
              </w:rPr>
            </w:pPr>
            <w:r>
              <w:rPr>
                <w:rFonts w:hint="eastAsia"/>
                <w:spacing w:val="-10"/>
                <w:kern w:val="0"/>
                <w:szCs w:val="21"/>
              </w:rPr>
              <w:t>社会公众或服务对象满意度（</w:t>
            </w:r>
            <w:r>
              <w:rPr>
                <w:rFonts w:hint="default"/>
                <w:spacing w:val="-10"/>
                <w:kern w:val="0"/>
                <w:szCs w:val="21"/>
              </w:rPr>
              <w:t>10</w:t>
            </w:r>
            <w:r>
              <w:rPr>
                <w:rFonts w:hint="eastAsia"/>
                <w:spacing w:val="-10"/>
                <w:kern w:val="0"/>
                <w:szCs w:val="21"/>
              </w:rPr>
              <w:t>分）</w:t>
            </w:r>
          </w:p>
        </w:tc>
        <w:tc>
          <w:tcPr>
            <w:tcW w:w="91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社会公众或服务对象对项目实施效果的满意程度。</w:t>
            </w:r>
          </w:p>
        </w:tc>
        <w:tc>
          <w:tcPr>
            <w:tcW w:w="2057" w:type="pct"/>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社会公众或服务对象是指因该项目实施而受到影响的部门（单位）、群体或个人。一般采取社会调查的方式。（按收到的服务对象的满意率计算得分）</w:t>
            </w:r>
          </w:p>
        </w:tc>
        <w:tc>
          <w:tcPr>
            <w:tcW w:w="436" w:type="pct"/>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9</w:t>
            </w:r>
          </w:p>
        </w:tc>
        <w:tc>
          <w:tcPr>
            <w:tcW w:w="489" w:type="pct"/>
            <w:noWrap/>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4073" w:type="pct"/>
            <w:gridSpan w:val="5"/>
            <w:tcBorders>
              <w:bottom w:val="single" w:color="auto" w:sz="12"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kern w:val="0"/>
                <w:szCs w:val="21"/>
              </w:rPr>
            </w:pPr>
            <w:r>
              <w:rPr>
                <w:rFonts w:hint="eastAsia"/>
                <w:kern w:val="0"/>
                <w:szCs w:val="21"/>
              </w:rPr>
              <w:t>合计</w:t>
            </w:r>
          </w:p>
        </w:tc>
        <w:tc>
          <w:tcPr>
            <w:tcW w:w="436" w:type="pct"/>
            <w:tcBorders>
              <w:bottom w:val="single" w:color="auto" w:sz="12"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99</w:t>
            </w:r>
          </w:p>
        </w:tc>
        <w:tc>
          <w:tcPr>
            <w:tcW w:w="489" w:type="pct"/>
            <w:tcBorders>
              <w:bottom w:val="single" w:color="auto" w:sz="12"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kern w:val="0"/>
                <w:szCs w:val="21"/>
              </w:rPr>
            </w:pPr>
            <w:r>
              <w:rPr>
                <w:rFonts w:hint="eastAsia"/>
                <w:kern w:val="0"/>
                <w:szCs w:val="21"/>
              </w:rPr>
              <w:t>　</w:t>
            </w:r>
          </w:p>
        </w:tc>
      </w:tr>
    </w:tbl>
    <w:p>
      <w:pPr>
        <w:spacing w:line="620" w:lineRule="exact"/>
        <w:jc w:val="left"/>
        <w:rPr>
          <w:rFonts w:ascii="宋体"/>
          <w:sz w:val="32"/>
          <w:szCs w:val="32"/>
        </w:rPr>
      </w:pPr>
    </w:p>
    <w:p>
      <w:pPr>
        <w:spacing w:line="620" w:lineRule="exact"/>
        <w:jc w:val="left"/>
        <w:rPr>
          <w:rFonts w:ascii="??????" w:hAnsi="宋体" w:eastAsia="Times New Roman"/>
          <w:sz w:val="33"/>
          <w:szCs w:val="33"/>
        </w:rPr>
        <w:sectPr>
          <w:pgSz w:w="11907" w:h="16840"/>
          <w:pgMar w:top="2098" w:right="1474" w:bottom="1928" w:left="1588" w:header="851" w:footer="992" w:gutter="0"/>
          <w:cols w:space="425" w:num="1"/>
          <w:docGrid w:type="lines" w:linePitch="312" w:charSpace="0"/>
        </w:sectPr>
      </w:pPr>
    </w:p>
    <w:p>
      <w:pPr>
        <w:spacing w:line="620" w:lineRule="exact"/>
        <w:jc w:val="left"/>
        <w:rPr>
          <w:rFonts w:eastAsia="方正黑体简体"/>
          <w:sz w:val="32"/>
          <w:szCs w:val="32"/>
        </w:rPr>
      </w:pPr>
      <w:r>
        <w:rPr>
          <w:rFonts w:hint="eastAsia" w:eastAsia="方正黑体简体"/>
          <w:sz w:val="32"/>
          <w:szCs w:val="32"/>
        </w:rPr>
        <w:t>附件</w:t>
      </w:r>
      <w:r>
        <w:rPr>
          <w:rFonts w:eastAsia="方正黑体简体"/>
          <w:sz w:val="32"/>
          <w:szCs w:val="32"/>
        </w:rPr>
        <w:t>2</w:t>
      </w:r>
    </w:p>
    <w:p>
      <w:pPr>
        <w:spacing w:line="620" w:lineRule="exact"/>
        <w:jc w:val="center"/>
        <w:rPr>
          <w:rFonts w:eastAsia="方正小标宋简体"/>
          <w:color w:val="000000"/>
          <w:spacing w:val="-12"/>
          <w:kern w:val="0"/>
          <w:sz w:val="44"/>
          <w:szCs w:val="44"/>
        </w:rPr>
      </w:pPr>
      <w:r>
        <w:rPr>
          <w:rFonts w:eastAsia="方正小标宋简体"/>
          <w:color w:val="000000"/>
          <w:spacing w:val="-12"/>
          <w:kern w:val="0"/>
          <w:sz w:val="44"/>
          <w:szCs w:val="44"/>
        </w:rPr>
        <w:t>2021</w:t>
      </w:r>
      <w:r>
        <w:rPr>
          <w:rFonts w:hint="eastAsia" w:eastAsia="方正小标宋简体"/>
          <w:color w:val="000000"/>
          <w:spacing w:val="-12"/>
          <w:kern w:val="0"/>
          <w:sz w:val="44"/>
          <w:szCs w:val="44"/>
        </w:rPr>
        <w:t>年度乐至县项目支出绩效目标完成情况表</w:t>
      </w:r>
    </w:p>
    <w:p>
      <w:pPr>
        <w:pStyle w:val="8"/>
        <w:spacing w:after="0" w:line="240" w:lineRule="exact"/>
        <w:rPr>
          <w:rFonts w:ascii="宋体"/>
        </w:rPr>
      </w:pPr>
    </w:p>
    <w:tbl>
      <w:tblPr>
        <w:tblStyle w:val="19"/>
        <w:tblW w:w="95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85"/>
        <w:gridCol w:w="1058"/>
        <w:gridCol w:w="1189"/>
        <w:gridCol w:w="1245"/>
        <w:gridCol w:w="1245"/>
        <w:gridCol w:w="1762"/>
        <w:gridCol w:w="22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85" w:type="dxa"/>
            <w:tcBorders>
              <w:top w:val="single" w:color="auto" w:sz="12"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项目</w:t>
            </w:r>
          </w:p>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名称</w:t>
            </w:r>
          </w:p>
        </w:tc>
        <w:tc>
          <w:tcPr>
            <w:tcW w:w="8702" w:type="dxa"/>
            <w:gridSpan w:val="6"/>
            <w:tcBorders>
              <w:top w:val="single" w:color="auto" w:sz="12" w:space="0"/>
            </w:tcBorders>
            <w:noWrap/>
            <w:vAlign w:val="center"/>
          </w:tcPr>
          <w:p>
            <w:pPr>
              <w:keepNext w:val="0"/>
              <w:keepLines w:val="0"/>
              <w:widowControl/>
              <w:suppressLineNumbers w:val="0"/>
              <w:spacing w:before="0" w:beforeAutospacing="0" w:after="0" w:afterAutospacing="0" w:line="240" w:lineRule="exact"/>
              <w:ind w:left="0" w:right="0"/>
              <w:jc w:val="center"/>
              <w:rPr>
                <w:rFonts w:hint="eastAsia" w:eastAsia="宋体"/>
                <w:color w:val="000000"/>
                <w:kern w:val="0"/>
                <w:szCs w:val="21"/>
                <w:lang w:eastAsia="zh-CN"/>
              </w:rPr>
            </w:pPr>
            <w:r>
              <w:rPr>
                <w:rFonts w:hint="eastAsia"/>
                <w:color w:val="000000"/>
                <w:kern w:val="0"/>
                <w:szCs w:val="21"/>
                <w:lang w:val="en-US" w:eastAsia="zh-CN"/>
              </w:rPr>
              <w:t>劳动镇薛苞大桥项目前期费用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85" w:type="dxa"/>
            <w:vMerge w:val="restart"/>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项目</w:t>
            </w:r>
          </w:p>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类型</w:t>
            </w:r>
          </w:p>
        </w:tc>
        <w:tc>
          <w:tcPr>
            <w:tcW w:w="1058"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产业发展</w:t>
            </w:r>
          </w:p>
        </w:tc>
        <w:tc>
          <w:tcPr>
            <w:tcW w:w="1189"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民生保障</w:t>
            </w:r>
          </w:p>
        </w:tc>
        <w:tc>
          <w:tcPr>
            <w:tcW w:w="2490" w:type="dxa"/>
            <w:gridSpan w:val="2"/>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基础设施</w:t>
            </w:r>
          </w:p>
        </w:tc>
        <w:tc>
          <w:tcPr>
            <w:tcW w:w="396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 w:hRule="atLeast"/>
          <w:jc w:val="center"/>
        </w:trPr>
        <w:tc>
          <w:tcPr>
            <w:tcW w:w="885" w:type="dxa"/>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p>
        </w:tc>
        <w:tc>
          <w:tcPr>
            <w:tcW w:w="1058"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w:t>
            </w:r>
          </w:p>
        </w:tc>
        <w:tc>
          <w:tcPr>
            <w:tcW w:w="1189" w:type="dxa"/>
            <w:noWrap/>
            <w:vAlign w:val="center"/>
          </w:tcPr>
          <w:p>
            <w:pPr>
              <w:keepNext w:val="0"/>
              <w:keepLines w:val="0"/>
              <w:suppressLineNumbers w:val="0"/>
              <w:spacing w:before="0" w:beforeAutospacing="0" w:after="0" w:afterAutospacing="0" w:line="240" w:lineRule="exact"/>
              <w:ind w:left="0" w:right="0"/>
              <w:jc w:val="center"/>
              <w:rPr>
                <w:rFonts w:hint="default"/>
                <w:szCs w:val="21"/>
              </w:rPr>
            </w:pPr>
            <w:r>
              <w:rPr>
                <w:rFonts w:hint="eastAsia"/>
                <w:color w:val="000000"/>
                <w:kern w:val="0"/>
                <w:szCs w:val="21"/>
              </w:rPr>
              <w:t>□</w:t>
            </w:r>
          </w:p>
        </w:tc>
        <w:tc>
          <w:tcPr>
            <w:tcW w:w="2490" w:type="dxa"/>
            <w:gridSpan w:val="2"/>
            <w:noWrap/>
            <w:vAlign w:val="center"/>
          </w:tcPr>
          <w:p>
            <w:pPr>
              <w:keepNext w:val="0"/>
              <w:keepLines w:val="0"/>
              <w:suppressLineNumbers w:val="0"/>
              <w:spacing w:before="0" w:beforeAutospacing="0" w:after="0" w:afterAutospacing="0" w:line="240" w:lineRule="exact"/>
              <w:ind w:left="0" w:right="0"/>
              <w:jc w:val="center"/>
              <w:rPr>
                <w:rFonts w:hint="eastAsia" w:eastAsia="宋体"/>
                <w:szCs w:val="21"/>
                <w:lang w:eastAsia="zh-CN"/>
              </w:rPr>
            </w:pPr>
            <w:r>
              <w:rPr>
                <w:rFonts w:hint="eastAsia"/>
                <w:color w:val="000000"/>
                <w:kern w:val="0"/>
                <w:szCs w:val="21"/>
                <w:lang w:eastAsia="zh-CN"/>
              </w:rPr>
              <w:t>☑</w:t>
            </w:r>
          </w:p>
        </w:tc>
        <w:tc>
          <w:tcPr>
            <w:tcW w:w="3965" w:type="dxa"/>
            <w:gridSpan w:val="2"/>
            <w:noWrap/>
            <w:vAlign w:val="center"/>
          </w:tcPr>
          <w:p>
            <w:pPr>
              <w:keepNext w:val="0"/>
              <w:keepLines w:val="0"/>
              <w:suppressLineNumbers w:val="0"/>
              <w:spacing w:before="0" w:beforeAutospacing="0" w:after="0" w:afterAutospacing="0" w:line="240" w:lineRule="exact"/>
              <w:ind w:left="0" w:right="0"/>
              <w:jc w:val="center"/>
              <w:rPr>
                <w:rFonts w:hint="default"/>
                <w:szCs w:val="21"/>
              </w:rPr>
            </w:pPr>
            <w:r>
              <w:rPr>
                <w:rFonts w:hint="eastAsia"/>
                <w:color w:val="000000"/>
                <w:kern w:val="0"/>
                <w:szCs w:val="21"/>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85"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部门（单位）名称</w:t>
            </w:r>
          </w:p>
        </w:tc>
        <w:tc>
          <w:tcPr>
            <w:tcW w:w="4737" w:type="dxa"/>
            <w:gridSpan w:val="4"/>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lang w:val="en-US" w:eastAsia="zh-CN"/>
              </w:rPr>
              <w:t>乐至县劳动镇人民政府</w:t>
            </w:r>
            <w:r>
              <w:rPr>
                <w:rFonts w:hint="eastAsia"/>
                <w:color w:val="000000"/>
                <w:kern w:val="0"/>
                <w:szCs w:val="21"/>
              </w:rPr>
              <w:t>　</w:t>
            </w:r>
          </w:p>
        </w:tc>
        <w:tc>
          <w:tcPr>
            <w:tcW w:w="1762"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预算单位编码</w:t>
            </w:r>
          </w:p>
        </w:tc>
        <w:tc>
          <w:tcPr>
            <w:tcW w:w="2203"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321001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9" w:hRule="atLeast"/>
          <w:jc w:val="center"/>
        </w:trPr>
        <w:tc>
          <w:tcPr>
            <w:tcW w:w="885" w:type="dxa"/>
            <w:vMerge w:val="restart"/>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预算执行情况</w:t>
            </w:r>
          </w:p>
        </w:tc>
        <w:tc>
          <w:tcPr>
            <w:tcW w:w="1058"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项目</w:t>
            </w:r>
          </w:p>
        </w:tc>
        <w:tc>
          <w:tcPr>
            <w:tcW w:w="1189"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预算额</w:t>
            </w:r>
            <w:r>
              <w:rPr>
                <w:rFonts w:hint="default"/>
                <w:color w:val="000000"/>
                <w:kern w:val="0"/>
                <w:szCs w:val="21"/>
              </w:rPr>
              <w:t>(</w:t>
            </w:r>
            <w:r>
              <w:rPr>
                <w:rFonts w:hint="eastAsia"/>
                <w:color w:val="000000"/>
                <w:kern w:val="0"/>
                <w:szCs w:val="21"/>
                <w:lang w:eastAsia="zh-CN"/>
              </w:rPr>
              <w:t>万元</w:t>
            </w:r>
            <w:r>
              <w:rPr>
                <w:rFonts w:hint="default"/>
                <w:color w:val="000000"/>
                <w:kern w:val="0"/>
                <w:szCs w:val="21"/>
              </w:rPr>
              <w:t>)</w:t>
            </w:r>
          </w:p>
        </w:tc>
        <w:tc>
          <w:tcPr>
            <w:tcW w:w="1245"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执行额</w:t>
            </w:r>
            <w:r>
              <w:rPr>
                <w:rFonts w:hint="default"/>
                <w:color w:val="000000"/>
                <w:kern w:val="0"/>
                <w:szCs w:val="21"/>
              </w:rPr>
              <w:t>(</w:t>
            </w:r>
            <w:r>
              <w:rPr>
                <w:rFonts w:hint="eastAsia"/>
                <w:color w:val="000000"/>
                <w:kern w:val="0"/>
                <w:szCs w:val="21"/>
                <w:lang w:eastAsia="zh-CN"/>
              </w:rPr>
              <w:t>万元</w:t>
            </w:r>
            <w:r>
              <w:rPr>
                <w:rFonts w:hint="default"/>
                <w:color w:val="000000"/>
                <w:kern w:val="0"/>
                <w:szCs w:val="21"/>
              </w:rPr>
              <w:t>)</w:t>
            </w:r>
          </w:p>
        </w:tc>
        <w:tc>
          <w:tcPr>
            <w:tcW w:w="1245"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当年结转结余额</w:t>
            </w:r>
            <w:r>
              <w:rPr>
                <w:rFonts w:hint="default"/>
                <w:color w:val="000000"/>
                <w:kern w:val="0"/>
                <w:szCs w:val="21"/>
              </w:rPr>
              <w:t>(</w:t>
            </w:r>
            <w:r>
              <w:rPr>
                <w:rFonts w:hint="eastAsia"/>
                <w:color w:val="000000"/>
                <w:kern w:val="0"/>
                <w:szCs w:val="21"/>
              </w:rPr>
              <w:t>百元</w:t>
            </w:r>
            <w:r>
              <w:rPr>
                <w:rFonts w:hint="default"/>
                <w:color w:val="000000"/>
                <w:kern w:val="0"/>
                <w:szCs w:val="21"/>
              </w:rPr>
              <w:t>)</w:t>
            </w:r>
          </w:p>
        </w:tc>
        <w:tc>
          <w:tcPr>
            <w:tcW w:w="1762"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结转结余率</w:t>
            </w:r>
            <w:r>
              <w:rPr>
                <w:rFonts w:hint="default"/>
                <w:color w:val="000000"/>
                <w:kern w:val="0"/>
                <w:szCs w:val="21"/>
              </w:rPr>
              <w:t>%</w:t>
            </w:r>
          </w:p>
        </w:tc>
        <w:tc>
          <w:tcPr>
            <w:tcW w:w="2203"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结转结余变动率</w:t>
            </w:r>
            <w:r>
              <w:rPr>
                <w:rFonts w:hint="default"/>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85" w:type="dxa"/>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p>
        </w:tc>
        <w:tc>
          <w:tcPr>
            <w:tcW w:w="1058"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合</w:t>
            </w:r>
            <w:r>
              <w:rPr>
                <w:rFonts w:hint="default"/>
                <w:color w:val="000000"/>
                <w:kern w:val="0"/>
                <w:szCs w:val="21"/>
              </w:rPr>
              <w:t xml:space="preserve">   </w:t>
            </w:r>
            <w:r>
              <w:rPr>
                <w:rFonts w:hint="eastAsia"/>
                <w:color w:val="000000"/>
                <w:kern w:val="0"/>
                <w:szCs w:val="21"/>
              </w:rPr>
              <w:t>计</w:t>
            </w:r>
          </w:p>
        </w:tc>
        <w:tc>
          <w:tcPr>
            <w:tcW w:w="1189"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22</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lang w:val="en-US" w:eastAsia="zh-CN"/>
              </w:rPr>
              <w:t>22</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762"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203"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85" w:type="dxa"/>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p>
        </w:tc>
        <w:tc>
          <w:tcPr>
            <w:tcW w:w="1058"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财政拨款</w:t>
            </w:r>
          </w:p>
        </w:tc>
        <w:tc>
          <w:tcPr>
            <w:tcW w:w="1189" w:type="dxa"/>
            <w:noWrap/>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lang w:val="en-US"/>
              </w:rPr>
            </w:pPr>
            <w:r>
              <w:rPr>
                <w:rFonts w:hint="eastAsia"/>
                <w:color w:val="000000"/>
                <w:kern w:val="0"/>
                <w:szCs w:val="21"/>
              </w:rPr>
              <w:t>　</w:t>
            </w:r>
            <w:r>
              <w:rPr>
                <w:rFonts w:hint="eastAsia"/>
                <w:color w:val="000000"/>
                <w:kern w:val="0"/>
                <w:szCs w:val="21"/>
                <w:lang w:val="en-US" w:eastAsia="zh-CN"/>
              </w:rPr>
              <w:t>22</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lang w:val="en-US"/>
              </w:rPr>
            </w:pPr>
            <w:r>
              <w:rPr>
                <w:rFonts w:hint="eastAsia"/>
                <w:color w:val="000000"/>
                <w:kern w:val="0"/>
                <w:szCs w:val="21"/>
                <w:lang w:val="en-US" w:eastAsia="zh-CN"/>
              </w:rPr>
              <w:t>22</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762"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203"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85" w:type="dxa"/>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p>
        </w:tc>
        <w:tc>
          <w:tcPr>
            <w:tcW w:w="1058"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其他资金</w:t>
            </w:r>
          </w:p>
        </w:tc>
        <w:tc>
          <w:tcPr>
            <w:tcW w:w="1189"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762"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203"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2" w:hRule="atLeast"/>
          <w:jc w:val="center"/>
        </w:trPr>
        <w:tc>
          <w:tcPr>
            <w:tcW w:w="885" w:type="dxa"/>
            <w:vMerge w:val="restart"/>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财政拨款结构</w:t>
            </w:r>
          </w:p>
        </w:tc>
        <w:tc>
          <w:tcPr>
            <w:tcW w:w="1058"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项目</w:t>
            </w:r>
          </w:p>
        </w:tc>
        <w:tc>
          <w:tcPr>
            <w:tcW w:w="1189"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合计</w:t>
            </w:r>
          </w:p>
        </w:tc>
        <w:tc>
          <w:tcPr>
            <w:tcW w:w="1245"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一般公共预算安排</w:t>
            </w:r>
          </w:p>
        </w:tc>
        <w:tc>
          <w:tcPr>
            <w:tcW w:w="1245"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政府性基金预算安排</w:t>
            </w:r>
          </w:p>
        </w:tc>
        <w:tc>
          <w:tcPr>
            <w:tcW w:w="1762"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国有资本经营预算安排</w:t>
            </w:r>
          </w:p>
        </w:tc>
        <w:tc>
          <w:tcPr>
            <w:tcW w:w="2203"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85" w:type="dxa"/>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p>
        </w:tc>
        <w:tc>
          <w:tcPr>
            <w:tcW w:w="1058"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预算额</w:t>
            </w:r>
          </w:p>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default"/>
                <w:color w:val="000000"/>
                <w:kern w:val="0"/>
                <w:szCs w:val="21"/>
              </w:rPr>
              <w:t>(</w:t>
            </w:r>
            <w:r>
              <w:rPr>
                <w:rFonts w:hint="eastAsia"/>
                <w:color w:val="000000"/>
                <w:kern w:val="0"/>
                <w:szCs w:val="21"/>
              </w:rPr>
              <w:t>百元</w:t>
            </w:r>
            <w:r>
              <w:rPr>
                <w:rFonts w:hint="default"/>
                <w:color w:val="000000"/>
                <w:kern w:val="0"/>
                <w:szCs w:val="21"/>
              </w:rPr>
              <w:t>)</w:t>
            </w:r>
          </w:p>
        </w:tc>
        <w:tc>
          <w:tcPr>
            <w:tcW w:w="1189" w:type="dxa"/>
            <w:noWrap/>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lang w:val="en-US"/>
              </w:rPr>
            </w:pPr>
            <w:r>
              <w:rPr>
                <w:rFonts w:hint="eastAsia"/>
                <w:color w:val="000000"/>
                <w:kern w:val="0"/>
                <w:szCs w:val="21"/>
                <w:lang w:val="en-US" w:eastAsia="zh-CN"/>
              </w:rPr>
              <w:t>22</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lang w:val="en-US"/>
              </w:rPr>
            </w:pPr>
            <w:r>
              <w:rPr>
                <w:rFonts w:hint="eastAsia"/>
                <w:color w:val="000000"/>
                <w:kern w:val="0"/>
                <w:szCs w:val="21"/>
                <w:lang w:val="en-US" w:eastAsia="zh-CN"/>
              </w:rPr>
              <w:t>22</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762"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203"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85" w:type="dxa"/>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p>
        </w:tc>
        <w:tc>
          <w:tcPr>
            <w:tcW w:w="1058"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执行额</w:t>
            </w:r>
          </w:p>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default"/>
                <w:color w:val="000000"/>
                <w:kern w:val="0"/>
                <w:szCs w:val="21"/>
              </w:rPr>
              <w:t>(</w:t>
            </w:r>
            <w:r>
              <w:rPr>
                <w:rFonts w:hint="eastAsia"/>
                <w:color w:val="000000"/>
                <w:kern w:val="0"/>
                <w:szCs w:val="21"/>
              </w:rPr>
              <w:t>百元</w:t>
            </w:r>
            <w:r>
              <w:rPr>
                <w:rFonts w:hint="default"/>
                <w:color w:val="000000"/>
                <w:kern w:val="0"/>
                <w:szCs w:val="21"/>
              </w:rPr>
              <w:t>)</w:t>
            </w:r>
          </w:p>
        </w:tc>
        <w:tc>
          <w:tcPr>
            <w:tcW w:w="1189"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lang w:val="en-US" w:eastAsia="zh-CN"/>
              </w:rPr>
              <w:t>22</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lang w:val="en-US"/>
              </w:rPr>
            </w:pPr>
            <w:r>
              <w:rPr>
                <w:rFonts w:hint="eastAsia"/>
                <w:color w:val="000000"/>
                <w:kern w:val="0"/>
                <w:szCs w:val="21"/>
                <w:lang w:val="en-US" w:eastAsia="zh-CN"/>
              </w:rPr>
              <w:t>22</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762"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203"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85" w:type="dxa"/>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p>
        </w:tc>
        <w:tc>
          <w:tcPr>
            <w:tcW w:w="1058"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当年结转结余额</w:t>
            </w:r>
            <w:r>
              <w:rPr>
                <w:rFonts w:hint="default"/>
                <w:color w:val="000000"/>
                <w:kern w:val="0"/>
                <w:szCs w:val="21"/>
              </w:rPr>
              <w:t>(</w:t>
            </w:r>
            <w:r>
              <w:rPr>
                <w:rFonts w:hint="eastAsia"/>
                <w:color w:val="000000"/>
                <w:kern w:val="0"/>
                <w:szCs w:val="21"/>
              </w:rPr>
              <w:t>百元</w:t>
            </w:r>
            <w:r>
              <w:rPr>
                <w:rFonts w:hint="default"/>
                <w:color w:val="000000"/>
                <w:kern w:val="0"/>
                <w:szCs w:val="21"/>
              </w:rPr>
              <w:t>)</w:t>
            </w:r>
          </w:p>
        </w:tc>
        <w:tc>
          <w:tcPr>
            <w:tcW w:w="1189"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762"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203"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85" w:type="dxa"/>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p>
        </w:tc>
        <w:tc>
          <w:tcPr>
            <w:tcW w:w="1058"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结转结余率</w:t>
            </w:r>
            <w:r>
              <w:rPr>
                <w:rFonts w:hint="default"/>
                <w:color w:val="000000"/>
                <w:kern w:val="0"/>
                <w:szCs w:val="21"/>
              </w:rPr>
              <w:t>%</w:t>
            </w:r>
          </w:p>
        </w:tc>
        <w:tc>
          <w:tcPr>
            <w:tcW w:w="1189"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r>
              <w:rPr>
                <w:rFonts w:hint="eastAsia"/>
                <w:color w:val="000000"/>
                <w:kern w:val="0"/>
                <w:szCs w:val="21"/>
              </w:rPr>
              <w:t>　</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762"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203"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85" w:type="dxa"/>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p>
        </w:tc>
        <w:tc>
          <w:tcPr>
            <w:tcW w:w="1058"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结转结余变动率</w:t>
            </w:r>
            <w:r>
              <w:rPr>
                <w:rFonts w:hint="default"/>
                <w:color w:val="000000"/>
                <w:kern w:val="0"/>
                <w:szCs w:val="21"/>
              </w:rPr>
              <w:t>%</w:t>
            </w:r>
          </w:p>
        </w:tc>
        <w:tc>
          <w:tcPr>
            <w:tcW w:w="1189"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762"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203"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5" w:hRule="atLeast"/>
          <w:jc w:val="center"/>
        </w:trPr>
        <w:tc>
          <w:tcPr>
            <w:tcW w:w="885" w:type="dxa"/>
            <w:vMerge w:val="restart"/>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年度总体目标</w:t>
            </w:r>
          </w:p>
        </w:tc>
        <w:tc>
          <w:tcPr>
            <w:tcW w:w="2247" w:type="dxa"/>
            <w:gridSpan w:val="2"/>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预算总体目标</w:t>
            </w:r>
          </w:p>
        </w:tc>
        <w:tc>
          <w:tcPr>
            <w:tcW w:w="2490" w:type="dxa"/>
            <w:gridSpan w:val="2"/>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预算总体目标执行结果</w:t>
            </w:r>
          </w:p>
        </w:tc>
        <w:tc>
          <w:tcPr>
            <w:tcW w:w="396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85" w:type="dxa"/>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p>
        </w:tc>
        <w:tc>
          <w:tcPr>
            <w:tcW w:w="2247" w:type="dxa"/>
            <w:gridSpan w:val="2"/>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lang w:val="en-US" w:eastAsia="zh-CN"/>
              </w:rPr>
              <w:t>保障薛苞大桥建设项目顺利进行。</w:t>
            </w:r>
          </w:p>
        </w:tc>
        <w:tc>
          <w:tcPr>
            <w:tcW w:w="2490" w:type="dxa"/>
            <w:gridSpan w:val="2"/>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lang w:val="en-US"/>
              </w:rPr>
            </w:pPr>
            <w:r>
              <w:rPr>
                <w:rFonts w:hint="eastAsia"/>
                <w:color w:val="000000"/>
                <w:kern w:val="0"/>
                <w:szCs w:val="21"/>
                <w:lang w:val="en-US" w:eastAsia="zh-CN"/>
              </w:rPr>
              <w:t>规定时间内顺利完成了预算书，施工图纸，工程勘察报告，环境影响评估报告，水土保持方案，施工图技术审查</w:t>
            </w:r>
          </w:p>
        </w:tc>
        <w:tc>
          <w:tcPr>
            <w:tcW w:w="3965" w:type="dxa"/>
            <w:gridSpan w:val="2"/>
            <w:noWrap/>
            <w:vAlign w:val="center"/>
          </w:tcPr>
          <w:p>
            <w:pPr>
              <w:keepNext w:val="0"/>
              <w:keepLines w:val="0"/>
              <w:widowControl/>
              <w:suppressLineNumbers w:val="0"/>
              <w:spacing w:before="0" w:beforeAutospacing="0" w:after="0" w:afterAutospacing="0" w:line="240" w:lineRule="exact"/>
              <w:ind w:left="0" w:right="0"/>
              <w:jc w:val="center"/>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0" w:hRule="atLeast"/>
          <w:jc w:val="center"/>
        </w:trPr>
        <w:tc>
          <w:tcPr>
            <w:tcW w:w="885" w:type="dxa"/>
            <w:vMerge w:val="restart"/>
            <w:noWrap/>
            <w:vAlign w:val="center"/>
          </w:tcPr>
          <w:p>
            <w:pPr>
              <w:keepNext w:val="0"/>
              <w:keepLines w:val="0"/>
              <w:widowControl/>
              <w:suppressLineNumbers w:val="0"/>
              <w:spacing w:before="0" w:beforeAutospacing="0" w:after="0" w:afterAutospacing="0" w:line="240" w:lineRule="exact"/>
              <w:ind w:left="0" w:right="0"/>
              <w:jc w:val="center"/>
              <w:rPr>
                <w:rFonts w:hint="eastAsia"/>
                <w:color w:val="000000"/>
                <w:kern w:val="0"/>
                <w:szCs w:val="21"/>
              </w:rPr>
            </w:pPr>
          </w:p>
          <w:p>
            <w:pPr>
              <w:keepNext w:val="0"/>
              <w:keepLines w:val="0"/>
              <w:widowControl/>
              <w:suppressLineNumbers w:val="0"/>
              <w:spacing w:before="0" w:beforeAutospacing="0" w:after="0" w:afterAutospacing="0" w:line="240" w:lineRule="exact"/>
              <w:ind w:left="0" w:right="0"/>
              <w:jc w:val="both"/>
              <w:rPr>
                <w:rFonts w:hint="eastAsia"/>
                <w:color w:val="000000"/>
                <w:kern w:val="0"/>
                <w:szCs w:val="21"/>
              </w:rPr>
            </w:pPr>
          </w:p>
          <w:p>
            <w:pPr>
              <w:keepNext w:val="0"/>
              <w:keepLines w:val="0"/>
              <w:widowControl/>
              <w:suppressLineNumbers w:val="0"/>
              <w:spacing w:before="0" w:beforeAutospacing="0" w:after="0" w:afterAutospacing="0" w:line="240" w:lineRule="exact"/>
              <w:ind w:left="0" w:right="0"/>
              <w:jc w:val="center"/>
              <w:rPr>
                <w:rFonts w:hint="eastAsia"/>
                <w:color w:val="000000"/>
                <w:kern w:val="0"/>
                <w:szCs w:val="21"/>
              </w:rPr>
            </w:pPr>
          </w:p>
          <w:p>
            <w:pPr>
              <w:keepNext w:val="0"/>
              <w:keepLines w:val="0"/>
              <w:widowControl/>
              <w:suppressLineNumbers w:val="0"/>
              <w:spacing w:before="0" w:beforeAutospacing="0" w:after="0" w:afterAutospacing="0" w:line="240" w:lineRule="exact"/>
              <w:ind w:left="0" w:right="0"/>
              <w:jc w:val="center"/>
              <w:rPr>
                <w:rFonts w:hint="eastAsia"/>
                <w:color w:val="000000"/>
                <w:kern w:val="0"/>
                <w:szCs w:val="21"/>
              </w:rPr>
            </w:pP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Cs w:val="21"/>
              </w:rPr>
            </w:pP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度</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绩</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效</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指</w:t>
            </w:r>
          </w:p>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ascii="宋体" w:hAnsi="宋体" w:eastAsia="宋体" w:cs="宋体"/>
                <w:color w:val="000000"/>
                <w:kern w:val="0"/>
                <w:sz w:val="21"/>
                <w:szCs w:val="21"/>
              </w:rPr>
              <w:t>标</w:t>
            </w:r>
          </w:p>
        </w:tc>
        <w:tc>
          <w:tcPr>
            <w:tcW w:w="1058"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一级</w:t>
            </w:r>
          </w:p>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指标</w:t>
            </w:r>
          </w:p>
        </w:tc>
        <w:tc>
          <w:tcPr>
            <w:tcW w:w="1189"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二级指标</w:t>
            </w:r>
          </w:p>
        </w:tc>
        <w:tc>
          <w:tcPr>
            <w:tcW w:w="1245"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三级</w:t>
            </w:r>
          </w:p>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指标</w:t>
            </w:r>
          </w:p>
        </w:tc>
        <w:tc>
          <w:tcPr>
            <w:tcW w:w="1245"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预算指标值</w:t>
            </w:r>
            <w:r>
              <w:rPr>
                <w:rFonts w:hint="default"/>
                <w:color w:val="000000"/>
                <w:kern w:val="0"/>
                <w:szCs w:val="21"/>
              </w:rPr>
              <w:t>(</w:t>
            </w:r>
            <w:r>
              <w:rPr>
                <w:rFonts w:hint="eastAsia"/>
                <w:color w:val="000000"/>
                <w:kern w:val="0"/>
                <w:szCs w:val="21"/>
              </w:rPr>
              <w:t>包含数字及文字描述</w:t>
            </w:r>
            <w:r>
              <w:rPr>
                <w:rFonts w:hint="default"/>
                <w:color w:val="000000"/>
                <w:kern w:val="0"/>
                <w:szCs w:val="21"/>
              </w:rPr>
              <w:t>)</w:t>
            </w:r>
          </w:p>
        </w:tc>
        <w:tc>
          <w:tcPr>
            <w:tcW w:w="1762"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预算指标值执行结果</w:t>
            </w:r>
            <w:r>
              <w:rPr>
                <w:rFonts w:hint="default"/>
                <w:color w:val="000000"/>
                <w:kern w:val="0"/>
                <w:szCs w:val="21"/>
              </w:rPr>
              <w:t>(</w:t>
            </w:r>
            <w:r>
              <w:rPr>
                <w:rFonts w:hint="eastAsia"/>
                <w:color w:val="000000"/>
                <w:kern w:val="0"/>
                <w:szCs w:val="21"/>
              </w:rPr>
              <w:t>包含数字及文字描述</w:t>
            </w:r>
            <w:r>
              <w:rPr>
                <w:rFonts w:hint="default"/>
                <w:color w:val="000000"/>
                <w:kern w:val="0"/>
                <w:szCs w:val="21"/>
              </w:rPr>
              <w:t>)</w:t>
            </w:r>
          </w:p>
        </w:tc>
        <w:tc>
          <w:tcPr>
            <w:tcW w:w="2203"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5" w:hRule="atLeast"/>
          <w:jc w:val="center"/>
        </w:trPr>
        <w:tc>
          <w:tcPr>
            <w:tcW w:w="885" w:type="dxa"/>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p>
        </w:tc>
        <w:tc>
          <w:tcPr>
            <w:tcW w:w="1058" w:type="dxa"/>
            <w:vMerge w:val="restart"/>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项目</w:t>
            </w:r>
          </w:p>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完成</w:t>
            </w:r>
          </w:p>
        </w:tc>
        <w:tc>
          <w:tcPr>
            <w:tcW w:w="1189"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数量</w:t>
            </w:r>
          </w:p>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指标</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rPr>
              <w:t>指标</w:t>
            </w:r>
            <w:r>
              <w:rPr>
                <w:rFonts w:hint="default"/>
                <w:color w:val="000000"/>
                <w:kern w:val="0"/>
                <w:szCs w:val="21"/>
              </w:rPr>
              <w:t>1</w:t>
            </w:r>
            <w:r>
              <w:rPr>
                <w:rFonts w:hint="eastAsia"/>
                <w:color w:val="000000"/>
                <w:kern w:val="0"/>
                <w:szCs w:val="21"/>
                <w:lang w:val="en-US" w:eastAsia="zh-CN"/>
              </w:rPr>
              <w:t>:薛苞大桥建设项目前期工作</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lang w:val="en-US" w:eastAsia="zh-CN"/>
              </w:rPr>
              <w:t>预算书1，施工图纸3，工程勘察报告1，环境影响评估报告1，水土保持方案1</w:t>
            </w:r>
          </w:p>
        </w:tc>
        <w:tc>
          <w:tcPr>
            <w:tcW w:w="1762"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lang w:val="en-US" w:eastAsia="zh-CN"/>
              </w:rPr>
              <w:t>按时完成相应数量的预算书1，施工图纸3，工程勘察报告1，环境影响评估报告1，水土保持方案1，施工图技术审查。</w:t>
            </w:r>
          </w:p>
        </w:tc>
        <w:tc>
          <w:tcPr>
            <w:tcW w:w="2203"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50" w:hRule="atLeast"/>
          <w:jc w:val="center"/>
        </w:trPr>
        <w:tc>
          <w:tcPr>
            <w:tcW w:w="885" w:type="dxa"/>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p>
        </w:tc>
        <w:tc>
          <w:tcPr>
            <w:tcW w:w="1058" w:type="dxa"/>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p>
        </w:tc>
        <w:tc>
          <w:tcPr>
            <w:tcW w:w="1189"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质量</w:t>
            </w:r>
          </w:p>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指标</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rPr>
              <w:t>指标</w:t>
            </w:r>
            <w:r>
              <w:rPr>
                <w:rFonts w:hint="default"/>
                <w:color w:val="000000"/>
                <w:kern w:val="0"/>
                <w:szCs w:val="21"/>
              </w:rPr>
              <w:t>1:</w:t>
            </w:r>
            <w:r>
              <w:rPr>
                <w:rFonts w:hint="eastAsia"/>
                <w:color w:val="000000"/>
                <w:kern w:val="0"/>
                <w:szCs w:val="21"/>
                <w:lang w:val="en-US" w:eastAsia="zh-CN"/>
              </w:rPr>
              <w:t>工作完成率合格率</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等于100%</w:t>
            </w:r>
          </w:p>
        </w:tc>
        <w:tc>
          <w:tcPr>
            <w:tcW w:w="1762"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lang w:val="en-US" w:eastAsia="zh-CN"/>
              </w:rPr>
              <w:t>工作完成率100%</w:t>
            </w:r>
          </w:p>
        </w:tc>
        <w:tc>
          <w:tcPr>
            <w:tcW w:w="2203"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85" w:type="dxa"/>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p>
        </w:tc>
        <w:tc>
          <w:tcPr>
            <w:tcW w:w="1058" w:type="dxa"/>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p>
        </w:tc>
        <w:tc>
          <w:tcPr>
            <w:tcW w:w="1189"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成本</w:t>
            </w:r>
          </w:p>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指标</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rPr>
              <w:t>指标</w:t>
            </w:r>
            <w:r>
              <w:rPr>
                <w:rFonts w:hint="default"/>
                <w:color w:val="000000"/>
                <w:kern w:val="0"/>
                <w:szCs w:val="21"/>
              </w:rPr>
              <w:t>1:</w:t>
            </w:r>
            <w:r>
              <w:rPr>
                <w:rFonts w:hint="eastAsia"/>
                <w:color w:val="000000"/>
                <w:kern w:val="0"/>
                <w:szCs w:val="21"/>
                <w:lang w:val="en-US" w:eastAsia="zh-CN"/>
              </w:rPr>
              <w:t>工作经费</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小于等于22.7万元</w:t>
            </w:r>
          </w:p>
        </w:tc>
        <w:tc>
          <w:tcPr>
            <w:tcW w:w="1762"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lang w:val="en-US" w:eastAsia="zh-CN"/>
              </w:rPr>
              <w:t>财政拨款22.7万元。</w:t>
            </w:r>
          </w:p>
        </w:tc>
        <w:tc>
          <w:tcPr>
            <w:tcW w:w="2203"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85" w:type="dxa"/>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p>
        </w:tc>
        <w:tc>
          <w:tcPr>
            <w:tcW w:w="1058"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lang w:val="en-US"/>
              </w:rPr>
            </w:pPr>
            <w:r>
              <w:rPr>
                <w:rFonts w:hint="eastAsia" w:ascii="Times New Roman" w:hAnsi="Times New Roman" w:eastAsia="宋体" w:cs="宋体"/>
                <w:color w:val="000000"/>
                <w:kern w:val="0"/>
                <w:sz w:val="21"/>
                <w:szCs w:val="21"/>
                <w:lang w:val="en-US" w:eastAsia="zh-CN" w:bidi="ar"/>
              </w:rPr>
              <w:t>项目</w:t>
            </w:r>
          </w:p>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ascii="Times New Roman" w:hAnsi="Times New Roman" w:eastAsia="宋体" w:cs="Times New Roman"/>
                <w:color w:val="000000"/>
                <w:kern w:val="2"/>
                <w:sz w:val="21"/>
                <w:szCs w:val="21"/>
                <w:lang w:val="en-US" w:eastAsia="zh-CN" w:bidi="ar"/>
              </w:rPr>
              <w:t>效益</w:t>
            </w:r>
          </w:p>
        </w:tc>
        <w:tc>
          <w:tcPr>
            <w:tcW w:w="1189"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社会效益指标</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rPr>
              <w:t>指标</w:t>
            </w:r>
            <w:r>
              <w:rPr>
                <w:rFonts w:hint="default"/>
                <w:color w:val="000000"/>
                <w:kern w:val="0"/>
                <w:szCs w:val="21"/>
              </w:rPr>
              <w:t>1:</w:t>
            </w:r>
            <w:r>
              <w:rPr>
                <w:rFonts w:hint="eastAsia"/>
                <w:color w:val="000000"/>
                <w:kern w:val="0"/>
                <w:szCs w:val="21"/>
                <w:lang w:val="en-US" w:eastAsia="zh-CN"/>
              </w:rPr>
              <w:t>推动项目建设、完善基础设施、方便群众出行</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等于100%</w:t>
            </w:r>
          </w:p>
        </w:tc>
        <w:tc>
          <w:tcPr>
            <w:tcW w:w="1762" w:type="dxa"/>
            <w:noWrap/>
            <w:vAlign w:val="center"/>
          </w:tcPr>
          <w:p>
            <w:pPr>
              <w:keepNext w:val="0"/>
              <w:keepLines w:val="0"/>
              <w:widowControl/>
              <w:suppressLineNumbers w:val="0"/>
              <w:spacing w:before="0" w:beforeAutospacing="0" w:after="0" w:afterAutospacing="0" w:line="240" w:lineRule="exact"/>
              <w:ind w:left="0" w:right="0"/>
              <w:jc w:val="left"/>
              <w:rPr>
                <w:rFonts w:hint="default" w:eastAsia="宋体"/>
                <w:color w:val="000000"/>
                <w:kern w:val="0"/>
                <w:szCs w:val="21"/>
                <w:lang w:val="en-US" w:eastAsia="zh-CN"/>
              </w:rPr>
            </w:pPr>
            <w:r>
              <w:rPr>
                <w:rFonts w:hint="eastAsia"/>
                <w:color w:val="000000"/>
                <w:kern w:val="0"/>
                <w:szCs w:val="21"/>
                <w:lang w:val="en-US" w:eastAsia="zh-CN"/>
              </w:rPr>
              <w:t>100%</w:t>
            </w:r>
          </w:p>
        </w:tc>
        <w:tc>
          <w:tcPr>
            <w:tcW w:w="2203" w:type="dxa"/>
            <w:noWrap/>
            <w:vAlign w:val="center"/>
          </w:tcPr>
          <w:p>
            <w:pPr>
              <w:keepNext w:val="0"/>
              <w:keepLines w:val="0"/>
              <w:widowControl/>
              <w:suppressLineNumbers w:val="0"/>
              <w:spacing w:before="0" w:beforeAutospacing="0" w:after="0" w:afterAutospacing="0" w:line="240" w:lineRule="exact"/>
              <w:ind w:left="0" w:right="0"/>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85" w:type="dxa"/>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color w:val="000000"/>
                <w:kern w:val="0"/>
                <w:szCs w:val="21"/>
              </w:rPr>
            </w:pPr>
          </w:p>
        </w:tc>
        <w:tc>
          <w:tcPr>
            <w:tcW w:w="1058" w:type="dxa"/>
            <w:noWrap/>
            <w:vAlign w:val="center"/>
          </w:tcPr>
          <w:p>
            <w:pPr>
              <w:keepNext w:val="0"/>
              <w:keepLines w:val="0"/>
              <w:widowControl/>
              <w:suppressLineNumbers w:val="0"/>
              <w:spacing w:before="0" w:beforeAutospacing="0" w:after="0" w:afterAutospacing="0" w:line="240" w:lineRule="exact"/>
              <w:ind w:left="0" w:right="0"/>
              <w:jc w:val="center"/>
              <w:rPr>
                <w:rFonts w:hint="default"/>
                <w:color w:val="000000"/>
                <w:kern w:val="0"/>
                <w:szCs w:val="21"/>
              </w:rPr>
            </w:pPr>
            <w:r>
              <w:rPr>
                <w:rFonts w:hint="eastAsia"/>
                <w:color w:val="000000"/>
                <w:kern w:val="0"/>
                <w:szCs w:val="21"/>
              </w:rPr>
              <w:t>满意度</w:t>
            </w:r>
          </w:p>
          <w:p>
            <w:pPr>
              <w:keepNext w:val="0"/>
              <w:keepLines w:val="0"/>
              <w:widowControl/>
              <w:suppressLineNumbers w:val="0"/>
              <w:spacing w:before="0" w:beforeAutospacing="0" w:after="0" w:afterAutospacing="0" w:line="240" w:lineRule="exact"/>
              <w:ind w:left="0" w:right="0"/>
              <w:jc w:val="center"/>
              <w:rPr>
                <w:rFonts w:hint="eastAsia"/>
                <w:color w:val="000000"/>
                <w:kern w:val="0"/>
                <w:szCs w:val="21"/>
              </w:rPr>
            </w:pPr>
            <w:r>
              <w:rPr>
                <w:rFonts w:hint="eastAsia"/>
                <w:color w:val="000000"/>
                <w:kern w:val="0"/>
                <w:szCs w:val="21"/>
              </w:rPr>
              <w:t>指标</w:t>
            </w:r>
          </w:p>
        </w:tc>
        <w:tc>
          <w:tcPr>
            <w:tcW w:w="1189" w:type="dxa"/>
            <w:noWrap/>
            <w:vAlign w:val="center"/>
          </w:tcPr>
          <w:p>
            <w:pPr>
              <w:keepNext w:val="0"/>
              <w:keepLines w:val="0"/>
              <w:widowControl/>
              <w:suppressLineNumbers w:val="0"/>
              <w:spacing w:before="0" w:beforeAutospacing="0" w:after="0" w:afterAutospacing="0" w:line="240" w:lineRule="exact"/>
              <w:ind w:left="0" w:right="0"/>
              <w:jc w:val="center"/>
              <w:rPr>
                <w:rFonts w:hint="eastAsia"/>
                <w:color w:val="000000"/>
                <w:kern w:val="0"/>
                <w:szCs w:val="21"/>
              </w:rPr>
            </w:pPr>
            <w:r>
              <w:rPr>
                <w:rFonts w:hint="eastAsia"/>
                <w:color w:val="000000"/>
                <w:kern w:val="0"/>
                <w:szCs w:val="21"/>
              </w:rPr>
              <w:t>满意度指标</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eastAsia"/>
                <w:color w:val="000000"/>
                <w:kern w:val="0"/>
                <w:szCs w:val="21"/>
              </w:rPr>
            </w:pPr>
            <w:r>
              <w:rPr>
                <w:rFonts w:hint="eastAsia"/>
                <w:color w:val="000000"/>
                <w:kern w:val="0"/>
                <w:szCs w:val="21"/>
              </w:rPr>
              <w:t>指标</w:t>
            </w:r>
            <w:r>
              <w:rPr>
                <w:rFonts w:hint="default"/>
                <w:color w:val="000000"/>
                <w:kern w:val="0"/>
                <w:szCs w:val="21"/>
              </w:rPr>
              <w:t>1:</w:t>
            </w:r>
            <w:r>
              <w:rPr>
                <w:rFonts w:hint="eastAsia"/>
                <w:color w:val="000000"/>
                <w:kern w:val="0"/>
                <w:szCs w:val="21"/>
                <w:lang w:val="en-US" w:eastAsia="zh-CN"/>
              </w:rPr>
              <w:t>群众满意度</w:t>
            </w:r>
          </w:p>
        </w:tc>
        <w:tc>
          <w:tcPr>
            <w:tcW w:w="1245" w:type="dxa"/>
            <w:noWrap/>
            <w:vAlign w:val="center"/>
          </w:tcPr>
          <w:p>
            <w:pPr>
              <w:keepNext w:val="0"/>
              <w:keepLines w:val="0"/>
              <w:widowControl/>
              <w:suppressLineNumbers w:val="0"/>
              <w:spacing w:before="0" w:beforeAutospacing="0" w:after="0" w:afterAutospacing="0" w:line="240" w:lineRule="exact"/>
              <w:ind w:left="0" w:right="0"/>
              <w:jc w:val="left"/>
              <w:rPr>
                <w:rFonts w:hint="eastAsia"/>
                <w:color w:val="000000"/>
                <w:kern w:val="0"/>
                <w:szCs w:val="21"/>
              </w:rPr>
            </w:pPr>
            <w:r>
              <w:rPr>
                <w:rFonts w:hint="eastAsia"/>
                <w:color w:val="000000"/>
                <w:kern w:val="0"/>
                <w:szCs w:val="21"/>
              </w:rPr>
              <w:t>　</w:t>
            </w:r>
            <w:r>
              <w:rPr>
                <w:rFonts w:hint="eastAsia"/>
                <w:color w:val="000000"/>
                <w:kern w:val="0"/>
                <w:szCs w:val="21"/>
                <w:lang w:val="en-US" w:eastAsia="zh-CN"/>
              </w:rPr>
              <w:t>大于等于90%</w:t>
            </w:r>
          </w:p>
        </w:tc>
        <w:tc>
          <w:tcPr>
            <w:tcW w:w="1762" w:type="dxa"/>
            <w:noWrap/>
            <w:vAlign w:val="center"/>
          </w:tcPr>
          <w:p>
            <w:pPr>
              <w:keepNext w:val="0"/>
              <w:keepLines w:val="0"/>
              <w:widowControl/>
              <w:suppressLineNumbers w:val="0"/>
              <w:spacing w:before="0" w:beforeAutospacing="0" w:after="0" w:afterAutospacing="0" w:line="240" w:lineRule="exact"/>
              <w:ind w:left="0" w:right="0"/>
              <w:jc w:val="left"/>
              <w:rPr>
                <w:rFonts w:hint="eastAsia"/>
                <w:color w:val="000000"/>
                <w:kern w:val="0"/>
                <w:szCs w:val="21"/>
                <w:lang w:val="en-US" w:eastAsia="zh-CN"/>
              </w:rPr>
            </w:pPr>
            <w:r>
              <w:rPr>
                <w:rFonts w:hint="eastAsia"/>
                <w:color w:val="000000"/>
                <w:kern w:val="0"/>
                <w:szCs w:val="21"/>
                <w:lang w:val="en-US" w:eastAsia="zh-CN"/>
              </w:rPr>
              <w:t>满意率95%</w:t>
            </w:r>
          </w:p>
        </w:tc>
        <w:tc>
          <w:tcPr>
            <w:tcW w:w="2203" w:type="dxa"/>
            <w:noWrap/>
            <w:vAlign w:val="center"/>
          </w:tcPr>
          <w:p>
            <w:pPr>
              <w:keepNext w:val="0"/>
              <w:keepLines w:val="0"/>
              <w:widowControl/>
              <w:suppressLineNumbers w:val="0"/>
              <w:spacing w:before="0" w:beforeAutospacing="0" w:after="0" w:afterAutospacing="0" w:line="240" w:lineRule="exact"/>
              <w:ind w:left="0" w:right="0"/>
              <w:jc w:val="left"/>
              <w:rPr>
                <w:rFonts w:hint="eastAsia"/>
                <w:color w:val="000000"/>
                <w:kern w:val="0"/>
                <w:szCs w:val="21"/>
              </w:rPr>
            </w:pPr>
            <w:r>
              <w:rPr>
                <w:rFonts w:hint="eastAsia"/>
                <w:color w:val="000000"/>
                <w:kern w:val="0"/>
                <w:szCs w:val="21"/>
              </w:rPr>
              <w:t>　</w:t>
            </w:r>
            <w:r>
              <w:rPr>
                <w:rFonts w:hint="eastAsia"/>
                <w:color w:val="000000"/>
                <w:kern w:val="0"/>
                <w:szCs w:val="21"/>
                <w:lang w:val="en-US" w:eastAsia="zh-CN"/>
              </w:rPr>
              <w:t>无</w:t>
            </w:r>
          </w:p>
        </w:tc>
      </w:tr>
    </w:tbl>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2"/>
        <w:rPr>
          <w:rFonts w:hint="eastAsia" w:hAnsi="宋体" w:cs="宋体"/>
          <w:sz w:val="32"/>
          <w:szCs w:val="32"/>
          <w:shd w:val="clear" w:color="auto" w:fill="FFFFFF"/>
          <w:lang w:val="zh-CN"/>
        </w:rPr>
      </w:pPr>
    </w:p>
    <w:p>
      <w:pPr>
        <w:pStyle w:val="8"/>
        <w:spacing w:before="93"/>
        <w:rPr>
          <w:rFonts w:hint="eastAsia"/>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spacing w:line="600" w:lineRule="exact"/>
        <w:jc w:val="center"/>
        <w:outlineLvl w:val="0"/>
        <w:rPr>
          <w:rFonts w:ascii="仿宋" w:hAnsi="仿宋" w:eastAsia="仿宋"/>
        </w:rPr>
      </w:pPr>
      <w:bookmarkStart w:id="55" w:name="_Toc15396618"/>
      <w:r>
        <w:rPr>
          <w:rFonts w:hint="eastAsia" w:ascii="黑体" w:hAnsi="黑体" w:eastAsia="黑体"/>
          <w:sz w:val="44"/>
          <w:szCs w:val="44"/>
        </w:rPr>
        <w:t>第</w:t>
      </w:r>
      <w:r>
        <w:rPr>
          <w:rStyle w:val="32"/>
          <w:rFonts w:hint="eastAsia" w:ascii="黑体" w:hAnsi="黑体" w:eastAsia="黑体"/>
          <w:b w:val="0"/>
        </w:rPr>
        <w:t>五部分 附表</w:t>
      </w:r>
      <w:bookmarkEnd w:id="53"/>
      <w:bookmarkEnd w:id="55"/>
      <w:bookmarkStart w:id="56" w:name="_Toc15396619"/>
    </w:p>
    <w:p>
      <w:pPr>
        <w:pStyle w:val="4"/>
        <w:rPr>
          <w:rFonts w:ascii="仿宋" w:hAnsi="仿宋" w:eastAsia="仿宋"/>
        </w:rPr>
      </w:pPr>
      <w:r>
        <w:rPr>
          <w:rFonts w:hint="eastAsia" w:ascii="仿宋" w:hAnsi="仿宋" w:eastAsia="仿宋"/>
          <w:b w:val="0"/>
        </w:rPr>
        <w:t>一、收</w:t>
      </w:r>
      <w:r>
        <w:rPr>
          <w:rStyle w:val="33"/>
          <w:rFonts w:hint="eastAsia" w:ascii="仿宋" w:hAnsi="仿宋" w:eastAsia="仿宋"/>
          <w:b w:val="0"/>
          <w:bCs w:val="0"/>
        </w:rPr>
        <w:t>入支出决算总表</w:t>
      </w:r>
      <w:bookmarkEnd w:id="56"/>
    </w:p>
    <w:p>
      <w:pPr>
        <w:pStyle w:val="4"/>
        <w:rPr>
          <w:rFonts w:ascii="仿宋" w:hAnsi="仿宋" w:eastAsia="仿宋"/>
        </w:rPr>
      </w:pPr>
      <w:bookmarkStart w:id="57" w:name="_Toc15396620"/>
      <w:r>
        <w:rPr>
          <w:rFonts w:hint="eastAsia" w:ascii="仿宋" w:hAnsi="仿宋" w:eastAsia="仿宋"/>
          <w:b w:val="0"/>
        </w:rPr>
        <w:t>二、收</w:t>
      </w:r>
      <w:r>
        <w:rPr>
          <w:rStyle w:val="33"/>
          <w:rFonts w:hint="eastAsia" w:ascii="仿宋" w:hAnsi="仿宋" w:eastAsia="仿宋"/>
          <w:b w:val="0"/>
          <w:bCs w:val="0"/>
        </w:rPr>
        <w:t>入决算表</w:t>
      </w:r>
      <w:bookmarkEnd w:id="57"/>
    </w:p>
    <w:p>
      <w:pPr>
        <w:pStyle w:val="4"/>
        <w:rPr>
          <w:rFonts w:ascii="仿宋" w:hAnsi="仿宋" w:eastAsia="仿宋"/>
        </w:rPr>
      </w:pPr>
      <w:bookmarkStart w:id="58" w:name="_Toc15396621"/>
      <w:r>
        <w:rPr>
          <w:rStyle w:val="33"/>
          <w:rFonts w:hint="eastAsia" w:ascii="仿宋" w:hAnsi="仿宋" w:eastAsia="仿宋"/>
          <w:b w:val="0"/>
          <w:bCs w:val="0"/>
        </w:rPr>
        <w:t>三、</w:t>
      </w:r>
      <w:r>
        <w:rPr>
          <w:rFonts w:hint="eastAsia" w:ascii="仿宋" w:hAnsi="仿宋" w:eastAsia="仿宋"/>
          <w:b w:val="0"/>
        </w:rPr>
        <w:t>支</w:t>
      </w:r>
      <w:r>
        <w:rPr>
          <w:rStyle w:val="33"/>
          <w:rFonts w:hint="eastAsia" w:ascii="仿宋" w:hAnsi="仿宋" w:eastAsia="仿宋"/>
          <w:b w:val="0"/>
          <w:bCs w:val="0"/>
        </w:rPr>
        <w:t>出决算表</w:t>
      </w:r>
      <w:bookmarkEnd w:id="58"/>
    </w:p>
    <w:p>
      <w:pPr>
        <w:pStyle w:val="4"/>
        <w:rPr>
          <w:rFonts w:ascii="仿宋" w:hAnsi="仿宋" w:eastAsia="仿宋"/>
          <w:b w:val="0"/>
        </w:rPr>
      </w:pPr>
      <w:bookmarkStart w:id="59" w:name="_Toc15396622"/>
      <w:r>
        <w:rPr>
          <w:rStyle w:val="33"/>
          <w:rFonts w:hint="eastAsia" w:ascii="仿宋" w:hAnsi="仿宋" w:eastAsia="仿宋"/>
          <w:b w:val="0"/>
          <w:bCs w:val="0"/>
        </w:rPr>
        <w:t>四、</w:t>
      </w:r>
      <w:r>
        <w:rPr>
          <w:rFonts w:hint="eastAsia" w:ascii="仿宋" w:hAnsi="仿宋" w:eastAsia="仿宋"/>
          <w:b w:val="0"/>
        </w:rPr>
        <w:t>财</w:t>
      </w:r>
      <w:r>
        <w:rPr>
          <w:rStyle w:val="33"/>
          <w:rFonts w:hint="eastAsia" w:ascii="仿宋" w:hAnsi="仿宋" w:eastAsia="仿宋"/>
          <w:b w:val="0"/>
          <w:bCs w:val="0"/>
        </w:rPr>
        <w:t>政拨款收入支出决算总表</w:t>
      </w:r>
      <w:bookmarkEnd w:id="59"/>
    </w:p>
    <w:p>
      <w:pPr>
        <w:pStyle w:val="4"/>
        <w:rPr>
          <w:rStyle w:val="33"/>
          <w:rFonts w:ascii="仿宋" w:hAnsi="仿宋" w:eastAsia="仿宋"/>
          <w:b w:val="0"/>
          <w:bCs w:val="0"/>
        </w:rPr>
      </w:pPr>
      <w:bookmarkStart w:id="60" w:name="_Toc15396623"/>
      <w:r>
        <w:rPr>
          <w:rStyle w:val="33"/>
          <w:rFonts w:hint="eastAsia" w:ascii="仿宋" w:hAnsi="仿宋" w:eastAsia="仿宋"/>
          <w:b w:val="0"/>
          <w:bCs w:val="0"/>
        </w:rPr>
        <w:t>五、</w:t>
      </w:r>
      <w:r>
        <w:rPr>
          <w:rFonts w:hint="eastAsia" w:ascii="仿宋" w:hAnsi="仿宋" w:eastAsia="仿宋"/>
          <w:b w:val="0"/>
        </w:rPr>
        <w:t>财</w:t>
      </w:r>
      <w:r>
        <w:rPr>
          <w:rStyle w:val="33"/>
          <w:rFonts w:hint="eastAsia" w:ascii="仿宋" w:hAnsi="仿宋" w:eastAsia="仿宋"/>
          <w:b w:val="0"/>
          <w:bCs w:val="0"/>
        </w:rPr>
        <w:t>政拨款支出决算明细表</w:t>
      </w:r>
      <w:bookmarkEnd w:id="60"/>
      <w:bookmarkStart w:id="61" w:name="_Toc15396624"/>
    </w:p>
    <w:p>
      <w:pPr>
        <w:pStyle w:val="4"/>
        <w:rPr>
          <w:rFonts w:ascii="仿宋" w:hAnsi="仿宋" w:eastAsia="仿宋"/>
        </w:rPr>
      </w:pPr>
      <w:r>
        <w:rPr>
          <w:rStyle w:val="33"/>
          <w:rFonts w:hint="eastAsia" w:ascii="仿宋" w:hAnsi="仿宋" w:eastAsia="仿宋"/>
          <w:b w:val="0"/>
          <w:bCs w:val="0"/>
        </w:rPr>
        <w:t>六、</w:t>
      </w:r>
      <w:r>
        <w:rPr>
          <w:rFonts w:hint="eastAsia" w:ascii="仿宋" w:hAnsi="仿宋" w:eastAsia="仿宋"/>
          <w:b w:val="0"/>
        </w:rPr>
        <w:t>一</w:t>
      </w:r>
      <w:r>
        <w:rPr>
          <w:rStyle w:val="33"/>
          <w:rFonts w:hint="eastAsia" w:ascii="仿宋" w:hAnsi="仿宋" w:eastAsia="仿宋"/>
          <w:b w:val="0"/>
          <w:bCs w:val="0"/>
        </w:rPr>
        <w:t>般公共预算财政拨款支出决算表</w:t>
      </w:r>
      <w:bookmarkEnd w:id="61"/>
    </w:p>
    <w:p>
      <w:pPr>
        <w:pStyle w:val="4"/>
        <w:rPr>
          <w:rFonts w:ascii="仿宋" w:hAnsi="仿宋" w:eastAsia="仿宋"/>
        </w:rPr>
      </w:pPr>
      <w:bookmarkStart w:id="62" w:name="_Toc15396625"/>
      <w:r>
        <w:rPr>
          <w:rStyle w:val="33"/>
          <w:rFonts w:hint="eastAsia" w:ascii="仿宋" w:hAnsi="仿宋" w:eastAsia="仿宋"/>
          <w:b w:val="0"/>
          <w:bCs w:val="0"/>
        </w:rPr>
        <w:t>七、</w:t>
      </w:r>
      <w:r>
        <w:rPr>
          <w:rFonts w:hint="eastAsia" w:ascii="仿宋" w:hAnsi="仿宋" w:eastAsia="仿宋"/>
          <w:b w:val="0"/>
        </w:rPr>
        <w:t>一</w:t>
      </w:r>
      <w:r>
        <w:rPr>
          <w:rStyle w:val="33"/>
          <w:rFonts w:hint="eastAsia" w:ascii="仿宋" w:hAnsi="仿宋" w:eastAsia="仿宋"/>
          <w:b w:val="0"/>
          <w:bCs w:val="0"/>
        </w:rPr>
        <w:t>般公共预算财政拨款支出决算明细表</w:t>
      </w:r>
      <w:bookmarkEnd w:id="62"/>
    </w:p>
    <w:p>
      <w:pPr>
        <w:pStyle w:val="4"/>
        <w:rPr>
          <w:rFonts w:ascii="仿宋" w:hAnsi="仿宋" w:eastAsia="仿宋"/>
        </w:rPr>
      </w:pPr>
      <w:bookmarkStart w:id="63" w:name="_Toc15396626"/>
      <w:r>
        <w:rPr>
          <w:rStyle w:val="33"/>
          <w:rFonts w:hint="eastAsia" w:ascii="仿宋" w:hAnsi="仿宋" w:eastAsia="仿宋"/>
          <w:b w:val="0"/>
          <w:bCs w:val="0"/>
        </w:rPr>
        <w:t>八、</w:t>
      </w:r>
      <w:r>
        <w:rPr>
          <w:rFonts w:hint="eastAsia" w:ascii="仿宋" w:hAnsi="仿宋" w:eastAsia="仿宋"/>
          <w:b w:val="0"/>
        </w:rPr>
        <w:t>一</w:t>
      </w:r>
      <w:r>
        <w:rPr>
          <w:rStyle w:val="33"/>
          <w:rFonts w:hint="eastAsia" w:ascii="仿宋" w:hAnsi="仿宋" w:eastAsia="仿宋"/>
          <w:b w:val="0"/>
          <w:bCs w:val="0"/>
        </w:rPr>
        <w:t>般公共预算财政拨款基本支出决算表</w:t>
      </w:r>
      <w:bookmarkEnd w:id="63"/>
    </w:p>
    <w:p>
      <w:pPr>
        <w:pStyle w:val="4"/>
        <w:rPr>
          <w:rFonts w:ascii="仿宋" w:hAnsi="仿宋" w:eastAsia="仿宋"/>
        </w:rPr>
      </w:pPr>
      <w:bookmarkStart w:id="64" w:name="_Toc15396627"/>
      <w:r>
        <w:rPr>
          <w:rStyle w:val="33"/>
          <w:rFonts w:hint="eastAsia" w:ascii="仿宋" w:hAnsi="仿宋" w:eastAsia="仿宋"/>
          <w:b w:val="0"/>
          <w:bCs w:val="0"/>
        </w:rPr>
        <w:t>九、</w:t>
      </w:r>
      <w:r>
        <w:rPr>
          <w:rFonts w:hint="eastAsia" w:ascii="仿宋" w:hAnsi="仿宋" w:eastAsia="仿宋"/>
          <w:b w:val="0"/>
        </w:rPr>
        <w:t>一</w:t>
      </w:r>
      <w:r>
        <w:rPr>
          <w:rStyle w:val="33"/>
          <w:rFonts w:hint="eastAsia" w:ascii="仿宋" w:hAnsi="仿宋" w:eastAsia="仿宋"/>
          <w:b w:val="0"/>
          <w:bCs w:val="0"/>
        </w:rPr>
        <w:t>般公共预算财政拨款项目支出决算表</w:t>
      </w:r>
      <w:bookmarkEnd w:id="64"/>
    </w:p>
    <w:p>
      <w:pPr>
        <w:pStyle w:val="4"/>
        <w:rPr>
          <w:rFonts w:ascii="仿宋" w:hAnsi="仿宋" w:eastAsia="仿宋"/>
        </w:rPr>
      </w:pPr>
      <w:bookmarkStart w:id="65" w:name="_Toc15396628"/>
      <w:r>
        <w:rPr>
          <w:rStyle w:val="33"/>
          <w:rFonts w:hint="eastAsia" w:ascii="仿宋" w:hAnsi="仿宋" w:eastAsia="仿宋"/>
          <w:b w:val="0"/>
          <w:bCs w:val="0"/>
        </w:rPr>
        <w:t>十、</w:t>
      </w:r>
      <w:bookmarkEnd w:id="65"/>
      <w:r>
        <w:rPr>
          <w:rFonts w:hint="eastAsia" w:ascii="仿宋" w:hAnsi="仿宋" w:eastAsia="仿宋"/>
          <w:b w:val="0"/>
        </w:rPr>
        <w:t>政</w:t>
      </w:r>
      <w:r>
        <w:rPr>
          <w:rStyle w:val="33"/>
          <w:rFonts w:hint="eastAsia" w:ascii="仿宋" w:hAnsi="仿宋" w:eastAsia="仿宋"/>
          <w:b w:val="0"/>
          <w:bCs w:val="0"/>
        </w:rPr>
        <w:t>府性基金预算财政拨款收入支出决算表</w:t>
      </w:r>
    </w:p>
    <w:p>
      <w:pPr>
        <w:pStyle w:val="4"/>
        <w:rPr>
          <w:rFonts w:ascii="仿宋" w:hAnsi="仿宋" w:eastAsia="仿宋"/>
        </w:rPr>
      </w:pPr>
      <w:bookmarkStart w:id="66" w:name="_Toc15396629"/>
      <w:r>
        <w:rPr>
          <w:rStyle w:val="33"/>
          <w:rFonts w:hint="eastAsia" w:ascii="仿宋" w:hAnsi="仿宋" w:eastAsia="仿宋"/>
          <w:b w:val="0"/>
          <w:bCs w:val="0"/>
        </w:rPr>
        <w:t>十一、</w:t>
      </w:r>
      <w:bookmarkEnd w:id="66"/>
      <w:r>
        <w:rPr>
          <w:rFonts w:hint="eastAsia" w:ascii="仿宋" w:hAnsi="仿宋" w:eastAsia="仿宋"/>
          <w:b w:val="0"/>
        </w:rPr>
        <w:t>国</w:t>
      </w:r>
      <w:r>
        <w:rPr>
          <w:rStyle w:val="33"/>
          <w:rFonts w:hint="eastAsia" w:ascii="仿宋" w:hAnsi="仿宋" w:eastAsia="仿宋"/>
          <w:b w:val="0"/>
          <w:bCs w:val="0"/>
        </w:rPr>
        <w:t>有资本经营预算财政拨款收入支出决算表</w:t>
      </w:r>
    </w:p>
    <w:p>
      <w:pPr>
        <w:pStyle w:val="4"/>
        <w:rPr>
          <w:rFonts w:ascii="仿宋" w:hAnsi="仿宋" w:eastAsia="仿宋"/>
        </w:rPr>
      </w:pPr>
      <w:bookmarkStart w:id="67" w:name="_Toc15396630"/>
      <w:r>
        <w:rPr>
          <w:rStyle w:val="33"/>
          <w:rFonts w:hint="eastAsia" w:ascii="仿宋" w:hAnsi="仿宋" w:eastAsia="仿宋"/>
          <w:b w:val="0"/>
          <w:bCs w:val="0"/>
        </w:rPr>
        <w:t>十二、</w:t>
      </w:r>
      <w:bookmarkEnd w:id="67"/>
      <w:r>
        <w:rPr>
          <w:rStyle w:val="33"/>
          <w:rFonts w:hint="eastAsia" w:ascii="仿宋" w:hAnsi="仿宋" w:eastAsia="仿宋"/>
          <w:b w:val="0"/>
          <w:bCs w:val="0"/>
        </w:rPr>
        <w:t>国有资本经营预算财政拨款支出决算表</w:t>
      </w:r>
    </w:p>
    <w:p>
      <w:pPr>
        <w:pStyle w:val="4"/>
        <w:rPr>
          <w:rFonts w:eastAsia="仿宋"/>
        </w:rPr>
      </w:pPr>
      <w:bookmarkStart w:id="68" w:name="_Toc15396631"/>
      <w:r>
        <w:rPr>
          <w:rStyle w:val="33"/>
          <w:rFonts w:hint="eastAsia" w:ascii="仿宋" w:hAnsi="仿宋" w:eastAsia="仿宋"/>
          <w:b w:val="0"/>
          <w:bCs w:val="0"/>
        </w:rPr>
        <w:t>十三、</w:t>
      </w:r>
      <w:bookmarkEnd w:id="68"/>
      <w:r>
        <w:rPr>
          <w:rStyle w:val="33"/>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2482F"/>
    <w:multiLevelType w:val="singleLevel"/>
    <w:tmpl w:val="8642482F"/>
    <w:lvl w:ilvl="0" w:tentative="0">
      <w:start w:val="2"/>
      <w:numFmt w:val="chineseCounting"/>
      <w:suff w:val="nothing"/>
      <w:lvlText w:val="（%1）"/>
      <w:lvlJc w:val="left"/>
      <w:rPr>
        <w:rFonts w:hint="eastAsia"/>
      </w:rPr>
    </w:lvl>
  </w:abstractNum>
  <w:abstractNum w:abstractNumId="1">
    <w:nsid w:val="96C5C544"/>
    <w:multiLevelType w:val="singleLevel"/>
    <w:tmpl w:val="96C5C544"/>
    <w:lvl w:ilvl="0" w:tentative="0">
      <w:start w:val="2"/>
      <w:numFmt w:val="chineseCounting"/>
      <w:suff w:val="nothing"/>
      <w:lvlText w:val="（%1）"/>
      <w:lvlJc w:val="left"/>
      <w:rPr>
        <w:rFonts w:hint="eastAsia"/>
      </w:rPr>
    </w:lvl>
  </w:abstractNum>
  <w:abstractNum w:abstractNumId="2">
    <w:nsid w:val="BEBF2A2A"/>
    <w:multiLevelType w:val="singleLevel"/>
    <w:tmpl w:val="BEBF2A2A"/>
    <w:lvl w:ilvl="0" w:tentative="0">
      <w:start w:val="4"/>
      <w:numFmt w:val="chineseCounting"/>
      <w:suff w:val="nothing"/>
      <w:lvlText w:val="%1、"/>
      <w:lvlJc w:val="left"/>
      <w:rPr>
        <w:rFonts w:hint="eastAsia"/>
      </w:rPr>
    </w:lvl>
  </w:abstractNum>
  <w:abstractNum w:abstractNumId="3">
    <w:nsid w:val="C1E906C5"/>
    <w:multiLevelType w:val="singleLevel"/>
    <w:tmpl w:val="C1E906C5"/>
    <w:lvl w:ilvl="0" w:tentative="0">
      <w:start w:val="5"/>
      <w:numFmt w:val="chineseCounting"/>
      <w:suff w:val="nothing"/>
      <w:lvlText w:val="%1、"/>
      <w:lvlJc w:val="left"/>
      <w:rPr>
        <w:rFonts w:hint="eastAsia"/>
      </w:rPr>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F1818AA4"/>
    <w:multiLevelType w:val="singleLevel"/>
    <w:tmpl w:val="F1818AA4"/>
    <w:lvl w:ilvl="0" w:tentative="0">
      <w:start w:val="2"/>
      <w:numFmt w:val="chineseCounting"/>
      <w:suff w:val="nothing"/>
      <w:lvlText w:val="（%1）"/>
      <w:lvlJc w:val="left"/>
      <w:rPr>
        <w:rFonts w:hint="eastAsia"/>
      </w:r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672C13B3"/>
    <w:multiLevelType w:val="singleLevel"/>
    <w:tmpl w:val="672C13B3"/>
    <w:lvl w:ilvl="0" w:tentative="0">
      <w:start w:val="1"/>
      <w:numFmt w:val="chineseCounting"/>
      <w:suff w:val="nothing"/>
      <w:lvlText w:val="%1、"/>
      <w:lvlJc w:val="left"/>
      <w:rPr>
        <w:rFonts w:hint="eastAsia"/>
      </w:rPr>
    </w:lvl>
  </w:abstractNum>
  <w:num w:numId="1">
    <w:abstractNumId w:val="8"/>
  </w:num>
  <w:num w:numId="2">
    <w:abstractNumId w:val="7"/>
  </w:num>
  <w:num w:numId="3">
    <w:abstractNumId w:val="4"/>
  </w:num>
  <w:num w:numId="4">
    <w:abstractNumId w:val="5"/>
  </w:num>
  <w:num w:numId="5">
    <w:abstractNumId w:val="0"/>
  </w:num>
  <w:num w:numId="6">
    <w:abstractNumId w:val="1"/>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7B7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2F09"/>
    <w:rsid w:val="004E0A2D"/>
    <w:rsid w:val="004E206B"/>
    <w:rsid w:val="004E6DF7"/>
    <w:rsid w:val="004F0FBD"/>
    <w:rsid w:val="00505A47"/>
    <w:rsid w:val="00512FDA"/>
    <w:rsid w:val="00520DA0"/>
    <w:rsid w:val="005516C4"/>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0F30"/>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026C"/>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24C7"/>
    <w:rsid w:val="008B768C"/>
    <w:rsid w:val="008C4DB1"/>
    <w:rsid w:val="008C4EAF"/>
    <w:rsid w:val="008C5176"/>
    <w:rsid w:val="008C7FD0"/>
    <w:rsid w:val="008E1DE7"/>
    <w:rsid w:val="008E707C"/>
    <w:rsid w:val="008F3C39"/>
    <w:rsid w:val="008F6DF2"/>
    <w:rsid w:val="00900B08"/>
    <w:rsid w:val="00902155"/>
    <w:rsid w:val="00902FA3"/>
    <w:rsid w:val="00923564"/>
    <w:rsid w:val="0092392E"/>
    <w:rsid w:val="009315F9"/>
    <w:rsid w:val="00933499"/>
    <w:rsid w:val="00935C98"/>
    <w:rsid w:val="00946945"/>
    <w:rsid w:val="00951248"/>
    <w:rsid w:val="0095152F"/>
    <w:rsid w:val="00954C49"/>
    <w:rsid w:val="00955E37"/>
    <w:rsid w:val="00956BA6"/>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1678"/>
    <w:rsid w:val="00A422EB"/>
    <w:rsid w:val="00A45BB7"/>
    <w:rsid w:val="00A56DF2"/>
    <w:rsid w:val="00A56E6E"/>
    <w:rsid w:val="00A67AB5"/>
    <w:rsid w:val="00A733B2"/>
    <w:rsid w:val="00A741C2"/>
    <w:rsid w:val="00A91760"/>
    <w:rsid w:val="00A93B00"/>
    <w:rsid w:val="00A93C21"/>
    <w:rsid w:val="00AA609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164C"/>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1547"/>
    <w:rsid w:val="00CE44F6"/>
    <w:rsid w:val="00CE49DA"/>
    <w:rsid w:val="00CE7B61"/>
    <w:rsid w:val="00D00095"/>
    <w:rsid w:val="00D114F0"/>
    <w:rsid w:val="00D20620"/>
    <w:rsid w:val="00D2523B"/>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3B3F"/>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E7D16"/>
    <w:rsid w:val="00EF4C34"/>
    <w:rsid w:val="00EF77C6"/>
    <w:rsid w:val="00F05438"/>
    <w:rsid w:val="00F1361C"/>
    <w:rsid w:val="00F156F0"/>
    <w:rsid w:val="00F160C7"/>
    <w:rsid w:val="00F2408F"/>
    <w:rsid w:val="00F240E9"/>
    <w:rsid w:val="00F36D8F"/>
    <w:rsid w:val="00F417B1"/>
    <w:rsid w:val="00F45853"/>
    <w:rsid w:val="00F5047E"/>
    <w:rsid w:val="00F602DF"/>
    <w:rsid w:val="00F754A1"/>
    <w:rsid w:val="00F81FD9"/>
    <w:rsid w:val="00F841AA"/>
    <w:rsid w:val="00F84A94"/>
    <w:rsid w:val="00F87E96"/>
    <w:rsid w:val="00FA23E8"/>
    <w:rsid w:val="00FD3CC1"/>
    <w:rsid w:val="00FF1E02"/>
    <w:rsid w:val="00FF30B4"/>
    <w:rsid w:val="015975B8"/>
    <w:rsid w:val="02143E91"/>
    <w:rsid w:val="066E0107"/>
    <w:rsid w:val="07996F6E"/>
    <w:rsid w:val="09EF5765"/>
    <w:rsid w:val="0A2032A3"/>
    <w:rsid w:val="0F98263C"/>
    <w:rsid w:val="101860EC"/>
    <w:rsid w:val="10C055FF"/>
    <w:rsid w:val="118107EC"/>
    <w:rsid w:val="13D50BC4"/>
    <w:rsid w:val="16BB723D"/>
    <w:rsid w:val="1BE8440E"/>
    <w:rsid w:val="1D155CEE"/>
    <w:rsid w:val="1FF35744"/>
    <w:rsid w:val="20122E4B"/>
    <w:rsid w:val="23860B96"/>
    <w:rsid w:val="240371BF"/>
    <w:rsid w:val="29FD04D3"/>
    <w:rsid w:val="2C8A61B5"/>
    <w:rsid w:val="2C955B6F"/>
    <w:rsid w:val="2DF04E50"/>
    <w:rsid w:val="2F040D46"/>
    <w:rsid w:val="319F7F4E"/>
    <w:rsid w:val="3304709D"/>
    <w:rsid w:val="36AA5135"/>
    <w:rsid w:val="376D39B2"/>
    <w:rsid w:val="37E16F03"/>
    <w:rsid w:val="38D469F0"/>
    <w:rsid w:val="3D98207C"/>
    <w:rsid w:val="3E78745D"/>
    <w:rsid w:val="44E268DA"/>
    <w:rsid w:val="4A627F82"/>
    <w:rsid w:val="4B0E749A"/>
    <w:rsid w:val="4B4F25DA"/>
    <w:rsid w:val="4BE068DB"/>
    <w:rsid w:val="4D3B1CF2"/>
    <w:rsid w:val="4D577224"/>
    <w:rsid w:val="4EAB630A"/>
    <w:rsid w:val="4ECE2238"/>
    <w:rsid w:val="5203080E"/>
    <w:rsid w:val="537E6D0A"/>
    <w:rsid w:val="5AF92295"/>
    <w:rsid w:val="5CD71FC4"/>
    <w:rsid w:val="6C4A05C8"/>
    <w:rsid w:val="6E7E3605"/>
    <w:rsid w:val="6FF5CC65"/>
    <w:rsid w:val="706305CE"/>
    <w:rsid w:val="715C0E4B"/>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6">
    <w:name w:val="annotation text"/>
    <w:basedOn w:val="1"/>
    <w:semiHidden/>
    <w:unhideWhenUsed/>
    <w:qFormat/>
    <w:uiPriority w:val="99"/>
    <w:pPr>
      <w:jc w:val="left"/>
    </w:pPr>
  </w:style>
  <w:style w:type="paragraph" w:styleId="7">
    <w:name w:val="Salutation"/>
    <w:basedOn w:val="1"/>
    <w:next w:val="1"/>
    <w:qFormat/>
    <w:uiPriority w:val="0"/>
    <w:rPr>
      <w:rFonts w:ascii="Times New Roman" w:hAnsi="Times New Roman"/>
    </w:rPr>
  </w:style>
  <w:style w:type="paragraph" w:styleId="8">
    <w:name w:val="Body Text"/>
    <w:basedOn w:val="1"/>
    <w:next w:val="1"/>
    <w:link w:val="29"/>
    <w:qFormat/>
    <w:uiPriority w:val="99"/>
    <w:pPr>
      <w:spacing w:beforeLines="30"/>
    </w:pPr>
    <w:rPr>
      <w:rFonts w:ascii="仿宋_GB2312" w:eastAsia="仿宋_GB2312"/>
      <w:kern w:val="0"/>
      <w:sz w:val="30"/>
    </w:rPr>
  </w:style>
  <w:style w:type="paragraph" w:styleId="9">
    <w:name w:val="Body Text Indent"/>
    <w:basedOn w:val="1"/>
    <w:qFormat/>
    <w:uiPriority w:val="0"/>
    <w:pPr>
      <w:spacing w:after="120"/>
      <w:ind w:left="200" w:leftChars="200"/>
    </w:pPr>
    <w:rPr>
      <w:rFonts w:ascii="仿宋_GB2312"/>
      <w:szCs w:val="32"/>
    </w:rPr>
  </w:style>
  <w:style w:type="paragraph" w:styleId="10">
    <w:name w:val="toc 3"/>
    <w:basedOn w:val="1"/>
    <w:next w:val="1"/>
    <w:unhideWhenUsed/>
    <w:qFormat/>
    <w:uiPriority w:val="39"/>
    <w:pPr>
      <w:tabs>
        <w:tab w:val="right" w:leader="dot" w:pos="8296"/>
      </w:tabs>
      <w:ind w:left="840" w:leftChars="400"/>
    </w:pPr>
  </w:style>
  <w:style w:type="paragraph" w:styleId="11">
    <w:name w:val="Plain Text"/>
    <w:basedOn w:val="1"/>
    <w:unhideWhenUsed/>
    <w:qFormat/>
    <w:uiPriority w:val="0"/>
    <w:pPr>
      <w:spacing w:line="570" w:lineRule="exact"/>
      <w:ind w:firstLine="600" w:firstLineChars="200"/>
    </w:pPr>
    <w:rPr>
      <w:rFonts w:ascii="宋体" w:hAnsi="宋体" w:eastAsia="仿宋" w:cs="Times New Roman"/>
      <w:kern w:val="0"/>
      <w:sz w:val="20"/>
      <w:szCs w:val="21"/>
    </w:rPr>
  </w:style>
  <w:style w:type="paragraph" w:styleId="12">
    <w:name w:val="Balloon Text"/>
    <w:basedOn w:val="1"/>
    <w:link w:val="35"/>
    <w:semiHidden/>
    <w:unhideWhenUsed/>
    <w:qFormat/>
    <w:uiPriority w:val="99"/>
    <w:rPr>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able of figures"/>
    <w:basedOn w:val="1"/>
    <w:next w:val="1"/>
    <w:qFormat/>
    <w:uiPriority w:val="0"/>
    <w:pPr>
      <w:ind w:left="200" w:leftChars="200" w:hanging="200" w:hangingChars="200"/>
    </w:pPr>
    <w:rPr>
      <w:rFonts w:ascii="Times New Roman" w:hAnsi="Times New Roman" w:eastAsia="仿宋"/>
    </w:r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2"/>
    <w:basedOn w:val="9"/>
    <w:unhideWhenUsed/>
    <w:qFormat/>
    <w:uiPriority w:val="99"/>
    <w:pPr>
      <w:ind w:firstLine="420" w:firstLineChars="200"/>
    </w:pPr>
  </w:style>
  <w:style w:type="character" w:styleId="21">
    <w:name w:val="Strong"/>
    <w:basedOn w:val="20"/>
    <w:qFormat/>
    <w:uiPriority w:val="99"/>
    <w:rPr>
      <w:b/>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20"/>
    <w:semiHidden/>
    <w:qFormat/>
    <w:uiPriority w:val="99"/>
    <w:rPr>
      <w:rFonts w:ascii="Times New Roman" w:hAnsi="Times New Roman"/>
      <w:sz w:val="18"/>
      <w:szCs w:val="18"/>
    </w:rPr>
  </w:style>
  <w:style w:type="character" w:customStyle="1" w:styleId="25">
    <w:name w:val="页眉 字符"/>
    <w:link w:val="13"/>
    <w:semiHidden/>
    <w:qFormat/>
    <w:locked/>
    <w:uiPriority w:val="99"/>
    <w:rPr>
      <w:sz w:val="18"/>
    </w:rPr>
  </w:style>
  <w:style w:type="character" w:customStyle="1" w:styleId="26">
    <w:name w:val="Footer Char"/>
    <w:basedOn w:val="20"/>
    <w:semiHidden/>
    <w:qFormat/>
    <w:uiPriority w:val="99"/>
    <w:rPr>
      <w:rFonts w:ascii="Times New Roman" w:hAnsi="Times New Roman"/>
      <w:sz w:val="18"/>
      <w:szCs w:val="18"/>
    </w:rPr>
  </w:style>
  <w:style w:type="character" w:customStyle="1" w:styleId="27">
    <w:name w:val="页脚 字符"/>
    <w:link w:val="2"/>
    <w:qFormat/>
    <w:locked/>
    <w:uiPriority w:val="99"/>
    <w:rPr>
      <w:sz w:val="18"/>
    </w:rPr>
  </w:style>
  <w:style w:type="character" w:customStyle="1" w:styleId="28">
    <w:name w:val="Body Text Char"/>
    <w:basedOn w:val="20"/>
    <w:semiHidden/>
    <w:qFormat/>
    <w:uiPriority w:val="99"/>
    <w:rPr>
      <w:rFonts w:ascii="Times New Roman" w:hAnsi="Times New Roman"/>
      <w:szCs w:val="24"/>
    </w:rPr>
  </w:style>
  <w:style w:type="character" w:customStyle="1" w:styleId="29">
    <w:name w:val="正文文本 字符"/>
    <w:link w:val="8"/>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字符"/>
    <w:basedOn w:val="20"/>
    <w:link w:val="3"/>
    <w:qFormat/>
    <w:uiPriority w:val="9"/>
    <w:rPr>
      <w:rFonts w:ascii="Times New Roman" w:hAnsi="Times New Roman"/>
      <w:b/>
      <w:bCs/>
      <w:kern w:val="44"/>
      <w:sz w:val="44"/>
      <w:szCs w:val="44"/>
    </w:rPr>
  </w:style>
  <w:style w:type="character" w:customStyle="1" w:styleId="33">
    <w:name w:val="标题 2 字符"/>
    <w:basedOn w:val="20"/>
    <w:link w:val="4"/>
    <w:qFormat/>
    <w:uiPriority w:val="9"/>
    <w:rPr>
      <w:rFonts w:asciiTheme="majorHAnsi" w:hAnsiTheme="majorHAnsi" w:eastAsiaTheme="majorEastAsia" w:cstheme="majorBidi"/>
      <w:b/>
      <w:bCs/>
      <w:kern w:val="2"/>
      <w:sz w:val="32"/>
      <w:szCs w:val="32"/>
    </w:r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字符"/>
    <w:basedOn w:val="20"/>
    <w:link w:val="12"/>
    <w:semiHidden/>
    <w:qFormat/>
    <w:uiPriority w:val="99"/>
    <w:rPr>
      <w:rFonts w:ascii="Times New Roman" w:hAnsi="Times New Roman"/>
      <w:kern w:val="2"/>
      <w:sz w:val="18"/>
      <w:szCs w:val="18"/>
    </w:rPr>
  </w:style>
  <w:style w:type="character" w:customStyle="1" w:styleId="36">
    <w:name w:val="标题 3 字符"/>
    <w:basedOn w:val="20"/>
    <w:link w:val="5"/>
    <w:qFormat/>
    <w:uiPriority w:val="9"/>
    <w:rPr>
      <w:rFonts w:ascii="Times New Roman" w:hAnsi="Times New Roman"/>
      <w:b/>
      <w:bCs/>
      <w:kern w:val="2"/>
      <w:sz w:val="32"/>
      <w:szCs w:val="32"/>
    </w:rPr>
  </w:style>
  <w:style w:type="paragraph" w:customStyle="1" w:styleId="37">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color w:val="000000"/>
      <w:kern w:val="0"/>
      <w:sz w:val="28"/>
      <w:szCs w:val="21"/>
      <w:lang w:val="zh-CN"/>
    </w:rPr>
  </w:style>
  <w:style w:type="paragraph" w:customStyle="1" w:styleId="39">
    <w:name w:val="章标题"/>
    <w:basedOn w:val="1"/>
    <w:next w:val="40"/>
    <w:qFormat/>
    <w:uiPriority w:val="99"/>
    <w:pPr>
      <w:widowControl/>
      <w:spacing w:before="158" w:after="153" w:line="323" w:lineRule="atLeast"/>
      <w:ind w:right="-120"/>
      <w:jc w:val="center"/>
      <w:textAlignment w:val="baseline"/>
    </w:pPr>
    <w:rPr>
      <w:color w:val="FF0000"/>
      <w:sz w:val="18"/>
    </w:rPr>
  </w:style>
  <w:style w:type="paragraph" w:customStyle="1" w:styleId="40">
    <w:name w:val="节标题"/>
    <w:basedOn w:val="1"/>
    <w:next w:val="1"/>
    <w:qFormat/>
    <w:uiPriority w:val="99"/>
    <w:pPr>
      <w:widowControl/>
      <w:spacing w:line="289" w:lineRule="atLeast"/>
      <w:jc w:val="center"/>
      <w:textAlignment w:val="baseline"/>
    </w:pPr>
    <w:rPr>
      <w:color w:val="000000"/>
      <w:sz w:val="28"/>
    </w:rPr>
  </w:style>
  <w:style w:type="character" w:customStyle="1" w:styleId="41">
    <w:name w:val="font21"/>
    <w:basedOn w:val="20"/>
    <w:qFormat/>
    <w:uiPriority w:val="0"/>
    <w:rPr>
      <w:rFonts w:ascii="宋体" w:hAnsi="宋体" w:eastAsia="宋体" w:cs="宋体"/>
      <w:color w:val="000000"/>
      <w:sz w:val="24"/>
      <w:szCs w:val="24"/>
      <w:u w:val="none"/>
    </w:rPr>
  </w:style>
  <w:style w:type="character" w:customStyle="1" w:styleId="42">
    <w:name w:val="font11"/>
    <w:basedOn w:val="20"/>
    <w:qFormat/>
    <w:uiPriority w:val="0"/>
    <w:rPr>
      <w:rFonts w:hint="eastAsia" w:ascii="宋体" w:hAnsi="宋体" w:eastAsia="宋体" w:cs="宋体"/>
      <w:color w:val="000000"/>
      <w:sz w:val="24"/>
      <w:szCs w:val="24"/>
      <w:u w:val="none"/>
    </w:rPr>
  </w:style>
  <w:style w:type="paragraph" w:customStyle="1" w:styleId="43">
    <w:name w:val="图表目录1"/>
    <w:basedOn w:val="1"/>
    <w:next w:val="1"/>
    <w:qFormat/>
    <w:uiPriority w:val="0"/>
    <w:pPr>
      <w:ind w:left="200" w:leftChars="200" w:hanging="200" w:hanging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a:t>
            </a:r>
            <a:r>
              <a:rPr lang="en-US" altLang="zh-CN"/>
              <a:t>2022</a:t>
            </a:r>
            <a:r>
              <a:rPr altLang="en-US"/>
              <a:t>收入支出情况</a:t>
            </a:r>
            <a:endParaRPr lang="en-US" altLang="zh-CN"/>
          </a:p>
        </c:rich>
      </c:tx>
      <c:layout>
        <c:manualLayout>
          <c:xMode val="edge"/>
          <c:yMode val="edge"/>
          <c:x val="0.308125"/>
          <c:y val="0.023166666666666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5907.32</c:v>
                </c:pt>
                <c:pt idx="1">
                  <c:v>5907.32</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6845.41</c:v>
                </c:pt>
                <c:pt idx="1">
                  <c:v>6845.41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696918026"/>
        <c:axId val="107484690"/>
      </c:barChart>
      <c:catAx>
        <c:axId val="6969180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7484690"/>
        <c:crosses val="autoZero"/>
        <c:auto val="1"/>
        <c:lblAlgn val="ctr"/>
        <c:lblOffset val="100"/>
        <c:noMultiLvlLbl val="0"/>
      </c:catAx>
      <c:valAx>
        <c:axId val="1074846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691802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c:v>
                </c:pt>
                <c:pt idx="1">
                  <c:v>政府性基金预算财政拨款</c:v>
                </c:pt>
              </c:strCache>
            </c:strRef>
          </c:cat>
          <c:val>
            <c:numRef>
              <c:f>Sheet1!$B$2:$B$3</c:f>
              <c:numCache>
                <c:formatCode>General</c:formatCode>
                <c:ptCount val="2"/>
                <c:pt idx="0">
                  <c:v>6765.41</c:v>
                </c:pt>
                <c:pt idx="1">
                  <c:v>80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1479.09</c:v>
                </c:pt>
                <c:pt idx="1">
                  <c:v>5366.32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a:t>
            </a:r>
            <a:r>
              <a:rPr lang="en-US" altLang="zh-CN"/>
              <a:t>2022</a:t>
            </a:r>
            <a:r>
              <a:rPr altLang="en-US"/>
              <a:t>财政</a:t>
            </a:r>
            <a:r>
              <a:rPr altLang="en-US"/>
              <a:t>拨款收入支出情况</a:t>
            </a:r>
            <a:endParaRPr lang="en-US" altLang="zh-CN"/>
          </a:p>
        </c:rich>
      </c:tx>
      <c:layout>
        <c:manualLayout>
          <c:xMode val="edge"/>
          <c:yMode val="edge"/>
          <c:x val="0.223560139573071"/>
          <c:y val="0.00632511068943706"/>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5907.32</c:v>
                </c:pt>
                <c:pt idx="1">
                  <c:v>5907.32</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6845.41</c:v>
                </c:pt>
                <c:pt idx="1">
                  <c:v>6845.41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696918026"/>
        <c:axId val="107484690"/>
      </c:barChart>
      <c:catAx>
        <c:axId val="6969180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7484690"/>
        <c:crosses val="autoZero"/>
        <c:auto val="1"/>
        <c:lblAlgn val="ctr"/>
        <c:lblOffset val="100"/>
        <c:noMultiLvlLbl val="0"/>
      </c:catAx>
      <c:valAx>
        <c:axId val="1074846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6918026"/>
        <c:crosses val="autoZero"/>
        <c:crossBetween val="between"/>
      </c:valAx>
      <c:spPr>
        <a:noFill/>
        <a:ln>
          <a:noFill/>
        </a:ln>
        <a:effectLst/>
      </c:spPr>
    </c:plotArea>
    <c:legend>
      <c:legendPos val="b"/>
      <c:legendEntry>
        <c:idx val="2"/>
        <c:delete val="1"/>
      </c:legendEntry>
      <c:layout>
        <c:manualLayout>
          <c:xMode val="edge"/>
          <c:yMode val="edge"/>
          <c:x val="0.399630541871921"/>
          <c:y val="0.92304448661184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a:t>
            </a:r>
            <a:r>
              <a:t>支出</a:t>
            </a:r>
          </a:p>
        </c:rich>
      </c:tx>
      <c:layout>
        <c:manualLayout>
          <c:xMode val="edge"/>
          <c:yMode val="edge"/>
          <c:x val="0.25287574906397"/>
          <c:y val="0.0076142131979695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c:f>
              <c:strCache>
                <c:ptCount val="1"/>
                <c:pt idx="0">
                  <c:v>一般公共预算财政拨款</c:v>
                </c:pt>
              </c:strCache>
            </c:strRef>
          </c:cat>
          <c:val>
            <c:numRef>
              <c:f>Sheet1!$B$2</c:f>
              <c:numCache>
                <c:formatCode>General</c:formatCode>
                <c:ptCount val="1"/>
                <c:pt idx="0">
                  <c:v>5907.31</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c:f>
              <c:strCache>
                <c:ptCount val="1"/>
                <c:pt idx="0">
                  <c:v>一般公共预算财政拨款</c:v>
                </c:pt>
              </c:strCache>
            </c:strRef>
          </c:cat>
          <c:val>
            <c:numRef>
              <c:f>Sheet1!$C$2</c:f>
              <c:numCache>
                <c:formatCode>General</c:formatCode>
                <c:ptCount val="1"/>
                <c:pt idx="0">
                  <c:v>6765.41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一般公共预算财政拨款</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69001384"/>
        <c:axId val="64788398"/>
      </c:barChart>
      <c:catAx>
        <c:axId val="4690013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788398"/>
        <c:crosses val="autoZero"/>
        <c:auto val="1"/>
        <c:lblAlgn val="ctr"/>
        <c:lblOffset val="100"/>
        <c:noMultiLvlLbl val="0"/>
      </c:catAx>
      <c:valAx>
        <c:axId val="647883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900138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Lbls>
            <c:delete val="1"/>
          </c:dLbls>
          <c:cat>
            <c:strRef>
              <c:f>Sheet1!$A$2:$A$13</c:f>
              <c:strCache>
                <c:ptCount val="12"/>
                <c:pt idx="0">
                  <c:v>一般公共服务支出</c:v>
                </c:pt>
                <c:pt idx="1">
                  <c:v>国防支出</c:v>
                </c:pt>
                <c:pt idx="2">
                  <c:v>公共安全支出</c:v>
                </c:pt>
                <c:pt idx="3">
                  <c:v>文化旅游体育与传媒支出</c:v>
                </c:pt>
                <c:pt idx="4">
                  <c:v>社会保障和就业支出</c:v>
                </c:pt>
                <c:pt idx="5">
                  <c:v>卫生健康支出</c:v>
                </c:pt>
                <c:pt idx="6">
                  <c:v>节能环保支出</c:v>
                </c:pt>
                <c:pt idx="7">
                  <c:v>城乡社区支出</c:v>
                </c:pt>
                <c:pt idx="8">
                  <c:v>农林水支出</c:v>
                </c:pt>
                <c:pt idx="9">
                  <c:v>自然资源海洋气象等支出</c:v>
                </c:pt>
                <c:pt idx="10">
                  <c:v>住房保障支出</c:v>
                </c:pt>
                <c:pt idx="11">
                  <c:v>灾害防治及应急管理支出</c:v>
                </c:pt>
              </c:strCache>
            </c:strRef>
          </c:cat>
          <c:val>
            <c:numRef>
              <c:f>Sheet1!$B$2:$B$13</c:f>
              <c:numCache>
                <c:formatCode>#,##0.00</c:formatCode>
                <c:ptCount val="12"/>
                <c:pt idx="0">
                  <c:v>491.15</c:v>
                </c:pt>
                <c:pt idx="1">
                  <c:v>3</c:v>
                </c:pt>
                <c:pt idx="2">
                  <c:v>7</c:v>
                </c:pt>
                <c:pt idx="3">
                  <c:v>199.45</c:v>
                </c:pt>
                <c:pt idx="4">
                  <c:v>1299.05</c:v>
                </c:pt>
                <c:pt idx="5">
                  <c:v>325.75</c:v>
                </c:pt>
                <c:pt idx="6">
                  <c:v>136.9</c:v>
                </c:pt>
                <c:pt idx="7">
                  <c:v>208.95</c:v>
                </c:pt>
                <c:pt idx="8">
                  <c:v>3731.47</c:v>
                </c:pt>
                <c:pt idx="9">
                  <c:v>34</c:v>
                </c:pt>
                <c:pt idx="10">
                  <c:v>313.86</c:v>
                </c:pt>
                <c:pt idx="11">
                  <c:v>14.85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21</Pages>
  <Words>1189</Words>
  <Characters>6781</Characters>
  <Lines>56</Lines>
  <Paragraphs>15</Paragraphs>
  <TotalTime>1</TotalTime>
  <ScaleCrop>false</ScaleCrop>
  <LinksUpToDate>false</LinksUpToDate>
  <CharactersWithSpaces>7955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2023-11-30T03:29:36Z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E45E7D6954064DEC8F9366064A35B644</vt:lpwstr>
  </property>
</Properties>
</file>