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77425"/>
      <w:bookmarkStart w:id="1" w:name="_Toc15377193"/>
      <w:bookmarkStart w:id="2" w:name="_Toc15396597"/>
      <w:bookmarkStart w:id="3" w:name="_Toc15378441"/>
      <w:bookmarkStart w:id="4" w:name="_Toc15396475"/>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bookmarkEnd w:id="0"/>
    <w:bookmarkEnd w:id="1"/>
    <w:bookmarkEnd w:id="2"/>
    <w:bookmarkEnd w:id="3"/>
    <w:bookmarkEnd w:id="4"/>
    <w:bookmarkEnd w:id="5"/>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r>
        <w:rPr>
          <w:rFonts w:hint="eastAsia" w:ascii="方正小标宋简体" w:hAnsi="方正小标宋简体" w:eastAsia="方正小标宋简体" w:cs="方正小标宋简体"/>
          <w:sz w:val="72"/>
          <w:szCs w:val="72"/>
          <w:lang w:eastAsia="zh-CN"/>
        </w:rPr>
        <w:t>共青团乐至县委</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2" w:name="_GoBack"/>
      <w:bookmarkEnd w:id="62"/>
      <w:r>
        <w:rPr>
          <w:rFonts w:hint="eastAsia" w:ascii="方正小标宋简体" w:hAnsi="方正小标宋简体" w:eastAsia="方正小标宋简体" w:cs="方正小标宋简体"/>
          <w:sz w:val="72"/>
          <w:szCs w:val="72"/>
        </w:rPr>
        <w:t>2022年度决算公开说明</w:t>
      </w: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3"/>
      </w:pPr>
      <w:r>
        <w:rPr>
          <w:rFonts w:hint="eastAsia"/>
        </w:rPr>
        <w:t>公开时间：2023年</w:t>
      </w:r>
      <w:r>
        <w:rPr>
          <w:rFonts w:hint="eastAsia"/>
          <w:lang w:val="en-US" w:eastAsia="zh-CN"/>
        </w:rPr>
        <w:t>10</w:t>
      </w:r>
      <w:r>
        <w:rPr>
          <w:rFonts w:hint="eastAsia"/>
        </w:rPr>
        <w:t>月</w:t>
      </w:r>
      <w:r>
        <w:rPr>
          <w:rFonts w:hint="eastAsia"/>
          <w:lang w:val="en-US" w:eastAsia="zh-CN"/>
        </w:rPr>
        <w:t>19</w:t>
      </w:r>
      <w:r>
        <w:rPr>
          <w:rFonts w:hint="eastAsia"/>
        </w:rPr>
        <w:t>日</w:t>
      </w:r>
    </w:p>
    <w:p/>
    <w:p>
      <w:pPr>
        <w:pStyle w:val="13"/>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4"/>
        <w:adjustRightInd w:val="0"/>
        <w:snapToGrid w:val="0"/>
        <w:spacing w:line="440" w:lineRule="exact"/>
        <w:jc w:val="left"/>
        <w:rPr>
          <w:rFonts w:ascii="仿宋" w:hAnsi="仿宋" w:eastAsia="仿宋"/>
          <w:sz w:val="24"/>
        </w:rPr>
      </w:pPr>
      <w:r>
        <w:rPr>
          <w:rFonts w:hint="eastAsia"/>
          <w:sz w:val="24"/>
        </w:rPr>
        <w:t>一、部门职责</w:t>
      </w:r>
    </w:p>
    <w:p>
      <w:pPr>
        <w:pStyle w:val="14"/>
        <w:adjustRightInd w:val="0"/>
        <w:snapToGrid w:val="0"/>
        <w:spacing w:line="440" w:lineRule="exact"/>
        <w:jc w:val="left"/>
        <w:rPr>
          <w:rFonts w:ascii="仿宋" w:hAnsi="仿宋" w:eastAsia="仿宋" w:cstheme="minorBidi"/>
          <w:sz w:val="24"/>
        </w:rPr>
      </w:pPr>
      <w:r>
        <w:rPr>
          <w:rFonts w:hint="eastAsia"/>
          <w:sz w:val="24"/>
        </w:rPr>
        <w:t>二、机构设置</w:t>
      </w:r>
    </w:p>
    <w:p>
      <w:pPr>
        <w:pStyle w:val="13"/>
        <w:adjustRightInd w:val="0"/>
        <w:snapToGrid w:val="0"/>
        <w:spacing w:before="0" w:line="440" w:lineRule="exact"/>
        <w:jc w:val="left"/>
        <w:rPr>
          <w:sz w:val="24"/>
          <w:szCs w:val="24"/>
        </w:rPr>
      </w:pPr>
      <w:r>
        <w:rPr>
          <w:rFonts w:hint="eastAsia"/>
          <w:sz w:val="24"/>
        </w:rPr>
        <w:t>第二部分 2022年度部门决算情况说明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4"/>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4"/>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4"/>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19"/>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pPr>
        <w:pStyle w:val="13"/>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3"/>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3"/>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4"/>
        <w:adjustRightInd w:val="0"/>
        <w:snapToGrid w:val="0"/>
        <w:spacing w:line="440" w:lineRule="exact"/>
        <w:jc w:val="left"/>
        <w:rPr>
          <w:sz w:val="24"/>
        </w:rPr>
      </w:pPr>
      <w:r>
        <w:rPr>
          <w:rFonts w:hint="eastAsia"/>
          <w:sz w:val="24"/>
        </w:rPr>
        <w:t>一、收入支出决算总表</w:t>
      </w:r>
    </w:p>
    <w:p>
      <w:pPr>
        <w:pStyle w:val="14"/>
        <w:adjustRightInd w:val="0"/>
        <w:snapToGrid w:val="0"/>
        <w:spacing w:line="440" w:lineRule="exact"/>
        <w:jc w:val="left"/>
        <w:rPr>
          <w:sz w:val="24"/>
        </w:rPr>
      </w:pPr>
      <w:r>
        <w:rPr>
          <w:rFonts w:hint="eastAsia"/>
          <w:sz w:val="24"/>
        </w:rPr>
        <w:t>二、收入决算表</w:t>
      </w:r>
    </w:p>
    <w:p>
      <w:pPr>
        <w:pStyle w:val="14"/>
        <w:adjustRightInd w:val="0"/>
        <w:snapToGrid w:val="0"/>
        <w:spacing w:line="440" w:lineRule="exact"/>
        <w:jc w:val="left"/>
        <w:rPr>
          <w:sz w:val="24"/>
        </w:rPr>
      </w:pPr>
      <w:r>
        <w:rPr>
          <w:rFonts w:hint="eastAsia"/>
          <w:sz w:val="24"/>
        </w:rPr>
        <w:t>三、支出决算表</w:t>
      </w:r>
    </w:p>
    <w:p>
      <w:pPr>
        <w:pStyle w:val="14"/>
        <w:adjustRightInd w:val="0"/>
        <w:snapToGrid w:val="0"/>
        <w:spacing w:line="440" w:lineRule="exact"/>
        <w:jc w:val="left"/>
        <w:rPr>
          <w:sz w:val="24"/>
        </w:rPr>
      </w:pPr>
      <w:r>
        <w:rPr>
          <w:rFonts w:hint="eastAsia"/>
          <w:sz w:val="24"/>
        </w:rPr>
        <w:t>四、财政拨款收入支出决算总表</w:t>
      </w:r>
    </w:p>
    <w:p>
      <w:pPr>
        <w:pStyle w:val="14"/>
        <w:adjustRightInd w:val="0"/>
        <w:snapToGrid w:val="0"/>
        <w:spacing w:line="440" w:lineRule="exact"/>
        <w:jc w:val="left"/>
        <w:rPr>
          <w:sz w:val="24"/>
        </w:rPr>
      </w:pPr>
      <w:r>
        <w:rPr>
          <w:rFonts w:hint="eastAsia"/>
          <w:sz w:val="24"/>
        </w:rPr>
        <w:t>五、财政拨款支出决算明细表</w:t>
      </w:r>
    </w:p>
    <w:p>
      <w:pPr>
        <w:pStyle w:val="14"/>
        <w:adjustRightInd w:val="0"/>
        <w:snapToGrid w:val="0"/>
        <w:spacing w:line="440" w:lineRule="exact"/>
        <w:jc w:val="left"/>
        <w:rPr>
          <w:sz w:val="24"/>
        </w:rPr>
      </w:pPr>
      <w:r>
        <w:rPr>
          <w:rFonts w:hint="eastAsia"/>
          <w:sz w:val="24"/>
        </w:rPr>
        <w:t>六、一般公共预算财政拨款支出决算表</w:t>
      </w:r>
    </w:p>
    <w:p>
      <w:pPr>
        <w:pStyle w:val="14"/>
        <w:adjustRightInd w:val="0"/>
        <w:snapToGrid w:val="0"/>
        <w:spacing w:line="440" w:lineRule="exact"/>
        <w:jc w:val="left"/>
        <w:rPr>
          <w:sz w:val="24"/>
        </w:rPr>
      </w:pPr>
      <w:r>
        <w:rPr>
          <w:rFonts w:hint="eastAsia"/>
          <w:sz w:val="24"/>
        </w:rPr>
        <w:t>七、一般公共预算财政拨款支出决算明细表</w:t>
      </w:r>
    </w:p>
    <w:p>
      <w:pPr>
        <w:pStyle w:val="14"/>
        <w:adjustRightInd w:val="0"/>
        <w:snapToGrid w:val="0"/>
        <w:spacing w:line="440" w:lineRule="exact"/>
        <w:jc w:val="left"/>
        <w:rPr>
          <w:sz w:val="24"/>
        </w:rPr>
      </w:pPr>
      <w:r>
        <w:rPr>
          <w:rFonts w:hint="eastAsia"/>
          <w:sz w:val="24"/>
        </w:rPr>
        <w:t>八、一般公共预算财政拨款基本支出决算明细表</w:t>
      </w:r>
    </w:p>
    <w:p>
      <w:pPr>
        <w:pStyle w:val="14"/>
        <w:adjustRightInd w:val="0"/>
        <w:snapToGrid w:val="0"/>
        <w:spacing w:line="440" w:lineRule="exact"/>
        <w:jc w:val="left"/>
        <w:rPr>
          <w:sz w:val="24"/>
        </w:rPr>
      </w:pPr>
      <w:r>
        <w:rPr>
          <w:rFonts w:hint="eastAsia"/>
          <w:sz w:val="24"/>
        </w:rPr>
        <w:t>九、一般公共预算财政拨款项目支出决算表</w:t>
      </w:r>
    </w:p>
    <w:p>
      <w:pPr>
        <w:pStyle w:val="14"/>
        <w:adjustRightInd w:val="0"/>
        <w:snapToGrid w:val="0"/>
        <w:spacing w:line="440" w:lineRule="exact"/>
        <w:jc w:val="left"/>
        <w:rPr>
          <w:sz w:val="24"/>
        </w:rPr>
      </w:pPr>
      <w:r>
        <w:rPr>
          <w:rFonts w:hint="eastAsia"/>
          <w:sz w:val="24"/>
        </w:rPr>
        <w:t>十、政府性基金预算财政拨款收入支出决算表</w:t>
      </w:r>
    </w:p>
    <w:p>
      <w:pPr>
        <w:pStyle w:val="14"/>
        <w:adjustRightInd w:val="0"/>
        <w:snapToGrid w:val="0"/>
        <w:spacing w:line="440" w:lineRule="exact"/>
        <w:jc w:val="left"/>
        <w:rPr>
          <w:sz w:val="24"/>
        </w:rPr>
      </w:pPr>
      <w:r>
        <w:rPr>
          <w:rFonts w:hint="eastAsia"/>
          <w:sz w:val="24"/>
        </w:rPr>
        <w:t>十一、国有资本经营预算财政拨款收入支出决算表</w:t>
      </w:r>
    </w:p>
    <w:p>
      <w:pPr>
        <w:pStyle w:val="14"/>
        <w:adjustRightInd w:val="0"/>
        <w:snapToGrid w:val="0"/>
        <w:spacing w:line="440" w:lineRule="exact"/>
        <w:jc w:val="left"/>
        <w:rPr>
          <w:sz w:val="24"/>
        </w:rPr>
      </w:pPr>
      <w:r>
        <w:rPr>
          <w:rFonts w:hint="eastAsia"/>
          <w:sz w:val="24"/>
        </w:rPr>
        <w:t>十二、国有资本经营预算财政拨款支出决算表</w:t>
      </w:r>
    </w:p>
    <w:p>
      <w:pPr>
        <w:pStyle w:val="14"/>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6" w:name="_Toc15377196"/>
      <w:bookmarkStart w:id="7" w:name="_Toc15396599"/>
      <w:r>
        <w:rPr>
          <w:rFonts w:ascii="仿宋" w:hAnsi="仿宋" w:eastAsia="仿宋"/>
          <w:b/>
          <w:sz w:val="24"/>
        </w:rPr>
        <w:br w:type="page"/>
      </w:r>
    </w:p>
    <w:p>
      <w:pPr>
        <w:pStyle w:val="3"/>
        <w:jc w:val="center"/>
        <w:rPr>
          <w:rStyle w:val="29"/>
          <w:rFonts w:ascii="黑体" w:hAnsi="黑体" w:eastAsia="黑体"/>
          <w:b/>
          <w:bCs w:val="0"/>
        </w:rPr>
      </w:pPr>
      <w:r>
        <w:rPr>
          <w:rFonts w:hint="eastAsia" w:ascii="黑体" w:hAnsi="黑体" w:eastAsia="黑体"/>
          <w:b w:val="0"/>
        </w:rPr>
        <w:t xml:space="preserve">第一部分 </w:t>
      </w:r>
      <w:r>
        <w:rPr>
          <w:rStyle w:val="29"/>
          <w:rFonts w:hint="eastAsia" w:ascii="黑体" w:hAnsi="黑体" w:eastAsia="黑体"/>
          <w:b w:val="0"/>
          <w:bCs w:val="0"/>
        </w:rPr>
        <w:t>部门概况</w:t>
      </w:r>
      <w:bookmarkEnd w:id="6"/>
      <w:bookmarkEnd w:id="7"/>
    </w:p>
    <w:p>
      <w:pPr>
        <w:widowControl/>
        <w:jc w:val="left"/>
        <w:rPr>
          <w:rFonts w:ascii="黑体" w:eastAsia="黑体"/>
          <w:sz w:val="32"/>
          <w:szCs w:val="32"/>
        </w:rPr>
      </w:pPr>
    </w:p>
    <w:p>
      <w:pPr>
        <w:spacing w:line="590" w:lineRule="exact"/>
        <w:ind w:firstLine="640" w:firstLineChars="200"/>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lang w:eastAsia="zh-CN"/>
        </w:rPr>
        <w:t>一、</w:t>
      </w:r>
      <w:r>
        <w:rPr>
          <w:rFonts w:hint="eastAsia" w:ascii="方正黑体简体" w:hAnsi="方正黑体简体" w:eastAsia="方正黑体简体" w:cs="方正黑体简体"/>
          <w:color w:val="auto"/>
          <w:sz w:val="32"/>
          <w:szCs w:val="32"/>
        </w:rPr>
        <w:t>部门职责</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（一）开展青少年思想政治引导。开展青少年思想动态和思想政治工作调查研究，提出相应对策，参与、推动制定有关政策、制度。统筹策划和开展全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团系统的思想政治教育引导有关活动。建设网上共青团，开展青少年网络舆论引导工作。配合开展全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青年统战工作。</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二）组织动员团员青年服务经济社会发展。落实党建带团建要求，统筹规划、推动团的组织建设和团员、团干部队伍建设，引导推动各行各业团员青年围绕中心、服务大局，立足岗位建功立业。组建青年突击队积极参与重大工程、项目和应急抢险等工作。规划和推动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青少年事务社会工作。规划和推动全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青年志愿服务工作、服务队伍和阵地建设，制定服务评价标准，打造服务品牌，完善网络信息平台。</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三）服务青少年成长发展。贯彻落实四川省中长期青年发展规划。参与、推动涉及青少年成长成才相关政策的制定。聚焦青年在成长方面的普遍性需求，开展有针对性的工作项目。开展留守儿童等特殊困难青少年关爱帮扶工作。</w:t>
      </w:r>
    </w:p>
    <w:p>
      <w:pPr>
        <w:spacing w:line="590" w:lineRule="exact"/>
        <w:ind w:firstLine="600" w:firstLineChars="200"/>
        <w:rPr>
          <w:rFonts w:ascii="Times New Roman" w:hAnsi="Times New Roman" w:eastAsia="方正仿宋简体" w:cs="Times New Roman"/>
          <w:color w:val="auto"/>
          <w:sz w:val="30"/>
          <w:szCs w:val="30"/>
        </w:rPr>
      </w:pPr>
      <w:r>
        <w:rPr>
          <w:rFonts w:ascii="Times New Roman" w:hAnsi="Times New Roman" w:eastAsia="方正仿宋简体" w:cs="Times New Roman"/>
          <w:color w:val="auto"/>
          <w:sz w:val="30"/>
          <w:szCs w:val="30"/>
        </w:rPr>
        <w:t>（四）维护青少年权益。参与涉及青少年的法规、规章和政策制定。开展青少年法治宣传教育。参与规划建设青少年维权工作体系，建立个案维权机制。收集和反映青少年正当诉求。</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（五）领导全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少先队工作，在</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青年联合会中发挥主导作用。</w:t>
      </w:r>
    </w:p>
    <w:p>
      <w:pPr>
        <w:spacing w:line="590" w:lineRule="exact"/>
        <w:ind w:firstLine="640" w:firstLineChars="200"/>
        <w:rPr>
          <w:rFonts w:ascii="Times New Roman" w:hAnsi="Times New Roman" w:eastAsia="方正仿宋简体" w:cs="Times New Roman"/>
          <w:color w:val="auto"/>
          <w:sz w:val="32"/>
          <w:szCs w:val="32"/>
        </w:rPr>
      </w:pPr>
      <w:r>
        <w:rPr>
          <w:rFonts w:ascii="Times New Roman" w:hAnsi="Times New Roman" w:eastAsia="方正仿宋简体" w:cs="Times New Roman"/>
          <w:color w:val="auto"/>
          <w:sz w:val="32"/>
          <w:szCs w:val="32"/>
        </w:rPr>
        <w:t>（六）完成</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委、</w:t>
      </w:r>
      <w:r>
        <w:rPr>
          <w:rFonts w:hint="eastAsia" w:ascii="Times New Roman" w:hAnsi="Times New Roman" w:eastAsia="方正仿宋简体" w:cs="Times New Roman"/>
          <w:color w:val="auto"/>
          <w:sz w:val="32"/>
          <w:szCs w:val="32"/>
        </w:rPr>
        <w:t>县</w:t>
      </w:r>
      <w:r>
        <w:rPr>
          <w:rFonts w:ascii="Times New Roman" w:hAnsi="Times New Roman" w:eastAsia="方正仿宋简体" w:cs="Times New Roman"/>
          <w:color w:val="auto"/>
          <w:sz w:val="32"/>
          <w:szCs w:val="32"/>
        </w:rPr>
        <w:t>政府交办的其他任务。</w:t>
      </w:r>
    </w:p>
    <w:p>
      <w:pPr>
        <w:numPr>
          <w:numId w:val="0"/>
        </w:numPr>
      </w:pPr>
    </w:p>
    <w:p>
      <w:pPr>
        <w:spacing w:line="590" w:lineRule="exact"/>
        <w:ind w:firstLine="640" w:firstLineChars="200"/>
        <w:rPr>
          <w:rFonts w:hint="eastAsia" w:ascii="方正黑体简体" w:hAnsi="方正黑体简体" w:eastAsia="方正黑体简体" w:cs="方正黑体简体"/>
          <w:color w:val="auto"/>
          <w:sz w:val="32"/>
          <w:szCs w:val="32"/>
          <w:lang w:eastAsia="zh-CN"/>
        </w:rPr>
      </w:pPr>
      <w:bookmarkStart w:id="8" w:name="_Toc15377200"/>
      <w:bookmarkStart w:id="9" w:name="_Toc15396601"/>
      <w:r>
        <w:rPr>
          <w:rFonts w:hint="eastAsia" w:ascii="方正黑体简体" w:hAnsi="方正黑体简体" w:eastAsia="方正黑体简体" w:cs="方正黑体简体"/>
          <w:color w:val="auto"/>
          <w:sz w:val="32"/>
          <w:szCs w:val="32"/>
          <w:lang w:eastAsia="zh-CN"/>
        </w:rPr>
        <w:t>二、机构</w:t>
      </w:r>
      <w:r>
        <w:rPr>
          <w:rFonts w:hint="eastAsia" w:ascii="方正黑体简体" w:hAnsi="方正黑体简体" w:eastAsia="方正黑体简体" w:cs="方正黑体简体"/>
          <w:color w:val="auto"/>
          <w:sz w:val="32"/>
          <w:szCs w:val="32"/>
          <w:lang w:eastAsia="zh-CN"/>
        </w:rPr>
        <w:t>设置</w:t>
      </w:r>
      <w:bookmarkEnd w:id="8"/>
      <w:bookmarkEnd w:id="9"/>
    </w:p>
    <w:p>
      <w:pPr>
        <w:ind w:firstLine="800" w:firstLineChars="250"/>
        <w:rPr>
          <w:rFonts w:hint="eastAsia" w:ascii="仿宋" w:hAnsi="仿宋" w:eastAsia="仿宋"/>
          <w:sz w:val="32"/>
          <w:szCs w:val="32"/>
          <w:lang w:eastAsia="zh-CN"/>
        </w:rPr>
      </w:pPr>
      <w:r>
        <w:rPr>
          <w:rFonts w:hint="eastAsia" w:ascii="仿宋" w:hAnsi="仿宋" w:eastAsia="仿宋"/>
          <w:sz w:val="32"/>
          <w:szCs w:val="32"/>
          <w:lang w:eastAsia="zh-CN"/>
        </w:rPr>
        <w:t>共青团乐至县委</w:t>
      </w:r>
      <w:r>
        <w:rPr>
          <w:rFonts w:hint="eastAsia" w:ascii="仿宋" w:hAnsi="仿宋" w:eastAsia="仿宋"/>
          <w:sz w:val="32"/>
          <w:szCs w:val="32"/>
        </w:rPr>
        <w:t>下属二级预算单位</w:t>
      </w:r>
      <w:r>
        <w:rPr>
          <w:rFonts w:hint="eastAsia" w:ascii="仿宋" w:hAnsi="仿宋" w:eastAsia="仿宋"/>
          <w:sz w:val="32"/>
          <w:szCs w:val="32"/>
          <w:lang w:val="en-US" w:eastAsia="zh-CN"/>
        </w:rPr>
        <w:t>1</w:t>
      </w:r>
      <w:r>
        <w:rPr>
          <w:rFonts w:hint="eastAsia" w:ascii="仿宋" w:hAnsi="仿宋" w:eastAsia="仿宋"/>
          <w:sz w:val="32"/>
          <w:szCs w:val="32"/>
        </w:rPr>
        <w:t>个，其中事业单位</w:t>
      </w:r>
      <w:r>
        <w:rPr>
          <w:rFonts w:hint="eastAsia" w:ascii="仿宋" w:hAnsi="仿宋" w:eastAsia="仿宋"/>
          <w:sz w:val="32"/>
          <w:szCs w:val="32"/>
          <w:lang w:val="en-US" w:eastAsia="zh-CN"/>
        </w:rPr>
        <w:t>1</w:t>
      </w:r>
      <w:r>
        <w:rPr>
          <w:rFonts w:hint="eastAsia" w:ascii="仿宋" w:hAnsi="仿宋" w:eastAsia="仿宋"/>
          <w:sz w:val="32"/>
          <w:szCs w:val="32"/>
        </w:rPr>
        <w:t>个。</w:t>
      </w:r>
      <w:r>
        <w:rPr>
          <w:rFonts w:hint="eastAsia" w:ascii="仿宋" w:hAnsi="仿宋" w:eastAsia="仿宋"/>
          <w:sz w:val="32"/>
          <w:szCs w:val="32"/>
          <w:lang w:eastAsia="zh-CN"/>
        </w:rPr>
        <w:t>其财务独立核算。</w:t>
      </w:r>
      <w:bookmarkStart w:id="10" w:name="_Toc15396602"/>
      <w:bookmarkStart w:id="11" w:name="_Toc15377204"/>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rPr>
      </w:pPr>
    </w:p>
    <w:p>
      <w:pPr>
        <w:pStyle w:val="3"/>
        <w:ind w:right="440"/>
        <w:jc w:val="center"/>
      </w:pPr>
      <w:r>
        <w:rPr>
          <w:rFonts w:hint="eastAsia" w:ascii="黑体" w:hAnsi="黑体" w:eastAsia="黑体"/>
          <w:b w:val="0"/>
        </w:rPr>
        <w:t>第二部分 2022年度</w:t>
      </w:r>
      <w:r>
        <w:rPr>
          <w:rStyle w:val="29"/>
          <w:rFonts w:hint="eastAsia" w:ascii="黑体" w:hAnsi="黑体" w:eastAsia="黑体"/>
          <w:b w:val="0"/>
          <w:bCs/>
        </w:rPr>
        <w:t>部门决算情况说明</w:t>
      </w:r>
      <w:bookmarkEnd w:id="10"/>
      <w:bookmarkEnd w:id="11"/>
    </w:p>
    <w:p>
      <w:pPr>
        <w:pStyle w:val="28"/>
        <w:numPr>
          <w:ilvl w:val="0"/>
          <w:numId w:val="1"/>
        </w:numPr>
        <w:spacing w:line="600" w:lineRule="exact"/>
        <w:ind w:firstLineChars="0"/>
        <w:outlineLvl w:val="1"/>
        <w:rPr>
          <w:rStyle w:val="30"/>
          <w:rFonts w:ascii="黑体" w:hAnsi="黑体" w:eastAsia="黑体"/>
          <w:b w:val="0"/>
        </w:rPr>
      </w:pPr>
      <w:bookmarkStart w:id="12" w:name="_Toc15396603"/>
      <w:bookmarkStart w:id="13" w:name="_Toc15377205"/>
      <w:r>
        <w:rPr>
          <w:rFonts w:hint="eastAsia" w:ascii="黑体" w:hAnsi="黑体" w:eastAsia="黑体"/>
          <w:sz w:val="32"/>
          <w:szCs w:val="32"/>
        </w:rPr>
        <w:t>收</w:t>
      </w:r>
      <w:r>
        <w:rPr>
          <w:rStyle w:val="30"/>
          <w:rFonts w:hint="eastAsia" w:ascii="黑体" w:hAnsi="黑体" w:eastAsia="黑体"/>
          <w:b w:val="0"/>
        </w:rPr>
        <w:t>入支出决算总体情况说明</w:t>
      </w:r>
      <w:bookmarkEnd w:id="12"/>
      <w:bookmarkEnd w:id="13"/>
    </w:p>
    <w:p>
      <w:pPr>
        <w:spacing w:line="600" w:lineRule="exact"/>
        <w:ind w:firstLine="640" w:firstLineChars="200"/>
        <w:rPr>
          <w:rFonts w:ascii="仿宋_GB2312" w:eastAsia="仿宋_GB2312"/>
          <w:sz w:val="32"/>
          <w:szCs w:val="32"/>
        </w:rPr>
      </w:pPr>
      <w:r>
        <w:rPr>
          <w:rFonts w:hint="eastAsia" w:ascii="仿宋" w:hAnsi="仿宋" w:eastAsia="仿宋"/>
          <w:sz w:val="32"/>
          <w:szCs w:val="32"/>
        </w:rPr>
        <w:t>2022年度收、支总计</w:t>
      </w:r>
      <w:r>
        <w:rPr>
          <w:rFonts w:hint="eastAsia" w:ascii="仿宋" w:hAnsi="仿宋" w:eastAsia="仿宋"/>
          <w:sz w:val="32"/>
          <w:szCs w:val="32"/>
          <w:lang w:val="en-US" w:eastAsia="zh-CN"/>
        </w:rPr>
        <w:t>191.26</w:t>
      </w:r>
      <w:r>
        <w:rPr>
          <w:rFonts w:hint="eastAsia" w:ascii="仿宋" w:hAnsi="仿宋" w:eastAsia="仿宋"/>
          <w:sz w:val="32"/>
          <w:szCs w:val="32"/>
        </w:rPr>
        <w:t>万元。与2021年相比，收、支总计各增加</w:t>
      </w:r>
      <w:r>
        <w:rPr>
          <w:rFonts w:hint="eastAsia" w:ascii="仿宋" w:hAnsi="仿宋" w:eastAsia="仿宋"/>
          <w:sz w:val="32"/>
          <w:szCs w:val="32"/>
          <w:lang w:val="en-US" w:eastAsia="zh-CN"/>
        </w:rPr>
        <w:t>70.99</w:t>
      </w:r>
      <w:r>
        <w:rPr>
          <w:rFonts w:hint="eastAsia" w:ascii="仿宋" w:hAnsi="仿宋" w:eastAsia="仿宋"/>
          <w:sz w:val="32"/>
          <w:szCs w:val="32"/>
        </w:rPr>
        <w:t>万元，增长</w:t>
      </w:r>
      <w:r>
        <w:rPr>
          <w:rFonts w:hint="eastAsia" w:ascii="仿宋" w:hAnsi="仿宋" w:eastAsia="仿宋"/>
          <w:sz w:val="32"/>
          <w:szCs w:val="32"/>
          <w:lang w:val="en-US" w:eastAsia="zh-CN"/>
        </w:rPr>
        <w:t>61.71</w:t>
      </w:r>
      <w:r>
        <w:rPr>
          <w:rFonts w:ascii="仿宋" w:hAnsi="仿宋" w:eastAsia="仿宋"/>
          <w:sz w:val="32"/>
          <w:szCs w:val="32"/>
        </w:rPr>
        <w:t>%</w:t>
      </w:r>
      <w:r>
        <w:rPr>
          <w:rFonts w:hint="eastAsia" w:ascii="仿宋" w:hAnsi="仿宋" w:eastAsia="仿宋"/>
          <w:sz w:val="32"/>
          <w:szCs w:val="32"/>
        </w:rPr>
        <w:t>。主要变动原因是</w:t>
      </w:r>
      <w:r>
        <w:rPr>
          <w:rFonts w:hint="default" w:ascii="Times New Roman" w:hAnsi="Times New Roman" w:eastAsia="方正仿宋简体" w:cs="Times New Roman"/>
          <w:sz w:val="32"/>
          <w:szCs w:val="32"/>
          <w:lang w:eastAsia="zh-CN"/>
        </w:rPr>
        <w:t>人员调整、西部计划志愿者保险和西部计划志愿者基本生活补助发放等因素</w:t>
      </w:r>
      <w:r>
        <w:rPr>
          <w:rFonts w:hint="eastAsia" w:ascii="仿宋" w:hAnsi="仿宋" w:eastAsia="仿宋"/>
          <w:sz w:val="32"/>
          <w:szCs w:val="32"/>
        </w:rPr>
        <w:t>。</w:t>
      </w:r>
    </w:p>
    <w:p>
      <w:pPr>
        <w:pStyle w:val="28"/>
        <w:numPr>
          <w:ilvl w:val="0"/>
          <w:numId w:val="1"/>
        </w:numPr>
        <w:spacing w:line="600" w:lineRule="exact"/>
        <w:ind w:firstLineChars="0"/>
        <w:outlineLvl w:val="1"/>
        <w:rPr>
          <w:rStyle w:val="30"/>
          <w:rFonts w:ascii="黑体" w:hAnsi="黑体" w:eastAsia="黑体"/>
          <w:b w:val="0"/>
        </w:rPr>
      </w:pPr>
      <w:bookmarkStart w:id="14" w:name="_Toc15377206"/>
      <w:bookmarkStart w:id="15" w:name="_Toc15396604"/>
      <w:r>
        <w:rPr>
          <w:rFonts w:hint="eastAsia" w:ascii="黑体" w:hAnsi="黑体" w:eastAsia="黑体"/>
          <w:sz w:val="32"/>
          <w:szCs w:val="32"/>
        </w:rPr>
        <w:t>收</w:t>
      </w:r>
      <w:r>
        <w:rPr>
          <w:rStyle w:val="30"/>
          <w:rFonts w:hint="eastAsia" w:ascii="黑体" w:hAnsi="黑体" w:eastAsia="黑体"/>
          <w:b w:val="0"/>
        </w:rPr>
        <w:t>入决算情况说明</w:t>
      </w:r>
      <w:bookmarkEnd w:id="14"/>
      <w:bookmarkEnd w:id="15"/>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191.26</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190.26</w:t>
      </w:r>
      <w:r>
        <w:rPr>
          <w:rFonts w:hint="eastAsia" w:ascii="仿宋" w:hAnsi="仿宋" w:eastAsia="仿宋"/>
          <w:sz w:val="32"/>
          <w:szCs w:val="32"/>
        </w:rPr>
        <w:t>万元，占</w:t>
      </w:r>
      <w:r>
        <w:rPr>
          <w:rFonts w:hint="eastAsia" w:ascii="仿宋" w:hAnsi="仿宋" w:eastAsia="仿宋"/>
          <w:sz w:val="32"/>
          <w:szCs w:val="32"/>
          <w:lang w:val="en-US" w:eastAsia="zh-CN"/>
        </w:rPr>
        <w:t>99.48</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1</w:t>
      </w:r>
      <w:r>
        <w:rPr>
          <w:rFonts w:hint="eastAsia" w:ascii="仿宋" w:hAnsi="仿宋" w:eastAsia="仿宋"/>
          <w:sz w:val="32"/>
          <w:szCs w:val="32"/>
        </w:rPr>
        <w:t>万元，占</w:t>
      </w:r>
      <w:r>
        <w:rPr>
          <w:rFonts w:hint="eastAsia" w:ascii="仿宋" w:hAnsi="仿宋" w:eastAsia="仿宋"/>
          <w:sz w:val="32"/>
          <w:szCs w:val="32"/>
          <w:lang w:val="en-US" w:eastAsia="zh-CN"/>
        </w:rPr>
        <w:t>0.52</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pStyle w:val="28"/>
        <w:numPr>
          <w:ilvl w:val="0"/>
          <w:numId w:val="1"/>
        </w:numPr>
        <w:spacing w:line="600" w:lineRule="exact"/>
        <w:ind w:firstLineChars="0"/>
        <w:outlineLvl w:val="1"/>
        <w:rPr>
          <w:rStyle w:val="30"/>
          <w:rFonts w:ascii="黑体" w:hAnsi="黑体" w:eastAsia="黑体"/>
          <w:b w:val="0"/>
        </w:rPr>
      </w:pPr>
      <w:bookmarkStart w:id="16" w:name="_Toc15396605"/>
      <w:bookmarkStart w:id="17" w:name="_Toc15377207"/>
      <w:r>
        <w:rPr>
          <w:rFonts w:hint="eastAsia" w:ascii="黑体" w:hAnsi="黑体" w:eastAsia="黑体"/>
          <w:sz w:val="32"/>
          <w:szCs w:val="32"/>
        </w:rPr>
        <w:t>支</w:t>
      </w:r>
      <w:r>
        <w:rPr>
          <w:rStyle w:val="30"/>
          <w:rFonts w:hint="eastAsia" w:ascii="黑体" w:hAnsi="黑体" w:eastAsia="黑体"/>
          <w:b w:val="0"/>
        </w:rPr>
        <w:t>出决算情况说明</w:t>
      </w:r>
      <w:bookmarkEnd w:id="16"/>
      <w:bookmarkEnd w:id="17"/>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191.26</w:t>
      </w:r>
      <w:r>
        <w:rPr>
          <w:rFonts w:hint="eastAsia" w:ascii="仿宋" w:hAnsi="仿宋" w:eastAsia="仿宋"/>
          <w:sz w:val="32"/>
          <w:szCs w:val="32"/>
        </w:rPr>
        <w:t>万元，其中：基本支出</w:t>
      </w:r>
      <w:r>
        <w:rPr>
          <w:rFonts w:hint="eastAsia" w:ascii="仿宋" w:hAnsi="仿宋" w:eastAsia="仿宋"/>
          <w:sz w:val="32"/>
          <w:szCs w:val="32"/>
          <w:lang w:val="en-US" w:eastAsia="zh-CN"/>
        </w:rPr>
        <w:t>128.27</w:t>
      </w:r>
      <w:r>
        <w:rPr>
          <w:rFonts w:hint="eastAsia" w:ascii="仿宋" w:hAnsi="仿宋" w:eastAsia="仿宋"/>
          <w:sz w:val="32"/>
          <w:szCs w:val="32"/>
        </w:rPr>
        <w:t>万元，占</w:t>
      </w:r>
      <w:r>
        <w:rPr>
          <w:rFonts w:hint="eastAsia" w:ascii="仿宋" w:hAnsi="仿宋" w:eastAsia="仿宋"/>
          <w:sz w:val="32"/>
          <w:szCs w:val="32"/>
          <w:lang w:val="en-US" w:eastAsia="zh-CN"/>
        </w:rPr>
        <w:t>67.07</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62.99</w:t>
      </w:r>
      <w:r>
        <w:rPr>
          <w:rFonts w:hint="eastAsia" w:ascii="仿宋" w:hAnsi="仿宋" w:eastAsia="仿宋"/>
          <w:sz w:val="32"/>
          <w:szCs w:val="32"/>
        </w:rPr>
        <w:t>万元，占</w:t>
      </w:r>
      <w:r>
        <w:rPr>
          <w:rFonts w:hint="eastAsia" w:ascii="仿宋" w:hAnsi="仿宋" w:eastAsia="仿宋"/>
          <w:sz w:val="32"/>
          <w:szCs w:val="32"/>
          <w:lang w:val="en-US" w:eastAsia="zh-CN"/>
        </w:rPr>
        <w:t>32.93</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outlineLvl w:val="1"/>
        <w:rPr>
          <w:rStyle w:val="30"/>
          <w:rFonts w:ascii="黑体" w:hAnsi="黑体" w:eastAsia="黑体"/>
          <w:b w:val="0"/>
        </w:rPr>
      </w:pPr>
      <w:bookmarkStart w:id="18" w:name="_Toc15396606"/>
      <w:bookmarkStart w:id="19" w:name="_Toc15377208"/>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18"/>
      <w:bookmarkEnd w:id="19"/>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22年财政拨款收、支总计</w:t>
      </w:r>
      <w:r>
        <w:rPr>
          <w:rFonts w:hint="eastAsia" w:ascii="仿宋" w:hAnsi="仿宋" w:eastAsia="仿宋"/>
          <w:sz w:val="32"/>
          <w:szCs w:val="32"/>
          <w:lang w:val="en-US" w:eastAsia="zh-CN"/>
        </w:rPr>
        <w:t>191.26</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21年相比，财政拨款收、支总计各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70.99</w:t>
      </w:r>
      <w:r>
        <w:rPr>
          <w:rFonts w:hint="eastAsia" w:ascii="仿宋" w:hAnsi="仿宋" w:eastAsia="仿宋"/>
          <w:sz w:val="32"/>
          <w:szCs w:val="32"/>
        </w:rPr>
        <w:t>万元，增长</w:t>
      </w:r>
      <w:r>
        <w:rPr>
          <w:rFonts w:hint="eastAsia" w:ascii="仿宋" w:hAnsi="仿宋" w:eastAsia="仿宋"/>
          <w:sz w:val="32"/>
          <w:szCs w:val="32"/>
          <w:lang w:val="en-US" w:eastAsia="zh-CN"/>
        </w:rPr>
        <w:t>61.71</w:t>
      </w:r>
      <w:r>
        <w:rPr>
          <w:rFonts w:ascii="仿宋" w:hAnsi="仿宋" w:eastAsia="仿宋"/>
          <w:sz w:val="32"/>
          <w:szCs w:val="32"/>
        </w:rPr>
        <w:t>%</w:t>
      </w:r>
      <w:r>
        <w:rPr>
          <w:rFonts w:hint="eastAsia" w:ascii="仿宋" w:hAnsi="仿宋" w:eastAsia="仿宋"/>
          <w:sz w:val="32"/>
          <w:szCs w:val="32"/>
        </w:rPr>
        <w:t>。主要变动原因是</w:t>
      </w:r>
      <w:r>
        <w:rPr>
          <w:rFonts w:hint="default" w:ascii="Times New Roman" w:hAnsi="Times New Roman" w:eastAsia="方正仿宋简体" w:cs="Times New Roman"/>
          <w:sz w:val="32"/>
          <w:szCs w:val="32"/>
          <w:lang w:eastAsia="zh-CN"/>
        </w:rPr>
        <w:t>人员调整、西部计划志愿者保险和西部计划志愿者基本生活补助发放等因素</w:t>
      </w:r>
      <w:r>
        <w:rPr>
          <w:rFonts w:hint="eastAsia" w:ascii="Times New Roman" w:hAnsi="Times New Roman" w:eastAsia="方正仿宋简体" w:cs="Times New Roman"/>
          <w:sz w:val="32"/>
          <w:szCs w:val="32"/>
          <w:lang w:eastAsia="zh-CN"/>
        </w:rPr>
        <w:t>。</w:t>
      </w:r>
    </w:p>
    <w:p>
      <w:pPr>
        <w:spacing w:line="600" w:lineRule="exact"/>
        <w:ind w:firstLine="640" w:firstLineChars="200"/>
        <w:outlineLvl w:val="1"/>
        <w:rPr>
          <w:rStyle w:val="30"/>
          <w:rFonts w:ascii="黑体" w:hAnsi="黑体" w:eastAsia="黑体"/>
          <w:b w:val="0"/>
        </w:rPr>
      </w:pPr>
      <w:bookmarkStart w:id="20" w:name="_Toc15396607"/>
      <w:bookmarkStart w:id="21"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0"/>
      <w:bookmarkEnd w:id="21"/>
    </w:p>
    <w:p>
      <w:pPr>
        <w:spacing w:line="600" w:lineRule="exact"/>
        <w:ind w:firstLine="643" w:firstLineChars="200"/>
        <w:outlineLvl w:val="2"/>
        <w:rPr>
          <w:rFonts w:ascii="仿宋" w:hAnsi="仿宋" w:eastAsia="仿宋"/>
          <w:b/>
          <w:sz w:val="32"/>
          <w:szCs w:val="32"/>
        </w:rPr>
      </w:pPr>
      <w:bookmarkStart w:id="22" w:name="_Toc15377210"/>
      <w:r>
        <w:rPr>
          <w:rFonts w:hint="eastAsia" w:ascii="仿宋" w:hAnsi="仿宋" w:eastAsia="仿宋"/>
          <w:b/>
          <w:sz w:val="32"/>
          <w:szCs w:val="32"/>
        </w:rPr>
        <w:t>（一）一般公共预算财政拨款支出决算总体情况</w:t>
      </w:r>
      <w:bookmarkEnd w:id="22"/>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191.26</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21年相比，一般公共预算财政拨款支出增加</w:t>
      </w:r>
      <w:r>
        <w:rPr>
          <w:rFonts w:hint="eastAsia" w:ascii="仿宋" w:hAnsi="仿宋" w:eastAsia="仿宋"/>
          <w:sz w:val="32"/>
          <w:szCs w:val="32"/>
          <w:lang w:val="en-US" w:eastAsia="zh-CN"/>
        </w:rPr>
        <w:t>70.99</w:t>
      </w:r>
      <w:r>
        <w:rPr>
          <w:rFonts w:hint="eastAsia" w:ascii="仿宋" w:hAnsi="仿宋" w:eastAsia="仿宋"/>
          <w:sz w:val="32"/>
          <w:szCs w:val="32"/>
        </w:rPr>
        <w:t>万元，增长</w:t>
      </w:r>
      <w:r>
        <w:rPr>
          <w:rFonts w:hint="eastAsia" w:ascii="仿宋" w:hAnsi="仿宋" w:eastAsia="仿宋"/>
          <w:sz w:val="32"/>
          <w:szCs w:val="32"/>
          <w:lang w:val="en-US" w:eastAsia="zh-CN"/>
        </w:rPr>
        <w:t>61.71</w:t>
      </w:r>
      <w:r>
        <w:rPr>
          <w:rFonts w:ascii="仿宋" w:hAnsi="仿宋" w:eastAsia="仿宋"/>
          <w:sz w:val="32"/>
          <w:szCs w:val="32"/>
        </w:rPr>
        <w:t>%</w:t>
      </w:r>
      <w:r>
        <w:rPr>
          <w:rFonts w:hint="eastAsia" w:ascii="仿宋" w:hAnsi="仿宋" w:eastAsia="仿宋"/>
          <w:sz w:val="32"/>
          <w:szCs w:val="32"/>
        </w:rPr>
        <w:t>。主要变动原因是</w:t>
      </w:r>
      <w:r>
        <w:rPr>
          <w:rFonts w:hint="default" w:ascii="Times New Roman" w:hAnsi="Times New Roman" w:eastAsia="方正仿宋简体" w:cs="Times New Roman"/>
          <w:sz w:val="32"/>
          <w:szCs w:val="32"/>
          <w:lang w:eastAsia="zh-CN"/>
        </w:rPr>
        <w:t>人员调整、西部计划志愿者保险和西部计划志愿者基本生活补助发放等因素</w:t>
      </w:r>
      <w:r>
        <w:rPr>
          <w:rFonts w:hint="eastAsia" w:ascii="Times New Roman" w:hAnsi="Times New Roman" w:eastAsia="方正仿宋简体" w:cs="Times New Roman"/>
          <w:sz w:val="32"/>
          <w:szCs w:val="32"/>
          <w:lang w:eastAsia="zh-CN"/>
        </w:rPr>
        <w:t>。</w:t>
      </w:r>
    </w:p>
    <w:p>
      <w:pPr>
        <w:spacing w:line="600" w:lineRule="exact"/>
        <w:ind w:firstLine="643" w:firstLineChars="200"/>
        <w:outlineLvl w:val="2"/>
        <w:rPr>
          <w:rFonts w:ascii="仿宋" w:hAnsi="仿宋" w:eastAsia="仿宋"/>
          <w:b/>
          <w:sz w:val="32"/>
          <w:szCs w:val="32"/>
        </w:rPr>
      </w:pPr>
      <w:bookmarkStart w:id="23" w:name="_Toc15377211"/>
      <w:r>
        <w:rPr>
          <w:rFonts w:hint="eastAsia" w:ascii="仿宋" w:hAnsi="仿宋" w:eastAsia="仿宋"/>
          <w:b/>
          <w:sz w:val="32"/>
          <w:szCs w:val="32"/>
        </w:rPr>
        <w:t>（二）一般公共预算财政拨款支出决算结构情况</w:t>
      </w:r>
      <w:bookmarkEnd w:id="23"/>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191.26</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180.82</w:t>
      </w:r>
      <w:r>
        <w:rPr>
          <w:rFonts w:hint="eastAsia" w:ascii="仿宋" w:hAnsi="仿宋" w:eastAsia="仿宋"/>
          <w:sz w:val="32"/>
          <w:szCs w:val="32"/>
        </w:rPr>
        <w:t>万元，占</w:t>
      </w:r>
      <w:r>
        <w:rPr>
          <w:rFonts w:hint="eastAsia" w:ascii="仿宋" w:hAnsi="仿宋" w:eastAsia="仿宋"/>
          <w:sz w:val="32"/>
          <w:szCs w:val="32"/>
          <w:lang w:val="en-US" w:eastAsia="zh-CN"/>
        </w:rPr>
        <w:t>94.54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2.8</w:t>
      </w:r>
      <w:r>
        <w:rPr>
          <w:rFonts w:hint="eastAsia" w:ascii="仿宋" w:hAnsi="仿宋" w:eastAsia="仿宋"/>
          <w:sz w:val="32"/>
          <w:szCs w:val="32"/>
        </w:rPr>
        <w:t>元，占</w:t>
      </w:r>
      <w:r>
        <w:rPr>
          <w:rFonts w:hint="eastAsia" w:ascii="仿宋" w:hAnsi="仿宋" w:eastAsia="仿宋"/>
          <w:sz w:val="32"/>
          <w:szCs w:val="32"/>
          <w:lang w:val="en-US" w:eastAsia="zh-CN"/>
        </w:rPr>
        <w:t>1.47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1.76</w:t>
      </w:r>
      <w:r>
        <w:rPr>
          <w:rFonts w:hint="eastAsia" w:ascii="仿宋" w:hAnsi="仿宋" w:eastAsia="仿宋"/>
          <w:sz w:val="32"/>
          <w:szCs w:val="32"/>
        </w:rPr>
        <w:t>万元，占</w:t>
      </w:r>
      <w:r>
        <w:rPr>
          <w:rFonts w:hint="eastAsia" w:ascii="仿宋" w:hAnsi="仿宋" w:eastAsia="仿宋"/>
          <w:sz w:val="32"/>
          <w:szCs w:val="32"/>
          <w:lang w:val="en-US" w:eastAsia="zh-CN"/>
        </w:rPr>
        <w:t>0.92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4.86</w:t>
      </w:r>
      <w:r>
        <w:rPr>
          <w:rFonts w:hint="eastAsia" w:ascii="仿宋" w:hAnsi="仿宋" w:eastAsia="仿宋"/>
          <w:sz w:val="32"/>
          <w:szCs w:val="32"/>
        </w:rPr>
        <w:t>万元，占</w:t>
      </w:r>
      <w:r>
        <w:rPr>
          <w:rFonts w:hint="eastAsia" w:ascii="仿宋" w:hAnsi="仿宋" w:eastAsia="仿宋"/>
          <w:sz w:val="32"/>
          <w:szCs w:val="32"/>
          <w:lang w:val="en-US" w:eastAsia="zh-CN"/>
        </w:rPr>
        <w:t>2.54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eastAsia="zh-CN"/>
        </w:rPr>
        <w:t>其他支出</w:t>
      </w:r>
      <w:r>
        <w:rPr>
          <w:rFonts w:hint="eastAsia" w:ascii="仿宋" w:hAnsi="仿宋" w:eastAsia="仿宋"/>
          <w:sz w:val="32"/>
          <w:szCs w:val="32"/>
          <w:lang w:val="en-US" w:eastAsia="zh-CN"/>
        </w:rPr>
        <w:t>1万元，</w:t>
      </w:r>
      <w:r>
        <w:rPr>
          <w:rFonts w:hint="eastAsia" w:ascii="仿宋" w:hAnsi="仿宋" w:eastAsia="仿宋"/>
          <w:sz w:val="32"/>
          <w:szCs w:val="32"/>
        </w:rPr>
        <w:t>占</w:t>
      </w:r>
      <w:r>
        <w:rPr>
          <w:rFonts w:hint="eastAsia" w:ascii="仿宋" w:hAnsi="仿宋" w:eastAsia="仿宋"/>
          <w:sz w:val="32"/>
          <w:szCs w:val="32"/>
          <w:lang w:val="en-US" w:eastAsia="zh-CN"/>
        </w:rPr>
        <w:t>0.52</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2"/>
        <w:rPr>
          <w:rFonts w:ascii="仿宋" w:hAnsi="仿宋" w:eastAsia="仿宋"/>
          <w:b/>
          <w:sz w:val="32"/>
          <w:szCs w:val="32"/>
        </w:rPr>
      </w:pPr>
      <w:bookmarkStart w:id="24" w:name="_Toc15377212"/>
      <w:r>
        <w:rPr>
          <w:rFonts w:hint="eastAsia" w:ascii="仿宋" w:hAnsi="仿宋" w:eastAsia="仿宋"/>
          <w:b/>
          <w:sz w:val="32"/>
          <w:szCs w:val="32"/>
        </w:rPr>
        <w:t>（三）一般公共预算财政拨款支出决算具体情况</w:t>
      </w:r>
      <w:bookmarkEnd w:id="24"/>
    </w:p>
    <w:p>
      <w:pPr>
        <w:spacing w:line="600" w:lineRule="exact"/>
        <w:ind w:firstLine="643" w:firstLineChars="200"/>
        <w:outlineLvl w:val="2"/>
        <w:rPr>
          <w:rFonts w:ascii="仿宋" w:hAnsi="仿宋" w:eastAsia="仿宋"/>
          <w:sz w:val="32"/>
          <w:szCs w:val="32"/>
        </w:rPr>
      </w:pPr>
      <w:bookmarkStart w:id="25" w:name="_Toc15377213"/>
      <w:bookmarkStart w:id="26" w:name="_Toc15378460"/>
      <w:bookmarkStart w:id="27" w:name="_Toc15377444"/>
      <w:r>
        <w:rPr>
          <w:rFonts w:hint="eastAsia" w:ascii="仿宋" w:hAnsi="仿宋" w:eastAsia="仿宋"/>
          <w:b/>
          <w:sz w:val="32"/>
          <w:szCs w:val="32"/>
        </w:rPr>
        <w:t>2022年一般公共预算支出决算数为</w:t>
      </w:r>
      <w:r>
        <w:rPr>
          <w:rFonts w:hint="eastAsia" w:ascii="仿宋" w:hAnsi="仿宋" w:eastAsia="仿宋"/>
          <w:b/>
          <w:sz w:val="32"/>
          <w:szCs w:val="32"/>
          <w:lang w:val="en-US" w:eastAsia="zh-CN"/>
        </w:rPr>
        <w:t>180.82</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25"/>
      <w:bookmarkEnd w:id="26"/>
      <w:bookmarkEnd w:id="27"/>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1.</w:t>
      </w:r>
      <w:r>
        <w:rPr>
          <w:rStyle w:val="18"/>
          <w:rFonts w:hint="eastAsia" w:ascii="仿宋" w:hAnsi="仿宋" w:eastAsia="仿宋"/>
          <w:bCs/>
          <w:sz w:val="32"/>
          <w:szCs w:val="32"/>
        </w:rPr>
        <w:t>一般公共服务（类）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180.82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2.</w:t>
      </w:r>
      <w:r>
        <w:rPr>
          <w:rStyle w:val="18"/>
          <w:rFonts w:hint="eastAsia" w:ascii="仿宋" w:hAnsi="仿宋" w:eastAsia="仿宋"/>
          <w:bCs/>
          <w:sz w:val="32"/>
          <w:szCs w:val="32"/>
        </w:rPr>
        <w:t>教育（类）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0</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3.</w:t>
      </w:r>
      <w:r>
        <w:rPr>
          <w:rStyle w:val="18"/>
          <w:rFonts w:hint="eastAsia" w:ascii="仿宋" w:hAnsi="仿宋" w:eastAsia="仿宋"/>
          <w:bCs/>
          <w:sz w:val="32"/>
          <w:szCs w:val="32"/>
        </w:rPr>
        <w:t>科学技术（类）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0</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4.</w:t>
      </w:r>
      <w:r>
        <w:rPr>
          <w:rStyle w:val="18"/>
          <w:rFonts w:hint="eastAsia" w:ascii="仿宋" w:hAnsi="仿宋" w:eastAsia="仿宋"/>
          <w:bCs/>
          <w:sz w:val="32"/>
          <w:szCs w:val="32"/>
        </w:rPr>
        <w:t>文化旅游体育与传媒（类）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0</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5.</w:t>
      </w:r>
      <w:r>
        <w:rPr>
          <w:rStyle w:val="18"/>
          <w:rFonts w:hint="eastAsia" w:ascii="仿宋" w:hAnsi="仿宋" w:eastAsia="仿宋"/>
          <w:bCs/>
          <w:sz w:val="32"/>
          <w:szCs w:val="32"/>
        </w:rPr>
        <w:t>社会保障和就业（类）</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2.82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Style w:val="18"/>
          <w:rFonts w:hint="eastAsia" w:ascii="仿宋" w:hAnsi="仿宋" w:eastAsia="仿宋"/>
          <w:b w:val="0"/>
          <w:bCs/>
          <w:sz w:val="32"/>
          <w:szCs w:val="32"/>
        </w:rPr>
      </w:pPr>
      <w:r>
        <w:rPr>
          <w:rStyle w:val="18"/>
          <w:rFonts w:ascii="仿宋" w:hAnsi="仿宋" w:eastAsia="仿宋"/>
          <w:bCs/>
          <w:sz w:val="32"/>
          <w:szCs w:val="32"/>
        </w:rPr>
        <w:t>6.</w:t>
      </w: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1.76</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0.92</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pStyle w:val="2"/>
        <w:ind w:firstLine="643" w:firstLineChars="200"/>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7</w:t>
      </w:r>
      <w:r>
        <w:rPr>
          <w:rStyle w:val="18"/>
          <w:rFonts w:ascii="仿宋" w:hAnsi="仿宋" w:eastAsia="仿宋"/>
          <w:bCs/>
          <w:sz w:val="32"/>
          <w:szCs w:val="32"/>
        </w:rPr>
        <w:t>.</w:t>
      </w:r>
      <w:r>
        <w:rPr>
          <w:rFonts w:hint="eastAsia" w:ascii="仿宋" w:hAnsi="仿宋" w:eastAsia="仿宋"/>
          <w:b/>
          <w:bCs/>
          <w:sz w:val="32"/>
          <w:szCs w:val="32"/>
        </w:rPr>
        <w:t>住房保障</w:t>
      </w:r>
      <w:r>
        <w:rPr>
          <w:rFonts w:hint="eastAsia" w:ascii="仿宋" w:hAnsi="仿宋" w:eastAsia="仿宋"/>
          <w:b/>
          <w:bCs/>
          <w:sz w:val="32"/>
          <w:szCs w:val="32"/>
          <w:lang w:eastAsia="zh-CN"/>
        </w:rPr>
        <w:t>（类）</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4.86</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2.54</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pStyle w:val="2"/>
        <w:ind w:firstLine="643" w:firstLineChars="200"/>
        <w:rPr>
          <w:rStyle w:val="18"/>
          <w:rFonts w:hint="eastAsia" w:ascii="仿宋" w:hAnsi="仿宋" w:eastAsia="仿宋"/>
          <w:b w:val="0"/>
          <w:bCs/>
          <w:sz w:val="32"/>
          <w:szCs w:val="32"/>
          <w:lang w:eastAsia="zh-CN"/>
        </w:rPr>
      </w:pPr>
      <w:r>
        <w:rPr>
          <w:rStyle w:val="18"/>
          <w:rFonts w:hint="eastAsia" w:ascii="仿宋" w:hAnsi="仿宋" w:eastAsia="仿宋"/>
          <w:bCs/>
          <w:sz w:val="32"/>
          <w:szCs w:val="32"/>
          <w:lang w:val="en-US" w:eastAsia="zh-CN"/>
        </w:rPr>
        <w:t>8</w:t>
      </w:r>
      <w:r>
        <w:rPr>
          <w:rStyle w:val="18"/>
          <w:rFonts w:ascii="仿宋" w:hAnsi="仿宋" w:eastAsia="仿宋"/>
          <w:bCs/>
          <w:sz w:val="32"/>
          <w:szCs w:val="32"/>
        </w:rPr>
        <w:t>.</w:t>
      </w:r>
      <w:r>
        <w:rPr>
          <w:rFonts w:hint="eastAsia" w:ascii="仿宋" w:hAnsi="仿宋" w:eastAsia="仿宋"/>
          <w:b/>
          <w:bCs/>
          <w:sz w:val="32"/>
          <w:szCs w:val="32"/>
          <w:lang w:eastAsia="zh-CN"/>
        </w:rPr>
        <w:t>其他支出（类）</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0.52</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tabs>
          <w:tab w:val="right" w:pos="8306"/>
        </w:tabs>
        <w:spacing w:line="600" w:lineRule="exact"/>
        <w:ind w:firstLine="640"/>
        <w:outlineLvl w:val="1"/>
        <w:rPr>
          <w:rStyle w:val="30"/>
        </w:rPr>
      </w:pPr>
      <w:bookmarkStart w:id="28" w:name="_Toc15396608"/>
      <w:bookmarkStart w:id="29"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28"/>
      <w:bookmarkEnd w:id="29"/>
      <w:r>
        <w:rPr>
          <w:rStyle w:val="30"/>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128.27</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119.81</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8.46</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30"/>
          <w:rFonts w:ascii="黑体" w:hAnsi="黑体" w:eastAsia="黑体"/>
          <w:b w:val="0"/>
        </w:rPr>
      </w:pPr>
      <w:bookmarkStart w:id="30" w:name="_Toc15377215"/>
      <w:bookmarkStart w:id="31" w:name="_Toc15396609"/>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30"/>
      <w:bookmarkEnd w:id="31"/>
    </w:p>
    <w:p>
      <w:pPr>
        <w:spacing w:line="600" w:lineRule="exact"/>
        <w:ind w:firstLine="640"/>
        <w:outlineLvl w:val="2"/>
        <w:rPr>
          <w:rFonts w:ascii="仿宋" w:hAnsi="仿宋" w:eastAsia="仿宋"/>
          <w:b/>
          <w:sz w:val="32"/>
          <w:szCs w:val="32"/>
        </w:rPr>
      </w:pPr>
      <w:bookmarkStart w:id="32" w:name="_Toc15377216"/>
      <w:r>
        <w:rPr>
          <w:rFonts w:hint="eastAsia" w:ascii="仿宋" w:hAnsi="仿宋" w:eastAsia="仿宋"/>
          <w:b/>
          <w:sz w:val="32"/>
          <w:szCs w:val="32"/>
        </w:rPr>
        <w:t>（一）“三公”经费财政拨款支出决算总体情况说明</w:t>
      </w:r>
      <w:bookmarkEnd w:id="32"/>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0.77</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，较上年增加</w:t>
      </w:r>
      <w:r>
        <w:rPr>
          <w:rFonts w:hint="eastAsia" w:ascii="仿宋" w:hAnsi="仿宋" w:eastAsia="仿宋"/>
          <w:sz w:val="32"/>
          <w:szCs w:val="32"/>
          <w:lang w:val="en-US" w:eastAsia="zh-CN"/>
        </w:rPr>
        <w:t>0.0015</w:t>
      </w:r>
      <w:r>
        <w:rPr>
          <w:rFonts w:hint="eastAsia" w:ascii="仿宋" w:hAnsi="仿宋" w:eastAsia="仿宋"/>
          <w:sz w:val="32"/>
          <w:szCs w:val="32"/>
        </w:rPr>
        <w:t>万元，增长</w:t>
      </w:r>
      <w:r>
        <w:rPr>
          <w:rFonts w:hint="eastAsia" w:ascii="仿宋" w:hAnsi="仿宋" w:eastAsia="仿宋"/>
          <w:sz w:val="32"/>
          <w:szCs w:val="32"/>
          <w:lang w:val="en-US" w:eastAsia="zh-CN"/>
        </w:rPr>
        <w:t>0.19</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33" w:name="_Toc15377217"/>
      <w:r>
        <w:rPr>
          <w:rFonts w:hint="eastAsia" w:ascii="仿宋" w:hAnsi="仿宋" w:eastAsia="仿宋"/>
          <w:b/>
          <w:sz w:val="32"/>
          <w:szCs w:val="32"/>
        </w:rPr>
        <w:t>（二）“三公”经费财政拨款支出决算具体情况说明</w:t>
      </w:r>
      <w:bookmarkEnd w:id="33"/>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0.77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w:t>
      </w:r>
    </w:p>
    <w:p>
      <w:pPr>
        <w:spacing w:line="600" w:lineRule="exact"/>
        <w:ind w:firstLine="643" w:firstLineChars="20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0.77</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0.77</w:t>
      </w:r>
      <w:r>
        <w:rPr>
          <w:rFonts w:hint="eastAsia" w:ascii="仿宋_GB2312" w:eastAsia="仿宋_GB2312"/>
          <w:sz w:val="32"/>
          <w:szCs w:val="32"/>
        </w:rPr>
        <w:t>万元，主要用</w:t>
      </w:r>
      <w:r>
        <w:rPr>
          <w:rFonts w:hint="eastAsia" w:ascii="仿宋_GB2312" w:hAnsi="Times New Roman" w:eastAsia="仿宋_GB2312" w:cs="Times New Roman"/>
          <w:sz w:val="32"/>
          <w:szCs w:val="32"/>
        </w:rPr>
        <w:t>于用餐费等。</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w:t>
      </w:r>
    </w:p>
    <w:p>
      <w:pPr>
        <w:spacing w:line="600" w:lineRule="exact"/>
        <w:ind w:firstLine="640"/>
        <w:outlineLvl w:val="1"/>
        <w:rPr>
          <w:rFonts w:ascii="黑体" w:eastAsia="黑体"/>
          <w:sz w:val="32"/>
          <w:szCs w:val="32"/>
        </w:rPr>
      </w:pPr>
      <w:bookmarkStart w:id="34" w:name="_Toc15377218"/>
      <w:bookmarkStart w:id="35" w:name="_Toc15396610"/>
    </w:p>
    <w:p>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34"/>
      <w:bookmarkEnd w:id="35"/>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1</w:t>
      </w:r>
      <w:r>
        <w:rPr>
          <w:rFonts w:hint="eastAsia" w:ascii="仿宋_GB2312" w:eastAsia="仿宋_GB2312"/>
          <w:sz w:val="32"/>
          <w:szCs w:val="32"/>
        </w:rPr>
        <w:t>万元。</w:t>
      </w:r>
    </w:p>
    <w:p>
      <w:pPr>
        <w:numPr>
          <w:ilvl w:val="0"/>
          <w:numId w:val="2"/>
        </w:numPr>
        <w:spacing w:line="600" w:lineRule="exact"/>
        <w:ind w:firstLine="640"/>
        <w:outlineLvl w:val="1"/>
        <w:rPr>
          <w:rStyle w:val="30"/>
          <w:rFonts w:ascii="黑体" w:hAnsi="黑体" w:eastAsia="黑体"/>
          <w:b w:val="0"/>
        </w:rPr>
      </w:pPr>
      <w:bookmarkStart w:id="36" w:name="_Toc15396611"/>
      <w:bookmarkStart w:id="37" w:name="_Toc15377219"/>
      <w:r>
        <w:rPr>
          <w:rStyle w:val="30"/>
          <w:rFonts w:hint="eastAsia" w:ascii="黑体" w:hAnsi="黑体" w:eastAsia="黑体"/>
          <w:b w:val="0"/>
        </w:rPr>
        <w:t>国有资本经营预算支出决算情况说明</w:t>
      </w:r>
      <w:bookmarkEnd w:id="36"/>
      <w:bookmarkEnd w:id="37"/>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30"/>
          <w:rFonts w:ascii="黑体" w:hAnsi="黑体" w:eastAsia="黑体"/>
          <w:b w:val="0"/>
        </w:rPr>
      </w:pPr>
      <w:bookmarkStart w:id="38" w:name="_Toc15377221"/>
      <w:bookmarkStart w:id="39" w:name="_Toc15396612"/>
      <w:r>
        <w:rPr>
          <w:rStyle w:val="30"/>
          <w:rFonts w:hint="eastAsia" w:ascii="黑体" w:hAnsi="黑体" w:eastAsia="黑体"/>
          <w:b w:val="0"/>
        </w:rPr>
        <w:t>其他重要事项的情况说明</w:t>
      </w:r>
      <w:bookmarkEnd w:id="38"/>
      <w:bookmarkEnd w:id="39"/>
    </w:p>
    <w:p>
      <w:pPr>
        <w:spacing w:line="600" w:lineRule="exact"/>
        <w:ind w:firstLine="643" w:firstLineChars="200"/>
        <w:outlineLvl w:val="2"/>
        <w:rPr>
          <w:rFonts w:ascii="仿宋" w:hAnsi="仿宋" w:eastAsia="仿宋"/>
          <w:sz w:val="32"/>
          <w:szCs w:val="32"/>
        </w:rPr>
      </w:pPr>
      <w:bookmarkStart w:id="40" w:name="_Toc15377222"/>
      <w:r>
        <w:rPr>
          <w:rFonts w:hint="eastAsia" w:ascii="仿宋" w:hAnsi="仿宋" w:eastAsia="仿宋"/>
          <w:b/>
          <w:sz w:val="32"/>
          <w:szCs w:val="32"/>
        </w:rPr>
        <w:t>（一）机关运行经费支出情况</w:t>
      </w:r>
      <w:bookmarkEnd w:id="40"/>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共青团乐至县委</w:t>
      </w:r>
      <w:r>
        <w:rPr>
          <w:rFonts w:hint="eastAsia" w:ascii="仿宋_GB2312" w:eastAsia="仿宋_GB2312"/>
          <w:sz w:val="32"/>
          <w:szCs w:val="32"/>
        </w:rPr>
        <w:t>机关运行经费支出</w:t>
      </w:r>
      <w:r>
        <w:rPr>
          <w:rFonts w:hint="eastAsia" w:ascii="仿宋_GB2312" w:eastAsia="仿宋_GB2312"/>
          <w:sz w:val="32"/>
          <w:szCs w:val="32"/>
          <w:lang w:val="en-US" w:eastAsia="zh-CN"/>
        </w:rPr>
        <w:t>8.46</w:t>
      </w:r>
      <w:r>
        <w:rPr>
          <w:rFonts w:hint="eastAsia" w:ascii="仿宋_GB2312" w:eastAsia="仿宋_GB2312"/>
          <w:sz w:val="32"/>
          <w:szCs w:val="32"/>
        </w:rPr>
        <w:t>万元。</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1" w:name="_Toc15377223"/>
      <w:r>
        <w:rPr>
          <w:rFonts w:hint="eastAsia" w:ascii="仿宋" w:hAnsi="仿宋" w:eastAsia="仿宋"/>
          <w:b/>
          <w:sz w:val="32"/>
          <w:szCs w:val="32"/>
        </w:rPr>
        <w:t>（二）政府采购支出情况</w:t>
      </w:r>
      <w:bookmarkEnd w:id="41"/>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共青团乐至县委</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2" w:name="_Toc15377224"/>
      <w:r>
        <w:rPr>
          <w:rFonts w:hint="eastAsia" w:ascii="仿宋" w:hAnsi="仿宋" w:eastAsia="仿宋"/>
          <w:b/>
          <w:sz w:val="32"/>
          <w:szCs w:val="32"/>
        </w:rPr>
        <w:t>（三）国有资产占有使用情况</w:t>
      </w:r>
      <w:bookmarkEnd w:id="42"/>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共青团乐至县委</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根据预算绩效管理要求，本部门在2022年度预算编制阶段，组织对</w:t>
      </w:r>
      <w:r>
        <w:rPr>
          <w:rFonts w:hint="eastAsia" w:ascii="仿宋_GB2312" w:hAnsi="仿宋_GB2312" w:eastAsia="仿宋_GB2312" w:cs="仿宋_GB2312"/>
          <w:sz w:val="32"/>
          <w:szCs w:val="32"/>
          <w:lang w:eastAsia="zh-CN"/>
        </w:rPr>
        <w:t>青少年活动</w:t>
      </w:r>
      <w:r>
        <w:rPr>
          <w:rFonts w:hint="eastAsia" w:ascii="仿宋_GB2312" w:hAnsi="仿宋_GB2312" w:eastAsia="仿宋_GB2312" w:cs="仿宋_GB2312"/>
          <w:sz w:val="32"/>
          <w:szCs w:val="32"/>
        </w:rPr>
        <w:t>项目（项目名称）等</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个项目开展绩效监控。</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组织对2022年度一般公共预算、政府性基金预算、国有资本经营预算、社会保险基金预算以及资本资产、债券资金等全面开展绩效自评，形成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eastAsia="zh-CN"/>
        </w:rPr>
        <w:t>共青团乐至县委</w:t>
      </w:r>
      <w:r>
        <w:rPr>
          <w:rFonts w:hint="eastAsia" w:ascii="仿宋_GB2312" w:hAnsi="仿宋_GB2312" w:eastAsia="仿宋_GB2312" w:cs="仿宋_GB2312"/>
          <w:sz w:val="32"/>
          <w:szCs w:val="32"/>
        </w:rPr>
        <w:t>部门整体（含部门预算项目）绩效自评报告、</w:t>
      </w:r>
      <w:r>
        <w:rPr>
          <w:rFonts w:hint="eastAsia" w:ascii="仿宋_GB2312" w:hAnsi="仿宋_GB2312" w:eastAsia="仿宋_GB2312" w:cs="仿宋_GB2312"/>
          <w:sz w:val="32"/>
          <w:szCs w:val="32"/>
          <w:lang w:eastAsia="zh-CN"/>
        </w:rPr>
        <w:t>青少年活动</w:t>
      </w:r>
      <w:r>
        <w:rPr>
          <w:rFonts w:hint="eastAsia" w:ascii="仿宋_GB2312" w:hAnsi="仿宋_GB2312" w:eastAsia="仿宋_GB2312" w:cs="仿宋_GB2312"/>
          <w:sz w:val="32"/>
          <w:szCs w:val="32"/>
        </w:rPr>
        <w:t>等专项预算项目绩效自评报告，其中，</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分，绩效自评综述：</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围绕中心、服务大局，深入基层、服务</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，较圆满地完成了本年度活动。</w:t>
      </w:r>
    </w:p>
    <w:p>
      <w:pPr>
        <w:pStyle w:val="2"/>
        <w:spacing w:before="93"/>
      </w:pPr>
    </w:p>
    <w:p>
      <w:pPr>
        <w:numPr>
          <w:ilvl w:val="0"/>
          <w:numId w:val="3"/>
        </w:numPr>
        <w:spacing w:line="600" w:lineRule="exact"/>
        <w:ind w:firstLine="660" w:firstLineChars="150"/>
        <w:jc w:val="center"/>
        <w:outlineLvl w:val="0"/>
        <w:rPr>
          <w:rStyle w:val="29"/>
          <w:rFonts w:ascii="黑体" w:hAnsi="黑体" w:eastAsia="黑体"/>
          <w:b w:val="0"/>
        </w:rPr>
      </w:pPr>
      <w:bookmarkStart w:id="43" w:name="_Toc15396613"/>
      <w:bookmarkStart w:id="44" w:name="_Toc15377225"/>
      <w:r>
        <w:rPr>
          <w:rFonts w:hint="eastAsia" w:ascii="黑体" w:hAnsi="黑体" w:eastAsia="黑体"/>
          <w:sz w:val="44"/>
          <w:szCs w:val="44"/>
        </w:rPr>
        <w:t>名</w:t>
      </w:r>
      <w:r>
        <w:rPr>
          <w:rStyle w:val="29"/>
          <w:rFonts w:hint="eastAsia" w:ascii="黑体" w:hAnsi="黑体" w:eastAsia="黑体"/>
          <w:b w:val="0"/>
        </w:rPr>
        <w:t>词解释</w:t>
      </w:r>
      <w:bookmarkEnd w:id="43"/>
      <w:bookmarkEnd w:id="44"/>
    </w:p>
    <w:p>
      <w:pPr>
        <w:spacing w:line="600" w:lineRule="exact"/>
        <w:jc w:val="left"/>
        <w:rPr>
          <w:rFonts w:ascii="宋体"/>
          <w:b/>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spacing w:line="560" w:lineRule="exact"/>
        <w:ind w:firstLine="640" w:firstLineChars="200"/>
        <w:rPr>
          <w:rFonts w:ascii="仿宋_GB2312" w:eastAsia="仿宋_GB2312" w:cs="黑体"/>
          <w:color w:val="auto"/>
          <w:sz w:val="32"/>
          <w:szCs w:val="32"/>
        </w:rPr>
      </w:pPr>
    </w:p>
    <w:p>
      <w:pPr>
        <w:spacing w:line="600" w:lineRule="exact"/>
        <w:jc w:val="center"/>
        <w:outlineLvl w:val="0"/>
        <w:rPr>
          <w:rStyle w:val="29"/>
          <w:rFonts w:ascii="黑体" w:hAnsi="黑体" w:eastAsia="黑体"/>
          <w:b w:val="0"/>
        </w:rPr>
      </w:pPr>
      <w:bookmarkStart w:id="45" w:name="_Toc15377226"/>
      <w:r>
        <w:rPr>
          <w:rFonts w:ascii="宋体"/>
          <w:b/>
          <w:sz w:val="44"/>
          <w:szCs w:val="44"/>
        </w:rPr>
        <w:br w:type="page"/>
      </w:r>
      <w:bookmarkStart w:id="46" w:name="_Toc15396614"/>
      <w:r>
        <w:rPr>
          <w:rFonts w:hint="eastAsia" w:ascii="黑体" w:hAnsi="黑体" w:eastAsia="黑体"/>
          <w:sz w:val="44"/>
          <w:szCs w:val="44"/>
        </w:rPr>
        <w:t>第</w:t>
      </w:r>
      <w:r>
        <w:rPr>
          <w:rStyle w:val="29"/>
          <w:rFonts w:hint="eastAsia" w:ascii="黑体" w:hAnsi="黑体" w:eastAsia="黑体"/>
          <w:b w:val="0"/>
        </w:rPr>
        <w:t>四部分 附件</w:t>
      </w:r>
      <w:bookmarkEnd w:id="46"/>
    </w:p>
    <w:p>
      <w:pPr>
        <w:ind w:right="-145" w:rightChars="-69"/>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eastAsia="zh-CN"/>
        </w:rPr>
        <w:t>附件</w:t>
      </w:r>
      <w:r>
        <w:rPr>
          <w:rFonts w:hint="default" w:ascii="Times New Roman" w:hAnsi="Times New Roman" w:eastAsia="方正黑体简体" w:cs="Times New Roman"/>
          <w:sz w:val="32"/>
          <w:szCs w:val="32"/>
          <w:lang w:val="en-US" w:eastAsia="zh-CN"/>
        </w:rPr>
        <w:t>1</w:t>
      </w:r>
    </w:p>
    <w:p>
      <w:pPr>
        <w:pStyle w:val="7"/>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共青团乐至县委</w:t>
      </w:r>
    </w:p>
    <w:p>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val="en-US" w:eastAsia="zh-CN"/>
        </w:rPr>
        <w:t>2022</w:t>
      </w:r>
      <w:r>
        <w:rPr>
          <w:rFonts w:hint="default" w:ascii="Times New Roman" w:hAnsi="Times New Roman" w:eastAsia="方正小标宋简体" w:cs="Times New Roman"/>
          <w:sz w:val="44"/>
          <w:szCs w:val="44"/>
          <w:lang w:eastAsia="zh-CN"/>
        </w:rPr>
        <w:t>年度整体支出绩效自评报告</w:t>
      </w:r>
    </w:p>
    <w:p>
      <w:pPr>
        <w:pStyle w:val="7"/>
        <w:keepNext w:val="0"/>
        <w:keepLines w:val="0"/>
        <w:pageBreakBefore w:val="0"/>
        <w:widowControl w:val="0"/>
        <w:kinsoku/>
        <w:wordWrap/>
        <w:overflowPunct/>
        <w:topLinePunct w:val="0"/>
        <w:autoSpaceDE/>
        <w:autoSpaceDN/>
        <w:bidi w:val="0"/>
        <w:adjustRightInd/>
        <w:spacing w:line="540" w:lineRule="exact"/>
        <w:textAlignment w:val="auto"/>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黑体简体" w:cs="Times New Roman"/>
          <w:sz w:val="32"/>
          <w:szCs w:val="32"/>
          <w:lang w:eastAsia="zh-CN"/>
        </w:rPr>
      </w:pPr>
      <w:r>
        <w:rPr>
          <w:rFonts w:hint="default" w:ascii="Times New Roman" w:hAnsi="Times New Roman" w:eastAsia="方正黑体简体" w:cs="Times New Roman"/>
          <w:sz w:val="32"/>
          <w:szCs w:val="32"/>
        </w:rPr>
        <w:t>一、</w:t>
      </w:r>
      <w:r>
        <w:rPr>
          <w:rFonts w:hint="default" w:ascii="Times New Roman" w:hAnsi="Times New Roman" w:eastAsia="方正黑体简体" w:cs="Times New Roman"/>
          <w:sz w:val="32"/>
          <w:szCs w:val="32"/>
          <w:lang w:eastAsia="zh-CN"/>
        </w:rPr>
        <w:t>单位概况</w:t>
      </w:r>
    </w:p>
    <w:p>
      <w:pPr>
        <w:keepNext w:val="0"/>
        <w:keepLines w:val="0"/>
        <w:pageBreakBefore w:val="0"/>
        <w:widowControl w:val="0"/>
        <w:kinsoku/>
        <w:wordWrap/>
        <w:overflowPunct/>
        <w:topLinePunct w:val="0"/>
        <w:autoSpaceDE/>
        <w:autoSpaceDN/>
        <w:bidi w:val="0"/>
        <w:adjustRightInd/>
        <w:spacing w:line="540" w:lineRule="exact"/>
        <w:ind w:firstLine="640" w:firstLineChars="200"/>
        <w:jc w:val="left"/>
        <w:textAlignment w:val="auto"/>
        <w:rPr>
          <w:rFonts w:hint="default" w:ascii="Times New Roman" w:hAnsi="Times New Roman" w:eastAsia="方正黑体简体" w:cs="Times New Roman"/>
          <w:b w:val="0"/>
          <w:bCs/>
          <w:sz w:val="32"/>
          <w:szCs w:val="32"/>
        </w:rPr>
      </w:pPr>
      <w:r>
        <w:rPr>
          <w:rFonts w:hint="default" w:ascii="Times New Roman" w:hAnsi="Times New Roman" w:eastAsia="方正黑体简体" w:cs="Times New Roman"/>
          <w:b w:val="0"/>
          <w:bCs/>
          <w:sz w:val="32"/>
          <w:szCs w:val="32"/>
        </w:rPr>
        <w:t>（一）机构组成</w:t>
      </w:r>
    </w:p>
    <w:p>
      <w:pPr>
        <w:keepNext w:val="0"/>
        <w:keepLines w:val="0"/>
        <w:pageBreakBefore w:val="0"/>
        <w:widowControl w:val="0"/>
        <w:kinsoku/>
        <w:wordWrap/>
        <w:overflowPunct/>
        <w:topLinePunct w:val="0"/>
        <w:autoSpaceDE/>
        <w:autoSpaceDN/>
        <w:bidi w:val="0"/>
        <w:adjustRightInd/>
        <w:spacing w:line="540" w:lineRule="exact"/>
        <w:ind w:firstLine="640" w:firstLineChars="200"/>
        <w:jc w:val="left"/>
        <w:textAlignment w:val="auto"/>
        <w:rPr>
          <w:rFonts w:hint="default" w:ascii="Times New Roman" w:hAnsi="Times New Roman" w:eastAsia="方正楷体简体" w:cs="Times New Roman"/>
          <w:b/>
        </w:rPr>
      </w:pPr>
      <w:r>
        <w:rPr>
          <w:rFonts w:hint="default" w:ascii="Times New Roman" w:hAnsi="Times New Roman" w:eastAsia="方正仿宋简体" w:cs="Times New Roman"/>
          <w:color w:val="000000"/>
          <w:sz w:val="32"/>
          <w:szCs w:val="32"/>
          <w:lang w:eastAsia="zh-CN"/>
        </w:rPr>
        <w:t>共青团乐至县委</w:t>
      </w:r>
      <w:r>
        <w:rPr>
          <w:rFonts w:hint="default" w:ascii="Times New Roman" w:hAnsi="Times New Roman" w:eastAsia="方正仿宋简体" w:cs="Times New Roman"/>
          <w:color w:val="000000"/>
          <w:sz w:val="32"/>
          <w:szCs w:val="32"/>
        </w:rPr>
        <w:t>下属二级单位</w:t>
      </w:r>
      <w:r>
        <w:rPr>
          <w:rFonts w:hint="default" w:ascii="Times New Roman" w:hAnsi="Times New Roman" w:eastAsia="方正仿宋简体" w:cs="Times New Roman"/>
          <w:color w:val="000000"/>
          <w:sz w:val="32"/>
          <w:szCs w:val="32"/>
          <w:lang w:val="en-US" w:eastAsia="zh-CN"/>
        </w:rPr>
        <w:t>1</w:t>
      </w:r>
      <w:r>
        <w:rPr>
          <w:rFonts w:hint="default" w:ascii="Times New Roman" w:hAnsi="Times New Roman" w:eastAsia="方正仿宋简体" w:cs="Times New Roman"/>
          <w:color w:val="000000"/>
          <w:sz w:val="32"/>
          <w:szCs w:val="32"/>
        </w:rPr>
        <w:t>个，其中其他事业单位</w:t>
      </w:r>
      <w:r>
        <w:rPr>
          <w:rFonts w:hint="default" w:ascii="Times New Roman" w:hAnsi="Times New Roman" w:eastAsia="方正仿宋简体" w:cs="Times New Roman"/>
          <w:color w:val="000000"/>
          <w:sz w:val="32"/>
          <w:szCs w:val="32"/>
          <w:lang w:val="en-US" w:eastAsia="zh-CN"/>
        </w:rPr>
        <w:t>1</w:t>
      </w:r>
      <w:r>
        <w:rPr>
          <w:rFonts w:hint="default" w:ascii="Times New Roman" w:hAnsi="Times New Roman" w:eastAsia="方正仿宋简体" w:cs="Times New Roman"/>
          <w:color w:val="000000"/>
          <w:sz w:val="32"/>
          <w:szCs w:val="32"/>
        </w:rPr>
        <w:t>个</w:t>
      </w:r>
      <w:r>
        <w:rPr>
          <w:rFonts w:hint="default" w:ascii="Times New Roman" w:hAnsi="Times New Roman" w:eastAsia="方正仿宋简体" w:cs="Times New Roman"/>
          <w:color w:val="000000"/>
          <w:sz w:val="32"/>
          <w:szCs w:val="32"/>
          <w:lang w:eastAsia="zh-CN"/>
        </w:rPr>
        <w:t>（乐至县青少年宫，其财务独立核算）</w:t>
      </w:r>
      <w:r>
        <w:rPr>
          <w:rFonts w:hint="default" w:ascii="Times New Roman" w:hAnsi="Times New Roman" w:eastAsia="方正仿宋简体" w:cs="Times New Roman"/>
          <w:color w:val="000000"/>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jc w:val="left"/>
        <w:textAlignment w:val="auto"/>
        <w:rPr>
          <w:rFonts w:hint="default" w:ascii="Times New Roman" w:hAnsi="Times New Roman" w:eastAsia="方正黑体简体" w:cs="Times New Roman"/>
          <w:b w:val="0"/>
          <w:bCs/>
          <w:sz w:val="32"/>
          <w:szCs w:val="32"/>
          <w:lang w:eastAsia="zh-CN"/>
        </w:rPr>
      </w:pPr>
      <w:r>
        <w:rPr>
          <w:rFonts w:hint="default" w:ascii="Times New Roman" w:hAnsi="Times New Roman" w:eastAsia="方正黑体简体" w:cs="Times New Roman"/>
          <w:b w:val="0"/>
          <w:bCs/>
          <w:sz w:val="32"/>
          <w:szCs w:val="32"/>
          <w:lang w:eastAsia="zh-CN"/>
        </w:rPr>
        <w:t>（二）机构职能</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预防青少年违法犯罪工作。</w:t>
      </w:r>
      <w:r>
        <w:rPr>
          <w:rFonts w:hint="default" w:ascii="Times New Roman" w:hAnsi="Times New Roman" w:eastAsia="方正仿宋简体" w:cs="Times New Roman"/>
          <w:sz w:val="32"/>
          <w:szCs w:val="32"/>
        </w:rPr>
        <w:t>根据省、市预青专项组工作安排，重点开展预青专项工作，常规性抓好青少年维权工作。结合相关活动，在青少年中开展法律知识学习教育，提高青少年法律意识。扎实抓好预防青少年违法犯罪工作，推进“</w:t>
      </w:r>
      <w:r>
        <w:rPr>
          <w:rFonts w:hint="default" w:ascii="Times New Roman" w:hAnsi="Times New Roman" w:eastAsia="方正仿宋简体" w:cs="Times New Roman"/>
          <w:sz w:val="32"/>
          <w:szCs w:val="32"/>
          <w:lang w:eastAsia="zh-CN"/>
        </w:rPr>
        <w:t>双零社区</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eastAsia="zh-CN"/>
        </w:rPr>
        <w:t>试点</w:t>
      </w:r>
      <w:r>
        <w:rPr>
          <w:rFonts w:hint="default" w:ascii="Times New Roman" w:hAnsi="Times New Roman" w:eastAsia="方正仿宋简体" w:cs="Times New Roman"/>
          <w:sz w:val="32"/>
          <w:szCs w:val="32"/>
        </w:rPr>
        <w:t>创建工作。</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西部计划大学生志愿者工作。</w:t>
      </w:r>
      <w:r>
        <w:rPr>
          <w:rFonts w:hint="default" w:ascii="Times New Roman" w:hAnsi="Times New Roman" w:eastAsia="方正仿宋简体" w:cs="Times New Roman"/>
          <w:sz w:val="32"/>
          <w:szCs w:val="32"/>
        </w:rPr>
        <w:t>继续完善西部计划志愿者相关政策要求，</w:t>
      </w:r>
      <w:r>
        <w:rPr>
          <w:rFonts w:hint="default" w:ascii="Times New Roman" w:hAnsi="Times New Roman" w:eastAsia="方正仿宋简体" w:cs="Times New Roman"/>
          <w:sz w:val="32"/>
          <w:szCs w:val="32"/>
          <w:lang w:eastAsia="zh-CN"/>
        </w:rPr>
        <w:t>按期购买志愿者保险，</w:t>
      </w:r>
      <w:r>
        <w:rPr>
          <w:rFonts w:hint="default" w:ascii="Times New Roman" w:hAnsi="Times New Roman" w:eastAsia="方正仿宋简体" w:cs="Times New Roman"/>
          <w:sz w:val="32"/>
          <w:szCs w:val="32"/>
        </w:rPr>
        <w:t>关心志愿者工作、生活。</w:t>
      </w:r>
      <w:r>
        <w:rPr>
          <w:rFonts w:hint="default" w:ascii="Times New Roman" w:hAnsi="Times New Roman" w:eastAsia="方正仿宋简体"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青少年活动。</w:t>
      </w:r>
      <w:r>
        <w:rPr>
          <w:rFonts w:hint="default" w:ascii="Times New Roman" w:hAnsi="Times New Roman" w:eastAsia="方正仿宋简体" w:cs="Times New Roman"/>
          <w:b/>
          <w:bCs/>
          <w:sz w:val="32"/>
          <w:szCs w:val="32"/>
          <w:lang w:val="en-US" w:eastAsia="zh-CN"/>
        </w:rPr>
        <w:t>一是加强青少年思想引领工作。</w:t>
      </w:r>
      <w:r>
        <w:rPr>
          <w:rFonts w:hint="default" w:ascii="Times New Roman" w:hAnsi="Times New Roman" w:eastAsia="方正仿宋简体" w:cs="Times New Roman"/>
          <w:sz w:val="32"/>
          <w:szCs w:val="32"/>
        </w:rPr>
        <w:t>通过组织开展专题讲座、系统培训和青年喜闻乐见的学习宣传活动，深入学习中央省市县重要精神，凝聚思想共识</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不断强化青少年思想引导。以加强微信、微博、手机报等网络平台运用为切入点，着力探索党的思想主张和组织行为在青年中的有效传播方式，丰富具有时代特征的青年思想工作路径。</w:t>
      </w:r>
      <w:r>
        <w:rPr>
          <w:rFonts w:hint="default" w:ascii="Times New Roman" w:hAnsi="Times New Roman" w:eastAsia="方正仿宋简体" w:cs="Times New Roman"/>
          <w:b/>
          <w:bCs/>
          <w:sz w:val="32"/>
          <w:szCs w:val="32"/>
          <w:lang w:val="en-US" w:eastAsia="zh-CN"/>
        </w:rPr>
        <w:t>二是持续开展青年志愿服务活动。</w:t>
      </w:r>
      <w:r>
        <w:rPr>
          <w:rFonts w:hint="default" w:ascii="Times New Roman" w:hAnsi="Times New Roman" w:eastAsia="方正仿宋简体" w:cs="Times New Roman"/>
          <w:sz w:val="32"/>
          <w:szCs w:val="32"/>
        </w:rPr>
        <w:t>加强志愿服务队伍建设，协同、培育本土青年社会组织包装一批重点志愿服务项目，带动社会青年投身公益活动；</w:t>
      </w:r>
      <w:r>
        <w:rPr>
          <w:rFonts w:hint="default" w:ascii="Times New Roman" w:hAnsi="Times New Roman" w:eastAsia="方正仿宋简体" w:cs="Times New Roman"/>
          <w:sz w:val="32"/>
          <w:szCs w:val="32"/>
          <w:lang w:eastAsia="zh-CN"/>
        </w:rPr>
        <w:t>实施“共青团伙伴计划”，联动实施一批社会公益项目，助力全国文明城市创建和国家卫生城市创建工作</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三是加强留守学生关爱行动。</w:t>
      </w:r>
      <w:r>
        <w:rPr>
          <w:rFonts w:hint="default" w:ascii="Times New Roman" w:hAnsi="Times New Roman" w:eastAsia="方正仿宋简体" w:cs="Times New Roman"/>
          <w:sz w:val="32"/>
          <w:szCs w:val="32"/>
        </w:rPr>
        <w:t>建实建强“</w:t>
      </w:r>
      <w:r>
        <w:rPr>
          <w:rFonts w:hint="default" w:ascii="Times New Roman" w:hAnsi="Times New Roman" w:eastAsia="方正仿宋简体" w:cs="Times New Roman"/>
          <w:sz w:val="32"/>
          <w:szCs w:val="32"/>
          <w:lang w:eastAsia="zh-CN"/>
        </w:rPr>
        <w:t>青年之家</w:t>
      </w:r>
      <w:r>
        <w:rPr>
          <w:rFonts w:hint="default" w:ascii="Times New Roman" w:hAnsi="Times New Roman" w:eastAsia="方正仿宋简体" w:cs="Times New Roman"/>
          <w:sz w:val="32"/>
          <w:szCs w:val="32"/>
        </w:rPr>
        <w:t>”、青少年宫、青少年综合服务平台等青少年工作阵地</w:t>
      </w:r>
      <w:r>
        <w:rPr>
          <w:rFonts w:hint="default" w:ascii="Times New Roman" w:hAnsi="Times New Roman" w:eastAsia="方正仿宋简体" w:cs="Times New Roman"/>
          <w:sz w:val="32"/>
          <w:szCs w:val="32"/>
          <w:lang w:eastAsia="zh-CN"/>
        </w:rPr>
        <w:t>，常态化开展青年之家活动，建设青年身边的共青团；联动一批青年志愿者组织，深入农村、社区、学校实施关爱留守学生夏令营、快乐周末等关爱项目</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四是开展困难青少年帮扶。</w:t>
      </w:r>
      <w:r>
        <w:rPr>
          <w:rFonts w:hint="default" w:ascii="Times New Roman" w:hAnsi="Times New Roman" w:eastAsia="方正仿宋简体" w:cs="Times New Roman"/>
          <w:sz w:val="32"/>
          <w:szCs w:val="32"/>
        </w:rPr>
        <w:t>找准扶贫攻坚载体，深化“助你上大学”等青字号助学行动，社会化筹集助学金，</w:t>
      </w:r>
      <w:r>
        <w:rPr>
          <w:rFonts w:hint="default" w:ascii="Times New Roman" w:hAnsi="Times New Roman" w:eastAsia="方正仿宋简体" w:cs="Times New Roman"/>
          <w:sz w:val="32"/>
          <w:szCs w:val="32"/>
          <w:lang w:eastAsia="zh-CN"/>
        </w:rPr>
        <w:t>持续帮助困难学生群体</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五是服务青年就业创业。</w:t>
      </w:r>
      <w:r>
        <w:rPr>
          <w:rFonts w:hint="default" w:ascii="Times New Roman" w:hAnsi="Times New Roman" w:eastAsia="方正仿宋简体" w:cs="Times New Roman"/>
          <w:sz w:val="32"/>
          <w:szCs w:val="32"/>
        </w:rPr>
        <w:t>重点抓好“发展青年创业组织、健全青年创业扶持体系、探索建立青年创业园区、选树青年创业典型”四项工作，加强共青团服务青年创业的能力，成为创业青年想得起、找得到、靠得住的力量。</w:t>
      </w:r>
      <w:r>
        <w:rPr>
          <w:rFonts w:hint="default" w:ascii="Times New Roman" w:hAnsi="Times New Roman" w:eastAsia="方正仿宋简体" w:cs="Times New Roman"/>
          <w:b/>
          <w:bCs/>
          <w:sz w:val="32"/>
          <w:szCs w:val="32"/>
          <w:lang w:val="en-US" w:eastAsia="zh-CN"/>
        </w:rPr>
        <w:t>六是加强基层团建工作。</w:t>
      </w:r>
      <w:r>
        <w:rPr>
          <w:rFonts w:hint="default" w:ascii="Times New Roman" w:hAnsi="Times New Roman" w:eastAsia="方正仿宋简体" w:cs="Times New Roman"/>
          <w:sz w:val="32"/>
          <w:szCs w:val="32"/>
        </w:rPr>
        <w:t>开展“团干部培训”，加强“团干部队伍建设”、支持团组织创新开展相关活动，努力扩大团的组织覆盖、工作覆盖、活动覆盖，建设学习型、服务型、创新型、亲和型青年组织。</w:t>
      </w:r>
      <w:r>
        <w:rPr>
          <w:rFonts w:hint="default" w:ascii="Times New Roman" w:hAnsi="Times New Roman" w:eastAsia="方正仿宋简体" w:cs="Times New Roman"/>
          <w:b/>
          <w:bCs/>
          <w:sz w:val="32"/>
          <w:szCs w:val="32"/>
          <w:lang w:val="en-US" w:eastAsia="zh-CN"/>
        </w:rPr>
        <w:t>七是加强少先队工作。</w:t>
      </w:r>
      <w:r>
        <w:rPr>
          <w:rFonts w:hint="default" w:ascii="Times New Roman" w:hAnsi="Times New Roman" w:eastAsia="方正仿宋简体" w:cs="Times New Roman"/>
          <w:sz w:val="32"/>
          <w:szCs w:val="32"/>
        </w:rPr>
        <w:t>用好用足《中共中央加强和改进党的群团工作的意见》、“政府联席群团工作会议制度”、《 关于进一步加强少年儿童和少先队工作的意见》等政策，较好地解决了共青团经费保障、团干部（少先队辅导员）队伍建设等问题。积极支持少先队多形式开展其他相关活动。</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楷体简体" w:cs="Times New Roman"/>
          <w:b/>
          <w:bCs/>
          <w:sz w:val="32"/>
          <w:szCs w:val="32"/>
          <w:lang w:val="en-US" w:eastAsia="zh-CN"/>
        </w:rPr>
        <w:t>青少年普法禁毒防艾工作。</w:t>
      </w:r>
      <w:r>
        <w:rPr>
          <w:rFonts w:hint="default" w:ascii="Times New Roman" w:hAnsi="Times New Roman" w:eastAsia="方正仿宋简体" w:cs="Times New Roman"/>
          <w:sz w:val="32"/>
          <w:szCs w:val="32"/>
          <w:lang w:val="en-US" w:eastAsia="zh-CN"/>
        </w:rPr>
        <w:t>充分发挥组织教育并服务于青少年职能，动员和组织我县各级团组织和广大团员青年积极关注社会问题、参与社会事业、服务青少年，全面开展以“青春护航”为主题的青少年禁毒宣传系列活动，持续开展形式丰富的普法、防艾等宣传教育活动，有效净化青少年学生成长的社会环境，保护和促进青少年健康成长。</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简体" w:cs="Times New Roman"/>
          <w:color w:val="000000"/>
          <w:kern w:val="0"/>
          <w:sz w:val="32"/>
          <w:szCs w:val="32"/>
          <w:lang w:eastAsia="zh-CN"/>
        </w:rPr>
      </w:pPr>
      <w:r>
        <w:rPr>
          <w:rFonts w:hint="default" w:ascii="Times New Roman" w:hAnsi="Times New Roman" w:eastAsia="方正楷体简体" w:cs="Times New Roman"/>
          <w:b/>
          <w:bCs/>
          <w:sz w:val="32"/>
          <w:szCs w:val="32"/>
          <w:lang w:val="en-US" w:eastAsia="zh-CN"/>
        </w:rPr>
        <w:t>乡村振兴工作。</w:t>
      </w:r>
      <w:r>
        <w:rPr>
          <w:rFonts w:hint="default" w:ascii="Times New Roman" w:hAnsi="Times New Roman" w:eastAsia="方正仿宋简体" w:cs="Times New Roman"/>
          <w:sz w:val="32"/>
          <w:szCs w:val="32"/>
          <w:lang w:val="en-US" w:eastAsia="zh-CN"/>
        </w:rPr>
        <w:t>按照省、市、县乡村振兴工作安排，</w:t>
      </w:r>
      <w:r>
        <w:rPr>
          <w:rFonts w:hint="default" w:ascii="Times New Roman" w:hAnsi="Times New Roman" w:eastAsia="方正仿宋简体" w:cs="Times New Roman"/>
          <w:sz w:val="32"/>
          <w:szCs w:val="32"/>
          <w:lang w:eastAsia="zh-CN"/>
        </w:rPr>
        <w:t>充分发挥共青团组织化动员与社会化动员优势，找准助力乡村任务的结合点和着力点，积极融入、主动作为，精准实施</w:t>
      </w:r>
      <w:r>
        <w:rPr>
          <w:rFonts w:hint="default" w:ascii="Times New Roman" w:hAnsi="Times New Roman" w:eastAsia="方正仿宋简体" w:cs="Times New Roman"/>
          <w:sz w:val="32"/>
          <w:szCs w:val="32"/>
          <w:lang w:val="en-US" w:eastAsia="zh-CN"/>
        </w:rPr>
        <w:t>“产业振兴”、“公益振兴”、</w:t>
      </w:r>
      <w:r>
        <w:rPr>
          <w:rFonts w:hint="default" w:ascii="Times New Roman" w:hAnsi="Times New Roman" w:eastAsia="方正仿宋简体" w:cs="Times New Roman"/>
          <w:sz w:val="32"/>
          <w:szCs w:val="32"/>
          <w:lang w:eastAsia="zh-CN"/>
        </w:rPr>
        <w:t>“思想振兴”、“</w:t>
      </w:r>
      <w:r>
        <w:rPr>
          <w:rFonts w:hint="default" w:ascii="Times New Roman" w:hAnsi="Times New Roman" w:eastAsia="方正仿宋简体" w:cs="Times New Roman"/>
          <w:sz w:val="32"/>
          <w:szCs w:val="32"/>
          <w:lang w:val="en-US" w:eastAsia="zh-CN"/>
        </w:rPr>
        <w:t>人才振兴</w:t>
      </w:r>
      <w:r>
        <w:rPr>
          <w:rFonts w:hint="default" w:ascii="Times New Roman" w:hAnsi="Times New Roman" w:eastAsia="方正仿宋简体" w:cs="Times New Roman"/>
          <w:sz w:val="32"/>
          <w:szCs w:val="32"/>
          <w:lang w:eastAsia="zh-CN"/>
        </w:rPr>
        <w:t>”四大工程，团结带领全县广大团员青年投身乡村振兴主战场。同时，</w:t>
      </w:r>
      <w:r>
        <w:rPr>
          <w:rFonts w:hint="default" w:ascii="Times New Roman" w:hAnsi="Times New Roman" w:eastAsia="方正仿宋简体" w:cs="Times New Roman"/>
          <w:color w:val="000000"/>
          <w:kern w:val="0"/>
          <w:sz w:val="32"/>
          <w:szCs w:val="32"/>
        </w:rPr>
        <w:t>深化青年志愿服务行动，发挥团干部、社工、青年志愿者的作用，</w:t>
      </w:r>
      <w:r>
        <w:rPr>
          <w:rFonts w:hint="default" w:ascii="Times New Roman" w:hAnsi="Times New Roman" w:eastAsia="方正仿宋简体" w:cs="Times New Roman"/>
          <w:color w:val="000000"/>
          <w:kern w:val="0"/>
          <w:sz w:val="32"/>
          <w:szCs w:val="32"/>
          <w:lang w:eastAsia="zh-CN"/>
        </w:rPr>
        <w:t>重点</w:t>
      </w:r>
      <w:r>
        <w:rPr>
          <w:rFonts w:hint="default" w:ascii="Times New Roman" w:hAnsi="Times New Roman" w:eastAsia="方正仿宋简体" w:cs="Times New Roman"/>
          <w:color w:val="000000"/>
          <w:kern w:val="0"/>
          <w:sz w:val="32"/>
          <w:szCs w:val="32"/>
        </w:rPr>
        <w:t>围绕农村留守学生等重点群体，</w:t>
      </w:r>
      <w:r>
        <w:rPr>
          <w:rFonts w:hint="default" w:ascii="Times New Roman" w:hAnsi="Times New Roman" w:eastAsia="方正仿宋简体" w:cs="Times New Roman"/>
          <w:color w:val="000000"/>
          <w:kern w:val="0"/>
          <w:sz w:val="32"/>
          <w:szCs w:val="32"/>
          <w:lang w:eastAsia="zh-CN"/>
        </w:rPr>
        <w:t>计划开展农村青少年素质提升计划、关爱留守学生夏令营、童伴计划等活动。</w:t>
      </w:r>
    </w:p>
    <w:p>
      <w:pPr>
        <w:keepNext w:val="0"/>
        <w:keepLines w:val="0"/>
        <w:pageBreakBefore w:val="0"/>
        <w:widowControl w:val="0"/>
        <w:kinsoku/>
        <w:wordWrap/>
        <w:overflowPunct/>
        <w:topLinePunct w:val="0"/>
        <w:autoSpaceDE/>
        <w:autoSpaceDN/>
        <w:bidi w:val="0"/>
        <w:adjustRightInd/>
        <w:spacing w:line="540" w:lineRule="exact"/>
        <w:ind w:firstLine="640" w:firstLineChars="200"/>
        <w:jc w:val="left"/>
        <w:textAlignment w:val="auto"/>
        <w:rPr>
          <w:rFonts w:hint="default" w:ascii="Times New Roman" w:hAnsi="Times New Roman" w:eastAsia="方正黑体简体" w:cs="Times New Roman"/>
          <w:b w:val="0"/>
          <w:bCs/>
          <w:sz w:val="32"/>
          <w:szCs w:val="32"/>
        </w:rPr>
      </w:pPr>
      <w:r>
        <w:rPr>
          <w:rFonts w:hint="default" w:ascii="Times New Roman" w:hAnsi="Times New Roman" w:eastAsia="方正黑体简体" w:cs="Times New Roman"/>
          <w:b w:val="0"/>
          <w:bCs/>
          <w:sz w:val="32"/>
          <w:szCs w:val="32"/>
        </w:rPr>
        <w:t>（</w:t>
      </w:r>
      <w:r>
        <w:rPr>
          <w:rFonts w:hint="default" w:ascii="Times New Roman" w:hAnsi="Times New Roman" w:eastAsia="方正黑体简体" w:cs="Times New Roman"/>
          <w:b w:val="0"/>
          <w:bCs/>
          <w:sz w:val="32"/>
          <w:szCs w:val="32"/>
          <w:lang w:eastAsia="zh-CN"/>
        </w:rPr>
        <w:t>三</w:t>
      </w:r>
      <w:r>
        <w:rPr>
          <w:rFonts w:hint="default" w:ascii="Times New Roman" w:hAnsi="Times New Roman" w:eastAsia="方正黑体简体" w:cs="Times New Roman"/>
          <w:b w:val="0"/>
          <w:bCs/>
          <w:sz w:val="32"/>
          <w:szCs w:val="32"/>
        </w:rPr>
        <w:t>）人员概况</w:t>
      </w:r>
    </w:p>
    <w:p>
      <w:pPr>
        <w:keepNext w:val="0"/>
        <w:keepLines w:val="0"/>
        <w:pageBreakBefore w:val="0"/>
        <w:widowControl w:val="0"/>
        <w:kinsoku/>
        <w:wordWrap/>
        <w:overflowPunct/>
        <w:topLinePunct w:val="0"/>
        <w:autoSpaceDE/>
        <w:autoSpaceDN/>
        <w:bidi w:val="0"/>
        <w:adjustRightInd/>
        <w:spacing w:line="540" w:lineRule="exact"/>
        <w:ind w:firstLine="640" w:firstLineChars="200"/>
        <w:jc w:val="left"/>
        <w:textAlignment w:val="auto"/>
        <w:rPr>
          <w:rFonts w:hint="default" w:ascii="Times New Roman" w:hAnsi="Times New Roman" w:eastAsia="方正楷体简体" w:cs="Times New Roman"/>
          <w:b/>
        </w:rPr>
      </w:pPr>
      <w:r>
        <w:rPr>
          <w:rFonts w:hint="default" w:ascii="Times New Roman" w:hAnsi="Times New Roman" w:eastAsia="方正仿宋简体" w:cs="Times New Roman"/>
          <w:color w:val="000000"/>
          <w:kern w:val="0"/>
          <w:sz w:val="32"/>
          <w:szCs w:val="32"/>
          <w:lang w:val="en-US" w:eastAsia="zh-CN" w:bidi="ar-SA"/>
        </w:rPr>
        <w:t>共青团乐至县委编制数4人。在岗情况，行政编在岗人数2人，参照公务员管理人数2人，劳务派遣人员2人。乐至县青少年宫编制数三人，在岗情况，事业编制在岗人数3人。</w:t>
      </w:r>
    </w:p>
    <w:p>
      <w:pPr>
        <w:pStyle w:val="7"/>
        <w:keepNext w:val="0"/>
        <w:keepLines w:val="0"/>
        <w:pageBreakBefore w:val="0"/>
        <w:widowControl w:val="0"/>
        <w:kinsoku/>
        <w:wordWrap/>
        <w:overflowPunct/>
        <w:topLinePunct w:val="0"/>
        <w:autoSpaceDE/>
        <w:autoSpaceDN/>
        <w:bidi w:val="0"/>
        <w:adjustRightInd/>
        <w:spacing w:line="54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default" w:ascii="Times New Roman" w:hAnsi="Times New Roman" w:eastAsia="方正黑体简体" w:cs="Times New Roman"/>
          <w:sz w:val="32"/>
          <w:szCs w:val="32"/>
        </w:rPr>
      </w:pPr>
      <w:bookmarkStart w:id="47" w:name="YS060102"/>
      <w:r>
        <w:rPr>
          <w:rFonts w:hint="default" w:ascii="Times New Roman" w:hAnsi="Times New Roman" w:eastAsia="方正黑体简体" w:cs="Times New Roman"/>
          <w:sz w:val="32"/>
          <w:szCs w:val="32"/>
        </w:rPr>
        <w:t>二、部门财政资金收支情况</w:t>
      </w:r>
    </w:p>
    <w:bookmarkEnd w:id="47"/>
    <w:p>
      <w:pPr>
        <w:keepNext w:val="0"/>
        <w:keepLines w:val="0"/>
        <w:pageBreakBefore w:val="0"/>
        <w:widowControl w:val="0"/>
        <w:kinsoku/>
        <w:wordWrap/>
        <w:overflowPunct/>
        <w:topLinePunct w:val="0"/>
        <w:autoSpaceDE/>
        <w:autoSpaceDN/>
        <w:bidi w:val="0"/>
        <w:adjustRightInd/>
        <w:snapToGrid w:val="0"/>
        <w:spacing w:line="54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rPr>
        <w:t>（一）</w:t>
      </w:r>
      <w:r>
        <w:rPr>
          <w:rFonts w:hint="default" w:ascii="Times New Roman" w:hAnsi="Times New Roman" w:eastAsia="方正楷体简体" w:cs="Times New Roman"/>
          <w:b/>
          <w:bCs w:val="0"/>
          <w:sz w:val="32"/>
          <w:szCs w:val="32"/>
          <w:lang w:eastAsia="zh-CN"/>
        </w:rPr>
        <w:t>部门财政资金收入情况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共青团乐至县委</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年部门预算收入安排总数</w:t>
      </w:r>
      <w:r>
        <w:rPr>
          <w:rFonts w:hint="default" w:ascii="Times New Roman" w:hAnsi="Times New Roman" w:eastAsia="方正仿宋简体" w:cs="Times New Roman"/>
          <w:sz w:val="32"/>
          <w:szCs w:val="32"/>
          <w:lang w:val="en-US" w:eastAsia="zh-CN"/>
        </w:rPr>
        <w:t>55.82</w:t>
      </w:r>
      <w:r>
        <w:rPr>
          <w:rFonts w:hint="default" w:ascii="Times New Roman" w:hAnsi="Times New Roman" w:eastAsia="方正仿宋简体" w:cs="Times New Roman"/>
          <w:sz w:val="32"/>
          <w:szCs w:val="32"/>
          <w:lang w:eastAsia="zh-CN"/>
        </w:rPr>
        <w:t>万元，较</w:t>
      </w:r>
      <w:r>
        <w:rPr>
          <w:rFonts w:hint="default" w:ascii="Times New Roman" w:hAnsi="Times New Roman" w:eastAsia="方正仿宋简体" w:cs="Times New Roman"/>
          <w:sz w:val="32"/>
          <w:szCs w:val="32"/>
          <w:lang w:val="en-US" w:eastAsia="zh-CN"/>
        </w:rPr>
        <w:t>2021</w:t>
      </w:r>
      <w:r>
        <w:rPr>
          <w:rFonts w:hint="default" w:ascii="Times New Roman" w:hAnsi="Times New Roman" w:eastAsia="方正仿宋简体" w:cs="Times New Roman"/>
          <w:sz w:val="32"/>
          <w:szCs w:val="32"/>
          <w:lang w:eastAsia="zh-CN"/>
        </w:rPr>
        <w:t>年部门预算收入总数</w:t>
      </w:r>
      <w:r>
        <w:rPr>
          <w:rFonts w:hint="default" w:ascii="Times New Roman" w:hAnsi="Times New Roman" w:eastAsia="方正仿宋简体" w:cs="Times New Roman"/>
          <w:sz w:val="32"/>
          <w:szCs w:val="32"/>
          <w:lang w:val="en-US" w:eastAsia="zh-CN"/>
        </w:rPr>
        <w:t>46.68</w:t>
      </w:r>
      <w:r>
        <w:rPr>
          <w:rFonts w:hint="default" w:ascii="Times New Roman" w:hAnsi="Times New Roman" w:eastAsia="方正仿宋简体" w:cs="Times New Roman"/>
          <w:sz w:val="32"/>
          <w:szCs w:val="32"/>
          <w:lang w:eastAsia="zh-CN"/>
        </w:rPr>
        <w:t>万元，增加</w:t>
      </w:r>
      <w:r>
        <w:rPr>
          <w:rFonts w:hint="default" w:ascii="Times New Roman" w:hAnsi="Times New Roman" w:eastAsia="方正仿宋简体" w:cs="Times New Roman"/>
          <w:sz w:val="32"/>
          <w:szCs w:val="32"/>
          <w:lang w:val="en-US" w:eastAsia="zh-CN"/>
        </w:rPr>
        <w:t>9.14</w:t>
      </w:r>
      <w:r>
        <w:rPr>
          <w:rFonts w:hint="default" w:ascii="Times New Roman" w:hAnsi="Times New Roman" w:eastAsia="方正仿宋简体" w:cs="Times New Roman"/>
          <w:sz w:val="32"/>
          <w:szCs w:val="32"/>
          <w:lang w:eastAsia="zh-CN"/>
        </w:rPr>
        <w:t>万元，增加</w:t>
      </w:r>
      <w:r>
        <w:rPr>
          <w:rFonts w:hint="default" w:ascii="Times New Roman" w:hAnsi="Times New Roman" w:eastAsia="方正仿宋简体" w:cs="Times New Roman"/>
          <w:sz w:val="32"/>
          <w:szCs w:val="32"/>
          <w:lang w:val="en-US" w:eastAsia="zh-CN"/>
        </w:rPr>
        <w:t>19.58</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年部门预算支出安排总数</w:t>
      </w:r>
      <w:r>
        <w:rPr>
          <w:rFonts w:hint="default" w:ascii="Times New Roman" w:hAnsi="Times New Roman" w:eastAsia="方正仿宋简体" w:cs="Times New Roman"/>
          <w:sz w:val="32"/>
          <w:szCs w:val="32"/>
          <w:lang w:val="en-US" w:eastAsia="zh-CN"/>
        </w:rPr>
        <w:t>191.26</w:t>
      </w:r>
      <w:r>
        <w:rPr>
          <w:rFonts w:hint="default" w:ascii="Times New Roman" w:hAnsi="Times New Roman" w:eastAsia="方正仿宋简体" w:cs="Times New Roman"/>
          <w:sz w:val="32"/>
          <w:szCs w:val="32"/>
          <w:lang w:eastAsia="zh-CN"/>
        </w:rPr>
        <w:t>万元，较</w:t>
      </w:r>
      <w:r>
        <w:rPr>
          <w:rFonts w:hint="default" w:ascii="Times New Roman" w:hAnsi="Times New Roman" w:eastAsia="方正仿宋简体" w:cs="Times New Roman"/>
          <w:sz w:val="32"/>
          <w:szCs w:val="32"/>
          <w:lang w:val="en-US" w:eastAsia="zh-CN"/>
        </w:rPr>
        <w:t>2021</w:t>
      </w:r>
      <w:r>
        <w:rPr>
          <w:rFonts w:hint="default" w:ascii="Times New Roman" w:hAnsi="Times New Roman" w:eastAsia="方正仿宋简体" w:cs="Times New Roman"/>
          <w:sz w:val="32"/>
          <w:szCs w:val="32"/>
          <w:lang w:eastAsia="zh-CN"/>
        </w:rPr>
        <w:t>年部门预算支出总数</w:t>
      </w:r>
      <w:r>
        <w:rPr>
          <w:rFonts w:hint="default" w:ascii="Times New Roman" w:hAnsi="Times New Roman" w:eastAsia="方正仿宋简体" w:cs="Times New Roman"/>
          <w:sz w:val="32"/>
          <w:szCs w:val="32"/>
          <w:lang w:val="en-US" w:eastAsia="zh-CN"/>
        </w:rPr>
        <w:t>118.27</w:t>
      </w:r>
      <w:r>
        <w:rPr>
          <w:rFonts w:hint="default" w:ascii="Times New Roman" w:hAnsi="Times New Roman" w:eastAsia="方正仿宋简体" w:cs="Times New Roman"/>
          <w:sz w:val="32"/>
          <w:szCs w:val="32"/>
          <w:lang w:eastAsia="zh-CN"/>
        </w:rPr>
        <w:t>万元，增加</w:t>
      </w:r>
      <w:r>
        <w:rPr>
          <w:rFonts w:hint="default" w:ascii="Times New Roman" w:hAnsi="Times New Roman" w:eastAsia="方正仿宋简体" w:cs="Times New Roman"/>
          <w:sz w:val="32"/>
          <w:szCs w:val="32"/>
          <w:lang w:val="en-US" w:eastAsia="zh-CN"/>
        </w:rPr>
        <w:t>70.99万元，增加了61.71</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年部门预算支出总数与</w:t>
      </w:r>
      <w:r>
        <w:rPr>
          <w:rFonts w:hint="default" w:ascii="Times New Roman" w:hAnsi="Times New Roman" w:eastAsia="方正仿宋简体" w:cs="Times New Roman"/>
          <w:sz w:val="32"/>
          <w:szCs w:val="32"/>
          <w:lang w:val="en-US" w:eastAsia="zh-CN"/>
        </w:rPr>
        <w:t>2021</w:t>
      </w:r>
      <w:r>
        <w:rPr>
          <w:rFonts w:hint="default" w:ascii="Times New Roman" w:hAnsi="Times New Roman" w:eastAsia="方正仿宋简体" w:cs="Times New Roman"/>
          <w:sz w:val="32"/>
          <w:szCs w:val="32"/>
          <w:lang w:eastAsia="zh-CN"/>
        </w:rPr>
        <w:t>年同口径比较有变动。原因是人员调整、西部计划志愿者保险和西部计划志愿者基本生活补助发放等因素</w:t>
      </w:r>
      <w:r>
        <w:rPr>
          <w:rFonts w:hint="default" w:ascii="Times New Roman" w:hAnsi="Times New Roman" w:eastAsia="方正仿宋简体"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40" w:lineRule="exact"/>
        <w:ind w:firstLine="643" w:firstLineChars="200"/>
        <w:textAlignment w:val="auto"/>
        <w:rPr>
          <w:rFonts w:hint="default" w:ascii="Times New Roman" w:hAnsi="Times New Roman" w:eastAsia="方正楷体简体" w:cs="Times New Roman"/>
          <w:b/>
          <w:bCs w:val="0"/>
          <w:sz w:val="32"/>
          <w:szCs w:val="32"/>
        </w:rPr>
      </w:pPr>
      <w:r>
        <w:rPr>
          <w:rFonts w:hint="default" w:ascii="Times New Roman" w:hAnsi="Times New Roman" w:eastAsia="方正楷体简体" w:cs="Times New Roman"/>
          <w:b/>
          <w:bCs w:val="0"/>
          <w:sz w:val="32"/>
          <w:szCs w:val="32"/>
        </w:rPr>
        <w:t>（二）</w:t>
      </w:r>
      <w:r>
        <w:rPr>
          <w:rFonts w:hint="default" w:ascii="Times New Roman" w:hAnsi="Times New Roman" w:eastAsia="方正楷体简体" w:cs="Times New Roman"/>
          <w:b/>
          <w:bCs w:val="0"/>
          <w:sz w:val="32"/>
          <w:szCs w:val="32"/>
          <w:lang w:eastAsia="zh-CN"/>
        </w:rPr>
        <w:t>部门财政资金支出</w:t>
      </w:r>
      <w:r>
        <w:rPr>
          <w:rFonts w:hint="default" w:ascii="Times New Roman" w:hAnsi="Times New Roman" w:eastAsia="方正楷体简体" w:cs="Times New Roman"/>
          <w:b/>
          <w:bCs w:val="0"/>
          <w:sz w:val="32"/>
          <w:szCs w:val="32"/>
        </w:rPr>
        <w:t>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方正仿宋简体" w:cs="Times New Roman"/>
          <w:sz w:val="32"/>
          <w:szCs w:val="32"/>
          <w:lang w:eastAsia="zh-CN"/>
        </w:rPr>
        <w:t>共青团乐至县委</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年部门预算收入安排总数</w:t>
      </w:r>
      <w:r>
        <w:rPr>
          <w:rFonts w:hint="default" w:ascii="Times New Roman" w:hAnsi="Times New Roman" w:eastAsia="方正仿宋简体" w:cs="Times New Roman"/>
          <w:sz w:val="32"/>
          <w:szCs w:val="32"/>
          <w:lang w:val="en-US" w:eastAsia="zh-CN"/>
        </w:rPr>
        <w:t>55.82</w:t>
      </w:r>
      <w:r>
        <w:rPr>
          <w:rFonts w:hint="default" w:ascii="Times New Roman" w:hAnsi="Times New Roman" w:eastAsia="方正仿宋简体" w:cs="Times New Roman"/>
          <w:sz w:val="32"/>
          <w:szCs w:val="32"/>
          <w:lang w:eastAsia="zh-CN"/>
        </w:rPr>
        <w:t>万元，较</w:t>
      </w:r>
      <w:r>
        <w:rPr>
          <w:rFonts w:hint="default" w:ascii="Times New Roman" w:hAnsi="Times New Roman" w:eastAsia="方正仿宋简体" w:cs="Times New Roman"/>
          <w:sz w:val="32"/>
          <w:szCs w:val="32"/>
          <w:lang w:val="en-US" w:eastAsia="zh-CN"/>
        </w:rPr>
        <w:t>2021</w:t>
      </w:r>
      <w:r>
        <w:rPr>
          <w:rFonts w:hint="default" w:ascii="Times New Roman" w:hAnsi="Times New Roman" w:eastAsia="方正仿宋简体" w:cs="Times New Roman"/>
          <w:sz w:val="32"/>
          <w:szCs w:val="32"/>
          <w:lang w:eastAsia="zh-CN"/>
        </w:rPr>
        <w:t>年部门预算收入总数</w:t>
      </w:r>
      <w:r>
        <w:rPr>
          <w:rFonts w:hint="default" w:ascii="Times New Roman" w:hAnsi="Times New Roman" w:eastAsia="方正仿宋简体" w:cs="Times New Roman"/>
          <w:sz w:val="32"/>
          <w:szCs w:val="32"/>
          <w:lang w:val="en-US" w:eastAsia="zh-CN"/>
        </w:rPr>
        <w:t>46.68</w:t>
      </w:r>
      <w:r>
        <w:rPr>
          <w:rFonts w:hint="default" w:ascii="Times New Roman" w:hAnsi="Times New Roman" w:eastAsia="方正仿宋简体" w:cs="Times New Roman"/>
          <w:sz w:val="32"/>
          <w:szCs w:val="32"/>
          <w:lang w:eastAsia="zh-CN"/>
        </w:rPr>
        <w:t>万元，增加</w:t>
      </w:r>
      <w:r>
        <w:rPr>
          <w:rFonts w:hint="default" w:ascii="Times New Roman" w:hAnsi="Times New Roman" w:eastAsia="方正仿宋简体" w:cs="Times New Roman"/>
          <w:sz w:val="32"/>
          <w:szCs w:val="32"/>
          <w:lang w:val="en-US" w:eastAsia="zh-CN"/>
        </w:rPr>
        <w:t>9.14</w:t>
      </w:r>
      <w:r>
        <w:rPr>
          <w:rFonts w:hint="default" w:ascii="Times New Roman" w:hAnsi="Times New Roman" w:eastAsia="方正仿宋简体" w:cs="Times New Roman"/>
          <w:sz w:val="32"/>
          <w:szCs w:val="32"/>
          <w:lang w:eastAsia="zh-CN"/>
        </w:rPr>
        <w:t>万元，增加</w:t>
      </w:r>
      <w:r>
        <w:rPr>
          <w:rFonts w:hint="default" w:ascii="Times New Roman" w:hAnsi="Times New Roman" w:eastAsia="方正仿宋简体" w:cs="Times New Roman"/>
          <w:sz w:val="32"/>
          <w:szCs w:val="32"/>
          <w:lang w:val="en-US" w:eastAsia="zh-CN"/>
        </w:rPr>
        <w:t>19.58</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年部门预算支出安排总数</w:t>
      </w:r>
      <w:r>
        <w:rPr>
          <w:rFonts w:hint="default" w:ascii="Times New Roman" w:hAnsi="Times New Roman" w:eastAsia="方正仿宋简体" w:cs="Times New Roman"/>
          <w:sz w:val="32"/>
          <w:szCs w:val="32"/>
          <w:lang w:val="en-US" w:eastAsia="zh-CN"/>
        </w:rPr>
        <w:t>191.26</w:t>
      </w:r>
      <w:r>
        <w:rPr>
          <w:rFonts w:hint="default" w:ascii="Times New Roman" w:hAnsi="Times New Roman" w:eastAsia="方正仿宋简体" w:cs="Times New Roman"/>
          <w:sz w:val="32"/>
          <w:szCs w:val="32"/>
          <w:lang w:eastAsia="zh-CN"/>
        </w:rPr>
        <w:t>万元，较</w:t>
      </w:r>
      <w:r>
        <w:rPr>
          <w:rFonts w:hint="default" w:ascii="Times New Roman" w:hAnsi="Times New Roman" w:eastAsia="方正仿宋简体" w:cs="Times New Roman"/>
          <w:sz w:val="32"/>
          <w:szCs w:val="32"/>
          <w:lang w:val="en-US" w:eastAsia="zh-CN"/>
        </w:rPr>
        <w:t>2021</w:t>
      </w:r>
      <w:r>
        <w:rPr>
          <w:rFonts w:hint="default" w:ascii="Times New Roman" w:hAnsi="Times New Roman" w:eastAsia="方正仿宋简体" w:cs="Times New Roman"/>
          <w:sz w:val="32"/>
          <w:szCs w:val="32"/>
          <w:lang w:eastAsia="zh-CN"/>
        </w:rPr>
        <w:t>年部门预算支出总数</w:t>
      </w:r>
      <w:r>
        <w:rPr>
          <w:rFonts w:hint="default" w:ascii="Times New Roman" w:hAnsi="Times New Roman" w:eastAsia="方正仿宋简体" w:cs="Times New Roman"/>
          <w:sz w:val="32"/>
          <w:szCs w:val="32"/>
          <w:lang w:val="en-US" w:eastAsia="zh-CN"/>
        </w:rPr>
        <w:t>118.27</w:t>
      </w:r>
      <w:r>
        <w:rPr>
          <w:rFonts w:hint="default" w:ascii="Times New Roman" w:hAnsi="Times New Roman" w:eastAsia="方正仿宋简体" w:cs="Times New Roman"/>
          <w:sz w:val="32"/>
          <w:szCs w:val="32"/>
          <w:lang w:eastAsia="zh-CN"/>
        </w:rPr>
        <w:t>万元，增加</w:t>
      </w:r>
      <w:r>
        <w:rPr>
          <w:rFonts w:hint="default" w:ascii="Times New Roman" w:hAnsi="Times New Roman" w:eastAsia="方正仿宋简体" w:cs="Times New Roman"/>
          <w:sz w:val="32"/>
          <w:szCs w:val="32"/>
          <w:lang w:val="en-US" w:eastAsia="zh-CN"/>
        </w:rPr>
        <w:t>70.99万元，增加了61.71</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lang w:eastAsia="zh-CN"/>
        </w:rPr>
        <w:t>年部门预算支出总数与</w:t>
      </w:r>
      <w:r>
        <w:rPr>
          <w:rFonts w:hint="default" w:ascii="Times New Roman" w:hAnsi="Times New Roman" w:eastAsia="方正仿宋简体" w:cs="Times New Roman"/>
          <w:sz w:val="32"/>
          <w:szCs w:val="32"/>
          <w:lang w:val="en-US" w:eastAsia="zh-CN"/>
        </w:rPr>
        <w:t>2021</w:t>
      </w:r>
      <w:r>
        <w:rPr>
          <w:rFonts w:hint="default" w:ascii="Times New Roman" w:hAnsi="Times New Roman" w:eastAsia="方正仿宋简体" w:cs="Times New Roman"/>
          <w:sz w:val="32"/>
          <w:szCs w:val="32"/>
          <w:lang w:eastAsia="zh-CN"/>
        </w:rPr>
        <w:t>年同口径比较有变动。原因是人员调整、西部计划志愿者保险和西部计划志愿者基本生活补助发放等因素</w:t>
      </w:r>
      <w:r>
        <w:rPr>
          <w:rFonts w:hint="default" w:ascii="Times New Roman" w:hAnsi="Times New Roman" w:eastAsia="方正仿宋简体"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三、评价工作开展情况</w:t>
      </w:r>
    </w:p>
    <w:p>
      <w:pPr>
        <w:keepNext w:val="0"/>
        <w:keepLines w:val="0"/>
        <w:pageBreakBefore w:val="0"/>
        <w:widowControl w:val="0"/>
        <w:kinsoku/>
        <w:wordWrap/>
        <w:overflowPunct/>
        <w:topLinePunct w:val="0"/>
        <w:autoSpaceDE/>
        <w:autoSpaceDN/>
        <w:bidi w:val="0"/>
        <w:adjustRightInd/>
        <w:snapToGrid w:val="0"/>
        <w:spacing w:line="54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（一）自评工作组织领导</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为做好绩效评价工作，规范和加强专项资金管理，切实提高专项资金的使用绩效和管理水平，</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成立了以</w:t>
      </w:r>
      <w:r>
        <w:rPr>
          <w:rFonts w:hint="default" w:ascii="Times New Roman" w:hAnsi="Times New Roman" w:eastAsia="方正仿宋简体" w:cs="Times New Roman"/>
          <w:sz w:val="32"/>
          <w:szCs w:val="32"/>
          <w:lang w:eastAsia="zh-CN"/>
        </w:rPr>
        <w:t>团县委书记明明</w:t>
      </w:r>
      <w:r>
        <w:rPr>
          <w:rFonts w:hint="default" w:ascii="Times New Roman" w:hAnsi="Times New Roman" w:eastAsia="方正仿宋简体" w:cs="Times New Roman"/>
          <w:sz w:val="32"/>
          <w:szCs w:val="32"/>
        </w:rPr>
        <w:t>为组长的项目小组，组织学习各级财政部门下发的关于财政支出绩效评价管理工作的相关文件，并结合</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实际，以及县财政局提出的绩效评价指标设计要求，研究制定了评价指标体系、绩效评价个性指标及评价标准</w:t>
      </w:r>
    </w:p>
    <w:p>
      <w:pPr>
        <w:keepNext w:val="0"/>
        <w:keepLines w:val="0"/>
        <w:pageBreakBefore w:val="0"/>
        <w:widowControl w:val="0"/>
        <w:kinsoku/>
        <w:wordWrap/>
        <w:overflowPunct/>
        <w:topLinePunct w:val="0"/>
        <w:autoSpaceDE/>
        <w:autoSpaceDN/>
        <w:bidi w:val="0"/>
        <w:adjustRightInd/>
        <w:snapToGrid w:val="0"/>
        <w:spacing w:line="54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（二）自评方式、方法、重点等</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本次绩效评价主要采用结果比较法，即数据对比，将产出值与目标值对比，采取数据收集汇总、指标分析等方法，对比分析形成评价报告，并根据设定的评价指标和计分标准结合我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实际情况，采取百分制评分。同时采用了定量与定性相结合、项目承担单位自评与主管部门评价相结合的方法。</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四、评价结论</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围绕中心、服务大局，深入基层、服务</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，较圆满地完成了本年度活动。根据评价指标体系打分，</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整体支出绩效评价得分</w:t>
      </w:r>
      <w:r>
        <w:rPr>
          <w:rFonts w:hint="default" w:ascii="Times New Roman" w:hAnsi="Times New Roman" w:eastAsia="方正仿宋简体" w:cs="Times New Roman"/>
          <w:sz w:val="32"/>
          <w:szCs w:val="32"/>
          <w:lang w:val="en-US" w:eastAsia="zh-CN"/>
        </w:rPr>
        <w:t>98</w:t>
      </w:r>
      <w:r>
        <w:rPr>
          <w:rFonts w:hint="default" w:ascii="Times New Roman" w:hAnsi="Times New Roman" w:eastAsia="方正仿宋简体" w:cs="Times New Roman"/>
          <w:sz w:val="32"/>
          <w:szCs w:val="32"/>
        </w:rPr>
        <w:t>分，评价结果等次为“优”</w:t>
      </w:r>
    </w:p>
    <w:p>
      <w:pPr>
        <w:pStyle w:val="7"/>
        <w:keepNext w:val="0"/>
        <w:keepLines w:val="0"/>
        <w:pageBreakBefore w:val="0"/>
        <w:widowControl w:val="0"/>
        <w:kinsoku/>
        <w:wordWrap/>
        <w:overflowPunct/>
        <w:topLinePunct w:val="0"/>
        <w:autoSpaceDE/>
        <w:autoSpaceDN/>
        <w:bidi w:val="0"/>
        <w:adjustRightInd/>
        <w:spacing w:line="54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五、绩效分析</w:t>
      </w:r>
    </w:p>
    <w:p>
      <w:pPr>
        <w:keepNext w:val="0"/>
        <w:keepLines w:val="0"/>
        <w:pageBreakBefore w:val="0"/>
        <w:widowControl w:val="0"/>
        <w:kinsoku/>
        <w:wordWrap/>
        <w:overflowPunct/>
        <w:topLinePunct w:val="0"/>
        <w:autoSpaceDE/>
        <w:autoSpaceDN/>
        <w:bidi w:val="0"/>
        <w:adjustRightInd/>
        <w:snapToGrid w:val="0"/>
        <w:spacing w:line="54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（一）指标分析</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投入指标20分：</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rPr>
        <w:t>年部门预算投入</w:t>
      </w:r>
      <w:r>
        <w:rPr>
          <w:rFonts w:hint="default" w:ascii="Times New Roman" w:hAnsi="Times New Roman" w:eastAsia="方正仿宋简体" w:cs="Times New Roman"/>
          <w:sz w:val="32"/>
          <w:szCs w:val="32"/>
          <w:lang w:val="en-US" w:eastAsia="zh-CN"/>
        </w:rPr>
        <w:t>191.26</w:t>
      </w:r>
      <w:r>
        <w:rPr>
          <w:rFonts w:hint="default" w:ascii="Times New Roman" w:hAnsi="Times New Roman" w:eastAsia="方正仿宋简体" w:cs="Times New Roman"/>
          <w:sz w:val="32"/>
          <w:szCs w:val="32"/>
        </w:rPr>
        <w:t>万元，实际执行</w:t>
      </w:r>
      <w:r>
        <w:rPr>
          <w:rFonts w:hint="default" w:ascii="Times New Roman" w:hAnsi="Times New Roman" w:eastAsia="方正仿宋简体" w:cs="Times New Roman"/>
          <w:sz w:val="32"/>
          <w:szCs w:val="32"/>
          <w:lang w:val="en-US" w:eastAsia="zh-CN"/>
        </w:rPr>
        <w:t>191.26</w:t>
      </w:r>
      <w:r>
        <w:rPr>
          <w:rFonts w:hint="default" w:ascii="Times New Roman" w:hAnsi="Times New Roman" w:eastAsia="方正仿宋简体" w:cs="Times New Roman"/>
          <w:sz w:val="32"/>
          <w:szCs w:val="32"/>
        </w:rPr>
        <w:t>万元，得分</w:t>
      </w:r>
      <w:r>
        <w:rPr>
          <w:rFonts w:hint="default" w:ascii="Times New Roman" w:hAnsi="Times New Roman" w:eastAsia="方正仿宋简体" w:cs="Times New Roman"/>
          <w:sz w:val="32"/>
          <w:szCs w:val="32"/>
          <w:lang w:val="en-US" w:eastAsia="zh-CN"/>
        </w:rPr>
        <w:t>20</w:t>
      </w:r>
      <w:r>
        <w:rPr>
          <w:rFonts w:hint="default" w:ascii="Times New Roman" w:hAnsi="Times New Roman" w:eastAsia="方正仿宋简体" w:cs="Times New Roman"/>
          <w:sz w:val="32"/>
          <w:szCs w:val="32"/>
        </w:rPr>
        <w:t>分。</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过程指标30分：在项目实施过程中，一是严格按照实施方案的要求开展项目各项工作，保证项目的顺利实施；二是加强项目实施过程中的检查监督；三是对已完成的项目及时组织检查、验收，对检查发现的问题及时进行整改，因预算调整率</w:t>
      </w:r>
      <w:r>
        <w:rPr>
          <w:rFonts w:hint="default" w:ascii="Times New Roman" w:hAnsi="Times New Roman" w:eastAsia="方正仿宋简体" w:cs="Times New Roman"/>
          <w:sz w:val="32"/>
          <w:szCs w:val="32"/>
          <w:lang w:eastAsia="zh-CN"/>
        </w:rPr>
        <w:t>较高</w:t>
      </w:r>
      <w:r>
        <w:rPr>
          <w:rFonts w:hint="default" w:ascii="Times New Roman" w:hAnsi="Times New Roman" w:eastAsia="方正仿宋简体" w:cs="Times New Roman"/>
          <w:sz w:val="32"/>
          <w:szCs w:val="32"/>
        </w:rPr>
        <w:t>，扣减2分。此项得</w:t>
      </w:r>
      <w:r>
        <w:rPr>
          <w:rFonts w:hint="default" w:ascii="Times New Roman" w:hAnsi="Times New Roman" w:eastAsia="方正仿宋简体" w:cs="Times New Roman"/>
          <w:sz w:val="32"/>
          <w:szCs w:val="32"/>
          <w:lang w:val="en-US" w:eastAsia="zh-CN"/>
        </w:rPr>
        <w:t>28</w:t>
      </w:r>
      <w:r>
        <w:rPr>
          <w:rFonts w:hint="default" w:ascii="Times New Roman" w:hAnsi="Times New Roman" w:eastAsia="方正仿宋简体" w:cs="Times New Roman"/>
          <w:sz w:val="32"/>
          <w:szCs w:val="32"/>
        </w:rPr>
        <w:t xml:space="preserve">分。 </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产出指标30分：项目的实施进一步发挥了</w:t>
      </w:r>
      <w:r>
        <w:rPr>
          <w:rFonts w:hint="default" w:ascii="Times New Roman" w:hAnsi="Times New Roman" w:eastAsia="方正仿宋简体" w:cs="Times New Roman"/>
          <w:sz w:val="32"/>
          <w:szCs w:val="32"/>
          <w:lang w:eastAsia="zh-CN"/>
        </w:rPr>
        <w:t>共青团</w:t>
      </w:r>
      <w:r>
        <w:rPr>
          <w:rFonts w:hint="default" w:ascii="Times New Roman" w:hAnsi="Times New Roman" w:eastAsia="方正仿宋简体" w:cs="Times New Roman"/>
          <w:sz w:val="32"/>
          <w:szCs w:val="32"/>
        </w:rPr>
        <w:t>组织整体优势、推进了</w:t>
      </w:r>
      <w:r>
        <w:rPr>
          <w:rFonts w:hint="default" w:ascii="Times New Roman" w:hAnsi="Times New Roman" w:eastAsia="方正仿宋简体" w:cs="Times New Roman"/>
          <w:sz w:val="32"/>
          <w:szCs w:val="32"/>
          <w:lang w:eastAsia="zh-CN"/>
        </w:rPr>
        <w:t>青年团员</w:t>
      </w:r>
      <w:r>
        <w:rPr>
          <w:rFonts w:hint="default" w:ascii="Times New Roman" w:hAnsi="Times New Roman" w:eastAsia="方正仿宋简体" w:cs="Times New Roman"/>
          <w:sz w:val="32"/>
          <w:szCs w:val="32"/>
        </w:rPr>
        <w:t>事业创新发展，项目产出质量指标基本达标，此项得分30分</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效果指标20分：</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着力开展惠及</w:t>
      </w:r>
      <w:r>
        <w:rPr>
          <w:rFonts w:hint="default" w:ascii="Times New Roman" w:hAnsi="Times New Roman" w:eastAsia="方正仿宋简体" w:cs="Times New Roman"/>
          <w:sz w:val="32"/>
          <w:szCs w:val="32"/>
          <w:lang w:eastAsia="zh-CN"/>
        </w:rPr>
        <w:t>青年团员</w:t>
      </w:r>
      <w:r>
        <w:rPr>
          <w:rFonts w:hint="default" w:ascii="Times New Roman" w:hAnsi="Times New Roman" w:eastAsia="方正仿宋简体" w:cs="Times New Roman"/>
          <w:sz w:val="32"/>
          <w:szCs w:val="32"/>
        </w:rPr>
        <w:t>的实事项目，促进</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创业就业致富，保障</w:t>
      </w:r>
      <w:r>
        <w:rPr>
          <w:rFonts w:hint="default" w:ascii="Times New Roman" w:hAnsi="Times New Roman" w:eastAsia="方正仿宋简体" w:cs="Times New Roman"/>
          <w:sz w:val="32"/>
          <w:szCs w:val="32"/>
          <w:lang w:eastAsia="zh-CN"/>
        </w:rPr>
        <w:t>青年团员</w:t>
      </w:r>
      <w:r>
        <w:rPr>
          <w:rFonts w:hint="default" w:ascii="Times New Roman" w:hAnsi="Times New Roman" w:eastAsia="方正仿宋简体" w:cs="Times New Roman"/>
          <w:sz w:val="32"/>
          <w:szCs w:val="32"/>
        </w:rPr>
        <w:t>合法权益，综合社会效益较为显著；优化</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发展环境，推动</w:t>
      </w:r>
      <w:r>
        <w:rPr>
          <w:rFonts w:hint="default" w:ascii="Times New Roman" w:hAnsi="Times New Roman" w:eastAsia="方正仿宋简体" w:cs="Times New Roman"/>
          <w:sz w:val="32"/>
          <w:szCs w:val="32"/>
          <w:lang w:eastAsia="zh-CN"/>
        </w:rPr>
        <w:t>青年</w:t>
      </w:r>
      <w:r>
        <w:rPr>
          <w:rFonts w:hint="default" w:ascii="Times New Roman" w:hAnsi="Times New Roman" w:eastAsia="方正仿宋简体" w:cs="Times New Roman"/>
          <w:sz w:val="32"/>
          <w:szCs w:val="32"/>
        </w:rPr>
        <w:t>共享经济社会发展成果，助推</w:t>
      </w:r>
      <w:r>
        <w:rPr>
          <w:rFonts w:hint="default" w:ascii="Times New Roman" w:hAnsi="Times New Roman" w:eastAsia="方正仿宋简体" w:cs="Times New Roman"/>
          <w:sz w:val="32"/>
          <w:szCs w:val="32"/>
          <w:lang w:eastAsia="zh-CN"/>
        </w:rPr>
        <w:t>县青年</w:t>
      </w:r>
      <w:r>
        <w:rPr>
          <w:rFonts w:hint="default" w:ascii="Times New Roman" w:hAnsi="Times New Roman" w:eastAsia="方正仿宋简体" w:cs="Times New Roman"/>
          <w:sz w:val="32"/>
          <w:szCs w:val="32"/>
        </w:rPr>
        <w:t>事业发展再上新台阶，具有较强的可持续效益，此项得20分。</w:t>
      </w:r>
    </w:p>
    <w:p>
      <w:pPr>
        <w:keepNext w:val="0"/>
        <w:keepLines w:val="0"/>
        <w:pageBreakBefore w:val="0"/>
        <w:widowControl w:val="0"/>
        <w:kinsoku/>
        <w:wordWrap/>
        <w:overflowPunct/>
        <w:topLinePunct w:val="0"/>
        <w:autoSpaceDE/>
        <w:autoSpaceDN/>
        <w:bidi w:val="0"/>
        <w:adjustRightInd/>
        <w:snapToGrid w:val="0"/>
        <w:spacing w:line="540" w:lineRule="exact"/>
        <w:ind w:firstLine="643" w:firstLineChars="200"/>
        <w:textAlignment w:val="auto"/>
        <w:rPr>
          <w:rFonts w:hint="default" w:ascii="Times New Roman" w:hAnsi="Times New Roman" w:eastAsia="方正楷体简体" w:cs="Times New Roman"/>
          <w:b/>
          <w:bCs w:val="0"/>
          <w:sz w:val="32"/>
          <w:szCs w:val="32"/>
          <w:lang w:eastAsia="zh-CN"/>
        </w:rPr>
      </w:pPr>
      <w:r>
        <w:rPr>
          <w:rFonts w:hint="default" w:ascii="Times New Roman" w:hAnsi="Times New Roman" w:eastAsia="方正楷体简体" w:cs="Times New Roman"/>
          <w:b/>
          <w:bCs w:val="0"/>
          <w:sz w:val="32"/>
          <w:szCs w:val="32"/>
          <w:lang w:eastAsia="zh-CN"/>
        </w:rPr>
        <w:t>（二）综合绩效分析</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hint="eastAsia" w:ascii="Times New Roman" w:hAnsi="Times New Roman" w:eastAsia="方正仿宋简体" w:cs="Times New Roman"/>
          <w:sz w:val="32"/>
          <w:szCs w:val="32"/>
          <w:lang w:eastAsia="zh-CN"/>
        </w:rPr>
      </w:pPr>
      <w:r>
        <w:rPr>
          <w:rFonts w:hint="default" w:ascii="Times New Roman" w:hAnsi="Times New Roman" w:eastAsia="方正仿宋简体" w:cs="Times New Roman"/>
          <w:b/>
          <w:bCs/>
          <w:sz w:val="32"/>
          <w:szCs w:val="32"/>
        </w:rPr>
        <w:t>1．部门职能履行情况。</w:t>
      </w:r>
      <w:r>
        <w:rPr>
          <w:rFonts w:hint="default" w:ascii="Times New Roman" w:hAnsi="Times New Roman" w:eastAsia="方正仿宋简体" w:cs="Times New Roman"/>
          <w:sz w:val="32"/>
          <w:szCs w:val="32"/>
        </w:rPr>
        <w:t>今年以来，</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在县委和市妇联的正确领导下，以中央、省委、市委、县委党的群团工作会议精神为指导，紧紧围绕全县工作大局，以党政工作中心为切入点，以创业、创新、创优为抓手，以建好组织、强化基层为重点，以各项主题活动为载体，扎实有效地开展了</w:t>
      </w:r>
      <w:r>
        <w:rPr>
          <w:rFonts w:hint="eastAsia" w:ascii="Times New Roman" w:hAnsi="Times New Roman" w:eastAsia="方正仿宋简体" w:cs="Times New Roman"/>
          <w:sz w:val="32"/>
          <w:szCs w:val="32"/>
          <w:lang w:eastAsia="zh-CN"/>
        </w:rPr>
        <w:t>团委</w:t>
      </w:r>
      <w:r>
        <w:rPr>
          <w:rFonts w:hint="default" w:ascii="Times New Roman" w:hAnsi="Times New Roman" w:eastAsia="方正仿宋简体" w:cs="Times New Roman"/>
          <w:sz w:val="32"/>
          <w:szCs w:val="32"/>
        </w:rPr>
        <w:t>的各项工作</w:t>
      </w:r>
      <w:r>
        <w:rPr>
          <w:rFonts w:hint="eastAsia" w:ascii="Times New Roman" w:hAnsi="Times New Roman" w:eastAsia="方正仿宋简体" w:cs="Times New Roman"/>
          <w:sz w:val="32"/>
          <w:szCs w:val="32"/>
          <w:lang w:eastAsia="zh-CN"/>
        </w:rPr>
        <w:t>。</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b/>
          <w:bCs/>
          <w:sz w:val="32"/>
          <w:szCs w:val="32"/>
        </w:rPr>
        <w:t>2．部门履职有效性。</w:t>
      </w:r>
      <w:r>
        <w:rPr>
          <w:rFonts w:hint="default" w:ascii="Times New Roman" w:hAnsi="Times New Roman" w:eastAsia="方正仿宋简体" w:cs="Times New Roman"/>
          <w:sz w:val="32"/>
          <w:szCs w:val="32"/>
          <w:lang w:eastAsia="zh-CN"/>
        </w:rPr>
        <w:t>团县委</w:t>
      </w:r>
      <w:r>
        <w:rPr>
          <w:rFonts w:hint="default" w:ascii="Times New Roman" w:hAnsi="Times New Roman" w:eastAsia="方正仿宋简体" w:cs="Times New Roman"/>
          <w:sz w:val="32"/>
          <w:szCs w:val="32"/>
        </w:rPr>
        <w:t>严格按照县财政相关的规定和单位内部控制制度，资金使用符合规定标准。县妇联领导高度重视预算公开及决算公开等工作，并积极向主管部门上报预算、决算公开数据</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b/>
          <w:bCs/>
          <w:sz w:val="32"/>
          <w:szCs w:val="32"/>
        </w:rPr>
        <w:t>3．部门职能实现程度。</w:t>
      </w:r>
      <w:r>
        <w:rPr>
          <w:rFonts w:hint="default"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rPr>
        <w:t>年我单位在全体干部职工的共同努力下圆满出色完成了各项工作目标和任务。</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六、问题分析</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是对于绩效运行监控的认识不够深入，把项目支出绩效简单等同于工作目标、工作考核和业务管理。二是绩效目标和指标往往根据项目实际完成情况制定，对项目执行过程有效约束不够，存在一定的偏差。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lang w:eastAsia="zh-CN"/>
        </w:rPr>
        <w:t>七</w:t>
      </w:r>
      <w:r>
        <w:rPr>
          <w:rFonts w:hint="default" w:ascii="Times New Roman" w:hAnsi="Times New Roman" w:eastAsia="方正黑体简体" w:cs="Times New Roman"/>
          <w:sz w:val="32"/>
          <w:szCs w:val="32"/>
        </w:rPr>
        <w:t>、工作建议</w:t>
      </w:r>
    </w:p>
    <w:p>
      <w:pPr>
        <w:pStyle w:val="7"/>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一是加强绩效运行监控管理制度和流程建设，进一步深化、完善绩效管理体系，建立全过程的预算绩效管理机制，促进绩效管理工作向广度和深度延伸。二是规范绩效运行监控资料的收集整理，确保相关信息完整、可靠，客观公正地反映项目资金实际使用和产生的绩效状况，为今后该项目实施方向及管理方式的改进提供指导。</w:t>
      </w: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spacing w:line="620" w:lineRule="exact"/>
        <w:rPr>
          <w:rFonts w:hint="eastAsia" w:ascii="Times New Roman" w:hAnsi="Times New Roman" w:eastAsia="方正黑体简体" w:cs="Times New Roman"/>
          <w:sz w:val="32"/>
          <w:szCs w:val="32"/>
          <w:lang w:val="en-US" w:eastAsia="zh-CN"/>
        </w:rPr>
      </w:pPr>
      <w:r>
        <w:rPr>
          <w:rFonts w:hint="eastAsia" w:ascii="Times New Roman" w:hAnsi="Times New Roman" w:eastAsia="方正黑体简体" w:cs="Times New Roman"/>
          <w:sz w:val="32"/>
          <w:szCs w:val="32"/>
          <w:lang w:eastAsia="zh-CN"/>
        </w:rPr>
        <w:t>附件</w:t>
      </w:r>
      <w:r>
        <w:rPr>
          <w:rFonts w:hint="eastAsia" w:ascii="Times New Roman" w:hAnsi="Times New Roman" w:eastAsia="方正黑体简体" w:cs="Times New Roman"/>
          <w:sz w:val="32"/>
          <w:szCs w:val="32"/>
          <w:lang w:val="en-US" w:eastAsia="zh-CN"/>
        </w:rPr>
        <w:t>2</w:t>
      </w:r>
    </w:p>
    <w:p>
      <w:pPr>
        <w:pStyle w:val="2"/>
        <w:rPr>
          <w:rFonts w:hint="eastAsia"/>
          <w:lang w:val="en-US" w:eastAsia="zh-CN"/>
        </w:rPr>
      </w:pPr>
    </w:p>
    <w:p>
      <w:pPr>
        <w:spacing w:line="620" w:lineRule="exact"/>
        <w:jc w:val="center"/>
        <w:rPr>
          <w:rFonts w:hint="default" w:ascii="Times New Roman" w:hAnsi="Times New Roman" w:eastAsia="方正小标宋简体" w:cs="Times New Roman"/>
          <w:spacing w:val="-12"/>
          <w:w w:val="90"/>
          <w:kern w:val="0"/>
          <w:sz w:val="44"/>
          <w:szCs w:val="44"/>
        </w:rPr>
      </w:pPr>
      <w:r>
        <w:rPr>
          <w:rFonts w:hint="default" w:ascii="Times New Roman" w:hAnsi="Times New Roman" w:eastAsia="方正小标宋简体" w:cs="Times New Roman"/>
          <w:spacing w:val="-12"/>
          <w:w w:val="90"/>
          <w:kern w:val="0"/>
          <w:sz w:val="44"/>
          <w:szCs w:val="44"/>
        </w:rPr>
        <w:t>2022年度共青团乐至县委项目支出绩效自评报告</w:t>
      </w:r>
    </w:p>
    <w:p>
      <w:pPr>
        <w:spacing w:line="620" w:lineRule="exact"/>
        <w:jc w:val="center"/>
        <w:rPr>
          <w:rFonts w:hint="default" w:ascii="Times New Roman" w:hAnsi="Times New Roman" w:eastAsia="方正楷体简体" w:cs="Times New Roman"/>
          <w:b/>
          <w:sz w:val="32"/>
          <w:szCs w:val="32"/>
        </w:rPr>
      </w:pPr>
      <w:r>
        <w:rPr>
          <w:rFonts w:hint="eastAsia" w:ascii="Times New Roman" w:hAnsi="Times New Roman" w:eastAsia="方正楷体简体" w:cs="Times New Roman"/>
          <w:b/>
          <w:sz w:val="32"/>
          <w:szCs w:val="32"/>
          <w:lang w:eastAsia="zh-CN"/>
        </w:rPr>
        <w:t>（</w:t>
      </w:r>
      <w:r>
        <w:rPr>
          <w:rFonts w:hint="default" w:ascii="Times New Roman" w:hAnsi="Times New Roman" w:eastAsia="方正楷体简体" w:cs="Times New Roman"/>
          <w:b/>
          <w:sz w:val="32"/>
          <w:szCs w:val="32"/>
          <w:lang w:eastAsia="zh-CN"/>
        </w:rPr>
        <w:t>青少年活动</w:t>
      </w:r>
      <w:r>
        <w:rPr>
          <w:rFonts w:hint="default" w:ascii="Times New Roman" w:hAnsi="Times New Roman" w:eastAsia="方正楷体简体" w:cs="Times New Roman"/>
          <w:b/>
          <w:sz w:val="32"/>
          <w:szCs w:val="32"/>
        </w:rPr>
        <w:t>项目</w:t>
      </w:r>
      <w:r>
        <w:rPr>
          <w:rFonts w:hint="eastAsia" w:ascii="Times New Roman" w:hAnsi="Times New Roman" w:eastAsia="方正楷体简体" w:cs="Times New Roman"/>
          <w:b/>
          <w:sz w:val="32"/>
          <w:szCs w:val="32"/>
          <w:lang w:eastAsia="zh-CN"/>
        </w:rPr>
        <w:t>）</w:t>
      </w:r>
    </w:p>
    <w:p>
      <w:pPr>
        <w:pStyle w:val="2"/>
        <w:spacing w:line="620" w:lineRule="exact"/>
        <w:rPr>
          <w:rFonts w:hint="default" w:ascii="Times New Roman" w:hAnsi="Times New Roman" w:eastAsia="方正仿宋简体" w:cs="Times New Roman"/>
          <w:sz w:val="32"/>
          <w:szCs w:val="32"/>
        </w:rPr>
      </w:pPr>
    </w:p>
    <w:p>
      <w:pPr>
        <w:pStyle w:val="2"/>
        <w:spacing w:line="620" w:lineRule="exact"/>
        <w:jc w:val="center"/>
        <w:rPr>
          <w:rFonts w:hint="default" w:ascii="Times New Roman" w:hAnsi="Times New Roman" w:eastAsia="方正黑体简体" w:cs="Times New Roman"/>
          <w:spacing w:val="-12"/>
          <w:sz w:val="32"/>
          <w:szCs w:val="32"/>
        </w:rPr>
      </w:pPr>
      <w:r>
        <w:rPr>
          <w:rFonts w:hint="default" w:ascii="Times New Roman" w:hAnsi="Times New Roman" w:eastAsia="方正黑体简体" w:cs="Times New Roman"/>
          <w:spacing w:val="-12"/>
          <w:sz w:val="32"/>
          <w:szCs w:val="32"/>
        </w:rPr>
        <w:t>前    言</w:t>
      </w:r>
    </w:p>
    <w:p>
      <w:pPr>
        <w:pStyle w:val="2"/>
        <w:rPr>
          <w:rFonts w:hint="default" w:ascii="Times New Roman" w:hAnsi="Times New Roman" w:cs="Times New Roman"/>
        </w:rPr>
      </w:pPr>
    </w:p>
    <w:p>
      <w:pPr>
        <w:spacing w:line="62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一、项目基本情况</w:t>
      </w:r>
    </w:p>
    <w:p>
      <w:pPr>
        <w:pStyle w:val="2"/>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（一）概况</w:t>
      </w:r>
    </w:p>
    <w:p>
      <w:pPr>
        <w:pStyle w:val="2"/>
        <w:spacing w:line="620" w:lineRule="exact"/>
        <w:ind w:firstLine="630" w:firstLineChars="196"/>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1．立项背景及目的</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工作</w:t>
      </w:r>
      <w:r>
        <w:rPr>
          <w:rFonts w:hint="default" w:ascii="Times New Roman" w:hAnsi="Times New Roman" w:eastAsia="方正仿宋简体" w:cs="Times New Roman"/>
          <w:sz w:val="32"/>
          <w:szCs w:val="32"/>
          <w:lang w:eastAsia="zh-CN"/>
        </w:rPr>
        <w:t>职能青少年方面</w:t>
      </w:r>
      <w:r>
        <w:rPr>
          <w:rFonts w:hint="default" w:ascii="Times New Roman" w:hAnsi="Times New Roman" w:eastAsia="方正仿宋简体" w:cs="Times New Roman"/>
          <w:sz w:val="32"/>
          <w:szCs w:val="32"/>
          <w:lang w:val="en-US" w:eastAsia="zh-CN"/>
        </w:rPr>
        <w:t>一是加强青少年思想引领工作，二是持续开展青年志愿服务活动，三是加强留守学生关爱行动，四是开展困难青少年帮扶，五是服务青年就业创业。六是加强基层团建工作，七是加强少先队工作。故立项青少年活动专项。</w:t>
      </w:r>
    </w:p>
    <w:p>
      <w:pPr>
        <w:pStyle w:val="2"/>
        <w:numPr>
          <w:ilvl w:val="0"/>
          <w:numId w:val="4"/>
        </w:numPr>
        <w:spacing w:line="620" w:lineRule="exact"/>
        <w:ind w:left="10" w:leftChars="0" w:firstLine="630" w:firstLineChars="0"/>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预算资金来源及使用情况</w:t>
      </w:r>
    </w:p>
    <w:p>
      <w:pPr>
        <w:spacing w:line="540" w:lineRule="exact"/>
        <w:ind w:firstLine="640" w:firstLineChars="200"/>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该项目资金来源为县级财政资金，</w:t>
      </w:r>
      <w:r>
        <w:rPr>
          <w:rFonts w:hint="eastAsia"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rPr>
        <w:t>年度预算资金为</w:t>
      </w:r>
      <w:r>
        <w:rPr>
          <w:rFonts w:hint="default" w:ascii="Times New Roman" w:hAnsi="Times New Roman" w:eastAsia="方正仿宋简体" w:cs="Times New Roman"/>
          <w:sz w:val="32"/>
          <w:szCs w:val="32"/>
          <w:lang w:val="en-US" w:eastAsia="zh-CN"/>
        </w:rPr>
        <w:t>11.44</w:t>
      </w:r>
      <w:r>
        <w:rPr>
          <w:rFonts w:hint="default" w:ascii="Times New Roman" w:hAnsi="Times New Roman" w:eastAsia="方正仿宋简体" w:cs="Times New Roman"/>
          <w:sz w:val="32"/>
          <w:szCs w:val="32"/>
        </w:rPr>
        <w:t>万元，</w:t>
      </w:r>
      <w:r>
        <w:rPr>
          <w:rFonts w:hint="eastAsia" w:ascii="Times New Roman" w:hAnsi="Times New Roman" w:eastAsia="方正仿宋简体" w:cs="Times New Roman"/>
          <w:sz w:val="32"/>
          <w:szCs w:val="32"/>
          <w:lang w:eastAsia="zh-CN"/>
        </w:rPr>
        <w:t>上年结转</w:t>
      </w:r>
      <w:r>
        <w:rPr>
          <w:rFonts w:hint="eastAsia" w:ascii="Times New Roman" w:hAnsi="Times New Roman" w:eastAsia="方正仿宋简体" w:cs="Times New Roman"/>
          <w:sz w:val="32"/>
          <w:szCs w:val="32"/>
          <w:lang w:val="en-US" w:eastAsia="zh-CN"/>
        </w:rPr>
        <w:t>0.81万元，</w:t>
      </w:r>
      <w:r>
        <w:rPr>
          <w:rFonts w:hint="default" w:ascii="Times New Roman" w:hAnsi="Times New Roman" w:eastAsia="方正仿宋简体" w:cs="Times New Roman"/>
          <w:sz w:val="32"/>
          <w:szCs w:val="32"/>
        </w:rPr>
        <w:t>使用</w:t>
      </w:r>
      <w:r>
        <w:rPr>
          <w:rFonts w:hint="eastAsia" w:ascii="Times New Roman" w:hAnsi="Times New Roman" w:eastAsia="方正仿宋简体" w:cs="Times New Roman"/>
          <w:sz w:val="32"/>
          <w:szCs w:val="32"/>
          <w:lang w:val="en-US" w:eastAsia="zh-CN"/>
        </w:rPr>
        <w:t>12.25</w:t>
      </w:r>
      <w:r>
        <w:rPr>
          <w:rFonts w:hint="default" w:ascii="Times New Roman" w:hAnsi="Times New Roman" w:eastAsia="方正仿宋简体" w:cs="Times New Roman"/>
          <w:sz w:val="32"/>
          <w:szCs w:val="32"/>
        </w:rPr>
        <w:t>万元。</w:t>
      </w:r>
    </w:p>
    <w:p>
      <w:pPr>
        <w:pStyle w:val="2"/>
        <w:numPr>
          <w:ilvl w:val="0"/>
          <w:numId w:val="4"/>
        </w:numPr>
        <w:spacing w:line="620" w:lineRule="exact"/>
        <w:ind w:left="10" w:leftChars="0" w:firstLine="630" w:firstLineChars="0"/>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实施情况</w:t>
      </w:r>
    </w:p>
    <w:p>
      <w:pPr>
        <w:spacing w:line="540" w:lineRule="exact"/>
        <w:ind w:firstLine="643" w:firstLineChars="200"/>
        <w:rPr>
          <w:rFonts w:hint="default" w:ascii="Times New Roman" w:hAnsi="Times New Roman" w:eastAsia="方正仿宋简体" w:cs="Times New Roman"/>
        </w:rPr>
      </w:pPr>
      <w:r>
        <w:rPr>
          <w:rFonts w:hint="default" w:ascii="Times New Roman" w:hAnsi="Times New Roman" w:eastAsia="方正仿宋简体" w:cs="Times New Roman"/>
          <w:b/>
          <w:bCs/>
          <w:sz w:val="32"/>
          <w:szCs w:val="32"/>
          <w:lang w:val="en-US" w:eastAsia="zh-CN"/>
        </w:rPr>
        <w:t>一是加强青少年思想引领工作。</w:t>
      </w:r>
      <w:r>
        <w:rPr>
          <w:rFonts w:hint="default" w:ascii="Times New Roman" w:hAnsi="Times New Roman" w:eastAsia="方正仿宋简体" w:cs="Times New Roman"/>
          <w:sz w:val="32"/>
          <w:szCs w:val="32"/>
        </w:rPr>
        <w:t>通过组织开展专题讲座、系统培训和青年喜闻乐见的学习宣传活动，深入学习中央省市县重要精神，凝聚思想共识</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不断强化青少年思想引导。以加强微信、微博、手机报等网络平台运用为切入点，着力探索党的思想主张和组织行为在青年中的有效传播方式，丰富具有时代特征的青年思想工作路径。</w:t>
      </w:r>
      <w:r>
        <w:rPr>
          <w:rFonts w:hint="default" w:ascii="Times New Roman" w:hAnsi="Times New Roman" w:eastAsia="方正仿宋简体" w:cs="Times New Roman"/>
          <w:b/>
          <w:bCs/>
          <w:sz w:val="32"/>
          <w:szCs w:val="32"/>
          <w:lang w:val="en-US" w:eastAsia="zh-CN"/>
        </w:rPr>
        <w:t>二是持续开展青年志愿服务活动。</w:t>
      </w:r>
      <w:r>
        <w:rPr>
          <w:rFonts w:hint="default" w:ascii="Times New Roman" w:hAnsi="Times New Roman" w:eastAsia="方正仿宋简体" w:cs="Times New Roman"/>
          <w:sz w:val="32"/>
          <w:szCs w:val="32"/>
        </w:rPr>
        <w:t>加强志愿服务队伍建设，协同、培育本土青年社会组织包装一批重点志愿服务项目，带动社会青年投身公益活动；</w:t>
      </w:r>
      <w:r>
        <w:rPr>
          <w:rFonts w:hint="default" w:ascii="Times New Roman" w:hAnsi="Times New Roman" w:eastAsia="方正仿宋简体" w:cs="Times New Roman"/>
          <w:sz w:val="32"/>
          <w:szCs w:val="32"/>
          <w:lang w:eastAsia="zh-CN"/>
        </w:rPr>
        <w:t>实施“共青团伙伴计划”，联动实施一批社会公益项目，助力全国文明城市创建和国家卫生城市创建工作</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三是加强留守学生关爱行动。</w:t>
      </w:r>
      <w:r>
        <w:rPr>
          <w:rFonts w:hint="default" w:ascii="Times New Roman" w:hAnsi="Times New Roman" w:eastAsia="方正仿宋简体" w:cs="Times New Roman"/>
          <w:sz w:val="32"/>
          <w:szCs w:val="32"/>
        </w:rPr>
        <w:t>建实建强“</w:t>
      </w:r>
      <w:r>
        <w:rPr>
          <w:rFonts w:hint="default" w:ascii="Times New Roman" w:hAnsi="Times New Roman" w:eastAsia="方正仿宋简体" w:cs="Times New Roman"/>
          <w:sz w:val="32"/>
          <w:szCs w:val="32"/>
          <w:lang w:eastAsia="zh-CN"/>
        </w:rPr>
        <w:t>青年之家</w:t>
      </w:r>
      <w:r>
        <w:rPr>
          <w:rFonts w:hint="default" w:ascii="Times New Roman" w:hAnsi="Times New Roman" w:eastAsia="方正仿宋简体" w:cs="Times New Roman"/>
          <w:sz w:val="32"/>
          <w:szCs w:val="32"/>
        </w:rPr>
        <w:t>”、青少年宫、青少年综合服务平台等青少年工作阵地</w:t>
      </w:r>
      <w:r>
        <w:rPr>
          <w:rFonts w:hint="default" w:ascii="Times New Roman" w:hAnsi="Times New Roman" w:eastAsia="方正仿宋简体" w:cs="Times New Roman"/>
          <w:sz w:val="32"/>
          <w:szCs w:val="32"/>
          <w:lang w:eastAsia="zh-CN"/>
        </w:rPr>
        <w:t>，常态化开展青年之家活动，建设青年身边的共青团；联动一批青年志愿者组织，深入农村、社区、学校实施关爱留守学生夏令营、快乐周末等关爱项目</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四是开展困难青少年帮扶。</w:t>
      </w:r>
      <w:r>
        <w:rPr>
          <w:rFonts w:hint="default" w:ascii="Times New Roman" w:hAnsi="Times New Roman" w:eastAsia="方正仿宋简体" w:cs="Times New Roman"/>
          <w:sz w:val="32"/>
          <w:szCs w:val="32"/>
        </w:rPr>
        <w:t>找准扶贫攻坚载体，深化“助你上大学”等青字号助学行动，社会化筹集助学金，</w:t>
      </w:r>
      <w:r>
        <w:rPr>
          <w:rFonts w:hint="default" w:ascii="Times New Roman" w:hAnsi="Times New Roman" w:eastAsia="方正仿宋简体" w:cs="Times New Roman"/>
          <w:sz w:val="32"/>
          <w:szCs w:val="32"/>
          <w:lang w:eastAsia="zh-CN"/>
        </w:rPr>
        <w:t>持续帮助困难学生群体</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b/>
          <w:bCs/>
          <w:sz w:val="32"/>
          <w:szCs w:val="32"/>
          <w:lang w:val="en-US" w:eastAsia="zh-CN"/>
        </w:rPr>
        <w:t>五是服务青年就业创业。</w:t>
      </w:r>
      <w:r>
        <w:rPr>
          <w:rFonts w:hint="default" w:ascii="Times New Roman" w:hAnsi="Times New Roman" w:eastAsia="方正仿宋简体" w:cs="Times New Roman"/>
          <w:sz w:val="32"/>
          <w:szCs w:val="32"/>
        </w:rPr>
        <w:t>重点抓好“发展青年创业组织、健全青年创业扶持体系、探索建立青年创业园区、选树青年创业典型”四项工作，加强共青团服务青年创业的能力，成为创业青年想得起、找得到、靠得住的力量。</w:t>
      </w:r>
      <w:r>
        <w:rPr>
          <w:rFonts w:hint="default" w:ascii="Times New Roman" w:hAnsi="Times New Roman" w:eastAsia="方正仿宋简体" w:cs="Times New Roman"/>
          <w:b/>
          <w:bCs/>
          <w:sz w:val="32"/>
          <w:szCs w:val="32"/>
          <w:lang w:val="en-US" w:eastAsia="zh-CN"/>
        </w:rPr>
        <w:t>六是加强基层团建工作。</w:t>
      </w:r>
      <w:r>
        <w:rPr>
          <w:rFonts w:hint="default" w:ascii="Times New Roman" w:hAnsi="Times New Roman" w:eastAsia="方正仿宋简体" w:cs="Times New Roman"/>
          <w:sz w:val="32"/>
          <w:szCs w:val="32"/>
        </w:rPr>
        <w:t>开展“团干部培训”，加强“团干部队伍建设”、支持团组织创新开展相关活动，努力扩大团的组织覆盖、工作覆盖、活动覆盖，建设学习型、服务型、创新型、亲和型青年组织。</w:t>
      </w:r>
      <w:r>
        <w:rPr>
          <w:rFonts w:hint="default" w:ascii="Times New Roman" w:hAnsi="Times New Roman" w:eastAsia="方正仿宋简体" w:cs="Times New Roman"/>
          <w:b/>
          <w:bCs/>
          <w:sz w:val="32"/>
          <w:szCs w:val="32"/>
          <w:lang w:val="en-US" w:eastAsia="zh-CN"/>
        </w:rPr>
        <w:t>七是加强少先队工作。</w:t>
      </w:r>
      <w:r>
        <w:rPr>
          <w:rFonts w:hint="default" w:ascii="Times New Roman" w:hAnsi="Times New Roman" w:eastAsia="方正仿宋简体" w:cs="Times New Roman"/>
          <w:sz w:val="32"/>
          <w:szCs w:val="32"/>
        </w:rPr>
        <w:t>用好用足《中共中央加强和改进党的群团工作的意见》、“政府联席群团工作会议制度”、《 关于进一步加强少年儿童和少先队工作的意见》等政策，较好地解决了共青团经费保障、团干部（少先队辅导员）队伍建设等问题。积极支持少先队多形式开展其他相关活动。</w:t>
      </w:r>
    </w:p>
    <w:p>
      <w:pPr>
        <w:pStyle w:val="2"/>
        <w:numPr>
          <w:ilvl w:val="0"/>
          <w:numId w:val="4"/>
        </w:numPr>
        <w:spacing w:line="620" w:lineRule="exact"/>
        <w:ind w:left="10" w:leftChars="0" w:firstLine="630" w:firstLineChars="0"/>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组织及管理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（1）项目组织情况</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切实履</w:t>
      </w:r>
      <w:r>
        <w:rPr>
          <w:rFonts w:hint="default" w:ascii="Times New Roman" w:hAnsi="Times New Roman" w:eastAsia="方正仿宋简体" w:cs="Times New Roman"/>
          <w:sz w:val="32"/>
          <w:szCs w:val="32"/>
          <w:lang w:eastAsia="zh-CN"/>
        </w:rPr>
        <w:t>行使青少年活动</w:t>
      </w:r>
      <w:r>
        <w:rPr>
          <w:rFonts w:hint="default" w:ascii="Times New Roman" w:hAnsi="Times New Roman" w:eastAsia="方正仿宋简体" w:cs="Times New Roman"/>
          <w:sz w:val="32"/>
          <w:szCs w:val="32"/>
        </w:rPr>
        <w:t>服务的责任，加大组织协调各级</w:t>
      </w:r>
      <w:r>
        <w:rPr>
          <w:rFonts w:hint="default" w:ascii="Times New Roman" w:hAnsi="Times New Roman" w:eastAsia="方正仿宋简体" w:cs="Times New Roman"/>
          <w:sz w:val="32"/>
          <w:szCs w:val="32"/>
          <w:lang w:eastAsia="zh-CN"/>
        </w:rPr>
        <w:t>团</w:t>
      </w:r>
      <w:r>
        <w:rPr>
          <w:rFonts w:hint="default" w:ascii="Times New Roman" w:hAnsi="Times New Roman" w:eastAsia="方正仿宋简体" w:cs="Times New Roman"/>
          <w:sz w:val="32"/>
          <w:szCs w:val="32"/>
        </w:rPr>
        <w:t>组织，各部门共同参与的工作模式，认真开展相关工作，共同推进工作落实。</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（2）项目管理情况</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一是情况通报制度。各部门加强工作调度，不定期召开工作调度会。二是验收检查制度。各项目负责人要实行自查，审计人员要定期审计项目。三是奖罚制度。对工作组织得力、进度快、工作完成好的个人，给予表扬。</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（3）项目组织实施的实际情况与目标的差异情况说明。</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eastAsia="zh-CN"/>
        </w:rPr>
        <w:t>青少年活动</w:t>
      </w:r>
      <w:r>
        <w:rPr>
          <w:rFonts w:hint="default" w:ascii="Times New Roman" w:hAnsi="Times New Roman" w:eastAsia="方正仿宋简体" w:cs="Times New Roman"/>
          <w:sz w:val="32"/>
          <w:szCs w:val="32"/>
        </w:rPr>
        <w:t xml:space="preserve">工作经费项目实施未达到预期进度主要原因：一是因为财政未安排项目资金；二是因为疫情原因，上半年取消了部分项目。 </w:t>
      </w:r>
    </w:p>
    <w:p>
      <w:pPr>
        <w:pStyle w:val="2"/>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（二）绩效目标</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一是加强青少年思想引领工作，二是持续开展青年志愿服务活动，三是加强留守学生关爱行动，四是开展困难青少年帮扶，五是服务青年就业创业。六是加强基层团建工作，七是加强少先队工作。</w:t>
      </w:r>
    </w:p>
    <w:p>
      <w:pPr>
        <w:pStyle w:val="2"/>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二、绩效自评工作情况</w:t>
      </w:r>
    </w:p>
    <w:p>
      <w:pPr>
        <w:pStyle w:val="2"/>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（一）自评工作组织领导</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我</w:t>
      </w:r>
      <w:r>
        <w:rPr>
          <w:rFonts w:hint="default" w:ascii="Times New Roman" w:hAnsi="Times New Roman" w:eastAsia="方正仿宋简体" w:cs="Times New Roman"/>
          <w:sz w:val="32"/>
          <w:szCs w:val="32"/>
          <w:lang w:eastAsia="zh-CN"/>
        </w:rPr>
        <w:t>委</w:t>
      </w:r>
      <w:r>
        <w:rPr>
          <w:rFonts w:hint="default" w:ascii="Times New Roman" w:hAnsi="Times New Roman" w:eastAsia="方正仿宋简体" w:cs="Times New Roman"/>
          <w:sz w:val="32"/>
          <w:szCs w:val="32"/>
        </w:rPr>
        <w:t>自评工作小组以</w:t>
      </w:r>
      <w:r>
        <w:rPr>
          <w:rFonts w:hint="default" w:ascii="Times New Roman" w:hAnsi="Times New Roman" w:eastAsia="方正仿宋简体" w:cs="Times New Roman"/>
          <w:sz w:val="32"/>
          <w:szCs w:val="32"/>
          <w:lang w:eastAsia="zh-CN"/>
        </w:rPr>
        <w:t>书记</w:t>
      </w:r>
      <w:r>
        <w:rPr>
          <w:rFonts w:hint="default" w:ascii="Times New Roman" w:hAnsi="Times New Roman" w:eastAsia="方正仿宋简体" w:cs="Times New Roman"/>
          <w:sz w:val="32"/>
          <w:szCs w:val="32"/>
        </w:rPr>
        <w:t>为组长，办公室主任为具体经办人员。</w:t>
      </w:r>
    </w:p>
    <w:p>
      <w:pPr>
        <w:pStyle w:val="2"/>
        <w:numPr>
          <w:ilvl w:val="0"/>
          <w:numId w:val="5"/>
        </w:numPr>
        <w:spacing w:line="620" w:lineRule="exact"/>
        <w:ind w:left="0" w:leftChars="0"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自评方式、方法、重点等</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通过对</w:t>
      </w:r>
      <w:r>
        <w:rPr>
          <w:rFonts w:hint="eastAsia" w:ascii="Times New Roman" w:hAnsi="Times New Roman" w:eastAsia="方正仿宋简体" w:cs="Times New Roman"/>
          <w:sz w:val="32"/>
          <w:szCs w:val="32"/>
          <w:lang w:val="en-US" w:eastAsia="zh-CN"/>
        </w:rPr>
        <w:t>2022</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青少年活动</w:t>
      </w:r>
      <w:r>
        <w:rPr>
          <w:rFonts w:hint="default" w:ascii="Times New Roman" w:hAnsi="Times New Roman" w:eastAsia="方正仿宋简体" w:cs="Times New Roman"/>
          <w:sz w:val="32"/>
          <w:szCs w:val="32"/>
        </w:rPr>
        <w:t>各项工作资料进行收集和核实，比较原先设定和实际完成的工作任务和目标，比较原先经费预算安排和实际的各项经费开展，明确预算批复的项目目标完成情况。</w:t>
      </w:r>
    </w:p>
    <w:p>
      <w:pPr>
        <w:pStyle w:val="2"/>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三、评价结论</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经过本项目评价指标评分本项目综合得分100</w:t>
      </w:r>
      <w:r>
        <w:rPr>
          <w:rFonts w:hint="default" w:ascii="Times New Roman" w:hAnsi="Times New Roman" w:eastAsia="方正仿宋简体" w:cs="Times New Roman"/>
          <w:sz w:val="32"/>
          <w:szCs w:val="32"/>
          <w:lang w:eastAsia="zh-CN"/>
        </w:rPr>
        <w:t>分</w:t>
      </w:r>
      <w:r>
        <w:rPr>
          <w:rFonts w:hint="default" w:ascii="Times New Roman" w:hAnsi="Times New Roman" w:eastAsia="方正仿宋简体" w:cs="Times New Roman"/>
          <w:sz w:val="32"/>
          <w:szCs w:val="32"/>
        </w:rPr>
        <w:t>， 评价等次为优秀。</w:t>
      </w:r>
    </w:p>
    <w:p>
      <w:pPr>
        <w:pStyle w:val="2"/>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四、绩效分析</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项目立项满分15分，自评15分。其中项目立项规范性的满分5分，绩效目标设定合理得4分，绩效指标明确性得6分。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资金落实满分10分，自评10分。其中资金按计划及时到位，得满分5分，应到位资金实际到位得满分5分。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业务管理满分13分，自评13分。其中管理制度健全得满分4分；制度执行有效得满分6分；项目质量可控性得满分3分。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财务管理满分12分，自评 12分。其中管理制度健全得满分3分；资金使用合规得满分7分；财务监控有效得满分2分。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项目产出满分20分，自评20分。其中实际完成率、完成及时率、质量达标率、成本节约率全部达标得满分20分。</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项目效益满分30分，自评30分。</w:t>
      </w:r>
    </w:p>
    <w:p>
      <w:pPr>
        <w:pStyle w:val="2"/>
        <w:spacing w:line="620" w:lineRule="exact"/>
        <w:ind w:firstLine="627" w:firstLineChars="196"/>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五、主要经验及做法、存在的问题和建议</w:t>
      </w:r>
    </w:p>
    <w:p>
      <w:pPr>
        <w:pStyle w:val="2"/>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（一）主要经验及做法</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健全的领导机制和完善的工作制度，是项目实施进一步发挥</w:t>
      </w:r>
      <w:r>
        <w:rPr>
          <w:rFonts w:hint="default" w:ascii="Times New Roman" w:hAnsi="Times New Roman" w:eastAsia="方正仿宋简体" w:cs="Times New Roman"/>
          <w:sz w:val="32"/>
          <w:szCs w:val="32"/>
          <w:lang w:eastAsia="zh-CN"/>
        </w:rPr>
        <w:t>团组织</w:t>
      </w:r>
      <w:r>
        <w:rPr>
          <w:rFonts w:hint="default" w:ascii="Times New Roman" w:hAnsi="Times New Roman" w:eastAsia="方正仿宋简体" w:cs="Times New Roman"/>
          <w:sz w:val="32"/>
          <w:szCs w:val="32"/>
        </w:rPr>
        <w:t>的整体优势，推动</w:t>
      </w:r>
      <w:r>
        <w:rPr>
          <w:rFonts w:hint="default" w:ascii="Times New Roman" w:hAnsi="Times New Roman" w:eastAsia="方正仿宋简体" w:cs="Times New Roman"/>
          <w:sz w:val="32"/>
          <w:szCs w:val="32"/>
          <w:lang w:eastAsia="zh-CN"/>
        </w:rPr>
        <w:t>青少年活动</w:t>
      </w:r>
      <w:r>
        <w:rPr>
          <w:rFonts w:hint="default" w:ascii="Times New Roman" w:hAnsi="Times New Roman" w:eastAsia="方正仿宋简体" w:cs="Times New Roman"/>
          <w:sz w:val="32"/>
          <w:szCs w:val="32"/>
        </w:rPr>
        <w:t>事业的创新发展的基础和保障。</w:t>
      </w:r>
    </w:p>
    <w:p>
      <w:pPr>
        <w:pStyle w:val="2"/>
        <w:numPr>
          <w:ilvl w:val="0"/>
          <w:numId w:val="6"/>
        </w:numPr>
        <w:spacing w:line="620" w:lineRule="exact"/>
        <w:ind w:firstLine="630" w:firstLineChars="196"/>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存在的问题</w:t>
      </w:r>
    </w:p>
    <w:p>
      <w:pPr>
        <w:spacing w:line="540" w:lineRule="exact"/>
        <w:ind w:firstLine="640" w:firstLineChars="200"/>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受单位业务人员专业能力所限，需进一步加强绩效评价工作，充分发挥绩效评价以评促管效能，提高绩效意识和财政资金使用效益。</w:t>
      </w:r>
    </w:p>
    <w:p>
      <w:pPr>
        <w:pStyle w:val="2"/>
        <w:spacing w:line="620" w:lineRule="exact"/>
        <w:ind w:firstLine="630" w:firstLineChars="196"/>
        <w:rPr>
          <w:rFonts w:hint="default" w:ascii="Times New Roman" w:hAnsi="Times New Roman" w:eastAsia="方正仿宋简体" w:cs="Times New Roman"/>
          <w:b/>
          <w:sz w:val="32"/>
          <w:szCs w:val="32"/>
        </w:rPr>
      </w:pPr>
      <w:r>
        <w:rPr>
          <w:rFonts w:hint="default" w:ascii="Times New Roman" w:hAnsi="Times New Roman" w:eastAsia="方正楷体简体" w:cs="Times New Roman"/>
          <w:b/>
          <w:sz w:val="32"/>
          <w:szCs w:val="32"/>
        </w:rPr>
        <w:t>（三）建议和改进措施</w:t>
      </w:r>
    </w:p>
    <w:p>
      <w:pPr>
        <w:spacing w:line="540" w:lineRule="exact"/>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完善项目管理制度，加强项目和财务管理人员业务素质，组织岗位培训，在业务上不断提高。充分发挥绩效评价的作用，使各项工作都落到实处。</w:t>
      </w: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int="eastAsia"/>
        </w:rPr>
      </w:pPr>
    </w:p>
    <w:p>
      <w:pPr>
        <w:spacing w:line="600" w:lineRule="exact"/>
        <w:jc w:val="center"/>
        <w:outlineLvl w:val="0"/>
        <w:rPr>
          <w:rFonts w:ascii="仿宋" w:hAnsi="仿宋" w:eastAsia="仿宋"/>
        </w:rPr>
      </w:pPr>
      <w:bookmarkStart w:id="48" w:name="_Toc15396618"/>
      <w:r>
        <w:rPr>
          <w:rFonts w:hint="eastAsia" w:ascii="黑体" w:hAnsi="黑体" w:eastAsia="黑体"/>
          <w:sz w:val="44"/>
          <w:szCs w:val="44"/>
        </w:rPr>
        <w:t>第</w:t>
      </w:r>
      <w:r>
        <w:rPr>
          <w:rStyle w:val="29"/>
          <w:rFonts w:hint="eastAsia" w:ascii="黑体" w:hAnsi="黑体" w:eastAsia="黑体"/>
          <w:b w:val="0"/>
        </w:rPr>
        <w:t>五部分 附表</w:t>
      </w:r>
      <w:bookmarkEnd w:id="45"/>
      <w:bookmarkEnd w:id="48"/>
      <w:bookmarkStart w:id="49" w:name="_Toc15396619"/>
    </w:p>
    <w:p>
      <w:pPr>
        <w:pStyle w:val="4"/>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49"/>
    </w:p>
    <w:p>
      <w:pPr>
        <w:pStyle w:val="4"/>
        <w:rPr>
          <w:rFonts w:ascii="仿宋" w:hAnsi="仿宋" w:eastAsia="仿宋"/>
        </w:rPr>
      </w:pPr>
      <w:bookmarkStart w:id="50" w:name="_Toc15396620"/>
      <w:r>
        <w:rPr>
          <w:rFonts w:hint="eastAsia" w:ascii="仿宋" w:hAnsi="仿宋" w:eastAsia="仿宋"/>
          <w:b w:val="0"/>
        </w:rPr>
        <w:t>二、收</w:t>
      </w:r>
      <w:r>
        <w:rPr>
          <w:rStyle w:val="30"/>
          <w:rFonts w:hint="eastAsia" w:ascii="仿宋" w:hAnsi="仿宋" w:eastAsia="仿宋"/>
          <w:b w:val="0"/>
          <w:bCs w:val="0"/>
        </w:rPr>
        <w:t>入决算表</w:t>
      </w:r>
      <w:bookmarkEnd w:id="50"/>
    </w:p>
    <w:p>
      <w:pPr>
        <w:pStyle w:val="4"/>
        <w:rPr>
          <w:rFonts w:ascii="仿宋" w:hAnsi="仿宋" w:eastAsia="仿宋"/>
        </w:rPr>
      </w:pPr>
      <w:bookmarkStart w:id="51"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51"/>
    </w:p>
    <w:p>
      <w:pPr>
        <w:pStyle w:val="4"/>
        <w:rPr>
          <w:rFonts w:ascii="仿宋" w:hAnsi="仿宋" w:eastAsia="仿宋"/>
          <w:b w:val="0"/>
        </w:rPr>
      </w:pPr>
      <w:bookmarkStart w:id="52"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2"/>
    </w:p>
    <w:p>
      <w:pPr>
        <w:pStyle w:val="4"/>
        <w:rPr>
          <w:rStyle w:val="30"/>
          <w:rFonts w:ascii="仿宋" w:hAnsi="仿宋" w:eastAsia="仿宋"/>
          <w:b w:val="0"/>
          <w:bCs w:val="0"/>
        </w:rPr>
      </w:pPr>
      <w:bookmarkStart w:id="53"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3"/>
      <w:bookmarkStart w:id="54" w:name="_Toc15396624"/>
    </w:p>
    <w:p>
      <w:pPr>
        <w:pStyle w:val="4"/>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4"/>
    </w:p>
    <w:p>
      <w:pPr>
        <w:pStyle w:val="4"/>
        <w:rPr>
          <w:rFonts w:ascii="仿宋" w:hAnsi="仿宋" w:eastAsia="仿宋"/>
        </w:rPr>
      </w:pPr>
      <w:bookmarkStart w:id="55"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55"/>
    </w:p>
    <w:p>
      <w:pPr>
        <w:pStyle w:val="4"/>
        <w:rPr>
          <w:rFonts w:ascii="仿宋" w:hAnsi="仿宋" w:eastAsia="仿宋"/>
        </w:rPr>
      </w:pPr>
      <w:bookmarkStart w:id="56"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56"/>
    </w:p>
    <w:p>
      <w:pPr>
        <w:pStyle w:val="4"/>
        <w:rPr>
          <w:rFonts w:ascii="仿宋" w:hAnsi="仿宋" w:eastAsia="仿宋"/>
        </w:rPr>
      </w:pPr>
      <w:bookmarkStart w:id="57"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57"/>
    </w:p>
    <w:p>
      <w:pPr>
        <w:pStyle w:val="4"/>
        <w:rPr>
          <w:rFonts w:ascii="仿宋" w:hAnsi="仿宋" w:eastAsia="仿宋"/>
        </w:rPr>
      </w:pPr>
      <w:bookmarkStart w:id="58" w:name="_Toc15396628"/>
      <w:r>
        <w:rPr>
          <w:rStyle w:val="30"/>
          <w:rFonts w:hint="eastAsia" w:ascii="仿宋" w:hAnsi="仿宋" w:eastAsia="仿宋"/>
          <w:b w:val="0"/>
          <w:bCs w:val="0"/>
        </w:rPr>
        <w:t>十、</w:t>
      </w:r>
      <w:bookmarkEnd w:id="58"/>
      <w:r>
        <w:rPr>
          <w:rFonts w:hint="eastAsia" w:ascii="仿宋" w:hAnsi="仿宋" w:eastAsia="仿宋"/>
          <w:b w:val="0"/>
        </w:rPr>
        <w:t>政</w:t>
      </w:r>
      <w:r>
        <w:rPr>
          <w:rStyle w:val="30"/>
          <w:rFonts w:hint="eastAsia" w:ascii="仿宋" w:hAnsi="仿宋" w:eastAsia="仿宋"/>
          <w:b w:val="0"/>
          <w:bCs w:val="0"/>
        </w:rPr>
        <w:t>府性基金预算财政拨款收入支出决算表</w:t>
      </w:r>
    </w:p>
    <w:p>
      <w:pPr>
        <w:pStyle w:val="4"/>
        <w:rPr>
          <w:rFonts w:ascii="仿宋" w:hAnsi="仿宋" w:eastAsia="仿宋"/>
        </w:rPr>
      </w:pPr>
      <w:bookmarkStart w:id="59" w:name="_Toc15396629"/>
      <w:r>
        <w:rPr>
          <w:rStyle w:val="30"/>
          <w:rFonts w:hint="eastAsia" w:ascii="仿宋" w:hAnsi="仿宋" w:eastAsia="仿宋"/>
          <w:b w:val="0"/>
          <w:bCs w:val="0"/>
        </w:rPr>
        <w:t>十一、</w:t>
      </w:r>
      <w:bookmarkEnd w:id="59"/>
      <w:r>
        <w:rPr>
          <w:rFonts w:hint="eastAsia" w:ascii="仿宋" w:hAnsi="仿宋" w:eastAsia="仿宋"/>
          <w:b w:val="0"/>
        </w:rPr>
        <w:t>国</w:t>
      </w:r>
      <w:r>
        <w:rPr>
          <w:rStyle w:val="30"/>
          <w:rFonts w:hint="eastAsia" w:ascii="仿宋" w:hAnsi="仿宋" w:eastAsia="仿宋"/>
          <w:b w:val="0"/>
          <w:bCs w:val="0"/>
        </w:rPr>
        <w:t>有资本经营预算财政拨款收入支出决算表</w:t>
      </w:r>
    </w:p>
    <w:p>
      <w:pPr>
        <w:pStyle w:val="4"/>
        <w:rPr>
          <w:rFonts w:ascii="仿宋" w:hAnsi="仿宋" w:eastAsia="仿宋"/>
        </w:rPr>
      </w:pPr>
      <w:bookmarkStart w:id="60" w:name="_Toc15396630"/>
      <w:r>
        <w:rPr>
          <w:rStyle w:val="30"/>
          <w:rFonts w:hint="eastAsia" w:ascii="仿宋" w:hAnsi="仿宋" w:eastAsia="仿宋"/>
          <w:b w:val="0"/>
          <w:bCs w:val="0"/>
        </w:rPr>
        <w:t>十二、</w:t>
      </w:r>
      <w:bookmarkEnd w:id="60"/>
      <w:r>
        <w:rPr>
          <w:rStyle w:val="30"/>
          <w:rFonts w:hint="eastAsia" w:ascii="仿宋" w:hAnsi="仿宋" w:eastAsia="仿宋"/>
          <w:b w:val="0"/>
          <w:bCs w:val="0"/>
        </w:rPr>
        <w:t>国有资本经营预算财政拨款支出决算表</w:t>
      </w:r>
    </w:p>
    <w:p>
      <w:pPr>
        <w:pStyle w:val="4"/>
        <w:rPr>
          <w:rFonts w:eastAsia="仿宋"/>
        </w:rPr>
      </w:pPr>
      <w:bookmarkStart w:id="61" w:name="_Toc15396631"/>
      <w:r>
        <w:rPr>
          <w:rStyle w:val="30"/>
          <w:rFonts w:hint="eastAsia" w:ascii="仿宋" w:hAnsi="仿宋" w:eastAsia="仿宋"/>
          <w:b w:val="0"/>
          <w:bCs w:val="0"/>
        </w:rPr>
        <w:t>十三、</w:t>
      </w:r>
      <w:bookmarkEnd w:id="61"/>
      <w:r>
        <w:rPr>
          <w:rStyle w:val="30"/>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200D22"/>
    <w:multiLevelType w:val="singleLevel"/>
    <w:tmpl w:val="C1200D22"/>
    <w:lvl w:ilvl="0" w:tentative="0">
      <w:start w:val="2"/>
      <w:numFmt w:val="chineseCounting"/>
      <w:suff w:val="nothing"/>
      <w:lvlText w:val="（%1）"/>
      <w:lvlJc w:val="left"/>
      <w:rPr>
        <w:rFonts w:hint="eastAsia"/>
      </w:rPr>
    </w:lvl>
  </w:abstractNum>
  <w:abstractNum w:abstractNumId="1">
    <w:nsid w:val="C269815B"/>
    <w:multiLevelType w:val="singleLevel"/>
    <w:tmpl w:val="C269815B"/>
    <w:lvl w:ilvl="0" w:tentative="0">
      <w:start w:val="2"/>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B8FC5D5"/>
    <w:multiLevelType w:val="singleLevel"/>
    <w:tmpl w:val="5B8FC5D5"/>
    <w:lvl w:ilvl="0" w:tentative="0">
      <w:start w:val="2"/>
      <w:numFmt w:val="decimal"/>
      <w:suff w:val="nothing"/>
      <w:lvlText w:val="%1．"/>
      <w:lvlJc w:val="left"/>
      <w:pPr>
        <w:ind w:left="1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66E0107"/>
    <w:rsid w:val="078C55F0"/>
    <w:rsid w:val="07996F6E"/>
    <w:rsid w:val="080B2EA7"/>
    <w:rsid w:val="09EF5765"/>
    <w:rsid w:val="0A2032A3"/>
    <w:rsid w:val="0C7B02EA"/>
    <w:rsid w:val="0CF12E49"/>
    <w:rsid w:val="0F98263C"/>
    <w:rsid w:val="101860EC"/>
    <w:rsid w:val="10C055FF"/>
    <w:rsid w:val="118107EC"/>
    <w:rsid w:val="11E6296C"/>
    <w:rsid w:val="12DD4547"/>
    <w:rsid w:val="13052DC4"/>
    <w:rsid w:val="13077707"/>
    <w:rsid w:val="13D50BC4"/>
    <w:rsid w:val="16BB723D"/>
    <w:rsid w:val="1BE8440E"/>
    <w:rsid w:val="1D155CEE"/>
    <w:rsid w:val="1FF35744"/>
    <w:rsid w:val="23860B96"/>
    <w:rsid w:val="240371BF"/>
    <w:rsid w:val="29FD04D3"/>
    <w:rsid w:val="2C8A61B5"/>
    <w:rsid w:val="2DF04E50"/>
    <w:rsid w:val="2F040D46"/>
    <w:rsid w:val="30C41C11"/>
    <w:rsid w:val="319F7F4E"/>
    <w:rsid w:val="3304709D"/>
    <w:rsid w:val="34175A46"/>
    <w:rsid w:val="36AA5135"/>
    <w:rsid w:val="376D39B2"/>
    <w:rsid w:val="37E16F03"/>
    <w:rsid w:val="38D469F0"/>
    <w:rsid w:val="39221EEB"/>
    <w:rsid w:val="3D264F8E"/>
    <w:rsid w:val="3D98207C"/>
    <w:rsid w:val="3E05314D"/>
    <w:rsid w:val="3E78745D"/>
    <w:rsid w:val="44E268DA"/>
    <w:rsid w:val="485376AC"/>
    <w:rsid w:val="4A383B00"/>
    <w:rsid w:val="4A627F82"/>
    <w:rsid w:val="4B0E749A"/>
    <w:rsid w:val="4B4F25DA"/>
    <w:rsid w:val="4BE068DB"/>
    <w:rsid w:val="4CBD1D79"/>
    <w:rsid w:val="4D577224"/>
    <w:rsid w:val="4EAB630A"/>
    <w:rsid w:val="4ECE2238"/>
    <w:rsid w:val="4F871FB3"/>
    <w:rsid w:val="537E6D0A"/>
    <w:rsid w:val="58250A0E"/>
    <w:rsid w:val="5A0C4E48"/>
    <w:rsid w:val="5AF92295"/>
    <w:rsid w:val="5BF175E7"/>
    <w:rsid w:val="5CD71FC4"/>
    <w:rsid w:val="673401C3"/>
    <w:rsid w:val="6C4A05C8"/>
    <w:rsid w:val="6E23118A"/>
    <w:rsid w:val="6E7E3605"/>
    <w:rsid w:val="6FF5CC65"/>
    <w:rsid w:val="706305CE"/>
    <w:rsid w:val="70C17DB7"/>
    <w:rsid w:val="715C0E4B"/>
    <w:rsid w:val="720438FD"/>
    <w:rsid w:val="72734D90"/>
    <w:rsid w:val="72B43A2C"/>
    <w:rsid w:val="73AD73D5"/>
    <w:rsid w:val="73B6EB34"/>
    <w:rsid w:val="744731E5"/>
    <w:rsid w:val="76E3355F"/>
    <w:rsid w:val="778769C8"/>
    <w:rsid w:val="79EE5BA4"/>
    <w:rsid w:val="7A894339"/>
    <w:rsid w:val="7C2B2B2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0"/>
    <w:rPr>
      <w:rFonts w:ascii="Times New Roman" w:hAnsi="Times New Roman"/>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8"/>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3</TotalTime>
  <ScaleCrop>false</ScaleCrop>
  <LinksUpToDate>false</LinksUpToDate>
  <CharactersWithSpaces>7955</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蒋超</cp:lastModifiedBy>
  <cp:lastPrinted>2023-07-31T02:35:00Z</cp:lastPrinted>
  <dcterms:modified xsi:type="dcterms:W3CDTF">2023-11-30T02:06:24Z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A683B0ED30724B51AD6C64FBF4887DA3</vt:lpwstr>
  </property>
</Properties>
</file>