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84"/>
          <w:szCs w:val="84"/>
        </w:rPr>
      </w:pPr>
      <w:bookmarkStart w:id="0" w:name="_Toc15377193"/>
      <w:bookmarkStart w:id="1" w:name="_Toc15378441"/>
      <w:bookmarkStart w:id="2" w:name="_Toc15377425"/>
      <w:bookmarkStart w:id="3" w:name="_Toc15306267"/>
      <w:bookmarkStart w:id="4" w:name="_Toc15396597"/>
      <w:bookmarkStart w:id="5" w:name="_Toc15396475"/>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hint="eastAsia" w:ascii="方正小标宋简体" w:hAnsi="宋体" w:eastAsia="方正小标宋简体"/>
          <w:color w:val="000000"/>
          <w:sz w:val="52"/>
          <w:szCs w:val="52"/>
        </w:rPr>
      </w:pPr>
      <w:bookmarkStart w:id="6" w:name="_Toc17556"/>
      <w:bookmarkStart w:id="7" w:name="_Toc4428"/>
    </w:p>
    <w:p>
      <w:pPr>
        <w:adjustRightInd w:val="0"/>
        <w:snapToGrid w:val="0"/>
        <w:spacing w:line="360" w:lineRule="auto"/>
        <w:jc w:val="center"/>
        <w:outlineLvl w:val="0"/>
        <w:rPr>
          <w:rFonts w:hint="eastAsia" w:ascii="方正小标宋简体" w:hAnsi="宋体" w:eastAsia="方正小标宋简体"/>
          <w:color w:val="000000"/>
          <w:sz w:val="52"/>
          <w:szCs w:val="52"/>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方正小标宋简体" w:hAnsi="宋体" w:eastAsia="方正小标宋简体"/>
          <w:color w:val="000000"/>
          <w:sz w:val="52"/>
          <w:szCs w:val="52"/>
        </w:rPr>
      </w:pPr>
      <w:bookmarkStart w:id="8" w:name="_Toc31724"/>
      <w:r>
        <w:rPr>
          <w:rFonts w:hint="eastAsia" w:ascii="方正小标宋简体" w:hAnsi="宋体" w:eastAsia="方正小标宋简体"/>
          <w:color w:val="000000"/>
          <w:sz w:val="52"/>
          <w:szCs w:val="52"/>
          <w:lang w:val="en-US" w:eastAsia="zh-CN"/>
        </w:rPr>
        <w:t xml:space="preserve">  </w:t>
      </w:r>
      <w:r>
        <w:rPr>
          <w:rFonts w:hint="eastAsia" w:ascii="方正小标宋简体" w:hAnsi="宋体" w:eastAsia="方正小标宋简体"/>
          <w:color w:val="000000"/>
          <w:sz w:val="52"/>
          <w:szCs w:val="52"/>
        </w:rPr>
        <w:t>乐至县行政审批局</w:t>
      </w:r>
      <w:bookmarkEnd w:id="6"/>
      <w:bookmarkEnd w:id="7"/>
      <w:bookmarkEnd w:id="8"/>
    </w:p>
    <w:p>
      <w:pPr>
        <w:keepNext w:val="0"/>
        <w:keepLines w:val="0"/>
        <w:pageBreakBefore w:val="0"/>
        <w:widowControl w:val="0"/>
        <w:kinsoku/>
        <w:wordWrap/>
        <w:overflowPunct/>
        <w:topLinePunct w:val="0"/>
        <w:autoSpaceDE/>
        <w:autoSpaceDN/>
        <w:bidi w:val="0"/>
        <w:adjustRightInd w:val="0"/>
        <w:snapToGrid w:val="0"/>
        <w:spacing w:line="360" w:lineRule="auto"/>
        <w:ind w:firstLine="1560" w:firstLineChars="300"/>
        <w:jc w:val="both"/>
        <w:textAlignment w:val="auto"/>
        <w:outlineLvl w:val="9"/>
        <w:rPr>
          <w:rFonts w:hint="eastAsia" w:ascii="方正小标宋简体" w:hAnsi="宋体" w:eastAsia="方正小标宋简体"/>
          <w:color w:val="000000"/>
          <w:sz w:val="52"/>
          <w:szCs w:val="52"/>
          <w:lang w:eastAsia="zh-CN"/>
        </w:rPr>
      </w:pPr>
      <w:bookmarkStart w:id="9" w:name="_Toc12328"/>
      <w:bookmarkStart w:id="10" w:name="_Toc3175"/>
      <w:bookmarkStart w:id="11" w:name="_Toc9692"/>
      <w:r>
        <w:rPr>
          <w:rFonts w:hint="eastAsia" w:ascii="黑体" w:hAnsi="黑体" w:eastAsia="黑体"/>
          <w:color w:val="000000"/>
          <w:sz w:val="52"/>
          <w:szCs w:val="52"/>
        </w:rPr>
        <w:t>202</w:t>
      </w:r>
      <w:r>
        <w:rPr>
          <w:rFonts w:hint="eastAsia" w:ascii="黑体" w:hAnsi="黑体" w:eastAsia="黑体"/>
          <w:color w:val="000000"/>
          <w:sz w:val="52"/>
          <w:szCs w:val="52"/>
          <w:lang w:val="en-US" w:eastAsia="zh-CN"/>
        </w:rPr>
        <w:t>2</w:t>
      </w:r>
      <w:r>
        <w:rPr>
          <w:rFonts w:hint="eastAsia" w:ascii="方正小标宋简体" w:hAnsi="宋体" w:eastAsia="方正小标宋简体"/>
          <w:color w:val="000000"/>
          <w:sz w:val="52"/>
          <w:szCs w:val="52"/>
        </w:rPr>
        <w:t>年度决算</w:t>
      </w:r>
      <w:r>
        <w:rPr>
          <w:rFonts w:hint="eastAsia" w:ascii="方正小标宋简体" w:hAnsi="宋体" w:eastAsia="方正小标宋简体"/>
          <w:color w:val="000000"/>
          <w:sz w:val="52"/>
          <w:szCs w:val="52"/>
          <w:lang w:val="en-US" w:eastAsia="zh-CN"/>
        </w:rPr>
        <w:t>公开编制</w:t>
      </w:r>
      <w:r>
        <w:rPr>
          <w:rFonts w:hint="eastAsia" w:ascii="方正小标宋简体" w:hAnsi="宋体" w:eastAsia="方正小标宋简体"/>
          <w:color w:val="000000"/>
          <w:sz w:val="52"/>
          <w:szCs w:val="52"/>
        </w:rPr>
        <w:t>说明</w:t>
      </w:r>
      <w:bookmarkEnd w:id="9"/>
      <w:bookmarkEnd w:id="10"/>
      <w:bookmarkEnd w:id="11"/>
    </w:p>
    <w:bookmarkEnd w:id="0"/>
    <w:bookmarkEnd w:id="1"/>
    <w:bookmarkEnd w:id="2"/>
    <w:bookmarkEnd w:id="3"/>
    <w:bookmarkEnd w:id="4"/>
    <w:bookmarkEnd w:id="5"/>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widowControl/>
        <w:jc w:val="center"/>
        <w:rPr>
          <w:rFonts w:hint="eastAsia" w:ascii="黑体" w:hAnsi="黑体" w:eastAsia="黑体"/>
          <w:sz w:val="48"/>
          <w:szCs w:val="48"/>
        </w:rPr>
      </w:pPr>
    </w:p>
    <w:p>
      <w:pPr>
        <w:keepNext w:val="0"/>
        <w:keepLines w:val="0"/>
        <w:pageBreakBefore w:val="0"/>
        <w:widowControl/>
        <w:kinsoku/>
        <w:wordWrap/>
        <w:overflowPunct/>
        <w:topLinePunct w:val="0"/>
        <w:autoSpaceDE/>
        <w:autoSpaceDN/>
        <w:bidi w:val="0"/>
        <w:adjustRightInd/>
        <w:snapToGrid/>
        <w:jc w:val="both"/>
        <w:textAlignment w:val="auto"/>
        <w:rPr>
          <w:rFonts w:hint="eastAsia" w:ascii="黑体" w:hAnsi="黑体" w:eastAsia="黑体"/>
          <w:sz w:val="48"/>
          <w:szCs w:val="48"/>
        </w:rPr>
      </w:pPr>
    </w:p>
    <w:p>
      <w:pPr>
        <w:keepNext w:val="0"/>
        <w:keepLines w:val="0"/>
        <w:pageBreakBefore w:val="0"/>
        <w:widowControl/>
        <w:kinsoku/>
        <w:wordWrap/>
        <w:overflowPunct/>
        <w:topLinePunct w:val="0"/>
        <w:autoSpaceDE/>
        <w:autoSpaceDN/>
        <w:bidi w:val="0"/>
        <w:adjustRightInd/>
        <w:snapToGrid/>
        <w:ind w:firstLine="4320" w:firstLineChars="900"/>
        <w:jc w:val="both"/>
        <w:textAlignment w:val="auto"/>
        <w:rPr>
          <w:rFonts w:hint="eastAsia" w:ascii="黑体" w:hAnsi="黑体" w:eastAsia="黑体"/>
          <w:sz w:val="48"/>
          <w:szCs w:val="48"/>
        </w:rPr>
      </w:pPr>
      <w:r>
        <w:rPr>
          <w:rFonts w:hint="eastAsia" w:ascii="黑体" w:hAnsi="黑体" w:eastAsia="黑体"/>
          <w:sz w:val="48"/>
          <w:szCs w:val="48"/>
        </w:rPr>
        <w:t>目录</w:t>
      </w:r>
    </w:p>
    <w:p>
      <w:pPr>
        <w:pStyle w:val="2"/>
      </w:pPr>
    </w:p>
    <w:p>
      <w:pPr>
        <w:pStyle w:val="12"/>
        <w:tabs>
          <w:tab w:val="center" w:pos="4482"/>
          <w:tab w:val="left" w:pos="7878"/>
        </w:tabs>
        <w:ind w:firstLine="2249" w:firstLineChars="800"/>
        <w:jc w:val="left"/>
        <w:rPr>
          <w:rFonts w:hint="eastAsia" w:eastAsia="仿宋"/>
          <w:lang w:eastAsia="zh-CN"/>
        </w:rPr>
      </w:pPr>
      <w:r>
        <w:rPr>
          <w:rFonts w:hint="eastAsia"/>
          <w:b/>
          <w:bCs/>
        </w:rPr>
        <w:t>公开时间：2023年</w:t>
      </w:r>
      <w:r>
        <w:rPr>
          <w:rFonts w:hint="eastAsia"/>
          <w:b/>
          <w:bCs/>
          <w:lang w:val="en-US" w:eastAsia="zh-CN"/>
        </w:rPr>
        <w:t>10月19</w:t>
      </w:r>
      <w:r>
        <w:rPr>
          <w:rFonts w:hint="eastAsia"/>
          <w:b/>
          <w:bCs/>
        </w:rPr>
        <w:t>日</w:t>
      </w:r>
      <w:r>
        <w:rPr>
          <w:rFonts w:hint="eastAsia"/>
          <w:lang w:eastAsia="zh-CN"/>
        </w:rPr>
        <w:tab/>
      </w:r>
    </w:p>
    <w:p>
      <w:pPr>
        <w:tabs>
          <w:tab w:val="left" w:pos="6243"/>
        </w:tabs>
        <w:rPr>
          <w:rFonts w:hint="eastAsia" w:eastAsia="宋体"/>
          <w:lang w:eastAsia="zh-CN"/>
        </w:rPr>
      </w:pPr>
      <w:r>
        <w:rPr>
          <w:rFonts w:hint="eastAsia"/>
          <w:lang w:eastAsia="zh-CN"/>
        </w:rPr>
        <w:tab/>
      </w:r>
    </w:p>
    <w:sdt>
      <w:sdtPr>
        <w:rPr>
          <w:rFonts w:ascii="宋体" w:hAnsi="宋体" w:eastAsia="宋体" w:cs="Times New Roman"/>
          <w:kern w:val="2"/>
          <w:sz w:val="21"/>
          <w:szCs w:val="24"/>
          <w:lang w:val="en-US" w:eastAsia="zh-CN" w:bidi="ar-SA"/>
        </w:rPr>
        <w:id w:val="147458681"/>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845"/>
              <w:tab w:val="clear" w:pos="8296"/>
            </w:tabs>
            <w:jc w:val="both"/>
          </w:pPr>
          <w:r>
            <w:fldChar w:fldCharType="begin"/>
          </w:r>
          <w:r>
            <w:instrText xml:space="preserve">TOC \o "1-3" \h \u </w:instrText>
          </w:r>
          <w:r>
            <w:fldChar w:fldCharType="separate"/>
          </w:r>
          <w:r>
            <w:fldChar w:fldCharType="begin"/>
          </w:r>
          <w:r>
            <w:instrText xml:space="preserve"> HYPERLINK \l _Toc20451 </w:instrText>
          </w:r>
          <w:r>
            <w:fldChar w:fldCharType="separate"/>
          </w:r>
          <w:r>
            <w:rPr>
              <w:rFonts w:hint="eastAsia" w:ascii="黑体" w:hAnsi="黑体" w:eastAsia="黑体"/>
            </w:rPr>
            <w:t xml:space="preserve">第一部分 </w:t>
          </w:r>
          <w:r>
            <w:rPr>
              <w:rFonts w:hint="eastAsia" w:ascii="黑体" w:hAnsi="黑体" w:eastAsia="黑体"/>
              <w:bCs w:val="0"/>
            </w:rPr>
            <w:t>部门概况</w:t>
          </w:r>
          <w:r>
            <w:tab/>
          </w:r>
          <w:r>
            <w:rPr>
              <w:rFonts w:ascii="Times New Roman" w:hAnsi="Times New Roman" w:eastAsia="宋体" w:cs="Times New Roman"/>
              <w:kern w:val="2"/>
              <w:sz w:val="21"/>
              <w:szCs w:val="24"/>
              <w:lang w:val="en-US" w:eastAsia="zh-CN" w:bidi="ar-SA"/>
            </w:rPr>
            <w:fldChar w:fldCharType="begin"/>
          </w:r>
          <w:r>
            <w:rPr>
              <w:rFonts w:ascii="Times New Roman" w:hAnsi="Times New Roman" w:eastAsia="宋体" w:cs="Times New Roman"/>
              <w:kern w:val="2"/>
              <w:sz w:val="21"/>
              <w:szCs w:val="24"/>
              <w:lang w:val="en-US" w:eastAsia="zh-CN" w:bidi="ar-SA"/>
            </w:rPr>
            <w:instrText xml:space="preserve"> PAGEREF _Toc20451 \h </w:instrText>
          </w:r>
          <w:r>
            <w:rPr>
              <w:rFonts w:ascii="Times New Roman" w:hAnsi="Times New Roman" w:eastAsia="宋体" w:cs="Times New Roman"/>
              <w:kern w:val="2"/>
              <w:sz w:val="21"/>
              <w:szCs w:val="24"/>
              <w:lang w:val="en-US" w:eastAsia="zh-CN" w:bidi="ar-SA"/>
            </w:rPr>
            <w:fldChar w:fldCharType="separate"/>
          </w:r>
          <w:r>
            <w:rPr>
              <w:rFonts w:ascii="Times New Roman" w:hAnsi="Times New Roman" w:eastAsia="宋体" w:cs="Times New Roman"/>
              <w:kern w:val="2"/>
              <w:sz w:val="21"/>
              <w:szCs w:val="24"/>
              <w:lang w:val="en-US" w:eastAsia="zh-CN" w:bidi="ar-SA"/>
            </w:rPr>
            <w:t>4</w:t>
          </w:r>
          <w:r>
            <w:rPr>
              <w:rFonts w:ascii="Times New Roman" w:hAnsi="Times New Roman" w:eastAsia="宋体" w:cs="Times New Roman"/>
              <w:kern w:val="2"/>
              <w:sz w:val="21"/>
              <w:szCs w:val="24"/>
              <w:lang w:val="en-US" w:eastAsia="zh-CN" w:bidi="ar-SA"/>
            </w:rPr>
            <w:fldChar w:fldCharType="end"/>
          </w:r>
          <w:r>
            <w:fldChar w:fldCharType="end"/>
          </w:r>
        </w:p>
        <w:p>
          <w:pPr>
            <w:pStyle w:val="13"/>
            <w:tabs>
              <w:tab w:val="right" w:leader="dot" w:pos="8845"/>
              <w:tab w:val="clear" w:pos="8296"/>
            </w:tabs>
          </w:pPr>
          <w:r>
            <w:fldChar w:fldCharType="begin"/>
          </w:r>
          <w:r>
            <w:instrText xml:space="preserve"> HYPERLINK \l _Toc8757 </w:instrText>
          </w:r>
          <w:r>
            <w:fldChar w:fldCharType="separate"/>
          </w:r>
          <w:r>
            <w:rPr>
              <w:rFonts w:hint="eastAsia" w:ascii="黑体" w:hAnsi="黑体" w:eastAsia="黑体"/>
              <w:lang w:val="en-US" w:eastAsia="zh-CN"/>
            </w:rPr>
            <w:t>一、 部门职责</w:t>
          </w:r>
          <w:r>
            <w:tab/>
          </w:r>
          <w:r>
            <w:fldChar w:fldCharType="begin"/>
          </w:r>
          <w:r>
            <w:instrText xml:space="preserve"> PAGEREF _Toc8757 \h </w:instrText>
          </w:r>
          <w:r>
            <w:fldChar w:fldCharType="separate"/>
          </w:r>
          <w:r>
            <w:t>4</w:t>
          </w:r>
          <w:r>
            <w:fldChar w:fldCharType="end"/>
          </w:r>
          <w:r>
            <w:fldChar w:fldCharType="end"/>
          </w:r>
        </w:p>
        <w:p>
          <w:pPr>
            <w:pStyle w:val="13"/>
            <w:tabs>
              <w:tab w:val="right" w:leader="dot" w:pos="8845"/>
              <w:tab w:val="clear" w:pos="8296"/>
            </w:tabs>
          </w:pPr>
          <w:r>
            <w:fldChar w:fldCharType="begin"/>
          </w:r>
          <w:r>
            <w:instrText xml:space="preserve"> HYPERLINK \l _Toc14918 </w:instrText>
          </w:r>
          <w:r>
            <w:fldChar w:fldCharType="separate"/>
          </w:r>
          <w:r>
            <w:rPr>
              <w:rFonts w:hint="eastAsia" w:ascii="黑体" w:hAnsi="黑体" w:eastAsia="黑体"/>
              <w:bCs w:val="0"/>
            </w:rPr>
            <w:t xml:space="preserve">二、 </w:t>
          </w:r>
          <w:r>
            <w:rPr>
              <w:rFonts w:hint="eastAsia" w:ascii="黑体" w:hAnsi="黑体" w:eastAsia="黑体"/>
            </w:rPr>
            <w:t>机</w:t>
          </w:r>
          <w:r>
            <w:rPr>
              <w:rFonts w:hint="eastAsia" w:ascii="黑体" w:hAnsi="黑体" w:eastAsia="黑体"/>
              <w:bCs w:val="0"/>
            </w:rPr>
            <w:t>构设置</w:t>
          </w:r>
          <w:r>
            <w:tab/>
          </w:r>
          <w:r>
            <w:fldChar w:fldCharType="begin"/>
          </w:r>
          <w:r>
            <w:instrText xml:space="preserve"> PAGEREF _Toc14918 \h </w:instrText>
          </w:r>
          <w:r>
            <w:fldChar w:fldCharType="separate"/>
          </w:r>
          <w:r>
            <w:t>4</w:t>
          </w:r>
          <w:r>
            <w:fldChar w:fldCharType="end"/>
          </w:r>
          <w:r>
            <w:fldChar w:fldCharType="end"/>
          </w:r>
        </w:p>
        <w:p>
          <w:pPr>
            <w:pStyle w:val="12"/>
            <w:tabs>
              <w:tab w:val="right" w:leader="dot" w:pos="8845"/>
              <w:tab w:val="clear" w:pos="8296"/>
            </w:tabs>
          </w:pPr>
          <w:r>
            <w:fldChar w:fldCharType="begin"/>
          </w:r>
          <w:r>
            <w:instrText xml:space="preserve"> HYPERLINK \l _Toc8658 </w:instrText>
          </w:r>
          <w:r>
            <w:fldChar w:fldCharType="separate"/>
          </w:r>
          <w:r>
            <w:rPr>
              <w:rFonts w:hint="eastAsia" w:ascii="黑体" w:hAnsi="黑体" w:eastAsia="黑体"/>
            </w:rPr>
            <w:t>第二部分 2022年度</w:t>
          </w:r>
          <w:r>
            <w:rPr>
              <w:rFonts w:hint="eastAsia" w:ascii="黑体" w:hAnsi="黑体" w:eastAsia="黑体"/>
              <w:bCs/>
            </w:rPr>
            <w:t>部门决算情况说明</w:t>
          </w:r>
          <w:r>
            <w:tab/>
          </w:r>
          <w:r>
            <w:rPr>
              <w:rFonts w:ascii="Times New Roman" w:hAnsi="Times New Roman" w:eastAsia="宋体" w:cs="Times New Roman"/>
              <w:kern w:val="2"/>
              <w:sz w:val="21"/>
              <w:szCs w:val="24"/>
              <w:lang w:val="en-US" w:eastAsia="zh-CN" w:bidi="ar-SA"/>
            </w:rPr>
            <w:fldChar w:fldCharType="begin"/>
          </w:r>
          <w:r>
            <w:rPr>
              <w:rFonts w:ascii="Times New Roman" w:hAnsi="Times New Roman" w:eastAsia="宋体" w:cs="Times New Roman"/>
              <w:kern w:val="2"/>
              <w:sz w:val="21"/>
              <w:szCs w:val="24"/>
              <w:lang w:val="en-US" w:eastAsia="zh-CN" w:bidi="ar-SA"/>
            </w:rPr>
            <w:instrText xml:space="preserve"> PAGEREF _Toc8658 \h </w:instrText>
          </w:r>
          <w:r>
            <w:rPr>
              <w:rFonts w:ascii="Times New Roman" w:hAnsi="Times New Roman" w:eastAsia="宋体" w:cs="Times New Roman"/>
              <w:kern w:val="2"/>
              <w:sz w:val="21"/>
              <w:szCs w:val="24"/>
              <w:lang w:val="en-US" w:eastAsia="zh-CN" w:bidi="ar-SA"/>
            </w:rPr>
            <w:fldChar w:fldCharType="separate"/>
          </w:r>
          <w:r>
            <w:rPr>
              <w:rFonts w:ascii="Times New Roman" w:hAnsi="Times New Roman" w:eastAsia="宋体" w:cs="Times New Roman"/>
              <w:kern w:val="2"/>
              <w:sz w:val="21"/>
              <w:szCs w:val="24"/>
              <w:lang w:val="en-US" w:eastAsia="zh-CN" w:bidi="ar-SA"/>
            </w:rPr>
            <w:t>5</w:t>
          </w:r>
          <w:r>
            <w:rPr>
              <w:rFonts w:ascii="Times New Roman" w:hAnsi="Times New Roman" w:eastAsia="宋体" w:cs="Times New Roman"/>
              <w:kern w:val="2"/>
              <w:sz w:val="21"/>
              <w:szCs w:val="24"/>
              <w:lang w:val="en-US" w:eastAsia="zh-CN" w:bidi="ar-SA"/>
            </w:rPr>
            <w:fldChar w:fldCharType="end"/>
          </w:r>
          <w:r>
            <w:fldChar w:fldCharType="end"/>
          </w:r>
        </w:p>
        <w:p>
          <w:pPr>
            <w:pStyle w:val="13"/>
            <w:tabs>
              <w:tab w:val="right" w:leader="dot" w:pos="8845"/>
              <w:tab w:val="clear" w:pos="8296"/>
            </w:tabs>
          </w:pPr>
          <w:r>
            <w:fldChar w:fldCharType="begin"/>
          </w:r>
          <w:r>
            <w:instrText xml:space="preserve"> HYPERLINK \l _Toc711 </w:instrText>
          </w:r>
          <w:r>
            <w:fldChar w:fldCharType="separate"/>
          </w:r>
          <w:r>
            <w:rPr>
              <w:rFonts w:hint="eastAsia" w:ascii="黑体" w:hAnsi="黑体" w:eastAsia="黑体"/>
              <w:szCs w:val="32"/>
              <w:lang w:val="en-US" w:eastAsia="zh-CN"/>
            </w:rPr>
            <w:t>一、</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_Toc711 \h </w:instrText>
          </w:r>
          <w:r>
            <w:fldChar w:fldCharType="separate"/>
          </w:r>
          <w:r>
            <w:t>5</w:t>
          </w:r>
          <w:r>
            <w:fldChar w:fldCharType="end"/>
          </w:r>
          <w:r>
            <w:fldChar w:fldCharType="end"/>
          </w:r>
        </w:p>
        <w:p>
          <w:pPr>
            <w:pStyle w:val="13"/>
            <w:tabs>
              <w:tab w:val="right" w:leader="dot" w:pos="8845"/>
              <w:tab w:val="clear" w:pos="8296"/>
            </w:tabs>
          </w:pPr>
          <w:r>
            <w:fldChar w:fldCharType="begin"/>
          </w:r>
          <w:r>
            <w:instrText xml:space="preserve"> HYPERLINK \l _Toc29193 </w:instrText>
          </w:r>
          <w:r>
            <w:fldChar w:fldCharType="separate"/>
          </w:r>
          <w:r>
            <w:rPr>
              <w:rFonts w:hint="eastAsia" w:ascii="黑体" w:hAnsi="黑体" w:eastAsia="黑体"/>
              <w:szCs w:val="32"/>
              <w:lang w:val="en-US" w:eastAsia="zh-CN"/>
            </w:rPr>
            <w:t>二、</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_Toc29193 \h </w:instrText>
          </w:r>
          <w:r>
            <w:fldChar w:fldCharType="separate"/>
          </w:r>
          <w:r>
            <w:t>5</w:t>
          </w:r>
          <w:r>
            <w:fldChar w:fldCharType="end"/>
          </w:r>
          <w:r>
            <w:fldChar w:fldCharType="end"/>
          </w:r>
        </w:p>
        <w:p>
          <w:pPr>
            <w:pStyle w:val="13"/>
            <w:tabs>
              <w:tab w:val="right" w:leader="dot" w:pos="8845"/>
              <w:tab w:val="clear" w:pos="8296"/>
            </w:tabs>
          </w:pPr>
          <w:r>
            <w:fldChar w:fldCharType="begin"/>
          </w:r>
          <w:r>
            <w:instrText xml:space="preserve"> HYPERLINK \l _Toc343 </w:instrText>
          </w:r>
          <w:r>
            <w:fldChar w:fldCharType="separate"/>
          </w:r>
          <w:r>
            <w:rPr>
              <w:rFonts w:hint="eastAsia" w:ascii="黑体" w:hAnsi="黑体" w:eastAsia="黑体"/>
              <w:szCs w:val="32"/>
              <w:lang w:val="en-US" w:eastAsia="zh-CN"/>
            </w:rPr>
            <w:t>三、</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_Toc343 \h </w:instrText>
          </w:r>
          <w:r>
            <w:fldChar w:fldCharType="separate"/>
          </w:r>
          <w:r>
            <w:t>6</w:t>
          </w:r>
          <w:r>
            <w:fldChar w:fldCharType="end"/>
          </w:r>
          <w:r>
            <w:fldChar w:fldCharType="end"/>
          </w:r>
        </w:p>
        <w:p>
          <w:pPr>
            <w:pStyle w:val="13"/>
            <w:tabs>
              <w:tab w:val="right" w:leader="dot" w:pos="8845"/>
              <w:tab w:val="clear" w:pos="8296"/>
            </w:tabs>
          </w:pPr>
          <w:r>
            <w:fldChar w:fldCharType="begin"/>
          </w:r>
          <w:r>
            <w:instrText xml:space="preserve"> HYPERLINK \l _Toc6996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_Toc6996 \h </w:instrText>
          </w:r>
          <w:r>
            <w:fldChar w:fldCharType="separate"/>
          </w:r>
          <w:r>
            <w:t>7</w:t>
          </w:r>
          <w:r>
            <w:fldChar w:fldCharType="end"/>
          </w:r>
          <w:r>
            <w:fldChar w:fldCharType="end"/>
          </w:r>
        </w:p>
        <w:p>
          <w:pPr>
            <w:pStyle w:val="13"/>
            <w:tabs>
              <w:tab w:val="right" w:leader="dot" w:pos="8845"/>
              <w:tab w:val="clear" w:pos="8296"/>
            </w:tabs>
          </w:pPr>
          <w:r>
            <w:fldChar w:fldCharType="begin"/>
          </w:r>
          <w:r>
            <w:instrText xml:space="preserve"> HYPERLINK \l _Toc23119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_Toc23119 \h </w:instrText>
          </w:r>
          <w:r>
            <w:fldChar w:fldCharType="separate"/>
          </w:r>
          <w:r>
            <w:t>8</w:t>
          </w:r>
          <w:r>
            <w:fldChar w:fldCharType="end"/>
          </w:r>
          <w:r>
            <w:fldChar w:fldCharType="end"/>
          </w:r>
        </w:p>
        <w:p>
          <w:pPr>
            <w:pStyle w:val="13"/>
            <w:tabs>
              <w:tab w:val="right" w:leader="dot" w:pos="8845"/>
              <w:tab w:val="clear" w:pos="8296"/>
            </w:tabs>
          </w:pPr>
          <w:r>
            <w:fldChar w:fldCharType="begin"/>
          </w:r>
          <w:r>
            <w:instrText xml:space="preserve"> HYPERLINK \l _Toc30008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_Toc30008 \h </w:instrText>
          </w:r>
          <w:r>
            <w:fldChar w:fldCharType="separate"/>
          </w:r>
          <w:r>
            <w:t>11</w:t>
          </w:r>
          <w:r>
            <w:fldChar w:fldCharType="end"/>
          </w:r>
          <w:r>
            <w:fldChar w:fldCharType="end"/>
          </w:r>
        </w:p>
        <w:p>
          <w:pPr>
            <w:pStyle w:val="13"/>
            <w:tabs>
              <w:tab w:val="right" w:leader="dot" w:pos="8845"/>
              <w:tab w:val="clear" w:pos="8296"/>
            </w:tabs>
          </w:pPr>
          <w:r>
            <w:fldChar w:fldCharType="begin"/>
          </w:r>
          <w:r>
            <w:instrText xml:space="preserve"> HYPERLINK \l _Toc27929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_Toc27929 \h </w:instrText>
          </w:r>
          <w:r>
            <w:fldChar w:fldCharType="separate"/>
          </w:r>
          <w:r>
            <w:t>11</w:t>
          </w:r>
          <w:r>
            <w:fldChar w:fldCharType="end"/>
          </w:r>
          <w:r>
            <w:fldChar w:fldCharType="end"/>
          </w:r>
        </w:p>
        <w:p>
          <w:pPr>
            <w:pStyle w:val="13"/>
            <w:tabs>
              <w:tab w:val="right" w:leader="dot" w:pos="8845"/>
              <w:tab w:val="clear" w:pos="8296"/>
            </w:tabs>
          </w:pPr>
          <w:r>
            <w:fldChar w:fldCharType="begin"/>
          </w:r>
          <w:r>
            <w:instrText xml:space="preserve"> HYPERLINK \l _Toc26295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_Toc26295 \h </w:instrText>
          </w:r>
          <w:r>
            <w:fldChar w:fldCharType="separate"/>
          </w:r>
          <w:r>
            <w:t>13</w:t>
          </w:r>
          <w:r>
            <w:fldChar w:fldCharType="end"/>
          </w:r>
          <w:r>
            <w:fldChar w:fldCharType="end"/>
          </w:r>
        </w:p>
        <w:p>
          <w:pPr>
            <w:pStyle w:val="13"/>
            <w:tabs>
              <w:tab w:val="right" w:leader="dot" w:pos="8845"/>
              <w:tab w:val="clear" w:pos="8296"/>
            </w:tabs>
          </w:pPr>
          <w:r>
            <w:fldChar w:fldCharType="begin"/>
          </w:r>
          <w:r>
            <w:instrText xml:space="preserve"> HYPERLINK \l _Toc6095 </w:instrText>
          </w:r>
          <w:r>
            <w:fldChar w:fldCharType="separate"/>
          </w:r>
          <w:r>
            <w:rPr>
              <w:rFonts w:hint="eastAsia" w:ascii="黑体" w:hAnsi="黑体" w:eastAsia="黑体"/>
            </w:rPr>
            <w:t>九、 国有资本经营预算支出决算情况说明</w:t>
          </w:r>
          <w:r>
            <w:tab/>
          </w:r>
          <w:r>
            <w:fldChar w:fldCharType="begin"/>
          </w:r>
          <w:r>
            <w:instrText xml:space="preserve"> PAGEREF _Toc6095 \h </w:instrText>
          </w:r>
          <w:r>
            <w:fldChar w:fldCharType="separate"/>
          </w:r>
          <w:r>
            <w:t>13</w:t>
          </w:r>
          <w:r>
            <w:fldChar w:fldCharType="end"/>
          </w:r>
          <w:r>
            <w:fldChar w:fldCharType="end"/>
          </w:r>
        </w:p>
        <w:p>
          <w:pPr>
            <w:pStyle w:val="13"/>
            <w:tabs>
              <w:tab w:val="right" w:leader="dot" w:pos="8845"/>
              <w:tab w:val="clear" w:pos="8296"/>
            </w:tabs>
          </w:pPr>
          <w:r>
            <w:fldChar w:fldCharType="begin"/>
          </w:r>
          <w:r>
            <w:instrText xml:space="preserve"> HYPERLINK \l _Toc3212 </w:instrText>
          </w:r>
          <w:r>
            <w:fldChar w:fldCharType="separate"/>
          </w:r>
          <w:r>
            <w:rPr>
              <w:rFonts w:hint="eastAsia" w:ascii="黑体" w:hAnsi="黑体" w:eastAsia="黑体"/>
              <w:lang w:val="en-US" w:eastAsia="zh-CN"/>
            </w:rPr>
            <w:t>十、</w:t>
          </w:r>
          <w:r>
            <w:rPr>
              <w:rFonts w:hint="eastAsia" w:ascii="黑体" w:hAnsi="黑体" w:eastAsia="黑体"/>
            </w:rPr>
            <w:t>其他重要事项的情况说明</w:t>
          </w:r>
          <w:r>
            <w:tab/>
          </w:r>
          <w:r>
            <w:fldChar w:fldCharType="begin"/>
          </w:r>
          <w:r>
            <w:instrText xml:space="preserve"> PAGEREF _Toc3212 \h </w:instrText>
          </w:r>
          <w:r>
            <w:fldChar w:fldCharType="separate"/>
          </w:r>
          <w:r>
            <w:t>13</w:t>
          </w:r>
          <w:r>
            <w:fldChar w:fldCharType="end"/>
          </w:r>
          <w:r>
            <w:fldChar w:fldCharType="end"/>
          </w:r>
        </w:p>
        <w:p>
          <w:pPr>
            <w:pStyle w:val="12"/>
            <w:tabs>
              <w:tab w:val="right" w:leader="dot" w:pos="8845"/>
              <w:tab w:val="clear" w:pos="8296"/>
            </w:tabs>
          </w:pPr>
          <w:r>
            <w:fldChar w:fldCharType="begin"/>
          </w:r>
          <w:r>
            <w:instrText xml:space="preserve"> HYPERLINK \l _Toc31144 </w:instrText>
          </w:r>
          <w:r>
            <w:fldChar w:fldCharType="separate"/>
          </w:r>
          <w:r>
            <w:rPr>
              <w:rFonts w:hint="eastAsia" w:ascii="黑体" w:hAnsi="黑体" w:eastAsia="黑体"/>
            </w:rPr>
            <w:t xml:space="preserve">第三部分 </w:t>
          </w:r>
          <w:r>
            <w:rPr>
              <w:rFonts w:hint="eastAsia" w:ascii="黑体" w:hAnsi="黑体" w:eastAsia="黑体"/>
              <w:szCs w:val="44"/>
            </w:rPr>
            <w:t>名</w:t>
          </w:r>
          <w:r>
            <w:rPr>
              <w:rFonts w:hint="eastAsia" w:ascii="黑体" w:hAnsi="黑体" w:eastAsia="黑体"/>
            </w:rPr>
            <w:t>词解释</w:t>
          </w:r>
          <w:r>
            <w:tab/>
          </w:r>
          <w:r>
            <w:rPr>
              <w:rFonts w:ascii="Times New Roman" w:hAnsi="Times New Roman" w:eastAsia="宋体" w:cs="Times New Roman"/>
              <w:kern w:val="2"/>
              <w:sz w:val="21"/>
              <w:szCs w:val="24"/>
              <w:lang w:val="en-US" w:eastAsia="zh-CN" w:bidi="ar-SA"/>
            </w:rPr>
            <w:fldChar w:fldCharType="begin"/>
          </w:r>
          <w:r>
            <w:rPr>
              <w:rFonts w:ascii="Times New Roman" w:hAnsi="Times New Roman" w:eastAsia="宋体" w:cs="Times New Roman"/>
              <w:kern w:val="2"/>
              <w:sz w:val="21"/>
              <w:szCs w:val="24"/>
              <w:lang w:val="en-US" w:eastAsia="zh-CN" w:bidi="ar-SA"/>
            </w:rPr>
            <w:instrText xml:space="preserve"> PAGEREF _Toc31144 \h </w:instrText>
          </w:r>
          <w:r>
            <w:rPr>
              <w:rFonts w:ascii="Times New Roman" w:hAnsi="Times New Roman" w:eastAsia="宋体" w:cs="Times New Roman"/>
              <w:kern w:val="2"/>
              <w:sz w:val="21"/>
              <w:szCs w:val="24"/>
              <w:lang w:val="en-US" w:eastAsia="zh-CN" w:bidi="ar-SA"/>
            </w:rPr>
            <w:fldChar w:fldCharType="separate"/>
          </w:r>
          <w:r>
            <w:rPr>
              <w:rFonts w:ascii="Times New Roman" w:hAnsi="Times New Roman" w:eastAsia="宋体" w:cs="Times New Roman"/>
              <w:kern w:val="2"/>
              <w:sz w:val="21"/>
              <w:szCs w:val="24"/>
              <w:lang w:val="en-US" w:eastAsia="zh-CN" w:bidi="ar-SA"/>
            </w:rPr>
            <w:t>16</w:t>
          </w:r>
          <w:r>
            <w:rPr>
              <w:rFonts w:ascii="Times New Roman" w:hAnsi="Times New Roman" w:eastAsia="宋体" w:cs="Times New Roman"/>
              <w:kern w:val="2"/>
              <w:sz w:val="21"/>
              <w:szCs w:val="24"/>
              <w:lang w:val="en-US" w:eastAsia="zh-CN" w:bidi="ar-SA"/>
            </w:rPr>
            <w:fldChar w:fldCharType="end"/>
          </w:r>
          <w:r>
            <w:fldChar w:fldCharType="end"/>
          </w:r>
        </w:p>
        <w:p>
          <w:pPr>
            <w:pStyle w:val="12"/>
            <w:tabs>
              <w:tab w:val="right" w:leader="dot" w:pos="8845"/>
              <w:tab w:val="clear" w:pos="8296"/>
            </w:tabs>
          </w:pPr>
          <w:r>
            <w:fldChar w:fldCharType="begin"/>
          </w:r>
          <w:r>
            <w:instrText xml:space="preserve"> HYPERLINK \l _Toc27857 </w:instrText>
          </w:r>
          <w:r>
            <w:fldChar w:fldCharType="separate"/>
          </w:r>
          <w:r>
            <w:rPr>
              <w:rFonts w:hint="eastAsia" w:ascii="黑体" w:hAnsi="黑体" w:eastAsia="黑体"/>
            </w:rPr>
            <w:t>第四部分 附件</w:t>
          </w:r>
          <w:r>
            <w:tab/>
          </w:r>
          <w:r>
            <w:rPr>
              <w:rFonts w:ascii="Times New Roman" w:hAnsi="Times New Roman" w:eastAsia="宋体" w:cs="Times New Roman"/>
              <w:kern w:val="2"/>
              <w:sz w:val="21"/>
              <w:szCs w:val="24"/>
              <w:lang w:val="en-US" w:eastAsia="zh-CN" w:bidi="ar-SA"/>
            </w:rPr>
            <w:fldChar w:fldCharType="begin"/>
          </w:r>
          <w:r>
            <w:rPr>
              <w:rFonts w:ascii="Times New Roman" w:hAnsi="Times New Roman" w:eastAsia="宋体" w:cs="Times New Roman"/>
              <w:kern w:val="2"/>
              <w:sz w:val="21"/>
              <w:szCs w:val="24"/>
              <w:lang w:val="en-US" w:eastAsia="zh-CN" w:bidi="ar-SA"/>
            </w:rPr>
            <w:instrText xml:space="preserve"> PAGEREF _Toc27857 \h </w:instrText>
          </w:r>
          <w:r>
            <w:rPr>
              <w:rFonts w:ascii="Times New Roman" w:hAnsi="Times New Roman" w:eastAsia="宋体" w:cs="Times New Roman"/>
              <w:kern w:val="2"/>
              <w:sz w:val="21"/>
              <w:szCs w:val="24"/>
              <w:lang w:val="en-US" w:eastAsia="zh-CN" w:bidi="ar-SA"/>
            </w:rPr>
            <w:fldChar w:fldCharType="separate"/>
          </w:r>
          <w:r>
            <w:rPr>
              <w:rFonts w:ascii="Times New Roman" w:hAnsi="Times New Roman" w:eastAsia="宋体" w:cs="Times New Roman"/>
              <w:kern w:val="2"/>
              <w:sz w:val="21"/>
              <w:szCs w:val="24"/>
              <w:lang w:val="en-US" w:eastAsia="zh-CN" w:bidi="ar-SA"/>
            </w:rPr>
            <w:t>19</w:t>
          </w:r>
          <w:r>
            <w:rPr>
              <w:rFonts w:ascii="Times New Roman" w:hAnsi="Times New Roman" w:eastAsia="宋体" w:cs="Times New Roman"/>
              <w:kern w:val="2"/>
              <w:sz w:val="21"/>
              <w:szCs w:val="24"/>
              <w:lang w:val="en-US" w:eastAsia="zh-CN" w:bidi="ar-SA"/>
            </w:rPr>
            <w:fldChar w:fldCharType="end"/>
          </w:r>
          <w:r>
            <w:fldChar w:fldCharType="end"/>
          </w:r>
        </w:p>
        <w:p>
          <w:pPr>
            <w:pStyle w:val="12"/>
            <w:tabs>
              <w:tab w:val="right" w:leader="dot" w:pos="8845"/>
              <w:tab w:val="clear" w:pos="8296"/>
            </w:tabs>
            <w:rPr>
              <w:rFonts w:hint="eastAsia" w:eastAsia="仿宋"/>
              <w:lang w:val="en-US" w:eastAsia="zh-CN"/>
            </w:rPr>
          </w:pPr>
          <w:r>
            <w:rPr>
              <w:rFonts w:ascii="Times New Roman" w:hAnsi="Times New Roman" w:eastAsia="宋体" w:cs="Times New Roman"/>
              <w:kern w:val="2"/>
              <w:sz w:val="21"/>
              <w:szCs w:val="24"/>
              <w:lang w:val="en-US" w:eastAsia="zh-CN" w:bidi="ar-SA"/>
            </w:rPr>
            <w:fldChar w:fldCharType="begin"/>
          </w:r>
          <w:r>
            <w:rPr>
              <w:rFonts w:ascii="Times New Roman" w:hAnsi="Times New Roman" w:eastAsia="宋体" w:cs="Times New Roman"/>
              <w:kern w:val="2"/>
              <w:sz w:val="21"/>
              <w:szCs w:val="24"/>
              <w:lang w:val="en-US" w:eastAsia="zh-CN" w:bidi="ar-SA"/>
            </w:rPr>
            <w:instrText xml:space="preserve"> HYPERLINK \l _Toc13698 </w:instrText>
          </w:r>
          <w:r>
            <w:rPr>
              <w:rFonts w:ascii="Times New Roman" w:hAnsi="Times New Roman" w:eastAsia="宋体" w:cs="Times New Roman"/>
              <w:kern w:val="2"/>
              <w:sz w:val="21"/>
              <w:szCs w:val="24"/>
              <w:lang w:val="en-US" w:eastAsia="zh-CN" w:bidi="ar-SA"/>
            </w:rPr>
            <w:fldChar w:fldCharType="separate"/>
          </w:r>
          <w:r>
            <w:rPr>
              <w:rFonts w:hint="eastAsia" w:ascii="黑体" w:hAnsi="黑体" w:eastAsia="黑体"/>
              <w:lang w:val="en-US" w:eastAsia="zh-CN"/>
            </w:rPr>
            <w:t>第五部分 附表</w:t>
          </w:r>
          <w:r>
            <w:rPr>
              <w:rFonts w:ascii="Times New Roman" w:hAnsi="Times New Roman" w:eastAsia="宋体" w:cs="Times New Roman"/>
              <w:kern w:val="2"/>
              <w:sz w:val="21"/>
              <w:szCs w:val="24"/>
              <w:lang w:val="en-US" w:eastAsia="zh-CN" w:bidi="ar-SA"/>
            </w:rPr>
            <w:tab/>
          </w:r>
          <w:r>
            <w:rPr>
              <w:rFonts w:hint="eastAsia" w:ascii="Times New Roman" w:hAnsi="Times New Roman" w:eastAsia="宋体" w:cs="Times New Roman"/>
              <w:kern w:val="2"/>
              <w:sz w:val="21"/>
              <w:szCs w:val="24"/>
              <w:lang w:val="en-US" w:eastAsia="zh-CN" w:bidi="ar-SA"/>
            </w:rPr>
            <w:t>6</w:t>
          </w:r>
          <w:r>
            <w:rPr>
              <w:rFonts w:ascii="Times New Roman" w:hAnsi="Times New Roman" w:eastAsia="宋体" w:cs="Times New Roman"/>
              <w:kern w:val="2"/>
              <w:sz w:val="21"/>
              <w:szCs w:val="24"/>
              <w:lang w:val="en-US" w:eastAsia="zh-CN" w:bidi="ar-SA"/>
            </w:rPr>
            <w:fldChar w:fldCharType="end"/>
          </w:r>
          <w:r>
            <w:rPr>
              <w:rFonts w:hint="eastAsia" w:ascii="Times New Roman" w:hAnsi="Times New Roman" w:eastAsia="宋体" w:cs="Times New Roman"/>
              <w:kern w:val="2"/>
              <w:sz w:val="21"/>
              <w:szCs w:val="24"/>
              <w:lang w:val="en-US" w:eastAsia="zh-CN" w:bidi="ar-SA"/>
            </w:rPr>
            <w:t>8</w:t>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_Toc31687 </w:instrText>
          </w:r>
          <w:r>
            <w:rPr>
              <w:rFonts w:hint="eastAsia" w:ascii="黑体" w:hAnsi="黑体" w:eastAsia="黑体"/>
              <w:szCs w:val="32"/>
            </w:rPr>
            <w:fldChar w:fldCharType="separate"/>
          </w:r>
          <w:r>
            <w:rPr>
              <w:rFonts w:hint="eastAsia" w:ascii="黑体" w:hAnsi="黑体" w:eastAsia="黑体"/>
              <w:szCs w:val="32"/>
            </w:rPr>
            <w:t>一、收入支出决算总表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_Toc31687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_Toc6321 </w:instrText>
          </w:r>
          <w:r>
            <w:rPr>
              <w:rFonts w:hint="eastAsia" w:ascii="黑体" w:hAnsi="黑体" w:eastAsia="黑体"/>
              <w:szCs w:val="32"/>
            </w:rPr>
            <w:fldChar w:fldCharType="separate"/>
          </w:r>
          <w:r>
            <w:rPr>
              <w:rFonts w:hint="eastAsia" w:ascii="黑体" w:hAnsi="黑体" w:eastAsia="黑体"/>
              <w:szCs w:val="32"/>
            </w:rPr>
            <w:t>二、收入决算表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_Toc6321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_Toc21879 </w:instrText>
          </w:r>
          <w:r>
            <w:rPr>
              <w:rFonts w:hint="eastAsia" w:ascii="黑体" w:hAnsi="黑体" w:eastAsia="黑体"/>
              <w:szCs w:val="32"/>
            </w:rPr>
            <w:fldChar w:fldCharType="separate"/>
          </w:r>
          <w:r>
            <w:rPr>
              <w:rFonts w:hint="eastAsia" w:ascii="黑体" w:hAnsi="黑体" w:eastAsia="黑体"/>
              <w:szCs w:val="32"/>
            </w:rPr>
            <w:t>三、支出决算表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_Toc21879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_Toc31876 </w:instrText>
          </w:r>
          <w:r>
            <w:rPr>
              <w:rFonts w:hint="eastAsia" w:ascii="黑体" w:hAnsi="黑体" w:eastAsia="黑体"/>
              <w:szCs w:val="32"/>
            </w:rPr>
            <w:fldChar w:fldCharType="separate"/>
          </w:r>
          <w:r>
            <w:rPr>
              <w:rFonts w:hint="eastAsia" w:ascii="黑体" w:hAnsi="黑体" w:eastAsia="黑体"/>
              <w:szCs w:val="32"/>
            </w:rPr>
            <w:t>四、财政拨款收入支出决算总表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_Toc31876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_Toc26476 </w:instrText>
          </w:r>
          <w:r>
            <w:rPr>
              <w:rFonts w:hint="eastAsia" w:ascii="黑体" w:hAnsi="黑体" w:eastAsia="黑体"/>
              <w:szCs w:val="32"/>
            </w:rPr>
            <w:fldChar w:fldCharType="separate"/>
          </w:r>
          <w:r>
            <w:rPr>
              <w:rFonts w:hint="eastAsia" w:ascii="黑体" w:hAnsi="黑体" w:eastAsia="黑体"/>
              <w:szCs w:val="32"/>
            </w:rPr>
            <w:t>五、财政拨款支出决算明细表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_Toc26476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_Toc24056 </w:instrText>
          </w:r>
          <w:r>
            <w:rPr>
              <w:rFonts w:hint="eastAsia" w:ascii="黑体" w:hAnsi="黑体" w:eastAsia="黑体"/>
              <w:szCs w:val="32"/>
            </w:rPr>
            <w:fldChar w:fldCharType="separate"/>
          </w:r>
          <w:r>
            <w:rPr>
              <w:rFonts w:hint="eastAsia" w:ascii="黑体" w:hAnsi="黑体" w:eastAsia="黑体"/>
              <w:szCs w:val="32"/>
            </w:rPr>
            <w:t>六、一般公共预算财政拨款支出决算表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_Toc24056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_Toc3645 </w:instrText>
          </w:r>
          <w:r>
            <w:rPr>
              <w:rFonts w:hint="eastAsia" w:ascii="黑体" w:hAnsi="黑体" w:eastAsia="黑体"/>
              <w:szCs w:val="32"/>
            </w:rPr>
            <w:fldChar w:fldCharType="separate"/>
          </w:r>
          <w:r>
            <w:rPr>
              <w:rFonts w:hint="eastAsia" w:ascii="黑体" w:hAnsi="黑体" w:eastAsia="黑体"/>
              <w:szCs w:val="32"/>
            </w:rPr>
            <w:t>七、一般公共预算财政拨款支出决算明细表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_Toc3645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_Toc21669 </w:instrText>
          </w:r>
          <w:r>
            <w:rPr>
              <w:rFonts w:hint="eastAsia" w:ascii="黑体" w:hAnsi="黑体" w:eastAsia="黑体"/>
              <w:szCs w:val="32"/>
            </w:rPr>
            <w:fldChar w:fldCharType="separate"/>
          </w:r>
          <w:r>
            <w:rPr>
              <w:rFonts w:hint="eastAsia" w:ascii="黑体" w:hAnsi="黑体" w:eastAsia="黑体"/>
              <w:szCs w:val="32"/>
            </w:rPr>
            <w:t>八、一般公共预算财政拨款基本支出决算表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_Toc21669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_Toc758 </w:instrText>
          </w:r>
          <w:r>
            <w:rPr>
              <w:rFonts w:hint="eastAsia" w:ascii="黑体" w:hAnsi="黑体" w:eastAsia="黑体"/>
              <w:szCs w:val="32"/>
            </w:rPr>
            <w:fldChar w:fldCharType="separate"/>
          </w:r>
          <w:r>
            <w:rPr>
              <w:rFonts w:hint="eastAsia" w:ascii="黑体" w:hAnsi="黑体" w:eastAsia="黑体"/>
              <w:szCs w:val="32"/>
            </w:rPr>
            <w:t>九、一般公共预算财政拨款项目支出决算表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_Toc758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_Toc7643 </w:instrText>
          </w:r>
          <w:r>
            <w:rPr>
              <w:rFonts w:hint="eastAsia" w:ascii="黑体" w:hAnsi="黑体" w:eastAsia="黑体"/>
              <w:szCs w:val="32"/>
            </w:rPr>
            <w:fldChar w:fldCharType="separate"/>
          </w:r>
          <w:r>
            <w:rPr>
              <w:rFonts w:hint="eastAsia" w:ascii="黑体" w:hAnsi="黑体" w:eastAsia="黑体"/>
              <w:szCs w:val="32"/>
            </w:rPr>
            <w:t>十、政府性基金预算财政拨款收入支出决算表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_Toc7643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_Toc7249 </w:instrText>
          </w:r>
          <w:r>
            <w:rPr>
              <w:rFonts w:hint="eastAsia" w:ascii="黑体" w:hAnsi="黑体" w:eastAsia="黑体"/>
              <w:szCs w:val="32"/>
            </w:rPr>
            <w:fldChar w:fldCharType="separate"/>
          </w:r>
          <w:r>
            <w:rPr>
              <w:rFonts w:hint="eastAsia" w:ascii="黑体" w:hAnsi="黑体" w:eastAsia="黑体"/>
              <w:szCs w:val="32"/>
            </w:rPr>
            <w:t>十一、国有资本经营预算财政拨款收入支出决算表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_Toc7249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_Toc12652 </w:instrText>
          </w:r>
          <w:r>
            <w:rPr>
              <w:rFonts w:hint="eastAsia" w:ascii="黑体" w:hAnsi="黑体" w:eastAsia="黑体"/>
              <w:szCs w:val="32"/>
            </w:rPr>
            <w:fldChar w:fldCharType="separate"/>
          </w:r>
          <w:r>
            <w:rPr>
              <w:rFonts w:hint="eastAsia" w:ascii="黑体" w:hAnsi="黑体" w:eastAsia="黑体"/>
              <w:szCs w:val="32"/>
            </w:rPr>
            <w:t>十二、国有资本经营预算财政拨款支出决算表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_Toc12652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pPr>
            <w:pStyle w:val="13"/>
            <w:tabs>
              <w:tab w:val="right" w:leader="dot" w:pos="8845"/>
              <w:tab w:val="clear" w:pos="8296"/>
            </w:tabs>
            <w:rPr>
              <w:rFonts w:hint="eastAsia" w:ascii="黑体" w:hAnsi="黑体" w:eastAsia="黑体"/>
              <w:szCs w:val="32"/>
            </w:rPr>
          </w:pPr>
          <w:r>
            <w:rPr>
              <w:rFonts w:hint="eastAsia" w:ascii="黑体" w:hAnsi="黑体" w:eastAsia="黑体"/>
              <w:szCs w:val="32"/>
            </w:rPr>
            <w:fldChar w:fldCharType="begin"/>
          </w:r>
          <w:r>
            <w:rPr>
              <w:rFonts w:hint="eastAsia" w:ascii="黑体" w:hAnsi="黑体" w:eastAsia="黑体"/>
              <w:szCs w:val="32"/>
            </w:rPr>
            <w:instrText xml:space="preserve"> HYPERLINK \l _Toc1751 </w:instrText>
          </w:r>
          <w:r>
            <w:rPr>
              <w:rFonts w:hint="eastAsia" w:ascii="黑体" w:hAnsi="黑体" w:eastAsia="黑体"/>
              <w:szCs w:val="32"/>
            </w:rPr>
            <w:fldChar w:fldCharType="separate"/>
          </w:r>
          <w:r>
            <w:rPr>
              <w:rFonts w:hint="eastAsia" w:ascii="黑体" w:hAnsi="黑体" w:eastAsia="黑体"/>
              <w:szCs w:val="32"/>
            </w:rPr>
            <w:t>十三、财政拨款“三公”经费支出决算表</w:t>
          </w:r>
          <w:r>
            <w:rPr>
              <w:rFonts w:hint="eastAsia" w:ascii="黑体" w:hAnsi="黑体" w:eastAsia="黑体"/>
              <w:szCs w:val="32"/>
            </w:rPr>
            <w:tab/>
          </w:r>
          <w:r>
            <w:rPr>
              <w:rFonts w:hint="eastAsia" w:ascii="黑体" w:hAnsi="黑体" w:eastAsia="黑体"/>
              <w:szCs w:val="32"/>
            </w:rPr>
            <w:fldChar w:fldCharType="begin"/>
          </w:r>
          <w:r>
            <w:rPr>
              <w:rFonts w:hint="eastAsia" w:ascii="黑体" w:hAnsi="黑体" w:eastAsia="黑体"/>
              <w:szCs w:val="32"/>
            </w:rPr>
            <w:instrText xml:space="preserve"> PAGEREF _Toc1751 \h </w:instrText>
          </w:r>
          <w:r>
            <w:rPr>
              <w:rFonts w:hint="eastAsia" w:ascii="黑体" w:hAnsi="黑体" w:eastAsia="黑体"/>
              <w:szCs w:val="32"/>
            </w:rPr>
            <w:fldChar w:fldCharType="separate"/>
          </w:r>
          <w:r>
            <w:rPr>
              <w:rFonts w:hint="eastAsia" w:ascii="黑体" w:hAnsi="黑体" w:eastAsia="黑体"/>
              <w:szCs w:val="32"/>
            </w:rPr>
            <w:t>68</w:t>
          </w:r>
          <w:r>
            <w:rPr>
              <w:rFonts w:hint="eastAsia" w:ascii="黑体" w:hAnsi="黑体" w:eastAsia="黑体"/>
              <w:szCs w:val="32"/>
            </w:rPr>
            <w:fldChar w:fldCharType="end"/>
          </w:r>
          <w:r>
            <w:rPr>
              <w:rFonts w:hint="eastAsia" w:ascii="黑体" w:hAnsi="黑体" w:eastAsia="黑体"/>
              <w:szCs w:val="32"/>
            </w:rPr>
            <w:fldChar w:fldCharType="end"/>
          </w:r>
        </w:p>
        <w:p>
          <w:r>
            <w:fldChar w:fldCharType="end"/>
          </w:r>
        </w:p>
        <w:p/>
        <w:p/>
        <w:p/>
        <w:p/>
        <w:p/>
        <w:p/>
        <w:p/>
        <w:p/>
        <w:p/>
        <w:p/>
        <w:p/>
        <w:p/>
        <w:p/>
        <w:p/>
        <w:p>
          <w:bookmarkStart w:id="12" w:name="_Toc20451"/>
        </w:p>
      </w:sdtContent>
    </w:sdt>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rPr>
          <w:rFonts w:hint="eastAsia" w:ascii="黑体" w:hAnsi="黑体" w:eastAsia="黑体"/>
          <w:b w:val="0"/>
        </w:rPr>
      </w:pPr>
    </w:p>
    <w:p>
      <w:pPr>
        <w:ind w:firstLine="2200" w:firstLineChars="500"/>
        <w:rPr>
          <w:rFonts w:hint="eastAsia" w:ascii="黑体" w:hAnsi="黑体" w:eastAsia="黑体" w:cs="Times New Roman"/>
          <w:b w:val="0"/>
          <w:bCs/>
          <w:kern w:val="44"/>
          <w:sz w:val="44"/>
          <w:szCs w:val="44"/>
          <w:lang w:val="en-US" w:eastAsia="zh-CN" w:bidi="ar-SA"/>
        </w:rPr>
      </w:pPr>
      <w:r>
        <w:rPr>
          <w:rFonts w:hint="eastAsia" w:ascii="黑体" w:hAnsi="黑体" w:eastAsia="黑体" w:cs="Times New Roman"/>
          <w:b w:val="0"/>
          <w:bCs/>
          <w:kern w:val="44"/>
          <w:sz w:val="44"/>
          <w:szCs w:val="44"/>
          <w:lang w:val="en-US" w:eastAsia="zh-CN" w:bidi="ar-SA"/>
        </w:rPr>
        <w:t>第一部分 部门概况</w:t>
      </w:r>
      <w:bookmarkEnd w:id="12"/>
    </w:p>
    <w:p>
      <w:pPr>
        <w:pStyle w:val="4"/>
        <w:pageBreakBefore w:val="0"/>
        <w:widowControl w:val="0"/>
        <w:numPr>
          <w:ilvl w:val="0"/>
          <w:numId w:val="0"/>
        </w:numPr>
        <w:kinsoku/>
        <w:wordWrap/>
        <w:overflowPunct/>
        <w:topLinePunct w:val="0"/>
        <w:autoSpaceDE/>
        <w:autoSpaceDN/>
        <w:bidi w:val="0"/>
        <w:adjustRightInd/>
        <w:snapToGrid/>
        <w:spacing w:line="600" w:lineRule="exact"/>
        <w:ind w:firstLine="358" w:firstLineChars="112"/>
        <w:textAlignment w:val="auto"/>
        <w:rPr>
          <w:rFonts w:hint="eastAsia" w:ascii="黑体" w:hAnsi="黑体" w:eastAsia="黑体"/>
          <w:b w:val="0"/>
          <w:lang w:val="en-US" w:eastAsia="zh-CN"/>
        </w:rPr>
      </w:pPr>
      <w:bookmarkStart w:id="13" w:name="_Toc8757"/>
      <w:r>
        <w:rPr>
          <w:rFonts w:hint="eastAsia" w:ascii="黑体" w:hAnsi="黑体" w:eastAsia="黑体"/>
          <w:b w:val="0"/>
          <w:lang w:val="en-US" w:eastAsia="zh-CN"/>
        </w:rPr>
        <w:t>一、 部门职责</w:t>
      </w:r>
      <w:bookmarkEnd w:id="13"/>
    </w:p>
    <w:p>
      <w:pPr>
        <w:pStyle w:val="4"/>
        <w:pageBreakBefore w:val="0"/>
        <w:widowControl w:val="0"/>
        <w:numPr>
          <w:ilvl w:val="0"/>
          <w:numId w:val="0"/>
        </w:numPr>
        <w:kinsoku/>
        <w:wordWrap/>
        <w:overflowPunct/>
        <w:topLinePunct w:val="0"/>
        <w:autoSpaceDE/>
        <w:autoSpaceDN/>
        <w:bidi w:val="0"/>
        <w:adjustRightInd/>
        <w:snapToGrid/>
        <w:spacing w:line="600" w:lineRule="exact"/>
        <w:ind w:firstLine="675" w:firstLineChars="211"/>
        <w:textAlignment w:val="auto"/>
        <w:rPr>
          <w:rFonts w:hint="eastAsia" w:ascii="仿宋_GB2312" w:hAnsi="仿宋_GB2312" w:eastAsia="仿宋_GB2312" w:cs="仿宋_GB2312"/>
          <w:b w:val="0"/>
          <w:bCs w:val="0"/>
          <w:kern w:val="2"/>
          <w:sz w:val="32"/>
          <w:szCs w:val="32"/>
          <w:lang w:val="en-US" w:eastAsia="zh-CN" w:bidi="ar-SA"/>
        </w:rPr>
      </w:pPr>
      <w:bookmarkStart w:id="14" w:name="_Toc4461"/>
      <w:bookmarkStart w:id="15" w:name="_Toc25339"/>
      <w:r>
        <w:rPr>
          <w:rFonts w:hint="eastAsia" w:ascii="仿宋_GB2312" w:hAnsi="仿宋_GB2312" w:eastAsia="仿宋_GB2312" w:cs="仿宋_GB2312"/>
          <w:b w:val="0"/>
          <w:bCs w:val="0"/>
          <w:kern w:val="2"/>
          <w:sz w:val="32"/>
          <w:szCs w:val="32"/>
          <w:lang w:val="en-US" w:eastAsia="zh-CN" w:bidi="ar-SA"/>
        </w:rPr>
        <w:t>依据《中共乐至县委机构编制委员会关于明确县行政审批局有关机构编制事项的通知》（乐委编发【2020】50号）文件规定，我局职责调整为：</w:t>
      </w:r>
      <w:bookmarkEnd w:id="14"/>
      <w:bookmarkEnd w:id="15"/>
    </w:p>
    <w:p>
      <w:pPr>
        <w:pStyle w:val="4"/>
        <w:pageBreakBefore w:val="0"/>
        <w:widowControl w:val="0"/>
        <w:numPr>
          <w:ilvl w:val="0"/>
          <w:numId w:val="0"/>
        </w:numPr>
        <w:kinsoku/>
        <w:wordWrap/>
        <w:overflowPunct/>
        <w:topLinePunct w:val="0"/>
        <w:autoSpaceDE/>
        <w:autoSpaceDN/>
        <w:bidi w:val="0"/>
        <w:adjustRightInd/>
        <w:snapToGrid/>
        <w:spacing w:line="600" w:lineRule="exact"/>
        <w:ind w:firstLine="675" w:firstLineChars="211"/>
        <w:textAlignment w:val="auto"/>
        <w:rPr>
          <w:rFonts w:hint="eastAsia" w:ascii="仿宋_GB2312" w:hAnsi="仿宋_GB2312" w:eastAsia="仿宋_GB2312" w:cs="仿宋_GB2312"/>
          <w:b w:val="0"/>
          <w:bCs w:val="0"/>
          <w:kern w:val="2"/>
          <w:sz w:val="32"/>
          <w:szCs w:val="32"/>
          <w:lang w:val="en-US" w:eastAsia="zh-CN" w:bidi="ar-SA"/>
        </w:rPr>
      </w:pPr>
      <w:bookmarkStart w:id="16" w:name="_Toc8936"/>
      <w:bookmarkStart w:id="17" w:name="_Toc30348"/>
      <w:r>
        <w:rPr>
          <w:rFonts w:hint="eastAsia" w:ascii="仿宋_GB2312" w:hAnsi="仿宋_GB2312" w:eastAsia="仿宋_GB2312" w:cs="仿宋_GB2312"/>
          <w:b w:val="0"/>
          <w:bCs w:val="0"/>
          <w:kern w:val="2"/>
          <w:sz w:val="32"/>
          <w:szCs w:val="32"/>
          <w:lang w:val="en-US" w:eastAsia="zh-CN" w:bidi="ar-SA"/>
        </w:rPr>
        <w:t>⑴原县人民政府政务服务中心的行政职责划入县行政审批局。</w:t>
      </w:r>
      <w:bookmarkEnd w:id="16"/>
      <w:bookmarkEnd w:id="17"/>
    </w:p>
    <w:p>
      <w:pPr>
        <w:pageBreakBefore w:val="0"/>
        <w:widowControl w:val="0"/>
        <w:kinsoku/>
        <w:wordWrap/>
        <w:overflowPunct/>
        <w:topLinePunct w:val="0"/>
        <w:autoSpaceDE/>
        <w:autoSpaceDN/>
        <w:bidi w:val="0"/>
        <w:adjustRightInd/>
        <w:snapToGrid/>
        <w:spacing w:line="600" w:lineRule="exact"/>
        <w:ind w:firstLine="675" w:firstLineChars="211"/>
        <w:textAlignment w:val="auto"/>
        <w:outlineLvl w:val="1"/>
        <w:rPr>
          <w:rFonts w:hint="eastAsia" w:ascii="仿宋_GB2312" w:hAnsi="仿宋_GB2312" w:eastAsia="仿宋_GB2312" w:cs="仿宋_GB2312"/>
          <w:sz w:val="32"/>
          <w:szCs w:val="32"/>
          <w:lang w:val="en-US" w:eastAsia="zh-CN"/>
        </w:rPr>
      </w:pPr>
      <w:bookmarkStart w:id="18" w:name="_Toc8216"/>
      <w:bookmarkStart w:id="19" w:name="_Toc2695"/>
      <w:r>
        <w:rPr>
          <w:rFonts w:hint="eastAsia" w:ascii="仿宋_GB2312" w:hAnsi="仿宋_GB2312" w:eastAsia="仿宋_GB2312" w:cs="仿宋_GB2312"/>
          <w:sz w:val="32"/>
          <w:szCs w:val="32"/>
          <w:lang w:val="en-US" w:eastAsia="zh-CN"/>
        </w:rPr>
        <w:t>⑵县编办承担的指导、协调、监督并推进全县深化行政审批制度改革工作职责划入县行政审批局。</w:t>
      </w:r>
      <w:bookmarkEnd w:id="18"/>
      <w:bookmarkEnd w:id="19"/>
    </w:p>
    <w:p>
      <w:pPr>
        <w:pageBreakBefore w:val="0"/>
        <w:widowControl w:val="0"/>
        <w:kinsoku/>
        <w:wordWrap/>
        <w:overflowPunct/>
        <w:topLinePunct w:val="0"/>
        <w:autoSpaceDE/>
        <w:autoSpaceDN/>
        <w:bidi w:val="0"/>
        <w:adjustRightInd/>
        <w:snapToGrid/>
        <w:spacing w:line="600" w:lineRule="exact"/>
        <w:ind w:firstLine="675" w:firstLineChars="211"/>
        <w:textAlignment w:val="auto"/>
        <w:outlineLvl w:val="1"/>
        <w:rPr>
          <w:rFonts w:hint="eastAsia" w:ascii="仿宋_GB2312" w:hAnsi="仿宋_GB2312" w:eastAsia="仿宋_GB2312" w:cs="仿宋_GB2312"/>
          <w:sz w:val="32"/>
          <w:szCs w:val="32"/>
          <w:lang w:val="en-US" w:eastAsia="zh-CN"/>
        </w:rPr>
      </w:pPr>
      <w:bookmarkStart w:id="20" w:name="_Toc12352"/>
      <w:bookmarkStart w:id="21" w:name="_Toc26255"/>
      <w:r>
        <w:rPr>
          <w:rFonts w:hint="eastAsia" w:ascii="仿宋_GB2312" w:hAnsi="仿宋_GB2312" w:eastAsia="仿宋_GB2312" w:cs="仿宋_GB2312"/>
          <w:sz w:val="32"/>
          <w:szCs w:val="32"/>
          <w:lang w:val="en-US" w:eastAsia="zh-CN"/>
        </w:rPr>
        <w:t>⑶相关部门的行政审批职责，按上级有关改革部署，逐步划入县行政审批局。</w:t>
      </w:r>
      <w:bookmarkEnd w:id="20"/>
      <w:bookmarkEnd w:id="21"/>
    </w:p>
    <w:p>
      <w:pPr>
        <w:pStyle w:val="4"/>
        <w:pageBreakBefore w:val="0"/>
        <w:widowControl w:val="0"/>
        <w:numPr>
          <w:ilvl w:val="0"/>
          <w:numId w:val="1"/>
        </w:numPr>
        <w:kinsoku/>
        <w:wordWrap/>
        <w:overflowPunct/>
        <w:topLinePunct w:val="0"/>
        <w:autoSpaceDE/>
        <w:autoSpaceDN/>
        <w:bidi w:val="0"/>
        <w:adjustRightInd/>
        <w:snapToGrid/>
        <w:spacing w:line="600" w:lineRule="exact"/>
        <w:ind w:firstLine="358" w:firstLineChars="112"/>
        <w:textAlignment w:val="auto"/>
        <w:rPr>
          <w:rStyle w:val="30"/>
          <w:rFonts w:hint="eastAsia" w:ascii="黑体" w:hAnsi="黑体" w:eastAsia="黑体"/>
          <w:b w:val="0"/>
          <w:bCs w:val="0"/>
        </w:rPr>
      </w:pPr>
      <w:bookmarkStart w:id="22" w:name="_Toc15377200"/>
      <w:bookmarkStart w:id="23" w:name="_Toc14918"/>
      <w:bookmarkStart w:id="24" w:name="_Toc15396601"/>
      <w:r>
        <w:rPr>
          <w:rFonts w:hint="eastAsia" w:ascii="黑体" w:hAnsi="黑体" w:eastAsia="黑体"/>
          <w:b w:val="0"/>
        </w:rPr>
        <w:t>机</w:t>
      </w:r>
      <w:r>
        <w:rPr>
          <w:rStyle w:val="30"/>
          <w:rFonts w:hint="eastAsia" w:ascii="黑体" w:hAnsi="黑体" w:eastAsia="黑体"/>
          <w:b w:val="0"/>
          <w:bCs w:val="0"/>
        </w:rPr>
        <w:t>构设置</w:t>
      </w:r>
      <w:bookmarkEnd w:id="22"/>
      <w:bookmarkEnd w:id="23"/>
      <w:bookmarkEnd w:id="24"/>
    </w:p>
    <w:p>
      <w:pPr>
        <w:pageBreakBefore w:val="0"/>
        <w:widowControl w:val="0"/>
        <w:kinsoku/>
        <w:wordWrap/>
        <w:overflowPunct/>
        <w:topLinePunct w:val="0"/>
        <w:autoSpaceDE/>
        <w:autoSpaceDN/>
        <w:bidi w:val="0"/>
        <w:adjustRightInd/>
        <w:snapToGrid/>
        <w:spacing w:line="600" w:lineRule="exact"/>
        <w:ind w:firstLine="358" w:firstLineChars="112"/>
        <w:textAlignment w:val="auto"/>
        <w:outlineLvl w:val="1"/>
        <w:rPr>
          <w:rFonts w:hint="eastAsia" w:ascii="仿宋_GB2312" w:hAnsi="仿宋_GB2312" w:eastAsia="仿宋_GB2312" w:cs="仿宋_GB2312"/>
          <w:sz w:val="32"/>
          <w:szCs w:val="32"/>
          <w:lang w:val="en-US" w:eastAsia="zh-CN"/>
        </w:rPr>
      </w:pPr>
      <w:bookmarkStart w:id="25" w:name="_Toc26171"/>
      <w:bookmarkStart w:id="26" w:name="_Toc9237"/>
      <w:r>
        <w:rPr>
          <w:rFonts w:hint="eastAsia" w:ascii="仿宋_GB2312" w:hAnsi="仿宋_GB2312" w:eastAsia="仿宋_GB2312" w:cs="仿宋_GB2312"/>
          <w:sz w:val="32"/>
          <w:szCs w:val="32"/>
          <w:lang w:val="en-US" w:eastAsia="zh-CN"/>
        </w:rPr>
        <w:t>乐至县行政审批局（本级）是直属县政府管理的一级预算行政单位。内设综合股、督察股、项目办3个股室。</w:t>
      </w:r>
      <w:bookmarkEnd w:id="25"/>
      <w:bookmarkEnd w:id="26"/>
    </w:p>
    <w:p>
      <w:pPr>
        <w:pageBreakBefore w:val="0"/>
        <w:widowControl w:val="0"/>
        <w:kinsoku/>
        <w:wordWrap/>
        <w:overflowPunct/>
        <w:topLinePunct w:val="0"/>
        <w:autoSpaceDE/>
        <w:autoSpaceDN/>
        <w:bidi w:val="0"/>
        <w:adjustRightInd/>
        <w:snapToGrid/>
        <w:spacing w:line="600" w:lineRule="exact"/>
        <w:ind w:firstLine="358" w:firstLineChars="112"/>
        <w:textAlignment w:val="auto"/>
        <w:outlineLvl w:val="1"/>
        <w:rPr>
          <w:rFonts w:hint="eastAsia" w:ascii="仿宋_GB2312" w:hAnsi="仿宋_GB2312" w:eastAsia="仿宋_GB2312" w:cs="仿宋_GB2312"/>
          <w:sz w:val="32"/>
          <w:szCs w:val="32"/>
          <w:lang w:val="en-US" w:eastAsia="zh-CN"/>
        </w:rPr>
      </w:pPr>
      <w:bookmarkStart w:id="27" w:name="_Toc7481"/>
      <w:bookmarkStart w:id="28" w:name="_Toc22460"/>
      <w:r>
        <w:rPr>
          <w:rFonts w:hint="eastAsia" w:ascii="仿宋_GB2312" w:hAnsi="仿宋_GB2312" w:eastAsia="仿宋_GB2312" w:cs="仿宋_GB2312"/>
          <w:sz w:val="32"/>
          <w:szCs w:val="32"/>
          <w:lang w:val="en-US" w:eastAsia="zh-CN"/>
        </w:rPr>
        <w:t>乐至县行政审批局总编制8名，其中：局长1名，副局长2名；内设机构3个，中层职数3名。实有在职在岗职工8名，实有退休职工3名。</w:t>
      </w:r>
      <w:bookmarkEnd w:id="27"/>
      <w:bookmarkEnd w:id="28"/>
    </w:p>
    <w:p>
      <w:pPr>
        <w:pageBreakBefore w:val="0"/>
        <w:widowControl w:val="0"/>
        <w:kinsoku/>
        <w:wordWrap/>
        <w:overflowPunct/>
        <w:topLinePunct w:val="0"/>
        <w:autoSpaceDE/>
        <w:autoSpaceDN/>
        <w:bidi w:val="0"/>
        <w:adjustRightInd/>
        <w:snapToGrid/>
        <w:spacing w:line="600" w:lineRule="exact"/>
        <w:ind w:firstLine="358" w:firstLineChars="112"/>
        <w:textAlignment w:val="auto"/>
        <w:outlineLvl w:val="1"/>
      </w:pPr>
      <w:bookmarkStart w:id="29" w:name="_Toc25471"/>
      <w:bookmarkStart w:id="30" w:name="_Toc8973"/>
      <w:r>
        <w:rPr>
          <w:rFonts w:hint="eastAsia" w:ascii="仿宋_GB2312" w:hAnsi="仿宋_GB2312" w:eastAsia="仿宋_GB2312" w:cs="仿宋_GB2312"/>
          <w:sz w:val="32"/>
          <w:szCs w:val="32"/>
          <w:lang w:val="en-US" w:eastAsia="zh-CN"/>
        </w:rPr>
        <w:t>下属二级独立核算事业单位1个。</w:t>
      </w:r>
      <w:bookmarkEnd w:id="29"/>
      <w:bookmarkEnd w:id="30"/>
    </w:p>
    <w:p>
      <w:pPr>
        <w:pStyle w:val="3"/>
        <w:ind w:right="440"/>
        <w:jc w:val="center"/>
        <w:rPr>
          <w:rStyle w:val="29"/>
          <w:rFonts w:ascii="黑体" w:hAnsi="黑体" w:eastAsia="黑体"/>
          <w:b w:val="0"/>
          <w:bCs/>
        </w:rPr>
      </w:pPr>
      <w:bookmarkStart w:id="31" w:name="_Toc8658"/>
      <w:bookmarkStart w:id="32" w:name="_Toc15377204"/>
      <w:bookmarkStart w:id="33" w:name="_Toc15396602"/>
      <w:r>
        <w:rPr>
          <w:rFonts w:hint="eastAsia" w:ascii="黑体" w:hAnsi="黑体" w:eastAsia="黑体"/>
          <w:b w:val="0"/>
        </w:rPr>
        <w:t>第二部分 2022年度</w:t>
      </w:r>
      <w:r>
        <w:rPr>
          <w:rStyle w:val="29"/>
          <w:rFonts w:hint="eastAsia" w:ascii="黑体" w:hAnsi="黑体" w:eastAsia="黑体"/>
          <w:b w:val="0"/>
          <w:bCs/>
        </w:rPr>
        <w:t>部门决算情况说明</w:t>
      </w:r>
      <w:bookmarkEnd w:id="31"/>
      <w:bookmarkEnd w:id="32"/>
      <w:bookmarkEnd w:id="33"/>
    </w:p>
    <w:p>
      <w:pPr>
        <w:pStyle w:val="28"/>
        <w:numPr>
          <w:ilvl w:val="0"/>
          <w:numId w:val="0"/>
        </w:numPr>
        <w:spacing w:line="600" w:lineRule="exact"/>
        <w:ind w:firstLine="640" w:firstLineChars="200"/>
        <w:outlineLvl w:val="1"/>
        <w:rPr>
          <w:rStyle w:val="30"/>
          <w:rFonts w:ascii="黑体" w:hAnsi="黑体" w:eastAsia="黑体"/>
          <w:b w:val="0"/>
        </w:rPr>
      </w:pPr>
      <w:bookmarkStart w:id="34" w:name="_Toc15377205"/>
      <w:bookmarkStart w:id="35" w:name="_Toc711"/>
      <w:bookmarkStart w:id="36" w:name="_Toc15396603"/>
      <w:r>
        <w:rPr>
          <w:rFonts w:hint="eastAsia" w:ascii="黑体" w:hAnsi="黑体" w:eastAsia="黑体"/>
          <w:sz w:val="32"/>
          <w:szCs w:val="32"/>
          <w:lang w:val="en-US" w:eastAsia="zh-CN"/>
        </w:rPr>
        <w:t>一、</w:t>
      </w:r>
      <w:r>
        <w:rPr>
          <w:rFonts w:hint="eastAsia" w:ascii="黑体" w:hAnsi="黑体" w:eastAsia="黑体"/>
          <w:sz w:val="32"/>
          <w:szCs w:val="32"/>
        </w:rPr>
        <w:t>收</w:t>
      </w:r>
      <w:r>
        <w:rPr>
          <w:rStyle w:val="30"/>
          <w:rFonts w:hint="eastAsia" w:ascii="黑体" w:hAnsi="黑体" w:eastAsia="黑体"/>
          <w:b w:val="0"/>
        </w:rPr>
        <w:t>入支出决算总体情况说明</w:t>
      </w:r>
      <w:bookmarkEnd w:id="34"/>
      <w:bookmarkEnd w:id="35"/>
      <w:bookmarkEnd w:id="36"/>
    </w:p>
    <w:p>
      <w:pPr>
        <w:spacing w:line="600" w:lineRule="exact"/>
        <w:ind w:firstLine="640" w:firstLineChars="200"/>
        <w:outlineLvl w:val="1"/>
        <w:rPr>
          <w:rFonts w:hint="default" w:ascii="仿宋_GB2312" w:hAnsi="仿宋_GB2312" w:eastAsia="仿宋_GB2312" w:cs="仿宋_GB2312"/>
          <w:sz w:val="32"/>
          <w:szCs w:val="32"/>
          <w:lang w:val="en-US" w:eastAsia="zh-CN"/>
        </w:rPr>
      </w:pPr>
      <w:bookmarkStart w:id="37" w:name="_Toc32056"/>
      <w:bookmarkStart w:id="38" w:name="_Toc2507"/>
      <w:r>
        <w:rPr>
          <w:rFonts w:hint="eastAsia" w:ascii="仿宋_GB2312" w:hAnsi="仿宋_GB2312" w:eastAsia="仿宋_GB2312" w:cs="仿宋_GB2312"/>
          <w:sz w:val="32"/>
          <w:szCs w:val="32"/>
          <w:lang w:val="en-US" w:eastAsia="zh-CN"/>
        </w:rPr>
        <w:t>2022年度收、支总计238.86万元。与2021年相比，收、支总计各减少111.47万元，下降31.82%。主要变动原因是2021年支付了2020年的一窗平台建设采购经费、2022年停止发放大厅窗口工作人员岗位补贴。</w:t>
      </w:r>
      <w:bookmarkEnd w:id="37"/>
      <w:bookmarkEnd w:id="38"/>
    </w:p>
    <w:p>
      <w:pPr>
        <w:spacing w:line="600" w:lineRule="exact"/>
        <w:ind w:firstLine="320" w:firstLineChars="100"/>
        <w:rPr>
          <w:rFonts w:ascii="仿宋_GB2312" w:eastAsia="仿宋_GB2312"/>
          <w:sz w:val="32"/>
          <w:szCs w:val="32"/>
        </w:rPr>
      </w:pPr>
      <w:r>
        <w:rPr>
          <w:rFonts w:hint="eastAsia" w:ascii="仿宋_GB2312" w:hAnsi="Times New Roman" w:eastAsia="仿宋_GB2312" w:cs="Times New Roman"/>
          <w:color w:val="000000"/>
          <w:kern w:val="0"/>
          <w:sz w:val="32"/>
          <w:szCs w:val="32"/>
          <w:lang w:val="en-US" w:eastAsia="zh-CN"/>
        </w:rPr>
        <w:t>（图1：收、支决算总计变动情况图）</w:t>
      </w:r>
      <w:r>
        <w:rPr>
          <w:rFonts w:hint="eastAsia" w:ascii="仿宋_GB2312" w:eastAsia="仿宋_GB2312"/>
          <w:color w:val="000000"/>
          <w:sz w:val="32"/>
          <w:szCs w:val="32"/>
        </w:rPr>
        <w:drawing>
          <wp:anchor distT="0" distB="0" distL="114935" distR="114935" simplePos="0" relativeHeight="251659264" behindDoc="0" locked="0" layoutInCell="1" allowOverlap="1">
            <wp:simplePos x="0" y="0"/>
            <wp:positionH relativeFrom="column">
              <wp:posOffset>198120</wp:posOffset>
            </wp:positionH>
            <wp:positionV relativeFrom="paragraph">
              <wp:posOffset>94615</wp:posOffset>
            </wp:positionV>
            <wp:extent cx="4626610" cy="2757805"/>
            <wp:effectExtent l="4445" t="5080" r="17145" b="1841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8"/>
        <w:numPr>
          <w:ilvl w:val="0"/>
          <w:numId w:val="0"/>
        </w:numPr>
        <w:spacing w:line="600" w:lineRule="exact"/>
        <w:ind w:left="640" w:leftChars="0"/>
        <w:outlineLvl w:val="1"/>
        <w:rPr>
          <w:rStyle w:val="30"/>
          <w:rFonts w:ascii="黑体" w:hAnsi="黑体" w:eastAsia="黑体"/>
          <w:b w:val="0"/>
        </w:rPr>
      </w:pPr>
      <w:bookmarkStart w:id="39" w:name="_Toc29193"/>
      <w:bookmarkStart w:id="40" w:name="_Toc15377206"/>
      <w:bookmarkStart w:id="41" w:name="_Toc15396604"/>
      <w:r>
        <w:rPr>
          <w:rFonts w:hint="eastAsia" w:ascii="黑体" w:hAnsi="黑体" w:eastAsia="黑体"/>
          <w:sz w:val="32"/>
          <w:szCs w:val="32"/>
          <w:lang w:val="en-US" w:eastAsia="zh-CN"/>
        </w:rPr>
        <w:t>二、</w:t>
      </w:r>
      <w:r>
        <w:rPr>
          <w:rFonts w:hint="eastAsia" w:ascii="黑体" w:hAnsi="黑体" w:eastAsia="黑体"/>
          <w:sz w:val="32"/>
          <w:szCs w:val="32"/>
        </w:rPr>
        <w:t>收</w:t>
      </w:r>
      <w:r>
        <w:rPr>
          <w:rStyle w:val="30"/>
          <w:rFonts w:hint="eastAsia" w:ascii="黑体" w:hAnsi="黑体" w:eastAsia="黑体"/>
          <w:b w:val="0"/>
        </w:rPr>
        <w:t>入决算情况说明</w:t>
      </w:r>
      <w:bookmarkEnd w:id="39"/>
      <w:bookmarkEnd w:id="40"/>
      <w:bookmarkEnd w:id="41"/>
    </w:p>
    <w:p>
      <w:pPr>
        <w:spacing w:line="600" w:lineRule="exact"/>
        <w:ind w:firstLine="640" w:firstLineChars="200"/>
        <w:outlineLvl w:val="1"/>
        <w:rPr>
          <w:rFonts w:ascii="仿宋" w:hAnsi="仿宋" w:eastAsia="仿宋"/>
          <w:sz w:val="32"/>
          <w:szCs w:val="32"/>
        </w:rPr>
      </w:pPr>
      <w:bookmarkStart w:id="42" w:name="_Toc7750"/>
      <w:bookmarkStart w:id="43" w:name="_Toc4255"/>
      <w:r>
        <w:rPr>
          <w:rFonts w:hint="eastAsia" w:ascii="仿宋_GB2312" w:hAnsi="仿宋_GB2312" w:eastAsia="仿宋_GB2312" w:cs="仿宋_GB2312"/>
          <w:sz w:val="32"/>
          <w:szCs w:val="32"/>
          <w:lang w:val="en-US" w:eastAsia="zh-CN"/>
        </w:rPr>
        <w:t>2022年本年收入合计238.86万元，其中：一般公共预算财政拨款收入238.86万元，占100%；政府性基金预算财政拨款收入0万元，占0.0%；国有资本经营预算财政拨款收入0万元，占0.0%；上级补助收入0万元，占0.0%；事业收入0万元，占0.0%；经营收入0万元，占0.0%；附属单位上缴收入0万元，占0.0%；其他收入0万元，占0.0%。</w:t>
      </w:r>
      <w:bookmarkEnd w:id="42"/>
      <w:bookmarkEnd w:id="43"/>
    </w:p>
    <w:p>
      <w:pPr>
        <w:spacing w:line="600" w:lineRule="exact"/>
        <w:ind w:firstLine="640" w:firstLineChars="200"/>
        <w:rPr>
          <w:rFonts w:eastAsia="仿宋"/>
          <w:i/>
          <w:color w:val="000000"/>
          <w:sz w:val="32"/>
          <w:szCs w:val="32"/>
        </w:rPr>
      </w:pPr>
      <w:r>
        <w:rPr>
          <w:rFonts w:hint="eastAsia" w:ascii="仿宋" w:hAnsi="仿宋" w:eastAsia="仿宋" w:cs="Times New Roman"/>
          <w:sz w:val="32"/>
          <w:szCs w:val="32"/>
        </w:rPr>
        <w:drawing>
          <wp:anchor distT="0" distB="0" distL="114300" distR="114300" simplePos="0" relativeHeight="251660288" behindDoc="0" locked="0" layoutInCell="1" allowOverlap="1">
            <wp:simplePos x="0" y="0"/>
            <wp:positionH relativeFrom="column">
              <wp:posOffset>-58420</wp:posOffset>
            </wp:positionH>
            <wp:positionV relativeFrom="paragraph">
              <wp:posOffset>-852805</wp:posOffset>
            </wp:positionV>
            <wp:extent cx="5542915" cy="3311525"/>
            <wp:effectExtent l="4445" t="4445" r="15240" b="1778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Times New Roman"/>
          <w:sz w:val="32"/>
          <w:szCs w:val="32"/>
        </w:rPr>
        <w:t>（图2：收入决算结构图）</w:t>
      </w:r>
    </w:p>
    <w:p>
      <w:pPr>
        <w:pStyle w:val="28"/>
        <w:numPr>
          <w:ilvl w:val="0"/>
          <w:numId w:val="0"/>
        </w:numPr>
        <w:spacing w:line="600" w:lineRule="exact"/>
        <w:ind w:firstLine="640" w:firstLineChars="200"/>
        <w:outlineLvl w:val="1"/>
        <w:rPr>
          <w:rStyle w:val="30"/>
          <w:rFonts w:ascii="黑体" w:hAnsi="黑体" w:eastAsia="黑体"/>
          <w:b w:val="0"/>
        </w:rPr>
      </w:pPr>
      <w:bookmarkStart w:id="44" w:name="_Toc343"/>
      <w:bookmarkStart w:id="45" w:name="_Toc15377207"/>
      <w:bookmarkStart w:id="46" w:name="_Toc15396605"/>
      <w:r>
        <w:rPr>
          <w:rFonts w:hint="eastAsia" w:ascii="黑体" w:hAnsi="黑体" w:eastAsia="黑体"/>
          <w:sz w:val="32"/>
          <w:szCs w:val="32"/>
          <w:lang w:val="en-US" w:eastAsia="zh-CN"/>
        </w:rPr>
        <w:t>三、</w:t>
      </w:r>
      <w:r>
        <w:rPr>
          <w:rFonts w:hint="eastAsia" w:ascii="黑体" w:hAnsi="黑体" w:eastAsia="黑体"/>
          <w:sz w:val="32"/>
          <w:szCs w:val="32"/>
        </w:rPr>
        <w:t>支</w:t>
      </w:r>
      <w:r>
        <w:rPr>
          <w:rStyle w:val="30"/>
          <w:rFonts w:hint="eastAsia" w:ascii="黑体" w:hAnsi="黑体" w:eastAsia="黑体"/>
          <w:b w:val="0"/>
        </w:rPr>
        <w:t>出决算情况说明</w:t>
      </w:r>
      <w:bookmarkEnd w:id="44"/>
      <w:bookmarkEnd w:id="45"/>
      <w:bookmarkEnd w:id="46"/>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2022年本年支出合计238.86万元，其中：基本支出182.38万元，占76%；项目支出56.47万元，占24%；上缴上级支出0万元，占0.0%；经营支出0万元，占0.0%；对附属单位补助支出0万元，占0.0%。</w:t>
      </w:r>
    </w:p>
    <w:p>
      <w:pPr>
        <w:pStyle w:val="2"/>
        <w:rPr>
          <w:rFonts w:hint="eastAsia" w:ascii="仿宋" w:hAnsi="仿宋" w:eastAsia="仿宋"/>
          <w:sz w:val="32"/>
          <w:szCs w:val="32"/>
        </w:rPr>
      </w:pPr>
      <w:r>
        <w:rPr>
          <w:rFonts w:hint="eastAsia" w:ascii="仿宋" w:hAnsi="仿宋" w:eastAsia="仿宋"/>
          <w:color w:val="000000" w:themeColor="text1"/>
          <w:sz w:val="32"/>
          <w:szCs w:val="32"/>
          <w14:textFill>
            <w14:solidFill>
              <w14:schemeClr w14:val="tx1"/>
            </w14:solidFill>
          </w14:textFill>
        </w:rPr>
        <w:drawing>
          <wp:inline distT="0" distB="0" distL="114300" distR="114300">
            <wp:extent cx="5300980" cy="3023235"/>
            <wp:effectExtent l="4445" t="4445" r="9525"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1"/>
        <w:rPr>
          <w:rFonts w:hint="eastAsia" w:ascii="仿宋" w:hAnsi="仿宋" w:eastAsia="仿宋" w:cs="Times New Roman"/>
          <w:sz w:val="32"/>
          <w:szCs w:val="32"/>
        </w:rPr>
      </w:pPr>
      <w:bookmarkStart w:id="47" w:name="_Toc4720"/>
      <w:r>
        <w:rPr>
          <w:rFonts w:hint="eastAsia" w:ascii="仿宋" w:hAnsi="仿宋" w:eastAsia="仿宋" w:cs="Times New Roman"/>
          <w:sz w:val="32"/>
          <w:szCs w:val="32"/>
        </w:rPr>
        <w:t>（图3：支出决算结构图）</w:t>
      </w:r>
      <w:bookmarkEnd w:id="47"/>
    </w:p>
    <w:p>
      <w:pPr>
        <w:spacing w:line="600" w:lineRule="exact"/>
        <w:ind w:firstLine="640" w:firstLineChars="200"/>
        <w:outlineLvl w:val="1"/>
        <w:rPr>
          <w:rStyle w:val="30"/>
          <w:rFonts w:ascii="黑体" w:hAnsi="黑体" w:eastAsia="黑体"/>
          <w:b w:val="0"/>
        </w:rPr>
      </w:pPr>
      <w:bookmarkStart w:id="48" w:name="_Toc6996"/>
      <w:bookmarkStart w:id="49" w:name="_Toc15377208"/>
      <w:bookmarkStart w:id="50" w:name="_Toc15396606"/>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48"/>
      <w:bookmarkEnd w:id="49"/>
      <w:bookmarkEnd w:id="50"/>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2022年财政拨款收、支总计238.86万元。与2021年相比，财政拨款收、支总计各减少111.47万元，下降31.82%。主要变动原因是2021年支付了2020年的一窗平台建设采购经费、2022年停止发放大厅窗口工作人员岗位补贴。</w:t>
      </w:r>
    </w:p>
    <w:p>
      <w:pPr>
        <w:pStyle w:val="2"/>
        <w:rPr>
          <w:rFonts w:hint="eastAsia" w:ascii="仿宋_GB2312" w:hAnsi="Times New Roman" w:eastAsia="仿宋_GB2312" w:cs="Times New Roman"/>
          <w:color w:val="000000"/>
          <w:kern w:val="0"/>
          <w:sz w:val="32"/>
          <w:szCs w:val="32"/>
          <w:lang w:val="en-US" w:eastAsia="zh-CN"/>
        </w:rPr>
      </w:pPr>
      <w:r>
        <w:rPr>
          <w:rFonts w:hint="eastAsia" w:ascii="仿宋_GB2312" w:eastAsia="仿宋_GB2312"/>
          <w:color w:val="000000"/>
          <w:sz w:val="32"/>
          <w:szCs w:val="32"/>
        </w:rPr>
        <w:drawing>
          <wp:anchor distT="0" distB="0" distL="114935" distR="114935" simplePos="0" relativeHeight="251661312" behindDoc="0" locked="0" layoutInCell="1" allowOverlap="1">
            <wp:simplePos x="0" y="0"/>
            <wp:positionH relativeFrom="column">
              <wp:posOffset>93345</wp:posOffset>
            </wp:positionH>
            <wp:positionV relativeFrom="paragraph">
              <wp:posOffset>148590</wp:posOffset>
            </wp:positionV>
            <wp:extent cx="5216525" cy="3718560"/>
            <wp:effectExtent l="4445" t="4445" r="17780" b="1079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color w:val="000000"/>
          <w:sz w:val="32"/>
          <w:szCs w:val="32"/>
          <w:lang w:val="en-US" w:eastAsia="zh-CN"/>
        </w:rPr>
        <w:t xml:space="preserve">    </w:t>
      </w:r>
      <w:r>
        <w:rPr>
          <w:rFonts w:hint="eastAsia" w:ascii="仿宋_GB2312" w:hAnsi="Times New Roman" w:eastAsia="仿宋_GB2312" w:cs="Times New Roman"/>
          <w:color w:val="000000"/>
          <w:kern w:val="0"/>
          <w:sz w:val="32"/>
          <w:szCs w:val="32"/>
          <w:lang w:val="en-US" w:eastAsia="zh-CN"/>
        </w:rPr>
        <w:t>（图4：财政拨款收、支决算总计变动情况）</w:t>
      </w:r>
    </w:p>
    <w:p>
      <w:pPr>
        <w:spacing w:line="600" w:lineRule="exact"/>
        <w:ind w:firstLine="960" w:firstLineChars="300"/>
        <w:outlineLvl w:val="1"/>
        <w:rPr>
          <w:rStyle w:val="30"/>
          <w:rFonts w:ascii="黑体" w:hAnsi="黑体" w:eastAsia="黑体"/>
          <w:b w:val="0"/>
        </w:rPr>
      </w:pPr>
      <w:bookmarkStart w:id="51" w:name="_Toc15396607"/>
      <w:bookmarkStart w:id="52" w:name="_Toc23119"/>
      <w:bookmarkStart w:id="53"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51"/>
      <w:bookmarkEnd w:id="52"/>
      <w:bookmarkEnd w:id="53"/>
    </w:p>
    <w:p>
      <w:pPr>
        <w:spacing w:line="600" w:lineRule="exact"/>
        <w:ind w:firstLine="643" w:firstLineChars="200"/>
        <w:outlineLvl w:val="2"/>
        <w:rPr>
          <w:rFonts w:ascii="仿宋" w:hAnsi="仿宋" w:eastAsia="仿宋"/>
          <w:b/>
          <w:sz w:val="32"/>
          <w:szCs w:val="32"/>
        </w:rPr>
      </w:pPr>
      <w:bookmarkStart w:id="54" w:name="_Toc15377210"/>
      <w:bookmarkStart w:id="55" w:name="_Toc9688"/>
      <w:r>
        <w:rPr>
          <w:rFonts w:hint="eastAsia" w:ascii="仿宋" w:hAnsi="仿宋" w:eastAsia="仿宋"/>
          <w:b/>
          <w:sz w:val="32"/>
          <w:szCs w:val="32"/>
        </w:rPr>
        <w:t>（一）一般公共预算财政拨款支出决算总体情况</w:t>
      </w:r>
      <w:bookmarkEnd w:id="54"/>
      <w:bookmarkEnd w:id="55"/>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一般公共预算财政拨款支出238.86万元，占本年支出合计的100%。与2021年相比，一般公共预算财政拨款支出减少111.47万元，下降31.82%。主要变动原因是2021年支付了2020年的一窗平台建设采购经费、2022年停止发放大厅窗口工作人员岗位补贴。</w:t>
      </w:r>
    </w:p>
    <w:p>
      <w:pPr>
        <w:spacing w:line="600" w:lineRule="exact"/>
        <w:ind w:firstLine="640" w:firstLineChars="200"/>
        <w:rPr>
          <w:rFonts w:eastAsia="仿宋"/>
          <w:i/>
          <w:color w:val="000000"/>
          <w:sz w:val="32"/>
          <w:szCs w:val="32"/>
          <w:highlight w:val="yellow"/>
        </w:rPr>
      </w:pPr>
    </w:p>
    <w:p>
      <w:pPr>
        <w:pStyle w:val="2"/>
        <w:rPr>
          <w:rFonts w:eastAsia="仿宋"/>
          <w:i/>
          <w:color w:val="000000"/>
          <w:sz w:val="32"/>
          <w:szCs w:val="32"/>
          <w:highlight w:val="yellow"/>
        </w:rPr>
      </w:pPr>
      <w:r>
        <w:rPr>
          <w:rFonts w:hint="eastAsia" w:ascii="仿宋" w:hAnsi="仿宋" w:eastAsia="仿宋"/>
          <w:color w:val="000000" w:themeColor="text1"/>
          <w:sz w:val="32"/>
          <w:szCs w:val="32"/>
          <w14:textFill>
            <w14:solidFill>
              <w14:schemeClr w14:val="tx1"/>
            </w14:solidFill>
          </w14:textFill>
        </w:rPr>
        <w:drawing>
          <wp:inline distT="0" distB="0" distL="114300" distR="114300">
            <wp:extent cx="5370830" cy="3363595"/>
            <wp:effectExtent l="4445" t="4445" r="15875" b="2286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（图5：一般公共预算财政拨款支出决算变动情况）</w:t>
      </w:r>
    </w:p>
    <w:p>
      <w:pPr>
        <w:spacing w:line="600" w:lineRule="exact"/>
        <w:ind w:firstLine="643" w:firstLineChars="200"/>
        <w:outlineLvl w:val="2"/>
        <w:rPr>
          <w:rFonts w:ascii="仿宋" w:hAnsi="仿宋" w:eastAsia="仿宋"/>
          <w:b/>
          <w:sz w:val="32"/>
          <w:szCs w:val="32"/>
        </w:rPr>
      </w:pPr>
      <w:bookmarkStart w:id="56" w:name="_Toc10617"/>
      <w:bookmarkStart w:id="57" w:name="_Toc15377211"/>
      <w:r>
        <w:rPr>
          <w:rFonts w:hint="eastAsia" w:ascii="仿宋" w:hAnsi="仿宋" w:eastAsia="仿宋"/>
          <w:b/>
          <w:sz w:val="32"/>
          <w:szCs w:val="32"/>
        </w:rPr>
        <w:t>（二）一般公共预算财政拨款支出决算结构情况</w:t>
      </w:r>
      <w:bookmarkEnd w:id="56"/>
      <w:bookmarkEnd w:id="57"/>
    </w:p>
    <w:p>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2022年一般公共预算财政拨款支出</w:t>
      </w:r>
      <w:r>
        <w:rPr>
          <w:rFonts w:hint="eastAsia" w:ascii="仿宋_GB2312" w:hAnsi="仿宋_GB2312" w:eastAsia="仿宋_GB2312" w:cs="仿宋_GB2312"/>
          <w:sz w:val="32"/>
          <w:szCs w:val="32"/>
          <w:lang w:val="en-US" w:eastAsia="zh-CN"/>
        </w:rPr>
        <w:t>238.86</w:t>
      </w:r>
      <w:r>
        <w:rPr>
          <w:rFonts w:hint="eastAsia" w:ascii="仿宋_GB2312" w:hAnsi="仿宋_GB2312" w:eastAsia="仿宋_GB2312" w:cs="仿宋_GB2312"/>
          <w:sz w:val="32"/>
          <w:szCs w:val="32"/>
        </w:rPr>
        <w:t>万元，主要用于以下方面:一般公共服务支出</w:t>
      </w:r>
      <w:r>
        <w:rPr>
          <w:rFonts w:hint="eastAsia" w:ascii="仿宋_GB2312" w:hAnsi="仿宋_GB2312" w:eastAsia="仿宋_GB2312" w:cs="仿宋_GB2312"/>
          <w:sz w:val="32"/>
          <w:szCs w:val="32"/>
          <w:lang w:val="en-US" w:eastAsia="zh-CN"/>
        </w:rPr>
        <w:t>206.42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86.42</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%；科学技术支出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%；文化旅游体育与传媒支出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9.18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3.84</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7.69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3.22</w:t>
      </w:r>
      <w:r>
        <w:rPr>
          <w:rFonts w:hint="eastAsia" w:ascii="仿宋_GB2312" w:hAnsi="仿宋_GB2312" w:eastAsia="仿宋_GB2312" w:cs="仿宋_GB2312"/>
          <w:sz w:val="32"/>
          <w:szCs w:val="32"/>
        </w:rPr>
        <w:t>%；住房保障支出</w:t>
      </w:r>
      <w:r>
        <w:rPr>
          <w:rFonts w:hint="eastAsia" w:ascii="仿宋_GB2312" w:hAnsi="仿宋_GB2312" w:eastAsia="仿宋_GB2312" w:cs="仿宋_GB2312"/>
          <w:sz w:val="32"/>
          <w:szCs w:val="32"/>
          <w:lang w:val="en-US" w:eastAsia="zh-CN"/>
        </w:rPr>
        <w:t>15.56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6.52</w:t>
      </w:r>
      <w:r>
        <w:rPr>
          <w:rFonts w:hint="eastAsia" w:ascii="仿宋_GB2312" w:hAnsi="仿宋_GB2312" w:eastAsia="仿宋_GB2312" w:cs="仿宋_GB2312"/>
          <w:sz w:val="32"/>
          <w:szCs w:val="32"/>
        </w:rPr>
        <w:t>%。</w:t>
      </w:r>
    </w:p>
    <w:p>
      <w:pPr>
        <w:pStyle w:val="2"/>
        <w:rPr>
          <w:rFonts w:hint="eastAsia" w:ascii="仿宋" w:hAnsi="仿宋" w:eastAsia="仿宋" w:cs="Times New Roman"/>
          <w:sz w:val="32"/>
          <w:szCs w:val="32"/>
        </w:rPr>
      </w:pPr>
    </w:p>
    <w:p>
      <w:pPr>
        <w:rPr>
          <w:rFonts w:hint="eastAsia" w:ascii="仿宋" w:hAnsi="仿宋" w:eastAsia="仿宋" w:cs="Times New Roman"/>
          <w:sz w:val="32"/>
          <w:szCs w:val="32"/>
        </w:rPr>
      </w:pPr>
    </w:p>
    <w:p>
      <w:pPr>
        <w:pStyle w:val="2"/>
        <w:rPr>
          <w:rFonts w:hint="eastAsia" w:ascii="仿宋" w:hAnsi="仿宋" w:eastAsia="仿宋" w:cs="Times New Roman"/>
          <w:sz w:val="32"/>
          <w:szCs w:val="32"/>
        </w:rPr>
      </w:pPr>
    </w:p>
    <w:p>
      <w:pPr>
        <w:rPr>
          <w:rFonts w:hint="eastAsia" w:ascii="仿宋" w:hAnsi="仿宋" w:eastAsia="仿宋" w:cs="Times New Roman"/>
          <w:sz w:val="32"/>
          <w:szCs w:val="32"/>
        </w:rPr>
      </w:pPr>
    </w:p>
    <w:p>
      <w:pPr>
        <w:pStyle w:val="2"/>
        <w:rPr>
          <w:rFonts w:hint="eastAsia" w:ascii="仿宋" w:hAnsi="仿宋" w:eastAsia="仿宋" w:cs="Times New Roman"/>
          <w:sz w:val="32"/>
          <w:szCs w:val="32"/>
        </w:rPr>
      </w:pPr>
      <w:r>
        <w:rPr>
          <w:rFonts w:hint="eastAsia" w:ascii="仿宋" w:hAnsi="仿宋" w:eastAsia="仿宋"/>
          <w:color w:val="000000"/>
          <w:sz w:val="32"/>
          <w:szCs w:val="32"/>
        </w:rPr>
        <w:drawing>
          <wp:inline distT="0" distB="0" distL="114300" distR="114300">
            <wp:extent cx="4852670" cy="2285365"/>
            <wp:effectExtent l="4445" t="4445" r="19685" b="1524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eastAsia" w:ascii="仿宋" w:hAnsi="仿宋" w:eastAsia="仿宋" w:cs="Times New Roman"/>
          <w:sz w:val="32"/>
          <w:szCs w:val="32"/>
        </w:rPr>
      </w:pPr>
      <w:r>
        <w:rPr>
          <w:rFonts w:hint="eastAsia" w:ascii="仿宋" w:hAnsi="仿宋" w:eastAsia="仿宋" w:cs="Times New Roman"/>
          <w:sz w:val="32"/>
          <w:szCs w:val="32"/>
        </w:rPr>
        <w:t>（图6：一般公共预算财政拨款支出决算结构）</w:t>
      </w:r>
    </w:p>
    <w:p>
      <w:pPr>
        <w:spacing w:line="600" w:lineRule="exact"/>
        <w:ind w:firstLine="643" w:firstLineChars="200"/>
        <w:outlineLvl w:val="2"/>
        <w:rPr>
          <w:rFonts w:ascii="仿宋" w:hAnsi="仿宋" w:eastAsia="仿宋"/>
          <w:b/>
          <w:sz w:val="32"/>
          <w:szCs w:val="32"/>
        </w:rPr>
      </w:pPr>
      <w:bookmarkStart w:id="58" w:name="_Toc11477"/>
      <w:bookmarkStart w:id="59" w:name="_Toc15377212"/>
      <w:r>
        <w:rPr>
          <w:rFonts w:hint="eastAsia" w:ascii="仿宋" w:hAnsi="仿宋" w:eastAsia="仿宋"/>
          <w:b/>
          <w:sz w:val="32"/>
          <w:szCs w:val="32"/>
        </w:rPr>
        <w:t>（三）一般公共预算财政拨款支出决算具体情况</w:t>
      </w:r>
      <w:bookmarkEnd w:id="58"/>
      <w:bookmarkEnd w:id="59"/>
    </w:p>
    <w:p>
      <w:pPr>
        <w:spacing w:line="600" w:lineRule="exact"/>
        <w:ind w:firstLine="645"/>
        <w:rPr>
          <w:rFonts w:hint="eastAsia" w:ascii="仿宋_GB2312" w:hAnsi="仿宋_GB2312" w:eastAsia="仿宋_GB2312" w:cs="仿宋_GB2312"/>
          <w:sz w:val="32"/>
          <w:szCs w:val="32"/>
        </w:rPr>
      </w:pPr>
      <w:bookmarkStart w:id="60" w:name="_Toc15377444"/>
      <w:bookmarkStart w:id="61" w:name="_Toc15378460"/>
      <w:bookmarkStart w:id="62" w:name="_Toc15377213"/>
      <w:r>
        <w:rPr>
          <w:rFonts w:hint="eastAsia" w:ascii="仿宋_GB2312" w:hAnsi="仿宋_GB2312" w:eastAsia="仿宋_GB2312" w:cs="仿宋_GB2312"/>
          <w:sz w:val="32"/>
          <w:szCs w:val="32"/>
        </w:rPr>
        <w:t>2022年一般公共预算支出决算数为</w:t>
      </w:r>
      <w:r>
        <w:rPr>
          <w:rFonts w:hint="eastAsia" w:ascii="仿宋_GB2312" w:hAnsi="仿宋_GB2312" w:eastAsia="仿宋_GB2312" w:cs="仿宋_GB2312"/>
          <w:sz w:val="32"/>
          <w:szCs w:val="32"/>
          <w:lang w:val="en-US" w:eastAsia="zh-CN"/>
        </w:rPr>
        <w:t>238.86，</w:t>
      </w:r>
      <w:r>
        <w:rPr>
          <w:rFonts w:hint="eastAsia" w:ascii="仿宋_GB2312" w:hAnsi="仿宋_GB2312" w:eastAsia="仿宋_GB2312" w:cs="仿宋_GB2312"/>
          <w:sz w:val="32"/>
          <w:szCs w:val="32"/>
        </w:rPr>
        <w:t>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w:t>
      </w:r>
      <w:bookmarkEnd w:id="60"/>
      <w:bookmarkEnd w:id="61"/>
      <w:bookmarkEnd w:id="62"/>
    </w:p>
    <w:p>
      <w:pPr>
        <w:spacing w:line="600" w:lineRule="exact"/>
        <w:ind w:firstLine="645"/>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1.一般公共服务</w:t>
      </w:r>
      <w:r>
        <w:rPr>
          <w:rFonts w:hint="eastAsia" w:ascii="仿宋_GB2312" w:hAnsi="仿宋_GB2312" w:eastAsia="仿宋_GB2312" w:cs="仿宋_GB2312"/>
          <w:sz w:val="32"/>
          <w:szCs w:val="32"/>
          <w:lang w:val="en-US" w:eastAsia="zh-CN"/>
        </w:rPr>
        <w:t>支出（201类）：</w:t>
      </w:r>
      <w:r>
        <w:rPr>
          <w:rFonts w:hint="eastAsia" w:ascii="仿宋_GB2312" w:hAnsi="仿宋_GB2312" w:eastAsia="仿宋_GB2312" w:cs="仿宋_GB2312"/>
          <w:sz w:val="32"/>
          <w:szCs w:val="32"/>
        </w:rPr>
        <w:t>行政运行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2010301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151.91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政务公开审批（2010306）支出决算为53.61万元、事业运行（2010350）支出决算为0.90万元，</w:t>
      </w:r>
      <w:r>
        <w:rPr>
          <w:rFonts w:hint="eastAsia" w:ascii="仿宋_GB2312" w:hAnsi="仿宋_GB2312" w:eastAsia="仿宋_GB2312" w:cs="仿宋_GB2312"/>
          <w:sz w:val="32"/>
          <w:szCs w:val="32"/>
        </w:rPr>
        <w:t>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与预算数持平</w:t>
      </w:r>
      <w:r>
        <w:rPr>
          <w:rFonts w:hint="eastAsia" w:ascii="仿宋_GB2312" w:hAnsi="仿宋_GB2312" w:eastAsia="仿宋_GB2312" w:cs="仿宋_GB2312"/>
          <w:sz w:val="32"/>
          <w:szCs w:val="32"/>
          <w:lang w:eastAsia="zh-CN"/>
        </w:rPr>
        <w:t>。</w:t>
      </w:r>
    </w:p>
    <w:p>
      <w:pPr>
        <w:spacing w:line="600" w:lineRule="exact"/>
        <w:ind w:firstLine="645"/>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2080505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机关事业单位基本养老保险缴费支出决算为</w:t>
      </w:r>
      <w:r>
        <w:rPr>
          <w:rFonts w:hint="eastAsia" w:ascii="仿宋_GB2312" w:hAnsi="仿宋_GB2312" w:eastAsia="仿宋_GB2312" w:cs="仿宋_GB2312"/>
          <w:sz w:val="32"/>
          <w:szCs w:val="32"/>
          <w:lang w:val="en-US" w:eastAsia="zh-CN"/>
        </w:rPr>
        <w:t>9.18</w:t>
      </w:r>
      <w:r>
        <w:rPr>
          <w:rFonts w:hint="eastAsia" w:ascii="仿宋_GB2312" w:hAnsi="仿宋_GB2312" w:eastAsia="仿宋_GB2312" w:cs="仿宋_GB2312"/>
          <w:sz w:val="32"/>
          <w:szCs w:val="32"/>
        </w:rPr>
        <w:t>万元，完成预算100%</w:t>
      </w:r>
      <w:r>
        <w:rPr>
          <w:rFonts w:hint="eastAsia" w:ascii="仿宋_GB2312" w:hAnsi="仿宋_GB2312" w:eastAsia="仿宋_GB2312" w:cs="仿宋_GB2312"/>
          <w:sz w:val="32"/>
          <w:szCs w:val="32"/>
          <w:lang w:eastAsia="zh-CN"/>
        </w:rPr>
        <w:t>，与预算数持平。</w:t>
      </w:r>
    </w:p>
    <w:p>
      <w:pPr>
        <w:spacing w:line="600" w:lineRule="exact"/>
        <w:ind w:firstLine="645"/>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3.卫生健康支出（210类）：重大公共卫生服务（2100409）支出决算为2.86万元、</w:t>
      </w:r>
      <w:r>
        <w:rPr>
          <w:rFonts w:hint="eastAsia" w:ascii="仿宋_GB2312" w:hAnsi="仿宋_GB2312" w:eastAsia="仿宋_GB2312" w:cs="仿宋_GB2312"/>
          <w:sz w:val="32"/>
          <w:szCs w:val="32"/>
        </w:rPr>
        <w:t>行政单位医疗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2101101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4.42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公务员医疗补助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2101103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0.41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完成预算100%，与预算数持平。</w:t>
      </w:r>
    </w:p>
    <w:p>
      <w:pPr>
        <w:spacing w:line="600" w:lineRule="exact"/>
        <w:ind w:firstLine="645"/>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.住房保障支出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2210201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15.56</w:t>
      </w:r>
      <w:r>
        <w:rPr>
          <w:rFonts w:hint="eastAsia" w:ascii="仿宋_GB2312" w:hAnsi="仿宋_GB2312" w:eastAsia="仿宋_GB2312" w:cs="仿宋_GB2312"/>
          <w:sz w:val="32"/>
          <w:szCs w:val="32"/>
        </w:rPr>
        <w:t>万元，完成预算100%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与预算数持平</w:t>
      </w:r>
      <w:r>
        <w:rPr>
          <w:rFonts w:hint="eastAsia" w:ascii="仿宋_GB2312" w:hAnsi="仿宋_GB2312" w:eastAsia="仿宋_GB2312" w:cs="仿宋_GB2312"/>
          <w:sz w:val="32"/>
          <w:szCs w:val="32"/>
          <w:lang w:eastAsia="zh-CN"/>
        </w:rPr>
        <w:t>。</w:t>
      </w:r>
    </w:p>
    <w:p>
      <w:pPr>
        <w:tabs>
          <w:tab w:val="right" w:pos="8306"/>
        </w:tabs>
        <w:spacing w:line="600" w:lineRule="exact"/>
        <w:ind w:firstLine="640" w:firstLineChars="200"/>
        <w:outlineLvl w:val="1"/>
        <w:rPr>
          <w:rStyle w:val="30"/>
        </w:rPr>
      </w:pPr>
      <w:bookmarkStart w:id="63" w:name="_Toc15396608"/>
      <w:bookmarkStart w:id="64" w:name="_Toc30008"/>
      <w:bookmarkStart w:id="6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63"/>
      <w:bookmarkEnd w:id="64"/>
      <w:bookmarkEnd w:id="65"/>
      <w:r>
        <w:rPr>
          <w:rStyle w:val="30"/>
          <w:rFonts w:ascii="黑体" w:hAnsi="黑体" w:eastAsia="黑体"/>
          <w:b w:val="0"/>
        </w:rPr>
        <w:tab/>
      </w:r>
    </w:p>
    <w:p>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2022年一般公共预算财政拨款基本支出</w:t>
      </w:r>
      <w:r>
        <w:rPr>
          <w:rFonts w:hint="eastAsia" w:ascii="仿宋_GB2312" w:hAnsi="仿宋_GB2312" w:eastAsia="仿宋_GB2312" w:cs="仿宋_GB2312"/>
          <w:sz w:val="32"/>
          <w:szCs w:val="32"/>
          <w:lang w:val="en-US" w:eastAsia="zh-CN"/>
        </w:rPr>
        <w:t>182.38</w:t>
      </w:r>
      <w:r>
        <w:rPr>
          <w:rFonts w:hint="eastAsia" w:ascii="仿宋_GB2312" w:hAnsi="仿宋_GB2312" w:eastAsia="仿宋_GB2312" w:cs="仿宋_GB2312"/>
          <w:sz w:val="32"/>
          <w:szCs w:val="32"/>
        </w:rPr>
        <w:t>万元，其中：</w:t>
      </w:r>
    </w:p>
    <w:p>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160.14</w:t>
      </w:r>
      <w:r>
        <w:rPr>
          <w:rFonts w:hint="eastAsia" w:ascii="仿宋_GB2312" w:hAnsi="仿宋_GB2312" w:eastAsia="仿宋_GB2312" w:cs="仿宋_GB2312"/>
          <w:sz w:val="32"/>
          <w:szCs w:val="32"/>
        </w:rPr>
        <w:t>万元，主要包括：基本工资、津贴补贴、奖金、机关事业单位基本养老保险缴费、其他社会保障缴费、其他工资福利支出、医疗费补助、奖励金、住房公积金、其他对个人和家庭的补助支出等。</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w:t>
      </w:r>
      <w:r>
        <w:rPr>
          <w:rFonts w:hint="eastAsia" w:ascii="仿宋_GB2312" w:hAnsi="仿宋_GB2312" w:eastAsia="仿宋_GB2312" w:cs="仿宋_GB2312"/>
          <w:sz w:val="32"/>
          <w:szCs w:val="32"/>
          <w:lang w:val="en-US" w:eastAsia="zh-CN"/>
        </w:rPr>
        <w:t>22.24</w:t>
      </w:r>
      <w:r>
        <w:rPr>
          <w:rFonts w:hint="eastAsia" w:ascii="仿宋_GB2312" w:hAnsi="仿宋_GB2312" w:eastAsia="仿宋_GB2312" w:cs="仿宋_GB2312"/>
          <w:sz w:val="32"/>
          <w:szCs w:val="32"/>
        </w:rPr>
        <w:t>万元，主要包括：办公费、印刷费、邮电费、差旅费、维修（护）费、租赁费、会议费、培训费、公务接待费、劳务费、工会经费、福利费、其他交通费、其他商品和服务支出、办公设备购置、专用设备购置、信息网络及软件购置更新、其他资本性支出等。</w:t>
      </w:r>
    </w:p>
    <w:p>
      <w:pPr>
        <w:spacing w:line="600" w:lineRule="exact"/>
        <w:ind w:firstLine="640" w:firstLineChars="200"/>
        <w:outlineLvl w:val="1"/>
        <w:rPr>
          <w:rStyle w:val="30"/>
          <w:rFonts w:ascii="黑体" w:hAnsi="黑体" w:eastAsia="黑体"/>
          <w:b w:val="0"/>
        </w:rPr>
      </w:pPr>
      <w:bookmarkStart w:id="66" w:name="_Toc27929"/>
      <w:bookmarkStart w:id="67" w:name="_Toc15396609"/>
      <w:bookmarkStart w:id="68" w:name="_Toc15377215"/>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66"/>
      <w:bookmarkEnd w:id="67"/>
      <w:bookmarkEnd w:id="68"/>
    </w:p>
    <w:p>
      <w:pPr>
        <w:spacing w:line="600" w:lineRule="exact"/>
        <w:ind w:firstLine="640"/>
        <w:outlineLvl w:val="2"/>
        <w:rPr>
          <w:rFonts w:ascii="仿宋" w:hAnsi="仿宋" w:eastAsia="仿宋"/>
          <w:b/>
          <w:sz w:val="32"/>
          <w:szCs w:val="32"/>
        </w:rPr>
      </w:pPr>
      <w:bookmarkStart w:id="69" w:name="_Toc30985"/>
      <w:bookmarkStart w:id="70" w:name="_Toc15377216"/>
      <w:r>
        <w:rPr>
          <w:rFonts w:hint="eastAsia" w:ascii="仿宋" w:hAnsi="仿宋" w:eastAsia="仿宋"/>
          <w:b/>
          <w:sz w:val="32"/>
          <w:szCs w:val="32"/>
        </w:rPr>
        <w:t>（一）“三公”经费财政拨款支出决算总体情况说明</w:t>
      </w:r>
      <w:bookmarkEnd w:id="69"/>
      <w:bookmarkEnd w:id="70"/>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2022年“三公”经费财政拨款支出决算为</w:t>
      </w:r>
      <w:r>
        <w:rPr>
          <w:rFonts w:hint="eastAsia" w:ascii="仿宋_GB2312" w:hAnsi="仿宋_GB2312" w:eastAsia="仿宋_GB2312" w:cs="仿宋_GB2312"/>
          <w:sz w:val="32"/>
          <w:szCs w:val="32"/>
          <w:lang w:val="en-US" w:eastAsia="zh-CN"/>
        </w:rPr>
        <w:t>0.38</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47.5</w:t>
      </w:r>
      <w:r>
        <w:rPr>
          <w:rFonts w:hint="eastAsia" w:ascii="仿宋_GB2312" w:hAnsi="仿宋_GB2312" w:eastAsia="仿宋_GB2312" w:cs="仿宋_GB2312"/>
          <w:sz w:val="32"/>
          <w:szCs w:val="32"/>
        </w:rPr>
        <w:t>%，较上年增加</w:t>
      </w:r>
      <w:r>
        <w:rPr>
          <w:rFonts w:hint="eastAsia" w:ascii="仿宋_GB2312" w:hAnsi="仿宋_GB2312" w:eastAsia="仿宋_GB2312" w:cs="仿宋_GB2312"/>
          <w:sz w:val="32"/>
          <w:szCs w:val="32"/>
          <w:lang w:val="en-US" w:eastAsia="zh-CN"/>
        </w:rPr>
        <w:t>0.02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color w:val="auto"/>
          <w:sz w:val="32"/>
          <w:szCs w:val="32"/>
        </w:rPr>
        <w:t>到局检查工作、学习接待减</w:t>
      </w:r>
      <w:r>
        <w:rPr>
          <w:rFonts w:hint="eastAsia" w:ascii="仿宋_GB2312" w:hAnsi="仿宋_GB2312" w:eastAsia="仿宋_GB2312" w:cs="仿宋_GB2312"/>
          <w:color w:val="auto"/>
          <w:sz w:val="32"/>
          <w:szCs w:val="32"/>
          <w:lang w:val="en-US" w:eastAsia="zh-CN"/>
        </w:rPr>
        <w:t>少</w:t>
      </w:r>
      <w:r>
        <w:rPr>
          <w:rFonts w:hint="eastAsia" w:ascii="仿宋_GB2312" w:hAnsi="仿宋_GB2312" w:eastAsia="仿宋_GB2312" w:cs="仿宋_GB2312"/>
          <w:sz w:val="32"/>
          <w:szCs w:val="32"/>
        </w:rPr>
        <w:t>。</w:t>
      </w:r>
    </w:p>
    <w:p>
      <w:pPr>
        <w:spacing w:line="600" w:lineRule="exact"/>
        <w:ind w:firstLine="640"/>
        <w:outlineLvl w:val="2"/>
        <w:rPr>
          <w:rFonts w:ascii="仿宋" w:hAnsi="仿宋" w:eastAsia="仿宋"/>
          <w:b/>
          <w:sz w:val="32"/>
          <w:szCs w:val="32"/>
        </w:rPr>
      </w:pPr>
      <w:bookmarkStart w:id="71" w:name="_Toc1651"/>
      <w:bookmarkStart w:id="72" w:name="_Toc15377217"/>
      <w:r>
        <w:rPr>
          <w:rFonts w:hint="eastAsia" w:ascii="仿宋" w:hAnsi="仿宋" w:eastAsia="仿宋"/>
          <w:b/>
          <w:sz w:val="32"/>
          <w:szCs w:val="32"/>
        </w:rPr>
        <w:t>（二）“三公”经费财政拨款支出决算具体情况说明</w:t>
      </w:r>
      <w:bookmarkEnd w:id="71"/>
      <w:bookmarkEnd w:id="72"/>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2022年“三公”经费财政拨款支出决算中，因公出国（境）费支出决算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%；公务用车购置及运行维护费支出决算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0.38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%。具体情况如下：</w:t>
      </w:r>
    </w:p>
    <w:p>
      <w:pPr>
        <w:pStyle w:val="2"/>
        <w:rPr>
          <w:rFonts w:hint="eastAsia" w:ascii="仿宋" w:hAnsi="仿宋" w:eastAsia="仿宋"/>
          <w:sz w:val="32"/>
          <w:szCs w:val="32"/>
        </w:rPr>
      </w:pPr>
      <w:r>
        <w:rPr>
          <w:rFonts w:hint="eastAsia" w:ascii="仿宋" w:hAnsi="仿宋" w:eastAsia="仿宋"/>
          <w:color w:val="000000"/>
          <w:sz w:val="32"/>
          <w:szCs w:val="32"/>
        </w:rPr>
        <w:drawing>
          <wp:anchor distT="0" distB="0" distL="114300" distR="114300" simplePos="0" relativeHeight="251662336" behindDoc="0" locked="0" layoutInCell="1" allowOverlap="1">
            <wp:simplePos x="0" y="0"/>
            <wp:positionH relativeFrom="column">
              <wp:posOffset>426720</wp:posOffset>
            </wp:positionH>
            <wp:positionV relativeFrom="paragraph">
              <wp:posOffset>318770</wp:posOffset>
            </wp:positionV>
            <wp:extent cx="4185285" cy="2586990"/>
            <wp:effectExtent l="4445" t="4445" r="20320" b="18415"/>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rPr>
          <w:rFonts w:hint="eastAsia" w:ascii="仿宋" w:hAnsi="仿宋" w:eastAsia="仿宋"/>
          <w:sz w:val="32"/>
          <w:szCs w:val="32"/>
        </w:rPr>
      </w:pPr>
    </w:p>
    <w:p>
      <w:pPr>
        <w:pStyle w:val="2"/>
        <w:rPr>
          <w:rFonts w:hint="eastAsia" w:ascii="仿宋" w:hAnsi="仿宋" w:eastAsia="仿宋"/>
          <w:sz w:val="32"/>
          <w:szCs w:val="32"/>
        </w:rPr>
      </w:pPr>
    </w:p>
    <w:p>
      <w:pPr>
        <w:rPr>
          <w:rFonts w:hint="eastAsia" w:ascii="仿宋" w:hAnsi="仿宋" w:eastAsia="仿宋"/>
          <w:sz w:val="32"/>
          <w:szCs w:val="32"/>
        </w:rPr>
      </w:pPr>
    </w:p>
    <w:p>
      <w:pPr>
        <w:pStyle w:val="2"/>
        <w:rPr>
          <w:rFonts w:hint="eastAsia" w:ascii="仿宋" w:hAnsi="仿宋" w:eastAsia="仿宋"/>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（图7：“三公”经费财政拨款支出结构）</w:t>
      </w:r>
    </w:p>
    <w:p>
      <w:pPr>
        <w:spacing w:line="600" w:lineRule="exact"/>
        <w:ind w:firstLine="640"/>
        <w:rPr>
          <w:rFonts w:hint="eastAsia" w:ascii="仿宋_GB2312" w:eastAsia="仿宋_GB2312"/>
          <w:sz w:val="32"/>
          <w:szCs w:val="32"/>
        </w:rPr>
      </w:pPr>
      <w:r>
        <w:rPr>
          <w:rFonts w:hint="eastAsia" w:ascii="仿宋_GB2312" w:eastAsia="仿宋_GB2312"/>
          <w:sz w:val="32"/>
          <w:szCs w:val="32"/>
        </w:rPr>
        <w:t>1.因公出国（境）经费支出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万元，完成预算</w:t>
      </w:r>
      <w:r>
        <w:rPr>
          <w:rFonts w:hint="eastAsia" w:ascii="仿宋_GB2312" w:eastAsia="仿宋_GB2312"/>
          <w:sz w:val="32"/>
          <w:szCs w:val="32"/>
          <w:lang w:val="en-US" w:eastAsia="zh-CN"/>
        </w:rPr>
        <w:t>0.0</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w:t>
      </w:r>
      <w:r>
        <w:rPr>
          <w:rFonts w:hint="eastAsia" w:ascii="仿宋_GB2312" w:eastAsia="仿宋_GB2312"/>
          <w:sz w:val="32"/>
          <w:szCs w:val="32"/>
          <w:lang w:val="en-US" w:eastAsia="zh-CN"/>
        </w:rPr>
        <w:t>与</w:t>
      </w:r>
      <w:r>
        <w:rPr>
          <w:rFonts w:hint="eastAsia" w:ascii="仿宋_GB2312" w:eastAsia="仿宋_GB2312"/>
          <w:sz w:val="32"/>
          <w:szCs w:val="32"/>
        </w:rPr>
        <w:t>2021年持平。</w:t>
      </w:r>
    </w:p>
    <w:p>
      <w:pPr>
        <w:spacing w:line="600" w:lineRule="exact"/>
        <w:ind w:firstLine="640"/>
        <w:rPr>
          <w:rFonts w:ascii="仿宋_GB2312" w:eastAsia="仿宋_GB2312"/>
          <w:sz w:val="32"/>
          <w:szCs w:val="32"/>
        </w:rPr>
      </w:pPr>
      <w:r>
        <w:rPr>
          <w:rFonts w:hint="eastAsia" w:ascii="仿宋_GB2312" w:eastAsia="仿宋_GB2312"/>
          <w:sz w:val="32"/>
          <w:szCs w:val="32"/>
        </w:rPr>
        <w:t>2.公务用车购置及运行维护费支出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万元,完成预算</w:t>
      </w:r>
      <w:r>
        <w:rPr>
          <w:rFonts w:hint="eastAsia" w:ascii="仿宋_GB2312" w:eastAsia="仿宋_GB2312"/>
          <w:sz w:val="32"/>
          <w:szCs w:val="32"/>
          <w:lang w:val="en-US" w:eastAsia="zh-CN"/>
        </w:rPr>
        <w:t>0.0</w:t>
      </w:r>
      <w:r>
        <w:rPr>
          <w:rFonts w:hint="eastAsia" w:ascii="仿宋_GB2312" w:eastAsia="仿宋_GB2312"/>
          <w:sz w:val="32"/>
          <w:szCs w:val="32"/>
        </w:rPr>
        <w:t>%。公务用车购置及运行维护费支出决算</w:t>
      </w:r>
      <w:r>
        <w:rPr>
          <w:rFonts w:hint="eastAsia" w:ascii="仿宋_GB2312" w:eastAsia="仿宋_GB2312"/>
          <w:sz w:val="32"/>
          <w:szCs w:val="32"/>
          <w:lang w:val="en-US" w:eastAsia="zh-CN"/>
        </w:rPr>
        <w:t>与</w:t>
      </w:r>
      <w:r>
        <w:rPr>
          <w:rFonts w:hint="eastAsia" w:ascii="仿宋_GB2312" w:eastAsia="仿宋_GB2312"/>
          <w:sz w:val="32"/>
          <w:szCs w:val="32"/>
        </w:rPr>
        <w:t>2021年持平</w:t>
      </w:r>
      <w:r>
        <w:rPr>
          <w:rFonts w:hint="eastAsia" w:ascii="仿宋_GB2312" w:eastAsia="仿宋_GB2312"/>
          <w:sz w:val="32"/>
          <w:szCs w:val="32"/>
          <w:lang w:eastAsia="zh-CN"/>
        </w:rPr>
        <w:t>。</w:t>
      </w:r>
      <w:r>
        <w:rPr>
          <w:rFonts w:hint="eastAsia" w:ascii="仿宋_GB2312" w:eastAsia="仿宋_GB2312"/>
          <w:sz w:val="32"/>
          <w:szCs w:val="32"/>
        </w:rPr>
        <w:t>其中：公务用车购置支出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ascii="仿宋" w:hAnsi="仿宋" w:eastAsia="仿宋"/>
          <w:sz w:val="32"/>
          <w:szCs w:val="32"/>
        </w:rPr>
      </w:pPr>
      <w:r>
        <w:rPr>
          <w:rFonts w:hint="eastAsia" w:ascii="仿宋_GB2312" w:eastAsia="仿宋_GB2312"/>
          <w:sz w:val="32"/>
          <w:szCs w:val="32"/>
        </w:rPr>
        <w:t>3.公务接待费支出</w:t>
      </w:r>
      <w:r>
        <w:rPr>
          <w:rFonts w:hint="eastAsia" w:ascii="仿宋_GB2312" w:eastAsia="仿宋_GB2312"/>
          <w:sz w:val="32"/>
          <w:szCs w:val="32"/>
          <w:lang w:val="en-US" w:eastAsia="zh-CN"/>
        </w:rPr>
        <w:t>0.38</w:t>
      </w:r>
      <w:r>
        <w:rPr>
          <w:rFonts w:hint="eastAsia" w:ascii="仿宋_GB2312" w:eastAsia="仿宋_GB2312"/>
          <w:sz w:val="32"/>
          <w:szCs w:val="32"/>
        </w:rPr>
        <w:t>万元，完成预算</w:t>
      </w:r>
      <w:r>
        <w:rPr>
          <w:rFonts w:hint="eastAsia" w:ascii="仿宋_GB2312" w:eastAsia="仿宋_GB2312"/>
          <w:sz w:val="32"/>
          <w:szCs w:val="32"/>
          <w:lang w:val="en-US" w:eastAsia="zh-CN"/>
        </w:rPr>
        <w:t>76</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21年增加</w:t>
      </w:r>
      <w:r>
        <w:rPr>
          <w:rFonts w:hint="eastAsia" w:ascii="仿宋_GB2312" w:eastAsia="仿宋_GB2312"/>
          <w:sz w:val="32"/>
          <w:szCs w:val="32"/>
          <w:lang w:val="en-US" w:eastAsia="zh-CN"/>
        </w:rPr>
        <w:t>0.02</w:t>
      </w:r>
      <w:r>
        <w:rPr>
          <w:rFonts w:hint="eastAsia" w:ascii="仿宋_GB2312" w:eastAsia="仿宋_GB2312"/>
          <w:sz w:val="32"/>
          <w:szCs w:val="32"/>
        </w:rPr>
        <w:t>万元，</w:t>
      </w:r>
      <w:r>
        <w:rPr>
          <w:rFonts w:hint="eastAsia" w:ascii="仿宋" w:hAnsi="仿宋" w:eastAsia="仿宋"/>
          <w:sz w:val="32"/>
          <w:szCs w:val="32"/>
        </w:rPr>
        <w:t>增长</w:t>
      </w:r>
      <w:r>
        <w:rPr>
          <w:rFonts w:hint="eastAsia" w:ascii="仿宋" w:hAnsi="仿宋" w:eastAsia="仿宋"/>
          <w:sz w:val="32"/>
          <w:szCs w:val="32"/>
          <w:lang w:val="en-US" w:eastAsia="zh-CN"/>
        </w:rPr>
        <w:t>5.5</w:t>
      </w:r>
      <w:r>
        <w:rPr>
          <w:rFonts w:hint="eastAsia" w:ascii="仿宋" w:hAnsi="仿宋" w:eastAsia="仿宋"/>
          <w:sz w:val="32"/>
          <w:szCs w:val="32"/>
        </w:rPr>
        <w:t>%。决算数小于预算数的主要原因是</w:t>
      </w:r>
      <w:r>
        <w:rPr>
          <w:rFonts w:hint="eastAsia" w:ascii="仿宋_GB2312" w:eastAsia="仿宋_GB2312"/>
          <w:color w:val="auto"/>
          <w:sz w:val="32"/>
          <w:szCs w:val="32"/>
        </w:rPr>
        <w:t>到局检查工作、学习接待减</w:t>
      </w:r>
      <w:r>
        <w:rPr>
          <w:rFonts w:hint="eastAsia" w:ascii="仿宋_GB2312" w:eastAsia="仿宋_GB2312"/>
          <w:color w:val="auto"/>
          <w:sz w:val="32"/>
          <w:szCs w:val="32"/>
          <w:lang w:val="en-US" w:eastAsia="zh-CN"/>
        </w:rPr>
        <w:t>少</w:t>
      </w:r>
      <w:r>
        <w:rPr>
          <w:rFonts w:hint="eastAsia" w:ascii="仿宋" w:hAnsi="仿宋" w:eastAsia="仿宋"/>
          <w:sz w:val="32"/>
          <w:szCs w:val="32"/>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其中：</w:t>
      </w:r>
      <w:r>
        <w:rPr>
          <w:rFonts w:hint="eastAsia" w:ascii="仿宋" w:hAnsi="仿宋" w:eastAsia="仿宋"/>
          <w:sz w:val="32"/>
          <w:szCs w:val="32"/>
        </w:rPr>
        <w:t>国内公务接待支出</w:t>
      </w:r>
      <w:r>
        <w:rPr>
          <w:rFonts w:hint="eastAsia" w:ascii="仿宋" w:hAnsi="仿宋" w:eastAsia="仿宋"/>
          <w:sz w:val="32"/>
          <w:szCs w:val="32"/>
          <w:lang w:val="en-US" w:eastAsia="zh-CN"/>
        </w:rPr>
        <w:t>0.38</w:t>
      </w:r>
      <w:r>
        <w:rPr>
          <w:rFonts w:hint="eastAsia" w:ascii="仿宋" w:hAnsi="仿宋" w:eastAsia="仿宋"/>
          <w:sz w:val="32"/>
          <w:szCs w:val="32"/>
        </w:rPr>
        <w:t>万元，</w:t>
      </w:r>
      <w:r>
        <w:rPr>
          <w:rFonts w:hint="eastAsia" w:ascii="仿宋_GB2312" w:eastAsia="仿宋_GB2312"/>
          <w:sz w:val="32"/>
          <w:szCs w:val="32"/>
        </w:rPr>
        <w:t>主要</w:t>
      </w:r>
      <w:r>
        <w:rPr>
          <w:rFonts w:hint="eastAsia" w:ascii="仿宋_GB2312" w:eastAsia="仿宋_GB2312"/>
          <w:color w:val="000000"/>
          <w:sz w:val="32"/>
          <w:szCs w:val="32"/>
        </w:rPr>
        <w:t>用于执行公务、开展业务活动开支的交通费、住宿费、用餐费等。国内公务接待</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42</w:t>
      </w:r>
      <w:r>
        <w:rPr>
          <w:rFonts w:hint="eastAsia" w:ascii="仿宋_GB2312" w:eastAsia="仿宋_GB2312"/>
          <w:color w:val="000000"/>
          <w:sz w:val="32"/>
          <w:szCs w:val="32"/>
        </w:rPr>
        <w:t>人次（包括陪同人员），共计支出0.</w:t>
      </w:r>
      <w:r>
        <w:rPr>
          <w:rFonts w:hint="eastAsia" w:ascii="仿宋_GB2312" w:eastAsia="仿宋_GB2312"/>
          <w:color w:val="000000"/>
          <w:sz w:val="32"/>
          <w:szCs w:val="32"/>
          <w:lang w:val="en-US" w:eastAsia="zh-CN"/>
        </w:rPr>
        <w:t>38</w:t>
      </w:r>
      <w:r>
        <w:rPr>
          <w:rFonts w:hint="eastAsia" w:ascii="仿宋_GB2312" w:eastAsia="仿宋_GB2312"/>
          <w:color w:val="000000"/>
          <w:sz w:val="32"/>
          <w:szCs w:val="32"/>
        </w:rPr>
        <w:t>万元，具体内容包括接待上级部门督查工作、及其他市州县区考察学习等用餐费</w:t>
      </w:r>
      <w:r>
        <w:rPr>
          <w:rFonts w:hint="eastAsia" w:ascii="仿宋_GB2312" w:eastAsia="仿宋_GB2312"/>
          <w:color w:val="000000"/>
          <w:sz w:val="32"/>
          <w:szCs w:val="32"/>
          <w:lang w:eastAsia="zh-CN"/>
        </w:rPr>
        <w:t>。</w:t>
      </w:r>
    </w:p>
    <w:p>
      <w:pPr>
        <w:spacing w:line="600" w:lineRule="exact"/>
        <w:ind w:firstLine="640" w:firstLineChars="200"/>
        <w:rPr>
          <w:rFonts w:hint="eastAsia" w:ascii="仿宋_GB2312" w:eastAsia="仿宋_GB2312"/>
          <w:sz w:val="32"/>
          <w:szCs w:val="32"/>
        </w:rPr>
      </w:pPr>
      <w:r>
        <w:rPr>
          <w:rFonts w:hint="eastAsia" w:ascii="仿宋_GB2312" w:eastAsia="仿宋_GB2312"/>
          <w:color w:val="000000"/>
          <w:sz w:val="32"/>
          <w:szCs w:val="32"/>
        </w:rPr>
        <w:t>外事接待支出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sz w:val="32"/>
          <w:szCs w:val="32"/>
        </w:rPr>
        <w:t>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outlineLvl w:val="1"/>
        <w:rPr>
          <w:rStyle w:val="30"/>
          <w:rFonts w:ascii="黑体" w:hAnsi="黑体" w:eastAsia="黑体"/>
        </w:rPr>
      </w:pPr>
      <w:bookmarkStart w:id="73" w:name="_Toc15396610"/>
      <w:bookmarkStart w:id="74" w:name="_Toc26295"/>
      <w:bookmarkStart w:id="75" w:name="_Toc15377218"/>
      <w:r>
        <w:rPr>
          <w:rFonts w:hint="eastAsia" w:ascii="黑体" w:eastAsia="黑体"/>
          <w:sz w:val="32"/>
          <w:szCs w:val="32"/>
        </w:rPr>
        <w:t>八、</w:t>
      </w:r>
      <w:r>
        <w:rPr>
          <w:rStyle w:val="30"/>
          <w:rFonts w:hint="eastAsia" w:ascii="黑体" w:hAnsi="黑体" w:eastAsia="黑体"/>
          <w:b w:val="0"/>
        </w:rPr>
        <w:t>政府性基金预算支出决算情况说明</w:t>
      </w:r>
      <w:bookmarkEnd w:id="73"/>
      <w:bookmarkEnd w:id="74"/>
      <w:bookmarkEnd w:id="75"/>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30"/>
          <w:rFonts w:ascii="黑体" w:hAnsi="黑体" w:eastAsia="黑体"/>
          <w:b w:val="0"/>
        </w:rPr>
      </w:pPr>
      <w:bookmarkStart w:id="76" w:name="_Toc6095"/>
      <w:bookmarkStart w:id="77" w:name="_Toc15377219"/>
      <w:bookmarkStart w:id="78" w:name="_Toc15396611"/>
      <w:r>
        <w:rPr>
          <w:rStyle w:val="30"/>
          <w:rFonts w:hint="eastAsia" w:ascii="黑体" w:hAnsi="黑体" w:eastAsia="黑体"/>
          <w:b w:val="0"/>
        </w:rPr>
        <w:t>国有资本经营预算支出决算情况说明</w:t>
      </w:r>
      <w:bookmarkEnd w:id="76"/>
      <w:bookmarkEnd w:id="77"/>
      <w:bookmarkEnd w:id="78"/>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0"/>
        </w:numPr>
        <w:spacing w:line="600" w:lineRule="exact"/>
        <w:ind w:firstLine="640" w:firstLineChars="200"/>
        <w:outlineLvl w:val="1"/>
        <w:rPr>
          <w:rStyle w:val="30"/>
          <w:rFonts w:ascii="黑体" w:hAnsi="黑体" w:eastAsia="黑体"/>
          <w:b w:val="0"/>
        </w:rPr>
      </w:pPr>
      <w:bookmarkStart w:id="79" w:name="_Toc15377221"/>
      <w:bookmarkStart w:id="80" w:name="_Toc3212"/>
      <w:bookmarkStart w:id="81" w:name="_Toc15396612"/>
      <w:r>
        <w:rPr>
          <w:rStyle w:val="30"/>
          <w:rFonts w:hint="eastAsia" w:ascii="黑体" w:hAnsi="黑体" w:eastAsia="黑体"/>
          <w:b w:val="0"/>
          <w:lang w:val="en-US" w:eastAsia="zh-CN"/>
        </w:rPr>
        <w:t>十、</w:t>
      </w:r>
      <w:r>
        <w:rPr>
          <w:rStyle w:val="30"/>
          <w:rFonts w:hint="eastAsia" w:ascii="黑体" w:hAnsi="黑体" w:eastAsia="黑体"/>
          <w:b w:val="0"/>
        </w:rPr>
        <w:t>其他重要事项的情况说明</w:t>
      </w:r>
      <w:bookmarkEnd w:id="79"/>
      <w:bookmarkEnd w:id="80"/>
      <w:bookmarkEnd w:id="81"/>
    </w:p>
    <w:p>
      <w:pPr>
        <w:spacing w:line="600" w:lineRule="exact"/>
        <w:ind w:firstLine="643" w:firstLineChars="200"/>
        <w:outlineLvl w:val="2"/>
        <w:rPr>
          <w:rFonts w:ascii="仿宋" w:hAnsi="仿宋" w:eastAsia="仿宋"/>
          <w:sz w:val="32"/>
          <w:szCs w:val="32"/>
        </w:rPr>
      </w:pPr>
      <w:bookmarkStart w:id="82" w:name="_Toc23862"/>
      <w:bookmarkStart w:id="83" w:name="_Toc15377222"/>
      <w:r>
        <w:rPr>
          <w:rFonts w:hint="eastAsia" w:ascii="仿宋" w:hAnsi="仿宋" w:eastAsia="仿宋"/>
          <w:b/>
          <w:sz w:val="32"/>
          <w:szCs w:val="32"/>
        </w:rPr>
        <w:t>（一）机关运行经费支出情况</w:t>
      </w:r>
      <w:bookmarkEnd w:id="82"/>
      <w:bookmarkEnd w:id="8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w:t>
      </w:r>
      <w:r>
        <w:rPr>
          <w:rFonts w:hint="eastAsia" w:ascii="仿宋_GB2312" w:eastAsia="仿宋_GB2312"/>
          <w:sz w:val="32"/>
          <w:szCs w:val="32"/>
          <w:lang w:val="en-US" w:eastAsia="zh-CN"/>
        </w:rPr>
        <w:t>乐至县行政审批局</w:t>
      </w:r>
      <w:r>
        <w:rPr>
          <w:rFonts w:hint="eastAsia" w:ascii="仿宋_GB2312" w:eastAsia="仿宋_GB2312"/>
          <w:sz w:val="32"/>
          <w:szCs w:val="32"/>
        </w:rPr>
        <w:t>机关运行经费支出</w:t>
      </w:r>
      <w:r>
        <w:rPr>
          <w:rFonts w:hint="eastAsia" w:ascii="仿宋_GB2312" w:eastAsia="仿宋_GB2312"/>
          <w:sz w:val="32"/>
          <w:szCs w:val="32"/>
          <w:lang w:val="en-US" w:eastAsia="zh-CN"/>
        </w:rPr>
        <w:t>22.24</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0.61</w:t>
      </w:r>
      <w:r>
        <w:rPr>
          <w:rFonts w:hint="eastAsia" w:ascii="仿宋_GB2312" w:eastAsia="仿宋_GB2312"/>
          <w:sz w:val="32"/>
          <w:szCs w:val="32"/>
        </w:rPr>
        <w:t>万元，下降</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2022年</w:t>
      </w:r>
      <w:r>
        <w:rPr>
          <w:rFonts w:hint="eastAsia" w:ascii="仿宋_GB2312" w:eastAsia="仿宋_GB2312"/>
          <w:color w:val="000000"/>
          <w:sz w:val="32"/>
          <w:szCs w:val="32"/>
        </w:rPr>
        <w:t>其他商品和服务支出</w:t>
      </w:r>
      <w:r>
        <w:rPr>
          <w:rFonts w:hint="eastAsia" w:ascii="仿宋_GB2312" w:eastAsia="仿宋_GB2312"/>
          <w:sz w:val="32"/>
          <w:szCs w:val="32"/>
          <w:lang w:val="en-US" w:eastAsia="zh-CN"/>
        </w:rPr>
        <w:t>减少</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4" w:name="_Toc15377223"/>
      <w:bookmarkStart w:id="85" w:name="_Toc18887"/>
      <w:r>
        <w:rPr>
          <w:rFonts w:hint="eastAsia" w:ascii="仿宋" w:hAnsi="仿宋" w:eastAsia="仿宋"/>
          <w:b/>
          <w:sz w:val="32"/>
          <w:szCs w:val="32"/>
        </w:rPr>
        <w:t>（二）政府采购支出情况</w:t>
      </w:r>
      <w:bookmarkEnd w:id="84"/>
      <w:bookmarkEnd w:id="85"/>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乐至县行政审批局</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6" w:name="_Toc15377224"/>
      <w:bookmarkStart w:id="87" w:name="_Toc26332"/>
      <w:r>
        <w:rPr>
          <w:rFonts w:hint="eastAsia" w:ascii="仿宋" w:hAnsi="仿宋" w:eastAsia="仿宋"/>
          <w:b/>
          <w:sz w:val="32"/>
          <w:szCs w:val="32"/>
        </w:rPr>
        <w:t>（三）国有资产占有使用情况</w:t>
      </w:r>
      <w:bookmarkEnd w:id="86"/>
      <w:bookmarkEnd w:id="87"/>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乐至县行政审批局</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8" w:name="_Toc11248"/>
      <w:r>
        <w:rPr>
          <w:rFonts w:hint="eastAsia" w:ascii="仿宋" w:hAnsi="仿宋" w:eastAsia="仿宋"/>
          <w:b/>
          <w:sz w:val="32"/>
          <w:szCs w:val="32"/>
        </w:rPr>
        <w:t>（四）预算绩效管理情况</w:t>
      </w:r>
      <w:bookmarkEnd w:id="88"/>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根据预算绩效管理要求，本部门在2022年度预算编制阶段，组织对政务大厅网络租赁费项目、政务大厅运行经费项目、县投资建设项目服务办工作经费项目开展了预算事前绩效评估，对3个项目编制了绩效目标，预算执行过程中，选取3个项目开展绩效监控</w:t>
      </w:r>
      <w:r>
        <w:rPr>
          <w:rFonts w:hint="eastAsia" w:ascii="仿宋_GB2312" w:hAnsi="仿宋_GB2312" w:eastAsia="仿宋_GB2312" w:cs="仿宋_GB2312"/>
          <w:sz w:val="32"/>
          <w:szCs w:val="32"/>
          <w:lang w:eastAsia="zh-CN"/>
        </w:rPr>
        <w:t>。</w:t>
      </w:r>
    </w:p>
    <w:p>
      <w:pPr>
        <w:pStyle w:val="28"/>
        <w:tabs>
          <w:tab w:val="left" w:pos="996"/>
        </w:tabs>
        <w:spacing w:line="552" w:lineRule="exact"/>
        <w:ind w:lef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组织对2022年度一般公共预算全面开展绩效自评，形成</w:t>
      </w:r>
      <w:r>
        <w:rPr>
          <w:rFonts w:hint="eastAsia" w:ascii="仿宋_GB2312" w:hAnsi="仿宋_GB2312" w:eastAsia="仿宋_GB2312" w:cs="仿宋_GB2312"/>
          <w:sz w:val="32"/>
          <w:szCs w:val="32"/>
          <w:lang w:val="en-US" w:eastAsia="zh-CN"/>
        </w:rPr>
        <w:t>乐至县行政审批局</w:t>
      </w:r>
      <w:r>
        <w:rPr>
          <w:rFonts w:hint="eastAsia" w:ascii="仿宋_GB2312" w:hAnsi="仿宋_GB2312" w:eastAsia="仿宋_GB2312" w:cs="仿宋_GB2312"/>
          <w:sz w:val="32"/>
          <w:szCs w:val="32"/>
        </w:rPr>
        <w:t>部门整体（含部门预算项目）绩效自评报告、政务大厅网络租赁费项目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政务大厅运行经费项目、县投资建设项目服务办工作经费项目等</w:t>
      </w:r>
      <w:r>
        <w:rPr>
          <w:rFonts w:hint="eastAsia" w:ascii="仿宋_GB2312" w:hAnsi="仿宋_GB2312" w:eastAsia="仿宋_GB2312" w:cs="仿宋_GB2312"/>
          <w:sz w:val="32"/>
          <w:szCs w:val="32"/>
          <w:lang w:val="en-US" w:eastAsia="zh-CN"/>
        </w:rPr>
        <w:t>3个</w:t>
      </w:r>
      <w:r>
        <w:rPr>
          <w:rFonts w:hint="eastAsia" w:ascii="仿宋_GB2312" w:hAnsi="仿宋_GB2312" w:eastAsia="仿宋_GB2312" w:cs="仿宋_GB2312"/>
          <w:sz w:val="32"/>
          <w:szCs w:val="32"/>
        </w:rPr>
        <w:t>专项预算项目绩效自评报告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乐至县行政审批局部门整体支出绩效自评得分96分。绩效自评综述：我局2022年部门整体支出绩效为优，我局高度重视支出绩效评价工作，严格按照要求，切实履行支出绩效评价主体责任，本着客观、真实、准确的原则开展部门项目支出，依据自评得分确定项目绩效等级，并对自评报告的真实性、准确性负责。各项目标达到了相应时期执行进度，各项目经费按预算实施，使财政收支预算执</w:t>
      </w:r>
      <w:r>
        <w:rPr>
          <w:rFonts w:hint="eastAsia" w:ascii="仿宋_GB2312" w:hAnsi="宋体" w:eastAsia="仿宋_GB2312" w:cs="宋体"/>
          <w:sz w:val="32"/>
          <w:szCs w:val="32"/>
        </w:rPr>
        <w:t>行都得到了良好的制度保障和实施效果。</w:t>
      </w:r>
      <w:r>
        <w:rPr>
          <w:rFonts w:hint="eastAsia" w:ascii="仿宋_GB2312" w:hAnsi="仿宋_GB2312" w:eastAsia="仿宋_GB2312" w:cs="仿宋_GB2312"/>
          <w:sz w:val="32"/>
          <w:szCs w:val="32"/>
          <w:lang w:val="en-US" w:eastAsia="zh-CN"/>
        </w:rPr>
        <w:t>3个</w:t>
      </w:r>
      <w:r>
        <w:rPr>
          <w:rFonts w:hint="eastAsia" w:ascii="仿宋_GB2312" w:hAnsi="仿宋_GB2312" w:eastAsia="仿宋_GB2312" w:cs="仿宋_GB2312"/>
          <w:sz w:val="32"/>
          <w:szCs w:val="32"/>
        </w:rPr>
        <w:t>专项预算项目</w:t>
      </w:r>
      <w:r>
        <w:rPr>
          <w:rFonts w:hint="eastAsia" w:ascii="仿宋_GB2312" w:hAnsi="仿宋_GB2312" w:eastAsia="仿宋_GB2312" w:cs="仿宋_GB2312"/>
          <w:sz w:val="32"/>
          <w:szCs w:val="32"/>
          <w:lang w:eastAsia="zh-CN"/>
        </w:rPr>
        <w:t>：</w:t>
      </w:r>
      <w:r>
        <w:rPr>
          <w:rFonts w:hint="eastAsia" w:ascii="仿宋_GB2312" w:hAnsi="宋体" w:eastAsia="仿宋_GB2312" w:cs="宋体"/>
          <w:sz w:val="32"/>
          <w:szCs w:val="32"/>
        </w:rPr>
        <w:t>政务大厅网络租赁费项目支出绩效自我评价</w:t>
      </w:r>
      <w:r>
        <w:rPr>
          <w:rFonts w:hint="eastAsia" w:ascii="仿宋_GB2312" w:hAnsi="宋体" w:eastAsia="仿宋_GB2312" w:cs="宋体"/>
          <w:color w:val="auto"/>
          <w:sz w:val="32"/>
          <w:szCs w:val="32"/>
        </w:rPr>
        <w:t>打分9</w:t>
      </w:r>
      <w:r>
        <w:rPr>
          <w:rFonts w:hint="eastAsia" w:ascii="仿宋_GB2312" w:hAnsi="宋体" w:eastAsia="仿宋_GB2312" w:cs="宋体"/>
          <w:color w:val="auto"/>
          <w:sz w:val="32"/>
          <w:szCs w:val="32"/>
          <w:lang w:val="en-US" w:eastAsia="zh-CN"/>
        </w:rPr>
        <w:t>6</w:t>
      </w:r>
      <w:r>
        <w:rPr>
          <w:rFonts w:hint="eastAsia" w:ascii="仿宋_GB2312" w:hAnsi="宋体" w:eastAsia="仿宋_GB2312" w:cs="宋体"/>
          <w:color w:val="auto"/>
          <w:sz w:val="32"/>
          <w:szCs w:val="32"/>
        </w:rPr>
        <w:t>分</w:t>
      </w:r>
      <w:r>
        <w:rPr>
          <w:rFonts w:hint="eastAsia" w:ascii="仿宋_GB2312" w:hAnsi="宋体" w:eastAsia="仿宋_GB2312" w:cs="宋体"/>
          <w:color w:val="auto"/>
          <w:sz w:val="32"/>
          <w:szCs w:val="32"/>
          <w:lang w:eastAsia="zh-CN"/>
        </w:rPr>
        <w:t>、</w:t>
      </w:r>
      <w:r>
        <w:rPr>
          <w:rFonts w:hint="eastAsia" w:ascii="仿宋_GB2312" w:hAnsi="仿宋_GB2312" w:eastAsia="仿宋_GB2312" w:cs="仿宋_GB2312"/>
          <w:sz w:val="32"/>
          <w:szCs w:val="32"/>
        </w:rPr>
        <w:t>政务大厅运行经费项目</w:t>
      </w:r>
      <w:r>
        <w:rPr>
          <w:rFonts w:hint="eastAsia" w:ascii="仿宋_GB2312" w:hAnsi="宋体" w:eastAsia="仿宋_GB2312" w:cs="宋体"/>
          <w:sz w:val="32"/>
          <w:szCs w:val="32"/>
        </w:rPr>
        <w:t>支出绩效自我评价打分9</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分</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县投资建设项目办工作经费项目支出绩效自我评价打分9</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分</w:t>
      </w:r>
      <w:r>
        <w:rPr>
          <w:rFonts w:hint="eastAsia" w:ascii="仿宋_GB2312" w:hAnsi="宋体" w:eastAsia="仿宋_GB2312" w:cs="宋体"/>
          <w:sz w:val="32"/>
          <w:szCs w:val="32"/>
          <w:lang w:eastAsia="zh-CN"/>
        </w:rPr>
        <w:t>。</w:t>
      </w:r>
      <w:r>
        <w:rPr>
          <w:rFonts w:hint="eastAsia" w:ascii="仿宋_GB2312" w:hAnsi="仿宋_GB2312" w:eastAsia="仿宋_GB2312" w:cs="仿宋_GB2312"/>
          <w:sz w:val="32"/>
          <w:szCs w:val="32"/>
        </w:rPr>
        <w:t>绩效自评综述：</w:t>
      </w:r>
      <w:r>
        <w:rPr>
          <w:rFonts w:hint="eastAsia" w:ascii="Times New Roman" w:hAnsi="Times New Roman" w:eastAsia="仿宋_GB2312"/>
          <w:sz w:val="32"/>
          <w:szCs w:val="32"/>
        </w:rPr>
        <w:t>总体上看，</w:t>
      </w:r>
      <w:r>
        <w:rPr>
          <w:rFonts w:hint="eastAsia" w:eastAsia="仿宋_GB2312"/>
          <w:sz w:val="32"/>
          <w:szCs w:val="32"/>
          <w:lang w:val="en-US" w:eastAsia="zh-CN"/>
        </w:rPr>
        <w:t>3个</w:t>
      </w:r>
      <w:r>
        <w:rPr>
          <w:rFonts w:hint="eastAsia" w:ascii="Times New Roman" w:hAnsi="Times New Roman" w:eastAsia="仿宋_GB2312"/>
          <w:sz w:val="32"/>
          <w:szCs w:val="32"/>
        </w:rPr>
        <w:t>项目立项必要性和依据充分，绩效目标明确</w:t>
      </w:r>
      <w:r>
        <w:rPr>
          <w:rFonts w:hint="eastAsia" w:ascii="Times New Roman"/>
          <w:sz w:val="32"/>
          <w:szCs w:val="32"/>
          <w:lang w:eastAsia="zh-CN"/>
        </w:rPr>
        <w:t>。</w:t>
      </w:r>
      <w:r>
        <w:rPr>
          <w:rFonts w:hint="eastAsia" w:ascii="Times New Roman" w:hAnsi="Times New Roman" w:eastAsia="仿宋_GB2312"/>
          <w:sz w:val="32"/>
          <w:szCs w:val="32"/>
        </w:rPr>
        <w:t>通过项目实施，</w:t>
      </w:r>
      <w:r>
        <w:rPr>
          <w:rFonts w:hint="eastAsia" w:ascii="仿宋_GB2312" w:eastAsia="仿宋_GB2312"/>
          <w:color w:val="000000"/>
          <w:sz w:val="32"/>
          <w:szCs w:val="32"/>
        </w:rPr>
        <w:t>保障</w:t>
      </w:r>
      <w:r>
        <w:rPr>
          <w:rFonts w:hint="eastAsia" w:ascii="仿宋_GB2312" w:eastAsia="仿宋_GB2312"/>
          <w:color w:val="000000"/>
          <w:sz w:val="32"/>
          <w:szCs w:val="32"/>
          <w:lang w:eastAsia="zh-CN"/>
        </w:rPr>
        <w:t>了</w:t>
      </w:r>
      <w:r>
        <w:rPr>
          <w:rFonts w:hint="eastAsia" w:ascii="仿宋_GB2312" w:eastAsia="仿宋_GB2312"/>
          <w:color w:val="000000"/>
          <w:sz w:val="32"/>
          <w:szCs w:val="32"/>
        </w:rPr>
        <w:t>单位网络畅通，实现全省互联互通。提高</w:t>
      </w:r>
      <w:r>
        <w:rPr>
          <w:rFonts w:hint="eastAsia" w:ascii="仿宋_GB2312" w:eastAsia="仿宋_GB2312"/>
          <w:color w:val="000000"/>
          <w:sz w:val="32"/>
          <w:szCs w:val="32"/>
          <w:lang w:eastAsia="zh-CN"/>
        </w:rPr>
        <w:t>了</w:t>
      </w:r>
      <w:r>
        <w:rPr>
          <w:rFonts w:hint="eastAsia" w:ascii="仿宋_GB2312" w:eastAsia="仿宋_GB2312"/>
          <w:color w:val="000000"/>
          <w:sz w:val="32"/>
          <w:szCs w:val="32"/>
        </w:rPr>
        <w:t>业务办理水平</w:t>
      </w:r>
      <w:r>
        <w:rPr>
          <w:rFonts w:hint="eastAsia" w:ascii="仿宋_GB2312" w:eastAsia="仿宋_GB2312"/>
          <w:color w:val="000000"/>
          <w:sz w:val="32"/>
          <w:szCs w:val="32"/>
          <w:lang w:eastAsia="zh-CN"/>
        </w:rPr>
        <w:t>。</w:t>
      </w:r>
      <w:r>
        <w:rPr>
          <w:rFonts w:hint="eastAsia" w:ascii="仿宋_GB2312" w:eastAsia="仿宋_GB2312"/>
          <w:color w:val="000000"/>
          <w:sz w:val="32"/>
          <w:szCs w:val="32"/>
        </w:rPr>
        <w:t>为群众服务，让群众满意，积极为全县经济和社会发展营造良好的服务软环境。</w:t>
      </w:r>
      <w:r>
        <w:rPr>
          <w:rFonts w:hint="eastAsia" w:ascii="仿宋_GB2312" w:hAnsi="宋体" w:eastAsia="仿宋_GB2312" w:cs="宋体"/>
          <w:sz w:val="32"/>
          <w:szCs w:val="32"/>
        </w:rPr>
        <w:t>加强</w:t>
      </w:r>
      <w:r>
        <w:rPr>
          <w:rFonts w:hint="eastAsia" w:hAnsi="宋体" w:cs="宋体"/>
          <w:sz w:val="32"/>
          <w:szCs w:val="32"/>
          <w:lang w:val="en-US" w:eastAsia="zh-CN"/>
        </w:rPr>
        <w:t>了</w:t>
      </w:r>
      <w:r>
        <w:rPr>
          <w:rFonts w:hint="eastAsia" w:ascii="仿宋_GB2312" w:hAnsi="宋体" w:eastAsia="仿宋_GB2312" w:cs="宋体"/>
          <w:sz w:val="32"/>
          <w:szCs w:val="32"/>
        </w:rPr>
        <w:t>对本局财政支出经济活动的风险防范和管控，实现绩效工作规范化、科学化。</w:t>
      </w:r>
      <w:r>
        <w:rPr>
          <w:rFonts w:hint="eastAsia" w:ascii="仿宋_GB2312" w:hAnsi="仿宋_GB2312" w:eastAsia="仿宋_GB2312" w:cs="仿宋_GB2312"/>
          <w:sz w:val="32"/>
          <w:szCs w:val="32"/>
        </w:rPr>
        <w:t>绩效自评报告详见附件。</w:t>
      </w: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spacing w:before="93"/>
      </w:pPr>
    </w:p>
    <w:p/>
    <w:p>
      <w:pPr>
        <w:pStyle w:val="2"/>
      </w:pPr>
    </w:p>
    <w:p>
      <w:pPr>
        <w:pStyle w:val="2"/>
      </w:pPr>
    </w:p>
    <w:p>
      <w:pPr>
        <w:numPr>
          <w:ilvl w:val="0"/>
          <w:numId w:val="3"/>
        </w:numPr>
        <w:spacing w:line="600" w:lineRule="exact"/>
        <w:ind w:firstLine="660" w:firstLineChars="150"/>
        <w:jc w:val="center"/>
        <w:outlineLvl w:val="0"/>
        <w:rPr>
          <w:rStyle w:val="29"/>
          <w:rFonts w:ascii="黑体" w:hAnsi="黑体" w:eastAsia="黑体"/>
          <w:b w:val="0"/>
        </w:rPr>
      </w:pPr>
      <w:bookmarkStart w:id="89" w:name="_Toc15377225"/>
      <w:bookmarkStart w:id="90" w:name="_Toc15396613"/>
      <w:bookmarkStart w:id="91" w:name="_Toc31144"/>
      <w:r>
        <w:rPr>
          <w:rFonts w:hint="eastAsia" w:ascii="黑体" w:hAnsi="黑体" w:eastAsia="黑体"/>
          <w:sz w:val="44"/>
          <w:szCs w:val="44"/>
        </w:rPr>
        <w:t>名</w:t>
      </w:r>
      <w:r>
        <w:rPr>
          <w:rStyle w:val="29"/>
          <w:rFonts w:hint="eastAsia" w:ascii="黑体" w:hAnsi="黑体" w:eastAsia="黑体"/>
          <w:b w:val="0"/>
        </w:rPr>
        <w:t>词解释</w:t>
      </w:r>
      <w:bookmarkEnd w:id="89"/>
      <w:bookmarkEnd w:id="90"/>
      <w:bookmarkEnd w:id="91"/>
    </w:p>
    <w:p>
      <w:pPr>
        <w:spacing w:line="600" w:lineRule="exact"/>
        <w:jc w:val="left"/>
        <w:rPr>
          <w:rFonts w:ascii="宋体"/>
          <w:b/>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7"/>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7"/>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201）财政事务（06）财政运行（01）：指行政单位的基本支出；一般公共服务（201）财政事务（06）一般行政管理事务（02）：指行政单位未单独设置项级科目的其他项目支出；一般公共服务（201）财政事务（06）财事业运行（50）：指事业单位的基本支出，不包括行政单位后勤服务中心、医务室等附属事务单位。</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社会保障和就业（208）行政事业单位离退休（05）机关事业单位基本养老保险缴费支出（05）：指机关事业单位实施养老保险制度由单位缴纳的基本养老保险费支出；社会保障和就业（208）行政事业单位离退休（05）机关事业单位基本养老保险缴费支出（06）：指机关事业单位实施养老保险制度由单位缴纳的职业年金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医疗卫生与计划生育（210）行政事业单位医疗（11）行政单位医疗（01）：指财政部门安排的行政单位基本医疗保险缴费经费；医疗卫生与计划生育（210）行政事业单位医疗（11）事业单位医疗（02）：指财政部门安排的事业单位基本医疗保险缴费经费；医疗卫生与计划生育（210）行政事业单位医疗（11）公务员医疗补助（01）：指财政部门安排公务员医疗补助经费。</w:t>
      </w:r>
    </w:p>
    <w:p>
      <w:pPr>
        <w:ind w:firstLine="640" w:firstLineChars="200"/>
        <w:rPr>
          <w:rFonts w:hint="eastAsia" w:ascii="仿宋_GB2312" w:eastAsia="仿宋_GB2312"/>
          <w:color w:val="000000"/>
          <w:sz w:val="32"/>
          <w:szCs w:val="32"/>
          <w:lang w:eastAsia="zh-CN"/>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2</w:t>
      </w:r>
      <w:r>
        <w:rPr>
          <w:rFonts w:ascii="仿宋_GB2312" w:eastAsia="仿宋_GB2312"/>
          <w:color w:val="auto"/>
          <w:sz w:val="32"/>
          <w:szCs w:val="32"/>
        </w:rPr>
        <w:t>.</w:t>
      </w:r>
      <w:r>
        <w:rPr>
          <w:rFonts w:hint="eastAsia" w:ascii="仿宋_GB2312" w:eastAsia="仿宋_GB2312"/>
          <w:color w:val="auto"/>
          <w:sz w:val="32"/>
          <w:szCs w:val="32"/>
          <w:lang w:eastAsia="zh-CN"/>
        </w:rPr>
        <w:t>住房保障（类）</w:t>
      </w:r>
      <w:r>
        <w:rPr>
          <w:rFonts w:hint="eastAsia" w:ascii="仿宋_GB2312" w:eastAsia="仿宋_GB2312"/>
          <w:color w:val="auto"/>
          <w:sz w:val="32"/>
          <w:szCs w:val="32"/>
        </w:rPr>
        <w:t>2210201</w:t>
      </w:r>
      <w:r>
        <w:rPr>
          <w:rFonts w:hint="eastAsia" w:ascii="仿宋_GB2312" w:eastAsia="仿宋_GB2312"/>
          <w:sz w:val="32"/>
          <w:szCs w:val="32"/>
          <w:lang w:eastAsia="zh-CN"/>
        </w:rPr>
        <w:t>：</w:t>
      </w:r>
      <w:r>
        <w:rPr>
          <w:rFonts w:hint="eastAsia" w:ascii="仿宋_GB2312" w:eastAsia="仿宋_GB2312"/>
          <w:color w:val="000000"/>
          <w:sz w:val="32"/>
          <w:szCs w:val="32"/>
        </w:rPr>
        <w:t>指机关事业单位缴纳的</w:t>
      </w:r>
      <w:r>
        <w:rPr>
          <w:rFonts w:hint="eastAsia" w:ascii="仿宋_GB2312" w:eastAsia="仿宋_GB2312"/>
          <w:color w:val="000000"/>
          <w:sz w:val="32"/>
          <w:szCs w:val="32"/>
          <w:lang w:eastAsia="zh-CN"/>
        </w:rPr>
        <w:t>住房公积金。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13.</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4</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27"/>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30"/>
        <w:jc w:val="left"/>
        <w:outlineLvl w:val="0"/>
        <w:rPr>
          <w:rFonts w:ascii="仿宋_GB2312" w:eastAsia="仿宋_GB2312"/>
          <w:sz w:val="32"/>
          <w:szCs w:val="32"/>
        </w:rPr>
      </w:pPr>
      <w:bookmarkStart w:id="92" w:name="_Toc1377"/>
      <w:bookmarkStart w:id="93" w:name="_Toc2856"/>
      <w:bookmarkStart w:id="94" w:name="_Toc9170"/>
      <w:bookmarkStart w:id="95" w:name="_Toc15876"/>
      <w:r>
        <w:rPr>
          <w:rFonts w:hint="eastAsia" w:ascii="仿宋_GB2312" w:eastAsia="仿宋_GB2312"/>
          <w:sz w:val="32"/>
          <w:szCs w:val="32"/>
        </w:rPr>
        <w:t>1</w:t>
      </w: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End w:id="92"/>
      <w:bookmarkEnd w:id="93"/>
      <w:bookmarkEnd w:id="94"/>
      <w:bookmarkEnd w:id="95"/>
    </w:p>
    <w:p>
      <w:pPr>
        <w:spacing w:line="600" w:lineRule="exact"/>
        <w:jc w:val="both"/>
        <w:outlineLvl w:val="0"/>
        <w:rPr>
          <w:rFonts w:ascii="仿宋_GB2312" w:eastAsia="仿宋_GB2312" w:cs="黑体"/>
          <w:color w:val="auto"/>
          <w:sz w:val="32"/>
          <w:szCs w:val="32"/>
        </w:rPr>
      </w:pPr>
      <w:r>
        <w:rPr>
          <w:rFonts w:hint="eastAsia" w:ascii="黑体" w:hAnsi="黑体" w:eastAsia="黑体" w:cs="黑体"/>
          <w:sz w:val="32"/>
          <w:szCs w:val="32"/>
          <w:lang w:val="en-US" w:eastAsia="zh-CN"/>
        </w:rPr>
        <w:t xml:space="preserve">          </w:t>
      </w:r>
    </w:p>
    <w:p>
      <w:pPr>
        <w:numPr>
          <w:ilvl w:val="0"/>
          <w:numId w:val="3"/>
        </w:numPr>
        <w:spacing w:line="600" w:lineRule="exact"/>
        <w:ind w:left="0" w:leftChars="0" w:firstLine="663" w:firstLineChars="150"/>
        <w:jc w:val="center"/>
        <w:outlineLvl w:val="0"/>
        <w:rPr>
          <w:rStyle w:val="29"/>
          <w:rFonts w:hint="eastAsia" w:ascii="黑体" w:hAnsi="黑体" w:eastAsia="黑体"/>
          <w:b w:val="0"/>
        </w:rPr>
      </w:pPr>
      <w:bookmarkStart w:id="96" w:name="_Toc15377226"/>
      <w:r>
        <w:rPr>
          <w:rFonts w:ascii="宋体"/>
          <w:b/>
          <w:sz w:val="44"/>
          <w:szCs w:val="44"/>
        </w:rPr>
        <w:br w:type="page"/>
      </w:r>
      <w:bookmarkStart w:id="97" w:name="_Toc27857"/>
      <w:bookmarkStart w:id="98" w:name="_Toc15396614"/>
      <w:r>
        <w:rPr>
          <w:rStyle w:val="29"/>
          <w:rFonts w:hint="eastAsia" w:ascii="黑体" w:hAnsi="黑体" w:eastAsia="黑体"/>
          <w:b w:val="0"/>
        </w:rPr>
        <w:t>附件</w:t>
      </w:r>
      <w:bookmarkEnd w:id="97"/>
      <w:bookmarkEnd w:id="98"/>
    </w:p>
    <w:p>
      <w:pPr>
        <w:pStyle w:val="2"/>
        <w:spacing w:before="93"/>
        <w:rPr>
          <w:rFonts w:hint="eastAsia" w:eastAsia="仿宋_GB2312"/>
          <w:sz w:val="32"/>
          <w:szCs w:val="32"/>
          <w:lang w:val="en-US" w:eastAsia="zh-CN"/>
        </w:rPr>
      </w:pPr>
      <w:r>
        <w:rPr>
          <w:rFonts w:hint="eastAsia" w:hAnsi="宋体" w:cs="宋体"/>
          <w:sz w:val="32"/>
          <w:szCs w:val="32"/>
          <w:shd w:val="clear" w:color="auto" w:fill="FFFFFF"/>
          <w:lang w:val="zh-CN"/>
        </w:rPr>
        <w:t>附件</w:t>
      </w:r>
      <w:r>
        <w:rPr>
          <w:rFonts w:hint="eastAsia" w:hAnsi="宋体" w:cs="宋体"/>
          <w:sz w:val="32"/>
          <w:szCs w:val="32"/>
          <w:shd w:val="clear" w:color="auto" w:fill="FFFFFF"/>
          <w:lang w:val="en-US" w:eastAsia="zh-CN"/>
        </w:rPr>
        <w:t>1</w:t>
      </w: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乐至县行政审批局</w:t>
      </w: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202</w:t>
      </w:r>
      <w:r>
        <w:rPr>
          <w:rFonts w:hint="eastAsia" w:ascii="方正小标宋简体" w:eastAsia="方正小标宋简体"/>
          <w:color w:val="000000"/>
          <w:sz w:val="44"/>
          <w:szCs w:val="44"/>
          <w:lang w:val="en-US" w:eastAsia="zh-CN"/>
        </w:rPr>
        <w:t>2</w:t>
      </w:r>
      <w:r>
        <w:rPr>
          <w:rFonts w:hint="eastAsia" w:ascii="方正小标宋简体" w:eastAsia="方正小标宋简体"/>
          <w:color w:val="000000"/>
          <w:sz w:val="44"/>
          <w:szCs w:val="44"/>
        </w:rPr>
        <w:t>年度部门整体支出绩效自评报告</w:t>
      </w:r>
    </w:p>
    <w:p>
      <w:pPr>
        <w:spacing w:line="600" w:lineRule="exact"/>
        <w:jc w:val="center"/>
        <w:rPr>
          <w:rFonts w:ascii="方正小标宋简体" w:eastAsia="方正小标宋简体"/>
          <w:color w:val="000000"/>
          <w:sz w:val="44"/>
          <w:szCs w:val="44"/>
        </w:rPr>
      </w:pPr>
    </w:p>
    <w:p>
      <w:pPr>
        <w:spacing w:line="600" w:lineRule="exact"/>
        <w:rPr>
          <w:rFonts w:ascii="仿宋_GB2312" w:eastAsia="仿宋_GB2312"/>
          <w:sz w:val="32"/>
          <w:szCs w:val="32"/>
        </w:rPr>
      </w:pPr>
      <w:r>
        <w:rPr>
          <w:rFonts w:hint="eastAsia" w:ascii="仿宋_GB2312" w:eastAsia="仿宋_GB2312"/>
          <w:sz w:val="32"/>
          <w:szCs w:val="32"/>
        </w:rPr>
        <w:t>乐至县财政局：</w:t>
      </w:r>
    </w:p>
    <w:p>
      <w:pPr>
        <w:spacing w:line="620" w:lineRule="exact"/>
        <w:jc w:val="center"/>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按照《乐至县财政局关于开展2022年度预算支出财政重点</w:t>
      </w:r>
    </w:p>
    <w:p>
      <w:pPr>
        <w:spacing w:line="620" w:lineRule="exact"/>
        <w:jc w:val="both"/>
        <w:rPr>
          <w:rFonts w:ascii="仿宋_GB2312" w:eastAsia="仿宋_GB2312"/>
          <w:color w:val="000000"/>
          <w:sz w:val="32"/>
          <w:szCs w:val="32"/>
        </w:rPr>
      </w:pPr>
      <w:r>
        <w:rPr>
          <w:rFonts w:hint="eastAsia" w:ascii="仿宋_GB2312" w:eastAsia="仿宋_GB2312"/>
          <w:sz w:val="32"/>
          <w:szCs w:val="32"/>
        </w:rPr>
        <w:t>绩效评价工作的通知》（乐财监督绩效</w:t>
      </w:r>
      <w:r>
        <w:rPr>
          <w:rFonts w:hint="eastAsia" w:ascii="仿宋_GB2312" w:hAnsi="宋体" w:eastAsia="仿宋_GB2312"/>
          <w:sz w:val="32"/>
          <w:szCs w:val="32"/>
          <w:lang w:val="zh-CN"/>
        </w:rPr>
        <w:t>〔</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hAnsi="宋体" w:eastAsia="仿宋_GB2312"/>
          <w:sz w:val="32"/>
          <w:szCs w:val="32"/>
          <w:lang w:val="zh-CN"/>
        </w:rPr>
        <w:t>〕</w:t>
      </w:r>
      <w:r>
        <w:rPr>
          <w:rFonts w:hint="eastAsia" w:ascii="仿宋_GB2312" w:hAnsi="宋体" w:eastAsia="仿宋_GB2312"/>
          <w:sz w:val="32"/>
          <w:szCs w:val="32"/>
          <w:lang w:val="en-US" w:eastAsia="zh-CN"/>
        </w:rPr>
        <w:t>1</w:t>
      </w:r>
      <w:r>
        <w:rPr>
          <w:rFonts w:hint="eastAsia" w:ascii="仿宋_GB2312" w:eastAsia="仿宋_GB2312"/>
          <w:sz w:val="32"/>
          <w:szCs w:val="32"/>
        </w:rPr>
        <w:t>5号）文件精神和要求，</w:t>
      </w:r>
      <w:r>
        <w:rPr>
          <w:rFonts w:hint="eastAsia" w:ascii="仿宋_GB2312" w:eastAsia="仿宋_GB2312"/>
          <w:color w:val="000000"/>
          <w:sz w:val="32"/>
          <w:szCs w:val="32"/>
        </w:rPr>
        <w:t>我局高度重视，及时组织相关人员对202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年度部门预算资金使用管理进行绩效评价，现将绩效评价自评情况报告如下：</w:t>
      </w:r>
    </w:p>
    <w:p>
      <w:pPr>
        <w:tabs>
          <w:tab w:val="left" w:pos="900"/>
        </w:tabs>
        <w:spacing w:line="600" w:lineRule="exact"/>
        <w:ind w:firstLine="636" w:firstLineChars="198"/>
        <w:rPr>
          <w:rFonts w:ascii="黑体" w:eastAsia="黑体"/>
          <w:b/>
          <w:sz w:val="32"/>
          <w:szCs w:val="32"/>
        </w:rPr>
      </w:pPr>
      <w:r>
        <w:rPr>
          <w:rFonts w:hint="eastAsia" w:ascii="黑体" w:eastAsia="黑体"/>
          <w:b/>
          <w:sz w:val="32"/>
          <w:szCs w:val="32"/>
        </w:rPr>
        <w:t>一、部门概况</w:t>
      </w:r>
    </w:p>
    <w:p>
      <w:pPr>
        <w:spacing w:line="600" w:lineRule="exact"/>
        <w:ind w:firstLine="636" w:firstLineChars="198"/>
        <w:rPr>
          <w:rFonts w:ascii="仿宋_GB2312" w:eastAsia="仿宋_GB2312"/>
          <w:color w:val="000000"/>
          <w:sz w:val="32"/>
          <w:szCs w:val="32"/>
        </w:rPr>
      </w:pPr>
      <w:r>
        <w:rPr>
          <w:rFonts w:hint="eastAsia" w:ascii="楷体_GB2312" w:eastAsia="楷体_GB2312"/>
          <w:b/>
          <w:sz w:val="32"/>
          <w:szCs w:val="32"/>
        </w:rPr>
        <w:t>（一）机构组成</w:t>
      </w:r>
    </w:p>
    <w:p>
      <w:pPr>
        <w:spacing w:line="580" w:lineRule="exact"/>
        <w:ind w:left="420" w:leftChars="200" w:firstLine="800" w:firstLineChars="250"/>
        <w:rPr>
          <w:rFonts w:ascii="仿宋_GB2312" w:eastAsia="仿宋_GB2312"/>
          <w:color w:val="000000"/>
          <w:sz w:val="32"/>
          <w:szCs w:val="32"/>
        </w:rPr>
      </w:pPr>
      <w:r>
        <w:rPr>
          <w:rFonts w:hint="eastAsia" w:ascii="仿宋_GB2312" w:hAnsi="仿宋" w:eastAsia="仿宋_GB2312"/>
          <w:sz w:val="32"/>
          <w:szCs w:val="32"/>
        </w:rPr>
        <w:t>依据中共乐至县委乐至县人民政府关于印发《乐至县机构改革方案》的通知（乐委发</w:t>
      </w:r>
      <w:r>
        <w:rPr>
          <w:rFonts w:hint="eastAsia" w:ascii="黑体" w:hAnsi="黑体" w:eastAsia="黑体" w:cs="黑体"/>
          <w:sz w:val="32"/>
          <w:szCs w:val="32"/>
        </w:rPr>
        <w:t>〔</w:t>
      </w:r>
      <w:r>
        <w:rPr>
          <w:rFonts w:hint="eastAsia" w:ascii="仿宋_GB2312" w:eastAsia="仿宋_GB2312"/>
          <w:color w:val="000000"/>
          <w:sz w:val="32"/>
          <w:szCs w:val="32"/>
        </w:rPr>
        <w:t>2019</w:t>
      </w:r>
      <w:r>
        <w:rPr>
          <w:rFonts w:hint="eastAsia" w:ascii="黑体" w:hAnsi="黑体" w:eastAsia="黑体" w:cs="黑体"/>
          <w:color w:val="000000"/>
          <w:sz w:val="32"/>
          <w:szCs w:val="32"/>
        </w:rPr>
        <w:t>〕</w:t>
      </w:r>
      <w:r>
        <w:rPr>
          <w:rFonts w:hint="eastAsia" w:ascii="仿宋_GB2312" w:hAnsi="仿宋" w:eastAsia="仿宋_GB2312"/>
          <w:sz w:val="32"/>
          <w:szCs w:val="32"/>
        </w:rPr>
        <w:t>2号）文件规定，</w:t>
      </w:r>
      <w:r>
        <w:rPr>
          <w:rFonts w:hint="eastAsia" w:ascii="仿宋_GB2312" w:eastAsia="仿宋_GB2312"/>
          <w:color w:val="000000"/>
          <w:sz w:val="32"/>
          <w:szCs w:val="32"/>
        </w:rPr>
        <w:t>将县人民政府政务服务中心的行政职责，以及相关部门的行政审批职责整合，</w:t>
      </w:r>
      <w:r>
        <w:rPr>
          <w:rFonts w:hint="eastAsia" w:ascii="仿宋_GB2312" w:hAnsi="仿宋" w:eastAsia="仿宋_GB2312"/>
          <w:sz w:val="32"/>
          <w:szCs w:val="32"/>
        </w:rPr>
        <w:t>组建县行政审批局</w:t>
      </w:r>
      <w:r>
        <w:rPr>
          <w:rFonts w:hint="eastAsia" w:ascii="仿宋_GB2312" w:eastAsia="仿宋_GB2312"/>
          <w:color w:val="000000"/>
          <w:sz w:val="32"/>
          <w:szCs w:val="32"/>
        </w:rPr>
        <w:t>，作为县政府工作部门，按中央、省、市有关改革部署实施。直属县政府管理的一级预算行政单位。</w:t>
      </w:r>
    </w:p>
    <w:p>
      <w:pPr>
        <w:numPr>
          <w:ilvl w:val="0"/>
          <w:numId w:val="4"/>
        </w:numPr>
        <w:spacing w:line="600" w:lineRule="exact"/>
        <w:ind w:firstLine="482" w:firstLineChars="150"/>
        <w:rPr>
          <w:rFonts w:hint="eastAsia" w:ascii="楷体_GB2312" w:eastAsia="楷体_GB2312"/>
          <w:b/>
          <w:sz w:val="32"/>
          <w:szCs w:val="32"/>
        </w:rPr>
      </w:pPr>
      <w:r>
        <w:rPr>
          <w:rFonts w:hint="eastAsia" w:ascii="楷体_GB2312" w:eastAsia="楷体_GB2312"/>
          <w:b/>
          <w:sz w:val="32"/>
          <w:szCs w:val="32"/>
        </w:rPr>
        <w:t>机构职能</w:t>
      </w:r>
      <w:bookmarkStart w:id="99" w:name="_Toc20083"/>
      <w:bookmarkStart w:id="100" w:name="_Toc30483"/>
    </w:p>
    <w:p>
      <w:pPr>
        <w:numPr>
          <w:ilvl w:val="0"/>
          <w:numId w:val="0"/>
        </w:numPr>
        <w:spacing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依据《中共乐至县委机构编制委员会关于明确县行政审批局有关机构编制事项的通知》（乐委编发【2020】50号）文件规定，我局职责调整为：</w:t>
      </w:r>
      <w:bookmarkEnd w:id="99"/>
      <w:bookmarkEnd w:id="100"/>
    </w:p>
    <w:p>
      <w:pPr>
        <w:spacing w:line="580" w:lineRule="exact"/>
        <w:ind w:firstLine="640" w:firstLineChars="200"/>
        <w:rPr>
          <w:rFonts w:hint="eastAsia"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1.原县人民政府政务服务中心的行政职责划入县行政审批局。</w:t>
      </w:r>
    </w:p>
    <w:p>
      <w:pPr>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（1）制定政务服务中心各项规章制度、管理办法并组织实施。</w:t>
      </w:r>
    </w:p>
    <w:p>
      <w:pPr>
        <w:tabs>
          <w:tab w:val="left" w:pos="142"/>
        </w:tabs>
        <w:spacing w:line="58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（2）负责指导全县政务服务体系建设，组织县级部门集中开展行政审批和公共服务。</w:t>
      </w:r>
    </w:p>
    <w:p>
      <w:pPr>
        <w:spacing w:line="58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（3）组织协调各乡镇和县级部门集中开展行政审批和公共服务，对行政审批“两集中、两到位”工作实施监督管理；对县级部门和乡镇的政务服务工作进行考核。</w:t>
      </w:r>
    </w:p>
    <w:p>
      <w:pPr>
        <w:spacing w:line="580" w:lineRule="exact"/>
        <w:ind w:left="141" w:leftChars="67" w:firstLine="320" w:firstLineChars="100"/>
        <w:rPr>
          <w:rFonts w:ascii="仿宋_GB2312" w:eastAsia="仿宋_GB2312"/>
          <w:color w:val="000000"/>
          <w:sz w:val="32"/>
          <w:szCs w:val="32"/>
        </w:rPr>
      </w:pPr>
      <w:r>
        <w:rPr>
          <w:rFonts w:hint="eastAsia" w:ascii="仿宋_GB2312" w:eastAsia="仿宋_GB2312"/>
          <w:color w:val="000000"/>
          <w:sz w:val="32"/>
          <w:szCs w:val="32"/>
        </w:rPr>
        <w:t>（4）负责对进入或者退出政务服务中心集中受理、办理的事项进行初审并报县人民政府决定。</w:t>
      </w:r>
    </w:p>
    <w:p>
      <w:pPr>
        <w:spacing w:line="58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（5）负责对依法决定撤销或者停止执行的已纳入政务服务中心集中受理、办理的政务服务事项，督促相关部门在规定期限内撤销或停止执行。</w:t>
      </w:r>
    </w:p>
    <w:p>
      <w:pPr>
        <w:spacing w:line="580" w:lineRule="exact"/>
        <w:ind w:firstLine="576" w:firstLineChars="180"/>
        <w:rPr>
          <w:rFonts w:ascii="仿宋_GB2312" w:eastAsia="仿宋_GB2312"/>
          <w:color w:val="000000"/>
          <w:sz w:val="32"/>
          <w:szCs w:val="32"/>
        </w:rPr>
      </w:pPr>
      <w:r>
        <w:rPr>
          <w:rFonts w:hint="eastAsia" w:ascii="仿宋_GB2312" w:eastAsia="仿宋_GB2312"/>
          <w:color w:val="000000"/>
          <w:sz w:val="32"/>
          <w:szCs w:val="32"/>
        </w:rPr>
        <w:t>（6）负责对各部门、各单位在政务服务中心设置窗口提出具体建议，负责对进入政务服务中心的各工作窗口及其工作人员进行日常管理和考核。</w:t>
      </w:r>
    </w:p>
    <w:p>
      <w:pPr>
        <w:spacing w:line="58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（7）指导基层便民服务中心工作。</w:t>
      </w:r>
    </w:p>
    <w:p>
      <w:pPr>
        <w:spacing w:line="58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（8）受理公民、法人和其他组织对政务服务中心工作人员的投诉举报。</w:t>
      </w:r>
    </w:p>
    <w:p>
      <w:pPr>
        <w:spacing w:line="58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（9）承办县政府交办的其他事项。</w:t>
      </w:r>
    </w:p>
    <w:p>
      <w:pPr>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2.县编办承担的指导、协调、监督并推进全县深化行政审批制度改革工作职责划入县行政审批局。</w:t>
      </w:r>
    </w:p>
    <w:p>
      <w:pPr>
        <w:spacing w:line="58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3.相关部门的行政审批职责，按上级有关改革部署，逐步划入县行政审批局。</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（三）人员概况</w:t>
      </w:r>
    </w:p>
    <w:p>
      <w:pPr>
        <w:snapToGrid w:val="0"/>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依据</w:t>
      </w:r>
      <w:r>
        <w:rPr>
          <w:rFonts w:hint="eastAsia" w:ascii="仿宋_GB2312" w:hAnsi="仿宋" w:eastAsia="仿宋_GB2312"/>
          <w:sz w:val="32"/>
          <w:szCs w:val="32"/>
        </w:rPr>
        <w:t>《中共乐至县委机构编制委员会关于调整县行政审批局有关机构编制事项的通知》（乐委编发【2021】56号）文件规定，增核行政编制2名，增核后行政总编制8名，其中：局长1名，副局长2名；内设机构3个，</w:t>
      </w:r>
      <w:r>
        <w:rPr>
          <w:rFonts w:hint="eastAsia" w:ascii="仿宋_GB2312" w:eastAsia="仿宋_GB2312"/>
          <w:color w:val="000000"/>
          <w:sz w:val="32"/>
          <w:szCs w:val="32"/>
        </w:rPr>
        <w:t>中层职数3名。实有人数8人。</w:t>
      </w:r>
    </w:p>
    <w:p>
      <w:pPr>
        <w:spacing w:line="600" w:lineRule="exact"/>
        <w:ind w:firstLine="964" w:firstLineChars="300"/>
        <w:rPr>
          <w:rFonts w:eastAsia="黑体"/>
          <w:b/>
          <w:sz w:val="32"/>
          <w:szCs w:val="32"/>
        </w:rPr>
      </w:pPr>
      <w:r>
        <w:rPr>
          <w:rFonts w:hint="eastAsia" w:eastAsia="黑体"/>
          <w:b/>
          <w:sz w:val="32"/>
          <w:szCs w:val="32"/>
        </w:rPr>
        <w:t>二、部门财政资金收支情况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（一）部门财政资金收入情况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本部门202</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年财政拨款总收入</w:t>
      </w:r>
      <w:r>
        <w:rPr>
          <w:rFonts w:hint="eastAsia" w:ascii="仿宋_GB2312" w:hAnsi="宋体" w:eastAsia="仿宋_GB2312" w:cs="宋体"/>
          <w:kern w:val="0"/>
          <w:sz w:val="32"/>
          <w:szCs w:val="32"/>
          <w:lang w:val="en-US" w:eastAsia="zh-CN"/>
        </w:rPr>
        <w:t>238.86</w:t>
      </w:r>
      <w:r>
        <w:rPr>
          <w:rFonts w:hint="eastAsia" w:ascii="仿宋_GB2312" w:hAnsi="宋体" w:eastAsia="仿宋_GB2312" w:cs="宋体"/>
          <w:kern w:val="0"/>
          <w:sz w:val="32"/>
          <w:szCs w:val="32"/>
        </w:rPr>
        <w:t>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其中：</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收入350.33万元，占100%；政府性基金预算财政拨款收入0万元，占0%；国有资本经营预算财政拨款收入0万元，占0%；事业收入0万元，占0%；经营收入0万元，占0%；附属单位上缴收入0万元，占0%；其他收入0万元，占0%。</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（二）部门财政资金支出情况</w:t>
      </w:r>
    </w:p>
    <w:p>
      <w:pPr>
        <w:widowControl/>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本部门202</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年财政拨款总支出</w:t>
      </w:r>
      <w:r>
        <w:rPr>
          <w:rFonts w:hint="eastAsia" w:ascii="仿宋_GB2312" w:hAnsi="宋体" w:eastAsia="仿宋_GB2312" w:cs="宋体"/>
          <w:kern w:val="0"/>
          <w:sz w:val="32"/>
          <w:szCs w:val="32"/>
          <w:lang w:val="en-US" w:eastAsia="zh-CN"/>
        </w:rPr>
        <w:t>238.86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基本支出182.38万元，项目支出56.47万元</w:t>
      </w:r>
      <w:r>
        <w:rPr>
          <w:rFonts w:hint="eastAsia" w:ascii="仿宋_GB2312" w:hAnsi="宋体" w:eastAsia="仿宋_GB2312" w:cs="宋体"/>
          <w:kern w:val="0"/>
          <w:sz w:val="32"/>
          <w:szCs w:val="32"/>
        </w:rPr>
        <w:t>。</w:t>
      </w:r>
    </w:p>
    <w:p>
      <w:pPr>
        <w:spacing w:line="600" w:lineRule="exact"/>
        <w:ind w:firstLine="645"/>
        <w:rPr>
          <w:rFonts w:hint="eastAsia" w:ascii="仿宋_GB2312" w:hAnsi="仿宋_GB2312" w:eastAsia="仿宋_GB2312" w:cs="仿宋_GB2312"/>
          <w:sz w:val="32"/>
          <w:szCs w:val="32"/>
        </w:rPr>
      </w:pPr>
      <w:r>
        <w:rPr>
          <w:rFonts w:hint="eastAsia" w:ascii="仿宋_GB2312" w:eastAsia="仿宋_GB2312"/>
          <w:color w:val="000000"/>
          <w:kern w:val="0"/>
          <w:sz w:val="32"/>
          <w:szCs w:val="32"/>
        </w:rPr>
        <w:t>1.按功能分类：</w:t>
      </w:r>
      <w:r>
        <w:rPr>
          <w:rFonts w:hint="eastAsia" w:ascii="仿宋_GB2312" w:hAnsi="宋体" w:eastAsia="仿宋_GB2312" w:cs="宋体"/>
          <w:kern w:val="0"/>
          <w:sz w:val="32"/>
          <w:szCs w:val="32"/>
        </w:rPr>
        <w:t>其中：</w:t>
      </w:r>
      <w:r>
        <w:rPr>
          <w:rFonts w:hint="eastAsia" w:ascii="仿宋_GB2312" w:hAnsi="仿宋_GB2312" w:eastAsia="仿宋_GB2312" w:cs="仿宋_GB2312"/>
          <w:sz w:val="32"/>
          <w:szCs w:val="32"/>
        </w:rPr>
        <w:t>一般公共服务支出</w:t>
      </w:r>
      <w:r>
        <w:rPr>
          <w:rFonts w:hint="eastAsia" w:ascii="仿宋_GB2312" w:hAnsi="仿宋_GB2312" w:eastAsia="仿宋_GB2312" w:cs="仿宋_GB2312"/>
          <w:sz w:val="32"/>
          <w:szCs w:val="32"/>
          <w:lang w:val="en-US" w:eastAsia="zh-CN"/>
        </w:rPr>
        <w:t>206.42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86.42</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%；科学技术支出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%；文化旅游体育与传媒支出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9.18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3.84</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7.69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3.22</w:t>
      </w:r>
      <w:r>
        <w:rPr>
          <w:rFonts w:hint="eastAsia" w:ascii="仿宋_GB2312" w:hAnsi="仿宋_GB2312" w:eastAsia="仿宋_GB2312" w:cs="仿宋_GB2312"/>
          <w:sz w:val="32"/>
          <w:szCs w:val="32"/>
        </w:rPr>
        <w:t>%；住房保障支出</w:t>
      </w:r>
      <w:r>
        <w:rPr>
          <w:rFonts w:hint="eastAsia" w:ascii="仿宋_GB2312" w:hAnsi="仿宋_GB2312" w:eastAsia="仿宋_GB2312" w:cs="仿宋_GB2312"/>
          <w:sz w:val="32"/>
          <w:szCs w:val="32"/>
          <w:lang w:val="en-US" w:eastAsia="zh-CN"/>
        </w:rPr>
        <w:t>15.56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6.52</w:t>
      </w:r>
      <w:r>
        <w:rPr>
          <w:rFonts w:hint="eastAsia" w:ascii="仿宋_GB2312" w:hAnsi="仿宋_GB2312" w:eastAsia="仿宋_GB2312" w:cs="仿宋_GB2312"/>
          <w:sz w:val="32"/>
          <w:szCs w:val="32"/>
        </w:rPr>
        <w:t>%。</w:t>
      </w:r>
    </w:p>
    <w:p>
      <w:pPr>
        <w:widowControl/>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2.按经济分类：其中：工资福利支出</w:t>
      </w:r>
      <w:r>
        <w:rPr>
          <w:rFonts w:hint="eastAsia" w:ascii="仿宋_GB2312" w:hAnsi="宋体" w:eastAsia="仿宋_GB2312" w:cs="宋体"/>
          <w:kern w:val="0"/>
          <w:sz w:val="32"/>
          <w:szCs w:val="32"/>
          <w:lang w:val="en-US" w:eastAsia="zh-CN"/>
        </w:rPr>
        <w:t>135.26</w:t>
      </w:r>
      <w:r>
        <w:rPr>
          <w:rFonts w:hint="eastAsia" w:ascii="仿宋_GB2312" w:hAnsi="宋体" w:eastAsia="仿宋_GB2312" w:cs="宋体"/>
          <w:kern w:val="0"/>
          <w:sz w:val="32"/>
          <w:szCs w:val="32"/>
        </w:rPr>
        <w:t>万元，占总支出</w:t>
      </w:r>
      <w:r>
        <w:rPr>
          <w:rFonts w:hint="eastAsia" w:ascii="仿宋_GB2312" w:hAnsi="宋体" w:eastAsia="仿宋_GB2312" w:cs="宋体"/>
          <w:kern w:val="0"/>
          <w:sz w:val="32"/>
          <w:szCs w:val="32"/>
          <w:lang w:val="en-US" w:eastAsia="zh-CN"/>
        </w:rPr>
        <w:t>56.63</w:t>
      </w:r>
      <w:r>
        <w:rPr>
          <w:rFonts w:hint="eastAsia" w:ascii="仿宋_GB2312" w:hAnsi="宋体" w:eastAsia="仿宋_GB2312" w:cs="宋体"/>
          <w:kern w:val="0"/>
          <w:sz w:val="32"/>
          <w:szCs w:val="32"/>
        </w:rPr>
        <w:t>%；商品的服务支出</w:t>
      </w:r>
      <w:r>
        <w:rPr>
          <w:rFonts w:hint="eastAsia" w:ascii="仿宋_GB2312" w:hAnsi="宋体" w:eastAsia="仿宋_GB2312" w:cs="宋体"/>
          <w:kern w:val="0"/>
          <w:sz w:val="32"/>
          <w:szCs w:val="32"/>
          <w:lang w:val="en-US" w:eastAsia="zh-CN"/>
        </w:rPr>
        <w:t>22.24</w:t>
      </w:r>
      <w:r>
        <w:rPr>
          <w:rFonts w:hint="eastAsia" w:ascii="仿宋_GB2312" w:hAnsi="宋体" w:eastAsia="仿宋_GB2312" w:cs="宋体"/>
          <w:kern w:val="0"/>
          <w:sz w:val="32"/>
          <w:szCs w:val="32"/>
        </w:rPr>
        <w:t>万元，占总支出</w:t>
      </w:r>
      <w:r>
        <w:rPr>
          <w:rFonts w:hint="eastAsia" w:ascii="仿宋_GB2312" w:hAnsi="宋体" w:eastAsia="仿宋_GB2312" w:cs="宋体"/>
          <w:kern w:val="0"/>
          <w:sz w:val="32"/>
          <w:szCs w:val="32"/>
          <w:lang w:val="en-US" w:eastAsia="zh-CN"/>
        </w:rPr>
        <w:t>9.31</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56.47</w:t>
      </w:r>
      <w:r>
        <w:rPr>
          <w:rFonts w:hint="eastAsia" w:ascii="仿宋_GB2312" w:hAnsi="宋体" w:eastAsia="仿宋_GB2312" w:cs="宋体"/>
          <w:kern w:val="0"/>
          <w:sz w:val="32"/>
          <w:szCs w:val="32"/>
        </w:rPr>
        <w:t>万元，占总支出的2</w:t>
      </w:r>
      <w:r>
        <w:rPr>
          <w:rFonts w:hint="eastAsia" w:ascii="仿宋_GB2312" w:hAnsi="宋体" w:eastAsia="仿宋_GB2312" w:cs="宋体"/>
          <w:kern w:val="0"/>
          <w:sz w:val="32"/>
          <w:szCs w:val="32"/>
          <w:lang w:val="en-US" w:eastAsia="zh-CN"/>
        </w:rPr>
        <w:t>3.64</w:t>
      </w:r>
      <w:r>
        <w:rPr>
          <w:rFonts w:hint="eastAsia" w:ascii="仿宋_GB2312" w:hAnsi="宋体" w:eastAsia="仿宋_GB2312" w:cs="宋体"/>
          <w:kern w:val="0"/>
          <w:sz w:val="32"/>
          <w:szCs w:val="32"/>
        </w:rPr>
        <w:t>%。对个人和家庭的补助支出</w:t>
      </w:r>
      <w:r>
        <w:rPr>
          <w:rFonts w:hint="eastAsia" w:ascii="仿宋_GB2312" w:hAnsi="宋体" w:eastAsia="仿宋_GB2312" w:cs="宋体"/>
          <w:kern w:val="0"/>
          <w:sz w:val="32"/>
          <w:szCs w:val="32"/>
          <w:lang w:val="en-US" w:eastAsia="zh-CN"/>
        </w:rPr>
        <w:t>24.88</w:t>
      </w:r>
      <w:r>
        <w:rPr>
          <w:rFonts w:hint="eastAsia" w:ascii="仿宋_GB2312" w:hAnsi="宋体" w:eastAsia="仿宋_GB2312" w:cs="宋体"/>
          <w:kern w:val="0"/>
          <w:sz w:val="32"/>
          <w:szCs w:val="32"/>
        </w:rPr>
        <w:t>万元，占总支出</w:t>
      </w:r>
      <w:r>
        <w:rPr>
          <w:rFonts w:hint="eastAsia" w:ascii="仿宋_GB2312" w:hAnsi="宋体" w:eastAsia="仿宋_GB2312" w:cs="宋体"/>
          <w:kern w:val="0"/>
          <w:sz w:val="32"/>
          <w:szCs w:val="32"/>
          <w:lang w:val="en-US" w:eastAsia="zh-CN"/>
        </w:rPr>
        <w:t>10.42</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3.按支出性质分类：其中：基本支出</w:t>
      </w:r>
      <w:r>
        <w:rPr>
          <w:rFonts w:hint="eastAsia" w:ascii="仿宋_GB2312" w:hAnsi="宋体" w:eastAsia="仿宋_GB2312" w:cs="宋体"/>
          <w:kern w:val="0"/>
          <w:sz w:val="32"/>
          <w:szCs w:val="32"/>
          <w:lang w:val="en-US" w:eastAsia="zh-CN"/>
        </w:rPr>
        <w:t>182.38</w:t>
      </w:r>
      <w:r>
        <w:rPr>
          <w:rFonts w:hint="eastAsia" w:ascii="仿宋_GB2312" w:hAnsi="宋体" w:eastAsia="仿宋_GB2312" w:cs="宋体"/>
          <w:kern w:val="0"/>
          <w:sz w:val="32"/>
          <w:szCs w:val="32"/>
        </w:rPr>
        <w:t>万元，占总支出的7</w:t>
      </w:r>
      <w:r>
        <w:rPr>
          <w:rFonts w:hint="eastAsia" w:ascii="仿宋_GB2312" w:hAnsi="宋体" w:eastAsia="仿宋_GB2312" w:cs="宋体"/>
          <w:kern w:val="0"/>
          <w:sz w:val="32"/>
          <w:szCs w:val="32"/>
          <w:lang w:val="en-US" w:eastAsia="zh-CN"/>
        </w:rPr>
        <w:t>6.35</w:t>
      </w:r>
      <w:r>
        <w:rPr>
          <w:rFonts w:hint="eastAsia" w:ascii="仿宋_GB2312" w:hAnsi="宋体" w:eastAsia="仿宋_GB2312" w:cs="宋体"/>
          <w:kern w:val="0"/>
          <w:sz w:val="32"/>
          <w:szCs w:val="32"/>
        </w:rPr>
        <w:t>%。其中：人员支出</w:t>
      </w:r>
      <w:r>
        <w:rPr>
          <w:rFonts w:hint="eastAsia" w:ascii="仿宋_GB2312" w:hAnsi="宋体" w:eastAsia="仿宋_GB2312" w:cs="宋体"/>
          <w:kern w:val="0"/>
          <w:sz w:val="32"/>
          <w:szCs w:val="32"/>
          <w:lang w:val="en-US" w:eastAsia="zh-CN"/>
        </w:rPr>
        <w:t>160.14</w:t>
      </w:r>
      <w:r>
        <w:rPr>
          <w:rFonts w:hint="eastAsia" w:ascii="仿宋_GB2312" w:hAnsi="宋体" w:eastAsia="仿宋_GB2312" w:cs="宋体"/>
          <w:kern w:val="0"/>
          <w:sz w:val="32"/>
          <w:szCs w:val="32"/>
        </w:rPr>
        <w:t>万元，占基本支出总额的</w:t>
      </w:r>
      <w:r>
        <w:rPr>
          <w:rFonts w:hint="eastAsia" w:ascii="仿宋_GB2312" w:hAnsi="宋体" w:eastAsia="仿宋_GB2312" w:cs="宋体"/>
          <w:kern w:val="0"/>
          <w:sz w:val="32"/>
          <w:szCs w:val="32"/>
          <w:lang w:val="en-US" w:eastAsia="zh-CN"/>
        </w:rPr>
        <w:t>87.81</w:t>
      </w:r>
      <w:r>
        <w:rPr>
          <w:rFonts w:hint="eastAsia" w:ascii="仿宋_GB2312" w:hAnsi="宋体" w:eastAsia="仿宋_GB2312" w:cs="宋体"/>
          <w:kern w:val="0"/>
          <w:sz w:val="32"/>
          <w:szCs w:val="32"/>
        </w:rPr>
        <w:t>%；日常公用支出22.</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万元，占基本支出总额的</w:t>
      </w:r>
      <w:r>
        <w:rPr>
          <w:rFonts w:hint="eastAsia" w:ascii="仿宋_GB2312" w:hAnsi="宋体" w:eastAsia="仿宋_GB2312" w:cs="宋体"/>
          <w:kern w:val="0"/>
          <w:sz w:val="32"/>
          <w:szCs w:val="32"/>
          <w:lang w:val="en-US" w:eastAsia="zh-CN"/>
        </w:rPr>
        <w:t>12.19</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56.47</w:t>
      </w:r>
      <w:r>
        <w:rPr>
          <w:rFonts w:hint="eastAsia" w:ascii="仿宋_GB2312" w:hAnsi="宋体" w:eastAsia="仿宋_GB2312" w:cs="宋体"/>
          <w:kern w:val="0"/>
          <w:sz w:val="32"/>
          <w:szCs w:val="32"/>
        </w:rPr>
        <w:t>万元，占总支出的2</w:t>
      </w:r>
      <w:r>
        <w:rPr>
          <w:rFonts w:hint="eastAsia" w:ascii="仿宋_GB2312" w:hAnsi="宋体" w:eastAsia="仿宋_GB2312" w:cs="宋体"/>
          <w:kern w:val="0"/>
          <w:sz w:val="32"/>
          <w:szCs w:val="32"/>
          <w:lang w:val="en-US" w:eastAsia="zh-CN"/>
        </w:rPr>
        <w:t>3.64</w:t>
      </w:r>
      <w:r>
        <w:rPr>
          <w:rFonts w:hint="eastAsia" w:ascii="仿宋_GB2312" w:hAnsi="宋体" w:eastAsia="仿宋_GB2312" w:cs="宋体"/>
          <w:kern w:val="0"/>
          <w:sz w:val="32"/>
          <w:szCs w:val="32"/>
        </w:rPr>
        <w:t>%。</w:t>
      </w:r>
    </w:p>
    <w:p>
      <w:pPr>
        <w:spacing w:line="600" w:lineRule="exact"/>
        <w:ind w:firstLine="643" w:firstLineChars="200"/>
        <w:rPr>
          <w:rFonts w:eastAsia="黑体"/>
          <w:b/>
          <w:sz w:val="32"/>
          <w:szCs w:val="32"/>
        </w:rPr>
      </w:pPr>
      <w:r>
        <w:rPr>
          <w:rFonts w:hint="eastAsia" w:eastAsia="黑体"/>
          <w:b/>
          <w:sz w:val="32"/>
          <w:szCs w:val="32"/>
        </w:rPr>
        <w:t>三、评价工作开展情况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（一）自评工作组织领导</w:t>
      </w:r>
    </w:p>
    <w:p>
      <w:pPr>
        <w:widowControl/>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我局</w:t>
      </w:r>
      <w:r>
        <w:rPr>
          <w:rFonts w:ascii="仿宋_GB2312" w:eastAsia="仿宋_GB2312"/>
          <w:sz w:val="32"/>
          <w:szCs w:val="32"/>
        </w:rPr>
        <w:t>高度重视支出绩效评价工作，切实履行支出绩效评价主体责任</w:t>
      </w:r>
      <w:r>
        <w:rPr>
          <w:rFonts w:hint="eastAsia" w:ascii="仿宋_GB2312" w:eastAsia="仿宋_GB2312"/>
          <w:sz w:val="32"/>
          <w:szCs w:val="32"/>
        </w:rPr>
        <w:t>，严格按照县级部门预算编制通知和有关要求，遵循人员经费按标准、公用经费按定额、专项经费按项目、勤俭节约、讲求绩效的原则成立了评价工作小组，由局长牵头，分管副局长具体负责的工作</w:t>
      </w:r>
      <w:r>
        <w:rPr>
          <w:rFonts w:ascii="仿宋_GB2312" w:eastAsia="仿宋_GB2312"/>
          <w:sz w:val="32"/>
          <w:szCs w:val="32"/>
        </w:rPr>
        <w:t>专班</w:t>
      </w:r>
      <w:r>
        <w:rPr>
          <w:rFonts w:hint="eastAsia" w:ascii="仿宋_GB2312" w:eastAsia="仿宋_GB2312"/>
          <w:sz w:val="32"/>
          <w:szCs w:val="32"/>
        </w:rPr>
        <w:t>，由综合股财务人员具体负责本单位的整体支出绩效目标自评工作，</w:t>
      </w:r>
      <w:r>
        <w:rPr>
          <w:rFonts w:ascii="仿宋_GB2312" w:eastAsia="仿宋_GB2312"/>
          <w:sz w:val="32"/>
          <w:szCs w:val="32"/>
        </w:rPr>
        <w:t>切实履行职责，强化指导督促，</w:t>
      </w:r>
      <w:r>
        <w:rPr>
          <w:rFonts w:hint="eastAsia" w:ascii="仿宋_GB2312" w:hAnsi="宋体" w:eastAsia="仿宋_GB2312" w:cs="宋体"/>
          <w:sz w:val="32"/>
          <w:szCs w:val="32"/>
        </w:rPr>
        <w:t>加强对本局财政支出经济活动的风险防范和管控，实现绩效工作规范化、科学化。</w:t>
      </w:r>
    </w:p>
    <w:p>
      <w:pPr>
        <w:spacing w:line="600" w:lineRule="exact"/>
        <w:ind w:firstLine="472" w:firstLineChars="147"/>
        <w:rPr>
          <w:rFonts w:ascii="楷体_GB2312" w:eastAsia="楷体_GB2312"/>
          <w:b/>
          <w:sz w:val="32"/>
          <w:szCs w:val="32"/>
        </w:rPr>
      </w:pPr>
      <w:r>
        <w:rPr>
          <w:rFonts w:hint="eastAsia" w:ascii="楷体_GB2312" w:eastAsia="楷体_GB2312"/>
          <w:b/>
          <w:sz w:val="32"/>
          <w:szCs w:val="32"/>
        </w:rPr>
        <w:t>（二）自评方式、方法、重点等</w:t>
      </w:r>
    </w:p>
    <w:p>
      <w:pPr>
        <w:pStyle w:val="28"/>
        <w:tabs>
          <w:tab w:val="left" w:pos="996"/>
        </w:tabs>
        <w:spacing w:line="552" w:lineRule="exact"/>
        <w:ind w:left="0" w:firstLine="640" w:firstLineChars="200"/>
        <w:rPr>
          <w:rFonts w:ascii="仿宋_GB2312" w:hAnsi="Times New Roman" w:eastAsia="仿宋_GB2312" w:cs="Times New Roman"/>
          <w:kern w:val="2"/>
          <w:sz w:val="32"/>
          <w:szCs w:val="32"/>
          <w:lang w:val="en-US" w:bidi="ar-SA"/>
        </w:rPr>
      </w:pPr>
      <w:r>
        <w:rPr>
          <w:rFonts w:hint="eastAsia" w:ascii="仿宋_GB2312" w:hAnsi="Times New Roman" w:eastAsia="仿宋_GB2312" w:cs="Times New Roman"/>
          <w:kern w:val="2"/>
          <w:sz w:val="32"/>
          <w:szCs w:val="32"/>
          <w:lang w:val="en-US" w:bidi="ar-SA"/>
        </w:rPr>
        <w:t>严格按照乐财监督绩效〔2022〕5号文件精神和</w:t>
      </w:r>
      <w:r>
        <w:rPr>
          <w:rFonts w:ascii="仿宋_GB2312" w:hAnsi="Times New Roman" w:eastAsia="仿宋_GB2312" w:cs="Times New Roman"/>
          <w:kern w:val="2"/>
          <w:sz w:val="32"/>
          <w:szCs w:val="32"/>
          <w:lang w:val="en-US" w:bidi="ar-SA"/>
        </w:rPr>
        <w:t>“谁支出、谁自评”的原则和绩效目标自评全覆盖的要求，对</w:t>
      </w:r>
      <w:r>
        <w:rPr>
          <w:rFonts w:hint="eastAsia" w:ascii="仿宋_GB2312" w:hAnsi="Times New Roman" w:eastAsia="仿宋_GB2312" w:cs="Times New Roman"/>
          <w:kern w:val="2"/>
          <w:sz w:val="32"/>
          <w:szCs w:val="32"/>
          <w:lang w:val="en-US" w:bidi="ar-SA"/>
        </w:rPr>
        <w:t>我局</w:t>
      </w:r>
      <w:r>
        <w:rPr>
          <w:rFonts w:ascii="仿宋_GB2312" w:hAnsi="Times New Roman" w:eastAsia="仿宋_GB2312" w:cs="Times New Roman"/>
          <w:kern w:val="2"/>
          <w:sz w:val="32"/>
          <w:szCs w:val="32"/>
          <w:lang w:val="en-US" w:bidi="ar-SA"/>
        </w:rPr>
        <w:t>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年财政支出绩效目标完成情况开展自评，即对部门整体支出绩效目标、部门项目绩效目标开展自评</w:t>
      </w:r>
      <w:r>
        <w:rPr>
          <w:rFonts w:hint="eastAsia" w:ascii="仿宋_GB2312" w:hAnsi="Times New Roman" w:eastAsia="仿宋_GB2312" w:cs="Times New Roman"/>
          <w:kern w:val="2"/>
          <w:sz w:val="32"/>
          <w:szCs w:val="32"/>
          <w:lang w:val="en-US" w:bidi="ar-SA"/>
        </w:rPr>
        <w:t>，结合本单位具体职</w:t>
      </w:r>
      <w:r>
        <w:rPr>
          <w:rFonts w:ascii="仿宋_GB2312" w:hAnsi="Times New Roman" w:eastAsia="仿宋_GB2312" w:cs="Times New Roman"/>
          <w:kern w:val="2"/>
          <w:sz w:val="32"/>
          <w:szCs w:val="32"/>
          <w:lang w:val="en-US" w:bidi="ar-SA"/>
        </w:rPr>
        <w:t>能完善部门年初绩效目标，对202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年度本部门预算执行</w:t>
      </w:r>
      <w:r>
        <w:rPr>
          <w:rFonts w:hint="eastAsia" w:ascii="仿宋_GB2312" w:hAnsi="Times New Roman" w:eastAsia="仿宋_GB2312" w:cs="Times New Roman"/>
          <w:kern w:val="2"/>
          <w:sz w:val="32"/>
          <w:szCs w:val="32"/>
          <w:lang w:val="en-US" w:bidi="ar-SA"/>
        </w:rPr>
        <w:t>情</w:t>
      </w:r>
      <w:r>
        <w:rPr>
          <w:rFonts w:ascii="仿宋_GB2312" w:hAnsi="Times New Roman" w:eastAsia="仿宋_GB2312" w:cs="Times New Roman"/>
          <w:kern w:val="2"/>
          <w:sz w:val="32"/>
          <w:szCs w:val="32"/>
          <w:lang w:val="en-US" w:bidi="ar-SA"/>
        </w:rPr>
        <w:t>况、预算结构、总体绩效目标和年度各项具体绩效指标完成情况进行收集梳</w:t>
      </w:r>
      <w:r>
        <w:rPr>
          <w:rFonts w:hint="eastAsia" w:ascii="仿宋_GB2312" w:hAnsi="Times New Roman" w:eastAsia="仿宋_GB2312" w:cs="Times New Roman"/>
          <w:kern w:val="2"/>
          <w:sz w:val="32"/>
          <w:szCs w:val="32"/>
          <w:lang w:val="en-US" w:bidi="ar-SA"/>
        </w:rPr>
        <w:t>理，</w:t>
      </w:r>
      <w:r>
        <w:rPr>
          <w:rFonts w:ascii="仿宋_GB2312" w:hAnsi="Times New Roman" w:eastAsia="仿宋_GB2312" w:cs="Times New Roman"/>
          <w:kern w:val="2"/>
          <w:sz w:val="32"/>
          <w:szCs w:val="32"/>
          <w:lang w:val="en-US" w:bidi="ar-SA"/>
        </w:rPr>
        <w:t>本着客观、真实、准确的原则开展部门整体支出、项目支出、政策支出绩效自评，依据自评得分确定绩效等级，并对自评报告的真实性、准确性负责。</w:t>
      </w:r>
    </w:p>
    <w:p>
      <w:pPr>
        <w:spacing w:line="600" w:lineRule="exact"/>
        <w:ind w:firstLine="633" w:firstLineChars="197"/>
        <w:rPr>
          <w:rFonts w:eastAsia="黑体"/>
          <w:b/>
          <w:color w:val="FF0000"/>
          <w:sz w:val="32"/>
          <w:szCs w:val="32"/>
        </w:rPr>
      </w:pPr>
      <w:r>
        <w:rPr>
          <w:rFonts w:hint="eastAsia" w:eastAsia="黑体"/>
          <w:b/>
          <w:sz w:val="32"/>
          <w:szCs w:val="32"/>
        </w:rPr>
        <w:t>四、评价结论</w:t>
      </w:r>
    </w:p>
    <w:p>
      <w:pPr>
        <w:spacing w:line="600" w:lineRule="exact"/>
        <w:ind w:left="-4" w:leftChars="-2" w:firstLine="480" w:firstLineChars="150"/>
        <w:rPr>
          <w:rFonts w:ascii="仿宋_GB2312" w:hAnsi="宋体" w:eastAsia="仿宋_GB2312" w:cs="宋体"/>
          <w:sz w:val="32"/>
          <w:szCs w:val="32"/>
        </w:rPr>
      </w:pPr>
      <w:r>
        <w:rPr>
          <w:rFonts w:hint="eastAsia" w:ascii="仿宋_GB2312" w:hAnsi="宋体" w:eastAsia="仿宋_GB2312" w:cs="宋体"/>
          <w:sz w:val="32"/>
          <w:szCs w:val="32"/>
        </w:rPr>
        <w:t>我局202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年部门整体支出绩效为优，各项目标达到了相应时期执行进度，各项目经费按预算实施，使财政收支预算执行都得到了良好的制度保障和实施效果。</w:t>
      </w:r>
    </w:p>
    <w:p>
      <w:pPr>
        <w:spacing w:line="600" w:lineRule="exact"/>
        <w:ind w:firstLine="633" w:firstLineChars="197"/>
        <w:rPr>
          <w:rFonts w:eastAsia="黑体"/>
          <w:b/>
          <w:sz w:val="32"/>
          <w:szCs w:val="32"/>
        </w:rPr>
      </w:pPr>
      <w:r>
        <w:rPr>
          <w:rFonts w:hint="eastAsia" w:eastAsia="黑体"/>
          <w:b/>
          <w:sz w:val="32"/>
          <w:szCs w:val="32"/>
        </w:rPr>
        <w:t>五、绩效分析</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（一）指标分析</w:t>
      </w:r>
    </w:p>
    <w:p>
      <w:pPr>
        <w:spacing w:line="600" w:lineRule="exact"/>
        <w:ind w:left="435" w:firstLine="640" w:firstLineChars="20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年行政审批局部门整体支出绩效自我评价打分9</w:t>
      </w: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分。具体评价情况如下:</w:t>
      </w:r>
    </w:p>
    <w:p>
      <w:pPr>
        <w:spacing w:line="600" w:lineRule="exact"/>
        <w:ind w:left="435"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1、投入指标总分20分，自评分值20分。</w:t>
      </w:r>
    </w:p>
    <w:p>
      <w:pPr>
        <w:spacing w:line="600" w:lineRule="exact"/>
        <w:ind w:left="435"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2、过程指标总分30分，自评分值2</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分。</w:t>
      </w:r>
    </w:p>
    <w:p>
      <w:pPr>
        <w:spacing w:line="600" w:lineRule="exact"/>
        <w:ind w:left="0" w:leftChars="0" w:firstLine="838" w:firstLineChars="262"/>
        <w:rPr>
          <w:rFonts w:hint="eastAsia" w:ascii="仿宋_GB2312" w:hAnsi="宋体" w:eastAsia="仿宋_GB2312" w:cs="宋体"/>
          <w:sz w:val="32"/>
          <w:szCs w:val="32"/>
        </w:rPr>
      </w:pPr>
      <w:r>
        <w:rPr>
          <w:rFonts w:hint="eastAsia" w:ascii="仿宋_GB2312" w:hAnsi="宋体" w:eastAsia="仿宋_GB2312" w:cs="宋体"/>
          <w:sz w:val="32"/>
          <w:szCs w:val="32"/>
        </w:rPr>
        <w:t>（1）预算执行自评分值为1</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分。</w:t>
      </w:r>
    </w:p>
    <w:p>
      <w:pPr>
        <w:spacing w:line="600" w:lineRule="exact"/>
        <w:ind w:left="0" w:leftChars="0" w:firstLine="838" w:firstLineChars="262"/>
        <w:rPr>
          <w:rFonts w:hint="eastAsia" w:ascii="仿宋_GB2312" w:hAnsi="宋体" w:eastAsia="仿宋_GB2312" w:cs="宋体"/>
          <w:sz w:val="32"/>
          <w:szCs w:val="32"/>
        </w:rPr>
      </w:pPr>
      <w:r>
        <w:rPr>
          <w:rFonts w:hint="eastAsia" w:ascii="仿宋_GB2312" w:hAnsi="宋体" w:eastAsia="仿宋_GB2312" w:cs="宋体"/>
          <w:sz w:val="32"/>
          <w:szCs w:val="32"/>
        </w:rPr>
        <w:t>（2）预算管理自评分值为5分。</w:t>
      </w:r>
    </w:p>
    <w:p>
      <w:pPr>
        <w:spacing w:line="600" w:lineRule="exact"/>
        <w:ind w:left="435" w:leftChars="0" w:firstLine="403" w:firstLineChars="126"/>
        <w:rPr>
          <w:rFonts w:hint="eastAsia" w:ascii="仿宋_GB2312" w:hAnsi="宋体" w:eastAsia="仿宋_GB2312" w:cs="宋体"/>
          <w:sz w:val="32"/>
          <w:szCs w:val="32"/>
        </w:rPr>
      </w:pPr>
      <w:r>
        <w:rPr>
          <w:rFonts w:hint="eastAsia" w:ascii="仿宋_GB2312" w:hAnsi="宋体" w:eastAsia="仿宋_GB2312" w:cs="宋体"/>
          <w:sz w:val="32"/>
          <w:szCs w:val="32"/>
        </w:rPr>
        <w:t>（3）资产管理自评分值为5分。</w:t>
      </w:r>
    </w:p>
    <w:p>
      <w:pPr>
        <w:spacing w:line="600" w:lineRule="exact"/>
        <w:ind w:left="435"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3、产出指标总分30分，自评分值28分。</w:t>
      </w:r>
    </w:p>
    <w:p>
      <w:pPr>
        <w:spacing w:line="600" w:lineRule="exact"/>
        <w:ind w:left="435"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4.效果指标总分20分，自评分值28分。</w:t>
      </w:r>
    </w:p>
    <w:p>
      <w:pPr>
        <w:spacing w:line="600" w:lineRule="exact"/>
        <w:ind w:firstLine="321" w:firstLineChars="100"/>
        <w:rPr>
          <w:rFonts w:ascii="楷体_GB2312" w:eastAsia="楷体_GB2312"/>
          <w:b/>
          <w:sz w:val="32"/>
          <w:szCs w:val="32"/>
        </w:rPr>
      </w:pPr>
      <w:r>
        <w:rPr>
          <w:rFonts w:hint="eastAsia" w:ascii="楷体_GB2312" w:eastAsia="楷体_GB2312"/>
          <w:b/>
          <w:sz w:val="32"/>
          <w:szCs w:val="32"/>
        </w:rPr>
        <w:t>（二）综合绩效分析</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1.部门职能履行情况。</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年部门预算编制基础数据真实可靠，按照年度工作计划和支出标准合理编制预算方案，</w:t>
      </w:r>
      <w:r>
        <w:rPr>
          <w:rFonts w:hint="eastAsia" w:ascii="仿宋_GB2312" w:eastAsia="仿宋_GB2312"/>
          <w:sz w:val="32"/>
          <w:szCs w:val="32"/>
        </w:rPr>
        <w:t>对各项收入、支出预算的编制做到完整、准确、规范。</w:t>
      </w:r>
      <w:r>
        <w:rPr>
          <w:rFonts w:hint="eastAsia" w:ascii="仿宋_GB2312" w:hAnsi="宋体" w:eastAsia="仿宋_GB2312" w:cs="宋体"/>
          <w:sz w:val="32"/>
          <w:szCs w:val="32"/>
        </w:rPr>
        <w:t>预算数据按要求及时报送。部门实际支付进度与既定支付进度存在差异，按年终完成预算进度。本年年终无结余。严格执行“三公经费”预算，严格审批，无超预算、无预算执行的情况。管理制度健全，资金使用合规，预</w:t>
      </w:r>
      <w:r>
        <w:rPr>
          <w:rFonts w:ascii="仿宋_GB2312" w:hAnsi="Times New Roman" w:eastAsia="仿宋_GB2312" w:cs="Times New Roman"/>
          <w:kern w:val="2"/>
          <w:sz w:val="32"/>
          <w:szCs w:val="32"/>
          <w:lang w:val="en-US" w:bidi="ar-SA"/>
        </w:rPr>
        <w:t>、</w:t>
      </w:r>
      <w:r>
        <w:rPr>
          <w:rFonts w:hint="eastAsia" w:ascii="仿宋_GB2312" w:hAnsi="宋体" w:eastAsia="仿宋_GB2312" w:cs="宋体"/>
          <w:sz w:val="32"/>
          <w:szCs w:val="32"/>
        </w:rPr>
        <w:t>决算信息公开完成良好。</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2.部门履职有效性。</w:t>
      </w:r>
    </w:p>
    <w:p>
      <w:pPr>
        <w:spacing w:line="60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从经济性来看，能够按照预算来抓好成本控制，强化勤俭办事的意识，注重节约开支，年度开支控制在财政局规定的范围内；从效率性本部门所承担的工作能够按照计划的时间把握进度，抓好质量，注重了工作的效率；从有效性来看，各专项工作均能够按照制度和各自的目标来抓好落实，注重了专项资金的使用效果；从可持续性来看，各项专项经费均安排在本部门的重点和主要工作上。</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3.部门职能实现程度。</w:t>
      </w:r>
    </w:p>
    <w:p>
      <w:pPr>
        <w:spacing w:line="60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根据年初工作规划及财政预算计划，积极履职、强化管理，较好的完成了年度工作目标。通过加强预算收支管理、不断建立健全内部管理制度、梳理内部管理流程，部门整体支出管理情况得到提升。预算管理方面，</w:t>
      </w:r>
      <w:r>
        <w:rPr>
          <w:rFonts w:hint="eastAsia" w:ascii="仿宋_GB2312" w:hAnsi="宋体" w:eastAsia="仿宋_GB2312" w:cs="宋体"/>
          <w:sz w:val="32"/>
          <w:szCs w:val="32"/>
        </w:rPr>
        <w:t>严格按照预算执行，</w:t>
      </w:r>
      <w:r>
        <w:rPr>
          <w:rFonts w:ascii="仿宋_GB2312" w:hAnsi="宋体" w:eastAsia="仿宋_GB2312" w:cs="宋体"/>
          <w:sz w:val="32"/>
          <w:szCs w:val="32"/>
        </w:rPr>
        <w:t>支出总额控制在预算总额以内。资产管理方面，固定资产利用率100%，定期进行了资产盘点和资产清理，总体执行情况良好。</w:t>
      </w:r>
    </w:p>
    <w:p>
      <w:pPr>
        <w:spacing w:line="600" w:lineRule="exact"/>
        <w:ind w:firstLine="633" w:firstLineChars="197"/>
        <w:rPr>
          <w:rFonts w:eastAsia="黑体"/>
          <w:b/>
          <w:sz w:val="32"/>
          <w:szCs w:val="32"/>
        </w:rPr>
      </w:pPr>
      <w:r>
        <w:rPr>
          <w:rFonts w:hint="eastAsia" w:eastAsia="黑体"/>
          <w:b/>
          <w:sz w:val="32"/>
          <w:szCs w:val="32"/>
        </w:rPr>
        <w:t>六、问题分析</w:t>
      </w:r>
    </w:p>
    <w:p>
      <w:pPr>
        <w:pStyle w:val="14"/>
        <w:widowControl/>
        <w:shd w:val="clear" w:color="auto" w:fill="FFFFFF"/>
        <w:spacing w:before="0" w:beforeAutospacing="0" w:after="0" w:afterAutospacing="0" w:line="368" w:lineRule="atLeast"/>
        <w:ind w:firstLine="634"/>
        <w:rPr>
          <w:rFonts w:ascii="仿宋_GB2312" w:hAnsi="宋体" w:cs="宋体"/>
          <w:kern w:val="2"/>
          <w:sz w:val="32"/>
        </w:rPr>
      </w:pPr>
      <w:r>
        <w:rPr>
          <w:rFonts w:hint="eastAsia" w:ascii="仿宋_GB2312" w:hAnsi="宋体" w:cs="宋体"/>
          <w:sz w:val="32"/>
        </w:rPr>
        <w:t>我局没有收入来源，但工作任务繁重，不仅承担着行政审批制度改革的重任，还承担着</w:t>
      </w:r>
      <w:r>
        <w:rPr>
          <w:rFonts w:hint="eastAsia" w:ascii="方正仿宋简体" w:hAnsi="宋体" w:eastAsia="方正仿宋简体" w:cs="方正仿宋简体"/>
          <w:sz w:val="32"/>
        </w:rPr>
        <w:t>“</w:t>
      </w:r>
      <w:r>
        <w:rPr>
          <w:rFonts w:hint="eastAsia" w:ascii="仿宋_GB2312" w:hAnsi="宋体" w:cs="宋体"/>
          <w:sz w:val="32"/>
        </w:rPr>
        <w:t>放管服”改革、优化营商环境、“</w:t>
      </w:r>
      <w:r>
        <w:rPr>
          <w:rFonts w:ascii="仿宋_GB2312" w:hAnsi="宋体" w:cs="宋体"/>
          <w:sz w:val="32"/>
        </w:rPr>
        <w:t>12345</w:t>
      </w:r>
      <w:r>
        <w:rPr>
          <w:rFonts w:hint="eastAsia" w:ascii="仿宋_GB2312" w:hAnsi="宋体" w:cs="宋体"/>
          <w:sz w:val="32"/>
        </w:rPr>
        <w:t xml:space="preserve">”政务服务热线等多项工作任务，专项资金保障压力大。我局公用经费、专项工作经费缺口；不动产登记中心运行经费没有纳入财政预算；政务大厅维修较多，开支较大，资金没有保障，不利于我局各项工作的推进与开展。 </w:t>
      </w:r>
      <w:r>
        <w:rPr>
          <w:rFonts w:hint="eastAsia" w:ascii="仿宋_GB2312" w:hAnsi="宋体" w:cs="宋体"/>
          <w:kern w:val="2"/>
          <w:sz w:val="32"/>
        </w:rPr>
        <w:t>单位无专业人员，对绩效评价工作尚不熟练，</w:t>
      </w:r>
      <w:r>
        <w:rPr>
          <w:rFonts w:hint="eastAsia" w:ascii="仿宋_GB2312" w:hAnsi="宋体" w:cs="宋体"/>
          <w:kern w:val="2"/>
          <w:sz w:val="32"/>
          <w:lang w:val="en-US" w:eastAsia="zh-CN"/>
        </w:rPr>
        <w:t>部门整体资源配置</w:t>
      </w:r>
      <w:r>
        <w:rPr>
          <w:rFonts w:hint="eastAsia" w:ascii="仿宋_GB2312" w:hAnsi="宋体" w:cs="宋体"/>
          <w:kern w:val="2"/>
          <w:sz w:val="32"/>
        </w:rPr>
        <w:t>水平不高，能力不强。</w:t>
      </w:r>
    </w:p>
    <w:p>
      <w:pPr>
        <w:spacing w:line="600" w:lineRule="exact"/>
        <w:ind w:firstLine="482" w:firstLineChars="150"/>
        <w:rPr>
          <w:rFonts w:eastAsia="黑体"/>
          <w:b/>
          <w:sz w:val="32"/>
          <w:szCs w:val="32"/>
        </w:rPr>
      </w:pPr>
      <w:r>
        <w:rPr>
          <w:rFonts w:hint="eastAsia" w:eastAsia="黑体"/>
          <w:b/>
          <w:sz w:val="32"/>
          <w:szCs w:val="32"/>
        </w:rPr>
        <w:t>七、建议</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1.对部门编制的预算指标进行合理评估，科学下达预算指标。</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2.加大资金拨付进度，确保工作顺利开展。</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3.将不动产登记中心运行经费纳入财政年初预算。</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4.建议财政开展有关绩效评价工作的专业培训。</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附件：1-1.202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年度部门整体支出绩效自评计分表</w:t>
      </w:r>
    </w:p>
    <w:p>
      <w:pPr>
        <w:spacing w:line="600" w:lineRule="exact"/>
        <w:ind w:firstLine="1600" w:firstLineChars="500"/>
        <w:rPr>
          <w:rFonts w:ascii="仿宋_GB2312" w:hAnsi="宋体" w:eastAsia="仿宋_GB2312" w:cs="宋体"/>
          <w:sz w:val="32"/>
          <w:szCs w:val="32"/>
        </w:rPr>
      </w:pPr>
      <w:r>
        <w:rPr>
          <w:rFonts w:hint="eastAsia" w:ascii="仿宋_GB2312" w:hAnsi="宋体" w:eastAsia="仿宋_GB2312" w:cs="宋体"/>
          <w:sz w:val="32"/>
          <w:szCs w:val="32"/>
        </w:rPr>
        <w:t>1-2.202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年度部门整体支出绩效目标完成情况表</w:t>
      </w:r>
    </w:p>
    <w:p>
      <w:pPr>
        <w:numPr>
          <w:ilvl w:val="0"/>
          <w:numId w:val="5"/>
        </w:numPr>
        <w:spacing w:line="600" w:lineRule="exact"/>
        <w:ind w:firstLine="1600" w:firstLineChars="500"/>
        <w:rPr>
          <w:rFonts w:ascii="仿宋_GB2312" w:hAnsi="宋体" w:eastAsia="仿宋_GB2312" w:cs="宋体"/>
          <w:sz w:val="32"/>
          <w:szCs w:val="32"/>
        </w:rPr>
      </w:pP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年度项目支出绩效自评报告</w:t>
      </w:r>
    </w:p>
    <w:p>
      <w:pPr>
        <w:spacing w:line="600" w:lineRule="exact"/>
        <w:ind w:firstLine="1600" w:firstLineChars="500"/>
        <w:rPr>
          <w:rFonts w:ascii="仿宋_GB2312" w:hAnsi="宋体" w:eastAsia="仿宋_GB2312" w:cs="宋体"/>
          <w:sz w:val="32"/>
          <w:szCs w:val="32"/>
        </w:rPr>
      </w:pPr>
      <w:r>
        <w:rPr>
          <w:rFonts w:hint="eastAsia" w:ascii="仿宋_GB2312" w:hAnsi="宋体" w:eastAsia="仿宋_GB2312" w:cs="宋体"/>
          <w:sz w:val="32"/>
          <w:szCs w:val="32"/>
        </w:rPr>
        <w:t>2-1.202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年度乐至县项目支出绩效自评计分表</w:t>
      </w:r>
    </w:p>
    <w:p>
      <w:pPr>
        <w:spacing w:line="600" w:lineRule="exact"/>
        <w:ind w:firstLine="1600" w:firstLineChars="500"/>
        <w:rPr>
          <w:rFonts w:ascii="仿宋_GB2312" w:hAnsi="宋体" w:eastAsia="仿宋_GB2312" w:cs="宋体"/>
          <w:sz w:val="32"/>
          <w:szCs w:val="32"/>
        </w:rPr>
      </w:pPr>
      <w:r>
        <w:rPr>
          <w:rFonts w:hint="eastAsia" w:ascii="仿宋_GB2312" w:hAnsi="宋体" w:eastAsia="仿宋_GB2312" w:cs="宋体"/>
          <w:sz w:val="32"/>
          <w:szCs w:val="32"/>
        </w:rPr>
        <w:t>2-2.202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年度乐至县项目支出绩效目标完成情况</w:t>
      </w:r>
    </w:p>
    <w:p>
      <w:pPr>
        <w:spacing w:line="600" w:lineRule="exact"/>
        <w:ind w:firstLine="1600" w:firstLineChars="500"/>
        <w:rPr>
          <w:rFonts w:ascii="仿宋_GB2312" w:hAnsi="宋体" w:eastAsia="仿宋_GB2312" w:cs="宋体"/>
          <w:sz w:val="32"/>
          <w:szCs w:val="32"/>
        </w:rPr>
      </w:pPr>
    </w:p>
    <w:p>
      <w:pPr>
        <w:spacing w:line="600" w:lineRule="exact"/>
        <w:ind w:firstLine="1600" w:firstLineChars="500"/>
        <w:rPr>
          <w:rFonts w:ascii="仿宋_GB2312" w:hAnsi="宋体" w:eastAsia="仿宋_GB2312" w:cs="宋体"/>
          <w:sz w:val="32"/>
          <w:szCs w:val="32"/>
        </w:rPr>
      </w:pPr>
    </w:p>
    <w:p>
      <w:pPr>
        <w:spacing w:line="600" w:lineRule="exact"/>
        <w:ind w:firstLine="1600" w:firstLineChars="500"/>
        <w:rPr>
          <w:rFonts w:ascii="仿宋_GB2312" w:hAnsi="宋体" w:eastAsia="仿宋_GB2312" w:cs="宋体"/>
          <w:sz w:val="32"/>
          <w:szCs w:val="32"/>
        </w:rPr>
      </w:pPr>
    </w:p>
    <w:p>
      <w:pPr>
        <w:spacing w:line="600" w:lineRule="exact"/>
        <w:ind w:firstLine="1600" w:firstLineChars="500"/>
        <w:rPr>
          <w:rFonts w:ascii="仿宋_GB2312" w:hAnsi="宋体" w:eastAsia="仿宋_GB2312" w:cs="宋体"/>
          <w:sz w:val="32"/>
          <w:szCs w:val="32"/>
        </w:rPr>
      </w:pPr>
    </w:p>
    <w:p>
      <w:pPr>
        <w:spacing w:line="600" w:lineRule="exact"/>
        <w:ind w:firstLine="3840" w:firstLineChars="1200"/>
        <w:jc w:val="right"/>
        <w:rPr>
          <w:rFonts w:ascii="楷体_GB2312" w:hAnsi="宋体" w:eastAsia="楷体_GB2312" w:cs="宋体"/>
          <w:sz w:val="32"/>
          <w:szCs w:val="32"/>
        </w:rPr>
      </w:pPr>
      <w:r>
        <w:rPr>
          <w:rFonts w:hint="eastAsia" w:ascii="楷体_GB2312" w:hAnsi="宋体" w:eastAsia="楷体_GB2312" w:cs="宋体"/>
          <w:sz w:val="32"/>
          <w:szCs w:val="32"/>
        </w:rPr>
        <w:t>乐至县行政审批局</w:t>
      </w:r>
    </w:p>
    <w:p>
      <w:pPr>
        <w:spacing w:line="600" w:lineRule="exact"/>
        <w:jc w:val="right"/>
        <w:rPr>
          <w:rFonts w:hint="eastAsia" w:ascii="楷体_GB2312" w:hAnsi="宋体" w:eastAsia="楷体_GB2312" w:cs="宋体"/>
          <w:sz w:val="32"/>
          <w:szCs w:val="32"/>
        </w:rPr>
      </w:pPr>
      <w:r>
        <w:rPr>
          <w:rFonts w:hint="eastAsia" w:ascii="楷体_GB2312" w:hAnsi="宋体" w:eastAsia="楷体_GB2312" w:cs="宋体"/>
          <w:sz w:val="32"/>
          <w:szCs w:val="32"/>
        </w:rPr>
        <w:t xml:space="preserve">     202</w:t>
      </w:r>
      <w:r>
        <w:rPr>
          <w:rFonts w:hint="eastAsia" w:ascii="楷体_GB2312" w:hAnsi="宋体" w:eastAsia="楷体_GB2312" w:cs="宋体"/>
          <w:sz w:val="32"/>
          <w:szCs w:val="32"/>
          <w:lang w:val="en-US" w:eastAsia="zh-CN"/>
        </w:rPr>
        <w:t>3</w:t>
      </w:r>
      <w:r>
        <w:rPr>
          <w:rFonts w:hint="eastAsia" w:ascii="楷体_GB2312" w:hAnsi="宋体" w:eastAsia="楷体_GB2312" w:cs="宋体"/>
          <w:sz w:val="32"/>
          <w:szCs w:val="32"/>
        </w:rPr>
        <w:t>年</w:t>
      </w:r>
      <w:r>
        <w:rPr>
          <w:rFonts w:hint="eastAsia" w:ascii="楷体_GB2312" w:hAnsi="宋体" w:eastAsia="楷体_GB2312" w:cs="宋体"/>
          <w:sz w:val="32"/>
          <w:szCs w:val="32"/>
          <w:lang w:val="en-US" w:eastAsia="zh-CN"/>
        </w:rPr>
        <w:t>10</w:t>
      </w:r>
      <w:r>
        <w:rPr>
          <w:rFonts w:hint="eastAsia" w:ascii="楷体_GB2312" w:hAnsi="宋体" w:eastAsia="楷体_GB2312" w:cs="宋体"/>
          <w:sz w:val="32"/>
          <w:szCs w:val="32"/>
        </w:rPr>
        <w:t>月</w:t>
      </w:r>
      <w:r>
        <w:rPr>
          <w:rFonts w:hint="eastAsia" w:ascii="楷体_GB2312" w:hAnsi="宋体" w:eastAsia="楷体_GB2312" w:cs="宋体"/>
          <w:sz w:val="32"/>
          <w:szCs w:val="32"/>
          <w:lang w:val="en-US" w:eastAsia="zh-CN"/>
        </w:rPr>
        <w:t xml:space="preserve"> 18</w:t>
      </w:r>
      <w:r>
        <w:rPr>
          <w:rFonts w:hint="eastAsia" w:ascii="楷体_GB2312" w:hAnsi="宋体" w:eastAsia="楷体_GB2312" w:cs="宋体"/>
          <w:sz w:val="32"/>
          <w:szCs w:val="32"/>
        </w:rPr>
        <w:t>日</w:t>
      </w:r>
    </w:p>
    <w:p>
      <w:pPr>
        <w:spacing w:line="600" w:lineRule="exact"/>
        <w:jc w:val="right"/>
        <w:rPr>
          <w:rFonts w:ascii="楷体_GB2312" w:hAnsi="宋体" w:eastAsia="楷体_GB2312" w:cs="宋体"/>
          <w:sz w:val="32"/>
          <w:szCs w:val="32"/>
        </w:rPr>
      </w:pPr>
    </w:p>
    <w:p>
      <w:pPr>
        <w:spacing w:line="620" w:lineRule="exact"/>
        <w:jc w:val="left"/>
        <w:rPr>
          <w:rFonts w:eastAsia="方正黑体简体"/>
          <w:bCs/>
          <w:kern w:val="0"/>
          <w:sz w:val="32"/>
          <w:szCs w:val="32"/>
        </w:rPr>
      </w:pPr>
    </w:p>
    <w:p>
      <w:pPr>
        <w:spacing w:line="620" w:lineRule="exact"/>
        <w:jc w:val="left"/>
        <w:rPr>
          <w:rFonts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附件1</w:t>
      </w:r>
      <w:r>
        <w:rPr>
          <w:rFonts w:eastAsia="方正黑体简体"/>
          <w:bCs/>
          <w:kern w:val="0"/>
          <w:sz w:val="32"/>
          <w:szCs w:val="32"/>
        </w:rPr>
        <w:t>-1</w:t>
      </w:r>
    </w:p>
    <w:p>
      <w:pPr>
        <w:spacing w:line="620" w:lineRule="exact"/>
        <w:jc w:val="center"/>
        <w:rPr>
          <w:rFonts w:eastAsia="方正小标宋简体"/>
          <w:w w:val="90"/>
          <w:kern w:val="0"/>
          <w:sz w:val="44"/>
          <w:szCs w:val="44"/>
        </w:rPr>
      </w:pPr>
      <w:r>
        <w:rPr>
          <w:rFonts w:eastAsia="方正小标宋简体"/>
          <w:bCs/>
          <w:w w:val="90"/>
          <w:kern w:val="0"/>
          <w:sz w:val="44"/>
          <w:szCs w:val="44"/>
        </w:rPr>
        <w:t>202</w:t>
      </w:r>
      <w:r>
        <w:rPr>
          <w:rFonts w:hint="eastAsia" w:eastAsia="方正小标宋简体"/>
          <w:bCs/>
          <w:w w:val="90"/>
          <w:kern w:val="0"/>
          <w:sz w:val="44"/>
          <w:szCs w:val="44"/>
          <w:lang w:val="en-US" w:eastAsia="zh-CN"/>
        </w:rPr>
        <w:t>2</w:t>
      </w:r>
      <w:r>
        <w:rPr>
          <w:rFonts w:hint="eastAsia" w:eastAsia="方正小标宋简体"/>
          <w:bCs/>
          <w:w w:val="90"/>
          <w:kern w:val="0"/>
          <w:sz w:val="44"/>
          <w:szCs w:val="44"/>
        </w:rPr>
        <w:t>年度乐至县部门整体支出绩效自评计分表</w:t>
      </w:r>
    </w:p>
    <w:p>
      <w:pPr>
        <w:spacing w:line="620" w:lineRule="exact"/>
        <w:rPr>
          <w:color w:val="000000"/>
          <w:kern w:val="0"/>
          <w:sz w:val="24"/>
        </w:rPr>
      </w:pPr>
      <w:r>
        <w:rPr>
          <w:rFonts w:hint="eastAsia"/>
          <w:color w:val="000000"/>
          <w:kern w:val="0"/>
          <w:sz w:val="24"/>
        </w:rPr>
        <w:t>单位名称：乐至县行政审批局</w:t>
      </w:r>
      <w:r>
        <w:rPr>
          <w:color w:val="000000"/>
          <w:kern w:val="0"/>
          <w:sz w:val="24"/>
        </w:rPr>
        <w:t xml:space="preserve">     </w:t>
      </w:r>
      <w:r>
        <w:rPr>
          <w:rFonts w:hint="eastAsia"/>
          <w:color w:val="000000"/>
          <w:kern w:val="0"/>
          <w:sz w:val="24"/>
        </w:rPr>
        <w:t>预算单位编码：134101001</w:t>
      </w:r>
      <w:r>
        <w:rPr>
          <w:color w:val="000000"/>
          <w:kern w:val="0"/>
          <w:sz w:val="24"/>
        </w:rPr>
        <w:t xml:space="preserve">        </w:t>
      </w:r>
      <w:r>
        <w:rPr>
          <w:rFonts w:hint="eastAsia"/>
          <w:color w:val="000000"/>
          <w:kern w:val="0"/>
          <w:sz w:val="24"/>
        </w:rPr>
        <w:t>自评等级：优</w:t>
      </w:r>
    </w:p>
    <w:tbl>
      <w:tblPr>
        <w:tblStyle w:val="16"/>
        <w:tblW w:w="5129" w:type="pct"/>
        <w:jc w:val="center"/>
        <w:tblLayout w:type="autofit"/>
        <w:tblCellMar>
          <w:top w:w="0" w:type="dxa"/>
          <w:left w:w="28" w:type="dxa"/>
          <w:bottom w:w="0" w:type="dxa"/>
          <w:right w:w="28" w:type="dxa"/>
        </w:tblCellMar>
      </w:tblPr>
      <w:tblGrid>
        <w:gridCol w:w="643"/>
        <w:gridCol w:w="590"/>
        <w:gridCol w:w="1045"/>
        <w:gridCol w:w="2245"/>
        <w:gridCol w:w="2945"/>
        <w:gridCol w:w="857"/>
        <w:gridCol w:w="806"/>
      </w:tblGrid>
      <w:tr>
        <w:trPr>
          <w:trHeight w:val="518" w:hRule="atLeast"/>
          <w:tblHeader/>
          <w:jc w:val="center"/>
        </w:trPr>
        <w:tc>
          <w:tcPr>
            <w:tcW w:w="352" w:type="pct"/>
            <w:tcBorders>
              <w:top w:val="single" w:color="auto" w:sz="12" w:space="0"/>
              <w:left w:val="single" w:color="auto" w:sz="12" w:space="0"/>
              <w:bottom w:val="single" w:color="auto" w:sz="4" w:space="0"/>
              <w:right w:val="single" w:color="auto" w:sz="4" w:space="0"/>
            </w:tcBorders>
            <w:vAlign w:val="center"/>
          </w:tcPr>
          <w:p>
            <w:pPr>
              <w:spacing w:line="240" w:lineRule="exact"/>
              <w:jc w:val="center"/>
              <w:rPr>
                <w:rFonts w:eastAsia="方正黑体简体"/>
                <w:szCs w:val="21"/>
              </w:rPr>
            </w:pPr>
            <w:r>
              <w:rPr>
                <w:rFonts w:hint="eastAsia" w:eastAsia="方正黑体简体"/>
                <w:szCs w:val="21"/>
              </w:rPr>
              <w:t>一级指标</w:t>
            </w:r>
          </w:p>
        </w:tc>
        <w:tc>
          <w:tcPr>
            <w:tcW w:w="323" w:type="pct"/>
            <w:tcBorders>
              <w:top w:val="single" w:color="auto" w:sz="12" w:space="0"/>
              <w:left w:val="nil"/>
              <w:bottom w:val="single" w:color="auto" w:sz="4" w:space="0"/>
              <w:right w:val="single" w:color="auto" w:sz="4" w:space="0"/>
            </w:tcBorders>
            <w:vAlign w:val="center"/>
          </w:tcPr>
          <w:p>
            <w:pPr>
              <w:spacing w:line="240" w:lineRule="exact"/>
              <w:jc w:val="center"/>
              <w:rPr>
                <w:rFonts w:eastAsia="方正黑体简体"/>
                <w:szCs w:val="21"/>
              </w:rPr>
            </w:pPr>
            <w:r>
              <w:rPr>
                <w:rFonts w:hint="eastAsia" w:eastAsia="方正黑体简体"/>
                <w:szCs w:val="21"/>
              </w:rPr>
              <w:t>二级指标</w:t>
            </w:r>
          </w:p>
        </w:tc>
        <w:tc>
          <w:tcPr>
            <w:tcW w:w="572" w:type="pct"/>
            <w:tcBorders>
              <w:top w:val="single" w:color="auto" w:sz="12" w:space="0"/>
              <w:left w:val="nil"/>
              <w:bottom w:val="single" w:color="auto" w:sz="4" w:space="0"/>
              <w:right w:val="single" w:color="auto" w:sz="4" w:space="0"/>
            </w:tcBorders>
            <w:vAlign w:val="center"/>
          </w:tcPr>
          <w:p>
            <w:pPr>
              <w:spacing w:line="240" w:lineRule="exact"/>
              <w:jc w:val="center"/>
              <w:rPr>
                <w:rFonts w:eastAsia="方正黑体简体"/>
                <w:szCs w:val="21"/>
              </w:rPr>
            </w:pPr>
            <w:r>
              <w:rPr>
                <w:rFonts w:hint="eastAsia" w:eastAsia="方正黑体简体"/>
                <w:szCs w:val="21"/>
              </w:rPr>
              <w:t>三级指标</w:t>
            </w:r>
          </w:p>
        </w:tc>
        <w:tc>
          <w:tcPr>
            <w:tcW w:w="1229" w:type="pct"/>
            <w:tcBorders>
              <w:top w:val="single" w:color="auto" w:sz="12" w:space="0"/>
              <w:left w:val="nil"/>
              <w:bottom w:val="single" w:color="auto" w:sz="4" w:space="0"/>
              <w:right w:val="single" w:color="auto" w:sz="4" w:space="0"/>
            </w:tcBorders>
            <w:vAlign w:val="center"/>
          </w:tcPr>
          <w:p>
            <w:pPr>
              <w:spacing w:line="240" w:lineRule="exact"/>
              <w:jc w:val="center"/>
              <w:rPr>
                <w:rFonts w:eastAsia="方正黑体简体"/>
                <w:szCs w:val="21"/>
              </w:rPr>
            </w:pPr>
            <w:r>
              <w:rPr>
                <w:rFonts w:hint="eastAsia" w:eastAsia="方正黑体简体"/>
                <w:szCs w:val="21"/>
              </w:rPr>
              <w:t>指标解释</w:t>
            </w:r>
          </w:p>
        </w:tc>
        <w:tc>
          <w:tcPr>
            <w:tcW w:w="1611" w:type="pct"/>
            <w:tcBorders>
              <w:top w:val="single" w:color="auto" w:sz="12" w:space="0"/>
              <w:left w:val="nil"/>
              <w:bottom w:val="single" w:color="auto" w:sz="4" w:space="0"/>
              <w:right w:val="single" w:color="auto" w:sz="4" w:space="0"/>
            </w:tcBorders>
            <w:vAlign w:val="center"/>
          </w:tcPr>
          <w:p>
            <w:pPr>
              <w:spacing w:line="240" w:lineRule="exact"/>
              <w:jc w:val="center"/>
              <w:rPr>
                <w:rFonts w:eastAsia="方正黑体简体"/>
                <w:szCs w:val="21"/>
              </w:rPr>
            </w:pPr>
            <w:r>
              <w:rPr>
                <w:rFonts w:hint="eastAsia" w:eastAsia="方正黑体简体"/>
                <w:szCs w:val="21"/>
              </w:rPr>
              <w:t>指标说明</w:t>
            </w:r>
            <w:r>
              <w:rPr>
                <w:rFonts w:eastAsia="方正黑体简体"/>
                <w:szCs w:val="21"/>
              </w:rPr>
              <w:t>(</w:t>
            </w:r>
            <w:r>
              <w:rPr>
                <w:rFonts w:hint="eastAsia" w:eastAsia="方正黑体简体"/>
                <w:szCs w:val="21"/>
              </w:rPr>
              <w:t>评价计分标准）</w:t>
            </w:r>
          </w:p>
        </w:tc>
        <w:tc>
          <w:tcPr>
            <w:tcW w:w="469" w:type="pct"/>
            <w:tcBorders>
              <w:top w:val="single" w:color="auto" w:sz="12" w:space="0"/>
              <w:left w:val="nil"/>
              <w:bottom w:val="single" w:color="auto" w:sz="4" w:space="0"/>
              <w:right w:val="single" w:color="auto" w:sz="4" w:space="0"/>
            </w:tcBorders>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分数</w:t>
            </w:r>
          </w:p>
        </w:tc>
        <w:tc>
          <w:tcPr>
            <w:tcW w:w="441" w:type="pct"/>
            <w:tcBorders>
              <w:top w:val="single" w:color="auto" w:sz="12" w:space="0"/>
              <w:left w:val="nil"/>
              <w:bottom w:val="single" w:color="auto" w:sz="4" w:space="0"/>
              <w:right w:val="single" w:color="auto" w:sz="12" w:space="0"/>
            </w:tcBorders>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依据及说明</w:t>
            </w:r>
          </w:p>
        </w:tc>
      </w:tr>
      <w:tr>
        <w:tblPrEx>
          <w:tblCellMar>
            <w:top w:w="0" w:type="dxa"/>
            <w:left w:w="28" w:type="dxa"/>
            <w:bottom w:w="0" w:type="dxa"/>
            <w:right w:w="28" w:type="dxa"/>
          </w:tblCellMar>
        </w:tblPrEx>
        <w:trPr>
          <w:trHeight w:val="1330" w:hRule="atLeast"/>
          <w:jc w:val="center"/>
        </w:trPr>
        <w:tc>
          <w:tcPr>
            <w:tcW w:w="352"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投入（</w:t>
            </w:r>
            <w:r>
              <w:rPr>
                <w:szCs w:val="21"/>
              </w:rPr>
              <w:t>20</w:t>
            </w:r>
            <w:r>
              <w:rPr>
                <w:rFonts w:hint="eastAsia"/>
                <w:szCs w:val="21"/>
              </w:rPr>
              <w:t>分）</w:t>
            </w:r>
          </w:p>
        </w:tc>
        <w:tc>
          <w:tcPr>
            <w:tcW w:w="323" w:type="pct"/>
            <w:vMerge w:val="restart"/>
            <w:tcBorders>
              <w:top w:val="nil"/>
              <w:left w:val="single" w:color="auto" w:sz="4" w:space="0"/>
              <w:bottom w:val="single" w:color="auto" w:sz="4" w:space="0"/>
              <w:right w:val="single" w:color="auto" w:sz="4" w:space="0"/>
            </w:tcBorders>
            <w:vAlign w:val="center"/>
          </w:tcPr>
          <w:p>
            <w:pPr>
              <w:spacing w:line="240" w:lineRule="exact"/>
              <w:jc w:val="center"/>
              <w:rPr>
                <w:szCs w:val="21"/>
              </w:rPr>
            </w:pPr>
            <w:r>
              <w:rPr>
                <w:rFonts w:hint="eastAsia"/>
                <w:szCs w:val="21"/>
              </w:rPr>
              <w:t>目标设定（</w:t>
            </w:r>
            <w:r>
              <w:rPr>
                <w:szCs w:val="21"/>
              </w:rPr>
              <w:t>5</w:t>
            </w:r>
            <w:r>
              <w:rPr>
                <w:rFonts w:hint="eastAsia"/>
                <w:szCs w:val="21"/>
              </w:rPr>
              <w:t>分）</w:t>
            </w: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绩效目标合理性（</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部门（单位）所设立的整体绩效目标依据是否充分，是否符合客观实际，用以反映和考核部门（单位）整体绩效目标与部门履职、年度工作任务的相符性情况。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①是否符合国家法律法规、国民经济和社会发展总体规划；</w:t>
            </w:r>
            <w:r>
              <w:rPr>
                <w:szCs w:val="21"/>
              </w:rPr>
              <w:t>(1</w:t>
            </w:r>
            <w:r>
              <w:rPr>
                <w:rFonts w:hint="eastAsia"/>
                <w:szCs w:val="21"/>
              </w:rPr>
              <w:t>分）</w:t>
            </w:r>
          </w:p>
          <w:p>
            <w:pPr>
              <w:spacing w:line="240" w:lineRule="exact"/>
              <w:rPr>
                <w:szCs w:val="21"/>
              </w:rPr>
            </w:pPr>
            <w:r>
              <w:rPr>
                <w:rFonts w:hint="eastAsia"/>
                <w:szCs w:val="21"/>
              </w:rPr>
              <w:t>②是否符合部门“三定”方案确定的职责；（</w:t>
            </w:r>
            <w:r>
              <w:rPr>
                <w:szCs w:val="21"/>
              </w:rPr>
              <w:t>0.5</w:t>
            </w:r>
            <w:r>
              <w:rPr>
                <w:rFonts w:hint="eastAsia"/>
                <w:szCs w:val="21"/>
              </w:rPr>
              <w:t>分）</w:t>
            </w:r>
          </w:p>
          <w:p>
            <w:pPr>
              <w:spacing w:line="240" w:lineRule="exact"/>
              <w:rPr>
                <w:szCs w:val="21"/>
              </w:rPr>
            </w:pPr>
            <w:r>
              <w:rPr>
                <w:rFonts w:hint="eastAsia"/>
                <w:szCs w:val="21"/>
              </w:rPr>
              <w:t>③是否符合部门制定的中长期实施规划。（</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47"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绩效指标明确性（</w:t>
            </w:r>
            <w:r>
              <w:rPr>
                <w:szCs w:val="21"/>
              </w:rPr>
              <w:t>3</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部门（单位）依据整体绩效目标所设定的绩效指标是否清晰、细化、可衡量，用以反映和考核部门（单位）整体绩效目标的明细化情况。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①是否将部门整体的绩效目标细化分解为具体的工作任务；（</w:t>
            </w:r>
            <w:r>
              <w:rPr>
                <w:szCs w:val="21"/>
              </w:rPr>
              <w:t>1</w:t>
            </w:r>
            <w:r>
              <w:rPr>
                <w:rFonts w:hint="eastAsia"/>
                <w:szCs w:val="21"/>
              </w:rPr>
              <w:t>分）</w:t>
            </w:r>
          </w:p>
          <w:p>
            <w:pPr>
              <w:spacing w:line="240" w:lineRule="exact"/>
              <w:rPr>
                <w:szCs w:val="21"/>
              </w:rPr>
            </w:pPr>
            <w:r>
              <w:rPr>
                <w:rFonts w:hint="eastAsia"/>
                <w:szCs w:val="21"/>
              </w:rPr>
              <w:t>②是否通过清晰、可衡量的指标值予以体现</w:t>
            </w:r>
            <w:r>
              <w:rPr>
                <w:szCs w:val="21"/>
              </w:rPr>
              <w:t>;(0.5</w:t>
            </w:r>
            <w:r>
              <w:rPr>
                <w:rFonts w:hint="eastAsia"/>
                <w:szCs w:val="21"/>
              </w:rPr>
              <w:t>分）</w:t>
            </w:r>
            <w:r>
              <w:rPr>
                <w:szCs w:val="21"/>
              </w:rPr>
              <w:t xml:space="preserve">    </w:t>
            </w:r>
            <w:r>
              <w:rPr>
                <w:rFonts w:hint="eastAsia"/>
                <w:szCs w:val="21"/>
              </w:rPr>
              <w:t>③是否与部门年度的任务数或计划数相对应；（</w:t>
            </w:r>
            <w:r>
              <w:rPr>
                <w:szCs w:val="21"/>
              </w:rPr>
              <w:t>0.5</w:t>
            </w:r>
            <w:r>
              <w:rPr>
                <w:rFonts w:hint="eastAsia"/>
                <w:szCs w:val="21"/>
              </w:rPr>
              <w:t>分）</w:t>
            </w:r>
          </w:p>
          <w:p>
            <w:pPr>
              <w:spacing w:line="240" w:lineRule="exact"/>
              <w:rPr>
                <w:szCs w:val="21"/>
              </w:rPr>
            </w:pPr>
            <w:r>
              <w:rPr>
                <w:rFonts w:hint="eastAsia"/>
                <w:szCs w:val="21"/>
              </w:rPr>
              <w:t>④是否与本年度部门预算资金相匹配。（</w:t>
            </w:r>
            <w:r>
              <w:rPr>
                <w:szCs w:val="21"/>
              </w:rPr>
              <w:t>1</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3</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00"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restart"/>
            <w:tcBorders>
              <w:top w:val="nil"/>
              <w:left w:val="single" w:color="auto" w:sz="4" w:space="0"/>
              <w:bottom w:val="single" w:color="000000" w:sz="4" w:space="0"/>
              <w:right w:val="single" w:color="auto" w:sz="4" w:space="0"/>
            </w:tcBorders>
            <w:vAlign w:val="center"/>
          </w:tcPr>
          <w:p>
            <w:pPr>
              <w:spacing w:line="240" w:lineRule="exact"/>
              <w:jc w:val="center"/>
              <w:rPr>
                <w:szCs w:val="21"/>
              </w:rPr>
            </w:pPr>
            <w:r>
              <w:rPr>
                <w:rFonts w:hint="eastAsia"/>
                <w:szCs w:val="21"/>
              </w:rPr>
              <w:t>预算配置（</w:t>
            </w:r>
            <w:r>
              <w:rPr>
                <w:szCs w:val="21"/>
              </w:rPr>
              <w:t>15</w:t>
            </w:r>
            <w:r>
              <w:rPr>
                <w:rFonts w:hint="eastAsia"/>
                <w:szCs w:val="21"/>
              </w:rPr>
              <w:t>分）</w:t>
            </w: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在职人员控制率（</w:t>
            </w:r>
            <w:r>
              <w:rPr>
                <w:szCs w:val="21"/>
              </w:rPr>
              <w:t>5</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部门（单位）本年度实际在职人员数与编制数的比率，用以反映和考核部门（单位）对人员成本的控制程度。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在职人员控制率</w:t>
            </w:r>
            <w:r>
              <w:rPr>
                <w:szCs w:val="21"/>
              </w:rPr>
              <w:t>=</w:t>
            </w:r>
            <w:r>
              <w:rPr>
                <w:rFonts w:hint="eastAsia"/>
                <w:szCs w:val="21"/>
              </w:rPr>
              <w:t>（在职人员数</w:t>
            </w:r>
            <w:r>
              <w:rPr>
                <w:szCs w:val="21"/>
              </w:rPr>
              <w:t>/</w:t>
            </w:r>
            <w:r>
              <w:rPr>
                <w:rFonts w:hint="eastAsia"/>
                <w:szCs w:val="21"/>
              </w:rPr>
              <w:t>编制数）×</w:t>
            </w:r>
            <w:r>
              <w:rPr>
                <w:szCs w:val="21"/>
              </w:rPr>
              <w:t>100%</w:t>
            </w:r>
            <w:r>
              <w:rPr>
                <w:rFonts w:hint="eastAsia"/>
                <w:szCs w:val="21"/>
              </w:rPr>
              <w:t>。（小于或等于</w:t>
            </w:r>
            <w:r>
              <w:rPr>
                <w:szCs w:val="21"/>
              </w:rPr>
              <w:t>1</w:t>
            </w:r>
            <w:r>
              <w:rPr>
                <w:rFonts w:hint="eastAsia"/>
                <w:szCs w:val="21"/>
              </w:rPr>
              <w:t>计</w:t>
            </w:r>
            <w:r>
              <w:rPr>
                <w:szCs w:val="21"/>
              </w:rPr>
              <w:t>5</w:t>
            </w:r>
            <w:r>
              <w:rPr>
                <w:rFonts w:hint="eastAsia"/>
                <w:szCs w:val="21"/>
              </w:rPr>
              <w:t>分，否则按比例计分）</w:t>
            </w:r>
          </w:p>
          <w:p>
            <w:pPr>
              <w:spacing w:line="240" w:lineRule="exact"/>
              <w:rPr>
                <w:szCs w:val="21"/>
              </w:rPr>
            </w:pPr>
            <w:r>
              <w:rPr>
                <w:rFonts w:hint="eastAsia"/>
                <w:szCs w:val="21"/>
              </w:rPr>
              <w:t>在职人员数：部门（单位）实际在职人数，以财政部确定的部门决算编制口径为准。</w:t>
            </w:r>
          </w:p>
          <w:p>
            <w:pPr>
              <w:spacing w:line="240" w:lineRule="exact"/>
              <w:rPr>
                <w:szCs w:val="21"/>
              </w:rPr>
            </w:pPr>
            <w:r>
              <w:rPr>
                <w:rFonts w:hint="eastAsia"/>
                <w:szCs w:val="21"/>
              </w:rPr>
              <w:t>编制数：机构编制部门核定批复的部门（单位）的人员编制数。</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5</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59"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“三公经费”变动率（</w:t>
            </w:r>
            <w:r>
              <w:rPr>
                <w:szCs w:val="21"/>
              </w:rPr>
              <w:t>5</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部门（单位）本年度“三公经费”预算数与上年度“三公经费”预算数的变动比率，用以反映和考核部门（单位）对控制重点行政成本的努力程度。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“三公经费”变动率</w:t>
            </w:r>
            <w:r>
              <w:rPr>
                <w:szCs w:val="21"/>
              </w:rPr>
              <w:t>=[</w:t>
            </w:r>
            <w:r>
              <w:rPr>
                <w:rFonts w:hint="eastAsia"/>
                <w:szCs w:val="21"/>
              </w:rPr>
              <w:t>（本年度“三公经费”总额</w:t>
            </w:r>
            <w:r>
              <w:rPr>
                <w:szCs w:val="21"/>
              </w:rPr>
              <w:t>-</w:t>
            </w:r>
            <w:r>
              <w:rPr>
                <w:rFonts w:hint="eastAsia"/>
                <w:szCs w:val="21"/>
              </w:rPr>
              <w:t>上年度“三公经费”总额）</w:t>
            </w:r>
            <w:r>
              <w:rPr>
                <w:szCs w:val="21"/>
              </w:rPr>
              <w:t>/</w:t>
            </w:r>
            <w:r>
              <w:rPr>
                <w:rFonts w:hint="eastAsia"/>
                <w:szCs w:val="21"/>
              </w:rPr>
              <w:t>上年度“三公经费”总额</w:t>
            </w:r>
            <w:r>
              <w:rPr>
                <w:szCs w:val="21"/>
              </w:rPr>
              <w:t>]</w:t>
            </w:r>
            <w:r>
              <w:rPr>
                <w:rFonts w:hint="eastAsia"/>
                <w:szCs w:val="21"/>
              </w:rPr>
              <w:t>×</w:t>
            </w:r>
            <w:r>
              <w:rPr>
                <w:szCs w:val="21"/>
              </w:rPr>
              <w:t>100%</w:t>
            </w:r>
            <w:r>
              <w:rPr>
                <w:rFonts w:hint="eastAsia"/>
                <w:szCs w:val="21"/>
              </w:rPr>
              <w:t>。（下降的计</w:t>
            </w:r>
            <w:r>
              <w:rPr>
                <w:szCs w:val="21"/>
              </w:rPr>
              <w:t>5</w:t>
            </w:r>
            <w:r>
              <w:rPr>
                <w:rFonts w:hint="eastAsia"/>
                <w:szCs w:val="21"/>
              </w:rPr>
              <w:t>分，增加的按比例扣减）</w:t>
            </w:r>
          </w:p>
          <w:p>
            <w:pPr>
              <w:spacing w:line="240" w:lineRule="exact"/>
              <w:rPr>
                <w:szCs w:val="21"/>
              </w:rPr>
            </w:pPr>
            <w:r>
              <w:rPr>
                <w:rFonts w:hint="eastAsia"/>
                <w:szCs w:val="21"/>
              </w:rPr>
              <w:t>“三公经费”：年度预算安排的因公出国（境）费、公务车辆购置及运行费和公务招待费。</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5</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534"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重点支出安排率（</w:t>
            </w:r>
            <w:r>
              <w:rPr>
                <w:szCs w:val="21"/>
              </w:rPr>
              <w:t>5</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部门（单位）本年度预算安排的重点项目支出与部门项目总支出的比率，用以反映和考核部门（单位）对履行主要职责或完成重点任务的保障程度。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重点支出安排率</w:t>
            </w:r>
            <w:r>
              <w:rPr>
                <w:szCs w:val="21"/>
              </w:rPr>
              <w:t>=</w:t>
            </w:r>
            <w:r>
              <w:rPr>
                <w:rFonts w:hint="eastAsia"/>
                <w:szCs w:val="21"/>
              </w:rPr>
              <w:t>（重点项目支出</w:t>
            </w:r>
            <w:r>
              <w:rPr>
                <w:szCs w:val="21"/>
              </w:rPr>
              <w:t>/</w:t>
            </w:r>
            <w:r>
              <w:rPr>
                <w:rFonts w:hint="eastAsia"/>
                <w:szCs w:val="21"/>
              </w:rPr>
              <w:t>项目总支出）×</w:t>
            </w:r>
            <w:r>
              <w:rPr>
                <w:szCs w:val="21"/>
              </w:rPr>
              <w:t>100%</w:t>
            </w:r>
            <w:r>
              <w:rPr>
                <w:rFonts w:hint="eastAsia"/>
                <w:szCs w:val="21"/>
              </w:rPr>
              <w:t>。（实际得分</w:t>
            </w:r>
            <w:r>
              <w:rPr>
                <w:szCs w:val="21"/>
              </w:rPr>
              <w:t>=</w:t>
            </w:r>
            <w:r>
              <w:rPr>
                <w:rFonts w:hint="eastAsia"/>
                <w:szCs w:val="21"/>
              </w:rPr>
              <w:t>支出安排率</w:t>
            </w:r>
            <w:r>
              <w:rPr>
                <w:szCs w:val="21"/>
              </w:rPr>
              <w:t>*5</w:t>
            </w:r>
            <w:r>
              <w:rPr>
                <w:rFonts w:hint="eastAsia"/>
                <w:szCs w:val="21"/>
              </w:rPr>
              <w:t>分）</w:t>
            </w:r>
          </w:p>
          <w:p>
            <w:pPr>
              <w:spacing w:line="240" w:lineRule="exact"/>
              <w:rPr>
                <w:szCs w:val="21"/>
              </w:rPr>
            </w:pPr>
            <w:r>
              <w:rPr>
                <w:rFonts w:hint="eastAsia"/>
                <w:szCs w:val="21"/>
              </w:rPr>
              <w:t>重点项目支出：部门（单位）年度预算安排的，与本部门履职和发展密切相关、具有明显社会和经济影响、党委政府关心或社会比较关注的项目支出总额。</w:t>
            </w:r>
          </w:p>
          <w:p>
            <w:pPr>
              <w:spacing w:line="240" w:lineRule="exact"/>
              <w:rPr>
                <w:szCs w:val="21"/>
              </w:rPr>
            </w:pPr>
            <w:r>
              <w:rPr>
                <w:rFonts w:hint="eastAsia"/>
                <w:szCs w:val="21"/>
              </w:rPr>
              <w:t>项目总支出：部门（单位）年度预算安排的项目支出总额。</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5</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30" w:hRule="atLeast"/>
          <w:jc w:val="center"/>
        </w:trPr>
        <w:tc>
          <w:tcPr>
            <w:tcW w:w="352"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过程（</w:t>
            </w:r>
            <w:r>
              <w:rPr>
                <w:szCs w:val="21"/>
              </w:rPr>
              <w:t>30</w:t>
            </w:r>
            <w:r>
              <w:rPr>
                <w:rFonts w:hint="eastAsia"/>
                <w:szCs w:val="21"/>
              </w:rPr>
              <w:t>分）</w:t>
            </w:r>
          </w:p>
        </w:tc>
        <w:tc>
          <w:tcPr>
            <w:tcW w:w="323" w:type="pct"/>
            <w:vMerge w:val="restart"/>
            <w:tcBorders>
              <w:top w:val="nil"/>
              <w:left w:val="single" w:color="auto" w:sz="4" w:space="0"/>
              <w:bottom w:val="single" w:color="000000" w:sz="4" w:space="0"/>
              <w:right w:val="single" w:color="auto" w:sz="4" w:space="0"/>
            </w:tcBorders>
            <w:vAlign w:val="center"/>
          </w:tcPr>
          <w:p>
            <w:pPr>
              <w:spacing w:line="240" w:lineRule="exact"/>
              <w:jc w:val="center"/>
              <w:rPr>
                <w:szCs w:val="21"/>
              </w:rPr>
            </w:pPr>
            <w:r>
              <w:rPr>
                <w:rFonts w:hint="eastAsia"/>
                <w:szCs w:val="21"/>
              </w:rPr>
              <w:t>预算执行（</w:t>
            </w:r>
            <w:r>
              <w:rPr>
                <w:szCs w:val="21"/>
              </w:rPr>
              <w:t>20</w:t>
            </w:r>
            <w:r>
              <w:rPr>
                <w:rFonts w:hint="eastAsia"/>
                <w:szCs w:val="21"/>
              </w:rPr>
              <w:t>分）</w:t>
            </w: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预算完成率（</w:t>
            </w:r>
            <w:r>
              <w:rPr>
                <w:szCs w:val="21"/>
              </w:rPr>
              <w:t>4</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部门（单位）本年度预算完成数与预算数的比率，用以反映和考核部门（单位）预算完成程度。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预算完成率</w:t>
            </w:r>
            <w:r>
              <w:rPr>
                <w:szCs w:val="21"/>
              </w:rPr>
              <w:t>=</w:t>
            </w:r>
            <w:r>
              <w:rPr>
                <w:rFonts w:hint="eastAsia"/>
                <w:szCs w:val="21"/>
              </w:rPr>
              <w:t>（预算完成数</w:t>
            </w:r>
            <w:r>
              <w:rPr>
                <w:szCs w:val="21"/>
              </w:rPr>
              <w:t>/</w:t>
            </w:r>
            <w:r>
              <w:rPr>
                <w:rFonts w:hint="eastAsia"/>
                <w:szCs w:val="21"/>
              </w:rPr>
              <w:t>预算数）×</w:t>
            </w:r>
            <w:r>
              <w:rPr>
                <w:szCs w:val="21"/>
              </w:rPr>
              <w:t>100%</w:t>
            </w:r>
            <w:r>
              <w:rPr>
                <w:rFonts w:hint="eastAsia"/>
                <w:szCs w:val="21"/>
              </w:rPr>
              <w:t>。（完成年初预算计</w:t>
            </w:r>
            <w:r>
              <w:rPr>
                <w:szCs w:val="21"/>
              </w:rPr>
              <w:t>4</w:t>
            </w:r>
            <w:r>
              <w:rPr>
                <w:rFonts w:hint="eastAsia"/>
                <w:szCs w:val="21"/>
              </w:rPr>
              <w:t>分，未完成年初按比例扣减）</w:t>
            </w:r>
          </w:p>
          <w:p>
            <w:pPr>
              <w:spacing w:line="240" w:lineRule="exact"/>
              <w:rPr>
                <w:szCs w:val="21"/>
              </w:rPr>
            </w:pPr>
            <w:r>
              <w:rPr>
                <w:rFonts w:hint="eastAsia"/>
                <w:szCs w:val="21"/>
              </w:rPr>
              <w:t>预算完成数：部门（单位）本年度实际完成的预算数。</w:t>
            </w:r>
          </w:p>
          <w:p>
            <w:pPr>
              <w:spacing w:line="240" w:lineRule="exact"/>
              <w:rPr>
                <w:szCs w:val="21"/>
              </w:rPr>
            </w:pPr>
            <w:r>
              <w:rPr>
                <w:rFonts w:hint="eastAsia"/>
                <w:szCs w:val="21"/>
              </w:rPr>
              <w:t>预算数：财政部门批复的本年度部门（单位）预算数。</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59"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预算调整率（</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部门（单位）本年度预算调整数与预算数的比率，用以反映和考核部门（单位）预算的调整程度。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预算调整率</w:t>
            </w:r>
            <w:r>
              <w:rPr>
                <w:szCs w:val="21"/>
              </w:rPr>
              <w:t>=</w:t>
            </w:r>
            <w:r>
              <w:rPr>
                <w:rFonts w:hint="eastAsia"/>
                <w:szCs w:val="21"/>
              </w:rPr>
              <w:t>（预算调整数</w:t>
            </w:r>
            <w:r>
              <w:rPr>
                <w:szCs w:val="21"/>
              </w:rPr>
              <w:t>/</w:t>
            </w:r>
            <w:r>
              <w:rPr>
                <w:rFonts w:hint="eastAsia"/>
                <w:szCs w:val="21"/>
              </w:rPr>
              <w:t>预算数）×</w:t>
            </w:r>
            <w:r>
              <w:rPr>
                <w:szCs w:val="21"/>
              </w:rPr>
              <w:t>100%</w:t>
            </w:r>
            <w:r>
              <w:rPr>
                <w:rFonts w:hint="eastAsia"/>
                <w:szCs w:val="21"/>
              </w:rPr>
              <w:t>。（未调整的计</w:t>
            </w:r>
            <w:r>
              <w:rPr>
                <w:szCs w:val="21"/>
              </w:rPr>
              <w:t>2</w:t>
            </w:r>
            <w:r>
              <w:rPr>
                <w:rFonts w:hint="eastAsia"/>
                <w:szCs w:val="21"/>
              </w:rPr>
              <w:t>分，调整了的除特殊原因外按比例扣减）</w:t>
            </w:r>
          </w:p>
          <w:p>
            <w:pPr>
              <w:spacing w:line="240" w:lineRule="exact"/>
              <w:rPr>
                <w:szCs w:val="21"/>
              </w:rPr>
            </w:pPr>
            <w:r>
              <w:rPr>
                <w:rFonts w:hint="eastAsia"/>
                <w:szCs w:val="21"/>
              </w:rPr>
              <w:t>预算调整数：部门（单位）在本年度内涉及预算的追加、追减或结构调整的资金总和（因落实国家政策、发生不可抗力、上级部门或本级党委政府临时交办而产生的调整除外）。</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800"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支付进度率（</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部门（单位）实际支付进度与既定支付进度的比率，用以反映和考核部门（单位）预算执行的及时性和均衡性程度。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支付进度率</w:t>
            </w:r>
            <w:r>
              <w:rPr>
                <w:szCs w:val="21"/>
              </w:rPr>
              <w:t>=</w:t>
            </w:r>
            <w:r>
              <w:rPr>
                <w:rFonts w:hint="eastAsia"/>
                <w:szCs w:val="21"/>
              </w:rPr>
              <w:t>（实际支付进度</w:t>
            </w:r>
            <w:r>
              <w:rPr>
                <w:szCs w:val="21"/>
              </w:rPr>
              <w:t>/</w:t>
            </w:r>
            <w:r>
              <w:rPr>
                <w:rFonts w:hint="eastAsia"/>
                <w:szCs w:val="21"/>
              </w:rPr>
              <w:t>既定支付进度）×</w:t>
            </w:r>
            <w:r>
              <w:rPr>
                <w:szCs w:val="21"/>
              </w:rPr>
              <w:t>100%</w:t>
            </w:r>
            <w:r>
              <w:rPr>
                <w:rFonts w:hint="eastAsia"/>
                <w:szCs w:val="21"/>
              </w:rPr>
              <w:t>。完成年终进度的计</w:t>
            </w:r>
            <w:r>
              <w:rPr>
                <w:szCs w:val="21"/>
              </w:rPr>
              <w:t>1</w:t>
            </w:r>
            <w:r>
              <w:rPr>
                <w:rFonts w:hint="eastAsia"/>
                <w:szCs w:val="21"/>
              </w:rPr>
              <w:t>分，按季度完成预算进度的计</w:t>
            </w:r>
            <w:r>
              <w:rPr>
                <w:szCs w:val="21"/>
              </w:rPr>
              <w:t>1</w:t>
            </w:r>
            <w:r>
              <w:rPr>
                <w:rFonts w:hint="eastAsia"/>
                <w:szCs w:val="21"/>
              </w:rPr>
              <w:t>分。</w:t>
            </w:r>
          </w:p>
          <w:p>
            <w:pPr>
              <w:spacing w:line="240" w:lineRule="exact"/>
              <w:rPr>
                <w:szCs w:val="21"/>
              </w:rPr>
            </w:pPr>
            <w:r>
              <w:rPr>
                <w:rFonts w:hint="eastAsia"/>
                <w:szCs w:val="21"/>
              </w:rPr>
              <w:t>实际支付进度：部门（单位）在某一时点的支出预算执行总数与年度支出预算数的比率。</w:t>
            </w:r>
          </w:p>
          <w:p>
            <w:pPr>
              <w:spacing w:line="240" w:lineRule="exact"/>
              <w:rPr>
                <w:szCs w:val="21"/>
              </w:rPr>
            </w:pPr>
            <w:r>
              <w:rPr>
                <w:rFonts w:hint="eastAsia"/>
                <w:szCs w:val="21"/>
              </w:rPr>
              <w:t>既定支付进度：由部门（单位）在申报部门整体绩效目标时，参照序时支付进度、前三年支付进度、同级部门平均支付进度水平等确定的，在某一时点应达到的支付进度（比率）。</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035"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结转结余率（</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部门（单位）本年度结转结余总额与支出预算数的比率，用以反映和考核部门（单位）对本年度结转结余资金的实际控制程度。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结转结余率</w:t>
            </w:r>
            <w:r>
              <w:rPr>
                <w:szCs w:val="21"/>
              </w:rPr>
              <w:t>=</w:t>
            </w:r>
            <w:r>
              <w:rPr>
                <w:rFonts w:hint="eastAsia"/>
                <w:szCs w:val="21"/>
              </w:rPr>
              <w:t>结转结余总额</w:t>
            </w:r>
            <w:r>
              <w:rPr>
                <w:szCs w:val="21"/>
              </w:rPr>
              <w:t>/</w:t>
            </w:r>
            <w:r>
              <w:rPr>
                <w:rFonts w:hint="eastAsia"/>
                <w:szCs w:val="21"/>
              </w:rPr>
              <w:t>支出预算数×</w:t>
            </w:r>
            <w:r>
              <w:rPr>
                <w:szCs w:val="21"/>
              </w:rPr>
              <w:t>100%</w:t>
            </w:r>
            <w:r>
              <w:rPr>
                <w:rFonts w:hint="eastAsia"/>
                <w:szCs w:val="21"/>
              </w:rPr>
              <w:t>。低于</w:t>
            </w:r>
            <w:r>
              <w:rPr>
                <w:szCs w:val="21"/>
              </w:rPr>
              <w:t>5%</w:t>
            </w:r>
            <w:r>
              <w:rPr>
                <w:rFonts w:hint="eastAsia"/>
                <w:szCs w:val="21"/>
              </w:rPr>
              <w:t>的计</w:t>
            </w:r>
            <w:r>
              <w:rPr>
                <w:szCs w:val="21"/>
              </w:rPr>
              <w:t>1</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p>
            <w:pPr>
              <w:spacing w:line="240" w:lineRule="exact"/>
              <w:rPr>
                <w:szCs w:val="21"/>
              </w:rPr>
            </w:pPr>
            <w:r>
              <w:rPr>
                <w:rFonts w:hint="eastAsia"/>
                <w:szCs w:val="21"/>
              </w:rPr>
              <w:t>结转结余总额：部门（单位）本年度的结转资金与结余资金之和（以决算数为准）。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47"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结转结余变动率（</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部门（单位）本年度结转结余资金总额与上年度结转结余资金总额的变动比率，用以反映和考核部门（单位）对控制结转结余资金的努力程度。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结转结余变动率</w:t>
            </w:r>
            <w:r>
              <w:rPr>
                <w:szCs w:val="21"/>
              </w:rPr>
              <w:t>=[</w:t>
            </w:r>
            <w:r>
              <w:rPr>
                <w:rFonts w:hint="eastAsia"/>
                <w:szCs w:val="21"/>
              </w:rPr>
              <w:t>（本年度累计结转结余资金总额</w:t>
            </w:r>
            <w:r>
              <w:rPr>
                <w:szCs w:val="21"/>
              </w:rPr>
              <w:t>-</w:t>
            </w:r>
            <w:r>
              <w:rPr>
                <w:rFonts w:hint="eastAsia"/>
                <w:szCs w:val="21"/>
              </w:rPr>
              <w:t>上年度累计结转结余资金总额）</w:t>
            </w:r>
            <w:r>
              <w:rPr>
                <w:szCs w:val="21"/>
              </w:rPr>
              <w:t>/</w:t>
            </w:r>
            <w:r>
              <w:rPr>
                <w:rFonts w:hint="eastAsia"/>
                <w:szCs w:val="21"/>
              </w:rPr>
              <w:t>上年度累计结转结余资金总额</w:t>
            </w:r>
            <w:r>
              <w:rPr>
                <w:szCs w:val="21"/>
              </w:rPr>
              <w:t>]</w:t>
            </w:r>
            <w:r>
              <w:rPr>
                <w:rFonts w:hint="eastAsia"/>
                <w:szCs w:val="21"/>
              </w:rPr>
              <w:t>×</w:t>
            </w:r>
            <w:r>
              <w:rPr>
                <w:szCs w:val="21"/>
              </w:rPr>
              <w:t>100%</w:t>
            </w:r>
            <w:r>
              <w:rPr>
                <w:rFonts w:hint="eastAsia"/>
                <w:szCs w:val="21"/>
              </w:rPr>
              <w:t>。（低于</w:t>
            </w:r>
            <w:r>
              <w:rPr>
                <w:szCs w:val="21"/>
              </w:rPr>
              <w:t>15%</w:t>
            </w:r>
            <w:r>
              <w:rPr>
                <w:rFonts w:hint="eastAsia"/>
                <w:szCs w:val="21"/>
              </w:rPr>
              <w:t>的计</w:t>
            </w:r>
            <w:r>
              <w:rPr>
                <w:szCs w:val="21"/>
              </w:rPr>
              <w:t>2</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rPr>
          <w:trHeight w:val="1153"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公用经费控制率（</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widowControl/>
              <w:spacing w:line="270" w:lineRule="exact"/>
              <w:jc w:val="left"/>
              <w:rPr>
                <w:szCs w:val="21"/>
              </w:rPr>
            </w:pPr>
            <w:r>
              <w:rPr>
                <w:rFonts w:hint="eastAsia"/>
                <w:szCs w:val="21"/>
              </w:rPr>
              <w:t>部门（单位）本年度实际支出的公用经费总额与预算安排的公用经费总额的比率，用以反映和考核部门（单位）对机构运转成本的实际控制程度。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公用经费控制率</w:t>
            </w:r>
            <w:r>
              <w:rPr>
                <w:szCs w:val="21"/>
              </w:rPr>
              <w:t>=</w:t>
            </w:r>
            <w:r>
              <w:rPr>
                <w:rFonts w:hint="eastAsia"/>
                <w:szCs w:val="21"/>
              </w:rPr>
              <w:t>（实际支出公用经费总额</w:t>
            </w:r>
            <w:r>
              <w:rPr>
                <w:szCs w:val="21"/>
              </w:rPr>
              <w:t>/</w:t>
            </w:r>
            <w:r>
              <w:rPr>
                <w:rFonts w:hint="eastAsia"/>
                <w:szCs w:val="21"/>
              </w:rPr>
              <w:t>预算安排公用经费总额）×</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ind w:firstLine="210" w:firstLineChars="100"/>
              <w:rPr>
                <w:szCs w:val="21"/>
              </w:rPr>
            </w:pPr>
          </w:p>
        </w:tc>
      </w:tr>
      <w:tr>
        <w:tblPrEx>
          <w:tblCellMar>
            <w:top w:w="0" w:type="dxa"/>
            <w:left w:w="28" w:type="dxa"/>
            <w:bottom w:w="0" w:type="dxa"/>
            <w:right w:w="28" w:type="dxa"/>
          </w:tblCellMar>
        </w:tblPrEx>
        <w:trPr>
          <w:trHeight w:val="1172"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“三公经费”控制率（</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部门（单位）本年度“三公经费”实际支出数与预算安排数的比率，用以反映和考核部门（单位）对“三公经费”的实际控制程度。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“三公经费”控制率</w:t>
            </w:r>
            <w:r>
              <w:rPr>
                <w:szCs w:val="21"/>
              </w:rPr>
              <w:t>=</w:t>
            </w:r>
            <w:r>
              <w:rPr>
                <w:rFonts w:hint="eastAsia"/>
                <w:szCs w:val="21"/>
              </w:rPr>
              <w:t>（“三公经费”实际支出数</w:t>
            </w:r>
            <w:r>
              <w:rPr>
                <w:szCs w:val="21"/>
              </w:rPr>
              <w:t>/</w:t>
            </w:r>
            <w:r>
              <w:rPr>
                <w:rFonts w:hint="eastAsia"/>
                <w:szCs w:val="21"/>
              </w:rPr>
              <w:t>“三公经费”预算安排数）×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0.5</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500"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政府采购执行率（</w:t>
            </w:r>
            <w:r>
              <w:rPr>
                <w:szCs w:val="21"/>
              </w:rPr>
              <w:t>4</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部门（单位）本年度实际政府采购金额与年初政府采购预算的比率，用以反映和考核部门（单位）政府采购预算执行情况。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政府采购执行率</w:t>
            </w:r>
            <w:r>
              <w:rPr>
                <w:szCs w:val="21"/>
              </w:rPr>
              <w:t>=</w:t>
            </w:r>
            <w:r>
              <w:rPr>
                <w:rFonts w:hint="eastAsia"/>
                <w:szCs w:val="21"/>
              </w:rPr>
              <w:t>（实际政府采购金额</w:t>
            </w:r>
            <w:r>
              <w:rPr>
                <w:szCs w:val="21"/>
              </w:rPr>
              <w:t>/</w:t>
            </w:r>
            <w:r>
              <w:rPr>
                <w:rFonts w:hint="eastAsia"/>
                <w:szCs w:val="21"/>
              </w:rPr>
              <w:t>政府采购预算数）×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分，每低于</w:t>
            </w:r>
            <w:r>
              <w:rPr>
                <w:szCs w:val="21"/>
              </w:rPr>
              <w:t>1</w:t>
            </w:r>
            <w:r>
              <w:rPr>
                <w:rFonts w:hint="eastAsia"/>
                <w:szCs w:val="21"/>
              </w:rPr>
              <w:t>个百分点扣</w:t>
            </w:r>
            <w:r>
              <w:rPr>
                <w:szCs w:val="21"/>
              </w:rPr>
              <w:t>0.5</w:t>
            </w:r>
            <w:r>
              <w:rPr>
                <w:rFonts w:hint="eastAsia"/>
                <w:szCs w:val="21"/>
              </w:rPr>
              <w:t>分，扣完为止）</w:t>
            </w:r>
          </w:p>
          <w:p>
            <w:pPr>
              <w:spacing w:line="240" w:lineRule="exact"/>
              <w:rPr>
                <w:szCs w:val="21"/>
              </w:rPr>
            </w:pPr>
            <w:r>
              <w:rPr>
                <w:rFonts w:hint="eastAsia"/>
                <w:szCs w:val="21"/>
              </w:rPr>
              <w:t>政府采购预算：采购机关根据事业发展计划和行政任务编制的、并经过规定程序批准的年度政府采购计划。</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4</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635"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restart"/>
            <w:tcBorders>
              <w:top w:val="nil"/>
              <w:left w:val="single" w:color="auto" w:sz="4" w:space="0"/>
              <w:bottom w:val="single" w:color="auto" w:sz="4" w:space="0"/>
              <w:right w:val="single" w:color="auto" w:sz="4" w:space="0"/>
            </w:tcBorders>
            <w:vAlign w:val="center"/>
          </w:tcPr>
          <w:p>
            <w:pPr>
              <w:spacing w:line="240" w:lineRule="exact"/>
              <w:jc w:val="center"/>
              <w:rPr>
                <w:szCs w:val="21"/>
              </w:rPr>
            </w:pPr>
            <w:r>
              <w:rPr>
                <w:rFonts w:hint="eastAsia"/>
                <w:szCs w:val="21"/>
              </w:rPr>
              <w:t>预算管理（</w:t>
            </w:r>
            <w:r>
              <w:rPr>
                <w:szCs w:val="21"/>
              </w:rPr>
              <w:t>5</w:t>
            </w:r>
            <w:r>
              <w:rPr>
                <w:rFonts w:hint="eastAsia"/>
                <w:szCs w:val="21"/>
              </w:rPr>
              <w:t>分）</w:t>
            </w: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部门（单位）为加强预算管理、规范财务行为而制定的管理制度是否健全完整，用以反映和考核部门（单位）预算管理制度对完成主要职责或促进事业发展的保障情况。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①是否已制定或具有预算资金管理办法、内部财务管理制度、会计核算制度等管理制度；（</w:t>
            </w:r>
            <w:r>
              <w:rPr>
                <w:szCs w:val="21"/>
              </w:rPr>
              <w:t>1</w:t>
            </w:r>
            <w:r>
              <w:rPr>
                <w:rFonts w:hint="eastAsia"/>
                <w:szCs w:val="21"/>
              </w:rPr>
              <w:t>分）</w:t>
            </w:r>
          </w:p>
          <w:p>
            <w:pPr>
              <w:spacing w:line="240" w:lineRule="exact"/>
              <w:rPr>
                <w:szCs w:val="21"/>
              </w:rPr>
            </w:pPr>
            <w:r>
              <w:rPr>
                <w:rFonts w:hint="eastAsia"/>
                <w:szCs w:val="21"/>
              </w:rPr>
              <w:t>②相关管理制度是否合法、合规、完整；（</w:t>
            </w:r>
            <w:r>
              <w:rPr>
                <w:szCs w:val="21"/>
              </w:rPr>
              <w:t>0.5</w:t>
            </w:r>
            <w:r>
              <w:rPr>
                <w:rFonts w:hint="eastAsia"/>
                <w:szCs w:val="21"/>
              </w:rPr>
              <w:t>分）</w:t>
            </w:r>
          </w:p>
          <w:p>
            <w:pPr>
              <w:spacing w:line="240" w:lineRule="exact"/>
              <w:rPr>
                <w:szCs w:val="21"/>
              </w:rPr>
            </w:pPr>
            <w:r>
              <w:rPr>
                <w:rFonts w:hint="eastAsia"/>
                <w:szCs w:val="21"/>
              </w:rPr>
              <w:t>③相关管理制度是否得到有效执行。（</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2334"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资金使用合规性（</w:t>
            </w:r>
            <w:r>
              <w:rPr>
                <w:szCs w:val="21"/>
              </w:rPr>
              <w:t>1</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部门（单位）使用预算资金是否符合相关的预算财务管理制度的规定，用以反映和考核部门（单位）预算资金的规范运行情况。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①是否符合国家财经法规和财务管理制度规定以及有关专项资金管理办法的规定；（</w:t>
            </w:r>
            <w:r>
              <w:rPr>
                <w:szCs w:val="21"/>
              </w:rPr>
              <w:t>0.2</w:t>
            </w:r>
            <w:r>
              <w:rPr>
                <w:rFonts w:hint="eastAsia"/>
                <w:szCs w:val="21"/>
              </w:rPr>
              <w:t>分）</w:t>
            </w:r>
          </w:p>
          <w:p>
            <w:pPr>
              <w:spacing w:line="240" w:lineRule="exact"/>
              <w:rPr>
                <w:szCs w:val="21"/>
              </w:rPr>
            </w:pPr>
            <w:r>
              <w:rPr>
                <w:rFonts w:hint="eastAsia"/>
                <w:szCs w:val="21"/>
              </w:rPr>
              <w:t>②资金的拨付是否有完整的审批程序和手续；（</w:t>
            </w:r>
            <w:r>
              <w:rPr>
                <w:szCs w:val="21"/>
              </w:rPr>
              <w:t>0.2</w:t>
            </w:r>
            <w:r>
              <w:rPr>
                <w:rFonts w:hint="eastAsia"/>
                <w:szCs w:val="21"/>
              </w:rPr>
              <w:t>分）</w:t>
            </w:r>
          </w:p>
          <w:p>
            <w:pPr>
              <w:spacing w:line="240" w:lineRule="exact"/>
              <w:rPr>
                <w:szCs w:val="21"/>
              </w:rPr>
            </w:pPr>
            <w:r>
              <w:rPr>
                <w:rFonts w:hint="eastAsia"/>
                <w:szCs w:val="21"/>
              </w:rPr>
              <w:t>③项目的重大开支是否经过评估论证；（</w:t>
            </w:r>
            <w:r>
              <w:rPr>
                <w:szCs w:val="21"/>
              </w:rPr>
              <w:t>0.2</w:t>
            </w:r>
            <w:r>
              <w:rPr>
                <w:rFonts w:hint="eastAsia"/>
                <w:szCs w:val="21"/>
              </w:rPr>
              <w:t>分）</w:t>
            </w:r>
          </w:p>
          <w:p>
            <w:pPr>
              <w:spacing w:line="240" w:lineRule="exact"/>
              <w:rPr>
                <w:szCs w:val="21"/>
              </w:rPr>
            </w:pPr>
            <w:r>
              <w:rPr>
                <w:rFonts w:hint="eastAsia"/>
                <w:szCs w:val="21"/>
              </w:rPr>
              <w:t>④是否符合部门预算批复的用途；（</w:t>
            </w:r>
            <w:r>
              <w:rPr>
                <w:szCs w:val="21"/>
              </w:rPr>
              <w:t>0.2</w:t>
            </w:r>
            <w:r>
              <w:rPr>
                <w:rFonts w:hint="eastAsia"/>
                <w:szCs w:val="21"/>
              </w:rPr>
              <w:t>分）</w:t>
            </w:r>
          </w:p>
          <w:p>
            <w:pPr>
              <w:spacing w:line="240" w:lineRule="exact"/>
              <w:rPr>
                <w:szCs w:val="21"/>
              </w:rPr>
            </w:pPr>
            <w:r>
              <w:rPr>
                <w:rFonts w:hint="eastAsia"/>
                <w:szCs w:val="21"/>
              </w:rPr>
              <w:t>⑤是否存在截留、挤占、挪用、虚列支出等情况。（</w:t>
            </w:r>
            <w:r>
              <w:rPr>
                <w:szCs w:val="21"/>
              </w:rPr>
              <w:t>0.2</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644"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预决算信息公开性（</w:t>
            </w:r>
            <w:r>
              <w:rPr>
                <w:szCs w:val="21"/>
              </w:rPr>
              <w:t>1</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部门（单位）是否按照政府信息公开有关规定公开相关预决算信息，用以反映和考核部门（单位）预决算管理的公开透明情况。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①是否按规定内容公开预决算信息；（</w:t>
            </w:r>
            <w:r>
              <w:rPr>
                <w:szCs w:val="21"/>
              </w:rPr>
              <w:t>0.5</w:t>
            </w:r>
            <w:r>
              <w:rPr>
                <w:rFonts w:hint="eastAsia"/>
                <w:szCs w:val="21"/>
              </w:rPr>
              <w:t>分）</w:t>
            </w:r>
          </w:p>
          <w:p>
            <w:pPr>
              <w:spacing w:line="240" w:lineRule="exact"/>
              <w:rPr>
                <w:szCs w:val="21"/>
              </w:rPr>
            </w:pPr>
            <w:r>
              <w:rPr>
                <w:rFonts w:hint="eastAsia"/>
                <w:szCs w:val="21"/>
              </w:rPr>
              <w:t>②是否按规定时限公开预决算信息。（</w:t>
            </w:r>
            <w:r>
              <w:rPr>
                <w:szCs w:val="21"/>
              </w:rPr>
              <w:t>0.5</w:t>
            </w:r>
            <w:r>
              <w:rPr>
                <w:rFonts w:hint="eastAsia"/>
                <w:szCs w:val="21"/>
              </w:rPr>
              <w:t>分）</w:t>
            </w:r>
          </w:p>
          <w:p>
            <w:pPr>
              <w:spacing w:line="240" w:lineRule="exact"/>
              <w:rPr>
                <w:szCs w:val="21"/>
              </w:rPr>
            </w:pPr>
            <w:r>
              <w:rPr>
                <w:rFonts w:hint="eastAsia"/>
                <w:szCs w:val="21"/>
              </w:rPr>
              <w:t>预决算信息是指与部门预算、执行、决算、监督、绩效等管理相关的信息。</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453"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基础信息完善性（</w:t>
            </w:r>
            <w:r>
              <w:rPr>
                <w:szCs w:val="21"/>
              </w:rPr>
              <w:t>1</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部门（单位）基础信息是否完善，用以反映和考核基础信息对预算管理工作的支撑情况。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①基础数据信息和会计信息资料是否真实；（</w:t>
            </w:r>
            <w:r>
              <w:rPr>
                <w:szCs w:val="21"/>
              </w:rPr>
              <w:t>0.4</w:t>
            </w:r>
            <w:r>
              <w:rPr>
                <w:rFonts w:hint="eastAsia"/>
                <w:szCs w:val="21"/>
              </w:rPr>
              <w:t>分）</w:t>
            </w:r>
          </w:p>
          <w:p>
            <w:pPr>
              <w:spacing w:line="240" w:lineRule="exact"/>
              <w:rPr>
                <w:szCs w:val="21"/>
              </w:rPr>
            </w:pPr>
            <w:r>
              <w:rPr>
                <w:rFonts w:hint="eastAsia"/>
                <w:szCs w:val="21"/>
              </w:rPr>
              <w:t>②基础数据信息和会计信息资料是否完整；（</w:t>
            </w:r>
            <w:r>
              <w:rPr>
                <w:szCs w:val="21"/>
              </w:rPr>
              <w:t>0.3</w:t>
            </w:r>
            <w:r>
              <w:rPr>
                <w:rFonts w:hint="eastAsia"/>
                <w:szCs w:val="21"/>
              </w:rPr>
              <w:t>分）</w:t>
            </w:r>
          </w:p>
          <w:p>
            <w:pPr>
              <w:spacing w:line="240" w:lineRule="exact"/>
              <w:rPr>
                <w:szCs w:val="21"/>
              </w:rPr>
            </w:pPr>
            <w:r>
              <w:rPr>
                <w:rFonts w:hint="eastAsia"/>
                <w:szCs w:val="21"/>
              </w:rPr>
              <w:t>③基础数据信息和会计信息资料是否准确。（</w:t>
            </w:r>
            <w:r>
              <w:rPr>
                <w:szCs w:val="21"/>
              </w:rPr>
              <w:t>0.3</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rPr>
          <w:trHeight w:val="1012"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restart"/>
            <w:tcBorders>
              <w:top w:val="nil"/>
              <w:left w:val="single" w:color="auto" w:sz="4" w:space="0"/>
              <w:bottom w:val="single" w:color="auto" w:sz="4" w:space="0"/>
              <w:right w:val="single" w:color="auto" w:sz="4" w:space="0"/>
            </w:tcBorders>
            <w:vAlign w:val="center"/>
          </w:tcPr>
          <w:p>
            <w:pPr>
              <w:spacing w:line="240" w:lineRule="exact"/>
              <w:jc w:val="center"/>
              <w:rPr>
                <w:szCs w:val="21"/>
              </w:rPr>
            </w:pPr>
            <w:r>
              <w:rPr>
                <w:rFonts w:hint="eastAsia"/>
                <w:szCs w:val="21"/>
              </w:rPr>
              <w:t>资产管理（</w:t>
            </w:r>
            <w:r>
              <w:rPr>
                <w:szCs w:val="21"/>
              </w:rPr>
              <w:t>5</w:t>
            </w:r>
            <w:r>
              <w:rPr>
                <w:rFonts w:hint="eastAsia"/>
                <w:szCs w:val="21"/>
              </w:rPr>
              <w:t>分）</w:t>
            </w: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部门（单位）为加强资产管理、规范资产管理行为而制定的管理制度是否健全完整，用以反映和考核部门（单位）资产管理制度对完成主要职责或促进社会发展的保障情况。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①是否已制定或具有资产管理制度；（</w:t>
            </w:r>
            <w:r>
              <w:rPr>
                <w:szCs w:val="21"/>
              </w:rPr>
              <w:t>1</w:t>
            </w:r>
            <w:r>
              <w:rPr>
                <w:rFonts w:hint="eastAsia"/>
                <w:szCs w:val="21"/>
              </w:rPr>
              <w:t>分）</w:t>
            </w:r>
          </w:p>
          <w:p>
            <w:pPr>
              <w:spacing w:line="240" w:lineRule="exact"/>
              <w:rPr>
                <w:szCs w:val="21"/>
              </w:rPr>
            </w:pPr>
            <w:r>
              <w:rPr>
                <w:rFonts w:hint="eastAsia"/>
                <w:szCs w:val="21"/>
              </w:rPr>
              <w:t>②相关资金管理制度是否合法、合规、完整；（</w:t>
            </w:r>
            <w:r>
              <w:rPr>
                <w:szCs w:val="21"/>
              </w:rPr>
              <w:t>0.5</w:t>
            </w:r>
            <w:r>
              <w:rPr>
                <w:rFonts w:hint="eastAsia"/>
                <w:szCs w:val="21"/>
              </w:rPr>
              <w:t>分）</w:t>
            </w:r>
          </w:p>
          <w:p>
            <w:pPr>
              <w:spacing w:line="240" w:lineRule="exact"/>
              <w:rPr>
                <w:szCs w:val="21"/>
              </w:rPr>
            </w:pPr>
            <w:r>
              <w:rPr>
                <w:rFonts w:hint="eastAsia"/>
                <w:szCs w:val="21"/>
              </w:rPr>
              <w:t>③相关资产管理制度是否得到有效执行。（</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660"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资产管理安全性（</w:t>
            </w:r>
            <w:r>
              <w:rPr>
                <w:szCs w:val="21"/>
              </w:rPr>
              <w:t>2</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部门（单位）的资产是否保存完整、使用合规、配置合理、处置规范、收入及时足额上缴，用以反映和考核部门（单位）资产安全运行情况。</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①资产保存是否完整；（</w:t>
            </w:r>
            <w:r>
              <w:rPr>
                <w:szCs w:val="21"/>
              </w:rPr>
              <w:t>0.4</w:t>
            </w:r>
            <w:r>
              <w:rPr>
                <w:rFonts w:hint="eastAsia"/>
                <w:szCs w:val="21"/>
              </w:rPr>
              <w:t>分）</w:t>
            </w:r>
          </w:p>
          <w:p>
            <w:pPr>
              <w:spacing w:line="240" w:lineRule="exact"/>
              <w:rPr>
                <w:szCs w:val="21"/>
              </w:rPr>
            </w:pPr>
            <w:r>
              <w:rPr>
                <w:rFonts w:hint="eastAsia"/>
                <w:szCs w:val="21"/>
              </w:rPr>
              <w:t>②资产配置是否合理；（</w:t>
            </w:r>
            <w:r>
              <w:rPr>
                <w:szCs w:val="21"/>
              </w:rPr>
              <w:t>0.4</w:t>
            </w:r>
            <w:r>
              <w:rPr>
                <w:rFonts w:hint="eastAsia"/>
                <w:szCs w:val="21"/>
              </w:rPr>
              <w:t>分）</w:t>
            </w:r>
          </w:p>
          <w:p>
            <w:pPr>
              <w:spacing w:line="240" w:lineRule="exact"/>
              <w:rPr>
                <w:szCs w:val="21"/>
              </w:rPr>
            </w:pPr>
            <w:r>
              <w:rPr>
                <w:rFonts w:hint="eastAsia"/>
                <w:szCs w:val="21"/>
              </w:rPr>
              <w:t>③资产处置是否规范；（</w:t>
            </w:r>
            <w:r>
              <w:rPr>
                <w:szCs w:val="21"/>
              </w:rPr>
              <w:t>0.4</w:t>
            </w:r>
            <w:r>
              <w:rPr>
                <w:rFonts w:hint="eastAsia"/>
                <w:szCs w:val="21"/>
              </w:rPr>
              <w:t>分）</w:t>
            </w:r>
          </w:p>
          <w:p>
            <w:pPr>
              <w:spacing w:line="240" w:lineRule="exact"/>
              <w:rPr>
                <w:szCs w:val="21"/>
              </w:rPr>
            </w:pPr>
            <w:r>
              <w:rPr>
                <w:rFonts w:hint="eastAsia"/>
                <w:szCs w:val="21"/>
              </w:rPr>
              <w:t>④资产账务管理是否合规，是否帐实相符；（</w:t>
            </w:r>
            <w:r>
              <w:rPr>
                <w:szCs w:val="21"/>
              </w:rPr>
              <w:t>0.4</w:t>
            </w:r>
            <w:r>
              <w:rPr>
                <w:rFonts w:hint="eastAsia"/>
                <w:szCs w:val="21"/>
              </w:rPr>
              <w:t>分）</w:t>
            </w:r>
          </w:p>
          <w:p>
            <w:pPr>
              <w:spacing w:line="240" w:lineRule="exact"/>
              <w:rPr>
                <w:szCs w:val="21"/>
              </w:rPr>
            </w:pPr>
            <w:r>
              <w:rPr>
                <w:rFonts w:hint="eastAsia"/>
                <w:szCs w:val="21"/>
              </w:rPr>
              <w:t>⑤资产是否有偿使用及处置收入及时足额上缴。（</w:t>
            </w:r>
            <w:r>
              <w:rPr>
                <w:szCs w:val="21"/>
              </w:rPr>
              <w:t>0.4</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26" w:hRule="atLeast"/>
          <w:jc w:val="center"/>
        </w:trPr>
        <w:tc>
          <w:tcPr>
            <w:tcW w:w="352" w:type="pct"/>
            <w:vMerge w:val="continue"/>
            <w:tcBorders>
              <w:top w:val="nil"/>
              <w:left w:val="single" w:color="auto" w:sz="12" w:space="0"/>
              <w:bottom w:val="single" w:color="000000"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固定资产利用率（</w:t>
            </w:r>
            <w:r>
              <w:rPr>
                <w:szCs w:val="21"/>
              </w:rPr>
              <w:t>1</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部门（单位）实际在用固定资产总额与所有固定资产总额的比率，用以反映和考核部门（单位）固定资产使用效率程度。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固定资产利用率</w:t>
            </w:r>
            <w:r>
              <w:rPr>
                <w:szCs w:val="21"/>
              </w:rPr>
              <w:t>=</w:t>
            </w:r>
            <w:r>
              <w:rPr>
                <w:rFonts w:hint="eastAsia"/>
                <w:szCs w:val="21"/>
              </w:rPr>
              <w:t>（实际在用固定资产总额</w:t>
            </w:r>
            <w:r>
              <w:rPr>
                <w:szCs w:val="21"/>
              </w:rPr>
              <w:t>/</w:t>
            </w:r>
            <w:r>
              <w:rPr>
                <w:rFonts w:hint="eastAsia"/>
                <w:szCs w:val="21"/>
              </w:rPr>
              <w:t>所有固定资产总额）×</w:t>
            </w:r>
            <w:r>
              <w:rPr>
                <w:szCs w:val="21"/>
              </w:rPr>
              <w:t>100%</w:t>
            </w:r>
            <w:r>
              <w:rPr>
                <w:rFonts w:hint="eastAsia"/>
                <w:szCs w:val="21"/>
              </w:rPr>
              <w:t>。（利用率为</w:t>
            </w:r>
            <w:r>
              <w:rPr>
                <w:szCs w:val="21"/>
              </w:rPr>
              <w:t>100%</w:t>
            </w:r>
            <w:r>
              <w:rPr>
                <w:rFonts w:hint="eastAsia"/>
                <w:szCs w:val="21"/>
              </w:rPr>
              <w:t>的计</w:t>
            </w:r>
            <w:r>
              <w:rPr>
                <w:szCs w:val="21"/>
              </w:rPr>
              <w:t>1</w:t>
            </w:r>
            <w:r>
              <w:rPr>
                <w:rFonts w:hint="eastAsia"/>
                <w:szCs w:val="21"/>
              </w:rPr>
              <w:t>分，每降</w:t>
            </w:r>
            <w:r>
              <w:rPr>
                <w:szCs w:val="21"/>
              </w:rPr>
              <w:t>1</w:t>
            </w:r>
            <w:r>
              <w:rPr>
                <w:rFonts w:hint="eastAsia"/>
                <w:szCs w:val="21"/>
              </w:rPr>
              <w:t>个百分点扣</w:t>
            </w:r>
            <w:r>
              <w:rPr>
                <w:szCs w:val="21"/>
              </w:rPr>
              <w:t>0.1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621" w:hRule="atLeast"/>
          <w:jc w:val="center"/>
        </w:trPr>
        <w:tc>
          <w:tcPr>
            <w:tcW w:w="352" w:type="pct"/>
            <w:vMerge w:val="restart"/>
            <w:tcBorders>
              <w:top w:val="nil"/>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产</w:t>
            </w:r>
            <w:r>
              <w:rPr>
                <w:szCs w:val="21"/>
              </w:rPr>
              <w:t xml:space="preserve"> </w:t>
            </w:r>
            <w:r>
              <w:rPr>
                <w:rFonts w:hint="eastAsia"/>
                <w:szCs w:val="21"/>
              </w:rPr>
              <w:t>出（</w:t>
            </w:r>
            <w:r>
              <w:rPr>
                <w:szCs w:val="21"/>
              </w:rPr>
              <w:t>30</w:t>
            </w:r>
            <w:r>
              <w:rPr>
                <w:rFonts w:hint="eastAsia"/>
                <w:szCs w:val="21"/>
              </w:rPr>
              <w:t>分）</w:t>
            </w:r>
          </w:p>
        </w:tc>
        <w:tc>
          <w:tcPr>
            <w:tcW w:w="323" w:type="pct"/>
            <w:vMerge w:val="restart"/>
            <w:tcBorders>
              <w:top w:val="nil"/>
              <w:left w:val="single" w:color="auto" w:sz="4" w:space="0"/>
              <w:bottom w:val="single" w:color="auto" w:sz="4" w:space="0"/>
              <w:right w:val="single" w:color="auto" w:sz="4" w:space="0"/>
            </w:tcBorders>
            <w:vAlign w:val="center"/>
          </w:tcPr>
          <w:p>
            <w:pPr>
              <w:spacing w:line="240" w:lineRule="exact"/>
              <w:jc w:val="center"/>
              <w:rPr>
                <w:szCs w:val="21"/>
              </w:rPr>
            </w:pPr>
            <w:r>
              <w:rPr>
                <w:rFonts w:hint="eastAsia"/>
                <w:szCs w:val="21"/>
              </w:rPr>
              <w:t>职责履行（</w:t>
            </w:r>
            <w:r>
              <w:rPr>
                <w:szCs w:val="21"/>
              </w:rPr>
              <w:t>30</w:t>
            </w:r>
            <w:r>
              <w:rPr>
                <w:rFonts w:hint="eastAsia"/>
                <w:szCs w:val="21"/>
              </w:rPr>
              <w:t>分）</w:t>
            </w: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实际完成率（</w:t>
            </w:r>
            <w:r>
              <w:rPr>
                <w:szCs w:val="21"/>
              </w:rPr>
              <w:t>8</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部门（单位）履行职责而实际完成工作数与计划工作数的比率，用以反映和考核部门（单位）履职工作任务目标的实现程度。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实际完成率</w:t>
            </w:r>
            <w:r>
              <w:rPr>
                <w:szCs w:val="21"/>
              </w:rPr>
              <w:t>=</w:t>
            </w:r>
            <w:r>
              <w:rPr>
                <w:rFonts w:hint="eastAsia"/>
                <w:szCs w:val="21"/>
              </w:rPr>
              <w:t>（实际完成工作数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实际工作完成率</w:t>
            </w:r>
            <w:r>
              <w:rPr>
                <w:szCs w:val="21"/>
              </w:rPr>
              <w:t>*8</w:t>
            </w:r>
            <w:r>
              <w:rPr>
                <w:rFonts w:hint="eastAsia"/>
                <w:szCs w:val="21"/>
              </w:rPr>
              <w:t>分）</w:t>
            </w:r>
          </w:p>
          <w:p>
            <w:pPr>
              <w:spacing w:line="240" w:lineRule="exact"/>
              <w:rPr>
                <w:szCs w:val="21"/>
              </w:rPr>
            </w:pPr>
            <w:r>
              <w:rPr>
                <w:rFonts w:hint="eastAsia"/>
                <w:szCs w:val="21"/>
              </w:rPr>
              <w:t>实际完成工作数：一定时期（年度或规划期）内部门（单位）实际完成工作任务的数量。</w:t>
            </w:r>
          </w:p>
          <w:p>
            <w:pPr>
              <w:spacing w:line="240" w:lineRule="exact"/>
              <w:rPr>
                <w:szCs w:val="21"/>
              </w:rPr>
            </w:pPr>
            <w:r>
              <w:rPr>
                <w:rFonts w:hint="eastAsia"/>
                <w:szCs w:val="21"/>
              </w:rPr>
              <w:t>计划工作数：部门（单位）整体绩效目标确定的一定时期（年度或规划期）内预计完成工作任务的数量。</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7</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59" w:hRule="atLeast"/>
          <w:jc w:val="center"/>
        </w:trPr>
        <w:tc>
          <w:tcPr>
            <w:tcW w:w="352" w:type="pct"/>
            <w:vMerge w:val="continue"/>
            <w:tcBorders>
              <w:top w:val="nil"/>
              <w:left w:val="single" w:color="auto" w:sz="12" w:space="0"/>
              <w:bottom w:val="single" w:color="auto"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完成及时率（</w:t>
            </w:r>
            <w:r>
              <w:rPr>
                <w:szCs w:val="21"/>
              </w:rPr>
              <w:t>4</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部门（单位）在规定时限内及时完成的实际工作数与计划工作数的比率</w:t>
            </w:r>
            <w:r>
              <w:rPr>
                <w:szCs w:val="21"/>
              </w:rPr>
              <w:t>,</w:t>
            </w:r>
            <w:r>
              <w:rPr>
                <w:rFonts w:hint="eastAsia"/>
                <w:szCs w:val="21"/>
              </w:rPr>
              <w:t>用以反映和考核部门履职时效目标的实现程度。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完成及时率</w:t>
            </w:r>
            <w:r>
              <w:rPr>
                <w:szCs w:val="21"/>
              </w:rPr>
              <w:t>=</w:t>
            </w:r>
            <w:r>
              <w:rPr>
                <w:rFonts w:hint="eastAsia"/>
                <w:szCs w:val="21"/>
              </w:rPr>
              <w:t>（及时完成实际工作数</w:t>
            </w:r>
            <w:r>
              <w:rPr>
                <w:szCs w:val="21"/>
              </w:rPr>
              <w:t>/</w:t>
            </w:r>
            <w:r>
              <w:rPr>
                <w:rFonts w:hint="eastAsia"/>
                <w:szCs w:val="21"/>
              </w:rPr>
              <w:t>计划工作数）×</w:t>
            </w:r>
            <w:r>
              <w:rPr>
                <w:szCs w:val="21"/>
              </w:rPr>
              <w:t>100%</w:t>
            </w:r>
            <w:r>
              <w:rPr>
                <w:rFonts w:hint="eastAsia"/>
                <w:szCs w:val="21"/>
              </w:rPr>
              <w:t>。（</w:t>
            </w:r>
            <w:r>
              <w:rPr>
                <w:szCs w:val="21"/>
              </w:rPr>
              <w:t>1--4</w:t>
            </w:r>
            <w:r>
              <w:rPr>
                <w:rFonts w:hint="eastAsia"/>
                <w:szCs w:val="21"/>
              </w:rPr>
              <w:t>季度各得</w:t>
            </w:r>
            <w:r>
              <w:rPr>
                <w:szCs w:val="21"/>
              </w:rPr>
              <w:t>1</w:t>
            </w:r>
            <w:r>
              <w:rPr>
                <w:rFonts w:hint="eastAsia"/>
                <w:szCs w:val="21"/>
              </w:rPr>
              <w:t>分）</w:t>
            </w:r>
          </w:p>
          <w:p>
            <w:pPr>
              <w:spacing w:line="240" w:lineRule="exact"/>
              <w:rPr>
                <w:szCs w:val="21"/>
              </w:rPr>
            </w:pPr>
            <w:r>
              <w:rPr>
                <w:rFonts w:hint="eastAsia"/>
                <w:szCs w:val="21"/>
              </w:rPr>
              <w:t>及时完成实际工作数：部门（单位）按照整体绩效目标确定的时限实际完成的工作任务数量。</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3</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rPr>
          <w:trHeight w:val="1778" w:hRule="atLeast"/>
          <w:jc w:val="center"/>
        </w:trPr>
        <w:tc>
          <w:tcPr>
            <w:tcW w:w="352" w:type="pct"/>
            <w:vMerge w:val="continue"/>
            <w:tcBorders>
              <w:top w:val="nil"/>
              <w:left w:val="single" w:color="auto" w:sz="12" w:space="0"/>
              <w:bottom w:val="single" w:color="auto"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质量达标率（</w:t>
            </w:r>
            <w:r>
              <w:rPr>
                <w:szCs w:val="21"/>
              </w:rPr>
              <w:t>8</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达到质量标准（绩效标准值）的实际工作数与计划工作数的比率</w:t>
            </w:r>
            <w:r>
              <w:rPr>
                <w:szCs w:val="21"/>
              </w:rPr>
              <w:t>,</w:t>
            </w:r>
            <w:r>
              <w:rPr>
                <w:rFonts w:hint="eastAsia"/>
                <w:szCs w:val="21"/>
              </w:rPr>
              <w:t>用以反映和考核部门履职质量目标的实现程度。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质量达标率</w:t>
            </w:r>
            <w:r>
              <w:rPr>
                <w:szCs w:val="21"/>
              </w:rPr>
              <w:t>=</w:t>
            </w:r>
            <w:r>
              <w:rPr>
                <w:rFonts w:hint="eastAsia"/>
                <w:szCs w:val="21"/>
              </w:rPr>
              <w:t>（质量达标实际工作数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达标率</w:t>
            </w:r>
            <w:r>
              <w:rPr>
                <w:szCs w:val="21"/>
              </w:rPr>
              <w:t>*8</w:t>
            </w:r>
            <w:r>
              <w:rPr>
                <w:rFonts w:hint="eastAsia"/>
                <w:szCs w:val="21"/>
              </w:rPr>
              <w:t>分）</w:t>
            </w:r>
          </w:p>
          <w:p>
            <w:pPr>
              <w:spacing w:line="240" w:lineRule="exact"/>
              <w:rPr>
                <w:szCs w:val="21"/>
              </w:rPr>
            </w:pPr>
            <w:r>
              <w:rPr>
                <w:rFonts w:hint="eastAsia"/>
                <w:szCs w:val="21"/>
              </w:rPr>
              <w:t>质量达标实际工作数：一定时期（年度或规划期）内部门（单位）实际完成工作数中达到部门绩效目标要求（绩效标准值）的工作任务数量。</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8</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64" w:hRule="atLeast"/>
          <w:jc w:val="center"/>
        </w:trPr>
        <w:tc>
          <w:tcPr>
            <w:tcW w:w="352" w:type="pct"/>
            <w:vMerge w:val="continue"/>
            <w:tcBorders>
              <w:top w:val="nil"/>
              <w:left w:val="single" w:color="auto" w:sz="12" w:space="0"/>
              <w:bottom w:val="single" w:color="auto" w:sz="4" w:space="0"/>
              <w:right w:val="single" w:color="auto" w:sz="4" w:space="0"/>
            </w:tcBorders>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vAlign w:val="center"/>
          </w:tcPr>
          <w:p>
            <w:pPr>
              <w:spacing w:line="240" w:lineRule="exact"/>
              <w:jc w:val="center"/>
              <w:rPr>
                <w:szCs w:val="21"/>
              </w:rPr>
            </w:pPr>
            <w:r>
              <w:rPr>
                <w:rFonts w:hint="eastAsia"/>
                <w:szCs w:val="21"/>
              </w:rPr>
              <w:t>重点工作办结率（</w:t>
            </w:r>
            <w:r>
              <w:rPr>
                <w:szCs w:val="21"/>
              </w:rPr>
              <w:t>10</w:t>
            </w:r>
            <w:r>
              <w:rPr>
                <w:rFonts w:hint="eastAsia"/>
                <w:szCs w:val="21"/>
              </w:rPr>
              <w:t>分）</w:t>
            </w:r>
          </w:p>
        </w:tc>
        <w:tc>
          <w:tcPr>
            <w:tcW w:w="1229"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部门（单位）年度重点工作实际完成数与交办或下达数的比率，用以反映部门（单位）对重点工作的办理落实程度。</w:t>
            </w:r>
          </w:p>
        </w:tc>
        <w:tc>
          <w:tcPr>
            <w:tcW w:w="1611" w:type="pct"/>
            <w:tcBorders>
              <w:top w:val="nil"/>
              <w:left w:val="nil"/>
              <w:bottom w:val="single" w:color="auto" w:sz="4" w:space="0"/>
              <w:right w:val="single" w:color="auto" w:sz="4" w:space="0"/>
            </w:tcBorders>
            <w:vAlign w:val="center"/>
          </w:tcPr>
          <w:p>
            <w:pPr>
              <w:spacing w:line="240" w:lineRule="exact"/>
              <w:rPr>
                <w:szCs w:val="21"/>
              </w:rPr>
            </w:pPr>
            <w:r>
              <w:rPr>
                <w:rFonts w:hint="eastAsia"/>
                <w:szCs w:val="21"/>
              </w:rPr>
              <w:t>重点工作办结率</w:t>
            </w:r>
            <w:r>
              <w:rPr>
                <w:szCs w:val="21"/>
              </w:rPr>
              <w:t>=</w:t>
            </w:r>
            <w:r>
              <w:rPr>
                <w:rFonts w:hint="eastAsia"/>
                <w:szCs w:val="21"/>
              </w:rPr>
              <w:t>（重点工作实际完成数</w:t>
            </w:r>
            <w:r>
              <w:rPr>
                <w:szCs w:val="21"/>
              </w:rPr>
              <w:t>/</w:t>
            </w:r>
            <w:r>
              <w:rPr>
                <w:rFonts w:hint="eastAsia"/>
                <w:szCs w:val="21"/>
              </w:rPr>
              <w:t>交办或下达数）×</w:t>
            </w:r>
            <w:r>
              <w:rPr>
                <w:szCs w:val="21"/>
              </w:rPr>
              <w:t>100%</w:t>
            </w:r>
            <w:r>
              <w:rPr>
                <w:rFonts w:hint="eastAsia"/>
                <w:szCs w:val="21"/>
              </w:rPr>
              <w:t>。（实际得分</w:t>
            </w:r>
            <w:r>
              <w:rPr>
                <w:szCs w:val="21"/>
              </w:rPr>
              <w:t>=</w:t>
            </w:r>
            <w:r>
              <w:rPr>
                <w:rFonts w:hint="eastAsia"/>
                <w:szCs w:val="21"/>
              </w:rPr>
              <w:t>办结率</w:t>
            </w:r>
            <w:r>
              <w:rPr>
                <w:szCs w:val="21"/>
              </w:rPr>
              <w:t>*10</w:t>
            </w:r>
            <w:r>
              <w:rPr>
                <w:rFonts w:hint="eastAsia"/>
                <w:szCs w:val="21"/>
              </w:rPr>
              <w:t>分）</w:t>
            </w:r>
          </w:p>
          <w:p>
            <w:pPr>
              <w:spacing w:line="240" w:lineRule="exact"/>
              <w:rPr>
                <w:szCs w:val="21"/>
              </w:rPr>
            </w:pPr>
            <w:r>
              <w:rPr>
                <w:rFonts w:hint="eastAsia"/>
                <w:szCs w:val="21"/>
              </w:rPr>
              <w:t>重点工作是指党委、政府、人大、相关部门交办或下达的工作任务。</w:t>
            </w:r>
          </w:p>
        </w:tc>
        <w:tc>
          <w:tcPr>
            <w:tcW w:w="469"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10</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776" w:hRule="atLeast"/>
          <w:jc w:val="center"/>
        </w:trPr>
        <w:tc>
          <w:tcPr>
            <w:tcW w:w="352" w:type="pct"/>
            <w:vMerge w:val="restart"/>
            <w:tcBorders>
              <w:top w:val="single" w:color="auto" w:sz="4" w:space="0"/>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效</w:t>
            </w:r>
            <w:r>
              <w:rPr>
                <w:szCs w:val="21"/>
              </w:rPr>
              <w:t xml:space="preserve"> </w:t>
            </w:r>
            <w:r>
              <w:rPr>
                <w:rFonts w:hint="eastAsia"/>
                <w:szCs w:val="21"/>
              </w:rPr>
              <w:t>果（</w:t>
            </w:r>
            <w:r>
              <w:rPr>
                <w:szCs w:val="21"/>
              </w:rPr>
              <w:t>20</w:t>
            </w:r>
            <w:r>
              <w:rPr>
                <w:rFonts w:hint="eastAsia"/>
                <w:szCs w:val="21"/>
              </w:rPr>
              <w:t>分）</w:t>
            </w:r>
          </w:p>
        </w:tc>
        <w:tc>
          <w:tcPr>
            <w:tcW w:w="323" w:type="pct"/>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szCs w:val="21"/>
              </w:rPr>
            </w:pPr>
            <w:r>
              <w:rPr>
                <w:rFonts w:hint="eastAsia"/>
                <w:szCs w:val="21"/>
              </w:rPr>
              <w:t>履职效益（</w:t>
            </w:r>
            <w:r>
              <w:rPr>
                <w:szCs w:val="21"/>
              </w:rPr>
              <w:t>20</w:t>
            </w:r>
            <w:r>
              <w:rPr>
                <w:rFonts w:hint="eastAsia"/>
                <w:szCs w:val="21"/>
              </w:rPr>
              <w:t>分）</w:t>
            </w:r>
          </w:p>
        </w:tc>
        <w:tc>
          <w:tcPr>
            <w:tcW w:w="572" w:type="pct"/>
            <w:tcBorders>
              <w:top w:val="single" w:color="auto" w:sz="4" w:space="0"/>
              <w:left w:val="nil"/>
              <w:bottom w:val="single" w:color="auto" w:sz="4" w:space="0"/>
              <w:right w:val="single" w:color="auto" w:sz="4" w:space="0"/>
            </w:tcBorders>
            <w:vAlign w:val="center"/>
          </w:tcPr>
          <w:p>
            <w:pPr>
              <w:spacing w:line="240" w:lineRule="exact"/>
              <w:jc w:val="center"/>
              <w:rPr>
                <w:szCs w:val="21"/>
              </w:rPr>
            </w:pPr>
            <w:r>
              <w:rPr>
                <w:rFonts w:hint="eastAsia"/>
                <w:szCs w:val="21"/>
              </w:rPr>
              <w:t>经济效益（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vAlign w:val="center"/>
          </w:tcPr>
          <w:p>
            <w:pPr>
              <w:spacing w:line="240" w:lineRule="exact"/>
              <w:rPr>
                <w:szCs w:val="21"/>
              </w:rPr>
            </w:pPr>
            <w:r>
              <w:rPr>
                <w:rFonts w:hint="eastAsia"/>
                <w:szCs w:val="21"/>
              </w:rPr>
              <w:t>部门（单位）履行职责对经济发展所带来的直接或间接影响。</w:t>
            </w:r>
          </w:p>
        </w:tc>
        <w:tc>
          <w:tcPr>
            <w:tcW w:w="1611" w:type="pct"/>
            <w:vMerge w:val="restart"/>
            <w:tcBorders>
              <w:top w:val="single" w:color="auto" w:sz="4" w:space="0"/>
              <w:left w:val="single" w:color="auto" w:sz="4" w:space="0"/>
              <w:bottom w:val="single" w:color="auto" w:sz="4" w:space="0"/>
              <w:right w:val="single" w:color="auto" w:sz="4" w:space="0"/>
            </w:tcBorders>
            <w:vAlign w:val="center"/>
          </w:tcPr>
          <w:p>
            <w:pPr>
              <w:spacing w:line="240" w:lineRule="exact"/>
              <w:rPr>
                <w:szCs w:val="21"/>
              </w:rPr>
            </w:pPr>
            <w:r>
              <w:rPr>
                <w:rFonts w:hint="eastAsia"/>
                <w:szCs w:val="21"/>
              </w:rPr>
              <w:t>此三项指标为部门整体支出绩效评价指标的共性要素，各单位按照部门整体支出绩效目标实现程度为依据。（按经济效益实现程度</w:t>
            </w:r>
            <w:r>
              <w:rPr>
                <w:szCs w:val="21"/>
              </w:rPr>
              <w:t>*5</w:t>
            </w:r>
            <w:r>
              <w:rPr>
                <w:rFonts w:hint="eastAsia"/>
                <w:szCs w:val="21"/>
              </w:rPr>
              <w:t>、社会效益实现程度</w:t>
            </w:r>
            <w:r>
              <w:rPr>
                <w:szCs w:val="21"/>
              </w:rPr>
              <w:t>*5</w:t>
            </w:r>
            <w:r>
              <w:rPr>
                <w:rFonts w:hint="eastAsia"/>
                <w:szCs w:val="21"/>
              </w:rPr>
              <w:t>、生态效益实现程度</w:t>
            </w:r>
            <w:r>
              <w:rPr>
                <w:szCs w:val="21"/>
              </w:rPr>
              <w:t>*5</w:t>
            </w:r>
            <w:r>
              <w:rPr>
                <w:rFonts w:hint="eastAsia"/>
                <w:szCs w:val="21"/>
              </w:rPr>
              <w:t>计算实际得分）</w:t>
            </w: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szCs w:val="21"/>
              </w:rPr>
            </w:pPr>
            <w:r>
              <w:rPr>
                <w:rFonts w:hint="eastAsia"/>
                <w:szCs w:val="21"/>
              </w:rPr>
              <w:t>5</w:t>
            </w: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90" w:hRule="atLeast"/>
          <w:jc w:val="center"/>
        </w:trPr>
        <w:tc>
          <w:tcPr>
            <w:tcW w:w="352" w:type="pct"/>
            <w:vMerge w:val="continue"/>
            <w:tcBorders>
              <w:top w:val="single" w:color="auto" w:sz="4" w:space="0"/>
              <w:left w:val="single" w:color="auto" w:sz="12" w:space="0"/>
              <w:bottom w:val="single" w:color="auto" w:sz="4" w:space="0"/>
              <w:right w:val="single" w:color="auto" w:sz="4" w:space="0"/>
            </w:tcBorders>
            <w:vAlign w:val="center"/>
          </w:tcPr>
          <w:p>
            <w:pPr>
              <w:spacing w:line="240" w:lineRule="exact"/>
              <w:jc w:val="center"/>
              <w:rPr>
                <w:szCs w:val="21"/>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vAlign w:val="center"/>
          </w:tcPr>
          <w:p>
            <w:pPr>
              <w:spacing w:line="240" w:lineRule="exact"/>
              <w:jc w:val="center"/>
              <w:rPr>
                <w:szCs w:val="21"/>
              </w:rPr>
            </w:pPr>
            <w:r>
              <w:rPr>
                <w:rFonts w:hint="eastAsia"/>
                <w:szCs w:val="21"/>
              </w:rPr>
              <w:t>社会效益（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vAlign w:val="center"/>
          </w:tcPr>
          <w:p>
            <w:pPr>
              <w:spacing w:line="240" w:lineRule="exact"/>
              <w:rPr>
                <w:szCs w:val="21"/>
              </w:rPr>
            </w:pPr>
            <w:r>
              <w:rPr>
                <w:rFonts w:hint="eastAsia"/>
                <w:szCs w:val="21"/>
              </w:rPr>
              <w:t>部门（单位）履行职责对社会发展所带来的直接或间接影响。</w:t>
            </w:r>
          </w:p>
        </w:tc>
        <w:tc>
          <w:tcPr>
            <w:tcW w:w="1611" w:type="pct"/>
            <w:vMerge w:val="continue"/>
            <w:tcBorders>
              <w:top w:val="single" w:color="auto" w:sz="4" w:space="0"/>
              <w:left w:val="single" w:color="auto" w:sz="4" w:space="0"/>
              <w:bottom w:val="single" w:color="auto" w:sz="4" w:space="0"/>
              <w:right w:val="single" w:color="auto" w:sz="4" w:space="0"/>
            </w:tcBorders>
            <w:vAlign w:val="center"/>
          </w:tcPr>
          <w:p>
            <w:pPr>
              <w:spacing w:line="240" w:lineRule="exact"/>
              <w:rPr>
                <w:szCs w:val="21"/>
              </w:rPr>
            </w:pP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szCs w:val="21"/>
              </w:rPr>
            </w:pPr>
            <w:r>
              <w:rPr>
                <w:rFonts w:hint="eastAsia"/>
                <w:szCs w:val="21"/>
              </w:rPr>
              <w:t>5</w:t>
            </w: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777" w:hRule="atLeast"/>
          <w:jc w:val="center"/>
        </w:trPr>
        <w:tc>
          <w:tcPr>
            <w:tcW w:w="352" w:type="pct"/>
            <w:vMerge w:val="continue"/>
            <w:tcBorders>
              <w:top w:val="single" w:color="auto" w:sz="4" w:space="0"/>
              <w:left w:val="single" w:color="auto" w:sz="12" w:space="0"/>
              <w:bottom w:val="single" w:color="auto" w:sz="4" w:space="0"/>
              <w:right w:val="single" w:color="auto" w:sz="4" w:space="0"/>
            </w:tcBorders>
            <w:vAlign w:val="center"/>
          </w:tcPr>
          <w:p>
            <w:pPr>
              <w:spacing w:line="240" w:lineRule="exact"/>
              <w:jc w:val="center"/>
              <w:rPr>
                <w:szCs w:val="21"/>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vAlign w:val="center"/>
          </w:tcPr>
          <w:p>
            <w:pPr>
              <w:spacing w:line="240" w:lineRule="exact"/>
              <w:jc w:val="center"/>
              <w:rPr>
                <w:szCs w:val="21"/>
              </w:rPr>
            </w:pPr>
            <w:r>
              <w:rPr>
                <w:rFonts w:hint="eastAsia"/>
                <w:szCs w:val="21"/>
              </w:rPr>
              <w:t>生态效益（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vAlign w:val="center"/>
          </w:tcPr>
          <w:p>
            <w:pPr>
              <w:spacing w:line="240" w:lineRule="exact"/>
              <w:rPr>
                <w:szCs w:val="21"/>
              </w:rPr>
            </w:pPr>
            <w:r>
              <w:rPr>
                <w:rFonts w:hint="eastAsia"/>
                <w:szCs w:val="21"/>
              </w:rPr>
              <w:t>部门（单位）履行职责对生态环境所带来的直接或间接影响。</w:t>
            </w:r>
          </w:p>
        </w:tc>
        <w:tc>
          <w:tcPr>
            <w:tcW w:w="1611" w:type="pct"/>
            <w:vMerge w:val="continue"/>
            <w:tcBorders>
              <w:top w:val="single" w:color="auto" w:sz="4" w:space="0"/>
              <w:left w:val="single" w:color="auto" w:sz="4" w:space="0"/>
              <w:bottom w:val="single" w:color="auto" w:sz="4" w:space="0"/>
              <w:right w:val="single" w:color="auto" w:sz="4" w:space="0"/>
            </w:tcBorders>
            <w:vAlign w:val="center"/>
          </w:tcPr>
          <w:p>
            <w:pPr>
              <w:spacing w:line="240" w:lineRule="exact"/>
              <w:rPr>
                <w:szCs w:val="21"/>
              </w:rPr>
            </w:pP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23" w:hRule="atLeast"/>
          <w:jc w:val="center"/>
        </w:trPr>
        <w:tc>
          <w:tcPr>
            <w:tcW w:w="352" w:type="pct"/>
            <w:vMerge w:val="continue"/>
            <w:tcBorders>
              <w:top w:val="single" w:color="auto" w:sz="4" w:space="0"/>
              <w:left w:val="single" w:color="auto" w:sz="12" w:space="0"/>
              <w:bottom w:val="single" w:color="auto" w:sz="4" w:space="0"/>
              <w:right w:val="single" w:color="auto" w:sz="4" w:space="0"/>
            </w:tcBorders>
            <w:vAlign w:val="center"/>
          </w:tcPr>
          <w:p>
            <w:pPr>
              <w:spacing w:line="240" w:lineRule="exact"/>
              <w:jc w:val="center"/>
              <w:rPr>
                <w:szCs w:val="21"/>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vAlign w:val="center"/>
          </w:tcPr>
          <w:p>
            <w:pPr>
              <w:spacing w:line="240" w:lineRule="exact"/>
              <w:jc w:val="center"/>
              <w:rPr>
                <w:szCs w:val="21"/>
              </w:rPr>
            </w:pPr>
            <w:r>
              <w:rPr>
                <w:rFonts w:hint="eastAsia"/>
                <w:szCs w:val="21"/>
              </w:rPr>
              <w:t>社会公众或服务对象满意度（</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vAlign w:val="center"/>
          </w:tcPr>
          <w:p>
            <w:pPr>
              <w:spacing w:line="240" w:lineRule="exact"/>
              <w:rPr>
                <w:szCs w:val="21"/>
              </w:rPr>
            </w:pPr>
            <w:r>
              <w:rPr>
                <w:rFonts w:hint="eastAsia"/>
                <w:szCs w:val="21"/>
              </w:rPr>
              <w:t>社会公众或部门（单位）的服务对象对部门履职效果的满意程度。</w:t>
            </w:r>
          </w:p>
        </w:tc>
        <w:tc>
          <w:tcPr>
            <w:tcW w:w="1611" w:type="pct"/>
            <w:tcBorders>
              <w:top w:val="single" w:color="auto" w:sz="4" w:space="0"/>
              <w:left w:val="nil"/>
              <w:bottom w:val="single" w:color="auto" w:sz="4" w:space="0"/>
              <w:right w:val="single" w:color="auto" w:sz="4" w:space="0"/>
            </w:tcBorders>
            <w:vAlign w:val="center"/>
          </w:tcPr>
          <w:p>
            <w:pPr>
              <w:spacing w:line="240" w:lineRule="exact"/>
              <w:rPr>
                <w:szCs w:val="21"/>
              </w:rPr>
            </w:pPr>
            <w:r>
              <w:rPr>
                <w:rFonts w:hint="eastAsia"/>
                <w:szCs w:val="21"/>
              </w:rPr>
              <w:t>社会公众或服务对象是指部门（单位）履行职责而影响到的部门、群体或个人。一般采取社会调查的方式。（按收到的服务对象的满意率计算得分）</w:t>
            </w: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584" w:hRule="atLeast"/>
          <w:jc w:val="center"/>
        </w:trPr>
        <w:tc>
          <w:tcPr>
            <w:tcW w:w="4088" w:type="pct"/>
            <w:gridSpan w:val="5"/>
            <w:tcBorders>
              <w:top w:val="single" w:color="auto" w:sz="4" w:space="0"/>
              <w:left w:val="single" w:color="auto" w:sz="12" w:space="0"/>
              <w:bottom w:val="single" w:color="auto" w:sz="12" w:space="0"/>
              <w:right w:val="single" w:color="auto" w:sz="4" w:space="0"/>
            </w:tcBorders>
            <w:vAlign w:val="center"/>
          </w:tcPr>
          <w:p>
            <w:pPr>
              <w:spacing w:line="240" w:lineRule="exact"/>
              <w:jc w:val="center"/>
              <w:rPr>
                <w:szCs w:val="21"/>
              </w:rPr>
            </w:pPr>
            <w:r>
              <w:rPr>
                <w:rFonts w:hint="eastAsia"/>
                <w:szCs w:val="21"/>
              </w:rPr>
              <w:t>合</w:t>
            </w:r>
            <w:r>
              <w:rPr>
                <w:szCs w:val="21"/>
              </w:rPr>
              <w:t xml:space="preserve">      </w:t>
            </w:r>
            <w:r>
              <w:rPr>
                <w:rFonts w:hint="eastAsia"/>
                <w:szCs w:val="21"/>
              </w:rPr>
              <w:t>计</w:t>
            </w:r>
          </w:p>
        </w:tc>
        <w:tc>
          <w:tcPr>
            <w:tcW w:w="469" w:type="pct"/>
            <w:tcBorders>
              <w:top w:val="single" w:color="auto" w:sz="4" w:space="0"/>
              <w:left w:val="nil"/>
              <w:bottom w:val="single" w:color="auto" w:sz="12"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rPr>
              <w:t>9</w:t>
            </w:r>
            <w:r>
              <w:rPr>
                <w:rFonts w:hint="eastAsia"/>
                <w:szCs w:val="21"/>
                <w:lang w:val="en-US" w:eastAsia="zh-CN"/>
              </w:rPr>
              <w:t>6</w:t>
            </w:r>
          </w:p>
        </w:tc>
        <w:tc>
          <w:tcPr>
            <w:tcW w:w="441" w:type="pct"/>
            <w:tcBorders>
              <w:top w:val="single" w:color="auto" w:sz="4" w:space="0"/>
              <w:left w:val="nil"/>
              <w:bottom w:val="single" w:color="auto" w:sz="12" w:space="0"/>
              <w:right w:val="single" w:color="auto" w:sz="12" w:space="0"/>
            </w:tcBorders>
            <w:noWrap/>
            <w:vAlign w:val="center"/>
          </w:tcPr>
          <w:p>
            <w:pPr>
              <w:spacing w:line="240" w:lineRule="exact"/>
              <w:jc w:val="center"/>
              <w:rPr>
                <w:szCs w:val="21"/>
              </w:rPr>
            </w:pPr>
          </w:p>
        </w:tc>
      </w:tr>
    </w:tbl>
    <w:p/>
    <w:p/>
    <w:p/>
    <w:p/>
    <w:p>
      <w:pPr>
        <w:spacing w:line="620" w:lineRule="exact"/>
        <w:jc w:val="left"/>
        <w:rPr>
          <w:rFonts w:hint="eastAsia" w:eastAsia="方正黑体简体"/>
          <w:color w:val="000000"/>
          <w:kern w:val="0"/>
          <w:sz w:val="32"/>
          <w:szCs w:val="32"/>
        </w:rPr>
      </w:pPr>
    </w:p>
    <w:p>
      <w:pPr>
        <w:spacing w:line="620" w:lineRule="exact"/>
        <w:jc w:val="left"/>
        <w:rPr>
          <w:rFonts w:hint="eastAsia" w:eastAsia="方正黑体简体"/>
          <w:color w:val="000000"/>
          <w:kern w:val="0"/>
          <w:sz w:val="32"/>
          <w:szCs w:val="32"/>
        </w:rPr>
      </w:pPr>
    </w:p>
    <w:p>
      <w:pPr>
        <w:spacing w:line="620" w:lineRule="exact"/>
        <w:jc w:val="left"/>
        <w:rPr>
          <w:rFonts w:hint="eastAsia" w:eastAsia="方正黑体简体"/>
          <w:color w:val="000000"/>
          <w:kern w:val="0"/>
          <w:sz w:val="32"/>
          <w:szCs w:val="32"/>
        </w:rPr>
      </w:pPr>
    </w:p>
    <w:p>
      <w:pPr>
        <w:spacing w:line="620" w:lineRule="exact"/>
        <w:jc w:val="left"/>
        <w:rPr>
          <w:rFonts w:hint="eastAsia" w:eastAsia="方正黑体简体"/>
          <w:color w:val="000000"/>
          <w:kern w:val="0"/>
          <w:sz w:val="32"/>
          <w:szCs w:val="32"/>
        </w:rPr>
      </w:pPr>
    </w:p>
    <w:p>
      <w:pPr>
        <w:spacing w:line="620" w:lineRule="exact"/>
        <w:jc w:val="left"/>
        <w:rPr>
          <w:rFonts w:hint="eastAsia" w:eastAsia="方正黑体简体"/>
          <w:color w:val="000000"/>
          <w:kern w:val="0"/>
          <w:sz w:val="32"/>
          <w:szCs w:val="32"/>
        </w:rPr>
      </w:pPr>
    </w:p>
    <w:p>
      <w:pPr>
        <w:spacing w:line="620" w:lineRule="exact"/>
        <w:jc w:val="left"/>
        <w:rPr>
          <w:rFonts w:hint="eastAsia" w:eastAsia="方正黑体简体"/>
          <w:color w:val="000000"/>
          <w:kern w:val="0"/>
          <w:sz w:val="32"/>
          <w:szCs w:val="32"/>
        </w:rPr>
      </w:pPr>
    </w:p>
    <w:p>
      <w:pPr>
        <w:spacing w:line="620" w:lineRule="exact"/>
        <w:jc w:val="left"/>
        <w:rPr>
          <w:rFonts w:hint="eastAsia" w:eastAsia="方正黑体简体"/>
          <w:color w:val="000000"/>
          <w:kern w:val="0"/>
          <w:sz w:val="32"/>
          <w:szCs w:val="32"/>
        </w:rPr>
      </w:pPr>
    </w:p>
    <w:p>
      <w:pPr>
        <w:spacing w:line="620" w:lineRule="exact"/>
        <w:jc w:val="left"/>
        <w:rPr>
          <w:rFonts w:eastAsia="黑体"/>
          <w:kern w:val="0"/>
        </w:rPr>
      </w:pPr>
      <w:r>
        <w:rPr>
          <w:rFonts w:hint="eastAsia" w:eastAsia="方正黑体简体"/>
          <w:color w:val="000000"/>
          <w:kern w:val="0"/>
          <w:sz w:val="32"/>
          <w:szCs w:val="32"/>
        </w:rPr>
        <w:t>附件1</w:t>
      </w:r>
      <w:r>
        <w:rPr>
          <w:rFonts w:eastAsia="方正黑体简体"/>
          <w:color w:val="000000"/>
          <w:kern w:val="0"/>
          <w:sz w:val="32"/>
          <w:szCs w:val="32"/>
        </w:rPr>
        <w:t>-2</w:t>
      </w:r>
    </w:p>
    <w:p>
      <w:pPr>
        <w:spacing w:line="560" w:lineRule="exact"/>
        <w:jc w:val="center"/>
        <w:rPr>
          <w:rFonts w:eastAsia="方正小标宋简体"/>
          <w:w w:val="90"/>
          <w:kern w:val="0"/>
          <w:sz w:val="44"/>
          <w:szCs w:val="44"/>
        </w:rPr>
      </w:pPr>
      <w:r>
        <w:rPr>
          <w:rFonts w:eastAsia="方正小标宋简体"/>
          <w:w w:val="90"/>
          <w:kern w:val="0"/>
          <w:sz w:val="44"/>
          <w:szCs w:val="44"/>
        </w:rPr>
        <w:t>202</w:t>
      </w:r>
      <w:r>
        <w:rPr>
          <w:rFonts w:hint="eastAsia" w:eastAsia="方正小标宋简体"/>
          <w:w w:val="90"/>
          <w:kern w:val="0"/>
          <w:sz w:val="44"/>
          <w:szCs w:val="44"/>
          <w:lang w:val="en-US" w:eastAsia="zh-CN"/>
        </w:rPr>
        <w:t>2</w:t>
      </w:r>
      <w:r>
        <w:rPr>
          <w:rFonts w:hint="eastAsia" w:eastAsia="方正小标宋简体"/>
          <w:w w:val="90"/>
          <w:kern w:val="0"/>
          <w:sz w:val="44"/>
          <w:szCs w:val="44"/>
        </w:rPr>
        <w:t>年度乐至县部门整体支出绩效目标完成情况表</w:t>
      </w:r>
    </w:p>
    <w:p>
      <w:pPr>
        <w:spacing w:line="200" w:lineRule="exact"/>
        <w:jc w:val="center"/>
        <w:rPr>
          <w:rFonts w:eastAsia="方正小标宋简体"/>
          <w:kern w:val="0"/>
          <w:sz w:val="36"/>
          <w:szCs w:val="36"/>
        </w:rPr>
      </w:pPr>
    </w:p>
    <w:tbl>
      <w:tblPr>
        <w:tblStyle w:val="16"/>
        <w:tblW w:w="97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47"/>
        <w:gridCol w:w="809"/>
        <w:gridCol w:w="87"/>
        <w:gridCol w:w="1550"/>
        <w:gridCol w:w="705"/>
        <w:gridCol w:w="536"/>
        <w:gridCol w:w="1929"/>
        <w:gridCol w:w="1641"/>
        <w:gridCol w:w="154"/>
        <w:gridCol w:w="170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4" w:hRule="atLeast"/>
          <w:jc w:val="center"/>
        </w:trPr>
        <w:tc>
          <w:tcPr>
            <w:tcW w:w="647" w:type="dxa"/>
            <w:noWrap/>
            <w:vAlign w:val="center"/>
          </w:tcPr>
          <w:p>
            <w:pPr>
              <w:widowControl/>
              <w:spacing w:line="360" w:lineRule="exact"/>
              <w:jc w:val="center"/>
              <w:rPr>
                <w:rFonts w:eastAsia="黑体"/>
                <w:kern w:val="0"/>
                <w:szCs w:val="21"/>
              </w:rPr>
            </w:pPr>
            <w:r>
              <w:rPr>
                <w:rFonts w:hint="eastAsia" w:eastAsia="黑体"/>
                <w:kern w:val="0"/>
                <w:szCs w:val="21"/>
              </w:rPr>
              <w:t>部门（单位）名称</w:t>
            </w:r>
          </w:p>
        </w:tc>
        <w:tc>
          <w:tcPr>
            <w:tcW w:w="5616" w:type="dxa"/>
            <w:gridSpan w:val="6"/>
            <w:noWrap/>
            <w:vAlign w:val="center"/>
          </w:tcPr>
          <w:p>
            <w:pPr>
              <w:widowControl/>
              <w:spacing w:line="360" w:lineRule="exact"/>
              <w:jc w:val="center"/>
              <w:rPr>
                <w:kern w:val="0"/>
                <w:szCs w:val="21"/>
              </w:rPr>
            </w:pPr>
            <w:r>
              <w:rPr>
                <w:rFonts w:hint="eastAsia"/>
                <w:kern w:val="0"/>
                <w:szCs w:val="21"/>
              </w:rPr>
              <w:t>乐至县行政审批局</w:t>
            </w:r>
          </w:p>
        </w:tc>
        <w:tc>
          <w:tcPr>
            <w:tcW w:w="1641" w:type="dxa"/>
            <w:noWrap/>
            <w:vAlign w:val="center"/>
          </w:tcPr>
          <w:p>
            <w:pPr>
              <w:widowControl/>
              <w:spacing w:line="360" w:lineRule="exact"/>
              <w:jc w:val="center"/>
              <w:rPr>
                <w:kern w:val="0"/>
                <w:szCs w:val="21"/>
              </w:rPr>
            </w:pPr>
            <w:r>
              <w:rPr>
                <w:rFonts w:hint="eastAsia"/>
                <w:kern w:val="0"/>
                <w:szCs w:val="21"/>
              </w:rPr>
              <w:t>预算单位编码</w:t>
            </w:r>
          </w:p>
        </w:tc>
        <w:tc>
          <w:tcPr>
            <w:tcW w:w="1860" w:type="dxa"/>
            <w:gridSpan w:val="2"/>
            <w:noWrap/>
            <w:vAlign w:val="center"/>
          </w:tcPr>
          <w:p>
            <w:pPr>
              <w:widowControl/>
              <w:spacing w:line="360" w:lineRule="exact"/>
              <w:jc w:val="left"/>
              <w:rPr>
                <w:kern w:val="0"/>
                <w:szCs w:val="21"/>
              </w:rPr>
            </w:pPr>
            <w:r>
              <w:rPr>
                <w:rFonts w:hint="eastAsia"/>
                <w:kern w:val="0"/>
                <w:szCs w:val="21"/>
              </w:rPr>
              <w:t>134101001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0" w:hRule="atLeast"/>
          <w:jc w:val="center"/>
        </w:trPr>
        <w:tc>
          <w:tcPr>
            <w:tcW w:w="647" w:type="dxa"/>
            <w:vMerge w:val="restart"/>
            <w:noWrap/>
            <w:vAlign w:val="center"/>
          </w:tcPr>
          <w:p>
            <w:pPr>
              <w:widowControl/>
              <w:spacing w:line="360" w:lineRule="exact"/>
              <w:jc w:val="center"/>
              <w:rPr>
                <w:rFonts w:eastAsia="黑体"/>
                <w:kern w:val="0"/>
                <w:szCs w:val="21"/>
              </w:rPr>
            </w:pPr>
            <w:r>
              <w:rPr>
                <w:rFonts w:hint="eastAsia" w:eastAsia="黑体"/>
                <w:kern w:val="0"/>
                <w:szCs w:val="21"/>
              </w:rPr>
              <w:t>预算执行情况</w:t>
            </w:r>
          </w:p>
        </w:tc>
        <w:tc>
          <w:tcPr>
            <w:tcW w:w="896" w:type="dxa"/>
            <w:gridSpan w:val="2"/>
            <w:noWrap/>
            <w:vAlign w:val="center"/>
          </w:tcPr>
          <w:p>
            <w:pPr>
              <w:widowControl/>
              <w:spacing w:line="360" w:lineRule="exact"/>
              <w:jc w:val="center"/>
              <w:rPr>
                <w:kern w:val="0"/>
                <w:szCs w:val="21"/>
              </w:rPr>
            </w:pPr>
            <w:r>
              <w:rPr>
                <w:rFonts w:hint="eastAsia"/>
                <w:kern w:val="0"/>
                <w:szCs w:val="21"/>
              </w:rPr>
              <w:t>项目</w:t>
            </w:r>
          </w:p>
        </w:tc>
        <w:tc>
          <w:tcPr>
            <w:tcW w:w="1550" w:type="dxa"/>
            <w:noWrap/>
            <w:vAlign w:val="center"/>
          </w:tcPr>
          <w:p>
            <w:pPr>
              <w:widowControl/>
              <w:spacing w:line="360" w:lineRule="exact"/>
              <w:jc w:val="center"/>
              <w:rPr>
                <w:kern w:val="0"/>
                <w:szCs w:val="21"/>
              </w:rPr>
            </w:pPr>
            <w:r>
              <w:rPr>
                <w:rFonts w:hint="eastAsia"/>
                <w:kern w:val="0"/>
                <w:szCs w:val="21"/>
              </w:rPr>
              <w:t>预算额</w:t>
            </w:r>
          </w:p>
          <w:p>
            <w:pPr>
              <w:widowControl/>
              <w:spacing w:line="360" w:lineRule="exact"/>
              <w:jc w:val="center"/>
              <w:rPr>
                <w:kern w:val="0"/>
                <w:szCs w:val="21"/>
              </w:rPr>
            </w:pPr>
            <w:r>
              <w:rPr>
                <w:rFonts w:hint="eastAsia"/>
                <w:kern w:val="0"/>
                <w:szCs w:val="21"/>
              </w:rPr>
              <w:t>（</w:t>
            </w:r>
            <w:r>
              <w:rPr>
                <w:rFonts w:hint="eastAsia"/>
                <w:kern w:val="0"/>
                <w:szCs w:val="21"/>
                <w:lang w:val="en-US" w:eastAsia="zh-CN"/>
              </w:rPr>
              <w:t>万</w:t>
            </w:r>
            <w:r>
              <w:rPr>
                <w:rFonts w:hint="eastAsia"/>
                <w:kern w:val="0"/>
                <w:szCs w:val="21"/>
              </w:rPr>
              <w:t>元）</w:t>
            </w:r>
          </w:p>
        </w:tc>
        <w:tc>
          <w:tcPr>
            <w:tcW w:w="1241" w:type="dxa"/>
            <w:gridSpan w:val="2"/>
            <w:noWrap/>
            <w:vAlign w:val="center"/>
          </w:tcPr>
          <w:p>
            <w:pPr>
              <w:widowControl/>
              <w:spacing w:line="360" w:lineRule="exact"/>
              <w:jc w:val="center"/>
              <w:rPr>
                <w:kern w:val="0"/>
                <w:szCs w:val="21"/>
              </w:rPr>
            </w:pPr>
            <w:r>
              <w:rPr>
                <w:rFonts w:hint="eastAsia"/>
                <w:kern w:val="0"/>
                <w:szCs w:val="21"/>
              </w:rPr>
              <w:t>执行额</w:t>
            </w:r>
          </w:p>
          <w:p>
            <w:pPr>
              <w:widowControl/>
              <w:spacing w:line="360" w:lineRule="exact"/>
              <w:jc w:val="center"/>
              <w:rPr>
                <w:kern w:val="0"/>
                <w:szCs w:val="21"/>
              </w:rPr>
            </w:pPr>
            <w:r>
              <w:rPr>
                <w:rFonts w:hint="eastAsia"/>
                <w:kern w:val="0"/>
                <w:szCs w:val="21"/>
              </w:rPr>
              <w:t>（</w:t>
            </w:r>
            <w:r>
              <w:rPr>
                <w:rFonts w:hint="eastAsia"/>
                <w:kern w:val="0"/>
                <w:szCs w:val="21"/>
                <w:lang w:val="en-US" w:eastAsia="zh-CN"/>
              </w:rPr>
              <w:t>万</w:t>
            </w:r>
            <w:r>
              <w:rPr>
                <w:rFonts w:hint="eastAsia"/>
                <w:kern w:val="0"/>
                <w:szCs w:val="21"/>
              </w:rPr>
              <w:t>元）</w:t>
            </w:r>
          </w:p>
        </w:tc>
        <w:tc>
          <w:tcPr>
            <w:tcW w:w="1929" w:type="dxa"/>
            <w:noWrap/>
            <w:vAlign w:val="center"/>
          </w:tcPr>
          <w:p>
            <w:pPr>
              <w:widowControl/>
              <w:spacing w:line="360" w:lineRule="exact"/>
              <w:jc w:val="center"/>
              <w:rPr>
                <w:kern w:val="0"/>
                <w:szCs w:val="21"/>
              </w:rPr>
            </w:pPr>
            <w:r>
              <w:rPr>
                <w:rFonts w:hint="eastAsia"/>
                <w:kern w:val="0"/>
                <w:szCs w:val="21"/>
              </w:rPr>
              <w:t>当年结转结余额（</w:t>
            </w:r>
            <w:r>
              <w:rPr>
                <w:rFonts w:hint="eastAsia"/>
                <w:kern w:val="0"/>
                <w:szCs w:val="21"/>
                <w:lang w:val="en-US" w:eastAsia="zh-CN"/>
              </w:rPr>
              <w:t>万</w:t>
            </w:r>
            <w:r>
              <w:rPr>
                <w:rFonts w:hint="eastAsia"/>
                <w:kern w:val="0"/>
                <w:szCs w:val="21"/>
              </w:rPr>
              <w:t>元）</w:t>
            </w:r>
          </w:p>
        </w:tc>
        <w:tc>
          <w:tcPr>
            <w:tcW w:w="1641" w:type="dxa"/>
            <w:noWrap/>
            <w:vAlign w:val="center"/>
          </w:tcPr>
          <w:p>
            <w:pPr>
              <w:widowControl/>
              <w:spacing w:line="360" w:lineRule="exact"/>
              <w:jc w:val="center"/>
              <w:rPr>
                <w:kern w:val="0"/>
                <w:szCs w:val="21"/>
              </w:rPr>
            </w:pPr>
            <w:r>
              <w:rPr>
                <w:rFonts w:hint="eastAsia"/>
                <w:kern w:val="0"/>
                <w:szCs w:val="21"/>
              </w:rPr>
              <w:t>结转结余率</w:t>
            </w:r>
            <w:r>
              <w:rPr>
                <w:kern w:val="0"/>
                <w:szCs w:val="21"/>
              </w:rPr>
              <w:t>%</w:t>
            </w:r>
          </w:p>
        </w:tc>
        <w:tc>
          <w:tcPr>
            <w:tcW w:w="1860" w:type="dxa"/>
            <w:gridSpan w:val="2"/>
            <w:noWrap/>
            <w:vAlign w:val="center"/>
          </w:tcPr>
          <w:p>
            <w:pPr>
              <w:widowControl/>
              <w:spacing w:line="360" w:lineRule="exact"/>
              <w:jc w:val="center"/>
              <w:rPr>
                <w:kern w:val="0"/>
                <w:szCs w:val="21"/>
              </w:rPr>
            </w:pPr>
            <w:r>
              <w:rPr>
                <w:rFonts w:hint="eastAsia"/>
                <w:kern w:val="0"/>
                <w:szCs w:val="21"/>
              </w:rPr>
              <w:t>结转结余变动率</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2"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360" w:lineRule="exact"/>
              <w:jc w:val="center"/>
              <w:rPr>
                <w:kern w:val="0"/>
                <w:szCs w:val="21"/>
              </w:rPr>
            </w:pPr>
            <w:r>
              <w:rPr>
                <w:rFonts w:hint="eastAsia"/>
                <w:kern w:val="0"/>
                <w:szCs w:val="21"/>
              </w:rPr>
              <w:t>合计</w:t>
            </w:r>
          </w:p>
        </w:tc>
        <w:tc>
          <w:tcPr>
            <w:tcW w:w="1550" w:type="dxa"/>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238.86</w:t>
            </w:r>
          </w:p>
        </w:tc>
        <w:tc>
          <w:tcPr>
            <w:tcW w:w="1241" w:type="dxa"/>
            <w:gridSpan w:val="2"/>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238.86</w:t>
            </w:r>
          </w:p>
        </w:tc>
        <w:tc>
          <w:tcPr>
            <w:tcW w:w="1929" w:type="dxa"/>
            <w:noWrap/>
            <w:vAlign w:val="center"/>
          </w:tcPr>
          <w:p>
            <w:pPr>
              <w:widowControl/>
              <w:spacing w:line="360" w:lineRule="exact"/>
              <w:jc w:val="center"/>
              <w:rPr>
                <w:kern w:val="0"/>
                <w:szCs w:val="21"/>
              </w:rPr>
            </w:pPr>
            <w:r>
              <w:rPr>
                <w:rFonts w:hint="eastAsia"/>
                <w:kern w:val="0"/>
                <w:szCs w:val="21"/>
              </w:rPr>
              <w:t>0</w:t>
            </w:r>
          </w:p>
        </w:tc>
        <w:tc>
          <w:tcPr>
            <w:tcW w:w="1641" w:type="dxa"/>
            <w:noWrap/>
            <w:vAlign w:val="center"/>
          </w:tcPr>
          <w:p>
            <w:pPr>
              <w:widowControl/>
              <w:spacing w:line="360" w:lineRule="exact"/>
              <w:jc w:val="center"/>
              <w:rPr>
                <w:kern w:val="0"/>
                <w:szCs w:val="21"/>
              </w:rPr>
            </w:pPr>
            <w:r>
              <w:rPr>
                <w:rFonts w:hint="eastAsia"/>
                <w:kern w:val="0"/>
                <w:szCs w:val="21"/>
              </w:rPr>
              <w:t>0</w:t>
            </w:r>
          </w:p>
        </w:tc>
        <w:tc>
          <w:tcPr>
            <w:tcW w:w="1860" w:type="dxa"/>
            <w:gridSpan w:val="2"/>
            <w:noWrap/>
            <w:vAlign w:val="center"/>
          </w:tcPr>
          <w:p>
            <w:pPr>
              <w:widowControl/>
              <w:spacing w:line="36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0"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360" w:lineRule="exact"/>
              <w:jc w:val="center"/>
              <w:rPr>
                <w:kern w:val="0"/>
                <w:szCs w:val="21"/>
              </w:rPr>
            </w:pPr>
            <w:r>
              <w:rPr>
                <w:rFonts w:hint="eastAsia"/>
                <w:kern w:val="0"/>
                <w:szCs w:val="21"/>
              </w:rPr>
              <w:t>基本</w:t>
            </w:r>
          </w:p>
          <w:p>
            <w:pPr>
              <w:widowControl/>
              <w:spacing w:line="360" w:lineRule="exact"/>
              <w:jc w:val="center"/>
              <w:rPr>
                <w:kern w:val="0"/>
                <w:szCs w:val="21"/>
              </w:rPr>
            </w:pPr>
            <w:r>
              <w:rPr>
                <w:rFonts w:hint="eastAsia"/>
                <w:kern w:val="0"/>
                <w:szCs w:val="21"/>
              </w:rPr>
              <w:t>支出</w:t>
            </w:r>
          </w:p>
        </w:tc>
        <w:tc>
          <w:tcPr>
            <w:tcW w:w="1550" w:type="dxa"/>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182.38</w:t>
            </w:r>
          </w:p>
        </w:tc>
        <w:tc>
          <w:tcPr>
            <w:tcW w:w="1241" w:type="dxa"/>
            <w:gridSpan w:val="2"/>
            <w:noWrap/>
            <w:vAlign w:val="center"/>
          </w:tcPr>
          <w:p>
            <w:pPr>
              <w:widowControl/>
              <w:spacing w:line="360" w:lineRule="exact"/>
              <w:jc w:val="center"/>
              <w:rPr>
                <w:kern w:val="0"/>
                <w:szCs w:val="21"/>
              </w:rPr>
            </w:pPr>
            <w:r>
              <w:rPr>
                <w:rFonts w:hint="eastAsia"/>
                <w:kern w:val="0"/>
                <w:szCs w:val="21"/>
                <w:lang w:val="en-US" w:eastAsia="zh-CN"/>
              </w:rPr>
              <w:t>182.38</w:t>
            </w:r>
          </w:p>
        </w:tc>
        <w:tc>
          <w:tcPr>
            <w:tcW w:w="1929" w:type="dxa"/>
            <w:noWrap/>
            <w:vAlign w:val="center"/>
          </w:tcPr>
          <w:p>
            <w:pPr>
              <w:widowControl/>
              <w:spacing w:line="360" w:lineRule="exact"/>
              <w:jc w:val="center"/>
              <w:rPr>
                <w:kern w:val="0"/>
                <w:szCs w:val="21"/>
              </w:rPr>
            </w:pPr>
            <w:r>
              <w:rPr>
                <w:rFonts w:hint="eastAsia"/>
                <w:kern w:val="0"/>
                <w:szCs w:val="21"/>
              </w:rPr>
              <w:t>0</w:t>
            </w:r>
          </w:p>
        </w:tc>
        <w:tc>
          <w:tcPr>
            <w:tcW w:w="1641" w:type="dxa"/>
            <w:noWrap/>
            <w:vAlign w:val="center"/>
          </w:tcPr>
          <w:p>
            <w:pPr>
              <w:widowControl/>
              <w:spacing w:line="360" w:lineRule="exact"/>
              <w:jc w:val="center"/>
              <w:rPr>
                <w:kern w:val="0"/>
                <w:szCs w:val="21"/>
              </w:rPr>
            </w:pPr>
            <w:r>
              <w:rPr>
                <w:rFonts w:hint="eastAsia"/>
                <w:kern w:val="0"/>
                <w:szCs w:val="21"/>
              </w:rPr>
              <w:t>0</w:t>
            </w:r>
          </w:p>
        </w:tc>
        <w:tc>
          <w:tcPr>
            <w:tcW w:w="1860" w:type="dxa"/>
            <w:gridSpan w:val="2"/>
            <w:noWrap/>
            <w:vAlign w:val="center"/>
          </w:tcPr>
          <w:p>
            <w:pPr>
              <w:widowControl/>
              <w:spacing w:line="36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2"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360" w:lineRule="exact"/>
              <w:jc w:val="center"/>
              <w:rPr>
                <w:kern w:val="0"/>
                <w:szCs w:val="21"/>
              </w:rPr>
            </w:pPr>
            <w:r>
              <w:rPr>
                <w:rFonts w:hint="eastAsia"/>
                <w:kern w:val="0"/>
                <w:szCs w:val="21"/>
              </w:rPr>
              <w:t>政策和项目支出</w:t>
            </w:r>
          </w:p>
        </w:tc>
        <w:tc>
          <w:tcPr>
            <w:tcW w:w="1550" w:type="dxa"/>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56.47</w:t>
            </w:r>
          </w:p>
        </w:tc>
        <w:tc>
          <w:tcPr>
            <w:tcW w:w="1241" w:type="dxa"/>
            <w:gridSpan w:val="2"/>
            <w:noWrap/>
            <w:vAlign w:val="center"/>
          </w:tcPr>
          <w:p>
            <w:pPr>
              <w:widowControl/>
              <w:spacing w:line="360" w:lineRule="exact"/>
              <w:jc w:val="center"/>
              <w:rPr>
                <w:kern w:val="0"/>
                <w:szCs w:val="21"/>
              </w:rPr>
            </w:pPr>
            <w:r>
              <w:rPr>
                <w:rFonts w:hint="eastAsia"/>
                <w:kern w:val="0"/>
                <w:szCs w:val="21"/>
                <w:lang w:val="en-US" w:eastAsia="zh-CN"/>
              </w:rPr>
              <w:t>56.47</w:t>
            </w:r>
          </w:p>
        </w:tc>
        <w:tc>
          <w:tcPr>
            <w:tcW w:w="1929" w:type="dxa"/>
            <w:noWrap/>
            <w:vAlign w:val="center"/>
          </w:tcPr>
          <w:p>
            <w:pPr>
              <w:widowControl/>
              <w:spacing w:line="360" w:lineRule="exact"/>
              <w:jc w:val="center"/>
              <w:rPr>
                <w:kern w:val="0"/>
                <w:szCs w:val="21"/>
              </w:rPr>
            </w:pPr>
            <w:r>
              <w:rPr>
                <w:rFonts w:hint="eastAsia"/>
                <w:kern w:val="0"/>
                <w:szCs w:val="21"/>
              </w:rPr>
              <w:t>0</w:t>
            </w:r>
          </w:p>
        </w:tc>
        <w:tc>
          <w:tcPr>
            <w:tcW w:w="1641" w:type="dxa"/>
            <w:noWrap/>
            <w:vAlign w:val="center"/>
          </w:tcPr>
          <w:p>
            <w:pPr>
              <w:widowControl/>
              <w:spacing w:line="360" w:lineRule="exact"/>
              <w:jc w:val="center"/>
              <w:rPr>
                <w:kern w:val="0"/>
                <w:szCs w:val="21"/>
              </w:rPr>
            </w:pPr>
            <w:r>
              <w:rPr>
                <w:rFonts w:hint="eastAsia"/>
                <w:kern w:val="0"/>
                <w:szCs w:val="21"/>
              </w:rPr>
              <w:t>0</w:t>
            </w:r>
          </w:p>
        </w:tc>
        <w:tc>
          <w:tcPr>
            <w:tcW w:w="1860" w:type="dxa"/>
            <w:gridSpan w:val="2"/>
            <w:noWrap/>
            <w:vAlign w:val="center"/>
          </w:tcPr>
          <w:p>
            <w:pPr>
              <w:widowControl/>
              <w:spacing w:line="36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647" w:type="dxa"/>
            <w:vMerge w:val="restart"/>
            <w:noWrap/>
            <w:vAlign w:val="center"/>
          </w:tcPr>
          <w:p>
            <w:pPr>
              <w:widowControl/>
              <w:spacing w:line="360" w:lineRule="exact"/>
              <w:jc w:val="center"/>
              <w:rPr>
                <w:rFonts w:eastAsia="黑体"/>
                <w:kern w:val="0"/>
                <w:szCs w:val="21"/>
              </w:rPr>
            </w:pPr>
            <w:r>
              <w:rPr>
                <w:rFonts w:hint="eastAsia" w:eastAsia="黑体"/>
                <w:kern w:val="0"/>
                <w:szCs w:val="21"/>
              </w:rPr>
              <w:t>预算</w:t>
            </w:r>
          </w:p>
          <w:p>
            <w:pPr>
              <w:widowControl/>
              <w:spacing w:line="360" w:lineRule="exact"/>
              <w:jc w:val="center"/>
              <w:rPr>
                <w:rFonts w:eastAsia="黑体"/>
                <w:kern w:val="0"/>
                <w:szCs w:val="21"/>
              </w:rPr>
            </w:pPr>
            <w:r>
              <w:rPr>
                <w:rFonts w:hint="eastAsia" w:eastAsia="黑体"/>
                <w:kern w:val="0"/>
                <w:szCs w:val="21"/>
              </w:rPr>
              <w:t>结构</w:t>
            </w:r>
          </w:p>
        </w:tc>
        <w:tc>
          <w:tcPr>
            <w:tcW w:w="896" w:type="dxa"/>
            <w:gridSpan w:val="2"/>
            <w:noWrap/>
            <w:vAlign w:val="center"/>
          </w:tcPr>
          <w:p>
            <w:pPr>
              <w:widowControl/>
              <w:spacing w:line="360" w:lineRule="exact"/>
              <w:jc w:val="center"/>
              <w:rPr>
                <w:kern w:val="0"/>
                <w:szCs w:val="21"/>
              </w:rPr>
            </w:pPr>
            <w:r>
              <w:rPr>
                <w:rFonts w:hint="eastAsia"/>
                <w:kern w:val="0"/>
                <w:szCs w:val="21"/>
              </w:rPr>
              <w:t>项目</w:t>
            </w:r>
          </w:p>
        </w:tc>
        <w:tc>
          <w:tcPr>
            <w:tcW w:w="1550" w:type="dxa"/>
            <w:noWrap/>
            <w:vAlign w:val="center"/>
          </w:tcPr>
          <w:p>
            <w:pPr>
              <w:widowControl/>
              <w:spacing w:line="360" w:lineRule="exact"/>
              <w:jc w:val="center"/>
              <w:rPr>
                <w:kern w:val="0"/>
                <w:szCs w:val="21"/>
              </w:rPr>
            </w:pPr>
            <w:r>
              <w:rPr>
                <w:rFonts w:hint="eastAsia"/>
                <w:kern w:val="0"/>
                <w:szCs w:val="21"/>
              </w:rPr>
              <w:t>合计</w:t>
            </w:r>
          </w:p>
        </w:tc>
        <w:tc>
          <w:tcPr>
            <w:tcW w:w="1241" w:type="dxa"/>
            <w:gridSpan w:val="2"/>
            <w:noWrap/>
            <w:vAlign w:val="center"/>
          </w:tcPr>
          <w:p>
            <w:pPr>
              <w:widowControl/>
              <w:spacing w:line="360" w:lineRule="exact"/>
              <w:jc w:val="center"/>
              <w:rPr>
                <w:kern w:val="0"/>
                <w:szCs w:val="21"/>
              </w:rPr>
            </w:pPr>
            <w:r>
              <w:rPr>
                <w:rFonts w:hint="eastAsia"/>
                <w:kern w:val="0"/>
                <w:szCs w:val="21"/>
              </w:rPr>
              <w:t>一般公共</w:t>
            </w:r>
          </w:p>
          <w:p>
            <w:pPr>
              <w:widowControl/>
              <w:spacing w:line="360" w:lineRule="exact"/>
              <w:jc w:val="center"/>
              <w:rPr>
                <w:kern w:val="0"/>
                <w:szCs w:val="21"/>
              </w:rPr>
            </w:pPr>
            <w:r>
              <w:rPr>
                <w:rFonts w:hint="eastAsia"/>
                <w:kern w:val="0"/>
                <w:szCs w:val="21"/>
              </w:rPr>
              <w:t>预算安排</w:t>
            </w:r>
          </w:p>
        </w:tc>
        <w:tc>
          <w:tcPr>
            <w:tcW w:w="1929" w:type="dxa"/>
            <w:noWrap/>
            <w:vAlign w:val="center"/>
          </w:tcPr>
          <w:p>
            <w:pPr>
              <w:widowControl/>
              <w:spacing w:line="360" w:lineRule="exact"/>
              <w:jc w:val="center"/>
              <w:rPr>
                <w:kern w:val="0"/>
                <w:szCs w:val="21"/>
              </w:rPr>
            </w:pPr>
            <w:r>
              <w:rPr>
                <w:rFonts w:hint="eastAsia"/>
                <w:kern w:val="0"/>
                <w:szCs w:val="21"/>
              </w:rPr>
              <w:t>政府性基金</w:t>
            </w:r>
          </w:p>
          <w:p>
            <w:pPr>
              <w:widowControl/>
              <w:spacing w:line="360" w:lineRule="exact"/>
              <w:jc w:val="center"/>
              <w:rPr>
                <w:kern w:val="0"/>
                <w:szCs w:val="21"/>
              </w:rPr>
            </w:pPr>
            <w:r>
              <w:rPr>
                <w:rFonts w:hint="eastAsia"/>
                <w:kern w:val="0"/>
                <w:szCs w:val="21"/>
              </w:rPr>
              <w:t>预算安排</w:t>
            </w:r>
          </w:p>
        </w:tc>
        <w:tc>
          <w:tcPr>
            <w:tcW w:w="1641" w:type="dxa"/>
            <w:noWrap/>
            <w:vAlign w:val="center"/>
          </w:tcPr>
          <w:p>
            <w:pPr>
              <w:widowControl/>
              <w:spacing w:line="360" w:lineRule="exact"/>
              <w:jc w:val="center"/>
              <w:rPr>
                <w:kern w:val="0"/>
                <w:szCs w:val="21"/>
              </w:rPr>
            </w:pPr>
            <w:r>
              <w:rPr>
                <w:rFonts w:hint="eastAsia"/>
                <w:kern w:val="0"/>
                <w:szCs w:val="21"/>
              </w:rPr>
              <w:t>国有资本经</w:t>
            </w:r>
          </w:p>
          <w:p>
            <w:pPr>
              <w:widowControl/>
              <w:spacing w:line="360" w:lineRule="exact"/>
              <w:jc w:val="center"/>
              <w:rPr>
                <w:kern w:val="0"/>
                <w:szCs w:val="21"/>
              </w:rPr>
            </w:pPr>
            <w:r>
              <w:rPr>
                <w:rFonts w:hint="eastAsia"/>
                <w:kern w:val="0"/>
                <w:szCs w:val="21"/>
              </w:rPr>
              <w:t>营预算安排</w:t>
            </w:r>
          </w:p>
        </w:tc>
        <w:tc>
          <w:tcPr>
            <w:tcW w:w="1860" w:type="dxa"/>
            <w:gridSpan w:val="2"/>
            <w:noWrap/>
            <w:vAlign w:val="center"/>
          </w:tcPr>
          <w:p>
            <w:pPr>
              <w:widowControl/>
              <w:spacing w:line="360" w:lineRule="exact"/>
              <w:jc w:val="center"/>
              <w:rPr>
                <w:kern w:val="0"/>
                <w:szCs w:val="21"/>
              </w:rPr>
            </w:pPr>
            <w:r>
              <w:rPr>
                <w:rFonts w:hint="eastAsia"/>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400" w:lineRule="exact"/>
              <w:jc w:val="center"/>
            </w:pPr>
            <w:r>
              <w:rPr>
                <w:rFonts w:hint="eastAsia"/>
              </w:rPr>
              <w:t>预算额</w:t>
            </w:r>
          </w:p>
          <w:p>
            <w:pPr>
              <w:pStyle w:val="27"/>
            </w:pPr>
            <w:r>
              <w:rPr>
                <w:rFonts w:hint="eastAsia"/>
                <w:sz w:val="21"/>
                <w:szCs w:val="21"/>
              </w:rPr>
              <w:t>（</w:t>
            </w:r>
            <w:r>
              <w:rPr>
                <w:rFonts w:hint="eastAsia"/>
                <w:kern w:val="0"/>
                <w:szCs w:val="21"/>
                <w:lang w:val="en-US" w:eastAsia="zh-CN"/>
              </w:rPr>
              <w:t>万</w:t>
            </w:r>
            <w:r>
              <w:rPr>
                <w:rFonts w:hint="eastAsia"/>
                <w:sz w:val="21"/>
                <w:szCs w:val="21"/>
              </w:rPr>
              <w:t>元）</w:t>
            </w:r>
          </w:p>
        </w:tc>
        <w:tc>
          <w:tcPr>
            <w:tcW w:w="1550" w:type="dxa"/>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238.86</w:t>
            </w:r>
          </w:p>
        </w:tc>
        <w:tc>
          <w:tcPr>
            <w:tcW w:w="1241" w:type="dxa"/>
            <w:gridSpan w:val="2"/>
            <w:noWrap/>
            <w:vAlign w:val="center"/>
          </w:tcPr>
          <w:p>
            <w:pPr>
              <w:widowControl/>
              <w:spacing w:line="360" w:lineRule="exact"/>
              <w:jc w:val="center"/>
              <w:rPr>
                <w:kern w:val="0"/>
                <w:szCs w:val="21"/>
              </w:rPr>
            </w:pPr>
            <w:r>
              <w:rPr>
                <w:rFonts w:hint="eastAsia"/>
                <w:kern w:val="0"/>
                <w:szCs w:val="21"/>
                <w:lang w:val="en-US" w:eastAsia="zh-CN"/>
              </w:rPr>
              <w:t>238.86</w:t>
            </w:r>
          </w:p>
        </w:tc>
        <w:tc>
          <w:tcPr>
            <w:tcW w:w="1929" w:type="dxa"/>
            <w:noWrap/>
            <w:vAlign w:val="center"/>
          </w:tcPr>
          <w:p>
            <w:pPr>
              <w:widowControl/>
              <w:spacing w:line="400" w:lineRule="exact"/>
              <w:jc w:val="center"/>
              <w:rPr>
                <w:kern w:val="0"/>
                <w:szCs w:val="21"/>
              </w:rPr>
            </w:pPr>
            <w:r>
              <w:rPr>
                <w:rFonts w:hint="eastAsia"/>
                <w:kern w:val="0"/>
                <w:szCs w:val="21"/>
              </w:rPr>
              <w:t>0</w:t>
            </w:r>
          </w:p>
        </w:tc>
        <w:tc>
          <w:tcPr>
            <w:tcW w:w="1641" w:type="dxa"/>
            <w:noWrap/>
            <w:vAlign w:val="center"/>
          </w:tcPr>
          <w:p>
            <w:pPr>
              <w:widowControl/>
              <w:spacing w:line="400" w:lineRule="exact"/>
              <w:jc w:val="center"/>
              <w:rPr>
                <w:kern w:val="0"/>
                <w:szCs w:val="21"/>
              </w:rPr>
            </w:pPr>
            <w:r>
              <w:rPr>
                <w:rFonts w:hint="eastAsia"/>
                <w:kern w:val="0"/>
                <w:szCs w:val="21"/>
              </w:rPr>
              <w:t>0</w:t>
            </w:r>
          </w:p>
        </w:tc>
        <w:tc>
          <w:tcPr>
            <w:tcW w:w="1860" w:type="dxa"/>
            <w:gridSpan w:val="2"/>
            <w:noWrap/>
            <w:vAlign w:val="center"/>
          </w:tcPr>
          <w:p>
            <w:pPr>
              <w:widowControl/>
              <w:spacing w:line="40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400" w:lineRule="exact"/>
              <w:jc w:val="center"/>
            </w:pPr>
            <w:r>
              <w:rPr>
                <w:rFonts w:hint="eastAsia"/>
              </w:rPr>
              <w:t>执行额</w:t>
            </w:r>
          </w:p>
          <w:p>
            <w:pPr>
              <w:pStyle w:val="27"/>
            </w:pPr>
            <w:r>
              <w:rPr>
                <w:rFonts w:hint="eastAsia"/>
                <w:sz w:val="21"/>
                <w:szCs w:val="21"/>
              </w:rPr>
              <w:t>（</w:t>
            </w:r>
            <w:r>
              <w:rPr>
                <w:rFonts w:hint="eastAsia"/>
                <w:kern w:val="0"/>
                <w:szCs w:val="21"/>
                <w:lang w:val="en-US" w:eastAsia="zh-CN"/>
              </w:rPr>
              <w:t>万</w:t>
            </w:r>
            <w:r>
              <w:rPr>
                <w:rFonts w:hint="eastAsia"/>
                <w:sz w:val="21"/>
                <w:szCs w:val="21"/>
              </w:rPr>
              <w:t>元）</w:t>
            </w:r>
          </w:p>
        </w:tc>
        <w:tc>
          <w:tcPr>
            <w:tcW w:w="1550" w:type="dxa"/>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238.86</w:t>
            </w:r>
          </w:p>
        </w:tc>
        <w:tc>
          <w:tcPr>
            <w:tcW w:w="1241" w:type="dxa"/>
            <w:gridSpan w:val="2"/>
            <w:noWrap/>
            <w:vAlign w:val="center"/>
          </w:tcPr>
          <w:p>
            <w:pPr>
              <w:widowControl/>
              <w:spacing w:line="360" w:lineRule="exact"/>
              <w:jc w:val="center"/>
              <w:rPr>
                <w:kern w:val="0"/>
                <w:szCs w:val="21"/>
              </w:rPr>
            </w:pPr>
            <w:r>
              <w:rPr>
                <w:rFonts w:hint="eastAsia"/>
                <w:kern w:val="0"/>
                <w:szCs w:val="21"/>
                <w:lang w:val="en-US" w:eastAsia="zh-CN"/>
              </w:rPr>
              <w:t>238.86</w:t>
            </w:r>
          </w:p>
        </w:tc>
        <w:tc>
          <w:tcPr>
            <w:tcW w:w="1929" w:type="dxa"/>
            <w:noWrap/>
            <w:vAlign w:val="center"/>
          </w:tcPr>
          <w:p>
            <w:pPr>
              <w:widowControl/>
              <w:spacing w:line="400" w:lineRule="exact"/>
              <w:jc w:val="center"/>
              <w:rPr>
                <w:kern w:val="0"/>
                <w:szCs w:val="21"/>
              </w:rPr>
            </w:pPr>
            <w:r>
              <w:rPr>
                <w:rFonts w:hint="eastAsia"/>
                <w:kern w:val="0"/>
                <w:szCs w:val="21"/>
              </w:rPr>
              <w:t>0</w:t>
            </w:r>
          </w:p>
        </w:tc>
        <w:tc>
          <w:tcPr>
            <w:tcW w:w="1641" w:type="dxa"/>
            <w:noWrap/>
            <w:vAlign w:val="center"/>
          </w:tcPr>
          <w:p>
            <w:pPr>
              <w:widowControl/>
              <w:spacing w:line="400" w:lineRule="exact"/>
              <w:jc w:val="center"/>
              <w:rPr>
                <w:kern w:val="0"/>
                <w:szCs w:val="21"/>
              </w:rPr>
            </w:pPr>
            <w:r>
              <w:rPr>
                <w:rFonts w:hint="eastAsia"/>
                <w:kern w:val="0"/>
                <w:szCs w:val="21"/>
              </w:rPr>
              <w:t>0</w:t>
            </w:r>
          </w:p>
        </w:tc>
        <w:tc>
          <w:tcPr>
            <w:tcW w:w="1860" w:type="dxa"/>
            <w:gridSpan w:val="2"/>
            <w:noWrap/>
            <w:vAlign w:val="center"/>
          </w:tcPr>
          <w:p>
            <w:pPr>
              <w:widowControl/>
              <w:spacing w:line="40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360" w:lineRule="exact"/>
              <w:jc w:val="center"/>
              <w:rPr>
                <w:spacing w:val="-20"/>
                <w:kern w:val="0"/>
                <w:szCs w:val="21"/>
              </w:rPr>
            </w:pPr>
            <w:r>
              <w:rPr>
                <w:rFonts w:hint="eastAsia"/>
                <w:spacing w:val="-20"/>
                <w:kern w:val="0"/>
                <w:szCs w:val="21"/>
              </w:rPr>
              <w:t>当年结转结余额</w:t>
            </w:r>
            <w:r>
              <w:rPr>
                <w:rFonts w:hint="eastAsia"/>
                <w:kern w:val="0"/>
                <w:szCs w:val="21"/>
              </w:rPr>
              <w:t>（</w:t>
            </w:r>
            <w:r>
              <w:rPr>
                <w:rFonts w:hint="eastAsia"/>
                <w:kern w:val="0"/>
                <w:szCs w:val="21"/>
                <w:lang w:val="en-US" w:eastAsia="zh-CN"/>
              </w:rPr>
              <w:t>万</w:t>
            </w:r>
            <w:r>
              <w:rPr>
                <w:rFonts w:hint="eastAsia"/>
                <w:kern w:val="0"/>
                <w:szCs w:val="21"/>
              </w:rPr>
              <w:t>元）</w:t>
            </w:r>
          </w:p>
        </w:tc>
        <w:tc>
          <w:tcPr>
            <w:tcW w:w="1550" w:type="dxa"/>
            <w:noWrap/>
            <w:vAlign w:val="center"/>
          </w:tcPr>
          <w:p>
            <w:pPr>
              <w:widowControl/>
              <w:spacing w:line="360" w:lineRule="exact"/>
              <w:jc w:val="center"/>
              <w:rPr>
                <w:kern w:val="0"/>
                <w:szCs w:val="21"/>
              </w:rPr>
            </w:pPr>
            <w:r>
              <w:rPr>
                <w:rFonts w:hint="eastAsia"/>
                <w:kern w:val="0"/>
                <w:szCs w:val="21"/>
              </w:rPr>
              <w:t>0</w:t>
            </w:r>
          </w:p>
        </w:tc>
        <w:tc>
          <w:tcPr>
            <w:tcW w:w="1241" w:type="dxa"/>
            <w:gridSpan w:val="2"/>
            <w:noWrap/>
            <w:vAlign w:val="center"/>
          </w:tcPr>
          <w:p>
            <w:pPr>
              <w:widowControl/>
              <w:spacing w:line="360" w:lineRule="exact"/>
              <w:jc w:val="center"/>
              <w:rPr>
                <w:kern w:val="0"/>
                <w:szCs w:val="21"/>
              </w:rPr>
            </w:pPr>
            <w:r>
              <w:rPr>
                <w:rFonts w:hint="eastAsia"/>
                <w:kern w:val="0"/>
                <w:szCs w:val="21"/>
              </w:rPr>
              <w:t>0</w:t>
            </w:r>
          </w:p>
        </w:tc>
        <w:tc>
          <w:tcPr>
            <w:tcW w:w="1929" w:type="dxa"/>
            <w:noWrap/>
            <w:vAlign w:val="center"/>
          </w:tcPr>
          <w:p>
            <w:pPr>
              <w:widowControl/>
              <w:spacing w:line="360" w:lineRule="exact"/>
              <w:jc w:val="center"/>
              <w:rPr>
                <w:kern w:val="0"/>
                <w:szCs w:val="21"/>
              </w:rPr>
            </w:pPr>
            <w:r>
              <w:rPr>
                <w:rFonts w:hint="eastAsia"/>
                <w:kern w:val="0"/>
                <w:szCs w:val="21"/>
              </w:rPr>
              <w:t>0</w:t>
            </w:r>
          </w:p>
        </w:tc>
        <w:tc>
          <w:tcPr>
            <w:tcW w:w="1641" w:type="dxa"/>
            <w:noWrap/>
            <w:vAlign w:val="center"/>
          </w:tcPr>
          <w:p>
            <w:pPr>
              <w:widowControl/>
              <w:spacing w:line="360" w:lineRule="exact"/>
              <w:jc w:val="center"/>
              <w:rPr>
                <w:kern w:val="0"/>
                <w:szCs w:val="21"/>
              </w:rPr>
            </w:pPr>
            <w:r>
              <w:rPr>
                <w:rFonts w:hint="eastAsia"/>
                <w:kern w:val="0"/>
                <w:szCs w:val="21"/>
              </w:rPr>
              <w:t>0</w:t>
            </w:r>
          </w:p>
        </w:tc>
        <w:tc>
          <w:tcPr>
            <w:tcW w:w="1860" w:type="dxa"/>
            <w:gridSpan w:val="2"/>
            <w:noWrap/>
            <w:vAlign w:val="center"/>
          </w:tcPr>
          <w:p>
            <w:pPr>
              <w:widowControl/>
              <w:spacing w:line="36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360" w:lineRule="exact"/>
              <w:jc w:val="center"/>
              <w:rPr>
                <w:kern w:val="0"/>
                <w:szCs w:val="21"/>
              </w:rPr>
            </w:pPr>
            <w:r>
              <w:rPr>
                <w:rFonts w:hint="eastAsia"/>
                <w:kern w:val="0"/>
                <w:szCs w:val="21"/>
              </w:rPr>
              <w:t>结转结余率</w:t>
            </w:r>
            <w:r>
              <w:rPr>
                <w:kern w:val="0"/>
                <w:szCs w:val="21"/>
              </w:rPr>
              <w:t>%</w:t>
            </w:r>
          </w:p>
        </w:tc>
        <w:tc>
          <w:tcPr>
            <w:tcW w:w="1550" w:type="dxa"/>
            <w:noWrap/>
            <w:vAlign w:val="center"/>
          </w:tcPr>
          <w:p>
            <w:pPr>
              <w:widowControl/>
              <w:spacing w:line="360" w:lineRule="exact"/>
              <w:jc w:val="center"/>
              <w:rPr>
                <w:kern w:val="0"/>
                <w:szCs w:val="21"/>
              </w:rPr>
            </w:pPr>
            <w:r>
              <w:rPr>
                <w:rFonts w:hint="eastAsia"/>
                <w:kern w:val="0"/>
                <w:szCs w:val="21"/>
              </w:rPr>
              <w:t>0</w:t>
            </w:r>
          </w:p>
        </w:tc>
        <w:tc>
          <w:tcPr>
            <w:tcW w:w="1241" w:type="dxa"/>
            <w:gridSpan w:val="2"/>
            <w:noWrap/>
            <w:vAlign w:val="center"/>
          </w:tcPr>
          <w:p>
            <w:pPr>
              <w:widowControl/>
              <w:spacing w:line="360" w:lineRule="exact"/>
              <w:jc w:val="center"/>
              <w:rPr>
                <w:kern w:val="0"/>
                <w:szCs w:val="21"/>
              </w:rPr>
            </w:pPr>
            <w:r>
              <w:rPr>
                <w:rFonts w:hint="eastAsia"/>
                <w:kern w:val="0"/>
                <w:szCs w:val="21"/>
              </w:rPr>
              <w:t>0</w:t>
            </w:r>
          </w:p>
        </w:tc>
        <w:tc>
          <w:tcPr>
            <w:tcW w:w="1929" w:type="dxa"/>
            <w:noWrap/>
            <w:vAlign w:val="center"/>
          </w:tcPr>
          <w:p>
            <w:pPr>
              <w:widowControl/>
              <w:spacing w:line="360" w:lineRule="exact"/>
              <w:jc w:val="center"/>
              <w:rPr>
                <w:kern w:val="0"/>
                <w:szCs w:val="21"/>
              </w:rPr>
            </w:pPr>
            <w:r>
              <w:rPr>
                <w:rFonts w:hint="eastAsia"/>
                <w:kern w:val="0"/>
                <w:szCs w:val="21"/>
              </w:rPr>
              <w:t>0</w:t>
            </w:r>
          </w:p>
        </w:tc>
        <w:tc>
          <w:tcPr>
            <w:tcW w:w="1641" w:type="dxa"/>
            <w:noWrap/>
            <w:vAlign w:val="center"/>
          </w:tcPr>
          <w:p>
            <w:pPr>
              <w:widowControl/>
              <w:spacing w:line="360" w:lineRule="exact"/>
              <w:jc w:val="center"/>
              <w:rPr>
                <w:kern w:val="0"/>
                <w:szCs w:val="21"/>
              </w:rPr>
            </w:pPr>
            <w:r>
              <w:rPr>
                <w:rFonts w:hint="eastAsia"/>
                <w:kern w:val="0"/>
                <w:szCs w:val="21"/>
              </w:rPr>
              <w:t>0</w:t>
            </w:r>
          </w:p>
        </w:tc>
        <w:tc>
          <w:tcPr>
            <w:tcW w:w="1860" w:type="dxa"/>
            <w:gridSpan w:val="2"/>
            <w:noWrap/>
            <w:vAlign w:val="center"/>
          </w:tcPr>
          <w:p>
            <w:pPr>
              <w:widowControl/>
              <w:spacing w:line="36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647" w:type="dxa"/>
            <w:vMerge w:val="continue"/>
            <w:vAlign w:val="center"/>
          </w:tcPr>
          <w:p>
            <w:pPr>
              <w:widowControl/>
              <w:spacing w:line="360" w:lineRule="exact"/>
              <w:jc w:val="left"/>
              <w:rPr>
                <w:rFonts w:eastAsia="黑体"/>
                <w:kern w:val="0"/>
                <w:szCs w:val="21"/>
              </w:rPr>
            </w:pPr>
          </w:p>
        </w:tc>
        <w:tc>
          <w:tcPr>
            <w:tcW w:w="896" w:type="dxa"/>
            <w:gridSpan w:val="2"/>
            <w:noWrap/>
            <w:vAlign w:val="center"/>
          </w:tcPr>
          <w:p>
            <w:pPr>
              <w:widowControl/>
              <w:spacing w:line="360" w:lineRule="exact"/>
              <w:jc w:val="center"/>
              <w:rPr>
                <w:kern w:val="0"/>
                <w:szCs w:val="21"/>
              </w:rPr>
            </w:pPr>
            <w:r>
              <w:rPr>
                <w:rFonts w:hint="eastAsia"/>
                <w:kern w:val="0"/>
                <w:szCs w:val="21"/>
              </w:rPr>
              <w:t>结转结余变动率</w:t>
            </w:r>
            <w:r>
              <w:rPr>
                <w:kern w:val="0"/>
                <w:szCs w:val="21"/>
              </w:rPr>
              <w:t>%</w:t>
            </w:r>
          </w:p>
        </w:tc>
        <w:tc>
          <w:tcPr>
            <w:tcW w:w="1550" w:type="dxa"/>
            <w:noWrap/>
            <w:vAlign w:val="center"/>
          </w:tcPr>
          <w:p>
            <w:pPr>
              <w:widowControl/>
              <w:spacing w:line="360" w:lineRule="exact"/>
              <w:jc w:val="center"/>
              <w:rPr>
                <w:kern w:val="0"/>
                <w:szCs w:val="21"/>
              </w:rPr>
            </w:pPr>
            <w:r>
              <w:rPr>
                <w:rFonts w:hint="eastAsia"/>
                <w:kern w:val="0"/>
                <w:szCs w:val="21"/>
              </w:rPr>
              <w:t>0</w:t>
            </w:r>
          </w:p>
        </w:tc>
        <w:tc>
          <w:tcPr>
            <w:tcW w:w="1241" w:type="dxa"/>
            <w:gridSpan w:val="2"/>
            <w:noWrap/>
            <w:vAlign w:val="center"/>
          </w:tcPr>
          <w:p>
            <w:pPr>
              <w:widowControl/>
              <w:spacing w:line="360" w:lineRule="exact"/>
              <w:jc w:val="center"/>
              <w:rPr>
                <w:kern w:val="0"/>
                <w:szCs w:val="21"/>
              </w:rPr>
            </w:pPr>
            <w:r>
              <w:rPr>
                <w:rFonts w:hint="eastAsia"/>
                <w:kern w:val="0"/>
                <w:szCs w:val="21"/>
              </w:rPr>
              <w:t>0</w:t>
            </w:r>
          </w:p>
        </w:tc>
        <w:tc>
          <w:tcPr>
            <w:tcW w:w="1929" w:type="dxa"/>
            <w:noWrap/>
            <w:vAlign w:val="center"/>
          </w:tcPr>
          <w:p>
            <w:pPr>
              <w:widowControl/>
              <w:spacing w:line="360" w:lineRule="exact"/>
              <w:jc w:val="center"/>
              <w:rPr>
                <w:kern w:val="0"/>
                <w:szCs w:val="21"/>
              </w:rPr>
            </w:pPr>
            <w:r>
              <w:rPr>
                <w:rFonts w:hint="eastAsia"/>
                <w:kern w:val="0"/>
                <w:szCs w:val="21"/>
              </w:rPr>
              <w:t>0</w:t>
            </w:r>
          </w:p>
        </w:tc>
        <w:tc>
          <w:tcPr>
            <w:tcW w:w="1641" w:type="dxa"/>
            <w:noWrap/>
            <w:vAlign w:val="center"/>
          </w:tcPr>
          <w:p>
            <w:pPr>
              <w:widowControl/>
              <w:spacing w:line="360" w:lineRule="exact"/>
              <w:jc w:val="center"/>
              <w:rPr>
                <w:kern w:val="0"/>
                <w:szCs w:val="21"/>
              </w:rPr>
            </w:pPr>
            <w:r>
              <w:rPr>
                <w:rFonts w:hint="eastAsia"/>
                <w:kern w:val="0"/>
                <w:szCs w:val="21"/>
              </w:rPr>
              <w:t>0</w:t>
            </w:r>
          </w:p>
        </w:tc>
        <w:tc>
          <w:tcPr>
            <w:tcW w:w="1860" w:type="dxa"/>
            <w:gridSpan w:val="2"/>
            <w:noWrap/>
            <w:vAlign w:val="center"/>
          </w:tcPr>
          <w:p>
            <w:pPr>
              <w:widowControl/>
              <w:spacing w:line="360" w:lineRule="exact"/>
              <w:jc w:val="center"/>
              <w:rPr>
                <w:kern w:val="0"/>
                <w:szCs w:val="21"/>
              </w:rPr>
            </w:pPr>
            <w:r>
              <w:rPr>
                <w:rFonts w:hint="eastAsia"/>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15" w:hRule="atLeast"/>
          <w:jc w:val="center"/>
        </w:trPr>
        <w:tc>
          <w:tcPr>
            <w:tcW w:w="647" w:type="dxa"/>
            <w:vMerge w:val="restart"/>
            <w:noWrap/>
            <w:vAlign w:val="center"/>
          </w:tcPr>
          <w:p>
            <w:pPr>
              <w:widowControl/>
              <w:spacing w:line="360" w:lineRule="exact"/>
              <w:jc w:val="center"/>
              <w:rPr>
                <w:rFonts w:eastAsia="黑体"/>
                <w:kern w:val="0"/>
                <w:szCs w:val="21"/>
              </w:rPr>
            </w:pPr>
            <w:r>
              <w:rPr>
                <w:rFonts w:hint="eastAsia" w:eastAsia="黑体"/>
                <w:kern w:val="0"/>
                <w:szCs w:val="21"/>
              </w:rPr>
              <w:t>年度总体目标</w:t>
            </w:r>
          </w:p>
        </w:tc>
        <w:tc>
          <w:tcPr>
            <w:tcW w:w="2446" w:type="dxa"/>
            <w:gridSpan w:val="3"/>
            <w:noWrap/>
            <w:vAlign w:val="center"/>
          </w:tcPr>
          <w:p>
            <w:pPr>
              <w:widowControl/>
              <w:spacing w:line="360" w:lineRule="exact"/>
              <w:jc w:val="center"/>
              <w:rPr>
                <w:kern w:val="0"/>
                <w:szCs w:val="21"/>
              </w:rPr>
            </w:pPr>
            <w:r>
              <w:rPr>
                <w:rFonts w:hint="eastAsia"/>
                <w:kern w:val="0"/>
                <w:szCs w:val="21"/>
              </w:rPr>
              <w:t>预算总体目标</w:t>
            </w:r>
          </w:p>
        </w:tc>
        <w:tc>
          <w:tcPr>
            <w:tcW w:w="3170" w:type="dxa"/>
            <w:gridSpan w:val="3"/>
            <w:noWrap/>
            <w:vAlign w:val="center"/>
          </w:tcPr>
          <w:p>
            <w:pPr>
              <w:widowControl/>
              <w:spacing w:line="360" w:lineRule="exact"/>
              <w:jc w:val="center"/>
              <w:rPr>
                <w:kern w:val="0"/>
                <w:szCs w:val="21"/>
              </w:rPr>
            </w:pPr>
            <w:r>
              <w:rPr>
                <w:rFonts w:hint="eastAsia"/>
                <w:kern w:val="0"/>
                <w:szCs w:val="21"/>
              </w:rPr>
              <w:t>预算总体目标执行结果</w:t>
            </w:r>
          </w:p>
        </w:tc>
        <w:tc>
          <w:tcPr>
            <w:tcW w:w="3501" w:type="dxa"/>
            <w:gridSpan w:val="3"/>
            <w:noWrap/>
            <w:vAlign w:val="center"/>
          </w:tcPr>
          <w:p>
            <w:pPr>
              <w:widowControl/>
              <w:spacing w:line="360" w:lineRule="exact"/>
              <w:jc w:val="center"/>
              <w:rPr>
                <w:kern w:val="0"/>
                <w:szCs w:val="21"/>
              </w:rPr>
            </w:pPr>
            <w:r>
              <w:rPr>
                <w:rFonts w:hint="eastAsia"/>
                <w:kern w:val="0"/>
                <w:szCs w:val="21"/>
              </w:rPr>
              <w:t>预算总体目标与预算总体目标</w:t>
            </w:r>
          </w:p>
          <w:p>
            <w:pPr>
              <w:widowControl/>
              <w:spacing w:line="360" w:lineRule="exact"/>
              <w:jc w:val="center"/>
              <w:rPr>
                <w:kern w:val="0"/>
                <w:szCs w:val="21"/>
              </w:rPr>
            </w:pPr>
            <w:r>
              <w:rPr>
                <w:rFonts w:hint="eastAsia"/>
                <w:kern w:val="0"/>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10" w:hRule="atLeast"/>
          <w:jc w:val="center"/>
        </w:trPr>
        <w:tc>
          <w:tcPr>
            <w:tcW w:w="647" w:type="dxa"/>
            <w:vMerge w:val="continue"/>
            <w:vAlign w:val="center"/>
          </w:tcPr>
          <w:p>
            <w:pPr>
              <w:widowControl/>
              <w:spacing w:line="360" w:lineRule="exact"/>
              <w:jc w:val="left"/>
              <w:rPr>
                <w:rFonts w:eastAsia="黑体"/>
                <w:kern w:val="0"/>
                <w:szCs w:val="21"/>
              </w:rPr>
            </w:pPr>
          </w:p>
        </w:tc>
        <w:tc>
          <w:tcPr>
            <w:tcW w:w="2446" w:type="dxa"/>
            <w:gridSpan w:val="3"/>
            <w:noWrap/>
            <w:vAlign w:val="center"/>
          </w:tcPr>
          <w:p>
            <w:pPr>
              <w:widowControl/>
              <w:spacing w:line="400" w:lineRule="exact"/>
              <w:ind w:left="288" w:leftChars="36" w:hanging="212" w:hangingChars="101"/>
              <w:jc w:val="left"/>
              <w:rPr>
                <w:kern w:val="0"/>
                <w:szCs w:val="21"/>
              </w:rPr>
            </w:pPr>
            <w:r>
              <w:rPr>
                <w:rFonts w:hint="eastAsia"/>
                <w:kern w:val="0"/>
                <w:szCs w:val="21"/>
              </w:rPr>
              <w:t>目标</w:t>
            </w:r>
            <w:r>
              <w:rPr>
                <w:kern w:val="0"/>
                <w:szCs w:val="21"/>
              </w:rPr>
              <w:t>1</w:t>
            </w:r>
            <w:r>
              <w:rPr>
                <w:rFonts w:hint="eastAsia"/>
                <w:kern w:val="0"/>
                <w:szCs w:val="21"/>
              </w:rPr>
              <w:t>保证政务中心工作</w:t>
            </w:r>
            <w:r>
              <w:rPr>
                <w:rFonts w:hint="eastAsia"/>
                <w:kern w:val="0"/>
                <w:szCs w:val="21"/>
                <w:lang w:val="en-US" w:eastAsia="zh-CN"/>
              </w:rPr>
              <w:t>正</w:t>
            </w:r>
            <w:r>
              <w:rPr>
                <w:rFonts w:hint="eastAsia"/>
                <w:kern w:val="0"/>
                <w:szCs w:val="21"/>
              </w:rPr>
              <w:t>常运转</w:t>
            </w:r>
          </w:p>
        </w:tc>
        <w:tc>
          <w:tcPr>
            <w:tcW w:w="3170" w:type="dxa"/>
            <w:gridSpan w:val="3"/>
            <w:noWrap/>
            <w:vAlign w:val="center"/>
          </w:tcPr>
          <w:p>
            <w:pPr>
              <w:widowControl/>
              <w:spacing w:line="400" w:lineRule="exact"/>
              <w:jc w:val="center"/>
              <w:rPr>
                <w:kern w:val="0"/>
                <w:szCs w:val="21"/>
              </w:rPr>
            </w:pPr>
            <w:r>
              <w:rPr>
                <w:rFonts w:hint="eastAsia"/>
                <w:kern w:val="0"/>
                <w:szCs w:val="21"/>
              </w:rPr>
              <w:t>保证政务中心工作正常运转</w:t>
            </w:r>
          </w:p>
        </w:tc>
        <w:tc>
          <w:tcPr>
            <w:tcW w:w="3501" w:type="dxa"/>
            <w:gridSpan w:val="3"/>
            <w:noWrap/>
            <w:vAlign w:val="center"/>
          </w:tcPr>
          <w:p>
            <w:pPr>
              <w:widowControl/>
              <w:spacing w:line="400" w:lineRule="exact"/>
              <w:jc w:val="center"/>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60" w:lineRule="exact"/>
              <w:jc w:val="left"/>
              <w:rPr>
                <w:rFonts w:eastAsia="黑体"/>
                <w:kern w:val="0"/>
                <w:szCs w:val="21"/>
              </w:rPr>
            </w:pPr>
          </w:p>
        </w:tc>
        <w:tc>
          <w:tcPr>
            <w:tcW w:w="2446" w:type="dxa"/>
            <w:gridSpan w:val="3"/>
            <w:noWrap/>
            <w:vAlign w:val="center"/>
          </w:tcPr>
          <w:p>
            <w:pPr>
              <w:widowControl/>
              <w:spacing w:line="400" w:lineRule="exact"/>
              <w:jc w:val="left"/>
              <w:rPr>
                <w:rFonts w:hint="eastAsia"/>
                <w:kern w:val="0"/>
                <w:szCs w:val="21"/>
              </w:rPr>
            </w:pPr>
          </w:p>
          <w:p>
            <w:pPr>
              <w:widowControl/>
              <w:spacing w:line="400" w:lineRule="exact"/>
              <w:jc w:val="left"/>
              <w:rPr>
                <w:kern w:val="0"/>
                <w:szCs w:val="21"/>
              </w:rPr>
            </w:pPr>
            <w:r>
              <w:rPr>
                <w:rFonts w:hint="eastAsia"/>
                <w:kern w:val="0"/>
                <w:szCs w:val="21"/>
              </w:rPr>
              <w:t>目标</w:t>
            </w:r>
            <w:r>
              <w:rPr>
                <w:kern w:val="0"/>
                <w:szCs w:val="21"/>
              </w:rPr>
              <w:t>2</w:t>
            </w:r>
            <w:r>
              <w:rPr>
                <w:rFonts w:hint="eastAsia"/>
                <w:kern w:val="0"/>
                <w:szCs w:val="21"/>
              </w:rPr>
              <w:t>提高业务办理水平，为群众服务，让群众满意</w:t>
            </w:r>
          </w:p>
        </w:tc>
        <w:tc>
          <w:tcPr>
            <w:tcW w:w="3170" w:type="dxa"/>
            <w:gridSpan w:val="3"/>
            <w:noWrap/>
            <w:vAlign w:val="center"/>
          </w:tcPr>
          <w:p>
            <w:pPr>
              <w:widowControl/>
              <w:spacing w:line="400" w:lineRule="exact"/>
              <w:jc w:val="left"/>
              <w:rPr>
                <w:rFonts w:hint="eastAsia"/>
                <w:kern w:val="0"/>
                <w:szCs w:val="21"/>
              </w:rPr>
            </w:pPr>
          </w:p>
          <w:p>
            <w:pPr>
              <w:widowControl/>
              <w:spacing w:line="400" w:lineRule="exact"/>
              <w:jc w:val="left"/>
              <w:rPr>
                <w:kern w:val="0"/>
                <w:szCs w:val="21"/>
              </w:rPr>
            </w:pPr>
            <w:r>
              <w:rPr>
                <w:rFonts w:hint="eastAsia"/>
                <w:kern w:val="0"/>
                <w:szCs w:val="21"/>
              </w:rPr>
              <w:t>提高业务办理水平，为群众服务，让群众满意</w:t>
            </w:r>
          </w:p>
        </w:tc>
        <w:tc>
          <w:tcPr>
            <w:tcW w:w="3501" w:type="dxa"/>
            <w:gridSpan w:val="3"/>
            <w:noWrap/>
            <w:vAlign w:val="center"/>
          </w:tcPr>
          <w:p>
            <w:pPr>
              <w:widowControl/>
              <w:spacing w:line="400" w:lineRule="exact"/>
              <w:jc w:val="center"/>
              <w:rPr>
                <w:rFonts w:hint="eastAsia"/>
                <w:kern w:val="0"/>
                <w:szCs w:val="21"/>
              </w:rPr>
            </w:pPr>
          </w:p>
          <w:p>
            <w:pPr>
              <w:widowControl/>
              <w:spacing w:line="400" w:lineRule="exact"/>
              <w:jc w:val="center"/>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60" w:lineRule="exact"/>
              <w:jc w:val="left"/>
              <w:rPr>
                <w:rFonts w:eastAsia="黑体"/>
                <w:kern w:val="0"/>
                <w:szCs w:val="21"/>
              </w:rPr>
            </w:pPr>
          </w:p>
        </w:tc>
        <w:tc>
          <w:tcPr>
            <w:tcW w:w="2446" w:type="dxa"/>
            <w:gridSpan w:val="3"/>
            <w:noWrap/>
            <w:vAlign w:val="center"/>
          </w:tcPr>
          <w:p>
            <w:pPr>
              <w:widowControl/>
              <w:spacing w:line="400" w:lineRule="exact"/>
              <w:jc w:val="left"/>
              <w:rPr>
                <w:kern w:val="0"/>
                <w:szCs w:val="21"/>
              </w:rPr>
            </w:pPr>
            <w:r>
              <w:rPr>
                <w:rFonts w:hint="eastAsia"/>
                <w:kern w:val="0"/>
                <w:szCs w:val="21"/>
              </w:rPr>
              <w:t>目标</w:t>
            </w:r>
            <w:r>
              <w:rPr>
                <w:kern w:val="0"/>
                <w:szCs w:val="21"/>
              </w:rPr>
              <w:t>3</w:t>
            </w:r>
            <w:r>
              <w:rPr>
                <w:rFonts w:hint="eastAsia"/>
                <w:kern w:val="0"/>
                <w:szCs w:val="21"/>
              </w:rPr>
              <w:t>大力推行审批服务便民化。着力提升服务水平、服务能力。</w:t>
            </w:r>
          </w:p>
        </w:tc>
        <w:tc>
          <w:tcPr>
            <w:tcW w:w="3170" w:type="dxa"/>
            <w:gridSpan w:val="3"/>
            <w:noWrap/>
            <w:vAlign w:val="center"/>
          </w:tcPr>
          <w:p>
            <w:pPr>
              <w:widowControl/>
              <w:spacing w:line="400" w:lineRule="exact"/>
              <w:jc w:val="center"/>
              <w:rPr>
                <w:kern w:val="0"/>
                <w:szCs w:val="21"/>
              </w:rPr>
            </w:pPr>
            <w:r>
              <w:rPr>
                <w:rFonts w:hint="eastAsia"/>
                <w:kern w:val="0"/>
                <w:szCs w:val="21"/>
              </w:rPr>
              <w:t>大力推行审批服务便民化。着力提升服务水平、服务能力。</w:t>
            </w:r>
          </w:p>
        </w:tc>
        <w:tc>
          <w:tcPr>
            <w:tcW w:w="3501" w:type="dxa"/>
            <w:gridSpan w:val="3"/>
            <w:noWrap/>
            <w:vAlign w:val="center"/>
          </w:tcPr>
          <w:p>
            <w:pPr>
              <w:widowControl/>
              <w:spacing w:line="400" w:lineRule="exact"/>
              <w:jc w:val="center"/>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5" w:hRule="atLeast"/>
          <w:jc w:val="center"/>
        </w:trPr>
        <w:tc>
          <w:tcPr>
            <w:tcW w:w="647" w:type="dxa"/>
            <w:vMerge w:val="restart"/>
            <w:noWrap/>
            <w:vAlign w:val="center"/>
          </w:tcPr>
          <w:p>
            <w:pPr>
              <w:widowControl/>
              <w:spacing w:line="320" w:lineRule="exact"/>
              <w:jc w:val="center"/>
              <w:rPr>
                <w:rFonts w:eastAsia="黑体"/>
                <w:kern w:val="0"/>
                <w:szCs w:val="21"/>
              </w:rPr>
            </w:pPr>
            <w:r>
              <w:rPr>
                <w:rFonts w:hint="eastAsia" w:eastAsia="黑体"/>
                <w:kern w:val="0"/>
                <w:szCs w:val="21"/>
              </w:rPr>
              <w:t>年度绩效指标</w:t>
            </w:r>
          </w:p>
        </w:tc>
        <w:tc>
          <w:tcPr>
            <w:tcW w:w="809" w:type="dxa"/>
            <w:noWrap/>
            <w:vAlign w:val="center"/>
          </w:tcPr>
          <w:p>
            <w:pPr>
              <w:widowControl/>
              <w:spacing w:line="320" w:lineRule="exact"/>
              <w:jc w:val="center"/>
              <w:rPr>
                <w:kern w:val="0"/>
                <w:szCs w:val="21"/>
              </w:rPr>
            </w:pPr>
            <w:r>
              <w:rPr>
                <w:rFonts w:hint="eastAsia"/>
                <w:kern w:val="0"/>
                <w:szCs w:val="21"/>
              </w:rPr>
              <w:t>一级指标</w:t>
            </w:r>
          </w:p>
        </w:tc>
        <w:tc>
          <w:tcPr>
            <w:tcW w:w="1637" w:type="dxa"/>
            <w:gridSpan w:val="2"/>
            <w:noWrap/>
            <w:vAlign w:val="center"/>
          </w:tcPr>
          <w:p>
            <w:pPr>
              <w:widowControl/>
              <w:spacing w:line="320" w:lineRule="exact"/>
              <w:jc w:val="center"/>
              <w:rPr>
                <w:kern w:val="0"/>
                <w:szCs w:val="21"/>
              </w:rPr>
            </w:pPr>
            <w:r>
              <w:rPr>
                <w:rFonts w:hint="eastAsia"/>
                <w:kern w:val="0"/>
                <w:szCs w:val="21"/>
              </w:rPr>
              <w:t>二级指标</w:t>
            </w:r>
          </w:p>
        </w:tc>
        <w:tc>
          <w:tcPr>
            <w:tcW w:w="705" w:type="dxa"/>
            <w:noWrap/>
            <w:vAlign w:val="center"/>
          </w:tcPr>
          <w:p>
            <w:pPr>
              <w:widowControl/>
              <w:spacing w:line="320" w:lineRule="exact"/>
              <w:jc w:val="center"/>
              <w:rPr>
                <w:kern w:val="0"/>
                <w:szCs w:val="21"/>
              </w:rPr>
            </w:pPr>
            <w:r>
              <w:rPr>
                <w:rFonts w:hint="eastAsia"/>
                <w:kern w:val="0"/>
                <w:szCs w:val="21"/>
              </w:rPr>
              <w:t>三级指标</w:t>
            </w:r>
          </w:p>
        </w:tc>
        <w:tc>
          <w:tcPr>
            <w:tcW w:w="2465" w:type="dxa"/>
            <w:gridSpan w:val="2"/>
            <w:noWrap/>
            <w:vAlign w:val="center"/>
          </w:tcPr>
          <w:p>
            <w:pPr>
              <w:widowControl/>
              <w:spacing w:line="320" w:lineRule="exact"/>
              <w:jc w:val="center"/>
              <w:rPr>
                <w:kern w:val="0"/>
                <w:szCs w:val="21"/>
              </w:rPr>
            </w:pPr>
            <w:r>
              <w:rPr>
                <w:rFonts w:hint="eastAsia"/>
                <w:kern w:val="0"/>
                <w:szCs w:val="21"/>
              </w:rPr>
              <w:t>预算指标值</w:t>
            </w:r>
            <w:r>
              <w:rPr>
                <w:kern w:val="0"/>
                <w:szCs w:val="21"/>
              </w:rPr>
              <w:t>(</w:t>
            </w:r>
            <w:r>
              <w:rPr>
                <w:rFonts w:hint="eastAsia"/>
                <w:kern w:val="0"/>
                <w:szCs w:val="21"/>
              </w:rPr>
              <w:t>包含数字及文字描述</w:t>
            </w:r>
            <w:r>
              <w:rPr>
                <w:kern w:val="0"/>
                <w:szCs w:val="21"/>
              </w:rPr>
              <w:t>)</w:t>
            </w:r>
          </w:p>
        </w:tc>
        <w:tc>
          <w:tcPr>
            <w:tcW w:w="1795" w:type="dxa"/>
            <w:gridSpan w:val="2"/>
            <w:noWrap/>
            <w:vAlign w:val="center"/>
          </w:tcPr>
          <w:p>
            <w:pPr>
              <w:widowControl/>
              <w:spacing w:line="320" w:lineRule="exact"/>
              <w:jc w:val="center"/>
              <w:rPr>
                <w:kern w:val="0"/>
                <w:szCs w:val="21"/>
              </w:rPr>
            </w:pPr>
            <w:r>
              <w:rPr>
                <w:rFonts w:hint="eastAsia"/>
                <w:kern w:val="0"/>
                <w:szCs w:val="21"/>
              </w:rPr>
              <w:t>预算指标值执行结果（包含数字及文字描述）</w:t>
            </w:r>
          </w:p>
        </w:tc>
        <w:tc>
          <w:tcPr>
            <w:tcW w:w="1706" w:type="dxa"/>
            <w:noWrap/>
            <w:vAlign w:val="center"/>
          </w:tcPr>
          <w:p>
            <w:pPr>
              <w:widowControl/>
              <w:spacing w:line="320" w:lineRule="exact"/>
              <w:jc w:val="center"/>
              <w:rPr>
                <w:kern w:val="0"/>
                <w:szCs w:val="21"/>
              </w:rPr>
            </w:pPr>
            <w:r>
              <w:rPr>
                <w:rFonts w:hint="eastAsia"/>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0" w:hRule="atLeast"/>
          <w:jc w:val="center"/>
        </w:trPr>
        <w:tc>
          <w:tcPr>
            <w:tcW w:w="647" w:type="dxa"/>
            <w:vMerge w:val="continue"/>
            <w:vAlign w:val="center"/>
          </w:tcPr>
          <w:p>
            <w:pPr>
              <w:widowControl/>
              <w:spacing w:line="320" w:lineRule="exact"/>
              <w:jc w:val="left"/>
              <w:rPr>
                <w:kern w:val="0"/>
                <w:szCs w:val="21"/>
              </w:rPr>
            </w:pPr>
          </w:p>
        </w:tc>
        <w:tc>
          <w:tcPr>
            <w:tcW w:w="809" w:type="dxa"/>
            <w:vMerge w:val="restart"/>
            <w:noWrap/>
            <w:vAlign w:val="center"/>
          </w:tcPr>
          <w:p>
            <w:pPr>
              <w:widowControl/>
              <w:spacing w:line="320" w:lineRule="exact"/>
              <w:jc w:val="center"/>
              <w:rPr>
                <w:kern w:val="0"/>
                <w:szCs w:val="21"/>
              </w:rPr>
            </w:pPr>
            <w:r>
              <w:rPr>
                <w:rFonts w:hint="eastAsia"/>
                <w:kern w:val="0"/>
                <w:szCs w:val="21"/>
              </w:rPr>
              <w:t>完成</w:t>
            </w:r>
          </w:p>
          <w:p>
            <w:pPr>
              <w:widowControl/>
              <w:spacing w:line="320" w:lineRule="exact"/>
              <w:jc w:val="center"/>
              <w:rPr>
                <w:kern w:val="0"/>
                <w:szCs w:val="21"/>
              </w:rPr>
            </w:pPr>
            <w:r>
              <w:rPr>
                <w:rFonts w:hint="eastAsia"/>
                <w:kern w:val="0"/>
                <w:szCs w:val="21"/>
              </w:rPr>
              <w:t>指标</w:t>
            </w:r>
          </w:p>
        </w:tc>
        <w:tc>
          <w:tcPr>
            <w:tcW w:w="1637" w:type="dxa"/>
            <w:gridSpan w:val="2"/>
            <w:vMerge w:val="restart"/>
            <w:noWrap/>
            <w:vAlign w:val="center"/>
          </w:tcPr>
          <w:p>
            <w:pPr>
              <w:widowControl/>
              <w:spacing w:line="320" w:lineRule="exact"/>
              <w:jc w:val="center"/>
              <w:rPr>
                <w:kern w:val="0"/>
                <w:szCs w:val="21"/>
              </w:rPr>
            </w:pPr>
            <w:r>
              <w:rPr>
                <w:rFonts w:hint="eastAsia"/>
                <w:kern w:val="0"/>
                <w:szCs w:val="21"/>
              </w:rPr>
              <w:t>数量</w:t>
            </w:r>
          </w:p>
          <w:p>
            <w:pPr>
              <w:widowControl/>
              <w:spacing w:line="320" w:lineRule="exact"/>
              <w:jc w:val="center"/>
              <w:rPr>
                <w:kern w:val="0"/>
                <w:szCs w:val="21"/>
              </w:rPr>
            </w:pPr>
            <w:r>
              <w:rPr>
                <w:rFonts w:hint="eastAsia"/>
                <w:kern w:val="0"/>
                <w:szCs w:val="21"/>
              </w:rPr>
              <w:t>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政务办事大厅各窗口共受理办结群众申办</w:t>
            </w:r>
            <w:r>
              <w:rPr>
                <w:rFonts w:hint="eastAsia"/>
                <w:kern w:val="0"/>
                <w:szCs w:val="21"/>
                <w:lang w:val="en-US" w:eastAsia="zh-CN"/>
              </w:rPr>
              <w:t>21万件</w:t>
            </w:r>
          </w:p>
        </w:tc>
        <w:tc>
          <w:tcPr>
            <w:tcW w:w="1795" w:type="dxa"/>
            <w:gridSpan w:val="2"/>
            <w:noWrap/>
            <w:vAlign w:val="center"/>
          </w:tcPr>
          <w:p>
            <w:pPr>
              <w:widowControl/>
              <w:spacing w:line="320" w:lineRule="exact"/>
              <w:jc w:val="left"/>
              <w:rPr>
                <w:kern w:val="0"/>
                <w:szCs w:val="21"/>
              </w:rPr>
            </w:pPr>
            <w:r>
              <w:rPr>
                <w:rFonts w:hint="eastAsia"/>
                <w:kern w:val="0"/>
                <w:szCs w:val="21"/>
              </w:rPr>
              <w:t>政务办事大厅各窗口共受理办结群众申办</w:t>
            </w:r>
            <w:r>
              <w:rPr>
                <w:rFonts w:hint="eastAsia"/>
                <w:kern w:val="0"/>
                <w:szCs w:val="21"/>
                <w:lang w:val="en-US" w:eastAsia="zh-CN"/>
              </w:rPr>
              <w:t>21万件</w:t>
            </w:r>
          </w:p>
        </w:tc>
        <w:tc>
          <w:tcPr>
            <w:tcW w:w="1706" w:type="dxa"/>
            <w:noWrap/>
            <w:vAlign w:val="center"/>
          </w:tcPr>
          <w:p>
            <w:pPr>
              <w:widowControl/>
              <w:spacing w:line="320" w:lineRule="exact"/>
              <w:ind w:firstLine="630" w:firstLineChars="30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1"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2:</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县投资建设项目服务办共受理</w:t>
            </w:r>
            <w:r>
              <w:rPr>
                <w:rFonts w:hint="eastAsia"/>
                <w:kern w:val="0"/>
                <w:szCs w:val="21"/>
                <w:lang w:val="en-US" w:eastAsia="zh-CN"/>
              </w:rPr>
              <w:t>4000件</w:t>
            </w:r>
          </w:p>
        </w:tc>
        <w:tc>
          <w:tcPr>
            <w:tcW w:w="1795" w:type="dxa"/>
            <w:gridSpan w:val="2"/>
            <w:noWrap/>
            <w:vAlign w:val="center"/>
          </w:tcPr>
          <w:p>
            <w:pPr>
              <w:widowControl/>
              <w:spacing w:line="320" w:lineRule="exact"/>
              <w:jc w:val="left"/>
              <w:rPr>
                <w:kern w:val="0"/>
                <w:szCs w:val="21"/>
              </w:rPr>
            </w:pPr>
            <w:r>
              <w:rPr>
                <w:rFonts w:hint="eastAsia"/>
                <w:kern w:val="0"/>
                <w:szCs w:val="21"/>
              </w:rPr>
              <w:t>县投资建设项目服务办共受理</w:t>
            </w:r>
            <w:r>
              <w:rPr>
                <w:rFonts w:hint="eastAsia"/>
                <w:kern w:val="0"/>
                <w:szCs w:val="21"/>
                <w:lang w:val="en-US" w:eastAsia="zh-CN"/>
              </w:rPr>
              <w:t>4000件</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1"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rFonts w:hint="eastAsia"/>
                <w:kern w:val="0"/>
                <w:szCs w:val="21"/>
              </w:rPr>
            </w:pPr>
            <w:r>
              <w:rPr>
                <w:rFonts w:hint="eastAsia"/>
                <w:kern w:val="0"/>
                <w:szCs w:val="21"/>
              </w:rPr>
              <w:t>指标</w:t>
            </w:r>
            <w:r>
              <w:rPr>
                <w:rFonts w:hint="eastAsia"/>
                <w:kern w:val="0"/>
                <w:szCs w:val="21"/>
                <w:lang w:val="en-US" w:eastAsia="zh-CN"/>
              </w:rPr>
              <w:t>3</w:t>
            </w:r>
            <w:r>
              <w:rPr>
                <w:kern w:val="0"/>
                <w:szCs w:val="21"/>
              </w:rPr>
              <w:t>:</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政务大厅窗口单位</w:t>
            </w:r>
            <w:r>
              <w:rPr>
                <w:rFonts w:hint="eastAsia"/>
                <w:kern w:val="0"/>
                <w:szCs w:val="21"/>
                <w:lang w:val="en-US" w:eastAsia="zh-CN"/>
              </w:rPr>
              <w:t>19个</w:t>
            </w:r>
          </w:p>
        </w:tc>
        <w:tc>
          <w:tcPr>
            <w:tcW w:w="1795" w:type="dxa"/>
            <w:gridSpan w:val="2"/>
            <w:noWrap/>
            <w:vAlign w:val="center"/>
          </w:tcPr>
          <w:p>
            <w:pPr>
              <w:widowControl/>
              <w:spacing w:line="320" w:lineRule="exact"/>
              <w:jc w:val="left"/>
              <w:rPr>
                <w:rFonts w:hint="eastAsia"/>
                <w:kern w:val="0"/>
                <w:szCs w:val="21"/>
              </w:rPr>
            </w:pPr>
            <w:r>
              <w:rPr>
                <w:rFonts w:hint="eastAsia"/>
                <w:kern w:val="0"/>
                <w:szCs w:val="21"/>
              </w:rPr>
              <w:t>政务大厅窗口单位</w:t>
            </w:r>
            <w:r>
              <w:rPr>
                <w:rFonts w:hint="eastAsia"/>
                <w:kern w:val="0"/>
                <w:szCs w:val="21"/>
                <w:lang w:val="en-US" w:eastAsia="zh-CN"/>
              </w:rPr>
              <w:t>19个</w:t>
            </w:r>
          </w:p>
        </w:tc>
        <w:tc>
          <w:tcPr>
            <w:tcW w:w="1706" w:type="dxa"/>
            <w:noWrap/>
            <w:vAlign w:val="center"/>
          </w:tcPr>
          <w:p>
            <w:pPr>
              <w:widowControl/>
              <w:spacing w:line="320" w:lineRule="exact"/>
              <w:ind w:firstLine="525" w:firstLineChars="250"/>
              <w:jc w:val="left"/>
              <w:rPr>
                <w:rFonts w:hint="eastAsia"/>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restart"/>
            <w:noWrap/>
            <w:vAlign w:val="center"/>
          </w:tcPr>
          <w:p>
            <w:pPr>
              <w:widowControl/>
              <w:spacing w:line="320" w:lineRule="exact"/>
              <w:jc w:val="center"/>
              <w:rPr>
                <w:kern w:val="0"/>
                <w:szCs w:val="21"/>
              </w:rPr>
            </w:pPr>
            <w:r>
              <w:rPr>
                <w:rFonts w:hint="eastAsia"/>
                <w:kern w:val="0"/>
                <w:szCs w:val="21"/>
              </w:rPr>
              <w:t>质量</w:t>
            </w:r>
          </w:p>
          <w:p>
            <w:pPr>
              <w:widowControl/>
              <w:spacing w:line="320" w:lineRule="exact"/>
              <w:jc w:val="center"/>
              <w:rPr>
                <w:kern w:val="0"/>
                <w:szCs w:val="21"/>
              </w:rPr>
            </w:pPr>
            <w:r>
              <w:rPr>
                <w:rFonts w:hint="eastAsia"/>
                <w:kern w:val="0"/>
                <w:szCs w:val="21"/>
              </w:rPr>
              <w:t>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提高业务办理水平，办事效率</w:t>
            </w:r>
            <w:r>
              <w:rPr>
                <w:rFonts w:hint="eastAsia"/>
                <w:kern w:val="0"/>
                <w:szCs w:val="21"/>
                <w:lang w:val="en-US" w:eastAsia="zh-CN"/>
              </w:rPr>
              <w:t>95%</w:t>
            </w:r>
          </w:p>
        </w:tc>
        <w:tc>
          <w:tcPr>
            <w:tcW w:w="1795" w:type="dxa"/>
            <w:gridSpan w:val="2"/>
            <w:noWrap/>
            <w:vAlign w:val="center"/>
          </w:tcPr>
          <w:p>
            <w:pPr>
              <w:widowControl/>
              <w:spacing w:line="320" w:lineRule="exact"/>
              <w:jc w:val="left"/>
              <w:rPr>
                <w:kern w:val="0"/>
                <w:szCs w:val="21"/>
              </w:rPr>
            </w:pPr>
            <w:r>
              <w:rPr>
                <w:rFonts w:hint="eastAsia"/>
                <w:kern w:val="0"/>
                <w:szCs w:val="21"/>
              </w:rPr>
              <w:t>提高业务办理水平，办事效率</w:t>
            </w:r>
            <w:r>
              <w:rPr>
                <w:rFonts w:hint="eastAsia"/>
                <w:kern w:val="0"/>
                <w:szCs w:val="21"/>
                <w:lang w:val="en-US" w:eastAsia="zh-CN"/>
              </w:rPr>
              <w:t>95%</w:t>
            </w:r>
          </w:p>
        </w:tc>
        <w:tc>
          <w:tcPr>
            <w:tcW w:w="1706" w:type="dxa"/>
            <w:noWrap/>
            <w:vAlign w:val="center"/>
          </w:tcPr>
          <w:p>
            <w:pPr>
              <w:widowControl/>
              <w:spacing w:line="320" w:lineRule="exact"/>
              <w:ind w:left="263" w:leftChars="125" w:firstLine="105" w:firstLineChars="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2:</w:t>
            </w:r>
          </w:p>
        </w:tc>
        <w:tc>
          <w:tcPr>
            <w:tcW w:w="2465" w:type="dxa"/>
            <w:gridSpan w:val="2"/>
            <w:noWrap/>
            <w:vAlign w:val="center"/>
          </w:tcPr>
          <w:p>
            <w:pPr>
              <w:widowControl/>
              <w:spacing w:line="360" w:lineRule="exact"/>
              <w:rPr>
                <w:rFonts w:hint="default" w:eastAsia="宋体"/>
                <w:kern w:val="0"/>
                <w:szCs w:val="21"/>
                <w:lang w:val="en-US" w:eastAsia="zh-CN"/>
              </w:rPr>
            </w:pPr>
            <w:r>
              <w:rPr>
                <w:rFonts w:hint="eastAsia"/>
                <w:kern w:val="0"/>
                <w:szCs w:val="21"/>
              </w:rPr>
              <w:t>为办事大力推行审批服务便民化，为群众提供高质量的服务，办结率</w:t>
            </w:r>
            <w:r>
              <w:rPr>
                <w:rFonts w:hint="eastAsia"/>
                <w:kern w:val="0"/>
                <w:szCs w:val="21"/>
                <w:lang w:val="en-US" w:eastAsia="zh-CN"/>
              </w:rPr>
              <w:t>100%</w:t>
            </w:r>
          </w:p>
        </w:tc>
        <w:tc>
          <w:tcPr>
            <w:tcW w:w="1795" w:type="dxa"/>
            <w:gridSpan w:val="2"/>
            <w:noWrap/>
            <w:vAlign w:val="center"/>
          </w:tcPr>
          <w:p>
            <w:pPr>
              <w:widowControl/>
              <w:spacing w:line="320" w:lineRule="exact"/>
              <w:jc w:val="left"/>
              <w:rPr>
                <w:kern w:val="0"/>
                <w:szCs w:val="21"/>
              </w:rPr>
            </w:pPr>
            <w:r>
              <w:rPr>
                <w:rFonts w:hint="eastAsia"/>
                <w:kern w:val="0"/>
                <w:szCs w:val="21"/>
              </w:rPr>
              <w:t>为办事大力推行审批服务便民化，为群众提供高质量的服务，办结率</w:t>
            </w:r>
            <w:r>
              <w:rPr>
                <w:rFonts w:hint="eastAsia"/>
                <w:kern w:val="0"/>
                <w:szCs w:val="21"/>
                <w:lang w:val="en-US" w:eastAsia="zh-CN"/>
              </w:rPr>
              <w:t>100%</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noWrap/>
            <w:vAlign w:val="center"/>
          </w:tcPr>
          <w:p>
            <w:pPr>
              <w:widowControl/>
              <w:spacing w:line="320" w:lineRule="exact"/>
              <w:jc w:val="center"/>
              <w:rPr>
                <w:kern w:val="0"/>
                <w:szCs w:val="21"/>
              </w:rPr>
            </w:pPr>
            <w:r>
              <w:rPr>
                <w:rFonts w:hint="eastAsia"/>
                <w:kern w:val="0"/>
                <w:szCs w:val="21"/>
              </w:rPr>
              <w:t>时效</w:t>
            </w:r>
          </w:p>
          <w:p>
            <w:pPr>
              <w:widowControl/>
              <w:spacing w:line="320" w:lineRule="exact"/>
              <w:jc w:val="center"/>
              <w:rPr>
                <w:kern w:val="0"/>
                <w:szCs w:val="21"/>
              </w:rPr>
            </w:pPr>
            <w:r>
              <w:rPr>
                <w:rFonts w:hint="eastAsia"/>
                <w:kern w:val="0"/>
                <w:szCs w:val="21"/>
              </w:rPr>
              <w:t>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简化办事流程，平均办理时限</w:t>
            </w:r>
            <w:r>
              <w:rPr>
                <w:rFonts w:hint="eastAsia"/>
                <w:kern w:val="0"/>
                <w:szCs w:val="21"/>
                <w:lang w:val="en-US" w:eastAsia="zh-CN"/>
              </w:rPr>
              <w:t>1.9个工作日</w:t>
            </w:r>
          </w:p>
        </w:tc>
        <w:tc>
          <w:tcPr>
            <w:tcW w:w="1795" w:type="dxa"/>
            <w:gridSpan w:val="2"/>
            <w:noWrap/>
            <w:vAlign w:val="center"/>
          </w:tcPr>
          <w:p>
            <w:pPr>
              <w:widowControl/>
              <w:spacing w:line="320" w:lineRule="exact"/>
              <w:jc w:val="left"/>
              <w:rPr>
                <w:kern w:val="0"/>
                <w:szCs w:val="21"/>
              </w:rPr>
            </w:pPr>
            <w:r>
              <w:rPr>
                <w:rFonts w:hint="eastAsia"/>
                <w:kern w:val="0"/>
                <w:szCs w:val="21"/>
              </w:rPr>
              <w:t>简化办事流程，平均办理时限</w:t>
            </w:r>
            <w:r>
              <w:rPr>
                <w:rFonts w:hint="eastAsia"/>
                <w:kern w:val="0"/>
                <w:szCs w:val="21"/>
                <w:lang w:val="en-US" w:eastAsia="zh-CN"/>
              </w:rPr>
              <w:t>1.9个工作日</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restart"/>
            <w:noWrap/>
            <w:vAlign w:val="center"/>
          </w:tcPr>
          <w:p>
            <w:pPr>
              <w:widowControl/>
              <w:spacing w:line="320" w:lineRule="exact"/>
              <w:jc w:val="center"/>
              <w:rPr>
                <w:kern w:val="0"/>
                <w:szCs w:val="21"/>
              </w:rPr>
            </w:pPr>
            <w:r>
              <w:rPr>
                <w:rFonts w:hint="eastAsia"/>
                <w:kern w:val="0"/>
                <w:szCs w:val="21"/>
              </w:rPr>
              <w:t>成本</w:t>
            </w:r>
          </w:p>
          <w:p>
            <w:pPr>
              <w:widowControl/>
              <w:spacing w:line="320" w:lineRule="exact"/>
              <w:jc w:val="center"/>
              <w:rPr>
                <w:kern w:val="0"/>
                <w:szCs w:val="21"/>
              </w:rPr>
            </w:pPr>
            <w:r>
              <w:rPr>
                <w:rFonts w:hint="eastAsia"/>
                <w:kern w:val="0"/>
                <w:szCs w:val="21"/>
              </w:rPr>
              <w:t>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电脑、空调、门窗、线路和设施维修维护费≤</w:t>
            </w:r>
            <w:r>
              <w:rPr>
                <w:rFonts w:hint="eastAsia"/>
                <w:kern w:val="0"/>
                <w:szCs w:val="21"/>
                <w:lang w:val="en-US" w:eastAsia="zh-CN"/>
              </w:rPr>
              <w:t>1万元</w:t>
            </w:r>
          </w:p>
        </w:tc>
        <w:tc>
          <w:tcPr>
            <w:tcW w:w="1795" w:type="dxa"/>
            <w:gridSpan w:val="2"/>
            <w:noWrap/>
            <w:vAlign w:val="center"/>
          </w:tcPr>
          <w:p>
            <w:pPr>
              <w:widowControl/>
              <w:spacing w:line="320" w:lineRule="exact"/>
              <w:jc w:val="left"/>
              <w:rPr>
                <w:kern w:val="0"/>
                <w:szCs w:val="21"/>
              </w:rPr>
            </w:pPr>
            <w:r>
              <w:rPr>
                <w:rFonts w:hint="eastAsia"/>
                <w:kern w:val="0"/>
                <w:szCs w:val="21"/>
              </w:rPr>
              <w:t>电脑、空调、门窗、线路和设施维修维护费≤</w:t>
            </w:r>
            <w:r>
              <w:rPr>
                <w:rFonts w:hint="eastAsia"/>
                <w:kern w:val="0"/>
                <w:szCs w:val="21"/>
                <w:lang w:val="en-US" w:eastAsia="zh-CN"/>
              </w:rPr>
              <w:t>1万元</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2:</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培训费≤</w:t>
            </w:r>
            <w:r>
              <w:rPr>
                <w:rFonts w:hint="eastAsia"/>
                <w:kern w:val="0"/>
                <w:szCs w:val="21"/>
                <w:lang w:val="en-US" w:eastAsia="zh-CN"/>
              </w:rPr>
              <w:t>0.5万元</w:t>
            </w:r>
          </w:p>
        </w:tc>
        <w:tc>
          <w:tcPr>
            <w:tcW w:w="1795" w:type="dxa"/>
            <w:gridSpan w:val="2"/>
            <w:noWrap/>
            <w:vAlign w:val="center"/>
          </w:tcPr>
          <w:p>
            <w:pPr>
              <w:widowControl/>
              <w:spacing w:line="320" w:lineRule="exact"/>
              <w:jc w:val="left"/>
              <w:rPr>
                <w:kern w:val="0"/>
                <w:szCs w:val="21"/>
              </w:rPr>
            </w:pPr>
            <w:r>
              <w:rPr>
                <w:rFonts w:hint="eastAsia"/>
                <w:kern w:val="0"/>
                <w:szCs w:val="21"/>
              </w:rPr>
              <w:t>培训费≤</w:t>
            </w:r>
            <w:r>
              <w:rPr>
                <w:rFonts w:hint="eastAsia"/>
                <w:kern w:val="0"/>
                <w:szCs w:val="21"/>
                <w:lang w:val="en-US" w:eastAsia="zh-CN"/>
              </w:rPr>
              <w:t>0.5万元</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rFonts w:hint="eastAsia"/>
                <w:kern w:val="0"/>
                <w:szCs w:val="21"/>
              </w:rPr>
            </w:pPr>
            <w:r>
              <w:rPr>
                <w:rFonts w:hint="eastAsia"/>
                <w:kern w:val="0"/>
                <w:szCs w:val="21"/>
              </w:rPr>
              <w:t>指标</w:t>
            </w:r>
            <w:r>
              <w:rPr>
                <w:rFonts w:hint="eastAsia"/>
                <w:kern w:val="0"/>
                <w:szCs w:val="21"/>
                <w:lang w:val="en-US" w:eastAsia="zh-CN"/>
              </w:rPr>
              <w:t>3</w:t>
            </w:r>
            <w:r>
              <w:rPr>
                <w:kern w:val="0"/>
                <w:szCs w:val="21"/>
              </w:rPr>
              <w:t>:</w:t>
            </w:r>
          </w:p>
        </w:tc>
        <w:tc>
          <w:tcPr>
            <w:tcW w:w="2465" w:type="dxa"/>
            <w:gridSpan w:val="2"/>
            <w:noWrap/>
            <w:vAlign w:val="center"/>
          </w:tcPr>
          <w:p>
            <w:pPr>
              <w:widowControl/>
              <w:spacing w:line="320" w:lineRule="exact"/>
              <w:jc w:val="left"/>
              <w:rPr>
                <w:rFonts w:hint="eastAsia"/>
                <w:kern w:val="0"/>
                <w:szCs w:val="21"/>
              </w:rPr>
            </w:pPr>
            <w:r>
              <w:rPr>
                <w:rFonts w:hint="eastAsia"/>
                <w:kern w:val="0"/>
                <w:szCs w:val="21"/>
              </w:rPr>
              <w:t>印刷费≤</w:t>
            </w:r>
            <w:r>
              <w:rPr>
                <w:rFonts w:hint="eastAsia"/>
                <w:kern w:val="0"/>
                <w:szCs w:val="21"/>
                <w:lang w:val="en-US" w:eastAsia="zh-CN"/>
              </w:rPr>
              <w:t>0.7万元</w:t>
            </w:r>
          </w:p>
        </w:tc>
        <w:tc>
          <w:tcPr>
            <w:tcW w:w="1795" w:type="dxa"/>
            <w:gridSpan w:val="2"/>
            <w:noWrap/>
            <w:vAlign w:val="center"/>
          </w:tcPr>
          <w:p>
            <w:pPr>
              <w:widowControl/>
              <w:spacing w:line="320" w:lineRule="exact"/>
              <w:jc w:val="left"/>
              <w:rPr>
                <w:rFonts w:hint="eastAsia"/>
                <w:kern w:val="0"/>
                <w:szCs w:val="21"/>
              </w:rPr>
            </w:pPr>
            <w:r>
              <w:rPr>
                <w:rFonts w:hint="eastAsia"/>
                <w:kern w:val="0"/>
                <w:szCs w:val="21"/>
              </w:rPr>
              <w:t>印刷费≤</w:t>
            </w:r>
            <w:r>
              <w:rPr>
                <w:rFonts w:hint="eastAsia"/>
                <w:kern w:val="0"/>
                <w:szCs w:val="21"/>
                <w:lang w:val="en-US" w:eastAsia="zh-CN"/>
              </w:rPr>
              <w:t>0.7万元</w:t>
            </w:r>
          </w:p>
        </w:tc>
        <w:tc>
          <w:tcPr>
            <w:tcW w:w="1706" w:type="dxa"/>
            <w:noWrap/>
            <w:vAlign w:val="center"/>
          </w:tcPr>
          <w:p>
            <w:pPr>
              <w:widowControl/>
              <w:spacing w:line="320" w:lineRule="exact"/>
              <w:ind w:firstLine="525" w:firstLineChars="250"/>
              <w:jc w:val="left"/>
              <w:rPr>
                <w:rFonts w:hint="eastAsia"/>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rFonts w:hint="eastAsia"/>
                <w:kern w:val="0"/>
                <w:szCs w:val="21"/>
              </w:rPr>
            </w:pPr>
            <w:r>
              <w:rPr>
                <w:rFonts w:hint="eastAsia"/>
                <w:kern w:val="0"/>
                <w:szCs w:val="21"/>
              </w:rPr>
              <w:t>指标</w:t>
            </w:r>
            <w:r>
              <w:rPr>
                <w:rFonts w:hint="eastAsia"/>
                <w:kern w:val="0"/>
                <w:szCs w:val="21"/>
                <w:lang w:val="en-US" w:eastAsia="zh-CN"/>
              </w:rPr>
              <w:t>4</w:t>
            </w:r>
            <w:r>
              <w:rPr>
                <w:kern w:val="0"/>
                <w:szCs w:val="21"/>
              </w:rPr>
              <w:t>:</w:t>
            </w:r>
          </w:p>
        </w:tc>
        <w:tc>
          <w:tcPr>
            <w:tcW w:w="2465" w:type="dxa"/>
            <w:gridSpan w:val="2"/>
            <w:noWrap/>
            <w:vAlign w:val="center"/>
          </w:tcPr>
          <w:p>
            <w:pPr>
              <w:widowControl/>
              <w:spacing w:line="320" w:lineRule="exact"/>
              <w:jc w:val="left"/>
              <w:rPr>
                <w:rFonts w:hint="default" w:eastAsia="宋体"/>
                <w:kern w:val="0"/>
                <w:szCs w:val="21"/>
                <w:lang w:val="en-US" w:eastAsia="zh-CN"/>
              </w:rPr>
            </w:pPr>
            <w:r>
              <w:rPr>
                <w:rFonts w:hint="eastAsia"/>
                <w:kern w:val="0"/>
                <w:szCs w:val="21"/>
              </w:rPr>
              <w:t>政务大厅各类网络租赁费≤</w:t>
            </w:r>
            <w:r>
              <w:rPr>
                <w:rFonts w:hint="eastAsia"/>
                <w:kern w:val="0"/>
                <w:szCs w:val="21"/>
                <w:lang w:val="en-US" w:eastAsia="zh-CN"/>
              </w:rPr>
              <w:t>25万元</w:t>
            </w:r>
          </w:p>
        </w:tc>
        <w:tc>
          <w:tcPr>
            <w:tcW w:w="1795" w:type="dxa"/>
            <w:gridSpan w:val="2"/>
            <w:noWrap/>
            <w:vAlign w:val="center"/>
          </w:tcPr>
          <w:p>
            <w:pPr>
              <w:widowControl/>
              <w:spacing w:line="320" w:lineRule="exact"/>
              <w:jc w:val="left"/>
              <w:rPr>
                <w:rFonts w:hint="eastAsia"/>
                <w:kern w:val="0"/>
                <w:szCs w:val="21"/>
              </w:rPr>
            </w:pPr>
            <w:r>
              <w:rPr>
                <w:rFonts w:hint="eastAsia"/>
                <w:kern w:val="0"/>
                <w:szCs w:val="21"/>
              </w:rPr>
              <w:t>政务大厅各类网络租赁费≤</w:t>
            </w:r>
            <w:r>
              <w:rPr>
                <w:rFonts w:hint="eastAsia"/>
                <w:kern w:val="0"/>
                <w:szCs w:val="21"/>
                <w:lang w:val="en-US" w:eastAsia="zh-CN"/>
              </w:rPr>
              <w:t>25万元</w:t>
            </w:r>
          </w:p>
        </w:tc>
        <w:tc>
          <w:tcPr>
            <w:tcW w:w="1706" w:type="dxa"/>
            <w:noWrap/>
            <w:vAlign w:val="center"/>
          </w:tcPr>
          <w:p>
            <w:pPr>
              <w:widowControl/>
              <w:spacing w:line="320" w:lineRule="exact"/>
              <w:ind w:firstLine="525" w:firstLineChars="250"/>
              <w:jc w:val="left"/>
              <w:rPr>
                <w:rFonts w:hint="eastAsia"/>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restart"/>
            <w:noWrap/>
            <w:vAlign w:val="center"/>
          </w:tcPr>
          <w:p>
            <w:pPr>
              <w:widowControl/>
              <w:spacing w:line="320" w:lineRule="exact"/>
              <w:jc w:val="center"/>
              <w:rPr>
                <w:kern w:val="0"/>
                <w:szCs w:val="21"/>
              </w:rPr>
            </w:pPr>
            <w:r>
              <w:rPr>
                <w:rFonts w:hint="eastAsia"/>
                <w:kern w:val="0"/>
                <w:szCs w:val="21"/>
              </w:rPr>
              <w:t>效益</w:t>
            </w:r>
          </w:p>
          <w:p>
            <w:pPr>
              <w:widowControl/>
              <w:spacing w:line="320" w:lineRule="exact"/>
              <w:jc w:val="center"/>
              <w:rPr>
                <w:kern w:val="0"/>
                <w:szCs w:val="21"/>
              </w:rPr>
            </w:pPr>
            <w:r>
              <w:rPr>
                <w:rFonts w:hint="eastAsia"/>
                <w:kern w:val="0"/>
                <w:szCs w:val="21"/>
              </w:rPr>
              <w:t>指标</w:t>
            </w:r>
          </w:p>
        </w:tc>
        <w:tc>
          <w:tcPr>
            <w:tcW w:w="1637" w:type="dxa"/>
            <w:gridSpan w:val="2"/>
            <w:vMerge w:val="restart"/>
            <w:noWrap/>
            <w:vAlign w:val="center"/>
          </w:tcPr>
          <w:p>
            <w:pPr>
              <w:widowControl/>
              <w:spacing w:line="320" w:lineRule="exact"/>
              <w:jc w:val="center"/>
              <w:rPr>
                <w:kern w:val="0"/>
                <w:szCs w:val="21"/>
              </w:rPr>
            </w:pPr>
            <w:r>
              <w:rPr>
                <w:rFonts w:hint="eastAsia"/>
                <w:kern w:val="0"/>
                <w:szCs w:val="21"/>
              </w:rPr>
              <w:t>经济效益指标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20" w:lineRule="exact"/>
              <w:jc w:val="left"/>
              <w:rPr>
                <w:kern w:val="0"/>
                <w:szCs w:val="21"/>
              </w:rPr>
            </w:pPr>
            <w:r>
              <w:rPr>
                <w:rFonts w:hint="eastAsia"/>
                <w:kern w:val="0"/>
                <w:szCs w:val="21"/>
              </w:rPr>
              <w:t>提高办事效率达到98%</w:t>
            </w:r>
          </w:p>
        </w:tc>
        <w:tc>
          <w:tcPr>
            <w:tcW w:w="1795" w:type="dxa"/>
            <w:gridSpan w:val="2"/>
            <w:noWrap/>
            <w:vAlign w:val="center"/>
          </w:tcPr>
          <w:p>
            <w:pPr>
              <w:widowControl/>
              <w:spacing w:line="320" w:lineRule="exact"/>
              <w:jc w:val="left"/>
              <w:rPr>
                <w:kern w:val="0"/>
                <w:szCs w:val="21"/>
              </w:rPr>
            </w:pPr>
            <w:r>
              <w:rPr>
                <w:rFonts w:hint="eastAsia"/>
                <w:kern w:val="0"/>
                <w:szCs w:val="21"/>
              </w:rPr>
              <w:t>提高办事效率达到98%</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2:</w:t>
            </w:r>
          </w:p>
        </w:tc>
        <w:tc>
          <w:tcPr>
            <w:tcW w:w="2465" w:type="dxa"/>
            <w:gridSpan w:val="2"/>
            <w:noWrap/>
            <w:vAlign w:val="center"/>
          </w:tcPr>
          <w:p>
            <w:pPr>
              <w:widowControl/>
              <w:spacing w:line="320" w:lineRule="exact"/>
              <w:jc w:val="left"/>
              <w:rPr>
                <w:kern w:val="0"/>
                <w:szCs w:val="21"/>
              </w:rPr>
            </w:pPr>
            <w:r>
              <w:rPr>
                <w:rFonts w:hint="eastAsia"/>
                <w:kern w:val="0"/>
                <w:szCs w:val="21"/>
              </w:rPr>
              <w:t>按时办结率达到95%以上</w:t>
            </w:r>
          </w:p>
        </w:tc>
        <w:tc>
          <w:tcPr>
            <w:tcW w:w="1795" w:type="dxa"/>
            <w:gridSpan w:val="2"/>
            <w:noWrap/>
            <w:vAlign w:val="center"/>
          </w:tcPr>
          <w:p>
            <w:pPr>
              <w:widowControl/>
              <w:spacing w:line="320" w:lineRule="exact"/>
              <w:jc w:val="left"/>
              <w:rPr>
                <w:kern w:val="0"/>
                <w:szCs w:val="21"/>
              </w:rPr>
            </w:pPr>
            <w:r>
              <w:rPr>
                <w:rFonts w:hint="eastAsia"/>
                <w:kern w:val="0"/>
                <w:szCs w:val="21"/>
              </w:rPr>
              <w:t>按时办结率达到95%以上</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noWrap/>
            <w:vAlign w:val="center"/>
          </w:tcPr>
          <w:p>
            <w:pPr>
              <w:widowControl/>
              <w:spacing w:line="320" w:lineRule="exact"/>
              <w:jc w:val="center"/>
              <w:rPr>
                <w:kern w:val="0"/>
                <w:szCs w:val="21"/>
              </w:rPr>
            </w:pPr>
            <w:r>
              <w:rPr>
                <w:rFonts w:hint="eastAsia"/>
                <w:kern w:val="0"/>
                <w:szCs w:val="21"/>
              </w:rPr>
              <w:t>社会效益指标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60" w:lineRule="exact"/>
              <w:jc w:val="center"/>
              <w:rPr>
                <w:kern w:val="0"/>
                <w:szCs w:val="21"/>
              </w:rPr>
            </w:pPr>
            <w:r>
              <w:rPr>
                <w:rFonts w:hint="eastAsia"/>
                <w:kern w:val="0"/>
                <w:szCs w:val="21"/>
              </w:rPr>
              <w:t>提升服务水平，优化办事程序，提高到95%</w:t>
            </w:r>
          </w:p>
        </w:tc>
        <w:tc>
          <w:tcPr>
            <w:tcW w:w="1795" w:type="dxa"/>
            <w:gridSpan w:val="2"/>
            <w:noWrap/>
            <w:vAlign w:val="center"/>
          </w:tcPr>
          <w:p>
            <w:pPr>
              <w:widowControl/>
              <w:spacing w:line="360" w:lineRule="exact"/>
              <w:jc w:val="center"/>
              <w:rPr>
                <w:kern w:val="0"/>
                <w:szCs w:val="21"/>
              </w:rPr>
            </w:pPr>
            <w:r>
              <w:rPr>
                <w:rFonts w:hint="eastAsia"/>
                <w:kern w:val="0"/>
                <w:szCs w:val="21"/>
              </w:rPr>
              <w:t>提升服务水平，优化办事程序，提高到95%</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restart"/>
            <w:noWrap/>
            <w:vAlign w:val="center"/>
          </w:tcPr>
          <w:p>
            <w:pPr>
              <w:widowControl/>
              <w:spacing w:line="320" w:lineRule="exact"/>
              <w:jc w:val="center"/>
              <w:rPr>
                <w:kern w:val="0"/>
                <w:szCs w:val="21"/>
              </w:rPr>
            </w:pPr>
            <w:r>
              <w:rPr>
                <w:rFonts w:hint="eastAsia"/>
                <w:kern w:val="0"/>
                <w:szCs w:val="21"/>
              </w:rPr>
              <w:t>可持续影响指标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20" w:lineRule="exact"/>
              <w:jc w:val="left"/>
              <w:rPr>
                <w:kern w:val="0"/>
                <w:szCs w:val="21"/>
              </w:rPr>
            </w:pPr>
            <w:r>
              <w:rPr>
                <w:rFonts w:hint="eastAsia"/>
                <w:kern w:val="0"/>
                <w:szCs w:val="21"/>
              </w:rPr>
              <w:t>保障单位网络畅通，实现全省互联互通</w:t>
            </w:r>
          </w:p>
        </w:tc>
        <w:tc>
          <w:tcPr>
            <w:tcW w:w="1795" w:type="dxa"/>
            <w:gridSpan w:val="2"/>
            <w:noWrap/>
            <w:vAlign w:val="center"/>
          </w:tcPr>
          <w:p>
            <w:pPr>
              <w:widowControl/>
              <w:spacing w:line="320" w:lineRule="exact"/>
              <w:jc w:val="left"/>
              <w:rPr>
                <w:kern w:val="0"/>
                <w:szCs w:val="21"/>
              </w:rPr>
            </w:pPr>
            <w:r>
              <w:rPr>
                <w:rFonts w:hint="eastAsia"/>
                <w:kern w:val="0"/>
                <w:szCs w:val="21"/>
              </w:rPr>
              <w:t>保障单位网络畅通，实现全省互联互通</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647" w:type="dxa"/>
            <w:vMerge w:val="continue"/>
            <w:vAlign w:val="center"/>
          </w:tcPr>
          <w:p>
            <w:pPr>
              <w:widowControl/>
              <w:spacing w:line="320" w:lineRule="exact"/>
              <w:jc w:val="left"/>
              <w:rPr>
                <w:kern w:val="0"/>
                <w:szCs w:val="21"/>
              </w:rPr>
            </w:pPr>
          </w:p>
        </w:tc>
        <w:tc>
          <w:tcPr>
            <w:tcW w:w="809" w:type="dxa"/>
            <w:vMerge w:val="continue"/>
            <w:vAlign w:val="center"/>
          </w:tcPr>
          <w:p>
            <w:pPr>
              <w:widowControl/>
              <w:spacing w:line="320" w:lineRule="exact"/>
              <w:jc w:val="left"/>
              <w:rPr>
                <w:kern w:val="0"/>
                <w:szCs w:val="21"/>
              </w:rPr>
            </w:pPr>
          </w:p>
        </w:tc>
        <w:tc>
          <w:tcPr>
            <w:tcW w:w="1637" w:type="dxa"/>
            <w:gridSpan w:val="2"/>
            <w:vMerge w:val="continue"/>
            <w:vAlign w:val="center"/>
          </w:tcPr>
          <w:p>
            <w:pPr>
              <w:widowControl/>
              <w:spacing w:line="320" w:lineRule="exact"/>
              <w:jc w:val="left"/>
              <w:rPr>
                <w:kern w:val="0"/>
                <w:szCs w:val="21"/>
              </w:rPr>
            </w:pP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2:</w:t>
            </w:r>
          </w:p>
        </w:tc>
        <w:tc>
          <w:tcPr>
            <w:tcW w:w="2465" w:type="dxa"/>
            <w:gridSpan w:val="2"/>
            <w:noWrap/>
            <w:vAlign w:val="center"/>
          </w:tcPr>
          <w:p>
            <w:pPr>
              <w:widowControl/>
              <w:spacing w:line="320" w:lineRule="exact"/>
              <w:jc w:val="left"/>
              <w:rPr>
                <w:kern w:val="0"/>
                <w:szCs w:val="21"/>
              </w:rPr>
            </w:pPr>
            <w:r>
              <w:rPr>
                <w:rFonts w:hint="eastAsia"/>
                <w:kern w:val="0"/>
                <w:szCs w:val="21"/>
              </w:rPr>
              <w:t>环节更少、流程更短、效率更高、服务更好</w:t>
            </w:r>
          </w:p>
        </w:tc>
        <w:tc>
          <w:tcPr>
            <w:tcW w:w="1795" w:type="dxa"/>
            <w:gridSpan w:val="2"/>
            <w:noWrap/>
            <w:vAlign w:val="center"/>
          </w:tcPr>
          <w:p>
            <w:pPr>
              <w:widowControl/>
              <w:spacing w:line="320" w:lineRule="exact"/>
              <w:jc w:val="left"/>
              <w:rPr>
                <w:kern w:val="0"/>
                <w:szCs w:val="21"/>
              </w:rPr>
            </w:pPr>
            <w:r>
              <w:rPr>
                <w:rFonts w:hint="eastAsia"/>
                <w:kern w:val="0"/>
                <w:szCs w:val="21"/>
              </w:rPr>
              <w:t>环节更少、流程更短、效率更高、服务更好</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7" w:hRule="atLeast"/>
          <w:jc w:val="center"/>
        </w:trPr>
        <w:tc>
          <w:tcPr>
            <w:tcW w:w="647" w:type="dxa"/>
            <w:vMerge w:val="continue"/>
            <w:vAlign w:val="center"/>
          </w:tcPr>
          <w:p>
            <w:pPr>
              <w:widowControl/>
              <w:spacing w:line="320" w:lineRule="exact"/>
              <w:jc w:val="left"/>
              <w:rPr>
                <w:kern w:val="0"/>
                <w:szCs w:val="21"/>
              </w:rPr>
            </w:pPr>
          </w:p>
        </w:tc>
        <w:tc>
          <w:tcPr>
            <w:tcW w:w="809" w:type="dxa"/>
            <w:noWrap/>
            <w:vAlign w:val="center"/>
          </w:tcPr>
          <w:p>
            <w:pPr>
              <w:widowControl/>
              <w:spacing w:line="320" w:lineRule="exact"/>
              <w:jc w:val="center"/>
              <w:rPr>
                <w:kern w:val="0"/>
                <w:szCs w:val="21"/>
              </w:rPr>
            </w:pPr>
            <w:r>
              <w:rPr>
                <w:rFonts w:hint="eastAsia"/>
                <w:kern w:val="0"/>
                <w:szCs w:val="21"/>
              </w:rPr>
              <w:t>满意度</w:t>
            </w:r>
          </w:p>
          <w:p>
            <w:pPr>
              <w:widowControl/>
              <w:spacing w:line="320" w:lineRule="exact"/>
              <w:jc w:val="center"/>
              <w:rPr>
                <w:kern w:val="0"/>
                <w:szCs w:val="21"/>
              </w:rPr>
            </w:pPr>
            <w:r>
              <w:rPr>
                <w:rFonts w:hint="eastAsia"/>
                <w:kern w:val="0"/>
                <w:szCs w:val="21"/>
              </w:rPr>
              <w:t>指标</w:t>
            </w:r>
          </w:p>
        </w:tc>
        <w:tc>
          <w:tcPr>
            <w:tcW w:w="1637" w:type="dxa"/>
            <w:gridSpan w:val="2"/>
            <w:noWrap/>
            <w:vAlign w:val="center"/>
          </w:tcPr>
          <w:p>
            <w:pPr>
              <w:widowControl/>
              <w:spacing w:line="320" w:lineRule="exact"/>
              <w:jc w:val="center"/>
              <w:rPr>
                <w:kern w:val="0"/>
                <w:szCs w:val="21"/>
              </w:rPr>
            </w:pPr>
            <w:r>
              <w:rPr>
                <w:rFonts w:hint="eastAsia"/>
                <w:kern w:val="0"/>
                <w:szCs w:val="21"/>
              </w:rPr>
              <w:t>满意度指标</w:t>
            </w:r>
          </w:p>
        </w:tc>
        <w:tc>
          <w:tcPr>
            <w:tcW w:w="705" w:type="dxa"/>
            <w:noWrap/>
            <w:vAlign w:val="center"/>
          </w:tcPr>
          <w:p>
            <w:pPr>
              <w:widowControl/>
              <w:spacing w:line="320" w:lineRule="exact"/>
              <w:jc w:val="left"/>
              <w:rPr>
                <w:kern w:val="0"/>
                <w:szCs w:val="21"/>
              </w:rPr>
            </w:pPr>
            <w:r>
              <w:rPr>
                <w:rFonts w:hint="eastAsia"/>
                <w:kern w:val="0"/>
                <w:szCs w:val="21"/>
              </w:rPr>
              <w:t>指标</w:t>
            </w:r>
            <w:r>
              <w:rPr>
                <w:kern w:val="0"/>
                <w:szCs w:val="21"/>
              </w:rPr>
              <w:t>1:</w:t>
            </w:r>
          </w:p>
        </w:tc>
        <w:tc>
          <w:tcPr>
            <w:tcW w:w="2465" w:type="dxa"/>
            <w:gridSpan w:val="2"/>
            <w:noWrap/>
            <w:vAlign w:val="center"/>
          </w:tcPr>
          <w:p>
            <w:pPr>
              <w:widowControl/>
              <w:spacing w:line="320" w:lineRule="exact"/>
              <w:jc w:val="left"/>
              <w:rPr>
                <w:kern w:val="0"/>
                <w:szCs w:val="21"/>
              </w:rPr>
            </w:pPr>
            <w:r>
              <w:rPr>
                <w:rFonts w:hint="eastAsia"/>
                <w:kern w:val="0"/>
                <w:szCs w:val="21"/>
              </w:rPr>
              <w:t>群众满意率达到≥95%</w:t>
            </w:r>
          </w:p>
        </w:tc>
        <w:tc>
          <w:tcPr>
            <w:tcW w:w="1795" w:type="dxa"/>
            <w:gridSpan w:val="2"/>
            <w:noWrap/>
            <w:vAlign w:val="center"/>
          </w:tcPr>
          <w:p>
            <w:pPr>
              <w:widowControl/>
              <w:spacing w:line="320" w:lineRule="exact"/>
              <w:jc w:val="left"/>
              <w:rPr>
                <w:kern w:val="0"/>
                <w:szCs w:val="21"/>
              </w:rPr>
            </w:pPr>
            <w:r>
              <w:rPr>
                <w:rFonts w:hint="eastAsia"/>
                <w:kern w:val="0"/>
                <w:szCs w:val="21"/>
              </w:rPr>
              <w:t>群众满意率达到≥95%</w:t>
            </w:r>
          </w:p>
        </w:tc>
        <w:tc>
          <w:tcPr>
            <w:tcW w:w="1706" w:type="dxa"/>
            <w:noWrap/>
            <w:vAlign w:val="center"/>
          </w:tcPr>
          <w:p>
            <w:pPr>
              <w:widowControl/>
              <w:spacing w:line="320" w:lineRule="exact"/>
              <w:ind w:firstLine="525" w:firstLineChars="250"/>
              <w:jc w:val="left"/>
              <w:rPr>
                <w:kern w:val="0"/>
                <w:szCs w:val="21"/>
              </w:rPr>
            </w:pPr>
            <w:r>
              <w:rPr>
                <w:rFonts w:hint="eastAsia"/>
                <w:kern w:val="0"/>
                <w:szCs w:val="21"/>
              </w:rPr>
              <w:t>无偏差</w:t>
            </w:r>
          </w:p>
        </w:tc>
      </w:tr>
    </w:tbl>
    <w:p>
      <w:pPr>
        <w:pStyle w:val="27"/>
      </w:pPr>
    </w:p>
    <w:p>
      <w:pPr>
        <w:pStyle w:val="27"/>
      </w:pPr>
    </w:p>
    <w:p>
      <w:pPr>
        <w:pStyle w:val="27"/>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hint="eastAsia" w:eastAsia="方正黑体简体"/>
          <w:sz w:val="32"/>
          <w:szCs w:val="32"/>
        </w:rPr>
      </w:pPr>
    </w:p>
    <w:p>
      <w:pPr>
        <w:spacing w:line="580" w:lineRule="exact"/>
        <w:rPr>
          <w:rFonts w:eastAsia="方正黑体简体"/>
          <w:sz w:val="32"/>
          <w:szCs w:val="32"/>
        </w:rPr>
      </w:pPr>
      <w:r>
        <w:rPr>
          <w:rFonts w:hint="eastAsia" w:eastAsia="方正黑体简体"/>
          <w:sz w:val="32"/>
          <w:szCs w:val="32"/>
        </w:rPr>
        <w:t>附件2</w:t>
      </w:r>
    </w:p>
    <w:p>
      <w:pPr>
        <w:spacing w:line="600" w:lineRule="exact"/>
        <w:jc w:val="center"/>
        <w:rPr>
          <w:rFonts w:ascii="宋体" w:hAnsi="宋体"/>
          <w:b/>
          <w:sz w:val="44"/>
          <w:szCs w:val="44"/>
        </w:rPr>
      </w:pPr>
      <w:r>
        <w:rPr>
          <w:rFonts w:hint="eastAsia" w:ascii="宋体" w:hAnsi="宋体"/>
          <w:b/>
          <w:sz w:val="44"/>
          <w:szCs w:val="44"/>
        </w:rPr>
        <w:t>乐至县行政审批局</w:t>
      </w:r>
    </w:p>
    <w:p>
      <w:pPr>
        <w:spacing w:line="600" w:lineRule="exact"/>
        <w:ind w:left="521" w:leftChars="248" w:firstLine="663" w:firstLineChars="150"/>
        <w:rPr>
          <w:rFonts w:ascii="宋体" w:hAnsi="宋体"/>
          <w:b/>
          <w:sz w:val="44"/>
          <w:szCs w:val="44"/>
        </w:rPr>
      </w:pPr>
      <w:r>
        <w:rPr>
          <w:rFonts w:hint="eastAsia" w:ascii="宋体" w:hAnsi="宋体"/>
          <w:b/>
          <w:sz w:val="44"/>
          <w:szCs w:val="44"/>
        </w:rPr>
        <w:t>202</w:t>
      </w:r>
      <w:r>
        <w:rPr>
          <w:rFonts w:hint="eastAsia" w:ascii="宋体" w:hAnsi="宋体"/>
          <w:b/>
          <w:sz w:val="44"/>
          <w:szCs w:val="44"/>
          <w:lang w:val="en-US" w:eastAsia="zh-CN"/>
        </w:rPr>
        <w:t>2</w:t>
      </w:r>
      <w:r>
        <w:rPr>
          <w:rFonts w:hint="eastAsia" w:ascii="宋体" w:hAnsi="宋体"/>
          <w:b/>
          <w:sz w:val="44"/>
          <w:szCs w:val="44"/>
        </w:rPr>
        <w:t>年度项目支出绩效自评报告</w:t>
      </w:r>
    </w:p>
    <w:p>
      <w:pPr>
        <w:spacing w:line="600" w:lineRule="exact"/>
        <w:ind w:left="160" w:leftChars="76" w:firstLine="1767" w:firstLineChars="550"/>
        <w:rPr>
          <w:rFonts w:ascii="楷体_GB2312" w:eastAsia="楷体_GB2312"/>
          <w:b/>
          <w:sz w:val="32"/>
          <w:szCs w:val="32"/>
        </w:rPr>
      </w:pPr>
      <w:r>
        <w:rPr>
          <w:rFonts w:hint="eastAsia" w:ascii="楷体_GB2312" w:eastAsia="楷体_GB2312"/>
          <w:b/>
          <w:sz w:val="32"/>
          <w:szCs w:val="32"/>
        </w:rPr>
        <w:t>（政务大厅网络租赁费项目）</w:t>
      </w:r>
    </w:p>
    <w:p>
      <w:pPr>
        <w:tabs>
          <w:tab w:val="left" w:pos="900"/>
        </w:tabs>
        <w:spacing w:line="600" w:lineRule="exact"/>
        <w:ind w:firstLine="636" w:firstLineChars="198"/>
        <w:rPr>
          <w:rFonts w:ascii="楷体_GB2312" w:eastAsia="楷体_GB2312"/>
          <w:b/>
          <w:sz w:val="32"/>
          <w:szCs w:val="32"/>
        </w:rPr>
      </w:pP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 xml:space="preserve">一、项目基本情况 </w:t>
      </w:r>
    </w:p>
    <w:p>
      <w:pPr>
        <w:pStyle w:val="2"/>
        <w:spacing w:line="620" w:lineRule="exact"/>
        <w:ind w:firstLine="482" w:firstLineChars="150"/>
        <w:rPr>
          <w:rFonts w:ascii="楷体_GB2312" w:hAnsi="Times New Roman" w:eastAsia="楷体_GB2312" w:cs="Times New Roman"/>
          <w:b/>
          <w:kern w:val="2"/>
          <w:sz w:val="32"/>
          <w:szCs w:val="32"/>
        </w:rPr>
      </w:pPr>
      <w:r>
        <w:rPr>
          <w:rFonts w:hint="eastAsia" w:ascii="楷体_GB2312" w:hAnsi="Times New Roman" w:eastAsia="楷体_GB2312" w:cs="Times New Roman"/>
          <w:b/>
          <w:kern w:val="2"/>
          <w:sz w:val="32"/>
          <w:szCs w:val="32"/>
        </w:rPr>
        <w:t>（一）概况</w:t>
      </w:r>
    </w:p>
    <w:p>
      <w:pPr>
        <w:spacing w:line="600" w:lineRule="exact"/>
        <w:ind w:firstLine="636" w:firstLineChars="198"/>
        <w:rPr>
          <w:rFonts w:ascii="楷体_GB2312" w:eastAsia="楷体_GB2312"/>
          <w:b/>
          <w:sz w:val="32"/>
          <w:szCs w:val="32"/>
        </w:rPr>
      </w:pPr>
      <w:r>
        <w:rPr>
          <w:rFonts w:hint="eastAsia" w:ascii="楷体_GB2312" w:eastAsia="楷体_GB2312"/>
          <w:b/>
          <w:sz w:val="32"/>
          <w:szCs w:val="32"/>
        </w:rPr>
        <w:t>1.立项背景及目的。</w:t>
      </w:r>
    </w:p>
    <w:p>
      <w:pPr>
        <w:spacing w:line="600" w:lineRule="exact"/>
        <w:ind w:firstLine="633" w:firstLineChars="198"/>
        <w:rPr>
          <w:rFonts w:ascii="仿宋_GB2312" w:eastAsia="仿宋_GB2312"/>
          <w:color w:val="000000"/>
          <w:sz w:val="32"/>
          <w:szCs w:val="32"/>
        </w:rPr>
      </w:pPr>
      <w:r>
        <w:rPr>
          <w:rFonts w:hint="eastAsia" w:ascii="仿宋_GB2312" w:eastAsia="仿宋_GB2312"/>
          <w:color w:val="000000"/>
          <w:sz w:val="32"/>
          <w:szCs w:val="32"/>
        </w:rPr>
        <w:t>为保证政务中心工作正常运转，保障单位网络畅通，实现全省互联互通。提高业务办理水平，为群众服务，让群众满意。整合部门网络资源，积极对接全省一体化政务服务平台，对纳入政务中心办理的事项，完善基础信息，满足网上政务大厅查阅、咨询、投诉、预审、办理的实际需要。</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2．预算资金来源及使用情况。</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根据《乐至县财政局关于批复202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年部门预算的通知》（乐财预【202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】1号）文件下达“政务大厅网络租赁费”预算25万元。到202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年12月底财政已批计划15.</w:t>
      </w:r>
      <w:r>
        <w:rPr>
          <w:rFonts w:hint="eastAsia" w:ascii="仿宋_GB2312" w:hAnsi="Times New Roman" w:eastAsia="仿宋_GB2312" w:cs="Times New Roman"/>
          <w:color w:val="000000"/>
          <w:kern w:val="2"/>
          <w:sz w:val="32"/>
          <w:szCs w:val="32"/>
          <w:lang w:val="en-US" w:eastAsia="zh-CN"/>
        </w:rPr>
        <w:t>68</w:t>
      </w:r>
      <w:r>
        <w:rPr>
          <w:rFonts w:hint="eastAsia" w:ascii="仿宋_GB2312" w:hAnsi="Times New Roman" w:eastAsia="仿宋_GB2312" w:cs="Times New Roman"/>
          <w:color w:val="000000"/>
          <w:kern w:val="2"/>
          <w:sz w:val="32"/>
          <w:szCs w:val="32"/>
        </w:rPr>
        <w:t>万元，已支付。指标余额9.</w:t>
      </w:r>
      <w:r>
        <w:rPr>
          <w:rFonts w:hint="eastAsia" w:ascii="仿宋_GB2312" w:hAnsi="Times New Roman" w:eastAsia="仿宋_GB2312" w:cs="Times New Roman"/>
          <w:color w:val="000000"/>
          <w:kern w:val="2"/>
          <w:sz w:val="32"/>
          <w:szCs w:val="32"/>
          <w:lang w:val="en-US" w:eastAsia="zh-CN"/>
        </w:rPr>
        <w:t>32</w:t>
      </w:r>
      <w:r>
        <w:rPr>
          <w:rFonts w:hint="eastAsia" w:ascii="仿宋_GB2312" w:hAnsi="Times New Roman" w:eastAsia="仿宋_GB2312" w:cs="Times New Roman"/>
          <w:color w:val="000000"/>
          <w:kern w:val="2"/>
          <w:sz w:val="32"/>
          <w:szCs w:val="32"/>
        </w:rPr>
        <w:t>万元。</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3．实施情况（项目完成情况）。</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项目实施前严格按照“先有预算、后有支出”原则，结合我局年度工作任务，科学合理地编制项目预算；项目实施过程中，严格开展事中监控，及时纠正项目预算实施过程中可能存在的问题，保证项目预算顺利推进；项目实施结束后，及时开展决算，将预决算、事中监控有机结合起来，较好地实现了项目绩效申报年度目标。比年初预算节约财政资金9.</w:t>
      </w:r>
      <w:r>
        <w:rPr>
          <w:rFonts w:hint="eastAsia" w:ascii="仿宋_GB2312" w:hAnsi="Times New Roman" w:eastAsia="仿宋_GB2312" w:cs="Times New Roman"/>
          <w:color w:val="000000"/>
          <w:kern w:val="2"/>
          <w:sz w:val="32"/>
          <w:szCs w:val="32"/>
          <w:lang w:val="en-US" w:eastAsia="zh-CN"/>
        </w:rPr>
        <w:t>32</w:t>
      </w:r>
      <w:r>
        <w:rPr>
          <w:rFonts w:hint="eastAsia" w:ascii="仿宋_GB2312" w:hAnsi="Times New Roman" w:eastAsia="仿宋_GB2312" w:cs="Times New Roman"/>
          <w:color w:val="000000"/>
          <w:kern w:val="2"/>
          <w:sz w:val="32"/>
          <w:szCs w:val="32"/>
        </w:rPr>
        <w:t>万元。</w:t>
      </w:r>
    </w:p>
    <w:p>
      <w:pPr>
        <w:pStyle w:val="2"/>
        <w:spacing w:line="620" w:lineRule="exact"/>
        <w:ind w:left="160" w:leftChars="76"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4．组织及管理（项目组织、管理流程及实际执行情况）。</w:t>
      </w:r>
    </w:p>
    <w:p>
      <w:pPr>
        <w:pStyle w:val="2"/>
        <w:spacing w:line="620" w:lineRule="exact"/>
        <w:ind w:left="160" w:leftChars="76" w:firstLine="640" w:firstLineChars="200"/>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政务大厅网络租赁费主要涉及范围：行政审批系统网络占用费、电子政务网络占用费、“96196”专线租赁费、审批软件专点维护费、电子政务网络维护费、短信SP服务费等。</w:t>
      </w:r>
    </w:p>
    <w:p>
      <w:pPr>
        <w:pStyle w:val="2"/>
        <w:spacing w:line="620" w:lineRule="exact"/>
        <w:ind w:left="160" w:leftChars="76" w:firstLine="640" w:firstLineChars="200"/>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该项目由乐至县行政审批局组织实施。根据工作实际，严格按照与中国电信股份有限公司乐至分公司签订的IDC业务租用协议执行，按月缴纳其网络租赁费。</w:t>
      </w:r>
    </w:p>
    <w:p>
      <w:pPr>
        <w:pStyle w:val="2"/>
        <w:spacing w:line="620" w:lineRule="exact"/>
        <w:ind w:firstLine="482" w:firstLineChars="150"/>
        <w:rPr>
          <w:rFonts w:hint="eastAsia" w:ascii="楷体_GB2312" w:hAnsi="Times New Roman" w:eastAsia="楷体_GB2312" w:cs="Times New Roman"/>
          <w:b/>
          <w:kern w:val="2"/>
          <w:sz w:val="32"/>
          <w:szCs w:val="32"/>
        </w:rPr>
      </w:pPr>
      <w:r>
        <w:rPr>
          <w:rFonts w:hint="eastAsia" w:ascii="楷体_GB2312" w:hAnsi="Times New Roman" w:eastAsia="楷体_GB2312" w:cs="Times New Roman"/>
          <w:b/>
          <w:kern w:val="2"/>
          <w:sz w:val="32"/>
          <w:szCs w:val="32"/>
        </w:rPr>
        <w:t>（二）绩效目标</w:t>
      </w:r>
    </w:p>
    <w:p>
      <w:pPr>
        <w:pStyle w:val="2"/>
        <w:spacing w:line="620" w:lineRule="exact"/>
        <w:ind w:left="160" w:leftChars="76" w:firstLine="640" w:firstLineChars="200"/>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政务大厅网络租赁费项目：产出目标-数量指标，行政审批系统、电子监察系统等</w:t>
      </w:r>
      <w:r>
        <w:rPr>
          <w:rFonts w:hint="eastAsia" w:ascii="仿宋_GB2312" w:hAnsi="Times New Roman" w:eastAsia="仿宋_GB2312" w:cs="Times New Roman"/>
          <w:color w:val="000000"/>
          <w:kern w:val="2"/>
          <w:sz w:val="32"/>
          <w:szCs w:val="32"/>
          <w:lang w:val="en-US" w:eastAsia="zh-CN"/>
        </w:rPr>
        <w:t>8</w:t>
      </w:r>
      <w:r>
        <w:rPr>
          <w:rFonts w:hint="eastAsia" w:ascii="仿宋_GB2312" w:hAnsi="Times New Roman" w:eastAsia="仿宋_GB2312" w:cs="Times New Roman"/>
          <w:color w:val="000000"/>
          <w:kern w:val="2"/>
          <w:sz w:val="32"/>
          <w:szCs w:val="32"/>
        </w:rPr>
        <w:t>个。产出目标-质量指标，保证政务大厅日常工作运转，业务正常办理。产出目标-成本指标，网络租赁费15.</w:t>
      </w:r>
      <w:r>
        <w:rPr>
          <w:rFonts w:hint="eastAsia" w:ascii="仿宋_GB2312" w:hAnsi="Times New Roman" w:eastAsia="仿宋_GB2312" w:cs="Times New Roman"/>
          <w:color w:val="000000"/>
          <w:kern w:val="2"/>
          <w:sz w:val="32"/>
          <w:szCs w:val="32"/>
          <w:lang w:val="en-US" w:eastAsia="zh-CN"/>
        </w:rPr>
        <w:t>68</w:t>
      </w:r>
      <w:r>
        <w:rPr>
          <w:rFonts w:hint="eastAsia" w:ascii="仿宋_GB2312" w:hAnsi="Times New Roman" w:eastAsia="仿宋_GB2312" w:cs="Times New Roman"/>
          <w:color w:val="000000"/>
          <w:kern w:val="2"/>
          <w:sz w:val="32"/>
          <w:szCs w:val="32"/>
        </w:rPr>
        <w:t>万元每年。效</w:t>
      </w:r>
      <w:r>
        <w:rPr>
          <w:rFonts w:hint="eastAsia" w:ascii="仿宋_GB2312" w:hAnsi="Times New Roman" w:eastAsia="仿宋_GB2312" w:cs="Times New Roman"/>
          <w:color w:val="000000"/>
          <w:kern w:val="2"/>
          <w:sz w:val="32"/>
          <w:szCs w:val="32"/>
          <w:lang w:val="en-US" w:eastAsia="zh-CN"/>
        </w:rPr>
        <w:t>益指标</w:t>
      </w:r>
      <w:r>
        <w:rPr>
          <w:rFonts w:hint="eastAsia" w:ascii="仿宋_GB2312" w:hAnsi="Times New Roman" w:eastAsia="仿宋_GB2312" w:cs="Times New Roman"/>
          <w:color w:val="000000"/>
          <w:kern w:val="2"/>
          <w:sz w:val="32"/>
          <w:szCs w:val="32"/>
        </w:rPr>
        <w:t>-提高办事效率满意率达到98%，提升服务水平，优化办事程序，群众满意率达到95%。</w:t>
      </w:r>
    </w:p>
    <w:p>
      <w:pPr>
        <w:tabs>
          <w:tab w:val="left" w:pos="900"/>
        </w:tabs>
        <w:spacing w:line="600" w:lineRule="exact"/>
        <w:ind w:firstLine="482" w:firstLineChars="150"/>
        <w:rPr>
          <w:rFonts w:hint="eastAsia" w:ascii="黑体" w:hAnsi="宋体" w:eastAsia="黑体" w:cs="Times New Roman"/>
          <w:b/>
          <w:sz w:val="32"/>
          <w:szCs w:val="32"/>
        </w:rPr>
      </w:pPr>
      <w:r>
        <w:rPr>
          <w:rFonts w:hint="eastAsia" w:ascii="黑体" w:hAnsi="宋体" w:eastAsia="黑体" w:cs="Times New Roman"/>
          <w:b/>
          <w:sz w:val="32"/>
          <w:szCs w:val="32"/>
        </w:rPr>
        <w:t>二、绩效自评工作情况</w:t>
      </w:r>
    </w:p>
    <w:p>
      <w:pPr>
        <w:pStyle w:val="2"/>
        <w:spacing w:line="620" w:lineRule="exact"/>
        <w:ind w:firstLine="472" w:firstLineChars="147"/>
        <w:rPr>
          <w:rFonts w:ascii="仿宋_GB2312" w:hAnsi="Times New Roman" w:eastAsia="仿宋_GB2312" w:cs="Times New Roman"/>
          <w:b/>
          <w:bCs/>
          <w:color w:val="000000"/>
          <w:kern w:val="2"/>
          <w:sz w:val="32"/>
          <w:szCs w:val="32"/>
        </w:rPr>
      </w:pPr>
      <w:r>
        <w:rPr>
          <w:rFonts w:hint="eastAsia" w:ascii="仿宋_GB2312" w:hAnsi="Times New Roman" w:eastAsia="仿宋_GB2312" w:cs="Times New Roman"/>
          <w:b/>
          <w:bCs/>
          <w:color w:val="000000"/>
          <w:kern w:val="2"/>
          <w:sz w:val="32"/>
          <w:szCs w:val="32"/>
        </w:rPr>
        <w:t>（一）自评工作组织领导</w:t>
      </w:r>
    </w:p>
    <w:p>
      <w:pPr>
        <w:widowControl/>
        <w:spacing w:line="60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我局高度重视支出绩效评价工作，切实履行支出绩效评价主体责任，成立了评价工作小组，由局长牵头，分管副局长具体负责的工作专班，由综合股财务人员具体负责本单位的整体支出绩效目标自评工作，切实履行职责，强化指导督促，加强对本局财政支出经济活动的风险防范和管控，实现绩效工作规范化、科学化。</w:t>
      </w:r>
    </w:p>
    <w:p>
      <w:pPr>
        <w:pStyle w:val="2"/>
        <w:spacing w:line="620" w:lineRule="exact"/>
        <w:ind w:firstLine="482" w:firstLineChars="150"/>
        <w:rPr>
          <w:rFonts w:ascii="仿宋_GB2312" w:hAnsi="Times New Roman" w:eastAsia="仿宋_GB2312" w:cs="Times New Roman"/>
          <w:b/>
          <w:bCs/>
          <w:color w:val="000000"/>
          <w:kern w:val="2"/>
          <w:sz w:val="32"/>
          <w:szCs w:val="32"/>
        </w:rPr>
      </w:pPr>
      <w:r>
        <w:rPr>
          <w:rFonts w:hint="eastAsia" w:ascii="仿宋_GB2312" w:hAnsi="Times New Roman" w:eastAsia="仿宋_GB2312" w:cs="Times New Roman"/>
          <w:b/>
          <w:bCs/>
          <w:color w:val="000000"/>
          <w:kern w:val="2"/>
          <w:sz w:val="32"/>
          <w:szCs w:val="32"/>
        </w:rPr>
        <w:t>（二）自评方式、方法、重点等</w:t>
      </w:r>
    </w:p>
    <w:p>
      <w:pPr>
        <w:pStyle w:val="28"/>
        <w:tabs>
          <w:tab w:val="left" w:pos="996"/>
        </w:tabs>
        <w:spacing w:line="552" w:lineRule="exact"/>
        <w:ind w:left="0" w:firstLine="640" w:firstLineChars="200"/>
        <w:rPr>
          <w:rFonts w:ascii="仿宋_GB2312" w:hAnsi="Times New Roman" w:eastAsia="仿宋_GB2312" w:cs="Times New Roman"/>
          <w:kern w:val="2"/>
          <w:sz w:val="32"/>
          <w:szCs w:val="32"/>
          <w:lang w:val="en-US" w:bidi="ar-SA"/>
        </w:rPr>
      </w:pPr>
      <w:r>
        <w:rPr>
          <w:rFonts w:hint="eastAsia" w:ascii="仿宋_GB2312" w:hAnsi="Times New Roman" w:eastAsia="仿宋_GB2312" w:cs="Times New Roman"/>
          <w:kern w:val="2"/>
          <w:sz w:val="32"/>
          <w:szCs w:val="32"/>
          <w:lang w:val="en-US" w:bidi="ar-SA"/>
        </w:rPr>
        <w:t>严格按照乐财监督绩效〔2022〕5号文件精神和</w:t>
      </w:r>
      <w:r>
        <w:rPr>
          <w:rFonts w:ascii="仿宋_GB2312" w:hAnsi="Times New Roman" w:eastAsia="仿宋_GB2312" w:cs="Times New Roman"/>
          <w:kern w:val="2"/>
          <w:sz w:val="32"/>
          <w:szCs w:val="32"/>
          <w:lang w:val="en-US" w:bidi="ar-SA"/>
        </w:rPr>
        <w:t>“谁支出、谁自评”的原则和绩效目标自评全覆盖的要求，对</w:t>
      </w:r>
      <w:r>
        <w:rPr>
          <w:rFonts w:hint="eastAsia" w:ascii="仿宋_GB2312" w:hAnsi="Times New Roman" w:eastAsia="仿宋_GB2312" w:cs="Times New Roman"/>
          <w:kern w:val="2"/>
          <w:sz w:val="32"/>
          <w:szCs w:val="32"/>
          <w:lang w:val="en-US" w:bidi="ar-SA"/>
        </w:rPr>
        <w:t>我局</w:t>
      </w:r>
      <w:r>
        <w:rPr>
          <w:rFonts w:ascii="仿宋_GB2312" w:hAnsi="Times New Roman" w:eastAsia="仿宋_GB2312" w:cs="Times New Roman"/>
          <w:kern w:val="2"/>
          <w:sz w:val="32"/>
          <w:szCs w:val="32"/>
          <w:lang w:val="en-US" w:bidi="ar-SA"/>
        </w:rPr>
        <w:t>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年财政</w:t>
      </w:r>
      <w:r>
        <w:rPr>
          <w:rFonts w:hint="eastAsia" w:ascii="仿宋_GB2312" w:hAnsi="Times New Roman" w:eastAsia="仿宋_GB2312" w:cs="Times New Roman"/>
          <w:kern w:val="2"/>
          <w:sz w:val="32"/>
          <w:szCs w:val="32"/>
          <w:lang w:val="en-US" w:bidi="ar-SA"/>
        </w:rPr>
        <w:t>项目</w:t>
      </w:r>
      <w:r>
        <w:rPr>
          <w:rFonts w:ascii="仿宋_GB2312" w:hAnsi="Times New Roman" w:eastAsia="仿宋_GB2312" w:cs="Times New Roman"/>
          <w:kern w:val="2"/>
          <w:sz w:val="32"/>
          <w:szCs w:val="32"/>
          <w:lang w:val="en-US" w:bidi="ar-SA"/>
        </w:rPr>
        <w:t>支出绩效目标完成情况开展自评，</w:t>
      </w:r>
      <w:r>
        <w:rPr>
          <w:rFonts w:hint="eastAsia" w:ascii="仿宋_GB2312" w:hAnsi="Times New Roman" w:eastAsia="仿宋_GB2312" w:cs="Times New Roman"/>
          <w:kern w:val="2"/>
          <w:sz w:val="32"/>
          <w:szCs w:val="32"/>
          <w:lang w:val="en-US" w:bidi="ar-SA"/>
        </w:rPr>
        <w:t>结合本单位具体职</w:t>
      </w:r>
      <w:r>
        <w:rPr>
          <w:rFonts w:ascii="仿宋_GB2312" w:hAnsi="Times New Roman" w:eastAsia="仿宋_GB2312" w:cs="Times New Roman"/>
          <w:kern w:val="2"/>
          <w:sz w:val="32"/>
          <w:szCs w:val="32"/>
          <w:lang w:val="en-US" w:bidi="ar-SA"/>
        </w:rPr>
        <w:t>能完善部门年初绩效目标，对202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年度本部门预算执行</w:t>
      </w:r>
      <w:r>
        <w:rPr>
          <w:rFonts w:hint="eastAsia" w:ascii="仿宋_GB2312" w:hAnsi="Times New Roman" w:eastAsia="仿宋_GB2312" w:cs="Times New Roman"/>
          <w:kern w:val="2"/>
          <w:sz w:val="32"/>
          <w:szCs w:val="32"/>
          <w:lang w:val="en-US" w:bidi="ar-SA"/>
        </w:rPr>
        <w:t>情</w:t>
      </w:r>
      <w:r>
        <w:rPr>
          <w:rFonts w:ascii="仿宋_GB2312" w:hAnsi="Times New Roman" w:eastAsia="仿宋_GB2312" w:cs="Times New Roman"/>
          <w:kern w:val="2"/>
          <w:sz w:val="32"/>
          <w:szCs w:val="32"/>
          <w:lang w:val="en-US" w:bidi="ar-SA"/>
        </w:rPr>
        <w:t>况、预算结构、总体绩效目标和年度各项具体绩效指标完成情况进行收集梳</w:t>
      </w:r>
      <w:r>
        <w:rPr>
          <w:rFonts w:hint="eastAsia" w:ascii="仿宋_GB2312" w:hAnsi="Times New Roman" w:eastAsia="仿宋_GB2312" w:cs="Times New Roman"/>
          <w:kern w:val="2"/>
          <w:sz w:val="32"/>
          <w:szCs w:val="32"/>
          <w:lang w:val="en-US" w:bidi="ar-SA"/>
        </w:rPr>
        <w:t>理，</w:t>
      </w:r>
      <w:r>
        <w:rPr>
          <w:rFonts w:ascii="仿宋_GB2312" w:hAnsi="Times New Roman" w:eastAsia="仿宋_GB2312" w:cs="Times New Roman"/>
          <w:kern w:val="2"/>
          <w:sz w:val="32"/>
          <w:szCs w:val="32"/>
          <w:lang w:val="en-US" w:bidi="ar-SA"/>
        </w:rPr>
        <w:t>本着客观、真实、准确的原则开展部门项目支出，依据自评得分确定</w:t>
      </w:r>
      <w:r>
        <w:rPr>
          <w:rFonts w:hint="eastAsia" w:ascii="仿宋_GB2312" w:hAnsi="Times New Roman" w:eastAsia="仿宋_GB2312" w:cs="Times New Roman"/>
          <w:kern w:val="2"/>
          <w:sz w:val="32"/>
          <w:szCs w:val="32"/>
          <w:lang w:val="en-US" w:bidi="ar-SA"/>
        </w:rPr>
        <w:t>项目</w:t>
      </w:r>
      <w:r>
        <w:rPr>
          <w:rFonts w:ascii="仿宋_GB2312" w:hAnsi="Times New Roman" w:eastAsia="仿宋_GB2312" w:cs="Times New Roman"/>
          <w:kern w:val="2"/>
          <w:sz w:val="32"/>
          <w:szCs w:val="32"/>
          <w:lang w:val="en-US" w:bidi="ar-SA"/>
        </w:rPr>
        <w:t>绩效等级，并对自评报告的真实性、准确性负责。</w:t>
      </w:r>
    </w:p>
    <w:p>
      <w:pPr>
        <w:tabs>
          <w:tab w:val="left" w:pos="900"/>
        </w:tabs>
        <w:spacing w:line="600" w:lineRule="exact"/>
        <w:ind w:firstLine="643" w:firstLineChars="200"/>
        <w:rPr>
          <w:rFonts w:ascii="黑体" w:hAnsi="宋体" w:eastAsia="黑体"/>
          <w:b/>
          <w:sz w:val="32"/>
          <w:szCs w:val="32"/>
        </w:rPr>
      </w:pPr>
      <w:r>
        <w:rPr>
          <w:rFonts w:hint="eastAsia" w:ascii="黑体" w:hAnsi="宋体" w:eastAsia="黑体"/>
          <w:b/>
          <w:sz w:val="32"/>
          <w:szCs w:val="32"/>
        </w:rPr>
        <w:t>三、评价结论</w:t>
      </w:r>
    </w:p>
    <w:p>
      <w:pPr>
        <w:spacing w:line="580" w:lineRule="exact"/>
        <w:ind w:firstLine="640" w:firstLineChars="200"/>
        <w:rPr>
          <w:rFonts w:ascii="仿宋_GB2312" w:hAnsi="宋体" w:eastAsia="仿宋_GB2312" w:cs="宋体"/>
          <w:sz w:val="32"/>
          <w:szCs w:val="32"/>
        </w:rPr>
      </w:pPr>
      <w:r>
        <w:rPr>
          <w:rFonts w:hint="eastAsia" w:eastAsia="仿宋_GB2312"/>
          <w:sz w:val="32"/>
          <w:szCs w:val="32"/>
        </w:rPr>
        <w:t>总体上看，该项目立项必要性和依据充分，绩效目标明确。通过项目实施，</w:t>
      </w:r>
      <w:r>
        <w:rPr>
          <w:rFonts w:hint="eastAsia" w:ascii="仿宋_GB2312" w:eastAsia="仿宋_GB2312"/>
          <w:color w:val="000000"/>
          <w:sz w:val="32"/>
          <w:szCs w:val="32"/>
        </w:rPr>
        <w:t>保障了单位网络畅通，实现全省互联互通。提高了业务办理水平。</w:t>
      </w:r>
      <w:r>
        <w:rPr>
          <w:rFonts w:hint="eastAsia" w:ascii="仿宋_GB2312" w:hAnsi="宋体" w:eastAsia="仿宋_GB2312" w:cs="宋体"/>
          <w:sz w:val="32"/>
          <w:szCs w:val="32"/>
        </w:rPr>
        <w:t>各项目标达到了相应时期执行进度，各项目经费按预算实施，使财政收支预算执行都得到了良好的制度保障和实施效果。</w:t>
      </w:r>
    </w:p>
    <w:p>
      <w:pPr>
        <w:tabs>
          <w:tab w:val="left" w:pos="900"/>
        </w:tabs>
        <w:spacing w:line="600" w:lineRule="exact"/>
        <w:ind w:firstLine="803" w:firstLineChars="250"/>
        <w:rPr>
          <w:rFonts w:ascii="黑体" w:hAnsi="宋体" w:eastAsia="黑体"/>
          <w:b/>
          <w:sz w:val="32"/>
          <w:szCs w:val="32"/>
        </w:rPr>
      </w:pPr>
      <w:r>
        <w:rPr>
          <w:rFonts w:hint="eastAsia" w:ascii="黑体" w:hAnsi="宋体" w:eastAsia="黑体"/>
          <w:b/>
          <w:sz w:val="32"/>
          <w:szCs w:val="32"/>
        </w:rPr>
        <w:t>四、绩效分析</w:t>
      </w:r>
    </w:p>
    <w:p>
      <w:pPr>
        <w:spacing w:line="600" w:lineRule="exact"/>
        <w:ind w:left="435" w:leftChars="207" w:firstLine="480" w:firstLineChars="15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年行政审批局政务大厅网络租赁费项目支出绩效自我评价打分96分。具体评价情况如下:</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（一）投入指标总分25分，自评分值24分。</w:t>
      </w:r>
    </w:p>
    <w:p>
      <w:pPr>
        <w:spacing w:line="600" w:lineRule="exact"/>
        <w:ind w:left="435" w:firstLine="640" w:firstLineChars="200"/>
        <w:rPr>
          <w:rFonts w:ascii="仿宋_GB2312" w:hAnsi="宋体" w:eastAsia="仿宋_GB2312" w:cs="宋体"/>
          <w:sz w:val="32"/>
          <w:szCs w:val="32"/>
        </w:rPr>
      </w:pPr>
      <w:r>
        <w:rPr>
          <w:rFonts w:hint="eastAsia" w:ascii="仿宋_GB2312" w:hAnsi="宋体" w:eastAsia="仿宋_GB2312" w:cs="宋体"/>
          <w:sz w:val="32"/>
          <w:szCs w:val="32"/>
        </w:rPr>
        <w:t>1.项目立项指标</w:t>
      </w:r>
      <w:r>
        <w:rPr>
          <w:rFonts w:ascii="仿宋_GB2312" w:hAnsi="宋体" w:eastAsia="仿宋_GB2312" w:cs="宋体"/>
          <w:sz w:val="32"/>
          <w:szCs w:val="32"/>
        </w:rPr>
        <w:t>15</w:t>
      </w:r>
      <w:r>
        <w:rPr>
          <w:rFonts w:hint="eastAsia" w:ascii="仿宋_GB2312" w:hAnsi="宋体" w:eastAsia="仿宋_GB2312" w:cs="宋体"/>
          <w:sz w:val="32"/>
          <w:szCs w:val="32"/>
        </w:rPr>
        <w:t>分，其中项目立项规范性5分、绩效目标合理性4分、绩效指标明确性6分。指标自评分值为14分。其中绩效指标明确性自评扣1分，扣分原因是预算确定的项目投资额与实际需要有差距。</w:t>
      </w:r>
    </w:p>
    <w:p>
      <w:pPr>
        <w:spacing w:line="600" w:lineRule="exact"/>
        <w:ind w:left="435" w:firstLine="640" w:firstLineChars="200"/>
        <w:rPr>
          <w:rFonts w:ascii="仿宋_GB2312" w:hAnsi="宋体" w:eastAsia="仿宋_GB2312" w:cs="宋体"/>
          <w:sz w:val="32"/>
          <w:szCs w:val="32"/>
        </w:rPr>
      </w:pPr>
      <w:r>
        <w:rPr>
          <w:rFonts w:hint="eastAsia" w:ascii="仿宋_GB2312" w:hAnsi="宋体" w:eastAsia="仿宋_GB2312" w:cs="宋体"/>
          <w:sz w:val="32"/>
          <w:szCs w:val="32"/>
        </w:rPr>
        <w:t>2.资金落实</w:t>
      </w:r>
      <w:r>
        <w:rPr>
          <w:rFonts w:ascii="仿宋_GB2312" w:hAnsi="宋体" w:eastAsia="仿宋_GB2312" w:cs="宋体"/>
          <w:sz w:val="32"/>
          <w:szCs w:val="32"/>
        </w:rPr>
        <w:t>10</w:t>
      </w:r>
      <w:r>
        <w:rPr>
          <w:rFonts w:hint="eastAsia" w:ascii="仿宋_GB2312" w:hAnsi="宋体" w:eastAsia="仿宋_GB2312" w:cs="宋体"/>
          <w:sz w:val="32"/>
          <w:szCs w:val="32"/>
        </w:rPr>
        <w:t>分，资金到位率</w:t>
      </w:r>
      <w:r>
        <w:rPr>
          <w:rFonts w:ascii="仿宋_GB2312" w:hAnsi="宋体" w:eastAsia="仿宋_GB2312" w:cs="宋体"/>
          <w:sz w:val="32"/>
          <w:szCs w:val="32"/>
        </w:rPr>
        <w:t>5</w:t>
      </w:r>
      <w:r>
        <w:rPr>
          <w:rFonts w:hint="eastAsia" w:ascii="仿宋_GB2312" w:hAnsi="宋体" w:eastAsia="仿宋_GB2312" w:cs="宋体"/>
          <w:sz w:val="32"/>
          <w:szCs w:val="32"/>
        </w:rPr>
        <w:t>分、到位及时率</w:t>
      </w:r>
      <w:r>
        <w:rPr>
          <w:rFonts w:ascii="仿宋_GB2312" w:hAnsi="宋体" w:eastAsia="仿宋_GB2312" w:cs="宋体"/>
          <w:sz w:val="32"/>
          <w:szCs w:val="32"/>
        </w:rPr>
        <w:t>5</w:t>
      </w:r>
      <w:r>
        <w:rPr>
          <w:rFonts w:hint="eastAsia" w:ascii="仿宋_GB2312" w:hAnsi="宋体" w:eastAsia="仿宋_GB2312" w:cs="宋体"/>
          <w:sz w:val="32"/>
          <w:szCs w:val="32"/>
        </w:rPr>
        <w:t>分。指标自评分值为10分。</w:t>
      </w:r>
    </w:p>
    <w:p>
      <w:pPr>
        <w:spacing w:line="600" w:lineRule="exact"/>
        <w:ind w:left="435" w:firstLine="643" w:firstLineChars="200"/>
        <w:rPr>
          <w:rFonts w:ascii="仿宋_GB2312" w:hAnsi="宋体" w:eastAsia="仿宋_GB2312" w:cs="宋体"/>
          <w:b/>
          <w:sz w:val="32"/>
          <w:szCs w:val="32"/>
        </w:rPr>
      </w:pPr>
      <w:r>
        <w:rPr>
          <w:rFonts w:hint="eastAsia" w:ascii="仿宋_GB2312" w:hAnsi="宋体" w:eastAsia="仿宋_GB2312" w:cs="宋体"/>
          <w:b/>
          <w:sz w:val="32"/>
          <w:szCs w:val="32"/>
        </w:rPr>
        <w:t>（二）过程指标总分25分，自评分值24分。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业务管理</w:t>
      </w:r>
      <w:r>
        <w:rPr>
          <w:rFonts w:ascii="仿宋_GB2312" w:hAnsi="宋体" w:eastAsia="仿宋_GB2312" w:cs="宋体"/>
          <w:sz w:val="32"/>
          <w:szCs w:val="32"/>
        </w:rPr>
        <w:t>13</w:t>
      </w:r>
      <w:r>
        <w:rPr>
          <w:rFonts w:hint="eastAsia" w:ascii="仿宋_GB2312" w:hAnsi="宋体" w:eastAsia="仿宋_GB2312" w:cs="宋体"/>
          <w:sz w:val="32"/>
          <w:szCs w:val="32"/>
        </w:rPr>
        <w:t>分，其中管理制度健全性</w:t>
      </w:r>
      <w:r>
        <w:rPr>
          <w:rFonts w:ascii="仿宋_GB2312" w:hAnsi="宋体" w:eastAsia="仿宋_GB2312" w:cs="宋体"/>
          <w:sz w:val="32"/>
          <w:szCs w:val="32"/>
        </w:rPr>
        <w:t>4</w:t>
      </w:r>
      <w:r>
        <w:rPr>
          <w:rFonts w:hint="eastAsia" w:ascii="仿宋_GB2312" w:hAnsi="宋体" w:eastAsia="仿宋_GB2312" w:cs="宋体"/>
          <w:sz w:val="32"/>
          <w:szCs w:val="32"/>
        </w:rPr>
        <w:t>分、制度执行有效性</w:t>
      </w:r>
      <w:r>
        <w:rPr>
          <w:rFonts w:ascii="仿宋_GB2312" w:hAnsi="宋体" w:eastAsia="仿宋_GB2312" w:cs="宋体"/>
          <w:sz w:val="32"/>
          <w:szCs w:val="32"/>
        </w:rPr>
        <w:t>6</w:t>
      </w:r>
      <w:r>
        <w:rPr>
          <w:rFonts w:hint="eastAsia" w:ascii="仿宋_GB2312" w:hAnsi="宋体" w:eastAsia="仿宋_GB2312" w:cs="宋体"/>
          <w:sz w:val="32"/>
          <w:szCs w:val="32"/>
        </w:rPr>
        <w:t>分、项目质量可控性</w:t>
      </w:r>
      <w:r>
        <w:rPr>
          <w:rFonts w:ascii="仿宋_GB2312" w:hAnsi="宋体" w:eastAsia="仿宋_GB2312" w:cs="宋体"/>
          <w:sz w:val="32"/>
          <w:szCs w:val="32"/>
        </w:rPr>
        <w:t>3</w:t>
      </w:r>
      <w:r>
        <w:rPr>
          <w:rFonts w:hint="eastAsia" w:ascii="仿宋_GB2312" w:hAnsi="宋体" w:eastAsia="仿宋_GB2312" w:cs="宋体"/>
          <w:sz w:val="32"/>
          <w:szCs w:val="32"/>
        </w:rPr>
        <w:t>分。指标自评分值为13分。财务管理</w:t>
      </w:r>
      <w:r>
        <w:rPr>
          <w:rFonts w:ascii="仿宋_GB2312" w:hAnsi="宋体" w:eastAsia="仿宋_GB2312" w:cs="宋体"/>
          <w:sz w:val="32"/>
          <w:szCs w:val="32"/>
        </w:rPr>
        <w:t>12</w:t>
      </w:r>
      <w:r>
        <w:rPr>
          <w:rFonts w:hint="eastAsia" w:ascii="仿宋_GB2312" w:hAnsi="宋体" w:eastAsia="仿宋_GB2312" w:cs="宋体"/>
          <w:sz w:val="32"/>
          <w:szCs w:val="32"/>
        </w:rPr>
        <w:t>分，资金使用合规性</w:t>
      </w:r>
      <w:r>
        <w:rPr>
          <w:rFonts w:ascii="仿宋_GB2312" w:hAnsi="宋体" w:eastAsia="仿宋_GB2312" w:cs="宋体"/>
          <w:sz w:val="32"/>
          <w:szCs w:val="32"/>
        </w:rPr>
        <w:t>7</w:t>
      </w:r>
      <w:r>
        <w:rPr>
          <w:rFonts w:hint="eastAsia" w:ascii="仿宋_GB2312" w:hAnsi="宋体" w:eastAsia="仿宋_GB2312" w:cs="宋体"/>
          <w:sz w:val="32"/>
          <w:szCs w:val="32"/>
        </w:rPr>
        <w:t>分，指标自评分值为6分，扣分原因是预算确定的项目投资额与实际需要有差距。</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（三）产出指标总分20分，自评分值20分。</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（四）效果指标总分30分，自评分值28分。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项目效益</w:t>
      </w:r>
      <w:r>
        <w:rPr>
          <w:rFonts w:ascii="仿宋_GB2312" w:hAnsi="宋体" w:eastAsia="仿宋_GB2312" w:cs="宋体"/>
          <w:sz w:val="32"/>
          <w:szCs w:val="32"/>
        </w:rPr>
        <w:t>30</w:t>
      </w:r>
      <w:r>
        <w:rPr>
          <w:rFonts w:hint="eastAsia" w:ascii="仿宋_GB2312" w:hAnsi="宋体" w:eastAsia="仿宋_GB2312" w:cs="宋体"/>
          <w:sz w:val="32"/>
          <w:szCs w:val="32"/>
        </w:rPr>
        <w:t>分，其中经济效益</w:t>
      </w:r>
      <w:r>
        <w:rPr>
          <w:rFonts w:ascii="仿宋_GB2312" w:hAnsi="宋体" w:eastAsia="仿宋_GB2312" w:cs="宋体"/>
          <w:sz w:val="32"/>
          <w:szCs w:val="32"/>
        </w:rPr>
        <w:t>5</w:t>
      </w:r>
      <w:r>
        <w:rPr>
          <w:rFonts w:hint="eastAsia" w:ascii="仿宋_GB2312" w:hAnsi="宋体" w:eastAsia="仿宋_GB2312" w:cs="宋体"/>
          <w:sz w:val="32"/>
          <w:szCs w:val="32"/>
        </w:rPr>
        <w:t>分、社会效益</w:t>
      </w:r>
      <w:r>
        <w:rPr>
          <w:rFonts w:ascii="仿宋_GB2312" w:hAnsi="宋体" w:eastAsia="仿宋_GB2312" w:cs="宋体"/>
          <w:sz w:val="32"/>
          <w:szCs w:val="32"/>
        </w:rPr>
        <w:t>5</w:t>
      </w:r>
      <w:r>
        <w:rPr>
          <w:rFonts w:hint="eastAsia" w:ascii="仿宋_GB2312" w:hAnsi="宋体" w:eastAsia="仿宋_GB2312" w:cs="宋体"/>
          <w:sz w:val="32"/>
          <w:szCs w:val="32"/>
        </w:rPr>
        <w:t>分、生态效益</w:t>
      </w:r>
      <w:r>
        <w:rPr>
          <w:rFonts w:ascii="仿宋_GB2312" w:hAnsi="宋体" w:eastAsia="仿宋_GB2312" w:cs="宋体"/>
          <w:sz w:val="32"/>
          <w:szCs w:val="32"/>
        </w:rPr>
        <w:t>5</w:t>
      </w:r>
      <w:r>
        <w:rPr>
          <w:rFonts w:hint="eastAsia" w:ascii="仿宋_GB2312" w:hAnsi="宋体" w:eastAsia="仿宋_GB2312" w:cs="宋体"/>
          <w:sz w:val="32"/>
          <w:szCs w:val="32"/>
        </w:rPr>
        <w:t>分、可持续影响效益</w:t>
      </w:r>
      <w:r>
        <w:rPr>
          <w:rFonts w:ascii="仿宋_GB2312" w:hAnsi="宋体" w:eastAsia="仿宋_GB2312" w:cs="宋体"/>
          <w:sz w:val="32"/>
          <w:szCs w:val="32"/>
        </w:rPr>
        <w:t>5</w:t>
      </w:r>
      <w:r>
        <w:rPr>
          <w:rFonts w:hint="eastAsia" w:ascii="仿宋_GB2312" w:hAnsi="宋体" w:eastAsia="仿宋_GB2312" w:cs="宋体"/>
          <w:sz w:val="32"/>
          <w:szCs w:val="32"/>
        </w:rPr>
        <w:t>分、社会公众或服务对象满意度</w:t>
      </w:r>
      <w:r>
        <w:rPr>
          <w:rFonts w:ascii="仿宋_GB2312" w:hAnsi="宋体" w:eastAsia="仿宋_GB2312" w:cs="宋体"/>
          <w:sz w:val="32"/>
          <w:szCs w:val="32"/>
        </w:rPr>
        <w:t>10</w:t>
      </w:r>
      <w:r>
        <w:rPr>
          <w:rFonts w:hint="eastAsia" w:ascii="仿宋_GB2312" w:hAnsi="宋体" w:eastAsia="仿宋_GB2312" w:cs="宋体"/>
          <w:sz w:val="32"/>
          <w:szCs w:val="32"/>
        </w:rPr>
        <w:t>，指标自评分值为28分。其中绩效目标合理性自评扣1分，在社会公众或服务对象满意度扣1分，服务质量有等加强。</w:t>
      </w:r>
    </w:p>
    <w:p>
      <w:pPr>
        <w:tabs>
          <w:tab w:val="left" w:pos="900"/>
        </w:tabs>
        <w:spacing w:line="600" w:lineRule="exact"/>
        <w:ind w:firstLine="630" w:firstLineChars="196"/>
        <w:rPr>
          <w:rFonts w:ascii="黑体" w:hAnsi="宋体" w:eastAsia="黑体"/>
          <w:b/>
          <w:sz w:val="32"/>
          <w:szCs w:val="32"/>
        </w:rPr>
      </w:pPr>
      <w:r>
        <w:rPr>
          <w:rFonts w:hint="eastAsia" w:ascii="黑体" w:hAnsi="宋体" w:eastAsia="黑体"/>
          <w:b/>
          <w:sz w:val="32"/>
          <w:szCs w:val="32"/>
        </w:rPr>
        <w:t>五、主要经验及做法、存在的问题和建议</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（一）主要经验及做法</w:t>
      </w:r>
    </w:p>
    <w:p>
      <w:pPr>
        <w:pStyle w:val="14"/>
        <w:widowControl/>
        <w:shd w:val="clear" w:color="auto" w:fill="FFFFFF"/>
        <w:spacing w:before="0" w:beforeAutospacing="0" w:after="0" w:afterAutospacing="0" w:line="368" w:lineRule="atLeast"/>
        <w:ind w:firstLine="634"/>
        <w:rPr>
          <w:rFonts w:ascii="仿宋_GB2312" w:hAnsi="宋体" w:cs="宋体"/>
          <w:kern w:val="2"/>
          <w:sz w:val="32"/>
        </w:rPr>
      </w:pPr>
      <w:r>
        <w:rPr>
          <w:rFonts w:hint="eastAsia" w:ascii="仿宋_GB2312" w:hAnsi="宋体" w:cs="宋体"/>
          <w:kern w:val="2"/>
          <w:sz w:val="32"/>
        </w:rPr>
        <w:t>1、工作与经费管理规范，按计划完成，社会效益较好，项目可持续性强，服务对象总体满意。</w:t>
      </w:r>
    </w:p>
    <w:p>
      <w:pPr>
        <w:pStyle w:val="14"/>
        <w:widowControl/>
        <w:shd w:val="clear" w:color="auto" w:fill="FFFFFF"/>
        <w:spacing w:before="0" w:beforeAutospacing="0" w:after="0" w:afterAutospacing="0" w:line="368" w:lineRule="atLeast"/>
        <w:ind w:firstLine="634"/>
        <w:rPr>
          <w:rFonts w:ascii="仿宋_GB2312" w:hAnsi="宋体" w:cs="宋体"/>
          <w:kern w:val="2"/>
          <w:sz w:val="32"/>
        </w:rPr>
      </w:pPr>
      <w:r>
        <w:rPr>
          <w:rFonts w:hint="eastAsia" w:ascii="仿宋_GB2312" w:hAnsi="宋体" w:cs="宋体"/>
          <w:kern w:val="2"/>
          <w:sz w:val="32"/>
        </w:rPr>
        <w:t>2、严格按照年初部门预算和工作进度执行。</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（二）存在的问题</w:t>
      </w:r>
    </w:p>
    <w:p>
      <w:pPr>
        <w:pStyle w:val="14"/>
        <w:widowControl/>
        <w:shd w:val="clear" w:color="auto" w:fill="FFFFFF"/>
        <w:spacing w:before="0" w:beforeAutospacing="0" w:after="0" w:afterAutospacing="0" w:line="368" w:lineRule="atLeast"/>
        <w:ind w:firstLine="640" w:firstLineChars="200"/>
        <w:rPr>
          <w:rFonts w:ascii="仿宋_GB2312" w:hAnsi="宋体" w:cs="宋体"/>
          <w:kern w:val="2"/>
          <w:sz w:val="32"/>
        </w:rPr>
      </w:pPr>
      <w:r>
        <w:rPr>
          <w:rFonts w:hint="eastAsia" w:ascii="仿宋_GB2312" w:hAnsi="宋体" w:cs="宋体"/>
          <w:kern w:val="2"/>
          <w:sz w:val="32"/>
        </w:rPr>
        <w:t>绩效管理的经验不足，项目的部分成果无法用指标形式表示，在绩效考评指标的设计上，还有待加强。</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（三）建议和改进措施</w:t>
      </w:r>
    </w:p>
    <w:p>
      <w:pPr>
        <w:pStyle w:val="14"/>
        <w:widowControl/>
        <w:shd w:val="clear" w:color="auto" w:fill="FFFFFF"/>
        <w:spacing w:before="0" w:beforeAutospacing="0" w:after="0" w:afterAutospacing="0" w:line="368" w:lineRule="atLeast"/>
        <w:ind w:firstLine="800" w:firstLineChars="250"/>
        <w:rPr>
          <w:rFonts w:ascii="仿宋_GB2312" w:hAnsi="宋体" w:cs="宋体"/>
          <w:kern w:val="2"/>
          <w:sz w:val="32"/>
        </w:rPr>
      </w:pPr>
      <w:r>
        <w:rPr>
          <w:rFonts w:hint="eastAsia" w:ascii="仿宋_GB2312" w:hAnsi="宋体" w:cs="宋体"/>
          <w:kern w:val="2"/>
          <w:sz w:val="32"/>
        </w:rPr>
        <w:t>建议财政开展有关绩效评价工作的专业培训。</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附件：1.202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w:t>
      </w:r>
      <w:r>
        <w:rPr>
          <w:rFonts w:hint="eastAsia" w:ascii="仿宋_GB2312" w:hAnsi="宋体" w:eastAsia="仿宋_GB2312" w:cs="宋体"/>
          <w:sz w:val="32"/>
          <w:szCs w:val="32"/>
          <w:lang w:val="en-US" w:eastAsia="zh-CN"/>
        </w:rPr>
        <w:t>乐至县项目</w:t>
      </w:r>
      <w:r>
        <w:rPr>
          <w:rFonts w:hint="eastAsia" w:ascii="仿宋_GB2312" w:hAnsi="宋体" w:eastAsia="仿宋_GB2312" w:cs="宋体"/>
          <w:sz w:val="32"/>
          <w:szCs w:val="32"/>
        </w:rPr>
        <w:t>支出绩效自评计分表</w:t>
      </w:r>
    </w:p>
    <w:p>
      <w:pPr>
        <w:spacing w:line="600" w:lineRule="exact"/>
        <w:ind w:firstLine="1600" w:firstLineChars="500"/>
        <w:rPr>
          <w:rFonts w:ascii="仿宋_GB2312" w:hAnsi="宋体" w:eastAsia="仿宋_GB2312" w:cs="宋体"/>
          <w:sz w:val="32"/>
          <w:szCs w:val="32"/>
        </w:rPr>
      </w:pPr>
      <w:r>
        <w:rPr>
          <w:rFonts w:hint="eastAsia" w:ascii="仿宋_GB2312" w:hAnsi="宋体" w:eastAsia="仿宋_GB2312" w:cs="宋体"/>
          <w:sz w:val="32"/>
          <w:szCs w:val="32"/>
        </w:rPr>
        <w:t>2.202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w:t>
      </w:r>
      <w:r>
        <w:rPr>
          <w:rFonts w:hint="eastAsia" w:ascii="仿宋_GB2312" w:hAnsi="宋体" w:eastAsia="仿宋_GB2312" w:cs="宋体"/>
          <w:sz w:val="32"/>
          <w:szCs w:val="32"/>
          <w:lang w:val="en-US" w:eastAsia="zh-CN"/>
        </w:rPr>
        <w:t>乐至县项目</w:t>
      </w:r>
      <w:r>
        <w:rPr>
          <w:rFonts w:hint="eastAsia" w:ascii="仿宋_GB2312" w:hAnsi="宋体" w:eastAsia="仿宋_GB2312" w:cs="宋体"/>
          <w:sz w:val="32"/>
          <w:szCs w:val="32"/>
        </w:rPr>
        <w:t>支出绩效目标完成情况表</w:t>
      </w:r>
    </w:p>
    <w:p>
      <w:pPr>
        <w:pStyle w:val="2"/>
        <w:spacing w:line="620" w:lineRule="exact"/>
        <w:ind w:firstLine="590" w:firstLineChars="196"/>
        <w:rPr>
          <w:rFonts w:eastAsia="方正仿宋简体"/>
          <w:b/>
        </w:rPr>
      </w:pPr>
    </w:p>
    <w:p>
      <w:pPr>
        <w:tabs>
          <w:tab w:val="left" w:pos="5518"/>
        </w:tabs>
        <w:rPr>
          <w:rFonts w:hint="eastAsia"/>
          <w:lang w:eastAsia="zh-CN"/>
        </w:rPr>
      </w:pPr>
      <w:r>
        <w:rPr>
          <w:rFonts w:hint="eastAsia"/>
          <w:lang w:eastAsia="zh-CN"/>
        </w:rPr>
        <w:tab/>
      </w:r>
    </w:p>
    <w:p>
      <w:pPr>
        <w:pStyle w:val="2"/>
        <w:rPr>
          <w:rFonts w:hint="eastAsia"/>
          <w:lang w:eastAsia="zh-CN"/>
        </w:rPr>
      </w:pPr>
    </w:p>
    <w:p>
      <w:pPr>
        <w:spacing w:line="600" w:lineRule="exact"/>
        <w:ind w:firstLine="6080" w:firstLineChars="1900"/>
        <w:rPr>
          <w:rFonts w:ascii="楷体_GB2312" w:hAnsi="宋体" w:eastAsia="楷体_GB2312" w:cs="宋体"/>
          <w:sz w:val="32"/>
          <w:szCs w:val="32"/>
        </w:rPr>
      </w:pPr>
      <w:r>
        <w:rPr>
          <w:rFonts w:hint="eastAsia" w:ascii="楷体_GB2312" w:hAnsi="宋体" w:eastAsia="楷体_GB2312" w:cs="宋体"/>
          <w:sz w:val="32"/>
          <w:szCs w:val="32"/>
        </w:rPr>
        <w:t>乐至县行政审批局</w:t>
      </w:r>
    </w:p>
    <w:p>
      <w:pPr>
        <w:spacing w:line="600" w:lineRule="exact"/>
        <w:jc w:val="center"/>
        <w:rPr>
          <w:rFonts w:ascii="宋体" w:hAnsi="宋体" w:eastAsia="方正小标宋简体"/>
          <w:bCs/>
          <w:kern w:val="0"/>
          <w:sz w:val="40"/>
          <w:szCs w:val="40"/>
        </w:rPr>
        <w:sectPr>
          <w:headerReference r:id="rId3" w:type="default"/>
          <w:footerReference r:id="rId4" w:type="default"/>
          <w:pgSz w:w="11907" w:h="16840"/>
          <w:pgMar w:top="2098" w:right="1474" w:bottom="1928" w:left="1588" w:header="851" w:footer="992" w:gutter="0"/>
          <w:cols w:space="720" w:num="1"/>
          <w:docGrid w:type="lines" w:linePitch="312" w:charSpace="0"/>
        </w:sectPr>
      </w:pPr>
      <w:r>
        <w:rPr>
          <w:rFonts w:hint="eastAsia" w:ascii="楷体_GB2312" w:hAnsi="宋体" w:eastAsia="楷体_GB2312" w:cs="宋体"/>
          <w:sz w:val="32"/>
          <w:szCs w:val="32"/>
        </w:rPr>
        <w:t xml:space="preserve">                                     202</w:t>
      </w:r>
      <w:r>
        <w:rPr>
          <w:rFonts w:hint="eastAsia" w:ascii="楷体_GB2312" w:hAnsi="宋体" w:eastAsia="楷体_GB2312" w:cs="宋体"/>
          <w:sz w:val="32"/>
          <w:szCs w:val="32"/>
          <w:lang w:val="en-US" w:eastAsia="zh-CN"/>
        </w:rPr>
        <w:t>3</w:t>
      </w:r>
      <w:r>
        <w:rPr>
          <w:rFonts w:hint="eastAsia" w:ascii="楷体_GB2312" w:hAnsi="宋体" w:eastAsia="楷体_GB2312" w:cs="宋体"/>
          <w:sz w:val="32"/>
          <w:szCs w:val="32"/>
        </w:rPr>
        <w:t>年</w:t>
      </w:r>
      <w:r>
        <w:rPr>
          <w:rFonts w:hint="eastAsia" w:ascii="楷体_GB2312" w:hAnsi="宋体" w:eastAsia="楷体_GB2312" w:cs="宋体"/>
          <w:sz w:val="32"/>
          <w:szCs w:val="32"/>
          <w:lang w:val="en-US" w:eastAsia="zh-CN"/>
        </w:rPr>
        <w:t>10</w:t>
      </w:r>
      <w:r>
        <w:rPr>
          <w:rFonts w:hint="eastAsia" w:ascii="楷体_GB2312" w:hAnsi="宋体" w:eastAsia="楷体_GB2312" w:cs="宋体"/>
          <w:sz w:val="32"/>
          <w:szCs w:val="32"/>
        </w:rPr>
        <w:t>月</w:t>
      </w:r>
      <w:r>
        <w:rPr>
          <w:rFonts w:hint="eastAsia" w:ascii="楷体_GB2312" w:hAnsi="宋体" w:eastAsia="楷体_GB2312" w:cs="宋体"/>
          <w:sz w:val="32"/>
          <w:szCs w:val="32"/>
          <w:lang w:val="en-US" w:eastAsia="zh-CN"/>
        </w:rPr>
        <w:t xml:space="preserve">18 </w:t>
      </w:r>
      <w:r>
        <w:rPr>
          <w:rFonts w:hint="eastAsia" w:ascii="楷体_GB2312" w:hAnsi="宋体" w:eastAsia="楷体_GB2312" w:cs="宋体"/>
          <w:sz w:val="32"/>
          <w:szCs w:val="32"/>
        </w:rPr>
        <w:t>日</w:t>
      </w:r>
    </w:p>
    <w:p>
      <w:pPr>
        <w:spacing w:line="620" w:lineRule="exact"/>
        <w:jc w:val="left"/>
        <w:rPr>
          <w:rFonts w:eastAsia="方正黑体简体"/>
          <w:bCs/>
          <w:kern w:val="0"/>
        </w:rPr>
      </w:pPr>
      <w:r>
        <w:rPr>
          <w:rFonts w:hint="eastAsia" w:eastAsia="方正黑体简体"/>
          <w:bCs/>
          <w:kern w:val="0"/>
        </w:rPr>
        <w:t>附件2</w:t>
      </w:r>
      <w:r>
        <w:rPr>
          <w:rFonts w:eastAsia="方正黑体简体"/>
          <w:bCs/>
          <w:kern w:val="0"/>
        </w:rPr>
        <w:t>-1</w:t>
      </w:r>
    </w:p>
    <w:p>
      <w:pPr>
        <w:spacing w:line="620" w:lineRule="exact"/>
        <w:jc w:val="center"/>
        <w:rPr>
          <w:rFonts w:eastAsia="方正小标宋简体"/>
          <w:bCs/>
          <w:kern w:val="0"/>
          <w:sz w:val="40"/>
          <w:szCs w:val="40"/>
        </w:rPr>
      </w:pPr>
      <w:r>
        <w:rPr>
          <w:rFonts w:eastAsia="方正小标宋简体"/>
          <w:bCs/>
          <w:kern w:val="0"/>
          <w:sz w:val="40"/>
          <w:szCs w:val="40"/>
        </w:rPr>
        <w:t>202</w:t>
      </w:r>
      <w:r>
        <w:rPr>
          <w:rFonts w:hint="eastAsia" w:eastAsia="方正小标宋简体"/>
          <w:bCs/>
          <w:kern w:val="0"/>
          <w:sz w:val="40"/>
          <w:szCs w:val="40"/>
          <w:lang w:val="en-US" w:eastAsia="zh-CN"/>
        </w:rPr>
        <w:t>2</w:t>
      </w:r>
      <w:r>
        <w:rPr>
          <w:rFonts w:hint="eastAsia" w:eastAsia="方正小标宋简体"/>
          <w:bCs/>
          <w:kern w:val="0"/>
          <w:sz w:val="40"/>
          <w:szCs w:val="40"/>
        </w:rPr>
        <w:t>年度乐至县项目支出绩效自评计分表</w:t>
      </w:r>
    </w:p>
    <w:p>
      <w:pPr>
        <w:spacing w:line="620" w:lineRule="exact"/>
        <w:jc w:val="center"/>
        <w:rPr>
          <w:rFonts w:eastAsia="方正小标宋简体"/>
          <w:bCs/>
          <w:kern w:val="0"/>
          <w:sz w:val="40"/>
          <w:szCs w:val="40"/>
        </w:rPr>
      </w:pPr>
      <w:r>
        <w:rPr>
          <w:rFonts w:hint="eastAsia" w:eastAsia="方正小标宋简体"/>
          <w:bCs/>
          <w:kern w:val="0"/>
          <w:sz w:val="40"/>
          <w:szCs w:val="40"/>
        </w:rPr>
        <w:t>（政务大厅网络租赁费项目）</w:t>
      </w:r>
    </w:p>
    <w:p>
      <w:pPr>
        <w:widowControl/>
        <w:spacing w:line="590" w:lineRule="exact"/>
        <w:jc w:val="left"/>
        <w:rPr>
          <w:sz w:val="18"/>
          <w:szCs w:val="18"/>
        </w:rPr>
      </w:pPr>
      <w:r>
        <w:rPr>
          <w:rFonts w:hint="eastAsia"/>
          <w:bCs/>
          <w:kern w:val="0"/>
          <w:sz w:val="18"/>
          <w:szCs w:val="18"/>
        </w:rPr>
        <w:t xml:space="preserve">预算单位名称：乐至县行政审批局 </w:t>
      </w:r>
      <w:r>
        <w:rPr>
          <w:bCs/>
          <w:kern w:val="0"/>
          <w:sz w:val="18"/>
          <w:szCs w:val="18"/>
        </w:rPr>
        <w:t xml:space="preserve"> </w:t>
      </w:r>
      <w:r>
        <w:rPr>
          <w:rFonts w:hint="eastAsia"/>
          <w:bCs/>
          <w:kern w:val="0"/>
          <w:sz w:val="18"/>
          <w:szCs w:val="18"/>
        </w:rPr>
        <w:t xml:space="preserve">       预算单位编码：134101001  </w:t>
      </w:r>
      <w:r>
        <w:rPr>
          <w:bCs/>
          <w:kern w:val="0"/>
          <w:sz w:val="18"/>
          <w:szCs w:val="18"/>
        </w:rPr>
        <w:t xml:space="preserve"> </w:t>
      </w:r>
      <w:r>
        <w:rPr>
          <w:rFonts w:hint="eastAsia"/>
          <w:bCs/>
          <w:kern w:val="0"/>
          <w:sz w:val="18"/>
          <w:szCs w:val="18"/>
        </w:rPr>
        <w:t xml:space="preserve">          自评等级：优</w:t>
      </w:r>
    </w:p>
    <w:tbl>
      <w:tblPr>
        <w:tblStyle w:val="16"/>
        <w:tblW w:w="50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88"/>
        <w:gridCol w:w="680"/>
        <w:gridCol w:w="833"/>
        <w:gridCol w:w="1659"/>
        <w:gridCol w:w="3480"/>
        <w:gridCol w:w="703"/>
        <w:gridCol w:w="8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tblHeader/>
          <w:jc w:val="center"/>
        </w:trPr>
        <w:tc>
          <w:tcPr>
            <w:tcW w:w="386" w:type="pct"/>
            <w:shd w:val="clear" w:color="000000" w:fill="FFFFFF"/>
            <w:vAlign w:val="center"/>
          </w:tcPr>
          <w:p>
            <w:pPr>
              <w:widowControl/>
              <w:spacing w:line="270" w:lineRule="exact"/>
              <w:jc w:val="center"/>
              <w:rPr>
                <w:rFonts w:cs="黑体"/>
                <w:kern w:val="0"/>
                <w:szCs w:val="21"/>
              </w:rPr>
            </w:pPr>
            <w:r>
              <w:rPr>
                <w:rFonts w:hint="eastAsia" w:cs="黑体"/>
                <w:kern w:val="0"/>
                <w:szCs w:val="21"/>
              </w:rPr>
              <w:t>一级</w:t>
            </w:r>
            <w:r>
              <w:rPr>
                <w:rFonts w:cs="黑体"/>
                <w:kern w:val="0"/>
                <w:szCs w:val="21"/>
              </w:rPr>
              <w:br w:type="textWrapping"/>
            </w:r>
            <w:r>
              <w:rPr>
                <w:rFonts w:hint="eastAsia" w:cs="黑体"/>
                <w:kern w:val="0"/>
                <w:szCs w:val="21"/>
              </w:rPr>
              <w:t>指标</w:t>
            </w:r>
          </w:p>
        </w:tc>
        <w:tc>
          <w:tcPr>
            <w:tcW w:w="381" w:type="pct"/>
            <w:shd w:val="clear" w:color="000000" w:fill="FFFFFF"/>
            <w:vAlign w:val="center"/>
          </w:tcPr>
          <w:p>
            <w:pPr>
              <w:widowControl/>
              <w:spacing w:line="270" w:lineRule="exact"/>
              <w:jc w:val="center"/>
              <w:rPr>
                <w:rFonts w:cs="黑体"/>
                <w:kern w:val="0"/>
                <w:szCs w:val="21"/>
              </w:rPr>
            </w:pPr>
            <w:r>
              <w:rPr>
                <w:rFonts w:hint="eastAsia" w:cs="黑体"/>
                <w:kern w:val="0"/>
                <w:szCs w:val="21"/>
              </w:rPr>
              <w:t>二级</w:t>
            </w:r>
            <w:r>
              <w:rPr>
                <w:rFonts w:cs="黑体"/>
                <w:kern w:val="0"/>
                <w:szCs w:val="21"/>
              </w:rPr>
              <w:br w:type="textWrapping"/>
            </w:r>
            <w:r>
              <w:rPr>
                <w:rFonts w:hint="eastAsia" w:cs="黑体"/>
                <w:kern w:val="0"/>
                <w:szCs w:val="21"/>
              </w:rPr>
              <w:t>指标</w:t>
            </w:r>
          </w:p>
        </w:tc>
        <w:tc>
          <w:tcPr>
            <w:tcW w:w="467" w:type="pct"/>
            <w:shd w:val="clear" w:color="000000" w:fill="FFFFFF"/>
            <w:vAlign w:val="center"/>
          </w:tcPr>
          <w:p>
            <w:pPr>
              <w:widowControl/>
              <w:spacing w:line="270" w:lineRule="exact"/>
              <w:jc w:val="center"/>
              <w:rPr>
                <w:rFonts w:cs="黑体"/>
                <w:kern w:val="0"/>
                <w:szCs w:val="21"/>
              </w:rPr>
            </w:pPr>
            <w:r>
              <w:rPr>
                <w:rFonts w:hint="eastAsia" w:cs="黑体"/>
                <w:kern w:val="0"/>
                <w:szCs w:val="21"/>
              </w:rPr>
              <w:t>三级</w:t>
            </w:r>
          </w:p>
          <w:p>
            <w:pPr>
              <w:widowControl/>
              <w:spacing w:line="270" w:lineRule="exact"/>
              <w:jc w:val="center"/>
              <w:rPr>
                <w:rFonts w:cs="黑体"/>
                <w:kern w:val="0"/>
                <w:szCs w:val="21"/>
              </w:rPr>
            </w:pPr>
            <w:r>
              <w:rPr>
                <w:rFonts w:hint="eastAsia" w:cs="黑体"/>
                <w:kern w:val="0"/>
                <w:szCs w:val="21"/>
              </w:rPr>
              <w:t>指标</w:t>
            </w:r>
          </w:p>
        </w:tc>
        <w:tc>
          <w:tcPr>
            <w:tcW w:w="930" w:type="pct"/>
            <w:shd w:val="clear" w:color="000000" w:fill="FFFFFF"/>
            <w:vAlign w:val="center"/>
          </w:tcPr>
          <w:p>
            <w:pPr>
              <w:widowControl/>
              <w:spacing w:line="270" w:lineRule="exact"/>
              <w:jc w:val="center"/>
              <w:rPr>
                <w:rFonts w:cs="黑体"/>
                <w:kern w:val="0"/>
                <w:szCs w:val="21"/>
              </w:rPr>
            </w:pPr>
            <w:r>
              <w:rPr>
                <w:rFonts w:hint="eastAsia" w:cs="黑体"/>
                <w:kern w:val="0"/>
                <w:szCs w:val="21"/>
              </w:rPr>
              <w:t>指标解释</w:t>
            </w:r>
          </w:p>
        </w:tc>
        <w:tc>
          <w:tcPr>
            <w:tcW w:w="1950" w:type="pct"/>
            <w:shd w:val="clear" w:color="000000" w:fill="FFFFFF"/>
            <w:vAlign w:val="center"/>
          </w:tcPr>
          <w:p>
            <w:pPr>
              <w:widowControl/>
              <w:spacing w:line="270" w:lineRule="exact"/>
              <w:jc w:val="center"/>
              <w:rPr>
                <w:rFonts w:cs="黑体"/>
                <w:kern w:val="0"/>
                <w:szCs w:val="21"/>
              </w:rPr>
            </w:pPr>
            <w:r>
              <w:rPr>
                <w:rFonts w:hint="eastAsia" w:cs="黑体"/>
                <w:kern w:val="0"/>
                <w:szCs w:val="21"/>
              </w:rPr>
              <w:t>指标说明（评价计分标准）</w:t>
            </w:r>
          </w:p>
        </w:tc>
        <w:tc>
          <w:tcPr>
            <w:tcW w:w="394" w:type="pct"/>
            <w:shd w:val="clear" w:color="000000" w:fill="FFFFFF"/>
            <w:vAlign w:val="center"/>
          </w:tcPr>
          <w:p>
            <w:pPr>
              <w:widowControl/>
              <w:spacing w:line="270" w:lineRule="exact"/>
              <w:jc w:val="center"/>
              <w:rPr>
                <w:rFonts w:cs="黑体"/>
                <w:kern w:val="0"/>
                <w:szCs w:val="21"/>
              </w:rPr>
            </w:pPr>
            <w:r>
              <w:rPr>
                <w:rFonts w:hint="eastAsia" w:cs="黑体"/>
                <w:kern w:val="0"/>
                <w:szCs w:val="21"/>
              </w:rPr>
              <w:t>自评</w:t>
            </w:r>
          </w:p>
          <w:p>
            <w:pPr>
              <w:widowControl/>
              <w:spacing w:line="270" w:lineRule="exact"/>
              <w:jc w:val="center"/>
              <w:rPr>
                <w:rFonts w:cs="黑体"/>
                <w:kern w:val="0"/>
                <w:szCs w:val="21"/>
              </w:rPr>
            </w:pPr>
            <w:r>
              <w:rPr>
                <w:rFonts w:hint="eastAsia" w:cs="黑体"/>
                <w:kern w:val="0"/>
                <w:szCs w:val="21"/>
              </w:rPr>
              <w:t>分数</w:t>
            </w:r>
          </w:p>
        </w:tc>
        <w:tc>
          <w:tcPr>
            <w:tcW w:w="490" w:type="pct"/>
            <w:shd w:val="clear" w:color="000000" w:fill="FFFFFF"/>
            <w:vAlign w:val="center"/>
          </w:tcPr>
          <w:p>
            <w:pPr>
              <w:widowControl/>
              <w:spacing w:line="270" w:lineRule="exact"/>
              <w:jc w:val="center"/>
              <w:rPr>
                <w:rFonts w:cs="黑体"/>
                <w:kern w:val="0"/>
                <w:szCs w:val="21"/>
              </w:rPr>
            </w:pPr>
            <w:r>
              <w:rPr>
                <w:rFonts w:hint="eastAsia" w:cs="黑体"/>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3" w:hRule="atLeast"/>
          <w:jc w:val="center"/>
        </w:trPr>
        <w:tc>
          <w:tcPr>
            <w:tcW w:w="386" w:type="pct"/>
            <w:vMerge w:val="restart"/>
            <w:shd w:val="clear" w:color="000000" w:fill="FFFFFF"/>
            <w:noWrap/>
            <w:textDirection w:val="tbRlV"/>
            <w:vAlign w:val="center"/>
          </w:tcPr>
          <w:p>
            <w:pPr>
              <w:widowControl/>
              <w:spacing w:line="27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项目</w:t>
            </w:r>
            <w:r>
              <w:rPr>
                <w:kern w:val="0"/>
                <w:szCs w:val="21"/>
              </w:rPr>
              <w:br w:type="textWrapping"/>
            </w:r>
            <w:r>
              <w:rPr>
                <w:rFonts w:hint="eastAsia"/>
                <w:kern w:val="0"/>
                <w:szCs w:val="21"/>
              </w:rPr>
              <w:t>立项（</w:t>
            </w:r>
            <w:r>
              <w:rPr>
                <w:kern w:val="0"/>
                <w:szCs w:val="21"/>
              </w:rPr>
              <w:t>15</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项目的申请、设立过程是否符合相关要求，用以反映和考核项目立项的规范情况。</w:t>
            </w:r>
          </w:p>
        </w:tc>
        <w:tc>
          <w:tcPr>
            <w:tcW w:w="1950" w:type="pct"/>
            <w:shd w:val="clear" w:color="000000" w:fill="FFFFFF"/>
            <w:vAlign w:val="center"/>
          </w:tcPr>
          <w:p>
            <w:pPr>
              <w:widowControl/>
              <w:spacing w:line="27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r>
              <w:rPr>
                <w:kern w:val="0"/>
                <w:szCs w:val="21"/>
              </w:rPr>
              <w:br w:type="textWrapping"/>
            </w:r>
            <w:r>
              <w:rPr>
                <w:rFonts w:hint="eastAsia"/>
                <w:kern w:val="0"/>
                <w:szCs w:val="21"/>
              </w:rPr>
              <w:t>②所提交的文件、材料是否符合相关要求；（</w:t>
            </w:r>
            <w:r>
              <w:rPr>
                <w:kern w:val="0"/>
                <w:szCs w:val="21"/>
              </w:rPr>
              <w:t>2</w:t>
            </w:r>
            <w:r>
              <w:rPr>
                <w:rFonts w:hint="eastAsia"/>
                <w:kern w:val="0"/>
                <w:szCs w:val="21"/>
              </w:rPr>
              <w:t>分）</w:t>
            </w:r>
            <w:r>
              <w:rPr>
                <w:kern w:val="0"/>
                <w:szCs w:val="21"/>
              </w:rPr>
              <w:br w:type="textWrapping"/>
            </w: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8"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50" w:type="pct"/>
            <w:shd w:val="clear" w:color="000000" w:fill="FFFFFF"/>
            <w:vAlign w:val="center"/>
          </w:tcPr>
          <w:p>
            <w:pPr>
              <w:widowControl/>
              <w:spacing w:line="27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r>
              <w:rPr>
                <w:kern w:val="0"/>
                <w:szCs w:val="21"/>
              </w:rPr>
              <w:br w:type="textWrapping"/>
            </w:r>
            <w:r>
              <w:rPr>
                <w:rFonts w:hint="eastAsia"/>
                <w:kern w:val="0"/>
                <w:szCs w:val="21"/>
              </w:rPr>
              <w:t>②是否与项目实施单位或委托单位职责密切相关；（</w:t>
            </w:r>
            <w:r>
              <w:rPr>
                <w:kern w:val="0"/>
                <w:szCs w:val="21"/>
              </w:rPr>
              <w:t>1</w:t>
            </w:r>
            <w:r>
              <w:rPr>
                <w:rFonts w:hint="eastAsia"/>
                <w:kern w:val="0"/>
                <w:szCs w:val="21"/>
              </w:rPr>
              <w:t>分）</w:t>
            </w:r>
            <w:r>
              <w:rPr>
                <w:kern w:val="0"/>
                <w:szCs w:val="21"/>
              </w:rPr>
              <w:br w:type="textWrapping"/>
            </w:r>
            <w:r>
              <w:rPr>
                <w:rFonts w:hint="eastAsia"/>
                <w:kern w:val="0"/>
                <w:szCs w:val="21"/>
              </w:rPr>
              <w:t>③项目是否为促进事业发展所必需；（</w:t>
            </w:r>
            <w:r>
              <w:rPr>
                <w:kern w:val="0"/>
                <w:szCs w:val="21"/>
              </w:rPr>
              <w:t>1</w:t>
            </w:r>
            <w:r>
              <w:rPr>
                <w:rFonts w:hint="eastAsia"/>
                <w:kern w:val="0"/>
                <w:szCs w:val="21"/>
              </w:rPr>
              <w:t>分）</w:t>
            </w:r>
            <w:r>
              <w:rPr>
                <w:kern w:val="0"/>
                <w:szCs w:val="21"/>
              </w:rPr>
              <w:br w:type="textWrapping"/>
            </w: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6"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50" w:type="pct"/>
            <w:shd w:val="clear" w:color="000000" w:fill="FFFFFF"/>
            <w:vAlign w:val="center"/>
          </w:tcPr>
          <w:p>
            <w:pPr>
              <w:widowControl/>
              <w:spacing w:line="27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r>
              <w:rPr>
                <w:kern w:val="0"/>
                <w:szCs w:val="21"/>
              </w:rPr>
              <w:br w:type="textWrapping"/>
            </w:r>
            <w:r>
              <w:rPr>
                <w:rFonts w:hint="eastAsia"/>
                <w:kern w:val="0"/>
                <w:szCs w:val="21"/>
              </w:rPr>
              <w:t>②是否通过清晰、可衡量的指标值予以体现；（</w:t>
            </w:r>
            <w:r>
              <w:rPr>
                <w:kern w:val="0"/>
                <w:szCs w:val="21"/>
              </w:rPr>
              <w:t>1</w:t>
            </w:r>
            <w:r>
              <w:rPr>
                <w:rFonts w:hint="eastAsia"/>
                <w:kern w:val="0"/>
                <w:szCs w:val="21"/>
              </w:rPr>
              <w:t>分）</w:t>
            </w:r>
            <w:r>
              <w:rPr>
                <w:kern w:val="0"/>
                <w:szCs w:val="21"/>
              </w:rPr>
              <w:br w:type="textWrapping"/>
            </w:r>
            <w:r>
              <w:rPr>
                <w:rFonts w:hint="eastAsia"/>
                <w:kern w:val="0"/>
                <w:szCs w:val="21"/>
              </w:rPr>
              <w:t>③是否与项目年度任务数或计划数相对应；（</w:t>
            </w:r>
            <w:r>
              <w:rPr>
                <w:kern w:val="0"/>
                <w:szCs w:val="21"/>
              </w:rPr>
              <w:t>1</w:t>
            </w:r>
            <w:r>
              <w:rPr>
                <w:rFonts w:hint="eastAsia"/>
                <w:kern w:val="0"/>
                <w:szCs w:val="21"/>
              </w:rPr>
              <w:t>分）</w:t>
            </w:r>
            <w:r>
              <w:rPr>
                <w:kern w:val="0"/>
                <w:szCs w:val="21"/>
              </w:rPr>
              <w:br w:type="textWrapping"/>
            </w:r>
            <w:r>
              <w:rPr>
                <w:rFonts w:hint="eastAsia"/>
                <w:kern w:val="0"/>
                <w:szCs w:val="21"/>
              </w:rPr>
              <w:t>④是否与预算确定的项目投资额或资金量相匹配。（</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9"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资金</w:t>
            </w:r>
            <w:r>
              <w:rPr>
                <w:kern w:val="0"/>
                <w:szCs w:val="21"/>
              </w:rPr>
              <w:br w:type="textWrapping"/>
            </w:r>
            <w:r>
              <w:rPr>
                <w:rFonts w:hint="eastAsia"/>
                <w:kern w:val="0"/>
                <w:szCs w:val="21"/>
              </w:rPr>
              <w:t>落实（</w:t>
            </w:r>
            <w:r>
              <w:rPr>
                <w:kern w:val="0"/>
                <w:szCs w:val="21"/>
              </w:rPr>
              <w:t>10</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50" w:type="pct"/>
            <w:shd w:val="clear" w:color="000000" w:fill="FFFFFF"/>
            <w:vAlign w:val="center"/>
          </w:tcPr>
          <w:p>
            <w:pPr>
              <w:widowControl/>
              <w:spacing w:line="27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type="textWrapping"/>
            </w:r>
            <w:r>
              <w:rPr>
                <w:rFonts w:hint="eastAsia"/>
                <w:kern w:val="0"/>
                <w:szCs w:val="21"/>
              </w:rPr>
              <w:t>实际到位资金：一定时期（本年度或项目期）内实际落实到具体项目的资金。</w:t>
            </w:r>
            <w:r>
              <w:rPr>
                <w:kern w:val="0"/>
                <w:szCs w:val="21"/>
              </w:rPr>
              <w:br w:type="textWrapping"/>
            </w:r>
            <w:r>
              <w:rPr>
                <w:rFonts w:hint="eastAsia"/>
                <w:kern w:val="0"/>
                <w:szCs w:val="21"/>
              </w:rPr>
              <w:t>计划投入资金：一定时期（本年度或项目期）内计划投入到具体项目的资金。</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6" w:type="pct"/>
            <w:vMerge w:val="continue"/>
            <w:shd w:val="clear" w:color="auto" w:fill="auto"/>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及时到位资金与应到位资金的比率，用以反映和考核项目资金落实的及时性程度。</w:t>
            </w:r>
          </w:p>
        </w:tc>
        <w:tc>
          <w:tcPr>
            <w:tcW w:w="1950" w:type="pct"/>
            <w:shd w:val="clear" w:color="000000" w:fill="FFFFFF"/>
            <w:vAlign w:val="center"/>
          </w:tcPr>
          <w:p>
            <w:pPr>
              <w:widowControl/>
              <w:spacing w:line="25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type="textWrapping"/>
            </w:r>
            <w:r>
              <w:rPr>
                <w:rFonts w:hint="eastAsia"/>
                <w:kern w:val="0"/>
                <w:szCs w:val="21"/>
              </w:rPr>
              <w:t>及时到位资金：截至规定时点实际落实到具体项目的资金。</w:t>
            </w:r>
            <w:r>
              <w:rPr>
                <w:kern w:val="0"/>
                <w:szCs w:val="21"/>
              </w:rPr>
              <w:br w:type="textWrapping"/>
            </w:r>
            <w:r>
              <w:rPr>
                <w:rFonts w:hint="eastAsia"/>
                <w:kern w:val="0"/>
                <w:szCs w:val="21"/>
              </w:rPr>
              <w:t>应到位资金：按照合同或项目进度要求截至规定时点应落实到具体项目的资金。</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386" w:type="pct"/>
            <w:vMerge w:val="restart"/>
            <w:shd w:val="clear" w:color="000000" w:fill="FFFFFF"/>
            <w:noWrap/>
            <w:textDirection w:val="tbRlV"/>
            <w:vAlign w:val="center"/>
          </w:tcPr>
          <w:p>
            <w:pPr>
              <w:widowControl/>
              <w:spacing w:line="25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1" w:type="pct"/>
            <w:vMerge w:val="restart"/>
            <w:shd w:val="clear" w:color="000000" w:fill="FFFFFF"/>
            <w:vAlign w:val="center"/>
          </w:tcPr>
          <w:p>
            <w:pPr>
              <w:widowControl/>
              <w:spacing w:line="250" w:lineRule="exact"/>
              <w:jc w:val="center"/>
              <w:rPr>
                <w:kern w:val="0"/>
                <w:szCs w:val="21"/>
              </w:rPr>
            </w:pPr>
            <w:r>
              <w:rPr>
                <w:rFonts w:hint="eastAsia"/>
                <w:kern w:val="0"/>
                <w:szCs w:val="21"/>
              </w:rPr>
              <w:t>业务</w:t>
            </w:r>
            <w:r>
              <w:rPr>
                <w:kern w:val="0"/>
                <w:szCs w:val="21"/>
              </w:rPr>
              <w:br w:type="textWrapping"/>
            </w:r>
            <w:r>
              <w:rPr>
                <w:rFonts w:hint="eastAsia"/>
                <w:kern w:val="0"/>
                <w:szCs w:val="21"/>
              </w:rPr>
              <w:t>管理（</w:t>
            </w:r>
            <w:r>
              <w:rPr>
                <w:kern w:val="0"/>
                <w:szCs w:val="21"/>
              </w:rPr>
              <w:t>13</w:t>
            </w:r>
            <w:r>
              <w:rPr>
                <w:rFonts w:hint="eastAsia"/>
                <w:kern w:val="0"/>
                <w:szCs w:val="21"/>
              </w:rPr>
              <w:t>分）</w:t>
            </w:r>
          </w:p>
        </w:tc>
        <w:tc>
          <w:tcPr>
            <w:tcW w:w="467" w:type="pct"/>
            <w:shd w:val="clear" w:color="000000" w:fill="FFFFFF"/>
            <w:vAlign w:val="center"/>
          </w:tcPr>
          <w:p>
            <w:pPr>
              <w:widowControl/>
              <w:spacing w:line="25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r>
              <w:rPr>
                <w:kern w:val="0"/>
                <w:szCs w:val="21"/>
              </w:rPr>
              <w:br w:type="textWrapping"/>
            </w:r>
            <w:r>
              <w:rPr>
                <w:rFonts w:hint="eastAsia"/>
                <w:kern w:val="0"/>
                <w:szCs w:val="21"/>
              </w:rPr>
              <w:t>②业务管理制度是否合法、合规、完整。（</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项目实施是否符合相关业务管理规定，用以反映和考核业务管理制度的有效执行情况。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r>
              <w:rPr>
                <w:kern w:val="0"/>
                <w:szCs w:val="21"/>
              </w:rPr>
              <w:br w:type="textWrapping"/>
            </w:r>
            <w:r>
              <w:rPr>
                <w:rFonts w:hint="eastAsia"/>
                <w:kern w:val="0"/>
                <w:szCs w:val="21"/>
              </w:rPr>
              <w:t>②项目调整及支出调整手续是否完备；（</w:t>
            </w:r>
            <w:r>
              <w:rPr>
                <w:kern w:val="0"/>
                <w:szCs w:val="21"/>
              </w:rPr>
              <w:t>1</w:t>
            </w:r>
            <w:r>
              <w:rPr>
                <w:rFonts w:hint="eastAsia"/>
                <w:kern w:val="0"/>
                <w:szCs w:val="21"/>
              </w:rPr>
              <w:t>分）</w:t>
            </w:r>
            <w:r>
              <w:rPr>
                <w:kern w:val="0"/>
                <w:szCs w:val="21"/>
              </w:rPr>
              <w:br w:type="textWrapping"/>
            </w:r>
            <w:r>
              <w:rPr>
                <w:rFonts w:hint="eastAsia"/>
                <w:kern w:val="0"/>
                <w:szCs w:val="21"/>
              </w:rPr>
              <w:t>③项目合同书、验收报告、技术鉴定等资料是否齐全并及时归档；（</w:t>
            </w:r>
            <w:r>
              <w:rPr>
                <w:kern w:val="0"/>
                <w:szCs w:val="21"/>
              </w:rPr>
              <w:t>2</w:t>
            </w:r>
            <w:r>
              <w:rPr>
                <w:rFonts w:hint="eastAsia"/>
                <w:kern w:val="0"/>
                <w:szCs w:val="21"/>
              </w:rPr>
              <w:t>分）</w:t>
            </w:r>
            <w:r>
              <w:rPr>
                <w:kern w:val="0"/>
                <w:szCs w:val="21"/>
              </w:rPr>
              <w:br w:type="textWrapping"/>
            </w: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6</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7"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r>
              <w:rPr>
                <w:kern w:val="0"/>
                <w:szCs w:val="21"/>
              </w:rPr>
              <w:br w:type="textWrapping"/>
            </w: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3</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8"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restart"/>
            <w:shd w:val="clear" w:color="000000" w:fill="FFFFFF"/>
            <w:vAlign w:val="center"/>
          </w:tcPr>
          <w:p>
            <w:pPr>
              <w:widowControl/>
              <w:spacing w:line="250" w:lineRule="exact"/>
              <w:jc w:val="center"/>
              <w:rPr>
                <w:kern w:val="0"/>
                <w:szCs w:val="21"/>
              </w:rPr>
            </w:pPr>
            <w:r>
              <w:rPr>
                <w:rFonts w:hint="eastAsia"/>
                <w:kern w:val="0"/>
                <w:szCs w:val="21"/>
              </w:rPr>
              <w:t>财务</w:t>
            </w:r>
            <w:r>
              <w:rPr>
                <w:kern w:val="0"/>
                <w:szCs w:val="21"/>
              </w:rPr>
              <w:br w:type="textWrapping"/>
            </w:r>
            <w:r>
              <w:rPr>
                <w:rFonts w:hint="eastAsia"/>
                <w:kern w:val="0"/>
                <w:szCs w:val="21"/>
              </w:rPr>
              <w:t>管理（</w:t>
            </w:r>
            <w:r>
              <w:rPr>
                <w:kern w:val="0"/>
                <w:szCs w:val="21"/>
              </w:rPr>
              <w:t>12</w:t>
            </w:r>
            <w:r>
              <w:rPr>
                <w:rFonts w:hint="eastAsia"/>
                <w:kern w:val="0"/>
                <w:szCs w:val="21"/>
              </w:rPr>
              <w:t>分）</w:t>
            </w:r>
          </w:p>
        </w:tc>
        <w:tc>
          <w:tcPr>
            <w:tcW w:w="467" w:type="pct"/>
            <w:shd w:val="clear" w:color="000000" w:fill="FFFFFF"/>
            <w:vAlign w:val="center"/>
          </w:tcPr>
          <w:p>
            <w:pPr>
              <w:widowControl/>
              <w:spacing w:line="25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r>
              <w:rPr>
                <w:kern w:val="0"/>
                <w:szCs w:val="21"/>
              </w:rPr>
              <w:br w:type="textWrapping"/>
            </w: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3</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000000" w:fill="FFFFFF"/>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r>
              <w:rPr>
                <w:kern w:val="0"/>
                <w:szCs w:val="21"/>
              </w:rPr>
              <w:br w:type="textWrapping"/>
            </w:r>
            <w:r>
              <w:rPr>
                <w:rFonts w:hint="eastAsia"/>
                <w:kern w:val="0"/>
                <w:szCs w:val="21"/>
              </w:rPr>
              <w:t>②资金的拨付是否有完整的审批程序和手续；（</w:t>
            </w:r>
            <w:r>
              <w:rPr>
                <w:kern w:val="0"/>
                <w:szCs w:val="21"/>
              </w:rPr>
              <w:t>2</w:t>
            </w:r>
            <w:r>
              <w:rPr>
                <w:rFonts w:hint="eastAsia"/>
                <w:kern w:val="0"/>
                <w:szCs w:val="21"/>
              </w:rPr>
              <w:t>分）</w:t>
            </w:r>
            <w:r>
              <w:rPr>
                <w:kern w:val="0"/>
                <w:szCs w:val="21"/>
              </w:rPr>
              <w:br w:type="textWrapping"/>
            </w:r>
            <w:r>
              <w:rPr>
                <w:rFonts w:hint="eastAsia"/>
                <w:kern w:val="0"/>
                <w:szCs w:val="21"/>
              </w:rPr>
              <w:t>③项目的重大开支是否经过评估认证；（</w:t>
            </w:r>
            <w:r>
              <w:rPr>
                <w:kern w:val="0"/>
                <w:szCs w:val="21"/>
              </w:rPr>
              <w:t>1</w:t>
            </w:r>
            <w:r>
              <w:rPr>
                <w:rFonts w:hint="eastAsia"/>
                <w:kern w:val="0"/>
                <w:szCs w:val="21"/>
              </w:rPr>
              <w:t>分）</w:t>
            </w:r>
            <w:r>
              <w:rPr>
                <w:kern w:val="0"/>
                <w:szCs w:val="21"/>
              </w:rPr>
              <w:br w:type="textWrapping"/>
            </w:r>
            <w:r>
              <w:rPr>
                <w:rFonts w:hint="eastAsia"/>
                <w:kern w:val="0"/>
                <w:szCs w:val="21"/>
              </w:rPr>
              <w:t>④是否符合项目预算批复或合同规定的用途；（</w:t>
            </w:r>
            <w:r>
              <w:rPr>
                <w:kern w:val="0"/>
                <w:szCs w:val="21"/>
              </w:rPr>
              <w:t>1</w:t>
            </w:r>
            <w:r>
              <w:rPr>
                <w:rFonts w:hint="eastAsia"/>
                <w:kern w:val="0"/>
                <w:szCs w:val="21"/>
              </w:rPr>
              <w:t>分）</w:t>
            </w:r>
            <w:r>
              <w:rPr>
                <w:kern w:val="0"/>
                <w:szCs w:val="21"/>
              </w:rPr>
              <w:br w:type="textWrapping"/>
            </w:r>
            <w:r>
              <w:rPr>
                <w:rFonts w:hint="eastAsia"/>
                <w:kern w:val="0"/>
                <w:szCs w:val="21"/>
              </w:rPr>
              <w:t>⑤是否存在截留、挤占、挪用、虚列支出等情况。（</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6</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6" w:type="pct"/>
            <w:shd w:val="clear" w:color="000000" w:fill="FFFFFF"/>
            <w:textDirection w:val="tbRlV"/>
            <w:vAlign w:val="center"/>
          </w:tcPr>
          <w:p>
            <w:pPr>
              <w:widowControl/>
              <w:spacing w:line="25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1" w:type="pct"/>
            <w:shd w:val="clear" w:color="000000" w:fill="FFFFFF"/>
            <w:vAlign w:val="center"/>
          </w:tcPr>
          <w:p>
            <w:pPr>
              <w:widowControl/>
              <w:spacing w:line="250" w:lineRule="exact"/>
              <w:jc w:val="center"/>
              <w:rPr>
                <w:kern w:val="0"/>
                <w:szCs w:val="21"/>
              </w:rPr>
            </w:pPr>
            <w:r>
              <w:rPr>
                <w:rFonts w:hint="eastAsia"/>
                <w:kern w:val="0"/>
                <w:szCs w:val="21"/>
              </w:rPr>
              <w:t>财务</w:t>
            </w:r>
            <w:r>
              <w:rPr>
                <w:kern w:val="0"/>
                <w:szCs w:val="21"/>
              </w:rPr>
              <w:br w:type="textWrapping"/>
            </w:r>
            <w:r>
              <w:rPr>
                <w:rFonts w:hint="eastAsia"/>
                <w:kern w:val="0"/>
                <w:szCs w:val="21"/>
              </w:rPr>
              <w:t>管理（</w:t>
            </w:r>
            <w:r>
              <w:rPr>
                <w:kern w:val="0"/>
                <w:szCs w:val="21"/>
              </w:rPr>
              <w:t>12</w:t>
            </w:r>
            <w:r>
              <w:rPr>
                <w:rFonts w:hint="eastAsia"/>
                <w:kern w:val="0"/>
                <w:szCs w:val="21"/>
              </w:rPr>
              <w:t>分）</w:t>
            </w:r>
          </w:p>
        </w:tc>
        <w:tc>
          <w:tcPr>
            <w:tcW w:w="467" w:type="pct"/>
            <w:shd w:val="clear" w:color="000000" w:fill="FFFFFF"/>
            <w:vAlign w:val="center"/>
          </w:tcPr>
          <w:p>
            <w:pPr>
              <w:widowControl/>
              <w:spacing w:line="30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50" w:type="pct"/>
            <w:shd w:val="clear" w:color="000000" w:fill="FFFFFF"/>
            <w:vAlign w:val="center"/>
          </w:tcPr>
          <w:p>
            <w:pPr>
              <w:widowControl/>
              <w:spacing w:line="30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r>
              <w:rPr>
                <w:kern w:val="0"/>
                <w:szCs w:val="21"/>
              </w:rPr>
              <w:br w:type="textWrapping"/>
            </w: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2</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8" w:hRule="atLeast"/>
          <w:jc w:val="center"/>
        </w:trPr>
        <w:tc>
          <w:tcPr>
            <w:tcW w:w="386" w:type="pct"/>
            <w:vMerge w:val="restart"/>
            <w:shd w:val="clear" w:color="000000" w:fill="FFFFFF"/>
            <w:noWrap/>
            <w:textDirection w:val="tbRlV"/>
            <w:vAlign w:val="center"/>
          </w:tcPr>
          <w:p>
            <w:pPr>
              <w:widowControl/>
              <w:spacing w:line="30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1" w:type="pct"/>
            <w:vMerge w:val="restart"/>
            <w:shd w:val="clear" w:color="000000" w:fill="FFFFFF"/>
            <w:vAlign w:val="center"/>
          </w:tcPr>
          <w:p>
            <w:pPr>
              <w:widowControl/>
              <w:spacing w:line="300" w:lineRule="exact"/>
              <w:jc w:val="center"/>
              <w:rPr>
                <w:kern w:val="0"/>
                <w:szCs w:val="21"/>
              </w:rPr>
            </w:pPr>
            <w:r>
              <w:rPr>
                <w:rFonts w:hint="eastAsia"/>
                <w:kern w:val="0"/>
                <w:szCs w:val="21"/>
              </w:rPr>
              <w:t>项目</w:t>
            </w:r>
            <w:r>
              <w:rPr>
                <w:kern w:val="0"/>
                <w:szCs w:val="21"/>
              </w:rPr>
              <w:br w:type="textWrapping"/>
            </w:r>
            <w:r>
              <w:rPr>
                <w:rFonts w:hint="eastAsia"/>
                <w:kern w:val="0"/>
                <w:szCs w:val="21"/>
              </w:rPr>
              <w:t>产出（</w:t>
            </w:r>
            <w:r>
              <w:rPr>
                <w:kern w:val="0"/>
                <w:szCs w:val="21"/>
              </w:rPr>
              <w:t>20</w:t>
            </w:r>
            <w:r>
              <w:rPr>
                <w:rFonts w:hint="eastAsia"/>
                <w:kern w:val="0"/>
                <w:szCs w:val="21"/>
              </w:rPr>
              <w:t>分）</w:t>
            </w:r>
          </w:p>
        </w:tc>
        <w:tc>
          <w:tcPr>
            <w:tcW w:w="467" w:type="pct"/>
            <w:shd w:val="clear" w:color="000000" w:fill="FFFFFF"/>
            <w:vAlign w:val="center"/>
          </w:tcPr>
          <w:p>
            <w:pPr>
              <w:widowControl/>
              <w:spacing w:line="30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50" w:type="pct"/>
            <w:shd w:val="clear" w:color="000000" w:fill="FFFFFF"/>
            <w:vAlign w:val="center"/>
          </w:tcPr>
          <w:p>
            <w:pPr>
              <w:widowControl/>
              <w:spacing w:line="300" w:lineRule="exact"/>
              <w:jc w:val="left"/>
              <w:rPr>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r>
              <w:rPr>
                <w:spacing w:val="-14"/>
                <w:kern w:val="0"/>
                <w:szCs w:val="21"/>
              </w:rPr>
              <w:br w:type="textWrapping"/>
            </w:r>
            <w:r>
              <w:rPr>
                <w:rFonts w:hint="eastAsia"/>
                <w:spacing w:val="-14"/>
                <w:kern w:val="0"/>
                <w:szCs w:val="21"/>
              </w:rPr>
              <w:t>实际产出数：一定时期（本年度或项目期）内项目实际产出的产品或提供的服务数量。</w:t>
            </w:r>
            <w:r>
              <w:rPr>
                <w:kern w:val="0"/>
                <w:szCs w:val="21"/>
              </w:rPr>
              <w:br w:type="textWrapping"/>
            </w:r>
            <w:r>
              <w:rPr>
                <w:rFonts w:hint="eastAsia"/>
                <w:kern w:val="0"/>
                <w:szCs w:val="21"/>
              </w:rPr>
              <w:t>计划产出数：项目绩效目标确定的在一定时期（本年度或项目期）内计划产出的产品或提供的服务数量。</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8" w:hRule="atLeast"/>
          <w:jc w:val="center"/>
        </w:trPr>
        <w:tc>
          <w:tcPr>
            <w:tcW w:w="386"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50" w:type="pct"/>
            <w:shd w:val="clear" w:color="000000" w:fill="FFFFFF"/>
            <w:vAlign w:val="center"/>
          </w:tcPr>
          <w:p>
            <w:pPr>
              <w:widowControl/>
              <w:spacing w:line="30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r>
              <w:rPr>
                <w:kern w:val="0"/>
                <w:szCs w:val="21"/>
              </w:rPr>
              <w:br w:type="textWrapping"/>
            </w:r>
            <w:r>
              <w:rPr>
                <w:rFonts w:hint="eastAsia"/>
                <w:kern w:val="0"/>
                <w:szCs w:val="21"/>
              </w:rPr>
              <w:t>实际完成时间：项目实施单位完成该项目实际所耗用的时间。</w:t>
            </w:r>
            <w:r>
              <w:rPr>
                <w:kern w:val="0"/>
                <w:szCs w:val="21"/>
              </w:rPr>
              <w:br w:type="textWrapping"/>
            </w:r>
            <w:r>
              <w:rPr>
                <w:rFonts w:hint="eastAsia"/>
                <w:kern w:val="0"/>
                <w:szCs w:val="21"/>
              </w:rPr>
              <w:t>计划完成时间：按照项目实施计划或相关规定完成该项目所需的时间。</w:t>
            </w:r>
          </w:p>
        </w:tc>
        <w:tc>
          <w:tcPr>
            <w:tcW w:w="394" w:type="pct"/>
            <w:noWrap/>
            <w:vAlign w:val="center"/>
          </w:tcPr>
          <w:p>
            <w:pPr>
              <w:widowControl/>
              <w:spacing w:line="270" w:lineRule="exact"/>
              <w:jc w:val="center"/>
              <w:rPr>
                <w:kern w:val="0"/>
                <w:szCs w:val="21"/>
              </w:rPr>
            </w:pPr>
            <w:r>
              <w:rPr>
                <w:rFonts w:hint="eastAsia"/>
                <w:kern w:val="0"/>
                <w:szCs w:val="21"/>
              </w:rPr>
              <w:t>6</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6" w:hRule="atLeast"/>
          <w:jc w:val="center"/>
        </w:trPr>
        <w:tc>
          <w:tcPr>
            <w:tcW w:w="386"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50" w:type="pct"/>
            <w:shd w:val="clear" w:color="000000" w:fill="FFFFFF"/>
            <w:vAlign w:val="center"/>
          </w:tcPr>
          <w:p>
            <w:pPr>
              <w:widowControl/>
              <w:spacing w:line="30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r>
              <w:rPr>
                <w:kern w:val="0"/>
                <w:szCs w:val="21"/>
              </w:rPr>
              <w:br w:type="textWrapping"/>
            </w:r>
            <w:r>
              <w:rPr>
                <w:rFonts w:hint="eastAsia"/>
                <w:kern w:val="0"/>
                <w:szCs w:val="21"/>
              </w:rPr>
              <w:t>质量达标产出数：一定时期（本年度或项目期）内实际达到既定质量标准的产品或服务数量。</w:t>
            </w:r>
            <w:r>
              <w:rPr>
                <w:kern w:val="0"/>
                <w:szCs w:val="21"/>
              </w:rPr>
              <w:br w:type="textWrapping"/>
            </w:r>
            <w:r>
              <w:rPr>
                <w:rFonts w:hint="eastAsia"/>
                <w:spacing w:val="-10"/>
                <w:kern w:val="0"/>
                <w:szCs w:val="21"/>
              </w:rPr>
              <w:t>既定质量标准是指项目实施单位设立绩效目标时依据计划标准、行业标准、历史标准或其他标准而设定的绩效指标值。</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465" w:hRule="atLeast"/>
          <w:jc w:val="center"/>
        </w:trPr>
        <w:tc>
          <w:tcPr>
            <w:tcW w:w="386"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50" w:type="pct"/>
            <w:shd w:val="clear" w:color="000000" w:fill="FFFFFF"/>
            <w:vAlign w:val="center"/>
          </w:tcPr>
          <w:p>
            <w:pPr>
              <w:widowControl/>
              <w:spacing w:line="30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r>
              <w:rPr>
                <w:kern w:val="0"/>
                <w:szCs w:val="21"/>
              </w:rPr>
              <w:br w:type="textWrapping"/>
            </w:r>
            <w:r>
              <w:rPr>
                <w:rFonts w:hint="eastAsia"/>
                <w:spacing w:val="-10"/>
                <w:kern w:val="0"/>
                <w:szCs w:val="21"/>
              </w:rPr>
              <w:t>实际成本：项目实施单位如期、保质、保量完成既定工作目标实际所耗费的支出。</w:t>
            </w:r>
            <w:r>
              <w:rPr>
                <w:spacing w:val="-10"/>
                <w:kern w:val="0"/>
                <w:szCs w:val="21"/>
              </w:rPr>
              <w:br w:type="textWrapping"/>
            </w:r>
            <w:r>
              <w:rPr>
                <w:rFonts w:hint="eastAsia"/>
                <w:spacing w:val="-10"/>
                <w:kern w:val="0"/>
                <w:szCs w:val="21"/>
              </w:rPr>
              <w:t>计划成本：项目实施单位为完成工作目标计划安排的支出，一般以项目预算为参考。</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restart"/>
            <w:shd w:val="clear" w:color="000000" w:fill="FFFFFF"/>
            <w:noWrap/>
            <w:textDirection w:val="tbRlV"/>
            <w:vAlign w:val="center"/>
          </w:tcPr>
          <w:p>
            <w:pPr>
              <w:widowControl/>
              <w:spacing w:line="270" w:lineRule="exact"/>
              <w:jc w:val="center"/>
              <w:rPr>
                <w:rFonts w:hint="eastAsia"/>
                <w:kern w:val="0"/>
                <w:szCs w:val="21"/>
              </w:rPr>
            </w:pPr>
            <w:r>
              <w:rPr>
                <w:rFonts w:hint="eastAsia"/>
                <w:kern w:val="0"/>
                <w:szCs w:val="21"/>
              </w:rPr>
              <w:t>效</w:t>
            </w:r>
            <w:r>
              <w:rPr>
                <w:kern w:val="0"/>
                <w:szCs w:val="21"/>
              </w:rPr>
              <w:t xml:space="preserve">   </w:t>
            </w:r>
            <w:r>
              <w:rPr>
                <w:rFonts w:hint="eastAsia"/>
                <w:kern w:val="0"/>
                <w:szCs w:val="21"/>
              </w:rPr>
              <w:t>果</w:t>
            </w:r>
          </w:p>
          <w:p>
            <w:pPr>
              <w:widowControl/>
              <w:spacing w:line="270" w:lineRule="exact"/>
              <w:jc w:val="center"/>
              <w:rPr>
                <w:kern w:val="0"/>
                <w:szCs w:val="21"/>
              </w:rPr>
            </w:pPr>
            <w:r>
              <w:rPr>
                <w:rFonts w:hint="eastAsia"/>
                <w:kern w:val="0"/>
                <w:szCs w:val="21"/>
              </w:rPr>
              <w:t>（</w:t>
            </w:r>
            <w:r>
              <w:rPr>
                <w:kern w:val="0"/>
                <w:szCs w:val="21"/>
              </w:rPr>
              <w:t>30</w:t>
            </w:r>
            <w:r>
              <w:rPr>
                <w:rFonts w:hint="eastAsia"/>
                <w:kern w:val="0"/>
                <w:szCs w:val="21"/>
              </w:rPr>
              <w:t>分）</w:t>
            </w: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项目</w:t>
            </w:r>
            <w:r>
              <w:rPr>
                <w:kern w:val="0"/>
                <w:szCs w:val="21"/>
              </w:rPr>
              <w:br w:type="textWrapping"/>
            </w:r>
            <w:r>
              <w:rPr>
                <w:rFonts w:hint="eastAsia"/>
                <w:kern w:val="0"/>
                <w:szCs w:val="21"/>
              </w:rPr>
              <w:t>效益（</w:t>
            </w:r>
            <w:r>
              <w:rPr>
                <w:kern w:val="0"/>
                <w:szCs w:val="21"/>
              </w:rPr>
              <w:t>30</w:t>
            </w:r>
            <w:r>
              <w:rPr>
                <w:rFonts w:hint="eastAsia"/>
                <w:kern w:val="0"/>
                <w:szCs w:val="21"/>
              </w:rPr>
              <w:t>分）</w:t>
            </w:r>
          </w:p>
        </w:tc>
        <w:tc>
          <w:tcPr>
            <w:tcW w:w="467" w:type="pct"/>
            <w:shd w:val="clear" w:color="000000" w:fill="FFFFFF"/>
            <w:vAlign w:val="center"/>
          </w:tcPr>
          <w:p>
            <w:pPr>
              <w:widowControl/>
              <w:spacing w:line="270" w:lineRule="exact"/>
              <w:jc w:val="left"/>
              <w:rPr>
                <w:rFonts w:hint="eastAsia"/>
                <w:kern w:val="0"/>
                <w:szCs w:val="21"/>
              </w:rPr>
            </w:pPr>
            <w:r>
              <w:rPr>
                <w:rFonts w:hint="eastAsia"/>
                <w:kern w:val="0"/>
                <w:szCs w:val="21"/>
              </w:rPr>
              <w:t>经济效</w:t>
            </w:r>
          </w:p>
          <w:p>
            <w:pPr>
              <w:widowControl/>
              <w:spacing w:line="270" w:lineRule="exact"/>
              <w:jc w:val="left"/>
              <w:rPr>
                <w:kern w:val="0"/>
                <w:szCs w:val="21"/>
              </w:rPr>
            </w:pPr>
            <w:r>
              <w:rPr>
                <w:rFonts w:hint="eastAsia"/>
                <w:kern w:val="0"/>
                <w:szCs w:val="21"/>
              </w:rPr>
              <w:t>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项目实施对经济发展所带来的直接或间接影响情况。</w:t>
            </w:r>
          </w:p>
        </w:tc>
        <w:tc>
          <w:tcPr>
            <w:tcW w:w="1950" w:type="pct"/>
            <w:vMerge w:val="restart"/>
            <w:shd w:val="clear" w:color="000000" w:fill="FFFFFF"/>
            <w:vAlign w:val="center"/>
          </w:tcPr>
          <w:p>
            <w:pPr>
              <w:widowControl/>
              <w:spacing w:line="27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p>
            <w:pPr>
              <w:widowControl/>
              <w:spacing w:line="270" w:lineRule="exact"/>
              <w:jc w:val="left"/>
              <w:rPr>
                <w:kern w:val="0"/>
                <w:szCs w:val="21"/>
              </w:rPr>
            </w:pPr>
          </w:p>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项目实施对社会发展所带来的直接或间接影响情况。</w:t>
            </w:r>
          </w:p>
        </w:tc>
        <w:tc>
          <w:tcPr>
            <w:tcW w:w="1950"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项目实施对生态环境所带来的直接或间接影响情况。</w:t>
            </w:r>
          </w:p>
        </w:tc>
        <w:tc>
          <w:tcPr>
            <w:tcW w:w="1950"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可持续影响生态效益（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项目后续运行及成效发挥的可持续影响情况。</w:t>
            </w:r>
          </w:p>
        </w:tc>
        <w:tc>
          <w:tcPr>
            <w:tcW w:w="1950"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社会公众或服务对象对项目实施效果的满意程度。</w:t>
            </w:r>
          </w:p>
        </w:tc>
        <w:tc>
          <w:tcPr>
            <w:tcW w:w="1950" w:type="pct"/>
            <w:shd w:val="clear" w:color="000000" w:fill="FFFFFF"/>
            <w:vAlign w:val="center"/>
          </w:tcPr>
          <w:p>
            <w:pPr>
              <w:widowControl/>
              <w:spacing w:line="27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94" w:type="pct"/>
            <w:noWrap/>
            <w:vAlign w:val="center"/>
          </w:tcPr>
          <w:p>
            <w:pPr>
              <w:widowControl/>
              <w:spacing w:line="270" w:lineRule="exact"/>
              <w:jc w:val="center"/>
              <w:rPr>
                <w:kern w:val="0"/>
                <w:szCs w:val="21"/>
              </w:rPr>
            </w:pPr>
            <w:r>
              <w:rPr>
                <w:rFonts w:hint="eastAsia"/>
                <w:kern w:val="0"/>
                <w:szCs w:val="21"/>
              </w:rPr>
              <w:t>9</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3" w:hRule="atLeast"/>
          <w:jc w:val="center"/>
        </w:trPr>
        <w:tc>
          <w:tcPr>
            <w:tcW w:w="4115" w:type="pct"/>
            <w:gridSpan w:val="5"/>
            <w:shd w:val="clear" w:color="000000" w:fill="FFFFFF"/>
            <w:vAlign w:val="center"/>
          </w:tcPr>
          <w:p>
            <w:pPr>
              <w:widowControl/>
              <w:spacing w:line="270" w:lineRule="exact"/>
              <w:jc w:val="center"/>
              <w:rPr>
                <w:kern w:val="0"/>
                <w:szCs w:val="21"/>
              </w:rPr>
            </w:pPr>
            <w:r>
              <w:rPr>
                <w:rFonts w:hint="eastAsia"/>
                <w:kern w:val="0"/>
                <w:szCs w:val="21"/>
              </w:rPr>
              <w:t>合计</w:t>
            </w:r>
          </w:p>
        </w:tc>
        <w:tc>
          <w:tcPr>
            <w:tcW w:w="394" w:type="pct"/>
            <w:noWrap/>
            <w:vAlign w:val="center"/>
          </w:tcPr>
          <w:p>
            <w:pPr>
              <w:widowControl/>
              <w:spacing w:line="270" w:lineRule="exact"/>
              <w:jc w:val="center"/>
              <w:rPr>
                <w:kern w:val="0"/>
                <w:szCs w:val="21"/>
              </w:rPr>
            </w:pPr>
            <w:r>
              <w:rPr>
                <w:rFonts w:hint="eastAsia"/>
                <w:kern w:val="0"/>
                <w:szCs w:val="21"/>
              </w:rPr>
              <w:t>96</w:t>
            </w:r>
          </w:p>
        </w:tc>
        <w:tc>
          <w:tcPr>
            <w:tcW w:w="490" w:type="pct"/>
            <w:noWrap/>
            <w:vAlign w:val="center"/>
          </w:tcPr>
          <w:p>
            <w:pPr>
              <w:widowControl/>
              <w:spacing w:line="270" w:lineRule="exact"/>
              <w:jc w:val="left"/>
              <w:rPr>
                <w:kern w:val="0"/>
                <w:szCs w:val="21"/>
              </w:rPr>
            </w:pP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附件2</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r>
        <w:rPr>
          <w:rFonts w:hint="eastAsia" w:eastAsia="方正小标宋简体"/>
          <w:bCs/>
          <w:kern w:val="0"/>
          <w:sz w:val="40"/>
          <w:szCs w:val="40"/>
        </w:rPr>
        <w:t>（政务大厅网络租赁费项目）</w:t>
      </w:r>
    </w:p>
    <w:p>
      <w:pPr>
        <w:pStyle w:val="2"/>
        <w:spacing w:after="0" w:line="240" w:lineRule="exact"/>
        <w:rPr>
          <w:rFonts w:ascii="宋体"/>
        </w:rPr>
      </w:pPr>
    </w:p>
    <w:tbl>
      <w:tblPr>
        <w:tblStyle w:val="16"/>
        <w:tblW w:w="93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3"/>
        <w:gridCol w:w="1226"/>
        <w:gridCol w:w="1093"/>
        <w:gridCol w:w="975"/>
        <w:gridCol w:w="1562"/>
        <w:gridCol w:w="1365"/>
        <w:gridCol w:w="75"/>
        <w:gridCol w:w="21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atLeast"/>
          <w:jc w:val="center"/>
        </w:trPr>
        <w:tc>
          <w:tcPr>
            <w:tcW w:w="883"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479" w:type="dxa"/>
            <w:gridSpan w:val="7"/>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政务大厅网络租赁费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537"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623" w:type="dxa"/>
            <w:gridSpan w:val="3"/>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093" w:type="dxa"/>
            <w:noWrap/>
            <w:vAlign w:val="center"/>
          </w:tcPr>
          <w:p>
            <w:pPr>
              <w:spacing w:line="240" w:lineRule="exact"/>
              <w:jc w:val="center"/>
              <w:rPr>
                <w:szCs w:val="21"/>
              </w:rPr>
            </w:pPr>
            <w:r>
              <w:rPr>
                <w:rFonts w:hint="eastAsia"/>
                <w:color w:val="000000"/>
                <w:kern w:val="0"/>
                <w:szCs w:val="21"/>
              </w:rPr>
              <w:t>□</w:t>
            </w:r>
          </w:p>
        </w:tc>
        <w:tc>
          <w:tcPr>
            <w:tcW w:w="2537" w:type="dxa"/>
            <w:gridSpan w:val="2"/>
            <w:noWrap/>
            <w:vAlign w:val="center"/>
          </w:tcPr>
          <w:p>
            <w:pPr>
              <w:spacing w:line="240" w:lineRule="exact"/>
              <w:jc w:val="center"/>
              <w:rPr>
                <w:szCs w:val="21"/>
              </w:rPr>
            </w:pPr>
            <w:r>
              <w:rPr>
                <w:rFonts w:hint="eastAsia"/>
                <w:color w:val="000000"/>
                <w:kern w:val="0"/>
                <w:szCs w:val="21"/>
              </w:rPr>
              <w:t>□</w:t>
            </w:r>
          </w:p>
        </w:tc>
        <w:tc>
          <w:tcPr>
            <w:tcW w:w="3623" w:type="dxa"/>
            <w:gridSpan w:val="3"/>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5" w:hRule="atLeast"/>
          <w:jc w:val="center"/>
        </w:trPr>
        <w:tc>
          <w:tcPr>
            <w:tcW w:w="883"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856" w:type="dxa"/>
            <w:gridSpan w:val="4"/>
            <w:noWrap/>
            <w:vAlign w:val="center"/>
          </w:tcPr>
          <w:p>
            <w:pPr>
              <w:widowControl/>
              <w:spacing w:line="240" w:lineRule="exact"/>
              <w:jc w:val="center"/>
              <w:rPr>
                <w:color w:val="000000"/>
                <w:kern w:val="0"/>
                <w:szCs w:val="21"/>
              </w:rPr>
            </w:pPr>
            <w:r>
              <w:rPr>
                <w:rFonts w:hint="eastAsia"/>
                <w:color w:val="000000"/>
                <w:kern w:val="0"/>
                <w:szCs w:val="21"/>
              </w:rPr>
              <w:t>乐至县行政审批局　</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134101001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975" w:type="dxa"/>
            <w:noWrap/>
            <w:vAlign w:val="center"/>
          </w:tcPr>
          <w:p>
            <w:pPr>
              <w:widowControl/>
              <w:spacing w:line="240" w:lineRule="exact"/>
              <w:jc w:val="center"/>
              <w:rPr>
                <w:rFonts w:hint="eastAsia"/>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562" w:type="dxa"/>
            <w:noWrap/>
            <w:vAlign w:val="center"/>
          </w:tcPr>
          <w:p>
            <w:pPr>
              <w:widowControl/>
              <w:spacing w:line="240" w:lineRule="exact"/>
              <w:jc w:val="center"/>
              <w:rPr>
                <w:rFonts w:hint="eastAsia"/>
                <w:color w:val="000000"/>
                <w:kern w:val="0"/>
                <w:szCs w:val="21"/>
              </w:rPr>
            </w:pPr>
            <w:r>
              <w:rPr>
                <w:rFonts w:hint="eastAsia"/>
                <w:color w:val="000000"/>
                <w:kern w:val="0"/>
                <w:szCs w:val="21"/>
              </w:rPr>
              <w:t>当年结转结余额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18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09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25</w:t>
            </w:r>
          </w:p>
        </w:tc>
        <w:tc>
          <w:tcPr>
            <w:tcW w:w="9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15.68</w:t>
            </w:r>
          </w:p>
        </w:tc>
        <w:tc>
          <w:tcPr>
            <w:tcW w:w="1562"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rPr>
              <w:t>9</w:t>
            </w:r>
            <w:r>
              <w:rPr>
                <w:rFonts w:hint="eastAsia"/>
                <w:color w:val="000000"/>
                <w:kern w:val="0"/>
                <w:szCs w:val="21"/>
                <w:lang w:val="en-US" w:eastAsia="zh-CN"/>
              </w:rPr>
              <w:t>.32</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37.28</w:t>
            </w:r>
            <w:r>
              <w:rPr>
                <w:rFonts w:hint="eastAsia"/>
                <w:color w:val="000000"/>
                <w:kern w:val="0"/>
                <w:szCs w:val="21"/>
              </w:rPr>
              <w:t>%</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093"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25</w:t>
            </w:r>
          </w:p>
        </w:tc>
        <w:tc>
          <w:tcPr>
            <w:tcW w:w="975"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15.68</w:t>
            </w:r>
          </w:p>
        </w:tc>
        <w:tc>
          <w:tcPr>
            <w:tcW w:w="1562"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rPr>
              <w:t>9</w:t>
            </w:r>
            <w:r>
              <w:rPr>
                <w:rFonts w:hint="eastAsia"/>
                <w:color w:val="000000"/>
                <w:kern w:val="0"/>
                <w:szCs w:val="21"/>
                <w:lang w:val="en-US" w:eastAsia="zh-CN"/>
              </w:rPr>
              <w:t>.32</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37.28</w:t>
            </w:r>
            <w:r>
              <w:rPr>
                <w:rFonts w:hint="eastAsia"/>
                <w:color w:val="000000"/>
                <w:kern w:val="0"/>
                <w:szCs w:val="21"/>
              </w:rPr>
              <w:t>%</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6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975"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562"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0</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975"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562"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18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09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25</w:t>
            </w:r>
          </w:p>
        </w:tc>
        <w:tc>
          <w:tcPr>
            <w:tcW w:w="9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25</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09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15.68</w:t>
            </w:r>
          </w:p>
        </w:tc>
        <w:tc>
          <w:tcPr>
            <w:tcW w:w="9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15.68</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09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9.32</w:t>
            </w:r>
          </w:p>
        </w:tc>
        <w:tc>
          <w:tcPr>
            <w:tcW w:w="9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9.32</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09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37.28%</w:t>
            </w:r>
          </w:p>
        </w:tc>
        <w:tc>
          <w:tcPr>
            <w:tcW w:w="975"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37.28%</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09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5"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31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537"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623" w:type="dxa"/>
            <w:gridSpan w:val="3"/>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40" w:hRule="atLeast"/>
          <w:jc w:val="center"/>
        </w:trPr>
        <w:tc>
          <w:tcPr>
            <w:tcW w:w="883" w:type="dxa"/>
            <w:vMerge w:val="continue"/>
            <w:vAlign w:val="center"/>
          </w:tcPr>
          <w:p>
            <w:pPr>
              <w:widowControl/>
              <w:spacing w:line="240" w:lineRule="exact"/>
              <w:jc w:val="left"/>
              <w:rPr>
                <w:color w:val="000000"/>
                <w:kern w:val="0"/>
                <w:szCs w:val="21"/>
              </w:rPr>
            </w:pPr>
          </w:p>
        </w:tc>
        <w:tc>
          <w:tcPr>
            <w:tcW w:w="2319" w:type="dxa"/>
            <w:gridSpan w:val="2"/>
            <w:noWrap/>
            <w:vAlign w:val="center"/>
          </w:tcPr>
          <w:p>
            <w:pPr>
              <w:widowControl/>
              <w:spacing w:line="240" w:lineRule="exact"/>
              <w:jc w:val="left"/>
              <w:rPr>
                <w:color w:val="000000"/>
                <w:kern w:val="0"/>
                <w:szCs w:val="21"/>
              </w:rPr>
            </w:pPr>
            <w:r>
              <w:rPr>
                <w:rFonts w:hint="eastAsia"/>
                <w:color w:val="000000"/>
                <w:kern w:val="0"/>
                <w:szCs w:val="21"/>
              </w:rPr>
              <w:t>保证政务中心工作正常运转，保障单位网络畅通，实现全省互联互通。提高业务办理水平，为群众服务，让群众满意。　</w:t>
            </w:r>
          </w:p>
        </w:tc>
        <w:tc>
          <w:tcPr>
            <w:tcW w:w="2537" w:type="dxa"/>
            <w:gridSpan w:val="2"/>
            <w:noWrap/>
            <w:vAlign w:val="center"/>
          </w:tcPr>
          <w:p>
            <w:pPr>
              <w:widowControl/>
              <w:spacing w:line="240" w:lineRule="exact"/>
              <w:jc w:val="left"/>
              <w:rPr>
                <w:color w:val="000000"/>
                <w:kern w:val="0"/>
                <w:szCs w:val="21"/>
              </w:rPr>
            </w:pPr>
            <w:r>
              <w:rPr>
                <w:rFonts w:hint="eastAsia"/>
                <w:color w:val="000000"/>
                <w:kern w:val="0"/>
                <w:szCs w:val="21"/>
              </w:rPr>
              <w:t>保证政务中心工作正常运转，保障单位网络畅通，实现全省互联互通。提高业务办理水平，为群众服务，让群众满意。　</w:t>
            </w:r>
          </w:p>
        </w:tc>
        <w:tc>
          <w:tcPr>
            <w:tcW w:w="3623" w:type="dxa"/>
            <w:gridSpan w:val="3"/>
            <w:noWrap/>
            <w:vAlign w:val="center"/>
          </w:tcPr>
          <w:p>
            <w:pPr>
              <w:widowControl/>
              <w:spacing w:line="240" w:lineRule="exact"/>
              <w:jc w:val="center"/>
              <w:rPr>
                <w:color w:val="000000"/>
                <w:kern w:val="0"/>
                <w:szCs w:val="21"/>
              </w:rPr>
            </w:pPr>
            <w:r>
              <w:rPr>
                <w:rFonts w:hint="eastAsia"/>
                <w:kern w:val="0"/>
                <w:szCs w:val="21"/>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90"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975"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562"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36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58" w:type="dxa"/>
            <w:gridSpan w:val="2"/>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35"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行政审批系统、电子监察系统等</w:t>
            </w:r>
            <w:r>
              <w:rPr>
                <w:rFonts w:hint="eastAsia"/>
                <w:kern w:val="0"/>
                <w:szCs w:val="21"/>
                <w:lang w:val="en-US" w:eastAsia="zh-CN"/>
              </w:rPr>
              <w:t>8</w:t>
            </w:r>
            <w:r>
              <w:rPr>
                <w:rFonts w:hint="eastAsia"/>
                <w:kern w:val="0"/>
                <w:szCs w:val="21"/>
              </w:rPr>
              <w:t>个</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行政审批系统、电子监察系统等</w:t>
            </w:r>
            <w:r>
              <w:rPr>
                <w:rFonts w:hint="eastAsia"/>
                <w:kern w:val="0"/>
                <w:szCs w:val="21"/>
                <w:lang w:val="en-US" w:eastAsia="zh-CN"/>
              </w:rPr>
              <w:t>8</w:t>
            </w:r>
            <w:r>
              <w:rPr>
                <w:rFonts w:hint="eastAsia"/>
                <w:kern w:val="0"/>
                <w:szCs w:val="21"/>
              </w:rPr>
              <w:t>个</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40"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保证政务大厅日常工作运转、业务正常办理率100%</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保证政务大厅日常工作运转、业务正常办理率100%</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40"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62" w:type="dxa"/>
            <w:noWrap/>
            <w:vAlign w:val="center"/>
          </w:tcPr>
          <w:p>
            <w:pPr>
              <w:widowControl/>
              <w:spacing w:line="240" w:lineRule="exact"/>
              <w:ind w:firstLine="210" w:firstLineChars="100"/>
              <w:jc w:val="left"/>
              <w:rPr>
                <w:rFonts w:hint="eastAsia"/>
                <w:color w:val="000000"/>
                <w:kern w:val="0"/>
                <w:szCs w:val="21"/>
              </w:rPr>
            </w:pPr>
            <w:r>
              <w:rPr>
                <w:rFonts w:hint="eastAsia"/>
                <w:color w:val="000000"/>
                <w:kern w:val="0"/>
                <w:szCs w:val="21"/>
              </w:rPr>
              <w:t>完成时间</w:t>
            </w:r>
          </w:p>
          <w:p>
            <w:pPr>
              <w:widowControl/>
              <w:spacing w:line="240" w:lineRule="exact"/>
              <w:ind w:firstLine="210" w:firstLineChars="100"/>
              <w:jc w:val="left"/>
              <w:rPr>
                <w:color w:val="000000"/>
                <w:kern w:val="0"/>
                <w:szCs w:val="21"/>
              </w:rPr>
            </w:pPr>
            <w:r>
              <w:rPr>
                <w:rFonts w:hint="eastAsia"/>
                <w:kern w:val="0"/>
                <w:szCs w:val="21"/>
              </w:rPr>
              <w:t>202</w:t>
            </w:r>
            <w:r>
              <w:rPr>
                <w:rFonts w:hint="eastAsia"/>
                <w:kern w:val="0"/>
                <w:szCs w:val="21"/>
                <w:lang w:val="en-US" w:eastAsia="zh-CN"/>
              </w:rPr>
              <w:t>2</w:t>
            </w:r>
            <w:r>
              <w:rPr>
                <w:rFonts w:hint="eastAsia"/>
                <w:kern w:val="0"/>
                <w:szCs w:val="21"/>
              </w:rPr>
              <w:t>年</w:t>
            </w:r>
          </w:p>
        </w:tc>
        <w:tc>
          <w:tcPr>
            <w:tcW w:w="1440" w:type="dxa"/>
            <w:gridSpan w:val="2"/>
            <w:noWrap/>
            <w:vAlign w:val="center"/>
          </w:tcPr>
          <w:p>
            <w:pPr>
              <w:widowControl/>
              <w:spacing w:line="240" w:lineRule="exact"/>
              <w:ind w:left="210" w:hanging="210" w:hangingChars="100"/>
              <w:jc w:val="left"/>
              <w:rPr>
                <w:color w:val="000000"/>
                <w:kern w:val="0"/>
                <w:szCs w:val="21"/>
              </w:rPr>
            </w:pPr>
            <w:r>
              <w:rPr>
                <w:rFonts w:hint="eastAsia"/>
                <w:color w:val="000000"/>
                <w:kern w:val="0"/>
                <w:szCs w:val="21"/>
              </w:rPr>
              <w:t>　完成时间</w:t>
            </w:r>
            <w:r>
              <w:rPr>
                <w:rFonts w:hint="eastAsia"/>
                <w:kern w:val="0"/>
                <w:szCs w:val="21"/>
              </w:rPr>
              <w:t>202</w:t>
            </w:r>
            <w:r>
              <w:rPr>
                <w:rFonts w:hint="eastAsia"/>
                <w:kern w:val="0"/>
                <w:szCs w:val="21"/>
                <w:lang w:val="en-US" w:eastAsia="zh-CN"/>
              </w:rPr>
              <w:t>2</w:t>
            </w:r>
            <w:r>
              <w:rPr>
                <w:rFonts w:hint="eastAsia"/>
                <w:kern w:val="0"/>
                <w:szCs w:val="21"/>
              </w:rPr>
              <w:t>年</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5"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25</w:t>
            </w:r>
            <w:r>
              <w:rPr>
                <w:rFonts w:hint="eastAsia"/>
                <w:kern w:val="0"/>
                <w:szCs w:val="21"/>
              </w:rPr>
              <w:t>万元/年</w:t>
            </w:r>
          </w:p>
        </w:tc>
        <w:tc>
          <w:tcPr>
            <w:tcW w:w="1440" w:type="dxa"/>
            <w:gridSpan w:val="2"/>
            <w:noWrap/>
            <w:vAlign w:val="center"/>
          </w:tcPr>
          <w:p>
            <w:pPr>
              <w:widowControl/>
              <w:spacing w:line="240" w:lineRule="exact"/>
              <w:jc w:val="left"/>
              <w:rPr>
                <w:color w:val="000000"/>
                <w:kern w:val="0"/>
                <w:szCs w:val="21"/>
              </w:rPr>
            </w:pPr>
            <w:r>
              <w:rPr>
                <w:rFonts w:hint="eastAsia"/>
                <w:kern w:val="0"/>
                <w:szCs w:val="21"/>
              </w:rPr>
              <w:t>15.</w:t>
            </w:r>
            <w:r>
              <w:rPr>
                <w:rFonts w:hint="eastAsia"/>
                <w:kern w:val="0"/>
                <w:szCs w:val="21"/>
                <w:lang w:val="en-US" w:eastAsia="zh-CN"/>
              </w:rPr>
              <w:t>68</w:t>
            </w:r>
            <w:r>
              <w:rPr>
                <w:rFonts w:hint="eastAsia"/>
                <w:kern w:val="0"/>
                <w:szCs w:val="21"/>
              </w:rPr>
              <w:t>万元/年</w:t>
            </w:r>
          </w:p>
        </w:tc>
        <w:tc>
          <w:tcPr>
            <w:tcW w:w="218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2022年支出减少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80" w:hRule="atLeast"/>
          <w:jc w:val="center"/>
        </w:trPr>
        <w:tc>
          <w:tcPr>
            <w:tcW w:w="883" w:type="dxa"/>
            <w:vMerge w:val="restart"/>
            <w:vAlign w:val="center"/>
          </w:tcPr>
          <w:p>
            <w:pPr>
              <w:spacing w:line="240" w:lineRule="exact"/>
              <w:jc w:val="center"/>
              <w:rPr>
                <w:color w:val="000000"/>
                <w:kern w:val="0"/>
                <w:szCs w:val="21"/>
              </w:rPr>
            </w:pPr>
            <w:r>
              <w:rPr>
                <w:rFonts w:hint="eastAsia"/>
                <w:color w:val="000000"/>
                <w:kern w:val="0"/>
                <w:szCs w:val="21"/>
              </w:rPr>
              <w:t>年度绩效指标</w:t>
            </w:r>
          </w:p>
        </w:tc>
        <w:tc>
          <w:tcPr>
            <w:tcW w:w="122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62" w:type="dxa"/>
            <w:noWrap/>
            <w:vAlign w:val="center"/>
          </w:tcPr>
          <w:p>
            <w:pPr>
              <w:widowControl/>
              <w:spacing w:line="240" w:lineRule="exact"/>
              <w:jc w:val="left"/>
              <w:rPr>
                <w:color w:val="000000"/>
                <w:kern w:val="0"/>
                <w:szCs w:val="21"/>
              </w:rPr>
            </w:pPr>
            <w:r>
              <w:rPr>
                <w:rFonts w:hint="eastAsia"/>
                <w:kern w:val="0"/>
                <w:szCs w:val="21"/>
              </w:rPr>
              <w:t>提高办事效率达到95%以上</w:t>
            </w:r>
          </w:p>
        </w:tc>
        <w:tc>
          <w:tcPr>
            <w:tcW w:w="1440" w:type="dxa"/>
            <w:gridSpan w:val="2"/>
            <w:noWrap/>
            <w:vAlign w:val="center"/>
          </w:tcPr>
          <w:p>
            <w:pPr>
              <w:widowControl/>
              <w:spacing w:line="240" w:lineRule="exact"/>
              <w:jc w:val="left"/>
              <w:rPr>
                <w:color w:val="000000"/>
                <w:kern w:val="0"/>
                <w:szCs w:val="21"/>
              </w:rPr>
            </w:pPr>
            <w:r>
              <w:rPr>
                <w:rFonts w:hint="eastAsia"/>
                <w:kern w:val="0"/>
                <w:szCs w:val="21"/>
              </w:rPr>
              <w:t>提高办事效率达到95%以上</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62"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提升服务水平，优化办事程序，提高到95%</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提升服务水平，优化办事程序，提高到95%</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093"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62" w:type="dxa"/>
            <w:noWrap/>
            <w:vAlign w:val="center"/>
          </w:tcPr>
          <w:p>
            <w:pPr>
              <w:widowControl/>
              <w:spacing w:line="240" w:lineRule="exact"/>
              <w:jc w:val="left"/>
              <w:rPr>
                <w:color w:val="000000"/>
                <w:kern w:val="0"/>
                <w:szCs w:val="21"/>
              </w:rPr>
            </w:pPr>
            <w:r>
              <w:rPr>
                <w:rFonts w:hint="eastAsia"/>
                <w:kern w:val="0"/>
                <w:szCs w:val="21"/>
              </w:rPr>
              <w:t>群众满意率达到95%以上</w:t>
            </w:r>
          </w:p>
        </w:tc>
        <w:tc>
          <w:tcPr>
            <w:tcW w:w="1440" w:type="dxa"/>
            <w:gridSpan w:val="2"/>
            <w:noWrap/>
            <w:vAlign w:val="center"/>
          </w:tcPr>
          <w:p>
            <w:pPr>
              <w:widowControl/>
              <w:spacing w:line="240" w:lineRule="exact"/>
              <w:jc w:val="left"/>
              <w:rPr>
                <w:color w:val="000000"/>
                <w:kern w:val="0"/>
                <w:szCs w:val="21"/>
              </w:rPr>
            </w:pPr>
            <w:r>
              <w:rPr>
                <w:rFonts w:hint="eastAsia"/>
                <w:kern w:val="0"/>
                <w:szCs w:val="21"/>
              </w:rPr>
              <w:t>群众满意率达到95%以上</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bl>
    <w:p>
      <w:pPr>
        <w:spacing w:line="620" w:lineRule="exact"/>
        <w:jc w:val="left"/>
        <w:rPr>
          <w:rFonts w:ascii="宋体"/>
          <w:sz w:val="32"/>
          <w:szCs w:val="32"/>
        </w:rPr>
      </w:pPr>
    </w:p>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spacing w:line="600" w:lineRule="exact"/>
        <w:rPr>
          <w:rFonts w:ascii="宋体" w:hAnsi="宋体"/>
          <w:b/>
          <w:color w:val="auto"/>
          <w:sz w:val="44"/>
          <w:szCs w:val="44"/>
        </w:rPr>
      </w:pPr>
      <w:r>
        <w:rPr>
          <w:rFonts w:hint="eastAsia" w:eastAsia="方正黑体简体"/>
          <w:color w:val="auto"/>
          <w:sz w:val="32"/>
          <w:szCs w:val="32"/>
        </w:rPr>
        <w:t xml:space="preserve">附件2：      </w:t>
      </w:r>
      <w:r>
        <w:rPr>
          <w:rFonts w:hint="eastAsia" w:ascii="宋体" w:hAnsi="宋体"/>
          <w:b/>
          <w:color w:val="auto"/>
          <w:sz w:val="44"/>
          <w:szCs w:val="44"/>
        </w:rPr>
        <w:t>乐至县行政审批局</w:t>
      </w:r>
    </w:p>
    <w:p>
      <w:pPr>
        <w:spacing w:line="600" w:lineRule="exact"/>
        <w:ind w:left="521" w:leftChars="248" w:firstLine="663" w:firstLineChars="150"/>
        <w:rPr>
          <w:rFonts w:ascii="宋体" w:hAnsi="宋体"/>
          <w:b/>
          <w:color w:val="auto"/>
          <w:sz w:val="44"/>
          <w:szCs w:val="44"/>
        </w:rPr>
      </w:pPr>
      <w:r>
        <w:rPr>
          <w:rFonts w:hint="eastAsia" w:ascii="宋体" w:hAnsi="宋体"/>
          <w:b/>
          <w:color w:val="auto"/>
          <w:sz w:val="44"/>
          <w:szCs w:val="44"/>
        </w:rPr>
        <w:t>202</w:t>
      </w:r>
      <w:r>
        <w:rPr>
          <w:rFonts w:hint="eastAsia" w:ascii="宋体" w:hAnsi="宋体"/>
          <w:b/>
          <w:color w:val="auto"/>
          <w:sz w:val="44"/>
          <w:szCs w:val="44"/>
          <w:lang w:val="en-US" w:eastAsia="zh-CN"/>
        </w:rPr>
        <w:t>2</w:t>
      </w:r>
      <w:r>
        <w:rPr>
          <w:rFonts w:hint="eastAsia" w:ascii="宋体" w:hAnsi="宋体"/>
          <w:b/>
          <w:color w:val="auto"/>
          <w:sz w:val="44"/>
          <w:szCs w:val="44"/>
        </w:rPr>
        <w:t>年度项目支出绩效自评报告</w:t>
      </w:r>
    </w:p>
    <w:p>
      <w:pPr>
        <w:spacing w:line="600" w:lineRule="exact"/>
        <w:ind w:left="160" w:leftChars="76" w:firstLine="1767" w:firstLineChars="550"/>
        <w:rPr>
          <w:rFonts w:ascii="楷体_GB2312" w:eastAsia="楷体_GB2312"/>
          <w:b/>
          <w:color w:val="auto"/>
          <w:sz w:val="32"/>
          <w:szCs w:val="32"/>
        </w:rPr>
      </w:pPr>
      <w:r>
        <w:rPr>
          <w:rFonts w:hint="eastAsia" w:ascii="楷体_GB2312" w:eastAsia="楷体_GB2312"/>
          <w:b/>
          <w:color w:val="auto"/>
          <w:sz w:val="32"/>
          <w:szCs w:val="32"/>
        </w:rPr>
        <w:t>（政务大厅运行经费项目）</w:t>
      </w:r>
    </w:p>
    <w:p>
      <w:pPr>
        <w:tabs>
          <w:tab w:val="left" w:pos="900"/>
        </w:tabs>
        <w:spacing w:line="600" w:lineRule="exact"/>
        <w:ind w:firstLine="636" w:firstLineChars="198"/>
        <w:rPr>
          <w:rFonts w:ascii="楷体_GB2312" w:eastAsia="楷体_GB2312"/>
          <w:b/>
          <w:sz w:val="32"/>
          <w:szCs w:val="32"/>
        </w:rPr>
      </w:pP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 xml:space="preserve">一、项目基本情况 </w:t>
      </w:r>
    </w:p>
    <w:p>
      <w:pPr>
        <w:pStyle w:val="2"/>
        <w:spacing w:line="620" w:lineRule="exact"/>
        <w:ind w:firstLine="472" w:firstLineChars="147"/>
        <w:rPr>
          <w:rFonts w:ascii="仿宋_GB2312" w:hAnsi="Times New Roman" w:eastAsia="仿宋_GB2312" w:cs="Times New Roman"/>
          <w:b/>
          <w:bCs/>
          <w:kern w:val="2"/>
          <w:sz w:val="32"/>
          <w:szCs w:val="32"/>
        </w:rPr>
      </w:pPr>
      <w:r>
        <w:rPr>
          <w:rFonts w:hint="eastAsia" w:ascii="仿宋_GB2312" w:hAnsi="Times New Roman" w:eastAsia="仿宋_GB2312" w:cs="Times New Roman"/>
          <w:b/>
          <w:bCs/>
          <w:kern w:val="2"/>
          <w:sz w:val="32"/>
          <w:szCs w:val="32"/>
        </w:rPr>
        <w:t>（一）概况</w:t>
      </w:r>
    </w:p>
    <w:p>
      <w:pPr>
        <w:spacing w:line="600" w:lineRule="exact"/>
        <w:ind w:firstLine="633" w:firstLineChars="198"/>
        <w:rPr>
          <w:rFonts w:ascii="楷体_GB2312" w:eastAsia="楷体_GB2312"/>
          <w:bCs/>
          <w:sz w:val="32"/>
          <w:szCs w:val="32"/>
        </w:rPr>
      </w:pPr>
      <w:r>
        <w:rPr>
          <w:rFonts w:hint="eastAsia" w:ascii="楷体_GB2312" w:eastAsia="楷体_GB2312"/>
          <w:bCs/>
          <w:sz w:val="32"/>
          <w:szCs w:val="32"/>
        </w:rPr>
        <w:t>1.立项背景及目的。</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大力推行审批服务便民化，紧紧围绕“环节更少、流程更短、效率更高、服务更好”的工作目标，着力提升服务水平、服务能力，高效廉洁服务，提高业务办理水平，为群众服务，让群众满意，积极为全县经济和社会发展营造良好的服务软环境。</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2．预算资金来源及使用情况。</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根据《乐至县财政局关于批复202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年部门预算的通知》（乐财预【2021】1号）文件下达“政务大厅运行费”4万元，到202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年12月底财政已拨付</w:t>
      </w:r>
      <w:r>
        <w:rPr>
          <w:rFonts w:hint="eastAsia" w:ascii="仿宋_GB2312" w:hAnsi="Times New Roman" w:eastAsia="仿宋_GB2312" w:cs="Times New Roman"/>
          <w:color w:val="000000"/>
          <w:kern w:val="2"/>
          <w:sz w:val="32"/>
          <w:szCs w:val="32"/>
          <w:lang w:val="en-US" w:eastAsia="zh-CN"/>
        </w:rPr>
        <w:t>3.92</w:t>
      </w:r>
      <w:r>
        <w:rPr>
          <w:rFonts w:hint="eastAsia" w:ascii="仿宋_GB2312" w:hAnsi="Times New Roman" w:eastAsia="仿宋_GB2312" w:cs="Times New Roman"/>
          <w:color w:val="000000"/>
          <w:kern w:val="2"/>
          <w:sz w:val="32"/>
          <w:szCs w:val="32"/>
        </w:rPr>
        <w:t>万元，指标余额</w:t>
      </w:r>
      <w:r>
        <w:rPr>
          <w:rFonts w:hint="eastAsia" w:ascii="仿宋_GB2312" w:hAnsi="Times New Roman" w:eastAsia="仿宋_GB2312" w:cs="Times New Roman"/>
          <w:color w:val="000000"/>
          <w:kern w:val="2"/>
          <w:sz w:val="32"/>
          <w:szCs w:val="32"/>
          <w:lang w:val="en-US" w:eastAsia="zh-CN"/>
        </w:rPr>
        <w:t>0.08</w:t>
      </w:r>
      <w:r>
        <w:rPr>
          <w:rFonts w:hint="eastAsia" w:ascii="仿宋_GB2312" w:hAnsi="Times New Roman" w:eastAsia="仿宋_GB2312" w:cs="Times New Roman"/>
          <w:color w:val="000000"/>
          <w:kern w:val="2"/>
          <w:sz w:val="32"/>
          <w:szCs w:val="32"/>
        </w:rPr>
        <w:t>万元。</w:t>
      </w:r>
    </w:p>
    <w:p>
      <w:pPr>
        <w:pStyle w:val="2"/>
        <w:spacing w:line="620" w:lineRule="exact"/>
        <w:ind w:firstLine="640" w:firstLineChars="200"/>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3．实施情况（项目完成情况）。</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项目实施前严格按照“先有预算、后有支出”原则，结合我局年度工作任务，科学合理地编制项目预算；项目实施过程中，严格开展事中监控，及时纠正项目预算实施过程中可能存在的问题，保证项目预算顺利推进；项目实施结束后，及时开展决算，将预决算、事中监控有机结合起来，较好地实现了项目绩效申报年度目标。</w:t>
      </w:r>
    </w:p>
    <w:p>
      <w:pPr>
        <w:pStyle w:val="2"/>
        <w:spacing w:line="620" w:lineRule="exact"/>
        <w:ind w:firstLine="472" w:firstLineChars="147"/>
        <w:rPr>
          <w:rFonts w:ascii="仿宋_GB2312" w:hAnsi="Times New Roman" w:eastAsia="仿宋_GB2312" w:cs="Times New Roman"/>
          <w:b/>
          <w:bCs/>
          <w:kern w:val="2"/>
          <w:sz w:val="32"/>
          <w:szCs w:val="32"/>
        </w:rPr>
      </w:pPr>
      <w:r>
        <w:rPr>
          <w:rFonts w:hint="eastAsia" w:ascii="仿宋_GB2312" w:hAnsi="Times New Roman" w:eastAsia="仿宋_GB2312" w:cs="Times New Roman"/>
          <w:b/>
          <w:bCs/>
          <w:kern w:val="2"/>
          <w:sz w:val="32"/>
          <w:szCs w:val="32"/>
        </w:rPr>
        <w:t>4．组织及管理（项目组织、管理流程及实际执行情况）。</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务大厅运行经费主要用于政务大厅运行的办公经费、电话费、电脑、空调、门窗、线路和设施维修维护费等。该项目由乐至县行政审批局组织实施。根据工作实际，按照乐行审[2019]9号关于《乐至县行政审批局财务和资产管理制度》的要求，业务发生后，完善手续向财政申请资金，财政同意拨款后支出。</w:t>
      </w:r>
    </w:p>
    <w:p>
      <w:pPr>
        <w:pStyle w:val="2"/>
        <w:spacing w:line="620" w:lineRule="exact"/>
        <w:ind w:firstLine="472" w:firstLineChars="147"/>
        <w:rPr>
          <w:rFonts w:ascii="仿宋_GB2312" w:hAnsi="Times New Roman" w:eastAsia="仿宋_GB2312" w:cs="Times New Roman"/>
          <w:b/>
          <w:bCs/>
          <w:kern w:val="2"/>
          <w:sz w:val="32"/>
          <w:szCs w:val="32"/>
        </w:rPr>
      </w:pPr>
      <w:r>
        <w:rPr>
          <w:rFonts w:hint="eastAsia" w:ascii="仿宋_GB2312" w:hAnsi="Times New Roman" w:eastAsia="仿宋_GB2312" w:cs="Times New Roman"/>
          <w:b/>
          <w:bCs/>
          <w:kern w:val="2"/>
          <w:sz w:val="32"/>
          <w:szCs w:val="32"/>
        </w:rPr>
        <w:t>（二）绩效目标</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保证政务大厅日常工作运转，全面简化优化办事流程，打造阳光政务平台，优质高效办理审批服务事项，提高办事能力，更好的为群众服好务。产出目标-数量指标，政务中心办事大厅1个。产出目标-质量指标，高标准、高质量做好服务工作，群众满意率达到98%。产出目标-成本指标，运行经费每年4万元。效果目标-按时办结率达到95%以上，提升服务质量，提高办事效率，群众满意率达到95%以上。</w:t>
      </w:r>
    </w:p>
    <w:p>
      <w:pPr>
        <w:tabs>
          <w:tab w:val="left" w:pos="900"/>
        </w:tabs>
        <w:spacing w:line="600" w:lineRule="exact"/>
        <w:ind w:firstLine="643" w:firstLineChars="200"/>
        <w:rPr>
          <w:rFonts w:ascii="黑体" w:hAnsi="宋体" w:eastAsia="黑体"/>
          <w:b/>
          <w:sz w:val="32"/>
          <w:szCs w:val="32"/>
        </w:rPr>
      </w:pPr>
      <w:r>
        <w:rPr>
          <w:rFonts w:hint="eastAsia" w:ascii="黑体" w:hAnsi="宋体" w:eastAsia="黑体"/>
          <w:b/>
          <w:sz w:val="32"/>
          <w:szCs w:val="32"/>
        </w:rPr>
        <w:t>二、绩效自评工作情况</w:t>
      </w:r>
    </w:p>
    <w:p>
      <w:pPr>
        <w:pStyle w:val="2"/>
        <w:spacing w:line="620" w:lineRule="exact"/>
        <w:ind w:firstLine="472" w:firstLineChars="147"/>
        <w:rPr>
          <w:rFonts w:hint="eastAsia" w:ascii="仿宋_GB2312" w:hAnsi="Times New Roman" w:eastAsia="仿宋_GB2312" w:cs="Times New Roman"/>
          <w:b/>
          <w:bCs/>
          <w:kern w:val="2"/>
          <w:sz w:val="32"/>
          <w:szCs w:val="32"/>
        </w:rPr>
      </w:pPr>
      <w:r>
        <w:rPr>
          <w:rFonts w:hint="eastAsia" w:ascii="仿宋_GB2312" w:hAnsi="Times New Roman" w:eastAsia="仿宋_GB2312" w:cs="Times New Roman"/>
          <w:b/>
          <w:bCs/>
          <w:kern w:val="2"/>
          <w:sz w:val="32"/>
          <w:szCs w:val="32"/>
        </w:rPr>
        <w:t>（一）自评工作组织领导</w:t>
      </w:r>
    </w:p>
    <w:p>
      <w:pPr>
        <w:pStyle w:val="2"/>
        <w:spacing w:line="620" w:lineRule="exact"/>
        <w:ind w:firstLine="470" w:firstLineChars="147"/>
        <w:rPr>
          <w:rFonts w:ascii="仿宋_GB2312" w:eastAsia="仿宋_GB2312"/>
          <w:sz w:val="32"/>
          <w:szCs w:val="32"/>
        </w:rPr>
      </w:pPr>
      <w:r>
        <w:rPr>
          <w:rFonts w:hint="eastAsia" w:ascii="仿宋_GB2312" w:eastAsia="仿宋_GB2312"/>
          <w:sz w:val="32"/>
          <w:szCs w:val="32"/>
        </w:rPr>
        <w:t>我局</w:t>
      </w:r>
      <w:r>
        <w:rPr>
          <w:rFonts w:ascii="仿宋_GB2312" w:eastAsia="仿宋_GB2312"/>
          <w:sz w:val="32"/>
          <w:szCs w:val="32"/>
        </w:rPr>
        <w:t>高度重视支出绩效评价工作，切实履行支出绩效评价主体责任</w:t>
      </w:r>
      <w:r>
        <w:rPr>
          <w:rFonts w:hint="eastAsia" w:ascii="仿宋_GB2312" w:eastAsia="仿宋_GB2312"/>
          <w:sz w:val="32"/>
          <w:szCs w:val="32"/>
        </w:rPr>
        <w:t>，成立了评价工作小组，由局长牵头，分管副局长具体负责的工作</w:t>
      </w:r>
      <w:r>
        <w:rPr>
          <w:rFonts w:ascii="仿宋_GB2312" w:eastAsia="仿宋_GB2312"/>
          <w:sz w:val="32"/>
          <w:szCs w:val="32"/>
        </w:rPr>
        <w:t>专班</w:t>
      </w:r>
      <w:r>
        <w:rPr>
          <w:rFonts w:hint="eastAsia" w:ascii="仿宋_GB2312" w:eastAsia="仿宋_GB2312"/>
          <w:sz w:val="32"/>
          <w:szCs w:val="32"/>
        </w:rPr>
        <w:t>，由综合股财务人员具体负责本单位的整体支出绩效目标自评工作，</w:t>
      </w:r>
      <w:r>
        <w:rPr>
          <w:rFonts w:ascii="仿宋_GB2312" w:eastAsia="仿宋_GB2312"/>
          <w:sz w:val="32"/>
          <w:szCs w:val="32"/>
        </w:rPr>
        <w:t>切实履行职责，强化指导督促，</w:t>
      </w:r>
      <w:r>
        <w:rPr>
          <w:rFonts w:hint="eastAsia" w:ascii="仿宋_GB2312" w:hAnsi="宋体" w:eastAsia="仿宋_GB2312" w:cs="宋体"/>
          <w:sz w:val="32"/>
          <w:szCs w:val="32"/>
        </w:rPr>
        <w:t>加强对本局财政支出经济活动的风险防范和管控，实现绩效工作规范化、科学化。</w:t>
      </w:r>
    </w:p>
    <w:p>
      <w:pPr>
        <w:pStyle w:val="2"/>
        <w:spacing w:line="620" w:lineRule="exact"/>
        <w:ind w:firstLine="472" w:firstLineChars="147"/>
        <w:rPr>
          <w:rFonts w:ascii="仿宋_GB2312" w:hAnsi="Times New Roman" w:eastAsia="仿宋_GB2312" w:cs="Times New Roman"/>
          <w:b/>
          <w:bCs/>
          <w:kern w:val="2"/>
          <w:sz w:val="32"/>
          <w:szCs w:val="32"/>
        </w:rPr>
      </w:pPr>
      <w:r>
        <w:rPr>
          <w:rFonts w:hint="eastAsia" w:ascii="仿宋_GB2312" w:hAnsi="Times New Roman" w:eastAsia="仿宋_GB2312" w:cs="Times New Roman"/>
          <w:b/>
          <w:bCs/>
          <w:kern w:val="2"/>
          <w:sz w:val="32"/>
          <w:szCs w:val="32"/>
        </w:rPr>
        <w:t>（二）自评方式、方法、重点等</w:t>
      </w:r>
    </w:p>
    <w:p>
      <w:pPr>
        <w:pStyle w:val="28"/>
        <w:tabs>
          <w:tab w:val="left" w:pos="996"/>
        </w:tabs>
        <w:spacing w:line="552" w:lineRule="exact"/>
        <w:ind w:left="0" w:firstLine="640" w:firstLineChars="200"/>
        <w:rPr>
          <w:rFonts w:ascii="仿宋_GB2312" w:hAnsi="Times New Roman" w:eastAsia="仿宋_GB2312" w:cs="Times New Roman"/>
          <w:kern w:val="2"/>
          <w:sz w:val="32"/>
          <w:szCs w:val="32"/>
          <w:lang w:val="en-US" w:bidi="ar-SA"/>
        </w:rPr>
      </w:pPr>
      <w:r>
        <w:rPr>
          <w:rFonts w:hint="eastAsia" w:ascii="仿宋_GB2312" w:hAnsi="Times New Roman" w:eastAsia="仿宋_GB2312" w:cs="Times New Roman"/>
          <w:kern w:val="2"/>
          <w:sz w:val="32"/>
          <w:szCs w:val="32"/>
          <w:lang w:val="en-US" w:bidi="ar-SA"/>
        </w:rPr>
        <w:t>严格按照乐财监督绩效〔2022〕5号文件精神和</w:t>
      </w:r>
      <w:r>
        <w:rPr>
          <w:rFonts w:ascii="仿宋_GB2312" w:hAnsi="Times New Roman" w:eastAsia="仿宋_GB2312" w:cs="Times New Roman"/>
          <w:kern w:val="2"/>
          <w:sz w:val="32"/>
          <w:szCs w:val="32"/>
          <w:lang w:val="en-US" w:bidi="ar-SA"/>
        </w:rPr>
        <w:t>“谁支出、谁自评”的原则和绩效目标自评全覆盖的要求，对</w:t>
      </w:r>
      <w:r>
        <w:rPr>
          <w:rFonts w:hint="eastAsia" w:ascii="仿宋_GB2312" w:hAnsi="Times New Roman" w:eastAsia="仿宋_GB2312" w:cs="Times New Roman"/>
          <w:kern w:val="2"/>
          <w:sz w:val="32"/>
          <w:szCs w:val="32"/>
          <w:lang w:val="en-US" w:bidi="ar-SA"/>
        </w:rPr>
        <w:t>我局</w:t>
      </w:r>
      <w:r>
        <w:rPr>
          <w:rFonts w:ascii="仿宋_GB2312" w:hAnsi="Times New Roman" w:eastAsia="仿宋_GB2312" w:cs="Times New Roman"/>
          <w:kern w:val="2"/>
          <w:sz w:val="32"/>
          <w:szCs w:val="32"/>
          <w:lang w:val="en-US" w:bidi="ar-SA"/>
        </w:rPr>
        <w:t>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年财政</w:t>
      </w:r>
      <w:r>
        <w:rPr>
          <w:rFonts w:hint="eastAsia" w:ascii="仿宋_GB2312" w:hAnsi="Times New Roman" w:eastAsia="仿宋_GB2312" w:cs="Times New Roman"/>
          <w:kern w:val="2"/>
          <w:sz w:val="32"/>
          <w:szCs w:val="32"/>
          <w:lang w:val="en-US" w:bidi="ar-SA"/>
        </w:rPr>
        <w:t>项目</w:t>
      </w:r>
      <w:r>
        <w:rPr>
          <w:rFonts w:ascii="仿宋_GB2312" w:hAnsi="Times New Roman" w:eastAsia="仿宋_GB2312" w:cs="Times New Roman"/>
          <w:kern w:val="2"/>
          <w:sz w:val="32"/>
          <w:szCs w:val="32"/>
          <w:lang w:val="en-US" w:bidi="ar-SA"/>
        </w:rPr>
        <w:t>支出绩效目标完成情况开展自评，</w:t>
      </w:r>
      <w:r>
        <w:rPr>
          <w:rFonts w:hint="eastAsia" w:ascii="仿宋_GB2312" w:hAnsi="Times New Roman" w:eastAsia="仿宋_GB2312" w:cs="Times New Roman"/>
          <w:kern w:val="2"/>
          <w:sz w:val="32"/>
          <w:szCs w:val="32"/>
          <w:lang w:val="en-US" w:bidi="ar-SA"/>
        </w:rPr>
        <w:t>结合本单位具体职</w:t>
      </w:r>
      <w:r>
        <w:rPr>
          <w:rFonts w:ascii="仿宋_GB2312" w:hAnsi="Times New Roman" w:eastAsia="仿宋_GB2312" w:cs="Times New Roman"/>
          <w:kern w:val="2"/>
          <w:sz w:val="32"/>
          <w:szCs w:val="32"/>
          <w:lang w:val="en-US" w:bidi="ar-SA"/>
        </w:rPr>
        <w:t>能完善部门年初绩效目标，对202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年度本部门预算执行</w:t>
      </w:r>
      <w:r>
        <w:rPr>
          <w:rFonts w:hint="eastAsia" w:ascii="仿宋_GB2312" w:hAnsi="Times New Roman" w:eastAsia="仿宋_GB2312" w:cs="Times New Roman"/>
          <w:kern w:val="2"/>
          <w:sz w:val="32"/>
          <w:szCs w:val="32"/>
          <w:lang w:val="en-US" w:bidi="ar-SA"/>
        </w:rPr>
        <w:t>情</w:t>
      </w:r>
      <w:r>
        <w:rPr>
          <w:rFonts w:ascii="仿宋_GB2312" w:hAnsi="Times New Roman" w:eastAsia="仿宋_GB2312" w:cs="Times New Roman"/>
          <w:kern w:val="2"/>
          <w:sz w:val="32"/>
          <w:szCs w:val="32"/>
          <w:lang w:val="en-US" w:bidi="ar-SA"/>
        </w:rPr>
        <w:t>况、预算结构、总体绩效目标和年度各项具体绩效指标完成情况进行收集梳</w:t>
      </w:r>
      <w:r>
        <w:rPr>
          <w:rFonts w:hint="eastAsia" w:ascii="仿宋_GB2312" w:hAnsi="Times New Roman" w:eastAsia="仿宋_GB2312" w:cs="Times New Roman"/>
          <w:kern w:val="2"/>
          <w:sz w:val="32"/>
          <w:szCs w:val="32"/>
          <w:lang w:val="en-US" w:bidi="ar-SA"/>
        </w:rPr>
        <w:t>理，</w:t>
      </w:r>
      <w:r>
        <w:rPr>
          <w:rFonts w:ascii="仿宋_GB2312" w:hAnsi="Times New Roman" w:eastAsia="仿宋_GB2312" w:cs="Times New Roman"/>
          <w:kern w:val="2"/>
          <w:sz w:val="32"/>
          <w:szCs w:val="32"/>
          <w:lang w:val="en-US" w:bidi="ar-SA"/>
        </w:rPr>
        <w:t>本着客观、真实、准确的原则开展部门项目支出，依据自评得分确定</w:t>
      </w:r>
      <w:r>
        <w:rPr>
          <w:rFonts w:hint="eastAsia" w:ascii="仿宋_GB2312" w:hAnsi="Times New Roman" w:eastAsia="仿宋_GB2312" w:cs="Times New Roman"/>
          <w:kern w:val="2"/>
          <w:sz w:val="32"/>
          <w:szCs w:val="32"/>
          <w:lang w:val="en-US" w:bidi="ar-SA"/>
        </w:rPr>
        <w:t>项目</w:t>
      </w:r>
      <w:r>
        <w:rPr>
          <w:rFonts w:ascii="仿宋_GB2312" w:hAnsi="Times New Roman" w:eastAsia="仿宋_GB2312" w:cs="Times New Roman"/>
          <w:kern w:val="2"/>
          <w:sz w:val="32"/>
          <w:szCs w:val="32"/>
          <w:lang w:val="en-US" w:bidi="ar-SA"/>
        </w:rPr>
        <w:t>绩效等级，并对自评报告的真实性、准确性负责。</w:t>
      </w: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三、评价结论</w:t>
      </w:r>
    </w:p>
    <w:p>
      <w:pPr>
        <w:spacing w:line="600" w:lineRule="exact"/>
        <w:ind w:left="-4" w:leftChars="-2" w:firstLine="480" w:firstLineChars="150"/>
        <w:rPr>
          <w:rFonts w:ascii="仿宋_GB2312" w:hAnsi="宋体" w:eastAsia="仿宋_GB2312" w:cs="宋体"/>
          <w:sz w:val="32"/>
          <w:szCs w:val="32"/>
        </w:rPr>
      </w:pPr>
      <w:r>
        <w:rPr>
          <w:rFonts w:hint="eastAsia" w:ascii="仿宋_GB2312" w:hAnsi="宋体" w:eastAsia="仿宋_GB2312" w:cs="宋体"/>
          <w:sz w:val="32"/>
          <w:szCs w:val="32"/>
        </w:rPr>
        <w:t>我局202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年政务大厅运行经费项目支出绩效总体为</w:t>
      </w:r>
      <w:r>
        <w:rPr>
          <w:rFonts w:hint="eastAsia" w:ascii="仿宋_GB2312" w:hAnsi="宋体" w:eastAsia="仿宋_GB2312" w:cs="宋体"/>
          <w:sz w:val="32"/>
          <w:szCs w:val="32"/>
          <w:lang w:val="en-US" w:eastAsia="zh-CN"/>
        </w:rPr>
        <w:t>优</w:t>
      </w:r>
      <w:r>
        <w:rPr>
          <w:rFonts w:hint="eastAsia" w:ascii="仿宋_GB2312" w:hAnsi="宋体" w:eastAsia="仿宋_GB2312" w:cs="宋体"/>
          <w:sz w:val="32"/>
          <w:szCs w:val="32"/>
        </w:rPr>
        <w:t>，各项目标达到了相应时期执行进度，各项目经费按预算实施，使财政收支预算执行都得到了良好的制度保障和实施效果。</w:t>
      </w:r>
    </w:p>
    <w:p>
      <w:pPr>
        <w:tabs>
          <w:tab w:val="left" w:pos="900"/>
        </w:tabs>
        <w:spacing w:line="600" w:lineRule="exact"/>
        <w:ind w:firstLine="803" w:firstLineChars="250"/>
        <w:rPr>
          <w:rFonts w:ascii="黑体" w:hAnsi="宋体" w:eastAsia="黑体"/>
          <w:b/>
          <w:sz w:val="32"/>
          <w:szCs w:val="32"/>
        </w:rPr>
      </w:pPr>
      <w:r>
        <w:rPr>
          <w:rFonts w:hint="eastAsia" w:ascii="黑体" w:hAnsi="宋体" w:eastAsia="黑体"/>
          <w:b/>
          <w:sz w:val="32"/>
          <w:szCs w:val="32"/>
        </w:rPr>
        <w:t>四、绩效分析</w:t>
      </w:r>
    </w:p>
    <w:p>
      <w:pPr>
        <w:spacing w:line="600" w:lineRule="exact"/>
        <w:ind w:left="435" w:leftChars="207" w:firstLine="480" w:firstLineChars="15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年行政审批局政务大厅运行经费项目支出绩效自我评价打分9</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分。具体评价情况如下:</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（一）投入指标总分25分，自评分值23分。</w:t>
      </w:r>
    </w:p>
    <w:p>
      <w:pPr>
        <w:spacing w:line="600" w:lineRule="exact"/>
        <w:ind w:left="435" w:firstLine="640" w:firstLineChars="200"/>
        <w:rPr>
          <w:rFonts w:ascii="仿宋_GB2312" w:hAnsi="宋体" w:eastAsia="仿宋_GB2312" w:cs="宋体"/>
          <w:sz w:val="32"/>
          <w:szCs w:val="32"/>
        </w:rPr>
      </w:pPr>
      <w:r>
        <w:rPr>
          <w:rFonts w:hint="eastAsia" w:ascii="仿宋_GB2312" w:hAnsi="宋体" w:eastAsia="仿宋_GB2312" w:cs="宋体"/>
          <w:sz w:val="32"/>
          <w:szCs w:val="32"/>
        </w:rPr>
        <w:t>1.项目立项指标</w:t>
      </w:r>
      <w:r>
        <w:rPr>
          <w:rFonts w:ascii="仿宋_GB2312" w:hAnsi="宋体" w:eastAsia="仿宋_GB2312" w:cs="宋体"/>
          <w:sz w:val="32"/>
          <w:szCs w:val="32"/>
        </w:rPr>
        <w:t>15</w:t>
      </w:r>
      <w:r>
        <w:rPr>
          <w:rFonts w:hint="eastAsia" w:ascii="仿宋_GB2312" w:hAnsi="宋体" w:eastAsia="仿宋_GB2312" w:cs="宋体"/>
          <w:sz w:val="32"/>
          <w:szCs w:val="32"/>
        </w:rPr>
        <w:t>分，其中项目立项规范性5分、绩效目标合理性4分、绩效指标明确性6分。指标自评分值为14分。</w:t>
      </w:r>
    </w:p>
    <w:p>
      <w:pPr>
        <w:spacing w:line="600" w:lineRule="exact"/>
        <w:ind w:left="435" w:firstLine="640" w:firstLineChars="200"/>
        <w:rPr>
          <w:rFonts w:ascii="仿宋_GB2312" w:hAnsi="宋体" w:eastAsia="仿宋_GB2312" w:cs="宋体"/>
          <w:sz w:val="32"/>
          <w:szCs w:val="32"/>
        </w:rPr>
      </w:pPr>
      <w:r>
        <w:rPr>
          <w:rFonts w:hint="eastAsia" w:ascii="仿宋_GB2312" w:hAnsi="宋体" w:eastAsia="仿宋_GB2312" w:cs="宋体"/>
          <w:sz w:val="32"/>
          <w:szCs w:val="32"/>
        </w:rPr>
        <w:t>2.资金落实</w:t>
      </w:r>
      <w:r>
        <w:rPr>
          <w:rFonts w:ascii="仿宋_GB2312" w:hAnsi="宋体" w:eastAsia="仿宋_GB2312" w:cs="宋体"/>
          <w:sz w:val="32"/>
          <w:szCs w:val="32"/>
        </w:rPr>
        <w:t>10</w:t>
      </w:r>
      <w:r>
        <w:rPr>
          <w:rFonts w:hint="eastAsia" w:ascii="仿宋_GB2312" w:hAnsi="宋体" w:eastAsia="仿宋_GB2312" w:cs="宋体"/>
          <w:sz w:val="32"/>
          <w:szCs w:val="32"/>
        </w:rPr>
        <w:t>分，资金到位率</w:t>
      </w:r>
      <w:r>
        <w:rPr>
          <w:rFonts w:ascii="仿宋_GB2312" w:hAnsi="宋体" w:eastAsia="仿宋_GB2312" w:cs="宋体"/>
          <w:sz w:val="32"/>
          <w:szCs w:val="32"/>
        </w:rPr>
        <w:t>5</w:t>
      </w:r>
      <w:r>
        <w:rPr>
          <w:rFonts w:hint="eastAsia" w:ascii="仿宋_GB2312" w:hAnsi="宋体" w:eastAsia="仿宋_GB2312" w:cs="宋体"/>
          <w:sz w:val="32"/>
          <w:szCs w:val="32"/>
        </w:rPr>
        <w:t>分、到位及时率</w:t>
      </w:r>
      <w:r>
        <w:rPr>
          <w:rFonts w:ascii="仿宋_GB2312" w:hAnsi="宋体" w:eastAsia="仿宋_GB2312" w:cs="宋体"/>
          <w:sz w:val="32"/>
          <w:szCs w:val="32"/>
        </w:rPr>
        <w:t>5</w:t>
      </w:r>
      <w:r>
        <w:rPr>
          <w:rFonts w:hint="eastAsia" w:ascii="仿宋_GB2312" w:hAnsi="宋体" w:eastAsia="仿宋_GB2312" w:cs="宋体"/>
          <w:sz w:val="32"/>
          <w:szCs w:val="32"/>
        </w:rPr>
        <w:t>分。指标自评分值为9分。资金执行进度缓慢，资金到位率扣1分。</w:t>
      </w:r>
    </w:p>
    <w:p>
      <w:pPr>
        <w:spacing w:line="600" w:lineRule="exact"/>
        <w:ind w:left="435" w:firstLine="643" w:firstLineChars="200"/>
        <w:rPr>
          <w:rFonts w:ascii="仿宋_GB2312" w:hAnsi="宋体" w:eastAsia="仿宋_GB2312" w:cs="宋体"/>
          <w:b/>
          <w:sz w:val="32"/>
          <w:szCs w:val="32"/>
        </w:rPr>
      </w:pPr>
      <w:r>
        <w:rPr>
          <w:rFonts w:hint="eastAsia" w:ascii="仿宋_GB2312" w:hAnsi="宋体" w:eastAsia="仿宋_GB2312" w:cs="宋体"/>
          <w:b/>
          <w:sz w:val="32"/>
          <w:szCs w:val="32"/>
        </w:rPr>
        <w:t>（二）过程指标总分25分，自评分值25分。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1.业务管理</w:t>
      </w:r>
      <w:r>
        <w:rPr>
          <w:rFonts w:ascii="仿宋_GB2312" w:hAnsi="宋体" w:eastAsia="仿宋_GB2312" w:cs="宋体"/>
          <w:sz w:val="32"/>
          <w:szCs w:val="32"/>
        </w:rPr>
        <w:t>13</w:t>
      </w:r>
      <w:r>
        <w:rPr>
          <w:rFonts w:hint="eastAsia" w:ascii="仿宋_GB2312" w:hAnsi="宋体" w:eastAsia="仿宋_GB2312" w:cs="宋体"/>
          <w:sz w:val="32"/>
          <w:szCs w:val="32"/>
        </w:rPr>
        <w:t>分，其中管理制度健全性</w:t>
      </w:r>
      <w:r>
        <w:rPr>
          <w:rFonts w:ascii="仿宋_GB2312" w:hAnsi="宋体" w:eastAsia="仿宋_GB2312" w:cs="宋体"/>
          <w:sz w:val="32"/>
          <w:szCs w:val="32"/>
        </w:rPr>
        <w:t>4</w:t>
      </w:r>
      <w:r>
        <w:rPr>
          <w:rFonts w:hint="eastAsia" w:ascii="仿宋_GB2312" w:hAnsi="宋体" w:eastAsia="仿宋_GB2312" w:cs="宋体"/>
          <w:sz w:val="32"/>
          <w:szCs w:val="32"/>
        </w:rPr>
        <w:t>分、制度执行有效性</w:t>
      </w:r>
      <w:r>
        <w:rPr>
          <w:rFonts w:ascii="仿宋_GB2312" w:hAnsi="宋体" w:eastAsia="仿宋_GB2312" w:cs="宋体"/>
          <w:sz w:val="32"/>
          <w:szCs w:val="32"/>
        </w:rPr>
        <w:t>6</w:t>
      </w:r>
      <w:r>
        <w:rPr>
          <w:rFonts w:hint="eastAsia" w:ascii="仿宋_GB2312" w:hAnsi="宋体" w:eastAsia="仿宋_GB2312" w:cs="宋体"/>
          <w:sz w:val="32"/>
          <w:szCs w:val="32"/>
        </w:rPr>
        <w:t>分、项目质量可控性</w:t>
      </w:r>
      <w:r>
        <w:rPr>
          <w:rFonts w:ascii="仿宋_GB2312" w:hAnsi="宋体" w:eastAsia="仿宋_GB2312" w:cs="宋体"/>
          <w:sz w:val="32"/>
          <w:szCs w:val="32"/>
        </w:rPr>
        <w:t>3</w:t>
      </w:r>
      <w:r>
        <w:rPr>
          <w:rFonts w:hint="eastAsia" w:ascii="仿宋_GB2312" w:hAnsi="宋体" w:eastAsia="仿宋_GB2312" w:cs="宋体"/>
          <w:sz w:val="32"/>
          <w:szCs w:val="32"/>
        </w:rPr>
        <w:t>分。指标自评分值为13分。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2.财务管理</w:t>
      </w:r>
      <w:r>
        <w:rPr>
          <w:rFonts w:ascii="仿宋_GB2312" w:hAnsi="宋体" w:eastAsia="仿宋_GB2312" w:cs="宋体"/>
          <w:sz w:val="32"/>
          <w:szCs w:val="32"/>
        </w:rPr>
        <w:t>12</w:t>
      </w:r>
      <w:r>
        <w:rPr>
          <w:rFonts w:hint="eastAsia" w:ascii="仿宋_GB2312" w:hAnsi="宋体" w:eastAsia="仿宋_GB2312" w:cs="宋体"/>
          <w:sz w:val="32"/>
          <w:szCs w:val="32"/>
        </w:rPr>
        <w:t>分，其中管理制度健全性</w:t>
      </w:r>
      <w:r>
        <w:rPr>
          <w:rFonts w:ascii="仿宋_GB2312" w:hAnsi="宋体" w:eastAsia="仿宋_GB2312" w:cs="宋体"/>
          <w:sz w:val="32"/>
          <w:szCs w:val="32"/>
        </w:rPr>
        <w:t>3</w:t>
      </w:r>
      <w:r>
        <w:rPr>
          <w:rFonts w:hint="eastAsia" w:ascii="仿宋_GB2312" w:hAnsi="宋体" w:eastAsia="仿宋_GB2312" w:cs="宋体"/>
          <w:sz w:val="32"/>
          <w:szCs w:val="32"/>
        </w:rPr>
        <w:t>分、资金使用合规性</w:t>
      </w:r>
      <w:r>
        <w:rPr>
          <w:rFonts w:ascii="仿宋_GB2312" w:hAnsi="宋体" w:eastAsia="仿宋_GB2312" w:cs="宋体"/>
          <w:sz w:val="32"/>
          <w:szCs w:val="32"/>
        </w:rPr>
        <w:t>7</w:t>
      </w:r>
      <w:r>
        <w:rPr>
          <w:rFonts w:hint="eastAsia" w:ascii="仿宋_GB2312" w:hAnsi="宋体" w:eastAsia="仿宋_GB2312" w:cs="宋体"/>
          <w:sz w:val="32"/>
          <w:szCs w:val="32"/>
        </w:rPr>
        <w:t>分、财务监控有效性</w:t>
      </w:r>
      <w:r>
        <w:rPr>
          <w:rFonts w:ascii="仿宋_GB2312" w:hAnsi="宋体" w:eastAsia="仿宋_GB2312" w:cs="宋体"/>
          <w:sz w:val="32"/>
          <w:szCs w:val="32"/>
        </w:rPr>
        <w:t>2</w:t>
      </w:r>
      <w:r>
        <w:rPr>
          <w:rFonts w:hint="eastAsia" w:ascii="仿宋_GB2312" w:hAnsi="宋体" w:eastAsia="仿宋_GB2312" w:cs="宋体"/>
          <w:sz w:val="32"/>
          <w:szCs w:val="32"/>
        </w:rPr>
        <w:t>分。指标自评分值为12分。</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（三）产出指标总分20分，自评分值20分。</w:t>
      </w:r>
    </w:p>
    <w:p>
      <w:pPr>
        <w:spacing w:line="600" w:lineRule="exact"/>
        <w:ind w:firstLine="627" w:firstLineChars="196"/>
        <w:rPr>
          <w:rFonts w:ascii="仿宋_GB2312" w:hAnsi="宋体" w:eastAsia="仿宋_GB2312" w:cs="宋体"/>
          <w:sz w:val="32"/>
          <w:szCs w:val="32"/>
        </w:rPr>
      </w:pPr>
      <w:r>
        <w:rPr>
          <w:rFonts w:hint="eastAsia" w:ascii="仿宋_GB2312" w:hAnsi="宋体" w:eastAsia="仿宋_GB2312" w:cs="宋体"/>
          <w:sz w:val="32"/>
          <w:szCs w:val="32"/>
        </w:rPr>
        <w:t>项目产出</w:t>
      </w:r>
      <w:r>
        <w:rPr>
          <w:rFonts w:ascii="仿宋_GB2312" w:hAnsi="宋体" w:eastAsia="仿宋_GB2312" w:cs="宋体"/>
          <w:sz w:val="32"/>
          <w:szCs w:val="32"/>
        </w:rPr>
        <w:t>20</w:t>
      </w:r>
      <w:r>
        <w:rPr>
          <w:rFonts w:hint="eastAsia" w:ascii="仿宋_GB2312" w:hAnsi="宋体" w:eastAsia="仿宋_GB2312" w:cs="宋体"/>
          <w:sz w:val="32"/>
          <w:szCs w:val="32"/>
        </w:rPr>
        <w:t>分，其中实际完成率</w:t>
      </w:r>
      <w:r>
        <w:rPr>
          <w:rFonts w:ascii="仿宋_GB2312" w:hAnsi="宋体" w:eastAsia="仿宋_GB2312" w:cs="宋体"/>
          <w:sz w:val="32"/>
          <w:szCs w:val="32"/>
        </w:rPr>
        <w:t>4</w:t>
      </w:r>
      <w:r>
        <w:rPr>
          <w:rFonts w:hint="eastAsia" w:ascii="仿宋_GB2312" w:hAnsi="宋体" w:eastAsia="仿宋_GB2312" w:cs="宋体"/>
          <w:sz w:val="32"/>
          <w:szCs w:val="32"/>
        </w:rPr>
        <w:t>分、完成及时率</w:t>
      </w:r>
      <w:r>
        <w:rPr>
          <w:rFonts w:ascii="仿宋_GB2312" w:hAnsi="宋体" w:eastAsia="仿宋_GB2312" w:cs="宋体"/>
          <w:sz w:val="32"/>
          <w:szCs w:val="32"/>
        </w:rPr>
        <w:t>6</w:t>
      </w:r>
      <w:r>
        <w:rPr>
          <w:rFonts w:hint="eastAsia" w:ascii="仿宋_GB2312" w:hAnsi="宋体" w:eastAsia="仿宋_GB2312" w:cs="宋体"/>
          <w:sz w:val="32"/>
          <w:szCs w:val="32"/>
        </w:rPr>
        <w:t>分、质量达标率</w:t>
      </w:r>
      <w:r>
        <w:rPr>
          <w:rFonts w:ascii="仿宋_GB2312" w:hAnsi="宋体" w:eastAsia="仿宋_GB2312" w:cs="宋体"/>
          <w:sz w:val="32"/>
          <w:szCs w:val="32"/>
        </w:rPr>
        <w:t>5</w:t>
      </w:r>
      <w:r>
        <w:rPr>
          <w:rFonts w:hint="eastAsia" w:ascii="仿宋_GB2312" w:hAnsi="宋体" w:eastAsia="仿宋_GB2312" w:cs="宋体"/>
          <w:sz w:val="32"/>
          <w:szCs w:val="32"/>
        </w:rPr>
        <w:t>分、成本节约率</w:t>
      </w:r>
      <w:r>
        <w:rPr>
          <w:rFonts w:ascii="仿宋_GB2312" w:hAnsi="宋体" w:eastAsia="仿宋_GB2312" w:cs="宋体"/>
          <w:sz w:val="32"/>
          <w:szCs w:val="32"/>
        </w:rPr>
        <w:t>5</w:t>
      </w:r>
      <w:r>
        <w:rPr>
          <w:rFonts w:hint="eastAsia" w:ascii="仿宋_GB2312" w:hAnsi="宋体" w:eastAsia="仿宋_GB2312" w:cs="宋体"/>
          <w:sz w:val="32"/>
          <w:szCs w:val="32"/>
        </w:rPr>
        <w:t>分。指标自评分值为20分</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（四）效果指标总分30分，自评分值2</w:t>
      </w:r>
      <w:r>
        <w:rPr>
          <w:rFonts w:hint="eastAsia" w:ascii="仿宋_GB2312" w:hAnsi="宋体" w:eastAsia="仿宋_GB2312" w:cs="宋体"/>
          <w:b/>
          <w:sz w:val="32"/>
          <w:szCs w:val="32"/>
          <w:lang w:val="en-US" w:eastAsia="zh-CN"/>
        </w:rPr>
        <w:t>7</w:t>
      </w:r>
      <w:r>
        <w:rPr>
          <w:rFonts w:hint="eastAsia" w:ascii="仿宋_GB2312" w:hAnsi="宋体" w:eastAsia="仿宋_GB2312" w:cs="宋体"/>
          <w:b/>
          <w:sz w:val="32"/>
          <w:szCs w:val="32"/>
        </w:rPr>
        <w:t>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项目效益</w:t>
      </w:r>
      <w:r>
        <w:rPr>
          <w:rFonts w:ascii="仿宋_GB2312" w:hAnsi="宋体" w:eastAsia="仿宋_GB2312" w:cs="宋体"/>
          <w:sz w:val="32"/>
          <w:szCs w:val="32"/>
        </w:rPr>
        <w:t>30</w:t>
      </w:r>
      <w:r>
        <w:rPr>
          <w:rFonts w:hint="eastAsia" w:ascii="仿宋_GB2312" w:hAnsi="宋体" w:eastAsia="仿宋_GB2312" w:cs="宋体"/>
          <w:sz w:val="32"/>
          <w:szCs w:val="32"/>
        </w:rPr>
        <w:t>分，其中经济效益</w:t>
      </w:r>
      <w:r>
        <w:rPr>
          <w:rFonts w:ascii="仿宋_GB2312" w:hAnsi="宋体" w:eastAsia="仿宋_GB2312" w:cs="宋体"/>
          <w:sz w:val="32"/>
          <w:szCs w:val="32"/>
        </w:rPr>
        <w:t>5</w:t>
      </w:r>
      <w:r>
        <w:rPr>
          <w:rFonts w:hint="eastAsia" w:ascii="仿宋_GB2312" w:hAnsi="宋体" w:eastAsia="仿宋_GB2312" w:cs="宋体"/>
          <w:sz w:val="32"/>
          <w:szCs w:val="32"/>
        </w:rPr>
        <w:t>分、社会效益</w:t>
      </w:r>
      <w:r>
        <w:rPr>
          <w:rFonts w:ascii="仿宋_GB2312" w:hAnsi="宋体" w:eastAsia="仿宋_GB2312" w:cs="宋体"/>
          <w:sz w:val="32"/>
          <w:szCs w:val="32"/>
        </w:rPr>
        <w:t>5</w:t>
      </w:r>
      <w:r>
        <w:rPr>
          <w:rFonts w:hint="eastAsia" w:ascii="仿宋_GB2312" w:hAnsi="宋体" w:eastAsia="仿宋_GB2312" w:cs="宋体"/>
          <w:sz w:val="32"/>
          <w:szCs w:val="32"/>
        </w:rPr>
        <w:t>分、生态效益</w:t>
      </w:r>
      <w:r>
        <w:rPr>
          <w:rFonts w:ascii="仿宋_GB2312" w:hAnsi="宋体" w:eastAsia="仿宋_GB2312" w:cs="宋体"/>
          <w:sz w:val="32"/>
          <w:szCs w:val="32"/>
        </w:rPr>
        <w:t>5</w:t>
      </w:r>
      <w:r>
        <w:rPr>
          <w:rFonts w:hint="eastAsia" w:ascii="仿宋_GB2312" w:hAnsi="宋体" w:eastAsia="仿宋_GB2312" w:cs="宋体"/>
          <w:sz w:val="32"/>
          <w:szCs w:val="32"/>
        </w:rPr>
        <w:t>分、可持续影响效益</w:t>
      </w:r>
      <w:r>
        <w:rPr>
          <w:rFonts w:ascii="仿宋_GB2312" w:hAnsi="宋体" w:eastAsia="仿宋_GB2312" w:cs="宋体"/>
          <w:sz w:val="32"/>
          <w:szCs w:val="32"/>
        </w:rPr>
        <w:t>5</w:t>
      </w:r>
      <w:r>
        <w:rPr>
          <w:rFonts w:hint="eastAsia" w:ascii="仿宋_GB2312" w:hAnsi="宋体" w:eastAsia="仿宋_GB2312" w:cs="宋体"/>
          <w:sz w:val="32"/>
          <w:szCs w:val="32"/>
        </w:rPr>
        <w:t>分、社会公众或服务对象满意度</w:t>
      </w:r>
      <w:r>
        <w:rPr>
          <w:rFonts w:ascii="仿宋_GB2312" w:hAnsi="宋体" w:eastAsia="仿宋_GB2312" w:cs="宋体"/>
          <w:sz w:val="32"/>
          <w:szCs w:val="32"/>
        </w:rPr>
        <w:t>10</w:t>
      </w:r>
      <w:r>
        <w:rPr>
          <w:rFonts w:hint="eastAsia" w:ascii="仿宋_GB2312" w:hAnsi="宋体" w:eastAsia="仿宋_GB2312" w:cs="宋体"/>
          <w:sz w:val="32"/>
          <w:szCs w:val="32"/>
        </w:rPr>
        <w:t>，指标自评分值为25分。其中绩效目标合理性自评扣1分，扣分原因是社会效益扣1分，扣分原因是提升服务水平，优化办事程序有待加强。</w:t>
      </w: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五、主要经验及做法、存在的问题和建议</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（一）主要经验及做法</w:t>
      </w:r>
    </w:p>
    <w:p>
      <w:pPr>
        <w:pStyle w:val="14"/>
        <w:widowControl/>
        <w:shd w:val="clear" w:color="auto" w:fill="FFFFFF"/>
        <w:spacing w:before="0" w:beforeAutospacing="0" w:after="0" w:afterAutospacing="0" w:line="368" w:lineRule="atLeast"/>
        <w:ind w:firstLine="634"/>
        <w:rPr>
          <w:rFonts w:ascii="仿宋_GB2312" w:hAnsi="宋体" w:cs="宋体"/>
          <w:kern w:val="2"/>
          <w:sz w:val="32"/>
        </w:rPr>
      </w:pPr>
      <w:r>
        <w:rPr>
          <w:rFonts w:hint="eastAsia" w:ascii="仿宋_GB2312" w:hAnsi="宋体" w:cs="宋体"/>
          <w:kern w:val="2"/>
          <w:sz w:val="32"/>
        </w:rPr>
        <w:t>工作与经费管理规范，按计划完成，社会效益较好，项目可持续性强，服务对象总体满意。</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（二）存在的问题</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按照县人民政府土地管理委员会2018年第2次会议纪要议定事项，同意将县不动产登记中心场所及人员（含保安、保洁人员）纳入县政务服务中心日常管理，但其日常运行经费未纳入县行政审批局财政预算，乐至县行政审批局、乐至县自然资源和规划局于2019年6月21日联合行文以乐行审〔2</w:t>
      </w:r>
      <w:r>
        <w:rPr>
          <w:rFonts w:ascii="仿宋_GB2312" w:hAnsi="宋体" w:eastAsia="仿宋_GB2312" w:cs="宋体"/>
          <w:sz w:val="32"/>
          <w:szCs w:val="32"/>
        </w:rPr>
        <w:t>019</w:t>
      </w:r>
      <w:r>
        <w:rPr>
          <w:rFonts w:hint="eastAsia" w:ascii="仿宋_GB2312" w:hAnsi="宋体" w:eastAsia="仿宋_GB2312" w:cs="宋体"/>
          <w:sz w:val="32"/>
          <w:szCs w:val="32"/>
        </w:rPr>
        <w:t>〕11号文件《关于解决县不动产登记中心运行经费的请示》，向乐至县人民政府请求将县不动产登记中心日常运行经费纳入乐至县行政审批局年度财政预算，当年只追加了4万元的工作经费，没纳入财政预算。专项工作经费缺口大，不利于我局工作的推进与开展。</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（三）建议和改进措施</w:t>
      </w:r>
    </w:p>
    <w:p>
      <w:pPr>
        <w:spacing w:line="600" w:lineRule="exact"/>
        <w:ind w:firstLine="800" w:firstLineChars="250"/>
        <w:rPr>
          <w:rFonts w:ascii="仿宋_GB2312" w:hAnsi="宋体" w:eastAsia="仿宋_GB2312" w:cs="宋体"/>
          <w:sz w:val="32"/>
          <w:szCs w:val="32"/>
        </w:rPr>
      </w:pPr>
      <w:r>
        <w:rPr>
          <w:rFonts w:hint="eastAsia" w:ascii="仿宋_GB2312" w:hAnsi="宋体" w:eastAsia="仿宋_GB2312" w:cs="宋体"/>
          <w:sz w:val="32"/>
          <w:szCs w:val="32"/>
        </w:rPr>
        <w:t>将不动产登记中心运行经费纳入财政年初预算。</w:t>
      </w:r>
    </w:p>
    <w:p/>
    <w:p>
      <w:pPr>
        <w:pStyle w:val="2"/>
        <w:spacing w:line="620" w:lineRule="exact"/>
        <w:ind w:firstLine="588" w:firstLineChars="196"/>
        <w:rPr>
          <w:rFonts w:ascii="仿宋_GB2312" w:hAnsi="Times New Roman" w:eastAsia="仿宋_GB2312" w:cs="Times New Roman"/>
          <w:color w:val="000000"/>
          <w:kern w:val="2"/>
        </w:rPr>
      </w:pPr>
    </w:p>
    <w:p>
      <w:pPr>
        <w:spacing w:line="600" w:lineRule="exact"/>
        <w:jc w:val="right"/>
        <w:rPr>
          <w:rFonts w:ascii="楷体_GB2312" w:hAnsi="宋体" w:eastAsia="楷体_GB2312" w:cs="宋体"/>
          <w:sz w:val="32"/>
          <w:szCs w:val="32"/>
        </w:rPr>
      </w:pPr>
      <w:r>
        <w:rPr>
          <w:rFonts w:hint="eastAsia" w:ascii="楷体_GB2312" w:hAnsi="宋体" w:eastAsia="楷体_GB2312" w:cs="宋体"/>
          <w:sz w:val="32"/>
          <w:szCs w:val="32"/>
        </w:rPr>
        <w:t>乐至县行政审批局</w:t>
      </w:r>
    </w:p>
    <w:p>
      <w:pPr>
        <w:spacing w:line="600" w:lineRule="exact"/>
        <w:jc w:val="right"/>
        <w:rPr>
          <w:rFonts w:ascii="楷体_GB2312" w:hAnsi="宋体" w:eastAsia="楷体_GB2312" w:cs="宋体"/>
          <w:sz w:val="32"/>
          <w:szCs w:val="32"/>
        </w:rPr>
      </w:pPr>
      <w:r>
        <w:rPr>
          <w:rFonts w:hint="eastAsia" w:ascii="楷体_GB2312" w:hAnsi="宋体" w:eastAsia="楷体_GB2312" w:cs="宋体"/>
          <w:sz w:val="32"/>
          <w:szCs w:val="32"/>
        </w:rPr>
        <w:t>202</w:t>
      </w:r>
      <w:r>
        <w:rPr>
          <w:rFonts w:hint="eastAsia" w:ascii="楷体_GB2312" w:hAnsi="宋体" w:eastAsia="楷体_GB2312" w:cs="宋体"/>
          <w:sz w:val="32"/>
          <w:szCs w:val="32"/>
          <w:lang w:val="en-US" w:eastAsia="zh-CN"/>
        </w:rPr>
        <w:t>3</w:t>
      </w:r>
      <w:r>
        <w:rPr>
          <w:rFonts w:hint="eastAsia" w:ascii="楷体_GB2312" w:hAnsi="宋体" w:eastAsia="楷体_GB2312" w:cs="宋体"/>
          <w:sz w:val="32"/>
          <w:szCs w:val="32"/>
        </w:rPr>
        <w:t>年</w:t>
      </w:r>
      <w:r>
        <w:rPr>
          <w:rFonts w:hint="eastAsia" w:ascii="楷体_GB2312" w:hAnsi="宋体" w:eastAsia="楷体_GB2312" w:cs="宋体"/>
          <w:sz w:val="32"/>
          <w:szCs w:val="32"/>
          <w:lang w:val="en-US" w:eastAsia="zh-CN"/>
        </w:rPr>
        <w:t>10</w:t>
      </w:r>
      <w:r>
        <w:rPr>
          <w:rFonts w:hint="eastAsia" w:ascii="楷体_GB2312" w:hAnsi="宋体" w:eastAsia="楷体_GB2312" w:cs="宋体"/>
          <w:sz w:val="32"/>
          <w:szCs w:val="32"/>
        </w:rPr>
        <w:t>月</w:t>
      </w:r>
      <w:r>
        <w:rPr>
          <w:rFonts w:hint="eastAsia" w:ascii="楷体_GB2312" w:hAnsi="宋体" w:eastAsia="楷体_GB2312" w:cs="宋体"/>
          <w:sz w:val="32"/>
          <w:szCs w:val="32"/>
          <w:lang w:val="en-US" w:eastAsia="zh-CN"/>
        </w:rPr>
        <w:t>18</w:t>
      </w:r>
      <w:r>
        <w:rPr>
          <w:rFonts w:hint="eastAsia" w:ascii="楷体_GB2312" w:hAnsi="宋体" w:eastAsia="楷体_GB2312" w:cs="宋体"/>
          <w:sz w:val="32"/>
          <w:szCs w:val="32"/>
        </w:rPr>
        <w:t>日</w:t>
      </w:r>
    </w:p>
    <w:p>
      <w:pPr>
        <w:spacing w:line="600" w:lineRule="exact"/>
        <w:rPr>
          <w:rFonts w:eastAsia="方正黑体简体"/>
          <w:bCs/>
          <w:kern w:val="0"/>
        </w:rPr>
      </w:pPr>
    </w:p>
    <w:p>
      <w:pPr>
        <w:spacing w:line="600" w:lineRule="exact"/>
        <w:rPr>
          <w:rFonts w:hint="eastAsia" w:eastAsia="方正黑体简体"/>
          <w:bCs/>
          <w:kern w:val="0"/>
        </w:rPr>
      </w:pPr>
    </w:p>
    <w:p>
      <w:pPr>
        <w:spacing w:line="600" w:lineRule="exact"/>
        <w:rPr>
          <w:rFonts w:hint="eastAsia" w:eastAsia="方正黑体简体"/>
          <w:bCs/>
          <w:kern w:val="0"/>
        </w:rPr>
      </w:pPr>
    </w:p>
    <w:p>
      <w:pPr>
        <w:spacing w:line="600" w:lineRule="exact"/>
        <w:rPr>
          <w:rFonts w:eastAsia="方正黑体简体"/>
          <w:bCs/>
          <w:kern w:val="0"/>
        </w:rPr>
      </w:pPr>
      <w:r>
        <w:rPr>
          <w:rFonts w:hint="eastAsia" w:eastAsia="方正黑体简体"/>
          <w:bCs/>
          <w:kern w:val="0"/>
        </w:rPr>
        <w:t>附件2</w:t>
      </w:r>
      <w:r>
        <w:rPr>
          <w:rFonts w:eastAsia="方正黑体简体"/>
          <w:bCs/>
          <w:kern w:val="0"/>
        </w:rPr>
        <w:t>-1</w:t>
      </w:r>
    </w:p>
    <w:p>
      <w:pPr>
        <w:spacing w:line="620" w:lineRule="exact"/>
        <w:jc w:val="center"/>
        <w:rPr>
          <w:rFonts w:eastAsia="方正小标宋简体"/>
          <w:bCs/>
          <w:kern w:val="0"/>
          <w:sz w:val="40"/>
          <w:szCs w:val="40"/>
        </w:rPr>
      </w:pPr>
      <w:r>
        <w:rPr>
          <w:rFonts w:eastAsia="方正小标宋简体"/>
          <w:bCs/>
          <w:kern w:val="0"/>
          <w:sz w:val="40"/>
          <w:szCs w:val="40"/>
        </w:rPr>
        <w:t>202</w:t>
      </w:r>
      <w:r>
        <w:rPr>
          <w:rFonts w:hint="eastAsia" w:eastAsia="方正小标宋简体"/>
          <w:bCs/>
          <w:kern w:val="0"/>
          <w:sz w:val="40"/>
          <w:szCs w:val="40"/>
          <w:lang w:val="en-US" w:eastAsia="zh-CN"/>
        </w:rPr>
        <w:t>2</w:t>
      </w:r>
      <w:r>
        <w:rPr>
          <w:rFonts w:hint="eastAsia" w:eastAsia="方正小标宋简体"/>
          <w:bCs/>
          <w:kern w:val="0"/>
          <w:sz w:val="40"/>
          <w:szCs w:val="40"/>
        </w:rPr>
        <w:t>年度乐至县项目支出绩效自评计分表</w:t>
      </w:r>
    </w:p>
    <w:p>
      <w:pPr>
        <w:spacing w:line="620" w:lineRule="exact"/>
        <w:jc w:val="center"/>
        <w:rPr>
          <w:rFonts w:eastAsia="方正小标宋简体"/>
          <w:bCs/>
          <w:kern w:val="0"/>
          <w:sz w:val="40"/>
          <w:szCs w:val="40"/>
        </w:rPr>
      </w:pPr>
      <w:r>
        <w:rPr>
          <w:rFonts w:hint="eastAsia" w:eastAsia="方正小标宋简体"/>
          <w:bCs/>
          <w:kern w:val="0"/>
          <w:sz w:val="40"/>
          <w:szCs w:val="40"/>
        </w:rPr>
        <w:t>（政务大厅运行经费项目）</w:t>
      </w:r>
    </w:p>
    <w:p>
      <w:pPr>
        <w:widowControl/>
        <w:spacing w:line="590" w:lineRule="exact"/>
        <w:jc w:val="left"/>
        <w:rPr>
          <w:rFonts w:hint="eastAsia" w:eastAsia="宋体"/>
          <w:sz w:val="18"/>
          <w:szCs w:val="18"/>
          <w:lang w:val="en-US" w:eastAsia="zh-CN"/>
        </w:rPr>
      </w:pPr>
      <w:r>
        <w:rPr>
          <w:rFonts w:hint="eastAsia"/>
          <w:bCs/>
          <w:kern w:val="0"/>
          <w:sz w:val="18"/>
          <w:szCs w:val="18"/>
        </w:rPr>
        <w:t xml:space="preserve">预算单位名称：乐至县行政审批局 </w:t>
      </w:r>
      <w:r>
        <w:rPr>
          <w:bCs/>
          <w:kern w:val="0"/>
          <w:sz w:val="18"/>
          <w:szCs w:val="18"/>
        </w:rPr>
        <w:t xml:space="preserve"> </w:t>
      </w:r>
      <w:r>
        <w:rPr>
          <w:rFonts w:hint="eastAsia"/>
          <w:bCs/>
          <w:kern w:val="0"/>
          <w:sz w:val="18"/>
          <w:szCs w:val="18"/>
        </w:rPr>
        <w:t xml:space="preserve">       预算单位编码：134101001  </w:t>
      </w:r>
      <w:r>
        <w:rPr>
          <w:bCs/>
          <w:kern w:val="0"/>
          <w:sz w:val="18"/>
          <w:szCs w:val="18"/>
        </w:rPr>
        <w:t xml:space="preserve"> </w:t>
      </w:r>
      <w:r>
        <w:rPr>
          <w:rFonts w:hint="eastAsia"/>
          <w:bCs/>
          <w:kern w:val="0"/>
          <w:sz w:val="18"/>
          <w:szCs w:val="18"/>
        </w:rPr>
        <w:t xml:space="preserve">          自评等级：</w:t>
      </w:r>
      <w:r>
        <w:rPr>
          <w:rFonts w:hint="eastAsia"/>
          <w:bCs/>
          <w:kern w:val="0"/>
          <w:sz w:val="18"/>
          <w:szCs w:val="18"/>
          <w:lang w:val="en-US" w:eastAsia="zh-CN"/>
        </w:rPr>
        <w:t>优</w:t>
      </w:r>
    </w:p>
    <w:tbl>
      <w:tblPr>
        <w:tblStyle w:val="16"/>
        <w:tblW w:w="50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88"/>
        <w:gridCol w:w="680"/>
        <w:gridCol w:w="833"/>
        <w:gridCol w:w="1659"/>
        <w:gridCol w:w="3480"/>
        <w:gridCol w:w="703"/>
        <w:gridCol w:w="8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tblHeader/>
          <w:jc w:val="center"/>
        </w:trPr>
        <w:tc>
          <w:tcPr>
            <w:tcW w:w="386" w:type="pct"/>
            <w:shd w:val="clear" w:color="000000" w:fill="FFFFFF"/>
            <w:vAlign w:val="center"/>
          </w:tcPr>
          <w:p>
            <w:pPr>
              <w:widowControl/>
              <w:spacing w:line="270" w:lineRule="exact"/>
              <w:jc w:val="center"/>
              <w:rPr>
                <w:rFonts w:cs="黑体"/>
                <w:kern w:val="0"/>
                <w:szCs w:val="21"/>
              </w:rPr>
            </w:pPr>
            <w:r>
              <w:rPr>
                <w:rFonts w:hint="eastAsia" w:cs="黑体"/>
                <w:kern w:val="0"/>
                <w:szCs w:val="21"/>
              </w:rPr>
              <w:t>一级</w:t>
            </w:r>
            <w:r>
              <w:rPr>
                <w:rFonts w:cs="黑体"/>
                <w:kern w:val="0"/>
                <w:szCs w:val="21"/>
              </w:rPr>
              <w:br w:type="textWrapping"/>
            </w:r>
            <w:r>
              <w:rPr>
                <w:rFonts w:hint="eastAsia" w:cs="黑体"/>
                <w:kern w:val="0"/>
                <w:szCs w:val="21"/>
              </w:rPr>
              <w:t>指标</w:t>
            </w:r>
          </w:p>
        </w:tc>
        <w:tc>
          <w:tcPr>
            <w:tcW w:w="381" w:type="pct"/>
            <w:shd w:val="clear" w:color="000000" w:fill="FFFFFF"/>
            <w:vAlign w:val="center"/>
          </w:tcPr>
          <w:p>
            <w:pPr>
              <w:widowControl/>
              <w:spacing w:line="270" w:lineRule="exact"/>
              <w:jc w:val="center"/>
              <w:rPr>
                <w:rFonts w:cs="黑体"/>
                <w:kern w:val="0"/>
                <w:szCs w:val="21"/>
              </w:rPr>
            </w:pPr>
            <w:r>
              <w:rPr>
                <w:rFonts w:hint="eastAsia" w:cs="黑体"/>
                <w:kern w:val="0"/>
                <w:szCs w:val="21"/>
              </w:rPr>
              <w:t>二级</w:t>
            </w:r>
            <w:r>
              <w:rPr>
                <w:rFonts w:cs="黑体"/>
                <w:kern w:val="0"/>
                <w:szCs w:val="21"/>
              </w:rPr>
              <w:br w:type="textWrapping"/>
            </w:r>
            <w:r>
              <w:rPr>
                <w:rFonts w:hint="eastAsia" w:cs="黑体"/>
                <w:kern w:val="0"/>
                <w:szCs w:val="21"/>
              </w:rPr>
              <w:t>指标</w:t>
            </w:r>
          </w:p>
        </w:tc>
        <w:tc>
          <w:tcPr>
            <w:tcW w:w="467" w:type="pct"/>
            <w:shd w:val="clear" w:color="000000" w:fill="FFFFFF"/>
            <w:vAlign w:val="center"/>
          </w:tcPr>
          <w:p>
            <w:pPr>
              <w:widowControl/>
              <w:spacing w:line="270" w:lineRule="exact"/>
              <w:jc w:val="center"/>
              <w:rPr>
                <w:rFonts w:cs="黑体"/>
                <w:kern w:val="0"/>
                <w:szCs w:val="21"/>
              </w:rPr>
            </w:pPr>
            <w:r>
              <w:rPr>
                <w:rFonts w:hint="eastAsia" w:cs="黑体"/>
                <w:kern w:val="0"/>
                <w:szCs w:val="21"/>
              </w:rPr>
              <w:t>三级</w:t>
            </w:r>
          </w:p>
          <w:p>
            <w:pPr>
              <w:widowControl/>
              <w:spacing w:line="270" w:lineRule="exact"/>
              <w:jc w:val="center"/>
              <w:rPr>
                <w:rFonts w:cs="黑体"/>
                <w:kern w:val="0"/>
                <w:szCs w:val="21"/>
              </w:rPr>
            </w:pPr>
            <w:r>
              <w:rPr>
                <w:rFonts w:hint="eastAsia" w:cs="黑体"/>
                <w:kern w:val="0"/>
                <w:szCs w:val="21"/>
              </w:rPr>
              <w:t>指标</w:t>
            </w:r>
          </w:p>
        </w:tc>
        <w:tc>
          <w:tcPr>
            <w:tcW w:w="930" w:type="pct"/>
            <w:shd w:val="clear" w:color="000000" w:fill="FFFFFF"/>
            <w:vAlign w:val="center"/>
          </w:tcPr>
          <w:p>
            <w:pPr>
              <w:widowControl/>
              <w:spacing w:line="270" w:lineRule="exact"/>
              <w:jc w:val="center"/>
              <w:rPr>
                <w:rFonts w:cs="黑体"/>
                <w:kern w:val="0"/>
                <w:szCs w:val="21"/>
              </w:rPr>
            </w:pPr>
            <w:r>
              <w:rPr>
                <w:rFonts w:hint="eastAsia" w:cs="黑体"/>
                <w:kern w:val="0"/>
                <w:szCs w:val="21"/>
              </w:rPr>
              <w:t>指标解释</w:t>
            </w:r>
          </w:p>
        </w:tc>
        <w:tc>
          <w:tcPr>
            <w:tcW w:w="1950" w:type="pct"/>
            <w:shd w:val="clear" w:color="000000" w:fill="FFFFFF"/>
            <w:vAlign w:val="center"/>
          </w:tcPr>
          <w:p>
            <w:pPr>
              <w:widowControl/>
              <w:spacing w:line="270" w:lineRule="exact"/>
              <w:jc w:val="center"/>
              <w:rPr>
                <w:rFonts w:cs="黑体"/>
                <w:kern w:val="0"/>
                <w:szCs w:val="21"/>
              </w:rPr>
            </w:pPr>
            <w:r>
              <w:rPr>
                <w:rFonts w:hint="eastAsia" w:cs="黑体"/>
                <w:kern w:val="0"/>
                <w:szCs w:val="21"/>
              </w:rPr>
              <w:t>指标说明（评价计分标准）</w:t>
            </w:r>
          </w:p>
        </w:tc>
        <w:tc>
          <w:tcPr>
            <w:tcW w:w="394" w:type="pct"/>
            <w:shd w:val="clear" w:color="000000" w:fill="FFFFFF"/>
            <w:vAlign w:val="center"/>
          </w:tcPr>
          <w:p>
            <w:pPr>
              <w:widowControl/>
              <w:spacing w:line="270" w:lineRule="exact"/>
              <w:jc w:val="center"/>
              <w:rPr>
                <w:rFonts w:cs="黑体"/>
                <w:kern w:val="0"/>
                <w:szCs w:val="21"/>
              </w:rPr>
            </w:pPr>
            <w:r>
              <w:rPr>
                <w:rFonts w:hint="eastAsia" w:cs="黑体"/>
                <w:kern w:val="0"/>
                <w:szCs w:val="21"/>
              </w:rPr>
              <w:t>自评</w:t>
            </w:r>
          </w:p>
          <w:p>
            <w:pPr>
              <w:widowControl/>
              <w:spacing w:line="270" w:lineRule="exact"/>
              <w:jc w:val="center"/>
              <w:rPr>
                <w:rFonts w:cs="黑体"/>
                <w:kern w:val="0"/>
                <w:szCs w:val="21"/>
              </w:rPr>
            </w:pPr>
            <w:r>
              <w:rPr>
                <w:rFonts w:hint="eastAsia" w:cs="黑体"/>
                <w:kern w:val="0"/>
                <w:szCs w:val="21"/>
              </w:rPr>
              <w:t>分数</w:t>
            </w:r>
          </w:p>
        </w:tc>
        <w:tc>
          <w:tcPr>
            <w:tcW w:w="490" w:type="pct"/>
            <w:shd w:val="clear" w:color="000000" w:fill="FFFFFF"/>
            <w:vAlign w:val="center"/>
          </w:tcPr>
          <w:p>
            <w:pPr>
              <w:widowControl/>
              <w:spacing w:line="270" w:lineRule="exact"/>
              <w:jc w:val="center"/>
              <w:rPr>
                <w:rFonts w:cs="黑体"/>
                <w:kern w:val="0"/>
                <w:szCs w:val="21"/>
              </w:rPr>
            </w:pPr>
            <w:r>
              <w:rPr>
                <w:rFonts w:hint="eastAsia" w:cs="黑体"/>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3" w:hRule="atLeast"/>
          <w:jc w:val="center"/>
        </w:trPr>
        <w:tc>
          <w:tcPr>
            <w:tcW w:w="386" w:type="pct"/>
            <w:vMerge w:val="restart"/>
            <w:shd w:val="clear" w:color="000000" w:fill="FFFFFF"/>
            <w:noWrap/>
            <w:textDirection w:val="tbRlV"/>
            <w:vAlign w:val="center"/>
          </w:tcPr>
          <w:p>
            <w:pPr>
              <w:widowControl/>
              <w:spacing w:line="27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项目</w:t>
            </w:r>
            <w:r>
              <w:rPr>
                <w:kern w:val="0"/>
                <w:szCs w:val="21"/>
              </w:rPr>
              <w:br w:type="textWrapping"/>
            </w:r>
            <w:r>
              <w:rPr>
                <w:rFonts w:hint="eastAsia"/>
                <w:kern w:val="0"/>
                <w:szCs w:val="21"/>
              </w:rPr>
              <w:t>立项（</w:t>
            </w:r>
            <w:r>
              <w:rPr>
                <w:kern w:val="0"/>
                <w:szCs w:val="21"/>
              </w:rPr>
              <w:t>15</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项目的申请、设立过程是否符合相关要求，用以反映和考核项目立项的规范情况。</w:t>
            </w:r>
          </w:p>
        </w:tc>
        <w:tc>
          <w:tcPr>
            <w:tcW w:w="1950" w:type="pct"/>
            <w:shd w:val="clear" w:color="000000" w:fill="FFFFFF"/>
            <w:vAlign w:val="center"/>
          </w:tcPr>
          <w:p>
            <w:pPr>
              <w:widowControl/>
              <w:spacing w:line="27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r>
              <w:rPr>
                <w:kern w:val="0"/>
                <w:szCs w:val="21"/>
              </w:rPr>
              <w:br w:type="textWrapping"/>
            </w:r>
            <w:r>
              <w:rPr>
                <w:rFonts w:hint="eastAsia"/>
                <w:kern w:val="0"/>
                <w:szCs w:val="21"/>
              </w:rPr>
              <w:t>②所提交的文件、材料是否符合相关要求；（</w:t>
            </w:r>
            <w:r>
              <w:rPr>
                <w:kern w:val="0"/>
                <w:szCs w:val="21"/>
              </w:rPr>
              <w:t>2</w:t>
            </w:r>
            <w:r>
              <w:rPr>
                <w:rFonts w:hint="eastAsia"/>
                <w:kern w:val="0"/>
                <w:szCs w:val="21"/>
              </w:rPr>
              <w:t>分）</w:t>
            </w:r>
            <w:r>
              <w:rPr>
                <w:kern w:val="0"/>
                <w:szCs w:val="21"/>
              </w:rPr>
              <w:br w:type="textWrapping"/>
            </w: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98"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50" w:type="pct"/>
            <w:shd w:val="clear" w:color="000000" w:fill="FFFFFF"/>
            <w:vAlign w:val="center"/>
          </w:tcPr>
          <w:p>
            <w:pPr>
              <w:widowControl/>
              <w:spacing w:line="27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r>
              <w:rPr>
                <w:kern w:val="0"/>
                <w:szCs w:val="21"/>
              </w:rPr>
              <w:br w:type="textWrapping"/>
            </w:r>
            <w:r>
              <w:rPr>
                <w:rFonts w:hint="eastAsia"/>
                <w:kern w:val="0"/>
                <w:szCs w:val="21"/>
              </w:rPr>
              <w:t>②是否与项目实施单位或委托单位职责密切相关；（</w:t>
            </w:r>
            <w:r>
              <w:rPr>
                <w:kern w:val="0"/>
                <w:szCs w:val="21"/>
              </w:rPr>
              <w:t>1</w:t>
            </w:r>
            <w:r>
              <w:rPr>
                <w:rFonts w:hint="eastAsia"/>
                <w:kern w:val="0"/>
                <w:szCs w:val="21"/>
              </w:rPr>
              <w:t>分）</w:t>
            </w:r>
            <w:r>
              <w:rPr>
                <w:kern w:val="0"/>
                <w:szCs w:val="21"/>
              </w:rPr>
              <w:br w:type="textWrapping"/>
            </w:r>
            <w:r>
              <w:rPr>
                <w:rFonts w:hint="eastAsia"/>
                <w:kern w:val="0"/>
                <w:szCs w:val="21"/>
              </w:rPr>
              <w:t>③项目是否为促进事业发展所必需；（</w:t>
            </w:r>
            <w:r>
              <w:rPr>
                <w:kern w:val="0"/>
                <w:szCs w:val="21"/>
              </w:rPr>
              <w:t>1</w:t>
            </w:r>
            <w:r>
              <w:rPr>
                <w:rFonts w:hint="eastAsia"/>
                <w:kern w:val="0"/>
                <w:szCs w:val="21"/>
              </w:rPr>
              <w:t>分）</w:t>
            </w:r>
            <w:r>
              <w:rPr>
                <w:kern w:val="0"/>
                <w:szCs w:val="21"/>
              </w:rPr>
              <w:br w:type="textWrapping"/>
            </w: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6"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50" w:type="pct"/>
            <w:shd w:val="clear" w:color="000000" w:fill="FFFFFF"/>
            <w:vAlign w:val="center"/>
          </w:tcPr>
          <w:p>
            <w:pPr>
              <w:widowControl/>
              <w:spacing w:line="27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r>
              <w:rPr>
                <w:kern w:val="0"/>
                <w:szCs w:val="21"/>
              </w:rPr>
              <w:br w:type="textWrapping"/>
            </w:r>
            <w:r>
              <w:rPr>
                <w:rFonts w:hint="eastAsia"/>
                <w:kern w:val="0"/>
                <w:szCs w:val="21"/>
              </w:rPr>
              <w:t>②是否通过清晰、可衡量的指标值予以体现；（</w:t>
            </w:r>
            <w:r>
              <w:rPr>
                <w:kern w:val="0"/>
                <w:szCs w:val="21"/>
              </w:rPr>
              <w:t>1</w:t>
            </w:r>
            <w:r>
              <w:rPr>
                <w:rFonts w:hint="eastAsia"/>
                <w:kern w:val="0"/>
                <w:szCs w:val="21"/>
              </w:rPr>
              <w:t>分）</w:t>
            </w:r>
            <w:r>
              <w:rPr>
                <w:kern w:val="0"/>
                <w:szCs w:val="21"/>
              </w:rPr>
              <w:br w:type="textWrapping"/>
            </w:r>
            <w:r>
              <w:rPr>
                <w:rFonts w:hint="eastAsia"/>
                <w:kern w:val="0"/>
                <w:szCs w:val="21"/>
              </w:rPr>
              <w:t>③是否与项目年度任务数或计划数相对应；（</w:t>
            </w:r>
            <w:r>
              <w:rPr>
                <w:kern w:val="0"/>
                <w:szCs w:val="21"/>
              </w:rPr>
              <w:t>1</w:t>
            </w:r>
            <w:r>
              <w:rPr>
                <w:rFonts w:hint="eastAsia"/>
                <w:kern w:val="0"/>
                <w:szCs w:val="21"/>
              </w:rPr>
              <w:t>分）</w:t>
            </w:r>
            <w:r>
              <w:rPr>
                <w:kern w:val="0"/>
                <w:szCs w:val="21"/>
              </w:rPr>
              <w:br w:type="textWrapping"/>
            </w:r>
            <w:r>
              <w:rPr>
                <w:rFonts w:hint="eastAsia"/>
                <w:kern w:val="0"/>
                <w:szCs w:val="21"/>
              </w:rPr>
              <w:t>④是否与预算确定的项目投资额或资金量相匹配。（</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9"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资金</w:t>
            </w:r>
            <w:r>
              <w:rPr>
                <w:kern w:val="0"/>
                <w:szCs w:val="21"/>
              </w:rPr>
              <w:br w:type="textWrapping"/>
            </w:r>
            <w:r>
              <w:rPr>
                <w:rFonts w:hint="eastAsia"/>
                <w:kern w:val="0"/>
                <w:szCs w:val="21"/>
              </w:rPr>
              <w:t>落实（</w:t>
            </w:r>
            <w:r>
              <w:rPr>
                <w:kern w:val="0"/>
                <w:szCs w:val="21"/>
              </w:rPr>
              <w:t>10</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50" w:type="pct"/>
            <w:shd w:val="clear" w:color="000000" w:fill="FFFFFF"/>
            <w:vAlign w:val="center"/>
          </w:tcPr>
          <w:p>
            <w:pPr>
              <w:widowControl/>
              <w:spacing w:line="27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type="textWrapping"/>
            </w:r>
            <w:r>
              <w:rPr>
                <w:rFonts w:hint="eastAsia"/>
                <w:kern w:val="0"/>
                <w:szCs w:val="21"/>
              </w:rPr>
              <w:t>实际到位资金：一定时期（本年度或项目期）内实际落实到具体项目的资金。</w:t>
            </w:r>
            <w:r>
              <w:rPr>
                <w:kern w:val="0"/>
                <w:szCs w:val="21"/>
              </w:rPr>
              <w:br w:type="textWrapping"/>
            </w:r>
            <w:r>
              <w:rPr>
                <w:rFonts w:hint="eastAsia"/>
                <w:kern w:val="0"/>
                <w:szCs w:val="21"/>
              </w:rPr>
              <w:t>计划投入资金：一定时期（本年度或项目期）内计划投入到具体项目的资金。</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6" w:type="pct"/>
            <w:vMerge w:val="continue"/>
            <w:shd w:val="clear" w:color="auto" w:fill="auto"/>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及时到位资金与应到位资金的比率，用以反映和考核项目资金落实的及时性程度。</w:t>
            </w:r>
          </w:p>
        </w:tc>
        <w:tc>
          <w:tcPr>
            <w:tcW w:w="1950" w:type="pct"/>
            <w:shd w:val="clear" w:color="000000" w:fill="FFFFFF"/>
            <w:vAlign w:val="center"/>
          </w:tcPr>
          <w:p>
            <w:pPr>
              <w:widowControl/>
              <w:spacing w:line="25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type="textWrapping"/>
            </w:r>
            <w:r>
              <w:rPr>
                <w:rFonts w:hint="eastAsia"/>
                <w:kern w:val="0"/>
                <w:szCs w:val="21"/>
              </w:rPr>
              <w:t>及时到位资金：截至规定时点实际落实到具体项目的资金。</w:t>
            </w:r>
            <w:r>
              <w:rPr>
                <w:kern w:val="0"/>
                <w:szCs w:val="21"/>
              </w:rPr>
              <w:br w:type="textWrapping"/>
            </w:r>
            <w:r>
              <w:rPr>
                <w:rFonts w:hint="eastAsia"/>
                <w:kern w:val="0"/>
                <w:szCs w:val="21"/>
              </w:rPr>
              <w:t>应到位资金：按照合同或项目进度要求截至规定时点应落实到具体项目的资金。</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386" w:type="pct"/>
            <w:vMerge w:val="restart"/>
            <w:shd w:val="clear" w:color="000000" w:fill="FFFFFF"/>
            <w:noWrap/>
            <w:textDirection w:val="tbRlV"/>
            <w:vAlign w:val="center"/>
          </w:tcPr>
          <w:p>
            <w:pPr>
              <w:widowControl/>
              <w:spacing w:line="25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1" w:type="pct"/>
            <w:vMerge w:val="restart"/>
            <w:shd w:val="clear" w:color="000000" w:fill="FFFFFF"/>
            <w:vAlign w:val="center"/>
          </w:tcPr>
          <w:p>
            <w:pPr>
              <w:widowControl/>
              <w:spacing w:line="250" w:lineRule="exact"/>
              <w:jc w:val="center"/>
              <w:rPr>
                <w:kern w:val="0"/>
                <w:szCs w:val="21"/>
              </w:rPr>
            </w:pPr>
            <w:r>
              <w:rPr>
                <w:rFonts w:hint="eastAsia"/>
                <w:kern w:val="0"/>
                <w:szCs w:val="21"/>
              </w:rPr>
              <w:t>业务</w:t>
            </w:r>
            <w:r>
              <w:rPr>
                <w:kern w:val="0"/>
                <w:szCs w:val="21"/>
              </w:rPr>
              <w:br w:type="textWrapping"/>
            </w:r>
            <w:r>
              <w:rPr>
                <w:rFonts w:hint="eastAsia"/>
                <w:kern w:val="0"/>
                <w:szCs w:val="21"/>
              </w:rPr>
              <w:t>管理（</w:t>
            </w:r>
            <w:r>
              <w:rPr>
                <w:kern w:val="0"/>
                <w:szCs w:val="21"/>
              </w:rPr>
              <w:t>13</w:t>
            </w:r>
            <w:r>
              <w:rPr>
                <w:rFonts w:hint="eastAsia"/>
                <w:kern w:val="0"/>
                <w:szCs w:val="21"/>
              </w:rPr>
              <w:t>分）</w:t>
            </w:r>
          </w:p>
        </w:tc>
        <w:tc>
          <w:tcPr>
            <w:tcW w:w="467" w:type="pct"/>
            <w:shd w:val="clear" w:color="000000" w:fill="FFFFFF"/>
            <w:vAlign w:val="center"/>
          </w:tcPr>
          <w:p>
            <w:pPr>
              <w:widowControl/>
              <w:spacing w:line="25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r>
              <w:rPr>
                <w:kern w:val="0"/>
                <w:szCs w:val="21"/>
              </w:rPr>
              <w:br w:type="textWrapping"/>
            </w:r>
            <w:r>
              <w:rPr>
                <w:rFonts w:hint="eastAsia"/>
                <w:kern w:val="0"/>
                <w:szCs w:val="21"/>
              </w:rPr>
              <w:t>②业务管理制度是否合法、合规、完整。（</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4"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项目实施是否符合相关业务管理规定，用以反映和考核业务管理制度的有效执行情况。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r>
              <w:rPr>
                <w:kern w:val="0"/>
                <w:szCs w:val="21"/>
              </w:rPr>
              <w:br w:type="textWrapping"/>
            </w:r>
            <w:r>
              <w:rPr>
                <w:rFonts w:hint="eastAsia"/>
                <w:kern w:val="0"/>
                <w:szCs w:val="21"/>
              </w:rPr>
              <w:t>②项目调整及支出调整手续是否完备；（</w:t>
            </w:r>
            <w:r>
              <w:rPr>
                <w:kern w:val="0"/>
                <w:szCs w:val="21"/>
              </w:rPr>
              <w:t>1</w:t>
            </w:r>
            <w:r>
              <w:rPr>
                <w:rFonts w:hint="eastAsia"/>
                <w:kern w:val="0"/>
                <w:szCs w:val="21"/>
              </w:rPr>
              <w:t>分）</w:t>
            </w:r>
            <w:r>
              <w:rPr>
                <w:kern w:val="0"/>
                <w:szCs w:val="21"/>
              </w:rPr>
              <w:br w:type="textWrapping"/>
            </w:r>
            <w:r>
              <w:rPr>
                <w:rFonts w:hint="eastAsia"/>
                <w:kern w:val="0"/>
                <w:szCs w:val="21"/>
              </w:rPr>
              <w:t>③项目合同书、验收报告、技术鉴定等资料是否齐全并及时归档；（</w:t>
            </w:r>
            <w:r>
              <w:rPr>
                <w:kern w:val="0"/>
                <w:szCs w:val="21"/>
              </w:rPr>
              <w:t>2</w:t>
            </w:r>
            <w:r>
              <w:rPr>
                <w:rFonts w:hint="eastAsia"/>
                <w:kern w:val="0"/>
                <w:szCs w:val="21"/>
              </w:rPr>
              <w:t>分）</w:t>
            </w:r>
            <w:r>
              <w:rPr>
                <w:kern w:val="0"/>
                <w:szCs w:val="21"/>
              </w:rPr>
              <w:br w:type="textWrapping"/>
            </w: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6</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7"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r>
              <w:rPr>
                <w:kern w:val="0"/>
                <w:szCs w:val="21"/>
              </w:rPr>
              <w:br w:type="textWrapping"/>
            </w: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3</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8"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restart"/>
            <w:shd w:val="clear" w:color="000000" w:fill="FFFFFF"/>
            <w:vAlign w:val="center"/>
          </w:tcPr>
          <w:p>
            <w:pPr>
              <w:widowControl/>
              <w:spacing w:line="250" w:lineRule="exact"/>
              <w:jc w:val="center"/>
              <w:rPr>
                <w:kern w:val="0"/>
                <w:szCs w:val="21"/>
              </w:rPr>
            </w:pPr>
            <w:r>
              <w:rPr>
                <w:rFonts w:hint="eastAsia"/>
                <w:kern w:val="0"/>
                <w:szCs w:val="21"/>
              </w:rPr>
              <w:t>财务</w:t>
            </w:r>
            <w:r>
              <w:rPr>
                <w:kern w:val="0"/>
                <w:szCs w:val="21"/>
              </w:rPr>
              <w:br w:type="textWrapping"/>
            </w:r>
            <w:r>
              <w:rPr>
                <w:rFonts w:hint="eastAsia"/>
                <w:kern w:val="0"/>
                <w:szCs w:val="21"/>
              </w:rPr>
              <w:t>管理（</w:t>
            </w:r>
            <w:r>
              <w:rPr>
                <w:kern w:val="0"/>
                <w:szCs w:val="21"/>
              </w:rPr>
              <w:t>12</w:t>
            </w:r>
            <w:r>
              <w:rPr>
                <w:rFonts w:hint="eastAsia"/>
                <w:kern w:val="0"/>
                <w:szCs w:val="21"/>
              </w:rPr>
              <w:t>分）</w:t>
            </w:r>
          </w:p>
        </w:tc>
        <w:tc>
          <w:tcPr>
            <w:tcW w:w="467" w:type="pct"/>
            <w:shd w:val="clear" w:color="000000" w:fill="FFFFFF"/>
            <w:vAlign w:val="center"/>
          </w:tcPr>
          <w:p>
            <w:pPr>
              <w:widowControl/>
              <w:spacing w:line="25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r>
              <w:rPr>
                <w:kern w:val="0"/>
                <w:szCs w:val="21"/>
              </w:rPr>
              <w:br w:type="textWrapping"/>
            </w: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3</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86"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000000" w:fill="FFFFFF"/>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50" w:type="pct"/>
            <w:shd w:val="clear" w:color="000000" w:fill="FFFFFF"/>
            <w:vAlign w:val="center"/>
          </w:tcPr>
          <w:p>
            <w:pPr>
              <w:widowControl/>
              <w:spacing w:line="25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r>
              <w:rPr>
                <w:kern w:val="0"/>
                <w:szCs w:val="21"/>
              </w:rPr>
              <w:br w:type="textWrapping"/>
            </w:r>
            <w:r>
              <w:rPr>
                <w:rFonts w:hint="eastAsia"/>
                <w:kern w:val="0"/>
                <w:szCs w:val="21"/>
              </w:rPr>
              <w:t>②资金的拨付是否有完整的审批程序和手续；（</w:t>
            </w:r>
            <w:r>
              <w:rPr>
                <w:kern w:val="0"/>
                <w:szCs w:val="21"/>
              </w:rPr>
              <w:t>2</w:t>
            </w:r>
            <w:r>
              <w:rPr>
                <w:rFonts w:hint="eastAsia"/>
                <w:kern w:val="0"/>
                <w:szCs w:val="21"/>
              </w:rPr>
              <w:t>分）</w:t>
            </w:r>
            <w:r>
              <w:rPr>
                <w:kern w:val="0"/>
                <w:szCs w:val="21"/>
              </w:rPr>
              <w:br w:type="textWrapping"/>
            </w:r>
            <w:r>
              <w:rPr>
                <w:rFonts w:hint="eastAsia"/>
                <w:kern w:val="0"/>
                <w:szCs w:val="21"/>
              </w:rPr>
              <w:t>③项目的重大开支是否经过评估认证；（</w:t>
            </w:r>
            <w:r>
              <w:rPr>
                <w:kern w:val="0"/>
                <w:szCs w:val="21"/>
              </w:rPr>
              <w:t>1</w:t>
            </w:r>
            <w:r>
              <w:rPr>
                <w:rFonts w:hint="eastAsia"/>
                <w:kern w:val="0"/>
                <w:szCs w:val="21"/>
              </w:rPr>
              <w:t>分）</w:t>
            </w:r>
            <w:r>
              <w:rPr>
                <w:kern w:val="0"/>
                <w:szCs w:val="21"/>
              </w:rPr>
              <w:br w:type="textWrapping"/>
            </w:r>
            <w:r>
              <w:rPr>
                <w:rFonts w:hint="eastAsia"/>
                <w:kern w:val="0"/>
                <w:szCs w:val="21"/>
              </w:rPr>
              <w:t>④是否符合项目预算批复或合同规定的用途；（</w:t>
            </w:r>
            <w:r>
              <w:rPr>
                <w:kern w:val="0"/>
                <w:szCs w:val="21"/>
              </w:rPr>
              <w:t>1</w:t>
            </w:r>
            <w:r>
              <w:rPr>
                <w:rFonts w:hint="eastAsia"/>
                <w:kern w:val="0"/>
                <w:szCs w:val="21"/>
              </w:rPr>
              <w:t>分）</w:t>
            </w:r>
            <w:r>
              <w:rPr>
                <w:kern w:val="0"/>
                <w:szCs w:val="21"/>
              </w:rPr>
              <w:br w:type="textWrapping"/>
            </w:r>
            <w:r>
              <w:rPr>
                <w:rFonts w:hint="eastAsia"/>
                <w:kern w:val="0"/>
                <w:szCs w:val="21"/>
              </w:rPr>
              <w:t>⑤是否存在截留、挤占、挪用、虚列支出等情况。（</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7</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6" w:type="pct"/>
            <w:shd w:val="clear" w:color="000000" w:fill="FFFFFF"/>
            <w:textDirection w:val="tbRlV"/>
            <w:vAlign w:val="center"/>
          </w:tcPr>
          <w:p>
            <w:pPr>
              <w:widowControl/>
              <w:spacing w:line="25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1" w:type="pct"/>
            <w:shd w:val="clear" w:color="000000" w:fill="FFFFFF"/>
            <w:vAlign w:val="center"/>
          </w:tcPr>
          <w:p>
            <w:pPr>
              <w:widowControl/>
              <w:spacing w:line="250" w:lineRule="exact"/>
              <w:jc w:val="center"/>
              <w:rPr>
                <w:kern w:val="0"/>
                <w:szCs w:val="21"/>
              </w:rPr>
            </w:pPr>
            <w:r>
              <w:rPr>
                <w:rFonts w:hint="eastAsia"/>
                <w:kern w:val="0"/>
                <w:szCs w:val="21"/>
              </w:rPr>
              <w:t>财务</w:t>
            </w:r>
            <w:r>
              <w:rPr>
                <w:kern w:val="0"/>
                <w:szCs w:val="21"/>
              </w:rPr>
              <w:br w:type="textWrapping"/>
            </w:r>
            <w:r>
              <w:rPr>
                <w:rFonts w:hint="eastAsia"/>
                <w:kern w:val="0"/>
                <w:szCs w:val="21"/>
              </w:rPr>
              <w:t>管理（</w:t>
            </w:r>
            <w:r>
              <w:rPr>
                <w:kern w:val="0"/>
                <w:szCs w:val="21"/>
              </w:rPr>
              <w:t>12</w:t>
            </w:r>
            <w:r>
              <w:rPr>
                <w:rFonts w:hint="eastAsia"/>
                <w:kern w:val="0"/>
                <w:szCs w:val="21"/>
              </w:rPr>
              <w:t>分）</w:t>
            </w:r>
          </w:p>
        </w:tc>
        <w:tc>
          <w:tcPr>
            <w:tcW w:w="467" w:type="pct"/>
            <w:shd w:val="clear" w:color="000000" w:fill="FFFFFF"/>
            <w:vAlign w:val="center"/>
          </w:tcPr>
          <w:p>
            <w:pPr>
              <w:widowControl/>
              <w:spacing w:line="30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50" w:type="pct"/>
            <w:shd w:val="clear" w:color="000000" w:fill="FFFFFF"/>
            <w:vAlign w:val="center"/>
          </w:tcPr>
          <w:p>
            <w:pPr>
              <w:widowControl/>
              <w:spacing w:line="30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r>
              <w:rPr>
                <w:kern w:val="0"/>
                <w:szCs w:val="21"/>
              </w:rPr>
              <w:br w:type="textWrapping"/>
            </w: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2</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8" w:hRule="atLeast"/>
          <w:jc w:val="center"/>
        </w:trPr>
        <w:tc>
          <w:tcPr>
            <w:tcW w:w="386" w:type="pct"/>
            <w:vMerge w:val="restart"/>
            <w:shd w:val="clear" w:color="000000" w:fill="FFFFFF"/>
            <w:noWrap/>
            <w:textDirection w:val="tbRlV"/>
            <w:vAlign w:val="center"/>
          </w:tcPr>
          <w:p>
            <w:pPr>
              <w:widowControl/>
              <w:spacing w:line="30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1" w:type="pct"/>
            <w:vMerge w:val="restart"/>
            <w:shd w:val="clear" w:color="000000" w:fill="FFFFFF"/>
            <w:vAlign w:val="center"/>
          </w:tcPr>
          <w:p>
            <w:pPr>
              <w:widowControl/>
              <w:spacing w:line="300" w:lineRule="exact"/>
              <w:jc w:val="center"/>
              <w:rPr>
                <w:kern w:val="0"/>
                <w:szCs w:val="21"/>
              </w:rPr>
            </w:pPr>
            <w:r>
              <w:rPr>
                <w:rFonts w:hint="eastAsia"/>
                <w:kern w:val="0"/>
                <w:szCs w:val="21"/>
              </w:rPr>
              <w:t>项目</w:t>
            </w:r>
            <w:r>
              <w:rPr>
                <w:kern w:val="0"/>
                <w:szCs w:val="21"/>
              </w:rPr>
              <w:br w:type="textWrapping"/>
            </w:r>
            <w:r>
              <w:rPr>
                <w:rFonts w:hint="eastAsia"/>
                <w:kern w:val="0"/>
                <w:szCs w:val="21"/>
              </w:rPr>
              <w:t>产出（</w:t>
            </w:r>
            <w:r>
              <w:rPr>
                <w:kern w:val="0"/>
                <w:szCs w:val="21"/>
              </w:rPr>
              <w:t>20</w:t>
            </w:r>
            <w:r>
              <w:rPr>
                <w:rFonts w:hint="eastAsia"/>
                <w:kern w:val="0"/>
                <w:szCs w:val="21"/>
              </w:rPr>
              <w:t>分）</w:t>
            </w:r>
          </w:p>
        </w:tc>
        <w:tc>
          <w:tcPr>
            <w:tcW w:w="467" w:type="pct"/>
            <w:shd w:val="clear" w:color="000000" w:fill="FFFFFF"/>
            <w:vAlign w:val="center"/>
          </w:tcPr>
          <w:p>
            <w:pPr>
              <w:widowControl/>
              <w:spacing w:line="30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50" w:type="pct"/>
            <w:shd w:val="clear" w:color="000000" w:fill="FFFFFF"/>
            <w:vAlign w:val="center"/>
          </w:tcPr>
          <w:p>
            <w:pPr>
              <w:widowControl/>
              <w:spacing w:line="300" w:lineRule="exact"/>
              <w:jc w:val="left"/>
              <w:rPr>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r>
              <w:rPr>
                <w:spacing w:val="-14"/>
                <w:kern w:val="0"/>
                <w:szCs w:val="21"/>
              </w:rPr>
              <w:br w:type="textWrapping"/>
            </w:r>
            <w:r>
              <w:rPr>
                <w:rFonts w:hint="eastAsia"/>
                <w:spacing w:val="-14"/>
                <w:kern w:val="0"/>
                <w:szCs w:val="21"/>
              </w:rPr>
              <w:t>实际产出数：一定时期（本年度或项目期）内项目实际产出的产品或提供的服务数量。</w:t>
            </w:r>
            <w:r>
              <w:rPr>
                <w:kern w:val="0"/>
                <w:szCs w:val="21"/>
              </w:rPr>
              <w:br w:type="textWrapping"/>
            </w:r>
            <w:r>
              <w:rPr>
                <w:rFonts w:hint="eastAsia"/>
                <w:kern w:val="0"/>
                <w:szCs w:val="21"/>
              </w:rPr>
              <w:t>计划产出数：项目绩效目标确定的在一定时期（本年度或项目期）内计划产出的产品或提供的服务数量。</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8" w:hRule="atLeast"/>
          <w:jc w:val="center"/>
        </w:trPr>
        <w:tc>
          <w:tcPr>
            <w:tcW w:w="386"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50" w:type="pct"/>
            <w:shd w:val="clear" w:color="000000" w:fill="FFFFFF"/>
            <w:vAlign w:val="center"/>
          </w:tcPr>
          <w:p>
            <w:pPr>
              <w:widowControl/>
              <w:spacing w:line="30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r>
              <w:rPr>
                <w:kern w:val="0"/>
                <w:szCs w:val="21"/>
              </w:rPr>
              <w:br w:type="textWrapping"/>
            </w:r>
            <w:r>
              <w:rPr>
                <w:rFonts w:hint="eastAsia"/>
                <w:kern w:val="0"/>
                <w:szCs w:val="21"/>
              </w:rPr>
              <w:t>实际完成时间：项目实施单位完成该项目实际所耗用的时间。</w:t>
            </w:r>
            <w:r>
              <w:rPr>
                <w:kern w:val="0"/>
                <w:szCs w:val="21"/>
              </w:rPr>
              <w:br w:type="textWrapping"/>
            </w:r>
            <w:r>
              <w:rPr>
                <w:rFonts w:hint="eastAsia"/>
                <w:kern w:val="0"/>
                <w:szCs w:val="21"/>
              </w:rPr>
              <w:t>计划完成时间：按照项目实施计划或相关规定完成该项目所需的时间。</w:t>
            </w:r>
          </w:p>
        </w:tc>
        <w:tc>
          <w:tcPr>
            <w:tcW w:w="394" w:type="pct"/>
            <w:noWrap/>
            <w:vAlign w:val="center"/>
          </w:tcPr>
          <w:p>
            <w:pPr>
              <w:widowControl/>
              <w:spacing w:line="270" w:lineRule="exact"/>
              <w:jc w:val="center"/>
              <w:rPr>
                <w:kern w:val="0"/>
                <w:szCs w:val="21"/>
              </w:rPr>
            </w:pPr>
            <w:r>
              <w:rPr>
                <w:rFonts w:hint="eastAsia"/>
                <w:kern w:val="0"/>
                <w:szCs w:val="21"/>
              </w:rPr>
              <w:t>6</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6" w:hRule="atLeast"/>
          <w:jc w:val="center"/>
        </w:trPr>
        <w:tc>
          <w:tcPr>
            <w:tcW w:w="386"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50" w:type="pct"/>
            <w:shd w:val="clear" w:color="000000" w:fill="FFFFFF"/>
            <w:vAlign w:val="center"/>
          </w:tcPr>
          <w:p>
            <w:pPr>
              <w:widowControl/>
              <w:spacing w:line="30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r>
              <w:rPr>
                <w:kern w:val="0"/>
                <w:szCs w:val="21"/>
              </w:rPr>
              <w:br w:type="textWrapping"/>
            </w:r>
            <w:r>
              <w:rPr>
                <w:rFonts w:hint="eastAsia"/>
                <w:kern w:val="0"/>
                <w:szCs w:val="21"/>
              </w:rPr>
              <w:t>质量达标产出数：一定时期（本年度或项目期）内实际达到既定质量标准的产品或服务数量。</w:t>
            </w:r>
            <w:r>
              <w:rPr>
                <w:kern w:val="0"/>
                <w:szCs w:val="21"/>
              </w:rPr>
              <w:br w:type="textWrapping"/>
            </w:r>
            <w:r>
              <w:rPr>
                <w:rFonts w:hint="eastAsia"/>
                <w:spacing w:val="-10"/>
                <w:kern w:val="0"/>
                <w:szCs w:val="21"/>
              </w:rPr>
              <w:t>既定质量标准是指项目实施单位设立绩效目标时依据计划标准、行业标准、历史标准或其他标准而设定的绩效指标值。</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525" w:hRule="atLeast"/>
          <w:jc w:val="center"/>
        </w:trPr>
        <w:tc>
          <w:tcPr>
            <w:tcW w:w="386"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50" w:type="pct"/>
            <w:shd w:val="clear" w:color="000000" w:fill="FFFFFF"/>
            <w:vAlign w:val="center"/>
          </w:tcPr>
          <w:p>
            <w:pPr>
              <w:widowControl/>
              <w:spacing w:line="30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r>
              <w:rPr>
                <w:kern w:val="0"/>
                <w:szCs w:val="21"/>
              </w:rPr>
              <w:br w:type="textWrapping"/>
            </w:r>
            <w:r>
              <w:rPr>
                <w:rFonts w:hint="eastAsia"/>
                <w:spacing w:val="-10"/>
                <w:kern w:val="0"/>
                <w:szCs w:val="21"/>
              </w:rPr>
              <w:t>实际成本：项目实施单位如期、保质、保量完成既定工作目标实际所耗费的支出。</w:t>
            </w:r>
            <w:r>
              <w:rPr>
                <w:spacing w:val="-10"/>
                <w:kern w:val="0"/>
                <w:szCs w:val="21"/>
              </w:rPr>
              <w:br w:type="textWrapping"/>
            </w:r>
            <w:r>
              <w:rPr>
                <w:rFonts w:hint="eastAsia"/>
                <w:spacing w:val="-10"/>
                <w:kern w:val="0"/>
                <w:szCs w:val="21"/>
              </w:rPr>
              <w:t>计划成本：项目实施单位为完成工作目标计划安排的支出，一般以项目预算为参考。</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restart"/>
            <w:shd w:val="clear" w:color="000000" w:fill="FFFFFF"/>
            <w:noWrap/>
            <w:textDirection w:val="tbRlV"/>
            <w:vAlign w:val="center"/>
          </w:tcPr>
          <w:p>
            <w:pPr>
              <w:widowControl/>
              <w:spacing w:line="27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项目</w:t>
            </w:r>
            <w:r>
              <w:rPr>
                <w:kern w:val="0"/>
                <w:szCs w:val="21"/>
              </w:rPr>
              <w:br w:type="textWrapping"/>
            </w:r>
            <w:r>
              <w:rPr>
                <w:rFonts w:hint="eastAsia"/>
                <w:kern w:val="0"/>
                <w:szCs w:val="21"/>
              </w:rPr>
              <w:t>效益（</w:t>
            </w:r>
            <w:r>
              <w:rPr>
                <w:kern w:val="0"/>
                <w:szCs w:val="21"/>
              </w:rPr>
              <w:t>30</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项目实施对经济发展所带来的直接或间接影响情况。</w:t>
            </w:r>
          </w:p>
        </w:tc>
        <w:tc>
          <w:tcPr>
            <w:tcW w:w="1950" w:type="pct"/>
            <w:vMerge w:val="restart"/>
            <w:shd w:val="clear" w:color="000000" w:fill="FFFFFF"/>
            <w:vAlign w:val="center"/>
          </w:tcPr>
          <w:p>
            <w:pPr>
              <w:widowControl/>
              <w:spacing w:line="27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项目实施对社会发展所带来的直接或间接影响情况。</w:t>
            </w:r>
          </w:p>
        </w:tc>
        <w:tc>
          <w:tcPr>
            <w:tcW w:w="1950"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项目实施对生态环境所带来的直接或间接影响情况。</w:t>
            </w:r>
          </w:p>
        </w:tc>
        <w:tc>
          <w:tcPr>
            <w:tcW w:w="1950"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可持续影响生态效益（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项目后续运行及成效发挥的可持续影响情况。</w:t>
            </w:r>
          </w:p>
        </w:tc>
        <w:tc>
          <w:tcPr>
            <w:tcW w:w="1950"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386"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社会公众或服务对象对项目实施效果的满意程度。</w:t>
            </w:r>
          </w:p>
        </w:tc>
        <w:tc>
          <w:tcPr>
            <w:tcW w:w="1950" w:type="pct"/>
            <w:shd w:val="clear" w:color="000000" w:fill="FFFFFF"/>
            <w:vAlign w:val="center"/>
          </w:tcPr>
          <w:p>
            <w:pPr>
              <w:widowControl/>
              <w:spacing w:line="27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94" w:type="pct"/>
            <w:noWrap/>
            <w:vAlign w:val="center"/>
          </w:tcPr>
          <w:p>
            <w:pPr>
              <w:widowControl/>
              <w:spacing w:line="270" w:lineRule="exact"/>
              <w:jc w:val="center"/>
              <w:rPr>
                <w:rFonts w:hint="default" w:eastAsia="宋体"/>
                <w:kern w:val="0"/>
                <w:szCs w:val="21"/>
                <w:lang w:val="en-US" w:eastAsia="zh-CN"/>
              </w:rPr>
            </w:pPr>
            <w:r>
              <w:rPr>
                <w:rFonts w:hint="eastAsia"/>
                <w:kern w:val="0"/>
                <w:szCs w:val="21"/>
                <w:lang w:val="en-US" w:eastAsia="zh-CN"/>
              </w:rPr>
              <w:t>10</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3" w:hRule="atLeast"/>
          <w:jc w:val="center"/>
        </w:trPr>
        <w:tc>
          <w:tcPr>
            <w:tcW w:w="4115" w:type="pct"/>
            <w:gridSpan w:val="5"/>
            <w:shd w:val="clear" w:color="000000" w:fill="FFFFFF"/>
            <w:vAlign w:val="center"/>
          </w:tcPr>
          <w:p>
            <w:pPr>
              <w:widowControl/>
              <w:spacing w:line="270" w:lineRule="exact"/>
              <w:jc w:val="center"/>
              <w:rPr>
                <w:kern w:val="0"/>
                <w:szCs w:val="21"/>
              </w:rPr>
            </w:pPr>
            <w:r>
              <w:rPr>
                <w:rFonts w:hint="eastAsia"/>
                <w:kern w:val="0"/>
                <w:szCs w:val="21"/>
              </w:rPr>
              <w:t>合计</w:t>
            </w:r>
          </w:p>
        </w:tc>
        <w:tc>
          <w:tcPr>
            <w:tcW w:w="394" w:type="pct"/>
            <w:noWrap/>
            <w:vAlign w:val="center"/>
          </w:tcPr>
          <w:p>
            <w:pPr>
              <w:widowControl/>
              <w:spacing w:line="270" w:lineRule="exact"/>
              <w:jc w:val="center"/>
              <w:rPr>
                <w:rFonts w:hint="eastAsia" w:eastAsia="宋体"/>
                <w:kern w:val="0"/>
                <w:szCs w:val="21"/>
                <w:lang w:val="en-US" w:eastAsia="zh-CN"/>
              </w:rPr>
            </w:pPr>
            <w:r>
              <w:rPr>
                <w:rFonts w:hint="eastAsia"/>
                <w:kern w:val="0"/>
                <w:szCs w:val="21"/>
              </w:rPr>
              <w:t>9</w:t>
            </w:r>
            <w:r>
              <w:rPr>
                <w:rFonts w:hint="eastAsia"/>
                <w:kern w:val="0"/>
                <w:szCs w:val="21"/>
                <w:lang w:val="en-US" w:eastAsia="zh-CN"/>
              </w:rPr>
              <w:t>5</w:t>
            </w:r>
          </w:p>
        </w:tc>
        <w:tc>
          <w:tcPr>
            <w:tcW w:w="490" w:type="pct"/>
            <w:noWrap/>
            <w:vAlign w:val="center"/>
          </w:tcPr>
          <w:p>
            <w:pPr>
              <w:widowControl/>
              <w:spacing w:line="270" w:lineRule="exact"/>
              <w:jc w:val="left"/>
              <w:rPr>
                <w:kern w:val="0"/>
                <w:szCs w:val="21"/>
              </w:rPr>
            </w:pP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附件2</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r>
        <w:rPr>
          <w:rFonts w:hint="eastAsia" w:eastAsia="方正小标宋简体"/>
          <w:bCs/>
          <w:kern w:val="0"/>
          <w:sz w:val="40"/>
          <w:szCs w:val="40"/>
        </w:rPr>
        <w:t>（政务大厅运行经费项目）</w:t>
      </w:r>
    </w:p>
    <w:p>
      <w:pPr>
        <w:pStyle w:val="2"/>
        <w:spacing w:after="0" w:line="240" w:lineRule="exact"/>
        <w:rPr>
          <w:rFonts w:ascii="宋体"/>
        </w:rPr>
      </w:pPr>
    </w:p>
    <w:tbl>
      <w:tblPr>
        <w:tblStyle w:val="16"/>
        <w:tblW w:w="93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3"/>
        <w:gridCol w:w="1226"/>
        <w:gridCol w:w="840"/>
        <w:gridCol w:w="975"/>
        <w:gridCol w:w="1815"/>
        <w:gridCol w:w="1365"/>
        <w:gridCol w:w="75"/>
        <w:gridCol w:w="21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atLeast"/>
          <w:jc w:val="center"/>
        </w:trPr>
        <w:tc>
          <w:tcPr>
            <w:tcW w:w="883"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479" w:type="dxa"/>
            <w:gridSpan w:val="7"/>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政务大厅运行经费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5"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790"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623" w:type="dxa"/>
            <w:gridSpan w:val="3"/>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840" w:type="dxa"/>
            <w:noWrap/>
            <w:vAlign w:val="center"/>
          </w:tcPr>
          <w:p>
            <w:pPr>
              <w:spacing w:line="240" w:lineRule="exact"/>
              <w:jc w:val="center"/>
              <w:rPr>
                <w:szCs w:val="21"/>
              </w:rPr>
            </w:pPr>
            <w:r>
              <w:rPr>
                <w:rFonts w:hint="eastAsia"/>
                <w:color w:val="000000"/>
                <w:kern w:val="0"/>
                <w:szCs w:val="21"/>
              </w:rPr>
              <w:t>□</w:t>
            </w:r>
          </w:p>
        </w:tc>
        <w:tc>
          <w:tcPr>
            <w:tcW w:w="2790" w:type="dxa"/>
            <w:gridSpan w:val="2"/>
            <w:noWrap/>
            <w:vAlign w:val="center"/>
          </w:tcPr>
          <w:p>
            <w:pPr>
              <w:spacing w:line="240" w:lineRule="exact"/>
              <w:jc w:val="center"/>
              <w:rPr>
                <w:szCs w:val="21"/>
              </w:rPr>
            </w:pPr>
            <w:r>
              <w:rPr>
                <w:rFonts w:hint="eastAsia"/>
                <w:color w:val="000000"/>
                <w:kern w:val="0"/>
                <w:szCs w:val="21"/>
              </w:rPr>
              <w:t>□</w:t>
            </w:r>
          </w:p>
        </w:tc>
        <w:tc>
          <w:tcPr>
            <w:tcW w:w="3623" w:type="dxa"/>
            <w:gridSpan w:val="3"/>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5" w:hRule="atLeast"/>
          <w:jc w:val="center"/>
        </w:trPr>
        <w:tc>
          <w:tcPr>
            <w:tcW w:w="883"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856" w:type="dxa"/>
            <w:gridSpan w:val="4"/>
            <w:noWrap/>
            <w:vAlign w:val="center"/>
          </w:tcPr>
          <w:p>
            <w:pPr>
              <w:widowControl/>
              <w:spacing w:line="240" w:lineRule="exact"/>
              <w:jc w:val="center"/>
              <w:rPr>
                <w:color w:val="000000"/>
                <w:kern w:val="0"/>
                <w:szCs w:val="21"/>
              </w:rPr>
            </w:pPr>
            <w:r>
              <w:rPr>
                <w:rFonts w:hint="eastAsia"/>
                <w:color w:val="000000"/>
                <w:kern w:val="0"/>
                <w:szCs w:val="21"/>
              </w:rPr>
              <w:t>乐至县行政审批局　</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134101001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5"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975"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815" w:type="dxa"/>
            <w:noWrap/>
            <w:vAlign w:val="center"/>
          </w:tcPr>
          <w:p>
            <w:pPr>
              <w:widowControl/>
              <w:spacing w:line="240" w:lineRule="exact"/>
              <w:jc w:val="center"/>
              <w:rPr>
                <w:rFonts w:hint="eastAsia"/>
                <w:color w:val="000000"/>
                <w:kern w:val="0"/>
                <w:szCs w:val="21"/>
              </w:rPr>
            </w:pPr>
            <w:r>
              <w:rPr>
                <w:rFonts w:hint="eastAsia"/>
                <w:color w:val="000000"/>
                <w:kern w:val="0"/>
                <w:szCs w:val="21"/>
              </w:rPr>
              <w:t>当年结转结余额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18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40"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4</w:t>
            </w:r>
          </w:p>
        </w:tc>
        <w:tc>
          <w:tcPr>
            <w:tcW w:w="9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3.92</w:t>
            </w:r>
          </w:p>
        </w:tc>
        <w:tc>
          <w:tcPr>
            <w:tcW w:w="181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0.08</w:t>
            </w:r>
          </w:p>
        </w:tc>
        <w:tc>
          <w:tcPr>
            <w:tcW w:w="1440"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840" w:type="dxa"/>
            <w:noWrap/>
            <w:vAlign w:val="center"/>
          </w:tcPr>
          <w:p>
            <w:pPr>
              <w:widowControl/>
              <w:spacing w:line="240" w:lineRule="exact"/>
              <w:jc w:val="center"/>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4</w:t>
            </w:r>
          </w:p>
        </w:tc>
        <w:tc>
          <w:tcPr>
            <w:tcW w:w="975"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3.92</w:t>
            </w:r>
          </w:p>
        </w:tc>
        <w:tc>
          <w:tcPr>
            <w:tcW w:w="1815"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0.08</w:t>
            </w:r>
          </w:p>
        </w:tc>
        <w:tc>
          <w:tcPr>
            <w:tcW w:w="1440"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975"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815" w:type="dxa"/>
            <w:noWrap/>
            <w:vAlign w:val="center"/>
          </w:tcPr>
          <w:p>
            <w:pPr>
              <w:widowControl/>
              <w:spacing w:line="240" w:lineRule="exact"/>
              <w:jc w:val="center"/>
              <w:rPr>
                <w:color w:val="000000"/>
                <w:kern w:val="0"/>
                <w:szCs w:val="21"/>
              </w:rPr>
            </w:pPr>
            <w:r>
              <w:rPr>
                <w:rFonts w:hint="eastAsia"/>
                <w:color w:val="000000"/>
                <w:kern w:val="0"/>
                <w:szCs w:val="21"/>
              </w:rPr>
              <w:t>0</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0</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5"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975"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815"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440" w:type="dxa"/>
            <w:gridSpan w:val="2"/>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18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40" w:type="dxa"/>
            <w:noWrap/>
            <w:vAlign w:val="center"/>
          </w:tcPr>
          <w:p>
            <w:pPr>
              <w:widowControl/>
              <w:spacing w:line="240" w:lineRule="exact"/>
              <w:jc w:val="center"/>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4</w:t>
            </w:r>
          </w:p>
        </w:tc>
        <w:tc>
          <w:tcPr>
            <w:tcW w:w="975"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s="Times New Roman"/>
                <w:color w:val="000000"/>
                <w:kern w:val="0"/>
                <w:sz w:val="21"/>
                <w:szCs w:val="21"/>
                <w:lang w:val="en-US" w:eastAsia="zh-CN" w:bidi="ar-SA"/>
              </w:rPr>
              <w:t>4</w:t>
            </w:r>
          </w:p>
        </w:tc>
        <w:tc>
          <w:tcPr>
            <w:tcW w:w="1815"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p>
        </w:tc>
        <w:tc>
          <w:tcPr>
            <w:tcW w:w="1440" w:type="dxa"/>
            <w:gridSpan w:val="2"/>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40" w:type="dxa"/>
            <w:noWrap/>
            <w:vAlign w:val="center"/>
          </w:tcPr>
          <w:p>
            <w:pPr>
              <w:widowControl/>
              <w:spacing w:line="240" w:lineRule="exact"/>
              <w:jc w:val="center"/>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4</w:t>
            </w:r>
          </w:p>
        </w:tc>
        <w:tc>
          <w:tcPr>
            <w:tcW w:w="975"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s="Times New Roman"/>
                <w:color w:val="000000"/>
                <w:kern w:val="0"/>
                <w:sz w:val="21"/>
                <w:szCs w:val="21"/>
                <w:lang w:val="en-US" w:eastAsia="zh-CN" w:bidi="ar-SA"/>
              </w:rPr>
              <w:t>4</w:t>
            </w:r>
          </w:p>
        </w:tc>
        <w:tc>
          <w:tcPr>
            <w:tcW w:w="1815"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p>
        </w:tc>
        <w:tc>
          <w:tcPr>
            <w:tcW w:w="1440" w:type="dxa"/>
            <w:gridSpan w:val="2"/>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4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0.08</w:t>
            </w:r>
          </w:p>
        </w:tc>
        <w:tc>
          <w:tcPr>
            <w:tcW w:w="9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0.08</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4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w:t>
            </w:r>
          </w:p>
        </w:tc>
        <w:tc>
          <w:tcPr>
            <w:tcW w:w="97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65"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066"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79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623" w:type="dxa"/>
            <w:gridSpan w:val="3"/>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0" w:hRule="atLeast"/>
          <w:jc w:val="center"/>
        </w:trPr>
        <w:tc>
          <w:tcPr>
            <w:tcW w:w="883" w:type="dxa"/>
            <w:vMerge w:val="continue"/>
            <w:vAlign w:val="center"/>
          </w:tcPr>
          <w:p>
            <w:pPr>
              <w:widowControl/>
              <w:spacing w:line="240" w:lineRule="exact"/>
              <w:jc w:val="left"/>
              <w:rPr>
                <w:color w:val="000000"/>
                <w:kern w:val="0"/>
                <w:szCs w:val="21"/>
              </w:rPr>
            </w:pPr>
          </w:p>
        </w:tc>
        <w:tc>
          <w:tcPr>
            <w:tcW w:w="2066" w:type="dxa"/>
            <w:gridSpan w:val="2"/>
            <w:noWrap/>
            <w:vAlign w:val="center"/>
          </w:tcPr>
          <w:p>
            <w:pPr>
              <w:widowControl/>
              <w:spacing w:line="240" w:lineRule="exact"/>
              <w:jc w:val="left"/>
              <w:rPr>
                <w:color w:val="000000"/>
                <w:kern w:val="0"/>
                <w:szCs w:val="21"/>
              </w:rPr>
            </w:pPr>
            <w:r>
              <w:rPr>
                <w:rFonts w:hint="eastAsia"/>
                <w:kern w:val="0"/>
                <w:szCs w:val="21"/>
              </w:rPr>
              <w:t>保证政务大厅工作正常运转，提高业务办理水平，为群众服务，让群众满意</w:t>
            </w:r>
          </w:p>
        </w:tc>
        <w:tc>
          <w:tcPr>
            <w:tcW w:w="2790" w:type="dxa"/>
            <w:gridSpan w:val="2"/>
            <w:noWrap/>
            <w:vAlign w:val="center"/>
          </w:tcPr>
          <w:p>
            <w:pPr>
              <w:widowControl/>
              <w:spacing w:line="240" w:lineRule="exact"/>
              <w:jc w:val="left"/>
              <w:rPr>
                <w:color w:val="000000"/>
                <w:kern w:val="0"/>
                <w:szCs w:val="21"/>
              </w:rPr>
            </w:pPr>
            <w:r>
              <w:rPr>
                <w:rFonts w:hint="eastAsia"/>
                <w:kern w:val="0"/>
                <w:szCs w:val="21"/>
              </w:rPr>
              <w:t>保证政务大厅工作正常运转，提高业务办理水平，为群众服务，让群众满意。</w:t>
            </w:r>
            <w:r>
              <w:rPr>
                <w:rFonts w:hint="eastAsia"/>
                <w:color w:val="000000"/>
                <w:kern w:val="0"/>
                <w:szCs w:val="21"/>
              </w:rPr>
              <w:t>　</w:t>
            </w:r>
          </w:p>
        </w:tc>
        <w:tc>
          <w:tcPr>
            <w:tcW w:w="3623" w:type="dxa"/>
            <w:gridSpan w:val="3"/>
            <w:noWrap/>
            <w:vAlign w:val="center"/>
          </w:tcPr>
          <w:p>
            <w:pPr>
              <w:widowControl/>
              <w:spacing w:line="240" w:lineRule="exact"/>
              <w:jc w:val="center"/>
              <w:rPr>
                <w:color w:val="000000"/>
                <w:kern w:val="0"/>
                <w:szCs w:val="21"/>
              </w:rPr>
            </w:pPr>
            <w:r>
              <w:rPr>
                <w:rFonts w:hint="eastAsia"/>
                <w:kern w:val="0"/>
                <w:szCs w:val="21"/>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975"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815"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36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58" w:type="dxa"/>
            <w:gridSpan w:val="2"/>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5"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政务中心办事大厅1个</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政务中心办事大厅1个</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40"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高标准、高质量做好服务工作。</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高标准、高质量做好服务工作。</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202</w:t>
            </w:r>
            <w:r>
              <w:rPr>
                <w:rFonts w:hint="eastAsia"/>
                <w:kern w:val="0"/>
                <w:szCs w:val="21"/>
                <w:lang w:val="en-US" w:eastAsia="zh-CN"/>
              </w:rPr>
              <w:t>2</w:t>
            </w:r>
            <w:r>
              <w:rPr>
                <w:rFonts w:hint="eastAsia"/>
                <w:kern w:val="0"/>
                <w:szCs w:val="21"/>
              </w:rPr>
              <w:t>年</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20</w:t>
            </w:r>
            <w:r>
              <w:rPr>
                <w:rFonts w:hint="eastAsia"/>
                <w:kern w:val="0"/>
                <w:szCs w:val="21"/>
                <w:lang w:val="en-US" w:eastAsia="zh-CN"/>
              </w:rPr>
              <w:t>22</w:t>
            </w:r>
            <w:r>
              <w:rPr>
                <w:rFonts w:hint="eastAsia"/>
                <w:kern w:val="0"/>
                <w:szCs w:val="21"/>
              </w:rPr>
              <w:t>年</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0"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4万元/年</w:t>
            </w:r>
          </w:p>
        </w:tc>
        <w:tc>
          <w:tcPr>
            <w:tcW w:w="1440" w:type="dxa"/>
            <w:gridSpan w:val="2"/>
            <w:noWrap/>
            <w:vAlign w:val="center"/>
          </w:tcPr>
          <w:p>
            <w:pPr>
              <w:widowControl/>
              <w:spacing w:line="240" w:lineRule="exact"/>
              <w:jc w:val="left"/>
              <w:rPr>
                <w:color w:val="000000"/>
                <w:kern w:val="0"/>
                <w:szCs w:val="21"/>
              </w:rPr>
            </w:pPr>
            <w:r>
              <w:rPr>
                <w:rFonts w:hint="eastAsia"/>
                <w:kern w:val="0"/>
                <w:szCs w:val="21"/>
                <w:lang w:val="en-US" w:eastAsia="zh-CN"/>
              </w:rPr>
              <w:t>3.92</w:t>
            </w:r>
            <w:r>
              <w:rPr>
                <w:rFonts w:hint="eastAsia"/>
                <w:kern w:val="0"/>
                <w:szCs w:val="21"/>
              </w:rPr>
              <w:t>万元/年</w:t>
            </w:r>
          </w:p>
        </w:tc>
        <w:tc>
          <w:tcPr>
            <w:tcW w:w="218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支出减少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0" w:hRule="atLeast"/>
          <w:jc w:val="center"/>
        </w:trPr>
        <w:tc>
          <w:tcPr>
            <w:tcW w:w="883" w:type="dxa"/>
            <w:vMerge w:val="restart"/>
            <w:vAlign w:val="center"/>
          </w:tcPr>
          <w:p>
            <w:pPr>
              <w:spacing w:line="240" w:lineRule="exact"/>
              <w:jc w:val="center"/>
              <w:rPr>
                <w:color w:val="000000"/>
                <w:kern w:val="0"/>
                <w:szCs w:val="21"/>
              </w:rPr>
            </w:pPr>
            <w:r>
              <w:rPr>
                <w:rFonts w:hint="eastAsia"/>
                <w:color w:val="000000"/>
                <w:kern w:val="0"/>
                <w:szCs w:val="21"/>
              </w:rPr>
              <w:t>年度绩效指标</w:t>
            </w:r>
          </w:p>
        </w:tc>
        <w:tc>
          <w:tcPr>
            <w:tcW w:w="122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815" w:type="dxa"/>
            <w:noWrap/>
            <w:vAlign w:val="center"/>
          </w:tcPr>
          <w:p>
            <w:pPr>
              <w:widowControl/>
              <w:spacing w:line="240" w:lineRule="exact"/>
              <w:jc w:val="left"/>
              <w:rPr>
                <w:color w:val="000000"/>
                <w:kern w:val="0"/>
                <w:szCs w:val="21"/>
              </w:rPr>
            </w:pPr>
            <w:r>
              <w:rPr>
                <w:rFonts w:hint="eastAsia"/>
                <w:kern w:val="0"/>
                <w:szCs w:val="21"/>
              </w:rPr>
              <w:t>按时办结率达到95%以上</w:t>
            </w:r>
          </w:p>
        </w:tc>
        <w:tc>
          <w:tcPr>
            <w:tcW w:w="1440" w:type="dxa"/>
            <w:gridSpan w:val="2"/>
            <w:noWrap/>
            <w:vAlign w:val="center"/>
          </w:tcPr>
          <w:p>
            <w:pPr>
              <w:widowControl/>
              <w:spacing w:line="240" w:lineRule="exact"/>
              <w:jc w:val="left"/>
              <w:rPr>
                <w:color w:val="000000"/>
                <w:kern w:val="0"/>
                <w:szCs w:val="21"/>
              </w:rPr>
            </w:pPr>
            <w:r>
              <w:rPr>
                <w:rFonts w:hint="eastAsia"/>
                <w:kern w:val="0"/>
                <w:szCs w:val="21"/>
              </w:rPr>
              <w:t>按时办结率达到95%以上</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883" w:type="dxa"/>
            <w:vMerge w:val="continue"/>
            <w:vAlign w:val="center"/>
          </w:tcPr>
          <w:p>
            <w:pPr>
              <w:widowControl/>
              <w:spacing w:line="240" w:lineRule="exact"/>
              <w:jc w:val="left"/>
              <w:rPr>
                <w:color w:val="000000"/>
                <w:kern w:val="0"/>
                <w:szCs w:val="21"/>
              </w:rPr>
            </w:pPr>
          </w:p>
        </w:tc>
        <w:tc>
          <w:tcPr>
            <w:tcW w:w="1226" w:type="dxa"/>
            <w:vMerge w:val="continue"/>
            <w:vAlign w:val="center"/>
          </w:tcPr>
          <w:p>
            <w:pPr>
              <w:widowControl/>
              <w:spacing w:line="240" w:lineRule="exact"/>
              <w:jc w:val="left"/>
              <w:rPr>
                <w:color w:val="000000"/>
                <w:kern w:val="0"/>
                <w:szCs w:val="21"/>
              </w:rPr>
            </w:pP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815"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提升服务质量，提高办事效率。</w:t>
            </w:r>
          </w:p>
        </w:tc>
        <w:tc>
          <w:tcPr>
            <w:tcW w:w="1440" w:type="dxa"/>
            <w:gridSpan w:val="2"/>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提升服务质量，提高办事效率。</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5" w:hRule="atLeast"/>
          <w:jc w:val="center"/>
        </w:trPr>
        <w:tc>
          <w:tcPr>
            <w:tcW w:w="883" w:type="dxa"/>
            <w:vMerge w:val="continue"/>
            <w:vAlign w:val="center"/>
          </w:tcPr>
          <w:p>
            <w:pPr>
              <w:widowControl/>
              <w:spacing w:line="240" w:lineRule="exact"/>
              <w:jc w:val="left"/>
              <w:rPr>
                <w:color w:val="000000"/>
                <w:kern w:val="0"/>
                <w:szCs w:val="21"/>
              </w:rPr>
            </w:pPr>
          </w:p>
        </w:tc>
        <w:tc>
          <w:tcPr>
            <w:tcW w:w="1226"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840"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97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815" w:type="dxa"/>
            <w:noWrap/>
            <w:vAlign w:val="center"/>
          </w:tcPr>
          <w:p>
            <w:pPr>
              <w:widowControl/>
              <w:spacing w:line="240" w:lineRule="exact"/>
              <w:jc w:val="left"/>
              <w:rPr>
                <w:color w:val="000000"/>
                <w:kern w:val="0"/>
                <w:szCs w:val="21"/>
              </w:rPr>
            </w:pPr>
            <w:r>
              <w:rPr>
                <w:rFonts w:hint="eastAsia"/>
                <w:kern w:val="0"/>
                <w:szCs w:val="21"/>
              </w:rPr>
              <w:t>群众满意率达到95%以上</w:t>
            </w:r>
          </w:p>
        </w:tc>
        <w:tc>
          <w:tcPr>
            <w:tcW w:w="1440" w:type="dxa"/>
            <w:gridSpan w:val="2"/>
            <w:noWrap/>
            <w:vAlign w:val="center"/>
          </w:tcPr>
          <w:p>
            <w:pPr>
              <w:widowControl/>
              <w:spacing w:line="240" w:lineRule="exact"/>
              <w:jc w:val="left"/>
              <w:rPr>
                <w:color w:val="000000"/>
                <w:kern w:val="0"/>
                <w:szCs w:val="21"/>
              </w:rPr>
            </w:pPr>
            <w:r>
              <w:rPr>
                <w:rFonts w:hint="eastAsia"/>
                <w:kern w:val="0"/>
                <w:szCs w:val="21"/>
              </w:rPr>
              <w:t>群众满意率达到95%以上</w:t>
            </w:r>
          </w:p>
        </w:tc>
        <w:tc>
          <w:tcPr>
            <w:tcW w:w="218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kern w:val="0"/>
                <w:szCs w:val="21"/>
              </w:rPr>
              <w:t>无偏差</w:t>
            </w:r>
          </w:p>
        </w:tc>
      </w:tr>
    </w:tbl>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spacing w:line="600" w:lineRule="exact"/>
        <w:rPr>
          <w:rFonts w:hint="eastAsia" w:eastAsia="方正黑体简体"/>
          <w:sz w:val="32"/>
          <w:szCs w:val="32"/>
        </w:rPr>
      </w:pPr>
    </w:p>
    <w:p>
      <w:pPr>
        <w:spacing w:line="600" w:lineRule="exact"/>
        <w:rPr>
          <w:rFonts w:ascii="宋体" w:hAnsi="宋体"/>
          <w:b/>
          <w:sz w:val="44"/>
          <w:szCs w:val="44"/>
        </w:rPr>
      </w:pPr>
      <w:r>
        <w:rPr>
          <w:rFonts w:hint="eastAsia" w:eastAsia="方正黑体简体"/>
          <w:sz w:val="32"/>
          <w:szCs w:val="32"/>
        </w:rPr>
        <w:t xml:space="preserve">附件2        </w:t>
      </w:r>
      <w:r>
        <w:rPr>
          <w:rFonts w:hint="eastAsia" w:ascii="宋体" w:hAnsi="宋体"/>
          <w:b/>
          <w:sz w:val="44"/>
          <w:szCs w:val="44"/>
        </w:rPr>
        <w:t>乐至县行政审批局</w:t>
      </w:r>
    </w:p>
    <w:p>
      <w:pPr>
        <w:spacing w:line="600" w:lineRule="exact"/>
        <w:ind w:left="521" w:leftChars="248" w:firstLine="663" w:firstLineChars="150"/>
        <w:rPr>
          <w:rFonts w:ascii="宋体" w:hAnsi="宋体"/>
          <w:b/>
          <w:sz w:val="44"/>
          <w:szCs w:val="44"/>
        </w:rPr>
      </w:pPr>
      <w:r>
        <w:rPr>
          <w:rFonts w:hint="eastAsia" w:ascii="宋体" w:hAnsi="宋体"/>
          <w:b/>
          <w:sz w:val="44"/>
          <w:szCs w:val="44"/>
        </w:rPr>
        <w:t>202</w:t>
      </w:r>
      <w:r>
        <w:rPr>
          <w:rFonts w:hint="eastAsia" w:ascii="宋体" w:hAnsi="宋体"/>
          <w:b/>
          <w:sz w:val="44"/>
          <w:szCs w:val="44"/>
          <w:lang w:val="en-US" w:eastAsia="zh-CN"/>
        </w:rPr>
        <w:t>2</w:t>
      </w:r>
      <w:r>
        <w:rPr>
          <w:rFonts w:hint="eastAsia" w:ascii="宋体" w:hAnsi="宋体"/>
          <w:b/>
          <w:sz w:val="44"/>
          <w:szCs w:val="44"/>
        </w:rPr>
        <w:t>年度项目支出绩效自评报告</w:t>
      </w:r>
    </w:p>
    <w:p>
      <w:pPr>
        <w:spacing w:line="600" w:lineRule="exact"/>
        <w:ind w:left="160" w:leftChars="76" w:firstLine="1767" w:firstLineChars="550"/>
        <w:rPr>
          <w:rFonts w:ascii="楷体_GB2312" w:eastAsia="楷体_GB2312"/>
          <w:b/>
          <w:sz w:val="32"/>
          <w:szCs w:val="32"/>
        </w:rPr>
      </w:pPr>
      <w:r>
        <w:rPr>
          <w:rFonts w:hint="eastAsia" w:ascii="楷体_GB2312" w:eastAsia="楷体_GB2312"/>
          <w:b/>
          <w:sz w:val="32"/>
          <w:szCs w:val="32"/>
        </w:rPr>
        <w:t>（县投资建设项目办工作经费项目）</w:t>
      </w:r>
    </w:p>
    <w:p>
      <w:pPr>
        <w:tabs>
          <w:tab w:val="left" w:pos="900"/>
        </w:tabs>
        <w:spacing w:line="600" w:lineRule="exact"/>
        <w:ind w:firstLine="636" w:firstLineChars="198"/>
        <w:rPr>
          <w:rFonts w:ascii="楷体_GB2312" w:eastAsia="楷体_GB2312"/>
          <w:b/>
          <w:sz w:val="32"/>
          <w:szCs w:val="32"/>
        </w:rPr>
      </w:pP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 xml:space="preserve">一、项目基本情况 </w:t>
      </w:r>
    </w:p>
    <w:p>
      <w:pPr>
        <w:pStyle w:val="2"/>
        <w:spacing w:line="620" w:lineRule="exact"/>
        <w:ind w:firstLine="482" w:firstLineChars="150"/>
        <w:rPr>
          <w:rFonts w:ascii="楷体_GB2312" w:hAnsi="Times New Roman" w:eastAsia="楷体_GB2312" w:cs="Times New Roman"/>
          <w:b/>
          <w:kern w:val="2"/>
          <w:sz w:val="32"/>
          <w:szCs w:val="32"/>
        </w:rPr>
      </w:pPr>
      <w:r>
        <w:rPr>
          <w:rFonts w:hint="eastAsia" w:ascii="楷体_GB2312" w:hAnsi="Times New Roman" w:eastAsia="楷体_GB2312" w:cs="Times New Roman"/>
          <w:b/>
          <w:kern w:val="2"/>
          <w:sz w:val="32"/>
          <w:szCs w:val="32"/>
        </w:rPr>
        <w:t>（一）概况</w:t>
      </w:r>
    </w:p>
    <w:p>
      <w:pPr>
        <w:spacing w:line="600" w:lineRule="exact"/>
        <w:ind w:firstLine="636" w:firstLineChars="198"/>
        <w:rPr>
          <w:rFonts w:ascii="楷体_GB2312" w:eastAsia="楷体_GB2312"/>
          <w:b/>
          <w:sz w:val="32"/>
          <w:szCs w:val="32"/>
        </w:rPr>
      </w:pPr>
      <w:r>
        <w:rPr>
          <w:rFonts w:hint="eastAsia" w:ascii="楷体_GB2312" w:eastAsia="楷体_GB2312"/>
          <w:b/>
          <w:sz w:val="32"/>
          <w:szCs w:val="32"/>
        </w:rPr>
        <w:t>1.立项背景及目的。</w:t>
      </w:r>
    </w:p>
    <w:p>
      <w:pPr>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乐至县人民政府《关于实行投资建设项目行政审批一窗进出并联审批全程代办的实施意见》（乐府发[2017]27号）文件精神，对全县投资建设项目行政审批实行“一窗进出”。为进一步提高行政审批服务效率，实施审批服务便民行动，深化放管服改革推动全县投资建设项目并联审批工作顺利开展，经中共乐至县委机构编制委员会2018年1月26日研究，同意在县政府政务服务中心增设投资建设项目服务办公室（乐编发〔2018〕8号）。</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2．预算资金来源及使用情况。</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根据《乐至县财政局关于批复202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年部门预算的通知》（乐财预【202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】1号）文件下达“县投资建设项目办工作经费”8万元，到202</w:t>
      </w:r>
      <w:r>
        <w:rPr>
          <w:rFonts w:hint="eastAsia" w:ascii="仿宋_GB2312" w:hAnsi="Times New Roman" w:eastAsia="仿宋_GB2312" w:cs="Times New Roman"/>
          <w:color w:val="000000"/>
          <w:kern w:val="2"/>
          <w:sz w:val="32"/>
          <w:szCs w:val="32"/>
          <w:lang w:val="en-US" w:eastAsia="zh-CN"/>
        </w:rPr>
        <w:t>2</w:t>
      </w:r>
      <w:r>
        <w:rPr>
          <w:rFonts w:hint="eastAsia" w:ascii="仿宋_GB2312" w:hAnsi="Times New Roman" w:eastAsia="仿宋_GB2312" w:cs="Times New Roman"/>
          <w:color w:val="000000"/>
          <w:kern w:val="2"/>
          <w:sz w:val="32"/>
          <w:szCs w:val="32"/>
        </w:rPr>
        <w:t>年12月底财政已拨付</w:t>
      </w:r>
      <w:r>
        <w:rPr>
          <w:rFonts w:hint="eastAsia" w:cs="Times New Roman"/>
          <w:color w:val="000000"/>
          <w:kern w:val="2"/>
          <w:sz w:val="32"/>
          <w:szCs w:val="32"/>
          <w:lang w:val="en-US" w:eastAsia="zh-CN"/>
        </w:rPr>
        <w:t>4.32</w:t>
      </w:r>
      <w:r>
        <w:rPr>
          <w:rFonts w:hint="eastAsia" w:ascii="仿宋_GB2312" w:hAnsi="Times New Roman" w:eastAsia="仿宋_GB2312" w:cs="Times New Roman"/>
          <w:color w:val="000000"/>
          <w:kern w:val="2"/>
          <w:sz w:val="32"/>
          <w:szCs w:val="32"/>
        </w:rPr>
        <w:t>万元。指标余额</w:t>
      </w:r>
      <w:r>
        <w:rPr>
          <w:rFonts w:hint="eastAsia" w:cs="Times New Roman"/>
          <w:color w:val="000000"/>
          <w:kern w:val="2"/>
          <w:sz w:val="32"/>
          <w:szCs w:val="32"/>
          <w:lang w:val="en-US" w:eastAsia="zh-CN"/>
        </w:rPr>
        <w:t>3.68</w:t>
      </w:r>
      <w:r>
        <w:rPr>
          <w:rFonts w:hint="eastAsia" w:ascii="仿宋_GB2312" w:hAnsi="Times New Roman" w:eastAsia="仿宋_GB2312" w:cs="Times New Roman"/>
          <w:color w:val="000000"/>
          <w:kern w:val="2"/>
          <w:sz w:val="32"/>
          <w:szCs w:val="32"/>
        </w:rPr>
        <w:t>万元。</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3．实施情况（项目完成情况）。</w:t>
      </w:r>
    </w:p>
    <w:p>
      <w:pPr>
        <w:pStyle w:val="2"/>
        <w:spacing w:line="620" w:lineRule="exact"/>
        <w:ind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项目实施前严格按照“先有预算、后有支出”原则，结合我局年度工作任务，科学合理地编制项目预算；项目实施过程中，严格开展事中监控，及时纠正项目预算实施过程中可能存在的问题，保证项目预算顺利推进；项目实施结束后，及时开展决算，将预决算、事中监控有机结合起来，较好地实现了项目绩效申报年度目标。</w:t>
      </w:r>
    </w:p>
    <w:p>
      <w:pPr>
        <w:pStyle w:val="2"/>
        <w:spacing w:line="620" w:lineRule="exact"/>
        <w:ind w:left="160" w:leftChars="76" w:firstLine="627" w:firstLineChars="196"/>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4．组织及管理（项目组织、管理流程及实际执行情况）。</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县投资建设项目服务办主要负责投资建设项目前期指导、组织咨询、预受理、分送申报材料、反馈受理决定、组织联合踏勘、限时协调督办审批事项、发放审批结果、归集资料等工作。工作经费主要用于：项目办工作经费、办公费、资料打复印费、差旅费、租车费等。</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该项目由乐至县行政审批局组织实施。根据工作实际，按照乐行审[2019]9号关于《乐至县行政审批局财务和资产管理制度》的要求，业务发生后，完善手续向财政申请资金，财政同意拨款后支出。</w:t>
      </w:r>
    </w:p>
    <w:p>
      <w:pPr>
        <w:pStyle w:val="2"/>
        <w:spacing w:line="620" w:lineRule="exact"/>
        <w:ind w:firstLine="480" w:firstLineChars="150"/>
        <w:rPr>
          <w:rFonts w:ascii="仿宋_GB2312" w:hAnsi="Times New Roman" w:eastAsia="仿宋_GB2312" w:cs="Times New Roman"/>
          <w:color w:val="000000"/>
          <w:kern w:val="2"/>
          <w:sz w:val="32"/>
          <w:szCs w:val="32"/>
        </w:rPr>
      </w:pPr>
      <w:r>
        <w:rPr>
          <w:rFonts w:hint="eastAsia" w:ascii="仿宋_GB2312" w:hAnsi="Times New Roman" w:eastAsia="仿宋_GB2312" w:cs="Times New Roman"/>
          <w:color w:val="000000"/>
          <w:kern w:val="2"/>
          <w:sz w:val="32"/>
          <w:szCs w:val="32"/>
        </w:rPr>
        <w:t>（二）绩效目标</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实施审批服务便民行动，深化放管服改革。推动投资建设项目并联审批工作顺利开展。 切实解决行政审批过程中存在的流程繁琐、办事不便效率不高等突出问题。产出</w:t>
      </w:r>
      <w:r>
        <w:rPr>
          <w:rFonts w:hint="eastAsia" w:ascii="仿宋_GB2312" w:eastAsia="仿宋_GB2312"/>
          <w:color w:val="000000"/>
          <w:sz w:val="32"/>
          <w:szCs w:val="32"/>
          <w:lang w:val="en-US" w:eastAsia="zh-CN"/>
        </w:rPr>
        <w:t>指</w:t>
      </w:r>
      <w:r>
        <w:rPr>
          <w:rFonts w:hint="eastAsia" w:ascii="仿宋_GB2312" w:eastAsia="仿宋_GB2312"/>
          <w:color w:val="000000"/>
          <w:sz w:val="32"/>
          <w:szCs w:val="32"/>
        </w:rPr>
        <w:t>标-数量指标，县投资建设项目服务办1个。产出</w:t>
      </w:r>
      <w:r>
        <w:rPr>
          <w:rFonts w:hint="eastAsia" w:ascii="仿宋_GB2312" w:eastAsia="仿宋_GB2312"/>
          <w:color w:val="000000"/>
          <w:sz w:val="32"/>
          <w:szCs w:val="32"/>
          <w:lang w:val="en-US" w:eastAsia="zh-CN"/>
        </w:rPr>
        <w:t>指</w:t>
      </w:r>
      <w:r>
        <w:rPr>
          <w:rFonts w:hint="eastAsia" w:ascii="仿宋_GB2312" w:eastAsia="仿宋_GB2312"/>
          <w:color w:val="000000"/>
          <w:sz w:val="32"/>
          <w:szCs w:val="32"/>
        </w:rPr>
        <w:t>标-质量指标，提高办事效率，强化优质服务，满意率</w:t>
      </w:r>
      <w:r>
        <w:rPr>
          <w:rFonts w:hint="eastAsia" w:ascii="仿宋_GB2312" w:eastAsia="仿宋_GB2312"/>
          <w:color w:val="000000"/>
          <w:sz w:val="32"/>
          <w:szCs w:val="32"/>
          <w:lang w:val="en-US" w:eastAsia="zh-CN"/>
        </w:rPr>
        <w:t>大于</w:t>
      </w:r>
      <w:r>
        <w:rPr>
          <w:rFonts w:hint="eastAsia" w:ascii="仿宋_GB2312" w:eastAsia="仿宋_GB2312"/>
          <w:color w:val="000000"/>
          <w:sz w:val="32"/>
          <w:szCs w:val="32"/>
        </w:rPr>
        <w:t>95%。产出</w:t>
      </w:r>
      <w:r>
        <w:rPr>
          <w:rFonts w:hint="eastAsia" w:ascii="仿宋_GB2312" w:eastAsia="仿宋_GB2312"/>
          <w:color w:val="000000"/>
          <w:sz w:val="32"/>
          <w:szCs w:val="32"/>
          <w:lang w:val="en-US" w:eastAsia="zh-CN"/>
        </w:rPr>
        <w:t>指</w:t>
      </w:r>
      <w:r>
        <w:rPr>
          <w:rFonts w:hint="eastAsia" w:ascii="仿宋_GB2312" w:eastAsia="仿宋_GB2312"/>
          <w:color w:val="000000"/>
          <w:sz w:val="32"/>
          <w:szCs w:val="32"/>
        </w:rPr>
        <w:t>标-成本指标，办公运行经费8万元每年。效</w:t>
      </w:r>
      <w:r>
        <w:rPr>
          <w:rFonts w:hint="eastAsia" w:ascii="仿宋_GB2312" w:eastAsia="仿宋_GB2312"/>
          <w:color w:val="000000"/>
          <w:sz w:val="32"/>
          <w:szCs w:val="32"/>
          <w:lang w:val="en-US" w:eastAsia="zh-CN"/>
        </w:rPr>
        <w:t>益指</w:t>
      </w:r>
      <w:r>
        <w:rPr>
          <w:rFonts w:hint="eastAsia" w:ascii="仿宋_GB2312" w:eastAsia="仿宋_GB2312"/>
          <w:color w:val="000000"/>
          <w:sz w:val="32"/>
          <w:szCs w:val="32"/>
        </w:rPr>
        <w:t>标-可持续影响指标，规范行政审批前置条件，进一步简化办事程序</w:t>
      </w:r>
      <w:r>
        <w:rPr>
          <w:rFonts w:hint="eastAsia" w:ascii="仿宋_GB2312" w:eastAsia="仿宋_GB2312"/>
          <w:color w:val="000000"/>
          <w:sz w:val="32"/>
          <w:szCs w:val="32"/>
          <w:lang w:eastAsia="zh-CN"/>
        </w:rPr>
        <w:t>，</w:t>
      </w:r>
      <w:r>
        <w:rPr>
          <w:rFonts w:hint="eastAsia" w:ascii="仿宋_GB2312" w:eastAsia="仿宋_GB2312"/>
          <w:color w:val="000000"/>
          <w:sz w:val="32"/>
          <w:szCs w:val="32"/>
        </w:rPr>
        <w:t>确保所有的行政审批项目按时办理办结，满意率达到95%以上，效益指标-经济效益指标确保行政审批项目按时办结打造优质高效的服务环境，减少审批时限，办结率达到9</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%以上。满意度指标-服务对象满意度指标群众满意度达到9</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%以上。</w:t>
      </w:r>
    </w:p>
    <w:p>
      <w:pPr>
        <w:tabs>
          <w:tab w:val="left" w:pos="900"/>
        </w:tabs>
        <w:spacing w:line="600" w:lineRule="exact"/>
        <w:ind w:firstLine="643" w:firstLineChars="200"/>
        <w:rPr>
          <w:rFonts w:ascii="黑体" w:hAnsi="宋体" w:eastAsia="黑体"/>
          <w:b/>
          <w:sz w:val="32"/>
          <w:szCs w:val="32"/>
        </w:rPr>
      </w:pPr>
      <w:r>
        <w:rPr>
          <w:rFonts w:hint="eastAsia" w:ascii="黑体" w:hAnsi="宋体" w:eastAsia="黑体"/>
          <w:b/>
          <w:sz w:val="32"/>
          <w:szCs w:val="32"/>
        </w:rPr>
        <w:t>二、绩效自评工作情况</w:t>
      </w:r>
    </w:p>
    <w:p>
      <w:pPr>
        <w:pStyle w:val="2"/>
        <w:spacing w:line="620" w:lineRule="exact"/>
        <w:ind w:firstLine="470" w:firstLineChars="147"/>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（一）自评工作组织领导</w:t>
      </w:r>
    </w:p>
    <w:p>
      <w:pPr>
        <w:widowControl/>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我局</w:t>
      </w:r>
      <w:r>
        <w:rPr>
          <w:rFonts w:ascii="仿宋_GB2312" w:eastAsia="仿宋_GB2312"/>
          <w:sz w:val="32"/>
          <w:szCs w:val="32"/>
        </w:rPr>
        <w:t>高度重视支出绩效评价工作，切实履行支出绩效评价主体责任</w:t>
      </w:r>
      <w:r>
        <w:rPr>
          <w:rFonts w:hint="eastAsia" w:ascii="仿宋_GB2312" w:eastAsia="仿宋_GB2312"/>
          <w:sz w:val="32"/>
          <w:szCs w:val="32"/>
        </w:rPr>
        <w:t>，成立了评价工作小组，由局长牵头，分管副局长具体负责的工作</w:t>
      </w:r>
      <w:r>
        <w:rPr>
          <w:rFonts w:ascii="仿宋_GB2312" w:eastAsia="仿宋_GB2312"/>
          <w:sz w:val="32"/>
          <w:szCs w:val="32"/>
        </w:rPr>
        <w:t>专班</w:t>
      </w:r>
      <w:r>
        <w:rPr>
          <w:rFonts w:hint="eastAsia" w:ascii="仿宋_GB2312" w:eastAsia="仿宋_GB2312"/>
          <w:sz w:val="32"/>
          <w:szCs w:val="32"/>
        </w:rPr>
        <w:t>，由综合股股长余敏（财务人员）具体负责本单位的整体支出绩效目标自评工作，</w:t>
      </w:r>
      <w:r>
        <w:rPr>
          <w:rFonts w:ascii="仿宋_GB2312" w:eastAsia="仿宋_GB2312"/>
          <w:sz w:val="32"/>
          <w:szCs w:val="32"/>
        </w:rPr>
        <w:t>切实履行职责，强化指导督促，</w:t>
      </w:r>
      <w:r>
        <w:rPr>
          <w:rFonts w:hint="eastAsia" w:ascii="仿宋_GB2312" w:hAnsi="宋体" w:eastAsia="仿宋_GB2312" w:cs="宋体"/>
          <w:sz w:val="32"/>
          <w:szCs w:val="32"/>
        </w:rPr>
        <w:t>加强对本局财政支出经济活动的风险防范和管控，实现绩效工作规范化、科学化。</w:t>
      </w:r>
    </w:p>
    <w:p>
      <w:pPr>
        <w:pStyle w:val="2"/>
        <w:spacing w:line="620" w:lineRule="exact"/>
        <w:ind w:firstLine="470" w:firstLineChars="147"/>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（二）自评方式、方法、重点等</w:t>
      </w:r>
    </w:p>
    <w:p>
      <w:pPr>
        <w:pStyle w:val="28"/>
        <w:tabs>
          <w:tab w:val="left" w:pos="996"/>
        </w:tabs>
        <w:spacing w:line="552" w:lineRule="exact"/>
        <w:ind w:left="0" w:firstLine="640" w:firstLineChars="200"/>
        <w:rPr>
          <w:rFonts w:ascii="仿宋_GB2312" w:hAnsi="Times New Roman" w:eastAsia="仿宋_GB2312" w:cs="Times New Roman"/>
          <w:kern w:val="2"/>
          <w:sz w:val="32"/>
          <w:szCs w:val="32"/>
          <w:lang w:val="en-US" w:bidi="ar-SA"/>
        </w:rPr>
      </w:pPr>
      <w:r>
        <w:rPr>
          <w:rFonts w:hint="eastAsia" w:ascii="仿宋_GB2312" w:hAnsi="Times New Roman" w:eastAsia="仿宋_GB2312" w:cs="Times New Roman"/>
          <w:kern w:val="2"/>
          <w:sz w:val="32"/>
          <w:szCs w:val="32"/>
          <w:lang w:val="en-US" w:bidi="ar-SA"/>
        </w:rPr>
        <w:t>严格按照乐财监督绩效〔202</w:t>
      </w:r>
      <w:r>
        <w:rPr>
          <w:rFonts w:hint="eastAsia" w:ascii="仿宋_GB2312" w:hAnsi="Times New Roman"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en-US" w:bidi="ar-SA"/>
        </w:rPr>
        <w:t>〕5号文件精神和</w:t>
      </w:r>
      <w:r>
        <w:rPr>
          <w:rFonts w:ascii="仿宋_GB2312" w:hAnsi="Times New Roman" w:eastAsia="仿宋_GB2312" w:cs="Times New Roman"/>
          <w:kern w:val="2"/>
          <w:sz w:val="32"/>
          <w:szCs w:val="32"/>
          <w:lang w:val="en-US" w:bidi="ar-SA"/>
        </w:rPr>
        <w:t>“谁支出、谁自评”的原则和绩效目标自评全覆盖的要求，对</w:t>
      </w:r>
      <w:r>
        <w:rPr>
          <w:rFonts w:hint="eastAsia" w:ascii="仿宋_GB2312" w:hAnsi="Times New Roman" w:eastAsia="仿宋_GB2312" w:cs="Times New Roman"/>
          <w:kern w:val="2"/>
          <w:sz w:val="32"/>
          <w:szCs w:val="32"/>
          <w:lang w:val="en-US" w:bidi="ar-SA"/>
        </w:rPr>
        <w:t>我局</w:t>
      </w:r>
      <w:r>
        <w:rPr>
          <w:rFonts w:ascii="仿宋_GB2312" w:hAnsi="Times New Roman" w:eastAsia="仿宋_GB2312" w:cs="Times New Roman"/>
          <w:kern w:val="2"/>
          <w:sz w:val="32"/>
          <w:szCs w:val="32"/>
          <w:lang w:val="en-US" w:bidi="ar-SA"/>
        </w:rPr>
        <w:t>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年财政</w:t>
      </w:r>
      <w:r>
        <w:rPr>
          <w:rFonts w:hint="eastAsia" w:ascii="仿宋_GB2312" w:hAnsi="Times New Roman" w:eastAsia="仿宋_GB2312" w:cs="Times New Roman"/>
          <w:kern w:val="2"/>
          <w:sz w:val="32"/>
          <w:szCs w:val="32"/>
          <w:lang w:val="en-US" w:bidi="ar-SA"/>
        </w:rPr>
        <w:t>项目</w:t>
      </w:r>
      <w:r>
        <w:rPr>
          <w:rFonts w:ascii="仿宋_GB2312" w:hAnsi="Times New Roman" w:eastAsia="仿宋_GB2312" w:cs="Times New Roman"/>
          <w:kern w:val="2"/>
          <w:sz w:val="32"/>
          <w:szCs w:val="32"/>
          <w:lang w:val="en-US" w:bidi="ar-SA"/>
        </w:rPr>
        <w:t>支出绩效目标完成情况开展自评，</w:t>
      </w:r>
      <w:r>
        <w:rPr>
          <w:rFonts w:hint="eastAsia" w:ascii="仿宋_GB2312" w:hAnsi="Times New Roman" w:eastAsia="仿宋_GB2312" w:cs="Times New Roman"/>
          <w:kern w:val="2"/>
          <w:sz w:val="32"/>
          <w:szCs w:val="32"/>
          <w:lang w:val="en-US" w:bidi="ar-SA"/>
        </w:rPr>
        <w:t>结合本单位具体职</w:t>
      </w:r>
      <w:r>
        <w:rPr>
          <w:rFonts w:ascii="仿宋_GB2312" w:hAnsi="Times New Roman" w:eastAsia="仿宋_GB2312" w:cs="Times New Roman"/>
          <w:kern w:val="2"/>
          <w:sz w:val="32"/>
          <w:szCs w:val="32"/>
          <w:lang w:val="en-US" w:bidi="ar-SA"/>
        </w:rPr>
        <w:t>能完善部门年初绩效目标，对202</w:t>
      </w:r>
      <w:r>
        <w:rPr>
          <w:rFonts w:hint="eastAsia" w:ascii="仿宋_GB2312" w:hAnsi="Times New Roman" w:eastAsia="仿宋_GB2312" w:cs="Times New Roman"/>
          <w:kern w:val="2"/>
          <w:sz w:val="32"/>
          <w:szCs w:val="32"/>
          <w:lang w:val="en-US" w:eastAsia="zh-CN" w:bidi="ar-SA"/>
        </w:rPr>
        <w:t>2</w:t>
      </w:r>
      <w:r>
        <w:rPr>
          <w:rFonts w:ascii="仿宋_GB2312" w:hAnsi="Times New Roman" w:eastAsia="仿宋_GB2312" w:cs="Times New Roman"/>
          <w:kern w:val="2"/>
          <w:sz w:val="32"/>
          <w:szCs w:val="32"/>
          <w:lang w:val="en-US" w:bidi="ar-SA"/>
        </w:rPr>
        <w:t>年度本部门预算执行</w:t>
      </w:r>
      <w:r>
        <w:rPr>
          <w:rFonts w:hint="eastAsia" w:ascii="仿宋_GB2312" w:hAnsi="Times New Roman" w:eastAsia="仿宋_GB2312" w:cs="Times New Roman"/>
          <w:kern w:val="2"/>
          <w:sz w:val="32"/>
          <w:szCs w:val="32"/>
          <w:lang w:val="en-US" w:bidi="ar-SA"/>
        </w:rPr>
        <w:t>情</w:t>
      </w:r>
      <w:r>
        <w:rPr>
          <w:rFonts w:ascii="仿宋_GB2312" w:hAnsi="Times New Roman" w:eastAsia="仿宋_GB2312" w:cs="Times New Roman"/>
          <w:kern w:val="2"/>
          <w:sz w:val="32"/>
          <w:szCs w:val="32"/>
          <w:lang w:val="en-US" w:bidi="ar-SA"/>
        </w:rPr>
        <w:t>况、预算结构、总体绩效目标和年度各项具体绩效指标完成情况进行收集梳</w:t>
      </w:r>
      <w:r>
        <w:rPr>
          <w:rFonts w:hint="eastAsia" w:ascii="仿宋_GB2312" w:hAnsi="Times New Roman" w:eastAsia="仿宋_GB2312" w:cs="Times New Roman"/>
          <w:kern w:val="2"/>
          <w:sz w:val="32"/>
          <w:szCs w:val="32"/>
          <w:lang w:val="en-US" w:bidi="ar-SA"/>
        </w:rPr>
        <w:t>理，</w:t>
      </w:r>
      <w:r>
        <w:rPr>
          <w:rFonts w:ascii="仿宋_GB2312" w:hAnsi="Times New Roman" w:eastAsia="仿宋_GB2312" w:cs="Times New Roman"/>
          <w:kern w:val="2"/>
          <w:sz w:val="32"/>
          <w:szCs w:val="32"/>
          <w:lang w:val="en-US" w:bidi="ar-SA"/>
        </w:rPr>
        <w:t>本着客观、真实、准确的原则开展部门项目支出，依据自评得分确定</w:t>
      </w:r>
      <w:r>
        <w:rPr>
          <w:rFonts w:hint="eastAsia" w:ascii="仿宋_GB2312" w:hAnsi="Times New Roman" w:eastAsia="仿宋_GB2312" w:cs="Times New Roman"/>
          <w:kern w:val="2"/>
          <w:sz w:val="32"/>
          <w:szCs w:val="32"/>
          <w:lang w:val="en-US" w:bidi="ar-SA"/>
        </w:rPr>
        <w:t>项目</w:t>
      </w:r>
      <w:r>
        <w:rPr>
          <w:rFonts w:ascii="仿宋_GB2312" w:hAnsi="Times New Roman" w:eastAsia="仿宋_GB2312" w:cs="Times New Roman"/>
          <w:kern w:val="2"/>
          <w:sz w:val="32"/>
          <w:szCs w:val="32"/>
          <w:lang w:val="en-US" w:bidi="ar-SA"/>
        </w:rPr>
        <w:t>绩效等级，并对自评报告的真实性、准确性负责。</w:t>
      </w: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三、评价结论</w:t>
      </w:r>
    </w:p>
    <w:p>
      <w:pPr>
        <w:spacing w:line="600" w:lineRule="exact"/>
        <w:ind w:left="-4" w:leftChars="-2" w:firstLine="480" w:firstLineChars="150"/>
        <w:rPr>
          <w:rFonts w:ascii="仿宋_GB2312" w:hAnsi="宋体" w:eastAsia="仿宋_GB2312" w:cs="宋体"/>
          <w:sz w:val="32"/>
          <w:szCs w:val="32"/>
        </w:rPr>
      </w:pPr>
      <w:r>
        <w:rPr>
          <w:rFonts w:hint="eastAsia" w:ascii="仿宋_GB2312" w:hAnsi="宋体" w:eastAsia="仿宋_GB2312" w:cs="宋体"/>
          <w:sz w:val="32"/>
          <w:szCs w:val="32"/>
        </w:rPr>
        <w:t>我局202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年部门项目支出绩效总体良好，各项目标达到了相应时期执行进度，各项目经费按预算实施，使财政收支预算执行都得到了良好的制度保障和实施效果。</w:t>
      </w: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四、绩效分析</w:t>
      </w:r>
    </w:p>
    <w:p>
      <w:pPr>
        <w:spacing w:line="600" w:lineRule="exact"/>
        <w:ind w:left="435" w:leftChars="207" w:firstLine="480" w:firstLineChars="15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年行政审批局县投资建设项目办工作经费项目支出绩效自我评价打分9</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分。具体评价情况如下:</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（一）投入指标总分25分，自评分值23分。</w:t>
      </w:r>
    </w:p>
    <w:p>
      <w:pPr>
        <w:spacing w:line="600" w:lineRule="exact"/>
        <w:ind w:left="435"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1.项目立项指标</w:t>
      </w:r>
      <w:r>
        <w:rPr>
          <w:rFonts w:ascii="仿宋_GB2312" w:hAnsi="宋体" w:eastAsia="仿宋_GB2312" w:cs="宋体"/>
          <w:sz w:val="32"/>
          <w:szCs w:val="32"/>
        </w:rPr>
        <w:t>15</w:t>
      </w:r>
      <w:r>
        <w:rPr>
          <w:rFonts w:hint="eastAsia" w:ascii="仿宋_GB2312" w:hAnsi="宋体" w:eastAsia="仿宋_GB2312" w:cs="宋体"/>
          <w:sz w:val="32"/>
          <w:szCs w:val="32"/>
        </w:rPr>
        <w:t>分，其中项目立项规范性5分、绩效目标合理性4分、绩效指标明确性6分。</w:t>
      </w:r>
    </w:p>
    <w:p>
      <w:pPr>
        <w:spacing w:line="600" w:lineRule="exact"/>
        <w:ind w:left="435"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rPr>
        <w:t>2.资金落实</w:t>
      </w:r>
      <w:r>
        <w:rPr>
          <w:rFonts w:ascii="仿宋_GB2312" w:hAnsi="宋体" w:eastAsia="仿宋_GB2312" w:cs="宋体"/>
          <w:sz w:val="32"/>
          <w:szCs w:val="32"/>
        </w:rPr>
        <w:t>10</w:t>
      </w:r>
      <w:r>
        <w:rPr>
          <w:rFonts w:hint="eastAsia" w:ascii="仿宋_GB2312" w:hAnsi="宋体" w:eastAsia="仿宋_GB2312" w:cs="宋体"/>
          <w:sz w:val="32"/>
          <w:szCs w:val="32"/>
        </w:rPr>
        <w:t>分，资金到位率</w:t>
      </w:r>
      <w:r>
        <w:rPr>
          <w:rFonts w:ascii="仿宋_GB2312" w:hAnsi="宋体" w:eastAsia="仿宋_GB2312" w:cs="宋体"/>
          <w:sz w:val="32"/>
          <w:szCs w:val="32"/>
        </w:rPr>
        <w:t>5</w:t>
      </w:r>
      <w:r>
        <w:rPr>
          <w:rFonts w:hint="eastAsia" w:ascii="仿宋_GB2312" w:hAnsi="宋体" w:eastAsia="仿宋_GB2312" w:cs="宋体"/>
          <w:sz w:val="32"/>
          <w:szCs w:val="32"/>
        </w:rPr>
        <w:t>分、到位及时率</w:t>
      </w:r>
      <w:r>
        <w:rPr>
          <w:rFonts w:ascii="仿宋_GB2312" w:hAnsi="宋体" w:eastAsia="仿宋_GB2312" w:cs="宋体"/>
          <w:sz w:val="32"/>
          <w:szCs w:val="32"/>
        </w:rPr>
        <w:t>5</w:t>
      </w:r>
      <w:r>
        <w:rPr>
          <w:rFonts w:hint="eastAsia" w:ascii="仿宋_GB2312" w:hAnsi="宋体" w:eastAsia="仿宋_GB2312" w:cs="宋体"/>
          <w:sz w:val="32"/>
          <w:szCs w:val="32"/>
        </w:rPr>
        <w:t>分。指标自评分值为</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分。资金落实扣</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分，扣分原因是实际到位资金与计划投入资金</w:t>
      </w:r>
      <w:r>
        <w:rPr>
          <w:rFonts w:hint="eastAsia" w:ascii="仿宋_GB2312" w:hAnsi="宋体" w:eastAsia="仿宋_GB2312" w:cs="宋体"/>
          <w:sz w:val="32"/>
          <w:szCs w:val="32"/>
          <w:lang w:val="en-US" w:eastAsia="zh-CN"/>
        </w:rPr>
        <w:t>有一定的差距，资金拨付进度缓慢。</w:t>
      </w:r>
    </w:p>
    <w:p>
      <w:pPr>
        <w:spacing w:line="600" w:lineRule="exact"/>
        <w:ind w:left="435" w:firstLine="643" w:firstLineChars="200"/>
        <w:rPr>
          <w:rFonts w:ascii="仿宋_GB2312" w:hAnsi="宋体" w:eastAsia="仿宋_GB2312" w:cs="宋体"/>
          <w:b/>
          <w:sz w:val="32"/>
          <w:szCs w:val="32"/>
        </w:rPr>
      </w:pPr>
      <w:r>
        <w:rPr>
          <w:rFonts w:hint="eastAsia" w:ascii="仿宋_GB2312" w:hAnsi="宋体" w:eastAsia="仿宋_GB2312" w:cs="宋体"/>
          <w:b/>
          <w:sz w:val="32"/>
          <w:szCs w:val="32"/>
        </w:rPr>
        <w:t>（二）过程指标总分25分，自评分值2</w:t>
      </w:r>
      <w:r>
        <w:rPr>
          <w:rFonts w:hint="eastAsia" w:ascii="仿宋_GB2312" w:hAnsi="宋体" w:eastAsia="仿宋_GB2312" w:cs="宋体"/>
          <w:b/>
          <w:sz w:val="32"/>
          <w:szCs w:val="32"/>
          <w:lang w:val="en-US" w:eastAsia="zh-CN"/>
        </w:rPr>
        <w:t>5</w:t>
      </w:r>
      <w:r>
        <w:rPr>
          <w:rFonts w:hint="eastAsia" w:ascii="仿宋_GB2312" w:hAnsi="宋体" w:eastAsia="仿宋_GB2312" w:cs="宋体"/>
          <w:b/>
          <w:sz w:val="32"/>
          <w:szCs w:val="32"/>
        </w:rPr>
        <w:t>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1.业务管理</w:t>
      </w:r>
      <w:r>
        <w:rPr>
          <w:rFonts w:ascii="仿宋_GB2312" w:hAnsi="宋体" w:eastAsia="仿宋_GB2312" w:cs="宋体"/>
          <w:sz w:val="32"/>
          <w:szCs w:val="32"/>
        </w:rPr>
        <w:t>13</w:t>
      </w:r>
      <w:r>
        <w:rPr>
          <w:rFonts w:hint="eastAsia" w:ascii="仿宋_GB2312" w:hAnsi="宋体" w:eastAsia="仿宋_GB2312" w:cs="宋体"/>
          <w:sz w:val="32"/>
          <w:szCs w:val="32"/>
        </w:rPr>
        <w:t>分，其中管理制度健全性</w:t>
      </w:r>
      <w:r>
        <w:rPr>
          <w:rFonts w:ascii="仿宋_GB2312" w:hAnsi="宋体" w:eastAsia="仿宋_GB2312" w:cs="宋体"/>
          <w:sz w:val="32"/>
          <w:szCs w:val="32"/>
        </w:rPr>
        <w:t>4</w:t>
      </w:r>
      <w:r>
        <w:rPr>
          <w:rFonts w:hint="eastAsia" w:ascii="仿宋_GB2312" w:hAnsi="宋体" w:eastAsia="仿宋_GB2312" w:cs="宋体"/>
          <w:sz w:val="32"/>
          <w:szCs w:val="32"/>
        </w:rPr>
        <w:t>分、制度执行有效性</w:t>
      </w:r>
      <w:r>
        <w:rPr>
          <w:rFonts w:ascii="仿宋_GB2312" w:hAnsi="宋体" w:eastAsia="仿宋_GB2312" w:cs="宋体"/>
          <w:sz w:val="32"/>
          <w:szCs w:val="32"/>
        </w:rPr>
        <w:t>6</w:t>
      </w:r>
      <w:r>
        <w:rPr>
          <w:rFonts w:hint="eastAsia" w:ascii="仿宋_GB2312" w:hAnsi="宋体" w:eastAsia="仿宋_GB2312" w:cs="宋体"/>
          <w:sz w:val="32"/>
          <w:szCs w:val="32"/>
        </w:rPr>
        <w:t>分、项目质量可控性</w:t>
      </w:r>
      <w:r>
        <w:rPr>
          <w:rFonts w:ascii="仿宋_GB2312" w:hAnsi="宋体" w:eastAsia="仿宋_GB2312" w:cs="宋体"/>
          <w:sz w:val="32"/>
          <w:szCs w:val="32"/>
        </w:rPr>
        <w:t>3</w:t>
      </w:r>
      <w:r>
        <w:rPr>
          <w:rFonts w:hint="eastAsia" w:ascii="仿宋_GB2312" w:hAnsi="宋体" w:eastAsia="仿宋_GB2312" w:cs="宋体"/>
          <w:sz w:val="32"/>
          <w:szCs w:val="32"/>
        </w:rPr>
        <w:t>分。指标自评分值为13分。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2.财务管理</w:t>
      </w:r>
      <w:r>
        <w:rPr>
          <w:rFonts w:ascii="仿宋_GB2312" w:hAnsi="宋体" w:eastAsia="仿宋_GB2312" w:cs="宋体"/>
          <w:sz w:val="32"/>
          <w:szCs w:val="32"/>
        </w:rPr>
        <w:t>12</w:t>
      </w:r>
      <w:r>
        <w:rPr>
          <w:rFonts w:hint="eastAsia" w:ascii="仿宋_GB2312" w:hAnsi="宋体" w:eastAsia="仿宋_GB2312" w:cs="宋体"/>
          <w:sz w:val="32"/>
          <w:szCs w:val="32"/>
        </w:rPr>
        <w:t>分，其中管理制度健全性</w:t>
      </w:r>
      <w:r>
        <w:rPr>
          <w:rFonts w:ascii="仿宋_GB2312" w:hAnsi="宋体" w:eastAsia="仿宋_GB2312" w:cs="宋体"/>
          <w:sz w:val="32"/>
          <w:szCs w:val="32"/>
        </w:rPr>
        <w:t>3</w:t>
      </w:r>
      <w:r>
        <w:rPr>
          <w:rFonts w:hint="eastAsia" w:ascii="仿宋_GB2312" w:hAnsi="宋体" w:eastAsia="仿宋_GB2312" w:cs="宋体"/>
          <w:sz w:val="32"/>
          <w:szCs w:val="32"/>
        </w:rPr>
        <w:t>分、资金使用合规性</w:t>
      </w:r>
      <w:r>
        <w:rPr>
          <w:rFonts w:ascii="仿宋_GB2312" w:hAnsi="宋体" w:eastAsia="仿宋_GB2312" w:cs="宋体"/>
          <w:sz w:val="32"/>
          <w:szCs w:val="32"/>
        </w:rPr>
        <w:t>7</w:t>
      </w:r>
      <w:r>
        <w:rPr>
          <w:rFonts w:hint="eastAsia" w:ascii="仿宋_GB2312" w:hAnsi="宋体" w:eastAsia="仿宋_GB2312" w:cs="宋体"/>
          <w:sz w:val="32"/>
          <w:szCs w:val="32"/>
        </w:rPr>
        <w:t>分、财务监控有效性</w:t>
      </w:r>
      <w:r>
        <w:rPr>
          <w:rFonts w:ascii="仿宋_GB2312" w:hAnsi="宋体" w:eastAsia="仿宋_GB2312" w:cs="宋体"/>
          <w:sz w:val="32"/>
          <w:szCs w:val="32"/>
        </w:rPr>
        <w:t>2</w:t>
      </w:r>
      <w:r>
        <w:rPr>
          <w:rFonts w:hint="eastAsia" w:ascii="仿宋_GB2312" w:hAnsi="宋体" w:eastAsia="仿宋_GB2312" w:cs="宋体"/>
          <w:sz w:val="32"/>
          <w:szCs w:val="32"/>
        </w:rPr>
        <w:t>分。指标自评分值为11分。</w:t>
      </w:r>
    </w:p>
    <w:p>
      <w:pPr>
        <w:spacing w:line="600" w:lineRule="exact"/>
        <w:ind w:firstLine="630" w:firstLineChars="196"/>
        <w:rPr>
          <w:rFonts w:hint="eastAsia" w:ascii="仿宋_GB2312" w:hAnsi="宋体" w:eastAsia="仿宋_GB2312" w:cs="宋体"/>
          <w:b/>
          <w:sz w:val="32"/>
          <w:szCs w:val="32"/>
        </w:rPr>
      </w:pPr>
      <w:r>
        <w:rPr>
          <w:rFonts w:hint="eastAsia" w:ascii="仿宋_GB2312" w:hAnsi="宋体" w:eastAsia="仿宋_GB2312" w:cs="宋体"/>
          <w:b/>
          <w:sz w:val="32"/>
          <w:szCs w:val="32"/>
        </w:rPr>
        <w:t>（三）产出指标总分20分，自评分值1</w:t>
      </w:r>
      <w:r>
        <w:rPr>
          <w:rFonts w:hint="eastAsia" w:ascii="仿宋_GB2312" w:hAnsi="宋体" w:eastAsia="仿宋_GB2312" w:cs="宋体"/>
          <w:b/>
          <w:sz w:val="32"/>
          <w:szCs w:val="32"/>
          <w:lang w:val="en-US" w:eastAsia="zh-CN"/>
        </w:rPr>
        <w:t>8</w:t>
      </w:r>
      <w:r>
        <w:rPr>
          <w:rFonts w:hint="eastAsia" w:ascii="仿宋_GB2312" w:hAnsi="宋体" w:eastAsia="仿宋_GB2312" w:cs="宋体"/>
          <w:b/>
          <w:sz w:val="32"/>
          <w:szCs w:val="32"/>
        </w:rPr>
        <w:t>分。</w:t>
      </w:r>
    </w:p>
    <w:p>
      <w:pPr>
        <w:spacing w:line="60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rPr>
        <w:t>项目产出20分，其中实际完成率4分、完成及时率6分、质量达标率5分、成本节约率5分。指标自评分值为1</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分。其中项目产出实际完成率自评</w:t>
      </w:r>
      <w:r>
        <w:rPr>
          <w:rFonts w:hint="eastAsia" w:ascii="仿宋_GB2312" w:hAnsi="宋体" w:eastAsia="仿宋_GB2312" w:cs="宋体"/>
          <w:sz w:val="32"/>
          <w:szCs w:val="32"/>
          <w:lang w:val="en-US" w:eastAsia="zh-CN"/>
        </w:rPr>
        <w:t>扣1分、</w:t>
      </w:r>
      <w:r>
        <w:rPr>
          <w:rFonts w:hint="eastAsia" w:ascii="仿宋_GB2312" w:hAnsi="宋体" w:eastAsia="仿宋_GB2312" w:cs="宋体"/>
          <w:sz w:val="32"/>
          <w:szCs w:val="32"/>
        </w:rPr>
        <w:t>完成及时率</w:t>
      </w:r>
      <w:r>
        <w:rPr>
          <w:rFonts w:hint="eastAsia" w:ascii="仿宋_GB2312" w:hAnsi="宋体" w:eastAsia="仿宋_GB2312" w:cs="宋体"/>
          <w:sz w:val="32"/>
          <w:szCs w:val="32"/>
          <w:lang w:val="en-US" w:eastAsia="zh-CN"/>
        </w:rPr>
        <w:t>扣1分，</w:t>
      </w:r>
      <w:r>
        <w:rPr>
          <w:rFonts w:hint="eastAsia" w:ascii="仿宋_GB2312" w:hAnsi="宋体" w:eastAsia="仿宋_GB2312" w:cs="宋体"/>
          <w:sz w:val="32"/>
          <w:szCs w:val="32"/>
        </w:rPr>
        <w:t>扣分原因是项目实施</w:t>
      </w:r>
      <w:r>
        <w:rPr>
          <w:rFonts w:hint="eastAsia" w:ascii="仿宋_GB2312" w:hAnsi="宋体" w:eastAsia="仿宋_GB2312" w:cs="宋体"/>
          <w:sz w:val="32"/>
          <w:szCs w:val="32"/>
          <w:lang w:val="en-US" w:eastAsia="zh-CN"/>
        </w:rPr>
        <w:t>与</w:t>
      </w:r>
      <w:r>
        <w:rPr>
          <w:rFonts w:hint="eastAsia" w:ascii="仿宋_GB2312" w:hAnsi="宋体" w:eastAsia="仿宋_GB2312" w:cs="宋体"/>
          <w:sz w:val="32"/>
          <w:szCs w:val="32"/>
        </w:rPr>
        <w:t>实际完成率</w:t>
      </w:r>
      <w:r>
        <w:rPr>
          <w:rFonts w:hint="eastAsia" w:ascii="仿宋_GB2312" w:hAnsi="宋体" w:eastAsia="仿宋_GB2312" w:cs="宋体"/>
          <w:sz w:val="32"/>
          <w:szCs w:val="32"/>
          <w:lang w:val="en-US" w:eastAsia="zh-CN"/>
        </w:rPr>
        <w:t>存在差异。</w:t>
      </w:r>
    </w:p>
    <w:p>
      <w:pPr>
        <w:spacing w:line="600" w:lineRule="exact"/>
        <w:ind w:firstLine="630" w:firstLineChars="196"/>
        <w:rPr>
          <w:rFonts w:ascii="仿宋_GB2312" w:hAnsi="宋体" w:eastAsia="仿宋_GB2312" w:cs="宋体"/>
          <w:b/>
          <w:sz w:val="32"/>
          <w:szCs w:val="32"/>
        </w:rPr>
      </w:pPr>
      <w:r>
        <w:rPr>
          <w:rFonts w:hint="eastAsia" w:ascii="仿宋_GB2312" w:hAnsi="宋体" w:eastAsia="仿宋_GB2312" w:cs="宋体"/>
          <w:b/>
          <w:sz w:val="32"/>
          <w:szCs w:val="32"/>
        </w:rPr>
        <w:t>（四）效果指标总分30分，自评分值2</w:t>
      </w:r>
      <w:r>
        <w:rPr>
          <w:rFonts w:hint="eastAsia" w:ascii="仿宋_GB2312" w:hAnsi="宋体" w:eastAsia="仿宋_GB2312" w:cs="宋体"/>
          <w:b/>
          <w:sz w:val="32"/>
          <w:szCs w:val="32"/>
          <w:lang w:val="en-US" w:eastAsia="zh-CN"/>
        </w:rPr>
        <w:t>9</w:t>
      </w:r>
      <w:r>
        <w:rPr>
          <w:rFonts w:hint="eastAsia" w:ascii="仿宋_GB2312" w:hAnsi="宋体" w:eastAsia="仿宋_GB2312" w:cs="宋体"/>
          <w:b/>
          <w:sz w:val="32"/>
          <w:szCs w:val="32"/>
        </w:rPr>
        <w:t>分。</w:t>
      </w:r>
    </w:p>
    <w:p>
      <w:pPr>
        <w:spacing w:line="60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项目效益30分，其中经济效益5分、社会效益4分、生态效益5分、可持续影响效益5分、社会公众或服务对象满意度</w:t>
      </w:r>
      <w:r>
        <w:rPr>
          <w:rFonts w:hint="eastAsia" w:ascii="仿宋_GB2312" w:hAnsi="宋体" w:eastAsia="仿宋_GB2312" w:cs="宋体"/>
          <w:sz w:val="32"/>
          <w:szCs w:val="32"/>
          <w:lang w:val="en-US" w:eastAsia="zh-CN"/>
        </w:rPr>
        <w:t>10</w:t>
      </w:r>
      <w:r>
        <w:rPr>
          <w:rFonts w:hint="eastAsia" w:ascii="仿宋_GB2312" w:hAnsi="宋体" w:eastAsia="仿宋_GB2312" w:cs="宋体"/>
          <w:sz w:val="32"/>
          <w:szCs w:val="32"/>
        </w:rPr>
        <w:t>，指标自评分值为2</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分。其中绩效目标合理性自评扣1分，扣分原因是社会效益扣1分，原因是提升服务水平，优化办事程序有待加强。</w:t>
      </w:r>
    </w:p>
    <w:p>
      <w:pPr>
        <w:tabs>
          <w:tab w:val="left" w:pos="900"/>
        </w:tabs>
        <w:spacing w:line="600" w:lineRule="exact"/>
        <w:ind w:firstLine="482" w:firstLineChars="150"/>
        <w:rPr>
          <w:rFonts w:ascii="黑体" w:hAnsi="宋体" w:eastAsia="黑体"/>
          <w:b/>
          <w:sz w:val="32"/>
          <w:szCs w:val="32"/>
        </w:rPr>
      </w:pPr>
      <w:r>
        <w:rPr>
          <w:rFonts w:hint="eastAsia" w:ascii="黑体" w:hAnsi="宋体" w:eastAsia="黑体"/>
          <w:b/>
          <w:sz w:val="32"/>
          <w:szCs w:val="32"/>
        </w:rPr>
        <w:t>五、主要经验及做法、存在的问题和建议</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（一）主要经验及做法</w:t>
      </w:r>
    </w:p>
    <w:p>
      <w:pPr>
        <w:pStyle w:val="14"/>
        <w:widowControl/>
        <w:shd w:val="clear" w:color="auto" w:fill="FFFFFF"/>
        <w:spacing w:before="0" w:beforeAutospacing="0" w:after="0" w:afterAutospacing="0" w:line="368" w:lineRule="atLeast"/>
        <w:ind w:firstLine="634"/>
        <w:rPr>
          <w:rFonts w:ascii="仿宋_GB2312" w:hAnsi="宋体" w:cs="宋体"/>
          <w:kern w:val="2"/>
          <w:sz w:val="32"/>
        </w:rPr>
      </w:pPr>
      <w:r>
        <w:rPr>
          <w:rFonts w:hint="eastAsia" w:ascii="仿宋_GB2312" w:hAnsi="宋体" w:cs="宋体"/>
          <w:kern w:val="2"/>
          <w:sz w:val="32"/>
        </w:rPr>
        <w:t>工作与经费管理规范，按计划完成，社会效益较好，项目可持续性强，服务对象总体满意。</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（二）存在的问题</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资金拨款进度缓慢，不利于我局工作的推进与开展。</w:t>
      </w:r>
    </w:p>
    <w:p>
      <w:pPr>
        <w:spacing w:line="600" w:lineRule="exact"/>
        <w:ind w:firstLine="948" w:firstLineChars="295"/>
        <w:rPr>
          <w:rFonts w:ascii="仿宋_GB2312" w:hAnsi="宋体" w:eastAsia="仿宋_GB2312" w:cs="宋体"/>
          <w:b/>
          <w:sz w:val="32"/>
          <w:szCs w:val="32"/>
        </w:rPr>
      </w:pPr>
      <w:r>
        <w:rPr>
          <w:rFonts w:hint="eastAsia" w:ascii="仿宋_GB2312" w:hAnsi="宋体" w:eastAsia="仿宋_GB2312" w:cs="宋体"/>
          <w:b/>
          <w:sz w:val="32"/>
          <w:szCs w:val="32"/>
        </w:rPr>
        <w:t>（三）建议和改进措施</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加大资金拨付进度，确保工作顺利开展。</w:t>
      </w:r>
    </w:p>
    <w:p>
      <w:pPr>
        <w:tabs>
          <w:tab w:val="right" w:pos="8647"/>
        </w:tabs>
        <w:spacing w:line="600" w:lineRule="exact"/>
        <w:ind w:firstLine="480" w:firstLineChars="150"/>
        <w:rPr>
          <w:rFonts w:ascii="仿宋_GB2312" w:hAnsi="宋体" w:eastAsia="仿宋_GB2312" w:cs="宋体"/>
          <w:sz w:val="32"/>
          <w:szCs w:val="32"/>
        </w:rPr>
      </w:pPr>
    </w:p>
    <w:p>
      <w:pPr>
        <w:spacing w:line="600" w:lineRule="exact"/>
        <w:ind w:left="5107" w:leftChars="2432" w:firstLine="320" w:firstLineChars="100"/>
        <w:jc w:val="both"/>
        <w:rPr>
          <w:rFonts w:ascii="楷体_GB2312" w:hAnsi="宋体" w:eastAsia="楷体_GB2312" w:cs="宋体"/>
          <w:sz w:val="32"/>
          <w:szCs w:val="32"/>
        </w:rPr>
      </w:pPr>
      <w:r>
        <w:rPr>
          <w:rFonts w:hint="eastAsia" w:ascii="楷体_GB2312" w:hAnsi="宋体" w:eastAsia="楷体_GB2312" w:cs="宋体"/>
          <w:sz w:val="32"/>
          <w:szCs w:val="32"/>
        </w:rPr>
        <w:t>乐至县行政审批局</w:t>
      </w:r>
      <w:r>
        <w:rPr>
          <w:rFonts w:hint="eastAsia" w:ascii="楷体_GB2312" w:hAnsi="宋体" w:eastAsia="楷体_GB2312" w:cs="宋体"/>
          <w:sz w:val="32"/>
          <w:szCs w:val="32"/>
          <w:lang w:eastAsia="zh-CN"/>
        </w:rPr>
        <w:tab/>
      </w:r>
      <w:r>
        <w:rPr>
          <w:rFonts w:hint="eastAsia" w:ascii="楷体_GB2312" w:hAnsi="宋体" w:eastAsia="楷体_GB2312" w:cs="宋体"/>
          <w:sz w:val="32"/>
          <w:szCs w:val="32"/>
        </w:rPr>
        <w:t>202</w:t>
      </w:r>
      <w:r>
        <w:rPr>
          <w:rFonts w:hint="eastAsia" w:ascii="楷体_GB2312" w:hAnsi="宋体" w:eastAsia="楷体_GB2312" w:cs="宋体"/>
          <w:sz w:val="32"/>
          <w:szCs w:val="32"/>
          <w:lang w:val="en-US" w:eastAsia="zh-CN"/>
        </w:rPr>
        <w:t>3</w:t>
      </w:r>
      <w:r>
        <w:rPr>
          <w:rFonts w:hint="eastAsia" w:ascii="楷体_GB2312" w:hAnsi="宋体" w:eastAsia="楷体_GB2312" w:cs="宋体"/>
          <w:sz w:val="32"/>
          <w:szCs w:val="32"/>
        </w:rPr>
        <w:t>年</w:t>
      </w:r>
      <w:r>
        <w:rPr>
          <w:rFonts w:hint="eastAsia" w:ascii="楷体_GB2312" w:hAnsi="宋体" w:eastAsia="楷体_GB2312" w:cs="宋体"/>
          <w:sz w:val="32"/>
          <w:szCs w:val="32"/>
          <w:lang w:val="en-US" w:eastAsia="zh-CN"/>
        </w:rPr>
        <w:t>10</w:t>
      </w:r>
      <w:r>
        <w:rPr>
          <w:rFonts w:hint="eastAsia" w:ascii="楷体_GB2312" w:hAnsi="宋体" w:eastAsia="楷体_GB2312" w:cs="宋体"/>
          <w:sz w:val="32"/>
          <w:szCs w:val="32"/>
        </w:rPr>
        <w:t>月</w:t>
      </w:r>
      <w:r>
        <w:rPr>
          <w:rFonts w:hint="eastAsia" w:ascii="楷体_GB2312" w:hAnsi="宋体" w:eastAsia="楷体_GB2312" w:cs="宋体"/>
          <w:sz w:val="32"/>
          <w:szCs w:val="32"/>
          <w:lang w:val="en-US" w:eastAsia="zh-CN"/>
        </w:rPr>
        <w:t>18</w:t>
      </w:r>
      <w:r>
        <w:rPr>
          <w:rFonts w:hint="eastAsia" w:ascii="楷体_GB2312" w:hAnsi="宋体" w:eastAsia="楷体_GB2312" w:cs="宋体"/>
          <w:sz w:val="32"/>
          <w:szCs w:val="32"/>
        </w:rPr>
        <w:t>日</w:t>
      </w:r>
    </w:p>
    <w:p>
      <w:pPr>
        <w:spacing w:line="600" w:lineRule="exact"/>
        <w:jc w:val="left"/>
        <w:rPr>
          <w:rFonts w:hint="eastAsia" w:eastAsia="方正黑体简体"/>
          <w:bCs/>
          <w:kern w:val="0"/>
        </w:rPr>
      </w:pPr>
    </w:p>
    <w:p>
      <w:pPr>
        <w:spacing w:line="600" w:lineRule="exact"/>
        <w:jc w:val="left"/>
        <w:rPr>
          <w:rFonts w:hint="eastAsia" w:eastAsia="方正黑体简体"/>
          <w:bCs/>
          <w:kern w:val="0"/>
        </w:rPr>
      </w:pPr>
    </w:p>
    <w:p>
      <w:pPr>
        <w:spacing w:line="600" w:lineRule="exact"/>
        <w:jc w:val="left"/>
        <w:rPr>
          <w:rFonts w:hint="eastAsia" w:eastAsia="方正黑体简体"/>
          <w:bCs/>
          <w:kern w:val="0"/>
        </w:rPr>
      </w:pPr>
    </w:p>
    <w:p>
      <w:pPr>
        <w:spacing w:line="600" w:lineRule="exact"/>
        <w:jc w:val="left"/>
        <w:rPr>
          <w:rFonts w:hint="eastAsia" w:eastAsia="方正黑体简体"/>
          <w:bCs/>
          <w:kern w:val="0"/>
        </w:rPr>
      </w:pPr>
    </w:p>
    <w:p>
      <w:pPr>
        <w:spacing w:line="600" w:lineRule="exact"/>
        <w:jc w:val="left"/>
        <w:rPr>
          <w:rFonts w:hint="eastAsia" w:eastAsia="方正黑体简体"/>
          <w:bCs/>
          <w:kern w:val="0"/>
        </w:rPr>
      </w:pPr>
    </w:p>
    <w:p>
      <w:pPr>
        <w:spacing w:line="600" w:lineRule="exact"/>
        <w:jc w:val="left"/>
        <w:rPr>
          <w:rFonts w:hint="eastAsia" w:eastAsia="方正黑体简体"/>
          <w:bCs/>
          <w:kern w:val="0"/>
        </w:rPr>
      </w:pPr>
    </w:p>
    <w:p>
      <w:pPr>
        <w:spacing w:line="600" w:lineRule="exact"/>
        <w:jc w:val="left"/>
        <w:rPr>
          <w:rFonts w:eastAsia="方正黑体简体"/>
          <w:bCs/>
          <w:kern w:val="0"/>
        </w:rPr>
      </w:pPr>
      <w:r>
        <w:rPr>
          <w:rFonts w:hint="eastAsia" w:eastAsia="方正黑体简体"/>
          <w:bCs/>
          <w:kern w:val="0"/>
        </w:rPr>
        <w:t>附件2</w:t>
      </w:r>
      <w:r>
        <w:rPr>
          <w:rFonts w:eastAsia="方正黑体简体"/>
          <w:bCs/>
          <w:kern w:val="0"/>
        </w:rPr>
        <w:t>-1</w:t>
      </w:r>
    </w:p>
    <w:p>
      <w:pPr>
        <w:spacing w:line="620" w:lineRule="exact"/>
        <w:jc w:val="center"/>
        <w:rPr>
          <w:rFonts w:eastAsia="方正小标宋简体"/>
          <w:bCs/>
          <w:kern w:val="0"/>
          <w:sz w:val="40"/>
          <w:szCs w:val="40"/>
        </w:rPr>
      </w:pPr>
      <w:r>
        <w:rPr>
          <w:rFonts w:eastAsia="方正小标宋简体"/>
          <w:bCs/>
          <w:kern w:val="0"/>
          <w:sz w:val="40"/>
          <w:szCs w:val="40"/>
        </w:rPr>
        <w:t>202</w:t>
      </w:r>
      <w:r>
        <w:rPr>
          <w:rFonts w:hint="eastAsia" w:eastAsia="方正小标宋简体"/>
          <w:bCs/>
          <w:kern w:val="0"/>
          <w:sz w:val="40"/>
          <w:szCs w:val="40"/>
          <w:lang w:val="en-US" w:eastAsia="zh-CN"/>
        </w:rPr>
        <w:t>2</w:t>
      </w:r>
      <w:r>
        <w:rPr>
          <w:rFonts w:hint="eastAsia" w:eastAsia="方正小标宋简体"/>
          <w:bCs/>
          <w:kern w:val="0"/>
          <w:sz w:val="40"/>
          <w:szCs w:val="40"/>
        </w:rPr>
        <w:t>年度乐至县项目支出绩效自评计分表</w:t>
      </w:r>
    </w:p>
    <w:p>
      <w:pPr>
        <w:spacing w:line="620" w:lineRule="exact"/>
        <w:jc w:val="center"/>
        <w:rPr>
          <w:rFonts w:eastAsia="方正小标宋简体"/>
          <w:bCs/>
          <w:kern w:val="0"/>
          <w:sz w:val="40"/>
          <w:szCs w:val="40"/>
        </w:rPr>
      </w:pPr>
      <w:r>
        <w:rPr>
          <w:rFonts w:hint="eastAsia" w:eastAsia="方正小标宋简体"/>
          <w:bCs/>
          <w:kern w:val="0"/>
          <w:sz w:val="40"/>
          <w:szCs w:val="40"/>
        </w:rPr>
        <w:t>（</w:t>
      </w:r>
      <w:r>
        <w:rPr>
          <w:rFonts w:hint="eastAsia" w:ascii="楷体_GB2312" w:eastAsia="楷体_GB2312"/>
          <w:b/>
          <w:sz w:val="32"/>
          <w:szCs w:val="32"/>
        </w:rPr>
        <w:t>县投资建设项目办工作经费项目</w:t>
      </w:r>
      <w:r>
        <w:rPr>
          <w:rFonts w:hint="eastAsia" w:eastAsia="方正小标宋简体"/>
          <w:bCs/>
          <w:kern w:val="0"/>
          <w:sz w:val="40"/>
          <w:szCs w:val="40"/>
        </w:rPr>
        <w:t>）</w:t>
      </w:r>
    </w:p>
    <w:p>
      <w:pPr>
        <w:widowControl/>
        <w:spacing w:line="590" w:lineRule="exact"/>
        <w:jc w:val="left"/>
        <w:rPr>
          <w:rFonts w:hint="eastAsia" w:eastAsia="宋体"/>
          <w:sz w:val="18"/>
          <w:szCs w:val="18"/>
          <w:lang w:val="en-US" w:eastAsia="zh-CN"/>
        </w:rPr>
      </w:pPr>
      <w:r>
        <w:rPr>
          <w:rFonts w:hint="eastAsia"/>
          <w:bCs/>
          <w:kern w:val="0"/>
          <w:sz w:val="18"/>
          <w:szCs w:val="18"/>
        </w:rPr>
        <w:t xml:space="preserve">预算单位名称：乐至县行政审批局 </w:t>
      </w:r>
      <w:r>
        <w:rPr>
          <w:bCs/>
          <w:kern w:val="0"/>
          <w:sz w:val="18"/>
          <w:szCs w:val="18"/>
        </w:rPr>
        <w:t xml:space="preserve"> </w:t>
      </w:r>
      <w:r>
        <w:rPr>
          <w:rFonts w:hint="eastAsia"/>
          <w:bCs/>
          <w:kern w:val="0"/>
          <w:sz w:val="18"/>
          <w:szCs w:val="18"/>
        </w:rPr>
        <w:t xml:space="preserve">       预算单位编码：134101001  </w:t>
      </w:r>
      <w:r>
        <w:rPr>
          <w:bCs/>
          <w:kern w:val="0"/>
          <w:sz w:val="18"/>
          <w:szCs w:val="18"/>
        </w:rPr>
        <w:t xml:space="preserve"> </w:t>
      </w:r>
      <w:r>
        <w:rPr>
          <w:rFonts w:hint="eastAsia"/>
          <w:bCs/>
          <w:kern w:val="0"/>
          <w:sz w:val="18"/>
          <w:szCs w:val="18"/>
        </w:rPr>
        <w:t xml:space="preserve">          自评等级：</w:t>
      </w:r>
      <w:r>
        <w:rPr>
          <w:rFonts w:hint="eastAsia"/>
          <w:bCs/>
          <w:kern w:val="0"/>
          <w:sz w:val="18"/>
          <w:szCs w:val="18"/>
          <w:lang w:val="en-US" w:eastAsia="zh-CN"/>
        </w:rPr>
        <w:t>优</w:t>
      </w:r>
    </w:p>
    <w:tbl>
      <w:tblPr>
        <w:tblStyle w:val="16"/>
        <w:tblW w:w="500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60"/>
        <w:gridCol w:w="653"/>
        <w:gridCol w:w="801"/>
        <w:gridCol w:w="1596"/>
        <w:gridCol w:w="3349"/>
        <w:gridCol w:w="676"/>
        <w:gridCol w:w="84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tblHeader/>
          <w:jc w:val="center"/>
        </w:trPr>
        <w:tc>
          <w:tcPr>
            <w:tcW w:w="385" w:type="pct"/>
            <w:shd w:val="clear" w:color="000000" w:fill="FFFFFF"/>
            <w:vAlign w:val="center"/>
          </w:tcPr>
          <w:p>
            <w:pPr>
              <w:widowControl/>
              <w:spacing w:line="270" w:lineRule="exact"/>
              <w:jc w:val="center"/>
              <w:rPr>
                <w:rFonts w:cs="黑体"/>
                <w:kern w:val="0"/>
                <w:szCs w:val="21"/>
              </w:rPr>
            </w:pPr>
            <w:r>
              <w:rPr>
                <w:rFonts w:hint="eastAsia" w:cs="黑体"/>
                <w:kern w:val="0"/>
                <w:szCs w:val="21"/>
              </w:rPr>
              <w:t>一级</w:t>
            </w:r>
            <w:r>
              <w:rPr>
                <w:rFonts w:cs="黑体"/>
                <w:kern w:val="0"/>
                <w:szCs w:val="21"/>
              </w:rPr>
              <w:br w:type="textWrapping"/>
            </w:r>
            <w:r>
              <w:rPr>
                <w:rFonts w:hint="eastAsia" w:cs="黑体"/>
                <w:kern w:val="0"/>
                <w:szCs w:val="21"/>
              </w:rPr>
              <w:t>指标</w:t>
            </w:r>
          </w:p>
        </w:tc>
        <w:tc>
          <w:tcPr>
            <w:tcW w:w="381" w:type="pct"/>
            <w:shd w:val="clear" w:color="000000" w:fill="FFFFFF"/>
            <w:vAlign w:val="center"/>
          </w:tcPr>
          <w:p>
            <w:pPr>
              <w:widowControl/>
              <w:spacing w:line="270" w:lineRule="exact"/>
              <w:jc w:val="center"/>
              <w:rPr>
                <w:rFonts w:cs="黑体"/>
                <w:kern w:val="0"/>
                <w:szCs w:val="21"/>
              </w:rPr>
            </w:pPr>
            <w:r>
              <w:rPr>
                <w:rFonts w:hint="eastAsia" w:cs="黑体"/>
                <w:kern w:val="0"/>
                <w:szCs w:val="21"/>
              </w:rPr>
              <w:t>二级</w:t>
            </w:r>
            <w:r>
              <w:rPr>
                <w:rFonts w:cs="黑体"/>
                <w:kern w:val="0"/>
                <w:szCs w:val="21"/>
              </w:rPr>
              <w:br w:type="textWrapping"/>
            </w:r>
            <w:r>
              <w:rPr>
                <w:rFonts w:hint="eastAsia" w:cs="黑体"/>
                <w:kern w:val="0"/>
                <w:szCs w:val="21"/>
              </w:rPr>
              <w:t>指标</w:t>
            </w:r>
          </w:p>
        </w:tc>
        <w:tc>
          <w:tcPr>
            <w:tcW w:w="467" w:type="pct"/>
            <w:shd w:val="clear" w:color="000000" w:fill="FFFFFF"/>
            <w:vAlign w:val="center"/>
          </w:tcPr>
          <w:p>
            <w:pPr>
              <w:widowControl/>
              <w:spacing w:line="270" w:lineRule="exact"/>
              <w:jc w:val="center"/>
              <w:rPr>
                <w:rFonts w:cs="黑体"/>
                <w:kern w:val="0"/>
                <w:szCs w:val="21"/>
              </w:rPr>
            </w:pPr>
            <w:r>
              <w:rPr>
                <w:rFonts w:hint="eastAsia" w:cs="黑体"/>
                <w:kern w:val="0"/>
                <w:szCs w:val="21"/>
              </w:rPr>
              <w:t>三级</w:t>
            </w:r>
          </w:p>
          <w:p>
            <w:pPr>
              <w:widowControl/>
              <w:spacing w:line="270" w:lineRule="exact"/>
              <w:jc w:val="center"/>
              <w:rPr>
                <w:rFonts w:cs="黑体"/>
                <w:kern w:val="0"/>
                <w:szCs w:val="21"/>
              </w:rPr>
            </w:pPr>
            <w:r>
              <w:rPr>
                <w:rFonts w:hint="eastAsia" w:cs="黑体"/>
                <w:kern w:val="0"/>
                <w:szCs w:val="21"/>
              </w:rPr>
              <w:t>指标</w:t>
            </w:r>
          </w:p>
        </w:tc>
        <w:tc>
          <w:tcPr>
            <w:tcW w:w="930" w:type="pct"/>
            <w:shd w:val="clear" w:color="000000" w:fill="FFFFFF"/>
            <w:vAlign w:val="center"/>
          </w:tcPr>
          <w:p>
            <w:pPr>
              <w:widowControl/>
              <w:spacing w:line="270" w:lineRule="exact"/>
              <w:jc w:val="center"/>
              <w:rPr>
                <w:rFonts w:cs="黑体"/>
                <w:kern w:val="0"/>
                <w:szCs w:val="21"/>
              </w:rPr>
            </w:pPr>
            <w:r>
              <w:rPr>
                <w:rFonts w:hint="eastAsia" w:cs="黑体"/>
                <w:kern w:val="0"/>
                <w:szCs w:val="21"/>
              </w:rPr>
              <w:t>指标解释</w:t>
            </w:r>
          </w:p>
        </w:tc>
        <w:tc>
          <w:tcPr>
            <w:tcW w:w="1951" w:type="pct"/>
            <w:shd w:val="clear" w:color="000000" w:fill="FFFFFF"/>
            <w:vAlign w:val="center"/>
          </w:tcPr>
          <w:p>
            <w:pPr>
              <w:widowControl/>
              <w:spacing w:line="270" w:lineRule="exact"/>
              <w:jc w:val="center"/>
              <w:rPr>
                <w:rFonts w:cs="黑体"/>
                <w:kern w:val="0"/>
                <w:szCs w:val="21"/>
              </w:rPr>
            </w:pPr>
            <w:r>
              <w:rPr>
                <w:rFonts w:hint="eastAsia" w:cs="黑体"/>
                <w:kern w:val="0"/>
                <w:szCs w:val="21"/>
              </w:rPr>
              <w:t>指标说明（评价计分标准）</w:t>
            </w:r>
          </w:p>
        </w:tc>
        <w:tc>
          <w:tcPr>
            <w:tcW w:w="394" w:type="pct"/>
            <w:shd w:val="clear" w:color="000000" w:fill="FFFFFF"/>
            <w:vAlign w:val="center"/>
          </w:tcPr>
          <w:p>
            <w:pPr>
              <w:widowControl/>
              <w:spacing w:line="270" w:lineRule="exact"/>
              <w:jc w:val="center"/>
              <w:rPr>
                <w:rFonts w:cs="黑体"/>
                <w:kern w:val="0"/>
                <w:szCs w:val="21"/>
              </w:rPr>
            </w:pPr>
            <w:r>
              <w:rPr>
                <w:rFonts w:hint="eastAsia" w:cs="黑体"/>
                <w:kern w:val="0"/>
                <w:szCs w:val="21"/>
              </w:rPr>
              <w:t>自评</w:t>
            </w:r>
          </w:p>
          <w:p>
            <w:pPr>
              <w:widowControl/>
              <w:spacing w:line="270" w:lineRule="exact"/>
              <w:jc w:val="center"/>
              <w:rPr>
                <w:rFonts w:cs="黑体"/>
                <w:kern w:val="0"/>
                <w:szCs w:val="21"/>
              </w:rPr>
            </w:pPr>
            <w:r>
              <w:rPr>
                <w:rFonts w:hint="eastAsia" w:cs="黑体"/>
                <w:kern w:val="0"/>
                <w:szCs w:val="21"/>
              </w:rPr>
              <w:t>分数</w:t>
            </w:r>
          </w:p>
        </w:tc>
        <w:tc>
          <w:tcPr>
            <w:tcW w:w="490" w:type="pct"/>
            <w:shd w:val="clear" w:color="000000" w:fill="FFFFFF"/>
            <w:vAlign w:val="center"/>
          </w:tcPr>
          <w:p>
            <w:pPr>
              <w:widowControl/>
              <w:spacing w:line="270" w:lineRule="exact"/>
              <w:jc w:val="center"/>
              <w:rPr>
                <w:rFonts w:cs="黑体"/>
                <w:kern w:val="0"/>
                <w:szCs w:val="21"/>
              </w:rPr>
            </w:pPr>
            <w:r>
              <w:rPr>
                <w:rFonts w:hint="eastAsia" w:cs="黑体"/>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3" w:hRule="atLeast"/>
          <w:jc w:val="center"/>
        </w:trPr>
        <w:tc>
          <w:tcPr>
            <w:tcW w:w="385" w:type="pct"/>
            <w:vMerge w:val="restart"/>
            <w:shd w:val="clear" w:color="000000" w:fill="FFFFFF"/>
            <w:noWrap/>
            <w:textDirection w:val="tbRlV"/>
            <w:vAlign w:val="center"/>
          </w:tcPr>
          <w:p>
            <w:pPr>
              <w:widowControl/>
              <w:spacing w:line="27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项目</w:t>
            </w:r>
            <w:r>
              <w:rPr>
                <w:kern w:val="0"/>
                <w:szCs w:val="21"/>
              </w:rPr>
              <w:br w:type="textWrapping"/>
            </w:r>
            <w:r>
              <w:rPr>
                <w:rFonts w:hint="eastAsia"/>
                <w:kern w:val="0"/>
                <w:szCs w:val="21"/>
              </w:rPr>
              <w:t>立项（</w:t>
            </w:r>
            <w:r>
              <w:rPr>
                <w:kern w:val="0"/>
                <w:szCs w:val="21"/>
              </w:rPr>
              <w:t>15</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项目的申请、设立过程是否符合相关要求，用以反映和考核项目立项的规范情况。</w:t>
            </w:r>
          </w:p>
        </w:tc>
        <w:tc>
          <w:tcPr>
            <w:tcW w:w="1951" w:type="pct"/>
            <w:shd w:val="clear" w:color="000000" w:fill="FFFFFF"/>
            <w:vAlign w:val="center"/>
          </w:tcPr>
          <w:p>
            <w:pPr>
              <w:widowControl/>
              <w:spacing w:line="27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r>
              <w:rPr>
                <w:kern w:val="0"/>
                <w:szCs w:val="21"/>
              </w:rPr>
              <w:br w:type="textWrapping"/>
            </w:r>
            <w:r>
              <w:rPr>
                <w:rFonts w:hint="eastAsia"/>
                <w:kern w:val="0"/>
                <w:szCs w:val="21"/>
              </w:rPr>
              <w:t>②所提交的文件、材料是否符合相关要求；（</w:t>
            </w:r>
            <w:r>
              <w:rPr>
                <w:kern w:val="0"/>
                <w:szCs w:val="21"/>
              </w:rPr>
              <w:t>2</w:t>
            </w:r>
            <w:r>
              <w:rPr>
                <w:rFonts w:hint="eastAsia"/>
                <w:kern w:val="0"/>
                <w:szCs w:val="21"/>
              </w:rPr>
              <w:t>分）</w:t>
            </w:r>
            <w:r>
              <w:rPr>
                <w:kern w:val="0"/>
                <w:szCs w:val="21"/>
              </w:rPr>
              <w:br w:type="textWrapping"/>
            </w: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8" w:hRule="atLeast"/>
          <w:jc w:val="center"/>
        </w:trPr>
        <w:tc>
          <w:tcPr>
            <w:tcW w:w="385"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51" w:type="pct"/>
            <w:shd w:val="clear" w:color="000000" w:fill="FFFFFF"/>
            <w:vAlign w:val="center"/>
          </w:tcPr>
          <w:p>
            <w:pPr>
              <w:widowControl/>
              <w:spacing w:line="27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r>
              <w:rPr>
                <w:kern w:val="0"/>
                <w:szCs w:val="21"/>
              </w:rPr>
              <w:br w:type="textWrapping"/>
            </w:r>
            <w:r>
              <w:rPr>
                <w:rFonts w:hint="eastAsia"/>
                <w:kern w:val="0"/>
                <w:szCs w:val="21"/>
              </w:rPr>
              <w:t>②是否与项目实施单位或委托单位职责密切相关；（</w:t>
            </w:r>
            <w:r>
              <w:rPr>
                <w:kern w:val="0"/>
                <w:szCs w:val="21"/>
              </w:rPr>
              <w:t>1</w:t>
            </w:r>
            <w:r>
              <w:rPr>
                <w:rFonts w:hint="eastAsia"/>
                <w:kern w:val="0"/>
                <w:szCs w:val="21"/>
              </w:rPr>
              <w:t>分）</w:t>
            </w:r>
            <w:r>
              <w:rPr>
                <w:kern w:val="0"/>
                <w:szCs w:val="21"/>
              </w:rPr>
              <w:br w:type="textWrapping"/>
            </w:r>
            <w:r>
              <w:rPr>
                <w:rFonts w:hint="eastAsia"/>
                <w:kern w:val="0"/>
                <w:szCs w:val="21"/>
              </w:rPr>
              <w:t>③项目是否为促进事业发展所必需；（</w:t>
            </w:r>
            <w:r>
              <w:rPr>
                <w:kern w:val="0"/>
                <w:szCs w:val="21"/>
              </w:rPr>
              <w:t>1</w:t>
            </w:r>
            <w:r>
              <w:rPr>
                <w:rFonts w:hint="eastAsia"/>
                <w:kern w:val="0"/>
                <w:szCs w:val="21"/>
              </w:rPr>
              <w:t>分）</w:t>
            </w:r>
            <w:r>
              <w:rPr>
                <w:kern w:val="0"/>
                <w:szCs w:val="21"/>
              </w:rPr>
              <w:br w:type="textWrapping"/>
            </w: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6" w:hRule="atLeast"/>
          <w:jc w:val="center"/>
        </w:trPr>
        <w:tc>
          <w:tcPr>
            <w:tcW w:w="385"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51" w:type="pct"/>
            <w:shd w:val="clear" w:color="000000" w:fill="FFFFFF"/>
            <w:vAlign w:val="center"/>
          </w:tcPr>
          <w:p>
            <w:pPr>
              <w:widowControl/>
              <w:spacing w:line="27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r>
              <w:rPr>
                <w:kern w:val="0"/>
                <w:szCs w:val="21"/>
              </w:rPr>
              <w:br w:type="textWrapping"/>
            </w:r>
            <w:r>
              <w:rPr>
                <w:rFonts w:hint="eastAsia"/>
                <w:kern w:val="0"/>
                <w:szCs w:val="21"/>
              </w:rPr>
              <w:t>②是否通过清晰、可衡量的指标值予以体现；（</w:t>
            </w:r>
            <w:r>
              <w:rPr>
                <w:kern w:val="0"/>
                <w:szCs w:val="21"/>
              </w:rPr>
              <w:t>1</w:t>
            </w:r>
            <w:r>
              <w:rPr>
                <w:rFonts w:hint="eastAsia"/>
                <w:kern w:val="0"/>
                <w:szCs w:val="21"/>
              </w:rPr>
              <w:t>分）</w:t>
            </w:r>
            <w:r>
              <w:rPr>
                <w:kern w:val="0"/>
                <w:szCs w:val="21"/>
              </w:rPr>
              <w:br w:type="textWrapping"/>
            </w:r>
            <w:r>
              <w:rPr>
                <w:rFonts w:hint="eastAsia"/>
                <w:kern w:val="0"/>
                <w:szCs w:val="21"/>
              </w:rPr>
              <w:t>③是否与项目年度任务数或计划数相对应；（</w:t>
            </w:r>
            <w:r>
              <w:rPr>
                <w:kern w:val="0"/>
                <w:szCs w:val="21"/>
              </w:rPr>
              <w:t>1</w:t>
            </w:r>
            <w:r>
              <w:rPr>
                <w:rFonts w:hint="eastAsia"/>
                <w:kern w:val="0"/>
                <w:szCs w:val="21"/>
              </w:rPr>
              <w:t>分）</w:t>
            </w:r>
            <w:r>
              <w:rPr>
                <w:kern w:val="0"/>
                <w:szCs w:val="21"/>
              </w:rPr>
              <w:br w:type="textWrapping"/>
            </w:r>
            <w:r>
              <w:rPr>
                <w:rFonts w:hint="eastAsia"/>
                <w:kern w:val="0"/>
                <w:szCs w:val="21"/>
              </w:rPr>
              <w:t>④是否与预算确定的项目投资额或资金量相匹配。（</w:t>
            </w:r>
            <w:r>
              <w:rPr>
                <w:kern w:val="0"/>
                <w:szCs w:val="21"/>
              </w:rPr>
              <w:t>2</w:t>
            </w:r>
            <w:r>
              <w:rPr>
                <w:rFonts w:hint="eastAsia"/>
                <w:kern w:val="0"/>
                <w:szCs w:val="21"/>
              </w:rPr>
              <w:t>分）</w:t>
            </w:r>
          </w:p>
        </w:tc>
        <w:tc>
          <w:tcPr>
            <w:tcW w:w="394" w:type="pct"/>
            <w:noWrap/>
            <w:vAlign w:val="center"/>
          </w:tcPr>
          <w:p>
            <w:pPr>
              <w:widowControl/>
              <w:spacing w:line="270" w:lineRule="exact"/>
              <w:jc w:val="center"/>
              <w:rPr>
                <w:rFonts w:hint="eastAsia" w:eastAsia="宋体"/>
                <w:kern w:val="0"/>
                <w:szCs w:val="21"/>
                <w:lang w:val="en-US" w:eastAsia="zh-CN"/>
              </w:rPr>
            </w:pPr>
            <w:r>
              <w:rPr>
                <w:rFonts w:hint="eastAsia"/>
                <w:kern w:val="0"/>
                <w:szCs w:val="21"/>
                <w:lang w:val="en-US" w:eastAsia="zh-CN"/>
              </w:rPr>
              <w:t>6</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9" w:hRule="atLeast"/>
          <w:jc w:val="center"/>
        </w:trPr>
        <w:tc>
          <w:tcPr>
            <w:tcW w:w="385" w:type="pct"/>
            <w:vMerge w:val="continue"/>
            <w:shd w:val="clear" w:color="auto" w:fill="auto"/>
            <w:vAlign w:val="center"/>
          </w:tcPr>
          <w:p>
            <w:pPr>
              <w:widowControl/>
              <w:spacing w:line="270" w:lineRule="exact"/>
              <w:jc w:val="left"/>
              <w:rPr>
                <w:kern w:val="0"/>
                <w:szCs w:val="21"/>
              </w:rPr>
            </w:pPr>
          </w:p>
        </w:tc>
        <w:tc>
          <w:tcPr>
            <w:tcW w:w="381" w:type="pct"/>
            <w:vMerge w:val="restart"/>
            <w:shd w:val="clear" w:color="000000" w:fill="FFFFFF"/>
            <w:vAlign w:val="center"/>
          </w:tcPr>
          <w:p>
            <w:pPr>
              <w:widowControl/>
              <w:spacing w:line="270" w:lineRule="exact"/>
              <w:jc w:val="center"/>
              <w:rPr>
                <w:kern w:val="0"/>
                <w:szCs w:val="21"/>
              </w:rPr>
            </w:pPr>
            <w:r>
              <w:rPr>
                <w:rFonts w:hint="eastAsia"/>
                <w:kern w:val="0"/>
                <w:szCs w:val="21"/>
              </w:rPr>
              <w:t>资金</w:t>
            </w:r>
            <w:r>
              <w:rPr>
                <w:kern w:val="0"/>
                <w:szCs w:val="21"/>
              </w:rPr>
              <w:br w:type="textWrapping"/>
            </w:r>
            <w:r>
              <w:rPr>
                <w:rFonts w:hint="eastAsia"/>
                <w:kern w:val="0"/>
                <w:szCs w:val="21"/>
              </w:rPr>
              <w:t>落实（</w:t>
            </w:r>
            <w:r>
              <w:rPr>
                <w:kern w:val="0"/>
                <w:szCs w:val="21"/>
              </w:rPr>
              <w:t>10</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51" w:type="pct"/>
            <w:shd w:val="clear" w:color="000000" w:fill="FFFFFF"/>
            <w:vAlign w:val="center"/>
          </w:tcPr>
          <w:p>
            <w:pPr>
              <w:widowControl/>
              <w:spacing w:line="27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type="textWrapping"/>
            </w:r>
            <w:r>
              <w:rPr>
                <w:rFonts w:hint="eastAsia"/>
                <w:kern w:val="0"/>
                <w:szCs w:val="21"/>
              </w:rPr>
              <w:t>实际到位资金：一定时期（本年度或项目期）内实际落实到具体项目的资金。</w:t>
            </w:r>
            <w:r>
              <w:rPr>
                <w:kern w:val="0"/>
                <w:szCs w:val="21"/>
              </w:rPr>
              <w:br w:type="textWrapping"/>
            </w:r>
            <w:r>
              <w:rPr>
                <w:rFonts w:hint="eastAsia"/>
                <w:kern w:val="0"/>
                <w:szCs w:val="21"/>
              </w:rPr>
              <w:t>计划投入资金：一定时期（本年度或项目期）内计划投入到具体项目的资金。</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5" w:type="pct"/>
            <w:vMerge w:val="continue"/>
            <w:shd w:val="clear" w:color="auto" w:fill="auto"/>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及时到位资金与应到位资金的比率，用以反映和考核项目资金落实的及时性程度。</w:t>
            </w:r>
          </w:p>
        </w:tc>
        <w:tc>
          <w:tcPr>
            <w:tcW w:w="1951" w:type="pct"/>
            <w:shd w:val="clear" w:color="000000" w:fill="FFFFFF"/>
            <w:vAlign w:val="center"/>
          </w:tcPr>
          <w:p>
            <w:pPr>
              <w:widowControl/>
              <w:spacing w:line="25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type="textWrapping"/>
            </w:r>
            <w:r>
              <w:rPr>
                <w:rFonts w:hint="eastAsia"/>
                <w:kern w:val="0"/>
                <w:szCs w:val="21"/>
              </w:rPr>
              <w:t>及时到位资金：截至规定时点实际落实到具体项目的资金。</w:t>
            </w:r>
            <w:r>
              <w:rPr>
                <w:kern w:val="0"/>
                <w:szCs w:val="21"/>
              </w:rPr>
              <w:br w:type="textWrapping"/>
            </w:r>
            <w:r>
              <w:rPr>
                <w:rFonts w:hint="eastAsia"/>
                <w:kern w:val="0"/>
                <w:szCs w:val="21"/>
              </w:rPr>
              <w:t>应到位资金：按照合同或项目进度要求截至规定时点应落实到具体项目的资金。</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385" w:type="pct"/>
            <w:vMerge w:val="restart"/>
            <w:shd w:val="clear" w:color="000000" w:fill="FFFFFF"/>
            <w:noWrap/>
            <w:textDirection w:val="tbRlV"/>
            <w:vAlign w:val="center"/>
          </w:tcPr>
          <w:p>
            <w:pPr>
              <w:widowControl/>
              <w:spacing w:line="25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1" w:type="pct"/>
            <w:vMerge w:val="restart"/>
            <w:shd w:val="clear" w:color="000000" w:fill="FFFFFF"/>
            <w:vAlign w:val="center"/>
          </w:tcPr>
          <w:p>
            <w:pPr>
              <w:widowControl/>
              <w:spacing w:line="250" w:lineRule="exact"/>
              <w:jc w:val="center"/>
              <w:rPr>
                <w:kern w:val="0"/>
                <w:szCs w:val="21"/>
              </w:rPr>
            </w:pPr>
            <w:r>
              <w:rPr>
                <w:rFonts w:hint="eastAsia"/>
                <w:kern w:val="0"/>
                <w:szCs w:val="21"/>
              </w:rPr>
              <w:t>业务</w:t>
            </w:r>
            <w:r>
              <w:rPr>
                <w:kern w:val="0"/>
                <w:szCs w:val="21"/>
              </w:rPr>
              <w:br w:type="textWrapping"/>
            </w:r>
            <w:r>
              <w:rPr>
                <w:rFonts w:hint="eastAsia"/>
                <w:kern w:val="0"/>
                <w:szCs w:val="21"/>
              </w:rPr>
              <w:t>管理（</w:t>
            </w:r>
            <w:r>
              <w:rPr>
                <w:kern w:val="0"/>
                <w:szCs w:val="21"/>
              </w:rPr>
              <w:t>13</w:t>
            </w:r>
            <w:r>
              <w:rPr>
                <w:rFonts w:hint="eastAsia"/>
                <w:kern w:val="0"/>
                <w:szCs w:val="21"/>
              </w:rPr>
              <w:t>分）</w:t>
            </w:r>
          </w:p>
        </w:tc>
        <w:tc>
          <w:tcPr>
            <w:tcW w:w="467" w:type="pct"/>
            <w:shd w:val="clear" w:color="000000" w:fill="FFFFFF"/>
            <w:vAlign w:val="center"/>
          </w:tcPr>
          <w:p>
            <w:pPr>
              <w:widowControl/>
              <w:spacing w:line="25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51"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r>
              <w:rPr>
                <w:kern w:val="0"/>
                <w:szCs w:val="21"/>
              </w:rPr>
              <w:br w:type="textWrapping"/>
            </w:r>
            <w:r>
              <w:rPr>
                <w:rFonts w:hint="eastAsia"/>
                <w:kern w:val="0"/>
                <w:szCs w:val="21"/>
              </w:rPr>
              <w:t>②业务管理制度是否合法、合规、完整。（</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4</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5"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项目实施是否符合相关业务管理规定，用以反映和考核业务管理制度的有效执行情况。</w:t>
            </w:r>
          </w:p>
        </w:tc>
        <w:tc>
          <w:tcPr>
            <w:tcW w:w="1951" w:type="pct"/>
            <w:shd w:val="clear" w:color="000000" w:fill="FFFFFF"/>
            <w:vAlign w:val="center"/>
          </w:tcPr>
          <w:p>
            <w:pPr>
              <w:widowControl/>
              <w:spacing w:line="25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r>
              <w:rPr>
                <w:kern w:val="0"/>
                <w:szCs w:val="21"/>
              </w:rPr>
              <w:br w:type="textWrapping"/>
            </w:r>
            <w:r>
              <w:rPr>
                <w:rFonts w:hint="eastAsia"/>
                <w:kern w:val="0"/>
                <w:szCs w:val="21"/>
              </w:rPr>
              <w:t>②项目调整及支出调整手续是否完备；（</w:t>
            </w:r>
            <w:r>
              <w:rPr>
                <w:kern w:val="0"/>
                <w:szCs w:val="21"/>
              </w:rPr>
              <w:t>1</w:t>
            </w:r>
            <w:r>
              <w:rPr>
                <w:rFonts w:hint="eastAsia"/>
                <w:kern w:val="0"/>
                <w:szCs w:val="21"/>
              </w:rPr>
              <w:t>分）</w:t>
            </w:r>
            <w:r>
              <w:rPr>
                <w:kern w:val="0"/>
                <w:szCs w:val="21"/>
              </w:rPr>
              <w:br w:type="textWrapping"/>
            </w:r>
            <w:r>
              <w:rPr>
                <w:rFonts w:hint="eastAsia"/>
                <w:kern w:val="0"/>
                <w:szCs w:val="21"/>
              </w:rPr>
              <w:t>③项目合同书、验收报告、技术鉴定等资料是否齐全并及时归档；（</w:t>
            </w:r>
            <w:r>
              <w:rPr>
                <w:kern w:val="0"/>
                <w:szCs w:val="21"/>
              </w:rPr>
              <w:t>2</w:t>
            </w:r>
            <w:r>
              <w:rPr>
                <w:rFonts w:hint="eastAsia"/>
                <w:kern w:val="0"/>
                <w:szCs w:val="21"/>
              </w:rPr>
              <w:t>分）</w:t>
            </w:r>
            <w:r>
              <w:rPr>
                <w:kern w:val="0"/>
                <w:szCs w:val="21"/>
              </w:rPr>
              <w:br w:type="textWrapping"/>
            </w: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6</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7" w:hRule="atLeast"/>
          <w:jc w:val="center"/>
        </w:trPr>
        <w:tc>
          <w:tcPr>
            <w:tcW w:w="385"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auto" w:fill="auto"/>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51"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r>
              <w:rPr>
                <w:kern w:val="0"/>
                <w:szCs w:val="21"/>
              </w:rPr>
              <w:br w:type="textWrapping"/>
            </w: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3</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8" w:hRule="atLeast"/>
          <w:jc w:val="center"/>
        </w:trPr>
        <w:tc>
          <w:tcPr>
            <w:tcW w:w="385" w:type="pct"/>
            <w:vMerge w:val="continue"/>
            <w:shd w:val="clear" w:color="000000" w:fill="FFFFFF"/>
            <w:vAlign w:val="center"/>
          </w:tcPr>
          <w:p>
            <w:pPr>
              <w:widowControl/>
              <w:spacing w:line="250" w:lineRule="exact"/>
              <w:jc w:val="left"/>
              <w:rPr>
                <w:kern w:val="0"/>
                <w:szCs w:val="21"/>
              </w:rPr>
            </w:pPr>
          </w:p>
        </w:tc>
        <w:tc>
          <w:tcPr>
            <w:tcW w:w="381" w:type="pct"/>
            <w:vMerge w:val="restart"/>
            <w:shd w:val="clear" w:color="000000" w:fill="FFFFFF"/>
            <w:vAlign w:val="center"/>
          </w:tcPr>
          <w:p>
            <w:pPr>
              <w:widowControl/>
              <w:spacing w:line="250" w:lineRule="exact"/>
              <w:jc w:val="center"/>
              <w:rPr>
                <w:kern w:val="0"/>
                <w:szCs w:val="21"/>
              </w:rPr>
            </w:pPr>
            <w:r>
              <w:rPr>
                <w:rFonts w:hint="eastAsia"/>
                <w:kern w:val="0"/>
                <w:szCs w:val="21"/>
              </w:rPr>
              <w:t>财务</w:t>
            </w:r>
            <w:r>
              <w:rPr>
                <w:kern w:val="0"/>
                <w:szCs w:val="21"/>
              </w:rPr>
              <w:br w:type="textWrapping"/>
            </w:r>
            <w:r>
              <w:rPr>
                <w:rFonts w:hint="eastAsia"/>
                <w:kern w:val="0"/>
                <w:szCs w:val="21"/>
              </w:rPr>
              <w:t>管理（</w:t>
            </w:r>
            <w:r>
              <w:rPr>
                <w:kern w:val="0"/>
                <w:szCs w:val="21"/>
              </w:rPr>
              <w:t>12</w:t>
            </w:r>
            <w:r>
              <w:rPr>
                <w:rFonts w:hint="eastAsia"/>
                <w:kern w:val="0"/>
                <w:szCs w:val="21"/>
              </w:rPr>
              <w:t>分）</w:t>
            </w:r>
          </w:p>
        </w:tc>
        <w:tc>
          <w:tcPr>
            <w:tcW w:w="467" w:type="pct"/>
            <w:shd w:val="clear" w:color="000000" w:fill="FFFFFF"/>
            <w:vAlign w:val="center"/>
          </w:tcPr>
          <w:p>
            <w:pPr>
              <w:widowControl/>
              <w:spacing w:line="25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51" w:type="pct"/>
            <w:shd w:val="clear" w:color="000000" w:fill="FFFFFF"/>
            <w:vAlign w:val="center"/>
          </w:tcPr>
          <w:p>
            <w:pPr>
              <w:widowControl/>
              <w:spacing w:line="25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r>
              <w:rPr>
                <w:kern w:val="0"/>
                <w:szCs w:val="21"/>
              </w:rPr>
              <w:br w:type="textWrapping"/>
            </w: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3</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85" w:type="pct"/>
            <w:vMerge w:val="continue"/>
            <w:shd w:val="clear" w:color="000000" w:fill="FFFFFF"/>
            <w:vAlign w:val="center"/>
          </w:tcPr>
          <w:p>
            <w:pPr>
              <w:widowControl/>
              <w:spacing w:line="250" w:lineRule="exact"/>
              <w:jc w:val="left"/>
              <w:rPr>
                <w:kern w:val="0"/>
                <w:szCs w:val="21"/>
              </w:rPr>
            </w:pPr>
          </w:p>
        </w:tc>
        <w:tc>
          <w:tcPr>
            <w:tcW w:w="381" w:type="pct"/>
            <w:vMerge w:val="continue"/>
            <w:shd w:val="clear" w:color="000000" w:fill="FFFFFF"/>
            <w:vAlign w:val="center"/>
          </w:tcPr>
          <w:p>
            <w:pPr>
              <w:widowControl/>
              <w:spacing w:line="250" w:lineRule="exact"/>
              <w:jc w:val="left"/>
              <w:rPr>
                <w:kern w:val="0"/>
                <w:szCs w:val="21"/>
              </w:rPr>
            </w:pPr>
          </w:p>
        </w:tc>
        <w:tc>
          <w:tcPr>
            <w:tcW w:w="467" w:type="pct"/>
            <w:shd w:val="clear" w:color="000000" w:fill="FFFFFF"/>
            <w:vAlign w:val="center"/>
          </w:tcPr>
          <w:p>
            <w:pPr>
              <w:widowControl/>
              <w:spacing w:line="25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0" w:type="pct"/>
            <w:shd w:val="clear" w:color="000000" w:fill="FFFFFF"/>
            <w:vAlign w:val="center"/>
          </w:tcPr>
          <w:p>
            <w:pPr>
              <w:widowControl/>
              <w:spacing w:line="25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51" w:type="pct"/>
            <w:shd w:val="clear" w:color="000000" w:fill="FFFFFF"/>
            <w:vAlign w:val="center"/>
          </w:tcPr>
          <w:p>
            <w:pPr>
              <w:widowControl/>
              <w:spacing w:line="25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r>
              <w:rPr>
                <w:kern w:val="0"/>
                <w:szCs w:val="21"/>
              </w:rPr>
              <w:br w:type="textWrapping"/>
            </w:r>
            <w:r>
              <w:rPr>
                <w:rFonts w:hint="eastAsia"/>
                <w:kern w:val="0"/>
                <w:szCs w:val="21"/>
              </w:rPr>
              <w:t>②资金的拨付是否有完整的审批程序和手续；（</w:t>
            </w:r>
            <w:r>
              <w:rPr>
                <w:kern w:val="0"/>
                <w:szCs w:val="21"/>
              </w:rPr>
              <w:t>2</w:t>
            </w:r>
            <w:r>
              <w:rPr>
                <w:rFonts w:hint="eastAsia"/>
                <w:kern w:val="0"/>
                <w:szCs w:val="21"/>
              </w:rPr>
              <w:t>分）</w:t>
            </w:r>
            <w:r>
              <w:rPr>
                <w:kern w:val="0"/>
                <w:szCs w:val="21"/>
              </w:rPr>
              <w:br w:type="textWrapping"/>
            </w:r>
            <w:r>
              <w:rPr>
                <w:rFonts w:hint="eastAsia"/>
                <w:kern w:val="0"/>
                <w:szCs w:val="21"/>
              </w:rPr>
              <w:t>③项目的重大开支是否经过评估认证；（</w:t>
            </w:r>
            <w:r>
              <w:rPr>
                <w:kern w:val="0"/>
                <w:szCs w:val="21"/>
              </w:rPr>
              <w:t>1</w:t>
            </w:r>
            <w:r>
              <w:rPr>
                <w:rFonts w:hint="eastAsia"/>
                <w:kern w:val="0"/>
                <w:szCs w:val="21"/>
              </w:rPr>
              <w:t>分）</w:t>
            </w:r>
            <w:r>
              <w:rPr>
                <w:kern w:val="0"/>
                <w:szCs w:val="21"/>
              </w:rPr>
              <w:br w:type="textWrapping"/>
            </w:r>
            <w:r>
              <w:rPr>
                <w:rFonts w:hint="eastAsia"/>
                <w:kern w:val="0"/>
                <w:szCs w:val="21"/>
              </w:rPr>
              <w:t>④是否符合项目预算批复或合同规定的用途；（</w:t>
            </w:r>
            <w:r>
              <w:rPr>
                <w:kern w:val="0"/>
                <w:szCs w:val="21"/>
              </w:rPr>
              <w:t>1</w:t>
            </w:r>
            <w:r>
              <w:rPr>
                <w:rFonts w:hint="eastAsia"/>
                <w:kern w:val="0"/>
                <w:szCs w:val="21"/>
              </w:rPr>
              <w:t>分）</w:t>
            </w:r>
            <w:r>
              <w:rPr>
                <w:kern w:val="0"/>
                <w:szCs w:val="21"/>
              </w:rPr>
              <w:br w:type="textWrapping"/>
            </w:r>
            <w:r>
              <w:rPr>
                <w:rFonts w:hint="eastAsia"/>
                <w:kern w:val="0"/>
                <w:szCs w:val="21"/>
              </w:rPr>
              <w:t>⑤是否存在截留、挤占、挪用、虚列支出等情况。（</w:t>
            </w:r>
            <w:r>
              <w:rPr>
                <w:kern w:val="0"/>
                <w:szCs w:val="21"/>
              </w:rPr>
              <w:t>2</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7</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385" w:type="pct"/>
            <w:shd w:val="clear" w:color="000000" w:fill="FFFFFF"/>
            <w:textDirection w:val="tbRlV"/>
            <w:vAlign w:val="center"/>
          </w:tcPr>
          <w:p>
            <w:pPr>
              <w:widowControl/>
              <w:spacing w:line="25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1" w:type="pct"/>
            <w:shd w:val="clear" w:color="000000" w:fill="FFFFFF"/>
            <w:vAlign w:val="center"/>
          </w:tcPr>
          <w:p>
            <w:pPr>
              <w:widowControl/>
              <w:spacing w:line="250" w:lineRule="exact"/>
              <w:jc w:val="center"/>
              <w:rPr>
                <w:kern w:val="0"/>
                <w:szCs w:val="21"/>
              </w:rPr>
            </w:pPr>
            <w:r>
              <w:rPr>
                <w:rFonts w:hint="eastAsia"/>
                <w:kern w:val="0"/>
                <w:szCs w:val="21"/>
              </w:rPr>
              <w:t>财务</w:t>
            </w:r>
            <w:r>
              <w:rPr>
                <w:kern w:val="0"/>
                <w:szCs w:val="21"/>
              </w:rPr>
              <w:br w:type="textWrapping"/>
            </w:r>
            <w:r>
              <w:rPr>
                <w:rFonts w:hint="eastAsia"/>
                <w:kern w:val="0"/>
                <w:szCs w:val="21"/>
              </w:rPr>
              <w:t>管理（</w:t>
            </w:r>
            <w:r>
              <w:rPr>
                <w:kern w:val="0"/>
                <w:szCs w:val="21"/>
              </w:rPr>
              <w:t>12</w:t>
            </w:r>
            <w:r>
              <w:rPr>
                <w:rFonts w:hint="eastAsia"/>
                <w:kern w:val="0"/>
                <w:szCs w:val="21"/>
              </w:rPr>
              <w:t>分）</w:t>
            </w:r>
          </w:p>
        </w:tc>
        <w:tc>
          <w:tcPr>
            <w:tcW w:w="467" w:type="pct"/>
            <w:shd w:val="clear" w:color="000000" w:fill="FFFFFF"/>
            <w:vAlign w:val="center"/>
          </w:tcPr>
          <w:p>
            <w:pPr>
              <w:widowControl/>
              <w:spacing w:line="30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51" w:type="pct"/>
            <w:shd w:val="clear" w:color="000000" w:fill="FFFFFF"/>
            <w:vAlign w:val="center"/>
          </w:tcPr>
          <w:p>
            <w:pPr>
              <w:widowControl/>
              <w:spacing w:line="30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r>
              <w:rPr>
                <w:kern w:val="0"/>
                <w:szCs w:val="21"/>
              </w:rPr>
              <w:br w:type="textWrapping"/>
            </w: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94" w:type="pct"/>
            <w:noWrap/>
            <w:vAlign w:val="center"/>
          </w:tcPr>
          <w:p>
            <w:pPr>
              <w:widowControl/>
              <w:spacing w:line="270" w:lineRule="exact"/>
              <w:jc w:val="center"/>
              <w:rPr>
                <w:kern w:val="0"/>
                <w:szCs w:val="21"/>
              </w:rPr>
            </w:pPr>
            <w:r>
              <w:rPr>
                <w:rFonts w:hint="eastAsia"/>
                <w:kern w:val="0"/>
                <w:szCs w:val="21"/>
              </w:rPr>
              <w:t>2</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8" w:hRule="atLeast"/>
          <w:jc w:val="center"/>
        </w:trPr>
        <w:tc>
          <w:tcPr>
            <w:tcW w:w="385" w:type="pct"/>
            <w:vMerge w:val="restart"/>
            <w:shd w:val="clear" w:color="000000" w:fill="FFFFFF"/>
            <w:noWrap/>
            <w:textDirection w:val="tbRlV"/>
            <w:vAlign w:val="center"/>
          </w:tcPr>
          <w:p>
            <w:pPr>
              <w:widowControl/>
              <w:spacing w:line="30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1" w:type="pct"/>
            <w:vMerge w:val="restart"/>
            <w:shd w:val="clear" w:color="000000" w:fill="FFFFFF"/>
            <w:vAlign w:val="center"/>
          </w:tcPr>
          <w:p>
            <w:pPr>
              <w:widowControl/>
              <w:spacing w:line="300" w:lineRule="exact"/>
              <w:jc w:val="center"/>
              <w:rPr>
                <w:kern w:val="0"/>
                <w:szCs w:val="21"/>
              </w:rPr>
            </w:pPr>
            <w:r>
              <w:rPr>
                <w:rFonts w:hint="eastAsia"/>
                <w:kern w:val="0"/>
                <w:szCs w:val="21"/>
              </w:rPr>
              <w:t>项目</w:t>
            </w:r>
            <w:r>
              <w:rPr>
                <w:kern w:val="0"/>
                <w:szCs w:val="21"/>
              </w:rPr>
              <w:br w:type="textWrapping"/>
            </w:r>
            <w:r>
              <w:rPr>
                <w:rFonts w:hint="eastAsia"/>
                <w:kern w:val="0"/>
                <w:szCs w:val="21"/>
              </w:rPr>
              <w:t>产出（</w:t>
            </w:r>
            <w:r>
              <w:rPr>
                <w:kern w:val="0"/>
                <w:szCs w:val="21"/>
              </w:rPr>
              <w:t>20</w:t>
            </w:r>
            <w:r>
              <w:rPr>
                <w:rFonts w:hint="eastAsia"/>
                <w:kern w:val="0"/>
                <w:szCs w:val="21"/>
              </w:rPr>
              <w:t>分）</w:t>
            </w:r>
          </w:p>
        </w:tc>
        <w:tc>
          <w:tcPr>
            <w:tcW w:w="467" w:type="pct"/>
            <w:shd w:val="clear" w:color="000000" w:fill="FFFFFF"/>
            <w:vAlign w:val="center"/>
          </w:tcPr>
          <w:p>
            <w:pPr>
              <w:widowControl/>
              <w:spacing w:line="30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51" w:type="pct"/>
            <w:shd w:val="clear" w:color="000000" w:fill="FFFFFF"/>
            <w:vAlign w:val="center"/>
          </w:tcPr>
          <w:p>
            <w:pPr>
              <w:widowControl/>
              <w:spacing w:line="300" w:lineRule="exact"/>
              <w:jc w:val="left"/>
              <w:rPr>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r>
              <w:rPr>
                <w:spacing w:val="-14"/>
                <w:kern w:val="0"/>
                <w:szCs w:val="21"/>
              </w:rPr>
              <w:br w:type="textWrapping"/>
            </w:r>
            <w:r>
              <w:rPr>
                <w:rFonts w:hint="eastAsia"/>
                <w:spacing w:val="-14"/>
                <w:kern w:val="0"/>
                <w:szCs w:val="21"/>
              </w:rPr>
              <w:t>实际产出数：一定时期（本年度或项目期）内项目实际产出的产品或提供的服务数量。</w:t>
            </w:r>
            <w:r>
              <w:rPr>
                <w:kern w:val="0"/>
                <w:szCs w:val="21"/>
              </w:rPr>
              <w:br w:type="textWrapping"/>
            </w:r>
            <w:r>
              <w:rPr>
                <w:rFonts w:hint="eastAsia"/>
                <w:kern w:val="0"/>
                <w:szCs w:val="21"/>
              </w:rPr>
              <w:t>计划产出数：项目绩效目标确定的在一定时期（本年度或项目期）内计划产出的产品或提供的服务数量。</w:t>
            </w:r>
          </w:p>
        </w:tc>
        <w:tc>
          <w:tcPr>
            <w:tcW w:w="394" w:type="pct"/>
            <w:noWrap/>
            <w:vAlign w:val="center"/>
          </w:tcPr>
          <w:p>
            <w:pPr>
              <w:widowControl/>
              <w:spacing w:line="270" w:lineRule="exact"/>
              <w:jc w:val="center"/>
              <w:rPr>
                <w:rFonts w:hint="eastAsia" w:eastAsia="宋体"/>
                <w:kern w:val="0"/>
                <w:szCs w:val="21"/>
                <w:lang w:val="en-US" w:eastAsia="zh-CN"/>
              </w:rPr>
            </w:pPr>
            <w:r>
              <w:rPr>
                <w:rFonts w:hint="eastAsia"/>
                <w:kern w:val="0"/>
                <w:szCs w:val="21"/>
                <w:lang w:val="en-US" w:eastAsia="zh-CN"/>
              </w:rPr>
              <w:t>3</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8" w:hRule="atLeast"/>
          <w:jc w:val="center"/>
        </w:trPr>
        <w:tc>
          <w:tcPr>
            <w:tcW w:w="385"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51" w:type="pct"/>
            <w:shd w:val="clear" w:color="000000" w:fill="FFFFFF"/>
            <w:vAlign w:val="center"/>
          </w:tcPr>
          <w:p>
            <w:pPr>
              <w:widowControl/>
              <w:spacing w:line="30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r>
              <w:rPr>
                <w:kern w:val="0"/>
                <w:szCs w:val="21"/>
              </w:rPr>
              <w:br w:type="textWrapping"/>
            </w:r>
            <w:r>
              <w:rPr>
                <w:rFonts w:hint="eastAsia"/>
                <w:kern w:val="0"/>
                <w:szCs w:val="21"/>
              </w:rPr>
              <w:t>实际完成时间：项目实施单位完成该项目实际所耗用的时间。</w:t>
            </w:r>
            <w:r>
              <w:rPr>
                <w:kern w:val="0"/>
                <w:szCs w:val="21"/>
              </w:rPr>
              <w:br w:type="textWrapping"/>
            </w:r>
            <w:r>
              <w:rPr>
                <w:rFonts w:hint="eastAsia"/>
                <w:kern w:val="0"/>
                <w:szCs w:val="21"/>
              </w:rPr>
              <w:t>计划完成时间：按照项目实施计划或相关规定完成该项目所需的时间。</w:t>
            </w:r>
          </w:p>
        </w:tc>
        <w:tc>
          <w:tcPr>
            <w:tcW w:w="394" w:type="pct"/>
            <w:noWrap/>
            <w:vAlign w:val="center"/>
          </w:tcPr>
          <w:p>
            <w:pPr>
              <w:widowControl/>
              <w:spacing w:line="270" w:lineRule="exact"/>
              <w:jc w:val="center"/>
              <w:rPr>
                <w:rFonts w:hint="eastAsia" w:eastAsia="宋体"/>
                <w:kern w:val="0"/>
                <w:szCs w:val="21"/>
                <w:lang w:val="en-US" w:eastAsia="zh-CN"/>
              </w:rPr>
            </w:pPr>
            <w:r>
              <w:rPr>
                <w:rFonts w:hint="eastAsia"/>
                <w:kern w:val="0"/>
                <w:szCs w:val="21"/>
                <w:lang w:val="en-US" w:eastAsia="zh-CN"/>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6" w:hRule="atLeast"/>
          <w:jc w:val="center"/>
        </w:trPr>
        <w:tc>
          <w:tcPr>
            <w:tcW w:w="385"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51" w:type="pct"/>
            <w:shd w:val="clear" w:color="000000" w:fill="FFFFFF"/>
            <w:vAlign w:val="center"/>
          </w:tcPr>
          <w:p>
            <w:pPr>
              <w:widowControl/>
              <w:spacing w:line="30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r>
              <w:rPr>
                <w:kern w:val="0"/>
                <w:szCs w:val="21"/>
              </w:rPr>
              <w:br w:type="textWrapping"/>
            </w:r>
            <w:r>
              <w:rPr>
                <w:rFonts w:hint="eastAsia"/>
                <w:kern w:val="0"/>
                <w:szCs w:val="21"/>
              </w:rPr>
              <w:t>质量达标产出数：一定时期（本年度或项目期）内实际达到既定质量标准的产品或服务数量。</w:t>
            </w:r>
            <w:r>
              <w:rPr>
                <w:kern w:val="0"/>
                <w:szCs w:val="21"/>
              </w:rPr>
              <w:br w:type="textWrapping"/>
            </w:r>
            <w:r>
              <w:rPr>
                <w:rFonts w:hint="eastAsia"/>
                <w:spacing w:val="-10"/>
                <w:kern w:val="0"/>
                <w:szCs w:val="21"/>
              </w:rPr>
              <w:t>既定质量标准是指项目实施单位设立绩效目标时依据计划标准、行业标准、历史标准或其他标准而设定的绩效指标值。</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75" w:hRule="atLeast"/>
          <w:jc w:val="center"/>
        </w:trPr>
        <w:tc>
          <w:tcPr>
            <w:tcW w:w="385" w:type="pct"/>
            <w:vMerge w:val="continue"/>
            <w:shd w:val="clear" w:color="auto" w:fill="auto"/>
            <w:vAlign w:val="center"/>
          </w:tcPr>
          <w:p>
            <w:pPr>
              <w:widowControl/>
              <w:spacing w:line="300" w:lineRule="exact"/>
              <w:jc w:val="left"/>
              <w:rPr>
                <w:kern w:val="0"/>
                <w:szCs w:val="21"/>
              </w:rPr>
            </w:pPr>
          </w:p>
        </w:tc>
        <w:tc>
          <w:tcPr>
            <w:tcW w:w="381" w:type="pct"/>
            <w:vMerge w:val="continue"/>
            <w:shd w:val="clear" w:color="auto" w:fill="auto"/>
            <w:vAlign w:val="center"/>
          </w:tcPr>
          <w:p>
            <w:pPr>
              <w:widowControl/>
              <w:spacing w:line="300" w:lineRule="exact"/>
              <w:jc w:val="left"/>
              <w:rPr>
                <w:kern w:val="0"/>
                <w:szCs w:val="21"/>
              </w:rPr>
            </w:pPr>
          </w:p>
        </w:tc>
        <w:tc>
          <w:tcPr>
            <w:tcW w:w="467" w:type="pct"/>
            <w:shd w:val="clear" w:color="000000" w:fill="FFFFFF"/>
            <w:vAlign w:val="center"/>
          </w:tcPr>
          <w:p>
            <w:pPr>
              <w:widowControl/>
              <w:spacing w:line="30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0" w:type="pct"/>
            <w:shd w:val="clear" w:color="000000" w:fill="FFFFFF"/>
            <w:vAlign w:val="center"/>
          </w:tcPr>
          <w:p>
            <w:pPr>
              <w:widowControl/>
              <w:spacing w:line="30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51" w:type="pct"/>
            <w:shd w:val="clear" w:color="000000" w:fill="FFFFFF"/>
            <w:vAlign w:val="center"/>
          </w:tcPr>
          <w:p>
            <w:pPr>
              <w:widowControl/>
              <w:spacing w:line="30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r>
              <w:rPr>
                <w:kern w:val="0"/>
                <w:szCs w:val="21"/>
              </w:rPr>
              <w:br w:type="textWrapping"/>
            </w:r>
            <w:r>
              <w:rPr>
                <w:rFonts w:hint="eastAsia"/>
                <w:spacing w:val="-10"/>
                <w:kern w:val="0"/>
                <w:szCs w:val="21"/>
              </w:rPr>
              <w:t>实际成本：项目实施单位如期、保质、保量完成既定工作目标实际所耗费的支出。</w:t>
            </w:r>
            <w:r>
              <w:rPr>
                <w:spacing w:val="-10"/>
                <w:kern w:val="0"/>
                <w:szCs w:val="21"/>
              </w:rPr>
              <w:br w:type="textWrapping"/>
            </w:r>
            <w:r>
              <w:rPr>
                <w:rFonts w:hint="eastAsia"/>
                <w:spacing w:val="-10"/>
                <w:kern w:val="0"/>
                <w:szCs w:val="21"/>
              </w:rPr>
              <w:t>计划成本：项目实施单位为完成工作目标计划安排的支出，一般以项目预算为参考。</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5" w:type="pct"/>
            <w:vMerge w:val="restart"/>
            <w:shd w:val="clear" w:color="000000" w:fill="FFFFFF"/>
            <w:noWrap/>
            <w:textDirection w:val="tbRlV"/>
            <w:vAlign w:val="center"/>
          </w:tcPr>
          <w:p>
            <w:pPr>
              <w:widowControl/>
              <w:spacing w:line="27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1" w:type="pct"/>
            <w:vMerge w:val="restart"/>
            <w:shd w:val="clear" w:color="000000" w:fill="FFFFFF"/>
            <w:vAlign w:val="center"/>
          </w:tcPr>
          <w:p>
            <w:pPr>
              <w:widowControl/>
              <w:spacing w:line="270" w:lineRule="exact"/>
              <w:jc w:val="center"/>
              <w:rPr>
                <w:rFonts w:hint="eastAsia"/>
                <w:kern w:val="0"/>
                <w:szCs w:val="21"/>
              </w:rPr>
            </w:pPr>
            <w:r>
              <w:rPr>
                <w:rFonts w:hint="eastAsia"/>
                <w:kern w:val="0"/>
                <w:szCs w:val="21"/>
              </w:rPr>
              <w:t>项目</w:t>
            </w:r>
          </w:p>
          <w:p>
            <w:pPr>
              <w:widowControl/>
              <w:spacing w:line="270" w:lineRule="exact"/>
              <w:jc w:val="center"/>
              <w:rPr>
                <w:rFonts w:hint="eastAsia"/>
                <w:kern w:val="0"/>
                <w:szCs w:val="21"/>
              </w:rPr>
            </w:pPr>
          </w:p>
          <w:p>
            <w:pPr>
              <w:widowControl/>
              <w:spacing w:line="270" w:lineRule="exact"/>
              <w:jc w:val="center"/>
              <w:rPr>
                <w:kern w:val="0"/>
                <w:szCs w:val="21"/>
              </w:rPr>
            </w:pPr>
            <w:r>
              <w:rPr>
                <w:kern w:val="0"/>
                <w:szCs w:val="21"/>
              </w:rPr>
              <w:br w:type="textWrapping"/>
            </w:r>
            <w:r>
              <w:rPr>
                <w:rFonts w:hint="eastAsia"/>
                <w:kern w:val="0"/>
                <w:szCs w:val="21"/>
              </w:rPr>
              <w:t>效益（</w:t>
            </w:r>
            <w:r>
              <w:rPr>
                <w:kern w:val="0"/>
                <w:szCs w:val="21"/>
              </w:rPr>
              <w:t>30</w:t>
            </w:r>
            <w:r>
              <w:rPr>
                <w:rFonts w:hint="eastAsia"/>
                <w:kern w:val="0"/>
                <w:szCs w:val="21"/>
              </w:rPr>
              <w:t>分）</w:t>
            </w:r>
          </w:p>
        </w:tc>
        <w:tc>
          <w:tcPr>
            <w:tcW w:w="467" w:type="pct"/>
            <w:shd w:val="clear" w:color="000000" w:fill="FFFFFF"/>
            <w:vAlign w:val="center"/>
          </w:tcPr>
          <w:p>
            <w:pPr>
              <w:widowControl/>
              <w:spacing w:line="27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项目实施对经济发展所带来的直接或间接影响情况。</w:t>
            </w:r>
          </w:p>
        </w:tc>
        <w:tc>
          <w:tcPr>
            <w:tcW w:w="1951" w:type="pct"/>
            <w:vMerge w:val="restart"/>
            <w:shd w:val="clear" w:color="000000" w:fill="FFFFFF"/>
            <w:vAlign w:val="center"/>
          </w:tcPr>
          <w:p>
            <w:pPr>
              <w:widowControl/>
              <w:spacing w:line="27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p>
            <w:pPr>
              <w:widowControl/>
              <w:spacing w:line="270" w:lineRule="exact"/>
              <w:jc w:val="left"/>
              <w:rPr>
                <w:kern w:val="0"/>
                <w:szCs w:val="21"/>
              </w:rPr>
            </w:pPr>
          </w:p>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70" w:hRule="atLeast"/>
          <w:jc w:val="center"/>
        </w:trPr>
        <w:tc>
          <w:tcPr>
            <w:tcW w:w="385"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项目实施对社会发展所带来的直接或间接影响情况。</w:t>
            </w:r>
          </w:p>
        </w:tc>
        <w:tc>
          <w:tcPr>
            <w:tcW w:w="1951"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rFonts w:hint="eastAsia" w:eastAsia="宋体"/>
                <w:kern w:val="0"/>
                <w:szCs w:val="21"/>
                <w:lang w:val="en-US" w:eastAsia="zh-CN"/>
              </w:rPr>
            </w:pPr>
            <w:r>
              <w:rPr>
                <w:rFonts w:hint="eastAsia"/>
                <w:kern w:val="0"/>
                <w:szCs w:val="21"/>
                <w:lang w:val="en-US" w:eastAsia="zh-CN"/>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5"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spacing w:val="-10"/>
                <w:kern w:val="0"/>
                <w:szCs w:val="21"/>
              </w:rPr>
            </w:pPr>
            <w:r>
              <w:rPr>
                <w:rFonts w:hint="eastAsia"/>
                <w:spacing w:val="-10"/>
                <w:kern w:val="0"/>
                <w:szCs w:val="21"/>
              </w:rPr>
              <w:t>项目实施对生态环境所带来的直接或间接影响情况。</w:t>
            </w:r>
          </w:p>
        </w:tc>
        <w:tc>
          <w:tcPr>
            <w:tcW w:w="1951"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rFonts w:hint="eastAsia" w:eastAsia="宋体"/>
                <w:kern w:val="0"/>
                <w:szCs w:val="21"/>
                <w:lang w:val="en-US" w:eastAsia="zh-CN"/>
              </w:rPr>
            </w:pPr>
            <w:r>
              <w:rPr>
                <w:rFonts w:hint="eastAsia"/>
                <w:kern w:val="0"/>
                <w:szCs w:val="21"/>
                <w:lang w:val="en-US" w:eastAsia="zh-CN"/>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85"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kern w:val="0"/>
                <w:szCs w:val="21"/>
              </w:rPr>
            </w:pPr>
            <w:r>
              <w:rPr>
                <w:rFonts w:hint="eastAsia"/>
                <w:kern w:val="0"/>
                <w:szCs w:val="21"/>
              </w:rPr>
              <w:t>可持续影响生态效益（</w:t>
            </w:r>
            <w:r>
              <w:rPr>
                <w:kern w:val="0"/>
                <w:szCs w:val="21"/>
              </w:rPr>
              <w:t>5</w:t>
            </w:r>
            <w:r>
              <w:rPr>
                <w:rFonts w:hint="eastAsia"/>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项目后续运行及成效发挥的可持续影响情况。</w:t>
            </w:r>
          </w:p>
        </w:tc>
        <w:tc>
          <w:tcPr>
            <w:tcW w:w="1951" w:type="pct"/>
            <w:vMerge w:val="continue"/>
            <w:vAlign w:val="center"/>
          </w:tcPr>
          <w:p>
            <w:pPr>
              <w:widowControl/>
              <w:spacing w:line="270" w:lineRule="exact"/>
              <w:jc w:val="left"/>
              <w:rPr>
                <w:kern w:val="0"/>
                <w:szCs w:val="21"/>
              </w:rPr>
            </w:pPr>
          </w:p>
        </w:tc>
        <w:tc>
          <w:tcPr>
            <w:tcW w:w="394" w:type="pct"/>
            <w:noWrap/>
            <w:vAlign w:val="center"/>
          </w:tcPr>
          <w:p>
            <w:pPr>
              <w:widowControl/>
              <w:spacing w:line="270" w:lineRule="exact"/>
              <w:jc w:val="center"/>
              <w:rPr>
                <w:kern w:val="0"/>
                <w:szCs w:val="21"/>
              </w:rPr>
            </w:pPr>
            <w:r>
              <w:rPr>
                <w:rFonts w:hint="eastAsia"/>
                <w:kern w:val="0"/>
                <w:szCs w:val="21"/>
              </w:rPr>
              <w:t>5</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385" w:type="pct"/>
            <w:vMerge w:val="continue"/>
            <w:shd w:val="clear" w:color="auto" w:fill="auto"/>
            <w:vAlign w:val="center"/>
          </w:tcPr>
          <w:p>
            <w:pPr>
              <w:widowControl/>
              <w:spacing w:line="270" w:lineRule="exact"/>
              <w:jc w:val="left"/>
              <w:rPr>
                <w:kern w:val="0"/>
                <w:szCs w:val="21"/>
              </w:rPr>
            </w:pPr>
          </w:p>
        </w:tc>
        <w:tc>
          <w:tcPr>
            <w:tcW w:w="381" w:type="pct"/>
            <w:vMerge w:val="continue"/>
            <w:shd w:val="clear" w:color="auto" w:fill="auto"/>
            <w:vAlign w:val="center"/>
          </w:tcPr>
          <w:p>
            <w:pPr>
              <w:widowControl/>
              <w:spacing w:line="270" w:lineRule="exact"/>
              <w:jc w:val="left"/>
              <w:rPr>
                <w:kern w:val="0"/>
                <w:szCs w:val="21"/>
              </w:rPr>
            </w:pPr>
          </w:p>
        </w:tc>
        <w:tc>
          <w:tcPr>
            <w:tcW w:w="467" w:type="pct"/>
            <w:shd w:val="clear" w:color="000000" w:fill="FFFFFF"/>
            <w:vAlign w:val="center"/>
          </w:tcPr>
          <w:p>
            <w:pPr>
              <w:widowControl/>
              <w:spacing w:line="27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0" w:type="pct"/>
            <w:shd w:val="clear" w:color="000000" w:fill="FFFFFF"/>
            <w:vAlign w:val="center"/>
          </w:tcPr>
          <w:p>
            <w:pPr>
              <w:widowControl/>
              <w:spacing w:line="270" w:lineRule="exact"/>
              <w:jc w:val="left"/>
              <w:rPr>
                <w:kern w:val="0"/>
                <w:szCs w:val="21"/>
              </w:rPr>
            </w:pPr>
            <w:r>
              <w:rPr>
                <w:rFonts w:hint="eastAsia"/>
                <w:kern w:val="0"/>
                <w:szCs w:val="21"/>
              </w:rPr>
              <w:t>社会公众或服务对象对项目实施效果的满意程度。</w:t>
            </w:r>
          </w:p>
        </w:tc>
        <w:tc>
          <w:tcPr>
            <w:tcW w:w="1951" w:type="pct"/>
            <w:shd w:val="clear" w:color="000000" w:fill="FFFFFF"/>
            <w:vAlign w:val="center"/>
          </w:tcPr>
          <w:p>
            <w:pPr>
              <w:widowControl/>
              <w:spacing w:line="27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94" w:type="pct"/>
            <w:noWrap/>
            <w:vAlign w:val="center"/>
          </w:tcPr>
          <w:p>
            <w:pPr>
              <w:widowControl/>
              <w:spacing w:line="270" w:lineRule="exact"/>
              <w:jc w:val="center"/>
              <w:rPr>
                <w:rFonts w:hint="default" w:eastAsia="宋体"/>
                <w:kern w:val="0"/>
                <w:szCs w:val="21"/>
                <w:lang w:val="en-US" w:eastAsia="zh-CN"/>
              </w:rPr>
            </w:pPr>
            <w:r>
              <w:rPr>
                <w:rFonts w:hint="eastAsia"/>
                <w:kern w:val="0"/>
                <w:szCs w:val="21"/>
                <w:lang w:val="en-US" w:eastAsia="zh-CN"/>
              </w:rPr>
              <w:t>10</w:t>
            </w:r>
          </w:p>
        </w:tc>
        <w:tc>
          <w:tcPr>
            <w:tcW w:w="490" w:type="pct"/>
            <w:noWrap/>
            <w:vAlign w:val="center"/>
          </w:tcPr>
          <w:p>
            <w:pPr>
              <w:widowControl/>
              <w:spacing w:line="27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3" w:hRule="atLeast"/>
          <w:jc w:val="center"/>
        </w:trPr>
        <w:tc>
          <w:tcPr>
            <w:tcW w:w="4115" w:type="pct"/>
            <w:gridSpan w:val="5"/>
            <w:shd w:val="clear" w:color="000000" w:fill="FFFFFF"/>
            <w:vAlign w:val="center"/>
          </w:tcPr>
          <w:p>
            <w:pPr>
              <w:widowControl/>
              <w:spacing w:line="270" w:lineRule="exact"/>
              <w:jc w:val="center"/>
              <w:rPr>
                <w:kern w:val="0"/>
                <w:szCs w:val="21"/>
              </w:rPr>
            </w:pPr>
            <w:r>
              <w:rPr>
                <w:rFonts w:hint="eastAsia"/>
                <w:kern w:val="0"/>
                <w:szCs w:val="21"/>
              </w:rPr>
              <w:t>合计</w:t>
            </w:r>
          </w:p>
        </w:tc>
        <w:tc>
          <w:tcPr>
            <w:tcW w:w="394" w:type="pct"/>
            <w:noWrap/>
            <w:vAlign w:val="center"/>
          </w:tcPr>
          <w:p>
            <w:pPr>
              <w:widowControl/>
              <w:spacing w:line="270" w:lineRule="exact"/>
              <w:jc w:val="center"/>
              <w:rPr>
                <w:rFonts w:hint="eastAsia" w:eastAsia="宋体"/>
                <w:kern w:val="0"/>
                <w:szCs w:val="21"/>
                <w:lang w:val="en-US" w:eastAsia="zh-CN"/>
              </w:rPr>
            </w:pPr>
            <w:r>
              <w:rPr>
                <w:rFonts w:hint="eastAsia"/>
                <w:kern w:val="0"/>
                <w:szCs w:val="21"/>
              </w:rPr>
              <w:t>9</w:t>
            </w:r>
            <w:r>
              <w:rPr>
                <w:rFonts w:hint="eastAsia"/>
                <w:kern w:val="0"/>
                <w:szCs w:val="21"/>
                <w:lang w:val="en-US" w:eastAsia="zh-CN"/>
              </w:rPr>
              <w:t>5</w:t>
            </w:r>
          </w:p>
        </w:tc>
        <w:tc>
          <w:tcPr>
            <w:tcW w:w="490" w:type="pct"/>
            <w:noWrap/>
            <w:vAlign w:val="center"/>
          </w:tcPr>
          <w:p>
            <w:pPr>
              <w:widowControl/>
              <w:spacing w:line="270" w:lineRule="exact"/>
              <w:jc w:val="left"/>
              <w:rPr>
                <w:kern w:val="0"/>
                <w:szCs w:val="21"/>
              </w:rPr>
            </w:pPr>
          </w:p>
        </w:tc>
      </w:tr>
    </w:tbl>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pStyle w:val="27"/>
      </w:pPr>
    </w:p>
    <w:p>
      <w:pPr>
        <w:spacing w:line="620" w:lineRule="exact"/>
        <w:jc w:val="left"/>
        <w:rPr>
          <w:rFonts w:eastAsia="方正黑体简体"/>
        </w:rPr>
      </w:pPr>
    </w:p>
    <w:p>
      <w:pPr>
        <w:spacing w:line="620" w:lineRule="exact"/>
        <w:jc w:val="left"/>
        <w:rPr>
          <w:rFonts w:eastAsia="方正黑体简体"/>
        </w:rPr>
      </w:pPr>
    </w:p>
    <w:p>
      <w:pPr>
        <w:spacing w:line="620" w:lineRule="exact"/>
        <w:jc w:val="left"/>
        <w:rPr>
          <w:rFonts w:eastAsia="方正黑体简体"/>
        </w:rPr>
      </w:pPr>
    </w:p>
    <w:p>
      <w:pPr>
        <w:spacing w:line="620" w:lineRule="exact"/>
        <w:jc w:val="left"/>
        <w:rPr>
          <w:rFonts w:eastAsia="方正黑体简体"/>
        </w:rPr>
      </w:pPr>
    </w:p>
    <w:p>
      <w:pPr>
        <w:spacing w:line="620" w:lineRule="exact"/>
        <w:jc w:val="left"/>
        <w:rPr>
          <w:rFonts w:eastAsia="方正黑体简体"/>
        </w:rPr>
      </w:pPr>
    </w:p>
    <w:p>
      <w:pPr>
        <w:spacing w:line="620" w:lineRule="exact"/>
        <w:jc w:val="left"/>
        <w:rPr>
          <w:rFonts w:eastAsia="方正黑体简体"/>
        </w:rPr>
      </w:pPr>
      <w:r>
        <w:rPr>
          <w:rFonts w:eastAsia="方正黑体简体"/>
        </w:rPr>
        <w:t>附件</w:t>
      </w:r>
      <w:r>
        <w:rPr>
          <w:rFonts w:hint="eastAsia" w:eastAsia="方正黑体简体"/>
        </w:rPr>
        <w:t>2-2</w:t>
      </w:r>
    </w:p>
    <w:p>
      <w:pPr>
        <w:spacing w:line="620" w:lineRule="exact"/>
        <w:jc w:val="center"/>
        <w:rPr>
          <w:rFonts w:eastAsia="方正小标宋简体"/>
          <w:color w:val="000000"/>
          <w:spacing w:val="-12"/>
          <w:kern w:val="0"/>
          <w:sz w:val="40"/>
          <w:szCs w:val="40"/>
        </w:rPr>
      </w:pPr>
      <w:r>
        <w:rPr>
          <w:rFonts w:eastAsia="方正小标宋简体"/>
          <w:color w:val="000000"/>
          <w:spacing w:val="-12"/>
          <w:kern w:val="0"/>
          <w:sz w:val="40"/>
          <w:szCs w:val="40"/>
        </w:rPr>
        <w:t>20</w:t>
      </w:r>
      <w:r>
        <w:rPr>
          <w:rFonts w:hint="eastAsia" w:eastAsia="方正小标宋简体"/>
          <w:color w:val="000000"/>
          <w:spacing w:val="-12"/>
          <w:kern w:val="0"/>
          <w:sz w:val="40"/>
          <w:szCs w:val="40"/>
        </w:rPr>
        <w:t>2</w:t>
      </w:r>
      <w:r>
        <w:rPr>
          <w:rFonts w:hint="eastAsia" w:eastAsia="方正小标宋简体"/>
          <w:color w:val="000000"/>
          <w:spacing w:val="-12"/>
          <w:kern w:val="0"/>
          <w:sz w:val="40"/>
          <w:szCs w:val="40"/>
          <w:lang w:val="en-US" w:eastAsia="zh-CN"/>
        </w:rPr>
        <w:t>2</w:t>
      </w:r>
      <w:r>
        <w:rPr>
          <w:rFonts w:eastAsia="方正小标宋简体"/>
          <w:color w:val="000000"/>
          <w:spacing w:val="-12"/>
          <w:kern w:val="0"/>
          <w:sz w:val="40"/>
          <w:szCs w:val="40"/>
        </w:rPr>
        <w:t>年度</w:t>
      </w:r>
      <w:r>
        <w:rPr>
          <w:rFonts w:hint="eastAsia" w:eastAsia="方正小标宋简体"/>
          <w:color w:val="000000"/>
          <w:spacing w:val="-12"/>
          <w:kern w:val="0"/>
          <w:sz w:val="40"/>
          <w:szCs w:val="40"/>
        </w:rPr>
        <w:t>乐至县</w:t>
      </w:r>
      <w:r>
        <w:rPr>
          <w:rFonts w:eastAsia="方正小标宋简体"/>
          <w:color w:val="000000"/>
          <w:spacing w:val="-12"/>
          <w:kern w:val="0"/>
          <w:sz w:val="40"/>
          <w:szCs w:val="40"/>
        </w:rPr>
        <w:t>项目支出绩效目标完成情况表</w:t>
      </w:r>
    </w:p>
    <w:tbl>
      <w:tblPr>
        <w:tblStyle w:val="16"/>
        <w:tblW w:w="5502"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958"/>
        <w:gridCol w:w="344"/>
        <w:gridCol w:w="1249"/>
        <w:gridCol w:w="706"/>
        <w:gridCol w:w="501"/>
        <w:gridCol w:w="1881"/>
        <w:gridCol w:w="1127"/>
        <w:gridCol w:w="54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pct"/>
            <w:noWrap/>
            <w:vAlign w:val="center"/>
          </w:tcPr>
          <w:p>
            <w:pPr>
              <w:widowControl/>
              <w:spacing w:line="360" w:lineRule="exact"/>
              <w:jc w:val="center"/>
              <w:rPr>
                <w:kern w:val="0"/>
                <w:szCs w:val="21"/>
              </w:rPr>
            </w:pPr>
            <w:r>
              <w:rPr>
                <w:kern w:val="0"/>
                <w:szCs w:val="21"/>
              </w:rPr>
              <w:t>项目</w:t>
            </w:r>
          </w:p>
          <w:p>
            <w:pPr>
              <w:widowControl/>
              <w:spacing w:line="360" w:lineRule="exact"/>
              <w:jc w:val="center"/>
              <w:rPr>
                <w:kern w:val="0"/>
                <w:szCs w:val="21"/>
              </w:rPr>
            </w:pPr>
            <w:r>
              <w:rPr>
                <w:kern w:val="0"/>
                <w:szCs w:val="21"/>
              </w:rPr>
              <w:t>名称</w:t>
            </w:r>
          </w:p>
        </w:tc>
        <w:tc>
          <w:tcPr>
            <w:tcW w:w="4366" w:type="pct"/>
            <w:gridSpan w:val="9"/>
            <w:noWrap/>
            <w:vAlign w:val="center"/>
          </w:tcPr>
          <w:p>
            <w:pPr>
              <w:widowControl/>
              <w:spacing w:line="360" w:lineRule="exact"/>
              <w:ind w:firstLine="105" w:firstLineChars="50"/>
              <w:rPr>
                <w:kern w:val="0"/>
                <w:szCs w:val="21"/>
              </w:rPr>
            </w:pPr>
            <w:r>
              <w:rPr>
                <w:rFonts w:hint="eastAsia"/>
                <w:kern w:val="0"/>
                <w:szCs w:val="21"/>
              </w:rPr>
              <w:t>县投资建设项目服务办工作经费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633" w:type="pct"/>
            <w:vMerge w:val="restart"/>
            <w:noWrap/>
            <w:vAlign w:val="center"/>
          </w:tcPr>
          <w:p>
            <w:pPr>
              <w:widowControl/>
              <w:spacing w:line="360" w:lineRule="exact"/>
              <w:ind w:left="195" w:leftChars="-177" w:hanging="567" w:hangingChars="270"/>
              <w:jc w:val="center"/>
              <w:rPr>
                <w:kern w:val="0"/>
                <w:szCs w:val="21"/>
              </w:rPr>
            </w:pPr>
            <w:r>
              <w:rPr>
                <w:kern w:val="0"/>
                <w:szCs w:val="21"/>
              </w:rPr>
              <w:t>项目</w:t>
            </w:r>
          </w:p>
          <w:p>
            <w:pPr>
              <w:widowControl/>
              <w:spacing w:line="360" w:lineRule="exact"/>
              <w:ind w:left="195" w:leftChars="-177" w:hanging="567" w:hangingChars="270"/>
              <w:jc w:val="center"/>
              <w:rPr>
                <w:kern w:val="0"/>
                <w:szCs w:val="21"/>
              </w:rPr>
            </w:pPr>
            <w:r>
              <w:rPr>
                <w:kern w:val="0"/>
                <w:szCs w:val="21"/>
              </w:rPr>
              <w:t>类型</w:t>
            </w:r>
          </w:p>
        </w:tc>
        <w:tc>
          <w:tcPr>
            <w:tcW w:w="678" w:type="pct"/>
            <w:gridSpan w:val="2"/>
            <w:noWrap/>
            <w:vAlign w:val="center"/>
          </w:tcPr>
          <w:p>
            <w:pPr>
              <w:widowControl/>
              <w:spacing w:line="360" w:lineRule="exact"/>
              <w:ind w:left="178" w:hanging="178" w:hangingChars="85"/>
              <w:jc w:val="center"/>
              <w:rPr>
                <w:kern w:val="0"/>
                <w:szCs w:val="21"/>
              </w:rPr>
            </w:pPr>
            <w:r>
              <w:rPr>
                <w:kern w:val="0"/>
                <w:szCs w:val="21"/>
              </w:rPr>
              <w:t>产业发展</w:t>
            </w:r>
          </w:p>
        </w:tc>
        <w:tc>
          <w:tcPr>
            <w:tcW w:w="650" w:type="pct"/>
            <w:noWrap/>
            <w:vAlign w:val="center"/>
          </w:tcPr>
          <w:p>
            <w:pPr>
              <w:widowControl/>
              <w:spacing w:line="360" w:lineRule="exact"/>
              <w:jc w:val="center"/>
              <w:rPr>
                <w:kern w:val="0"/>
                <w:szCs w:val="21"/>
              </w:rPr>
            </w:pPr>
            <w:r>
              <w:rPr>
                <w:kern w:val="0"/>
                <w:szCs w:val="21"/>
              </w:rPr>
              <w:t>民生</w:t>
            </w:r>
          </w:p>
          <w:p>
            <w:pPr>
              <w:widowControl/>
              <w:spacing w:line="360" w:lineRule="exact"/>
              <w:jc w:val="center"/>
              <w:rPr>
                <w:kern w:val="0"/>
                <w:szCs w:val="21"/>
              </w:rPr>
            </w:pPr>
            <w:r>
              <w:rPr>
                <w:kern w:val="0"/>
                <w:szCs w:val="21"/>
              </w:rPr>
              <w:t>保障</w:t>
            </w:r>
          </w:p>
        </w:tc>
        <w:tc>
          <w:tcPr>
            <w:tcW w:w="1608" w:type="pct"/>
            <w:gridSpan w:val="3"/>
            <w:noWrap/>
            <w:vAlign w:val="center"/>
          </w:tcPr>
          <w:p>
            <w:pPr>
              <w:widowControl/>
              <w:spacing w:line="360" w:lineRule="exact"/>
              <w:jc w:val="center"/>
              <w:rPr>
                <w:kern w:val="0"/>
                <w:szCs w:val="21"/>
              </w:rPr>
            </w:pPr>
            <w:r>
              <w:rPr>
                <w:kern w:val="0"/>
                <w:szCs w:val="21"/>
              </w:rPr>
              <w:t>基础设施</w:t>
            </w:r>
          </w:p>
        </w:tc>
        <w:tc>
          <w:tcPr>
            <w:tcW w:w="1428" w:type="pct"/>
            <w:gridSpan w:val="3"/>
            <w:noWrap/>
            <w:vAlign w:val="center"/>
          </w:tcPr>
          <w:p>
            <w:pPr>
              <w:widowControl/>
              <w:spacing w:line="360" w:lineRule="exact"/>
              <w:jc w:val="center"/>
              <w:rPr>
                <w:kern w:val="0"/>
                <w:szCs w:val="21"/>
              </w:rPr>
            </w:pPr>
            <w:r>
              <w:rPr>
                <w:kern w:val="0"/>
                <w:szCs w:val="21"/>
              </w:rPr>
              <w:t>行政运行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rFonts w:hint="eastAsia"/>
                <w:color w:val="000000"/>
                <w:kern w:val="0"/>
                <w:szCs w:val="21"/>
              </w:rPr>
              <w:t>□</w:t>
            </w:r>
          </w:p>
        </w:tc>
        <w:tc>
          <w:tcPr>
            <w:tcW w:w="650" w:type="pct"/>
            <w:noWrap/>
            <w:vAlign w:val="center"/>
          </w:tcPr>
          <w:p>
            <w:pPr>
              <w:spacing w:line="360" w:lineRule="exact"/>
              <w:jc w:val="center"/>
              <w:rPr>
                <w:kern w:val="0"/>
                <w:szCs w:val="21"/>
              </w:rPr>
            </w:pPr>
            <w:r>
              <w:rPr>
                <w:rFonts w:hint="eastAsia"/>
                <w:color w:val="000000"/>
                <w:kern w:val="0"/>
                <w:szCs w:val="21"/>
              </w:rPr>
              <w:t>□</w:t>
            </w:r>
          </w:p>
        </w:tc>
        <w:tc>
          <w:tcPr>
            <w:tcW w:w="1608" w:type="pct"/>
            <w:gridSpan w:val="3"/>
            <w:noWrap/>
            <w:vAlign w:val="center"/>
          </w:tcPr>
          <w:p>
            <w:pPr>
              <w:spacing w:line="360" w:lineRule="exact"/>
              <w:jc w:val="center"/>
              <w:rPr>
                <w:kern w:val="0"/>
                <w:szCs w:val="21"/>
              </w:rPr>
            </w:pPr>
            <w:r>
              <w:rPr>
                <w:rFonts w:hint="eastAsia"/>
                <w:color w:val="000000"/>
                <w:kern w:val="0"/>
                <w:szCs w:val="21"/>
              </w:rPr>
              <w:t>□</w:t>
            </w:r>
          </w:p>
        </w:tc>
        <w:tc>
          <w:tcPr>
            <w:tcW w:w="1428" w:type="pct"/>
            <w:gridSpan w:val="3"/>
            <w:noWrap/>
            <w:vAlign w:val="center"/>
          </w:tcPr>
          <w:p>
            <w:pPr>
              <w:spacing w:line="360" w:lineRule="exact"/>
              <w:jc w:val="center"/>
              <w:rPr>
                <w:rFonts w:hint="eastAsia" w:eastAsia="宋体"/>
                <w:kern w:val="0"/>
                <w:szCs w:val="21"/>
                <w:lang w:eastAsia="zh-CN"/>
              </w:rPr>
            </w:pPr>
            <w:r>
              <w:rPr>
                <w:rFonts w:hint="eastAsia"/>
                <w:color w:val="000000"/>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pct"/>
            <w:noWrap/>
            <w:vAlign w:val="center"/>
          </w:tcPr>
          <w:p>
            <w:pPr>
              <w:widowControl/>
              <w:spacing w:line="360" w:lineRule="exact"/>
              <w:jc w:val="center"/>
              <w:rPr>
                <w:kern w:val="0"/>
                <w:szCs w:val="21"/>
              </w:rPr>
            </w:pPr>
            <w:r>
              <w:rPr>
                <w:kern w:val="0"/>
                <w:szCs w:val="21"/>
              </w:rPr>
              <w:t>部门（单位）名称</w:t>
            </w:r>
          </w:p>
        </w:tc>
        <w:tc>
          <w:tcPr>
            <w:tcW w:w="2937" w:type="pct"/>
            <w:gridSpan w:val="6"/>
            <w:noWrap/>
            <w:vAlign w:val="center"/>
          </w:tcPr>
          <w:p>
            <w:pPr>
              <w:widowControl/>
              <w:spacing w:line="360" w:lineRule="exact"/>
              <w:jc w:val="center"/>
              <w:rPr>
                <w:kern w:val="0"/>
                <w:szCs w:val="21"/>
              </w:rPr>
            </w:pPr>
            <w:r>
              <w:rPr>
                <w:rFonts w:hint="eastAsia"/>
                <w:kern w:val="0"/>
                <w:szCs w:val="21"/>
              </w:rPr>
              <w:t>乐至县行政审批局</w:t>
            </w:r>
          </w:p>
        </w:tc>
        <w:tc>
          <w:tcPr>
            <w:tcW w:w="587" w:type="pct"/>
            <w:noWrap/>
            <w:vAlign w:val="center"/>
          </w:tcPr>
          <w:p>
            <w:pPr>
              <w:widowControl/>
              <w:spacing w:line="360" w:lineRule="exact"/>
              <w:jc w:val="center"/>
              <w:rPr>
                <w:kern w:val="0"/>
                <w:szCs w:val="21"/>
              </w:rPr>
            </w:pPr>
            <w:r>
              <w:rPr>
                <w:kern w:val="0"/>
                <w:szCs w:val="21"/>
              </w:rPr>
              <w:t>预算单位编码</w:t>
            </w:r>
          </w:p>
        </w:tc>
        <w:tc>
          <w:tcPr>
            <w:tcW w:w="841" w:type="pct"/>
            <w:gridSpan w:val="2"/>
            <w:noWrap/>
            <w:vAlign w:val="center"/>
          </w:tcPr>
          <w:p>
            <w:pPr>
              <w:widowControl/>
              <w:jc w:val="left"/>
              <w:rPr>
                <w:color w:val="000000"/>
                <w:kern w:val="0"/>
                <w:sz w:val="18"/>
                <w:szCs w:val="18"/>
              </w:rPr>
            </w:pPr>
            <w:r>
              <w:rPr>
                <w:rFonts w:hint="eastAsia"/>
                <w:color w:val="000000"/>
                <w:kern w:val="0"/>
                <w:sz w:val="18"/>
                <w:szCs w:val="18"/>
              </w:rPr>
              <w:t>134101001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633" w:type="pct"/>
            <w:vMerge w:val="restart"/>
            <w:noWrap/>
            <w:vAlign w:val="center"/>
          </w:tcPr>
          <w:p>
            <w:pPr>
              <w:widowControl/>
              <w:spacing w:line="360" w:lineRule="exact"/>
              <w:jc w:val="center"/>
              <w:rPr>
                <w:kern w:val="0"/>
                <w:szCs w:val="21"/>
              </w:rPr>
            </w:pPr>
            <w:r>
              <w:rPr>
                <w:kern w:val="0"/>
                <w:szCs w:val="21"/>
              </w:rPr>
              <w:t>预算执行情况</w:t>
            </w:r>
          </w:p>
        </w:tc>
        <w:tc>
          <w:tcPr>
            <w:tcW w:w="678" w:type="pct"/>
            <w:gridSpan w:val="2"/>
            <w:noWrap/>
            <w:vAlign w:val="center"/>
          </w:tcPr>
          <w:p>
            <w:pPr>
              <w:widowControl/>
              <w:spacing w:line="360" w:lineRule="exact"/>
              <w:jc w:val="center"/>
              <w:rPr>
                <w:kern w:val="0"/>
                <w:szCs w:val="21"/>
              </w:rPr>
            </w:pPr>
            <w:r>
              <w:rPr>
                <w:kern w:val="0"/>
                <w:szCs w:val="21"/>
              </w:rPr>
              <w:t>项目</w:t>
            </w:r>
          </w:p>
        </w:tc>
        <w:tc>
          <w:tcPr>
            <w:tcW w:w="650" w:type="pct"/>
            <w:noWrap/>
            <w:vAlign w:val="center"/>
          </w:tcPr>
          <w:p>
            <w:pPr>
              <w:widowControl/>
              <w:spacing w:line="360" w:lineRule="exact"/>
              <w:jc w:val="center"/>
            </w:pPr>
            <w:r>
              <w:t>预算额</w:t>
            </w:r>
          </w:p>
          <w:p>
            <w:pPr>
              <w:pStyle w:val="27"/>
            </w:pPr>
            <w:r>
              <w:rPr>
                <w:rFonts w:hint="eastAsia"/>
                <w:sz w:val="21"/>
                <w:szCs w:val="21"/>
              </w:rPr>
              <w:t>（</w:t>
            </w:r>
            <w:r>
              <w:rPr>
                <w:rFonts w:hint="eastAsia"/>
                <w:sz w:val="21"/>
                <w:szCs w:val="21"/>
                <w:lang w:val="en-US" w:eastAsia="zh-CN"/>
              </w:rPr>
              <w:t>万</w:t>
            </w:r>
            <w:r>
              <w:rPr>
                <w:rFonts w:hint="eastAsia"/>
                <w:sz w:val="21"/>
                <w:szCs w:val="21"/>
              </w:rPr>
              <w:t>元）</w:t>
            </w:r>
          </w:p>
        </w:tc>
        <w:tc>
          <w:tcPr>
            <w:tcW w:w="628" w:type="pct"/>
            <w:gridSpan w:val="2"/>
            <w:noWrap/>
            <w:vAlign w:val="center"/>
          </w:tcPr>
          <w:p>
            <w:pPr>
              <w:widowControl/>
              <w:spacing w:line="360" w:lineRule="exact"/>
              <w:jc w:val="center"/>
            </w:pPr>
            <w:r>
              <w:t>执行额</w:t>
            </w:r>
          </w:p>
          <w:p>
            <w:pPr>
              <w:pStyle w:val="27"/>
            </w:pPr>
            <w:r>
              <w:rPr>
                <w:rFonts w:hint="eastAsia"/>
                <w:sz w:val="21"/>
                <w:szCs w:val="21"/>
              </w:rPr>
              <w:t>（</w:t>
            </w:r>
            <w:r>
              <w:rPr>
                <w:rFonts w:hint="eastAsia"/>
                <w:sz w:val="21"/>
                <w:szCs w:val="21"/>
                <w:lang w:val="en-US" w:eastAsia="zh-CN"/>
              </w:rPr>
              <w:t>万</w:t>
            </w:r>
            <w:r>
              <w:rPr>
                <w:rFonts w:hint="eastAsia"/>
                <w:sz w:val="21"/>
                <w:szCs w:val="21"/>
              </w:rPr>
              <w:t>元）</w:t>
            </w:r>
          </w:p>
        </w:tc>
        <w:tc>
          <w:tcPr>
            <w:tcW w:w="979" w:type="pct"/>
            <w:noWrap/>
            <w:vAlign w:val="center"/>
          </w:tcPr>
          <w:p>
            <w:pPr>
              <w:widowControl/>
              <w:spacing w:line="360" w:lineRule="exact"/>
              <w:jc w:val="center"/>
            </w:pPr>
            <w:r>
              <w:t>当年结转结余额</w:t>
            </w:r>
          </w:p>
          <w:p>
            <w:pPr>
              <w:pStyle w:val="27"/>
            </w:pPr>
            <w:r>
              <w:rPr>
                <w:rFonts w:hint="eastAsia"/>
                <w:sz w:val="21"/>
                <w:szCs w:val="21"/>
              </w:rPr>
              <w:t>（</w:t>
            </w:r>
            <w:r>
              <w:rPr>
                <w:rFonts w:hint="eastAsia"/>
                <w:sz w:val="21"/>
                <w:szCs w:val="21"/>
                <w:lang w:val="en-US" w:eastAsia="zh-CN"/>
              </w:rPr>
              <w:t>万</w:t>
            </w:r>
            <w:r>
              <w:rPr>
                <w:rFonts w:hint="eastAsia"/>
                <w:sz w:val="21"/>
                <w:szCs w:val="21"/>
              </w:rPr>
              <w:t>元）</w:t>
            </w:r>
          </w:p>
        </w:tc>
        <w:tc>
          <w:tcPr>
            <w:tcW w:w="587" w:type="pct"/>
            <w:noWrap/>
            <w:vAlign w:val="center"/>
          </w:tcPr>
          <w:p>
            <w:pPr>
              <w:widowControl/>
              <w:spacing w:line="360" w:lineRule="exact"/>
              <w:jc w:val="center"/>
              <w:rPr>
                <w:kern w:val="0"/>
                <w:szCs w:val="21"/>
              </w:rPr>
            </w:pPr>
            <w:r>
              <w:rPr>
                <w:kern w:val="0"/>
                <w:szCs w:val="21"/>
              </w:rPr>
              <w:t>结转结余率%</w:t>
            </w:r>
          </w:p>
        </w:tc>
        <w:tc>
          <w:tcPr>
            <w:tcW w:w="841" w:type="pct"/>
            <w:gridSpan w:val="2"/>
            <w:noWrap/>
            <w:vAlign w:val="center"/>
          </w:tcPr>
          <w:p>
            <w:pPr>
              <w:widowControl/>
              <w:jc w:val="center"/>
              <w:rPr>
                <w:color w:val="000000"/>
                <w:kern w:val="0"/>
                <w:sz w:val="18"/>
                <w:szCs w:val="18"/>
              </w:rPr>
            </w:pPr>
            <w:r>
              <w:rPr>
                <w:color w:val="000000"/>
                <w:kern w:val="0"/>
                <w:sz w:val="18"/>
                <w:szCs w:val="18"/>
              </w:rPr>
              <w:t>结转结余变动率%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合   计</w:t>
            </w:r>
          </w:p>
        </w:tc>
        <w:tc>
          <w:tcPr>
            <w:tcW w:w="650" w:type="pct"/>
            <w:noWrap/>
            <w:vAlign w:val="center"/>
          </w:tcPr>
          <w:p>
            <w:pPr>
              <w:widowControl/>
              <w:spacing w:line="360" w:lineRule="exact"/>
              <w:jc w:val="center"/>
              <w:rPr>
                <w:rFonts w:hint="eastAsia" w:eastAsia="宋体"/>
                <w:kern w:val="0"/>
                <w:szCs w:val="21"/>
                <w:lang w:val="en-US" w:eastAsia="zh-CN"/>
              </w:rPr>
            </w:pPr>
            <w:r>
              <w:rPr>
                <w:rFonts w:hint="eastAsia"/>
                <w:kern w:val="0"/>
                <w:szCs w:val="21"/>
                <w:lang w:val="en-US" w:eastAsia="zh-CN"/>
              </w:rPr>
              <w:t>8</w:t>
            </w:r>
          </w:p>
        </w:tc>
        <w:tc>
          <w:tcPr>
            <w:tcW w:w="628" w:type="pct"/>
            <w:gridSpan w:val="2"/>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4.32</w:t>
            </w:r>
          </w:p>
        </w:tc>
        <w:tc>
          <w:tcPr>
            <w:tcW w:w="979" w:type="pct"/>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3.68</w:t>
            </w:r>
          </w:p>
        </w:tc>
        <w:tc>
          <w:tcPr>
            <w:tcW w:w="587" w:type="pct"/>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46%</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财政拨款</w:t>
            </w:r>
          </w:p>
        </w:tc>
        <w:tc>
          <w:tcPr>
            <w:tcW w:w="650" w:type="pct"/>
            <w:noWrap/>
            <w:vAlign w:val="center"/>
          </w:tcPr>
          <w:p>
            <w:pPr>
              <w:widowControl/>
              <w:spacing w:line="360" w:lineRule="exact"/>
              <w:jc w:val="center"/>
              <w:rPr>
                <w:rFonts w:hint="eastAsia" w:eastAsia="宋体"/>
                <w:kern w:val="0"/>
                <w:szCs w:val="21"/>
                <w:lang w:val="en-US" w:eastAsia="zh-CN"/>
              </w:rPr>
            </w:pPr>
            <w:r>
              <w:rPr>
                <w:rFonts w:hint="eastAsia"/>
                <w:kern w:val="0"/>
                <w:szCs w:val="21"/>
                <w:lang w:val="en-US" w:eastAsia="zh-CN"/>
              </w:rPr>
              <w:t>8</w:t>
            </w:r>
          </w:p>
        </w:tc>
        <w:tc>
          <w:tcPr>
            <w:tcW w:w="628" w:type="pct"/>
            <w:gridSpan w:val="2"/>
            <w:noWrap/>
            <w:vAlign w:val="center"/>
          </w:tcPr>
          <w:p>
            <w:pPr>
              <w:widowControl/>
              <w:spacing w:line="360" w:lineRule="exact"/>
              <w:jc w:val="center"/>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4.32</w:t>
            </w:r>
          </w:p>
        </w:tc>
        <w:tc>
          <w:tcPr>
            <w:tcW w:w="979" w:type="pct"/>
            <w:noWrap/>
            <w:vAlign w:val="center"/>
          </w:tcPr>
          <w:p>
            <w:pPr>
              <w:widowControl/>
              <w:spacing w:line="360" w:lineRule="exact"/>
              <w:jc w:val="center"/>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3.68</w:t>
            </w:r>
          </w:p>
        </w:tc>
        <w:tc>
          <w:tcPr>
            <w:tcW w:w="587" w:type="pct"/>
            <w:noWrap/>
            <w:vAlign w:val="center"/>
          </w:tcPr>
          <w:p>
            <w:pPr>
              <w:widowControl/>
              <w:spacing w:line="360" w:lineRule="exact"/>
              <w:jc w:val="center"/>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46%</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其他资金</w:t>
            </w:r>
          </w:p>
        </w:tc>
        <w:tc>
          <w:tcPr>
            <w:tcW w:w="650" w:type="pct"/>
            <w:noWrap/>
            <w:vAlign w:val="center"/>
          </w:tcPr>
          <w:p>
            <w:pPr>
              <w:widowControl/>
              <w:spacing w:line="360" w:lineRule="exact"/>
              <w:jc w:val="center"/>
              <w:rPr>
                <w:kern w:val="0"/>
                <w:szCs w:val="21"/>
              </w:rPr>
            </w:pPr>
            <w:r>
              <w:rPr>
                <w:rFonts w:hint="eastAsia"/>
                <w:kern w:val="0"/>
                <w:szCs w:val="21"/>
              </w:rPr>
              <w:t>0</w:t>
            </w:r>
          </w:p>
        </w:tc>
        <w:tc>
          <w:tcPr>
            <w:tcW w:w="628" w:type="pct"/>
            <w:gridSpan w:val="2"/>
            <w:noWrap/>
            <w:vAlign w:val="center"/>
          </w:tcPr>
          <w:p>
            <w:pPr>
              <w:widowControl/>
              <w:spacing w:line="360" w:lineRule="exact"/>
              <w:jc w:val="center"/>
              <w:rPr>
                <w:kern w:val="0"/>
                <w:szCs w:val="21"/>
              </w:rPr>
            </w:pPr>
            <w:r>
              <w:rPr>
                <w:rFonts w:hint="eastAsia"/>
                <w:kern w:val="0"/>
                <w:szCs w:val="21"/>
              </w:rPr>
              <w:t>0</w:t>
            </w:r>
          </w:p>
        </w:tc>
        <w:tc>
          <w:tcPr>
            <w:tcW w:w="979" w:type="pct"/>
            <w:noWrap/>
            <w:vAlign w:val="center"/>
          </w:tcPr>
          <w:p>
            <w:pPr>
              <w:widowControl/>
              <w:spacing w:line="360" w:lineRule="exact"/>
              <w:jc w:val="center"/>
              <w:rPr>
                <w:kern w:val="0"/>
                <w:szCs w:val="21"/>
              </w:rPr>
            </w:pPr>
            <w:r>
              <w:rPr>
                <w:rFonts w:hint="eastAsia"/>
                <w:kern w:val="0"/>
                <w:szCs w:val="21"/>
              </w:rPr>
              <w:t>0</w:t>
            </w:r>
          </w:p>
        </w:tc>
        <w:tc>
          <w:tcPr>
            <w:tcW w:w="587" w:type="pct"/>
            <w:noWrap/>
            <w:vAlign w:val="center"/>
          </w:tcPr>
          <w:p>
            <w:pPr>
              <w:widowControl/>
              <w:spacing w:line="360" w:lineRule="exact"/>
              <w:jc w:val="center"/>
              <w:rPr>
                <w:kern w:val="0"/>
                <w:szCs w:val="21"/>
              </w:rPr>
            </w:pPr>
            <w:r>
              <w:rPr>
                <w:rFonts w:hint="eastAsia"/>
                <w:kern w:val="0"/>
                <w:szCs w:val="21"/>
              </w:rPr>
              <w:t>0</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633" w:type="pct"/>
            <w:vMerge w:val="restart"/>
            <w:noWrap/>
            <w:vAlign w:val="center"/>
          </w:tcPr>
          <w:p>
            <w:pPr>
              <w:widowControl/>
              <w:spacing w:line="360" w:lineRule="exact"/>
              <w:jc w:val="center"/>
              <w:rPr>
                <w:kern w:val="0"/>
                <w:szCs w:val="21"/>
              </w:rPr>
            </w:pPr>
            <w:r>
              <w:rPr>
                <w:kern w:val="0"/>
                <w:szCs w:val="21"/>
              </w:rPr>
              <w:t>财政拨款结构</w:t>
            </w:r>
          </w:p>
        </w:tc>
        <w:tc>
          <w:tcPr>
            <w:tcW w:w="678" w:type="pct"/>
            <w:gridSpan w:val="2"/>
            <w:noWrap/>
            <w:vAlign w:val="center"/>
          </w:tcPr>
          <w:p>
            <w:pPr>
              <w:widowControl/>
              <w:spacing w:line="360" w:lineRule="exact"/>
              <w:jc w:val="center"/>
              <w:rPr>
                <w:kern w:val="0"/>
                <w:szCs w:val="21"/>
              </w:rPr>
            </w:pPr>
            <w:r>
              <w:rPr>
                <w:kern w:val="0"/>
                <w:szCs w:val="21"/>
              </w:rPr>
              <w:t>项目</w:t>
            </w:r>
          </w:p>
        </w:tc>
        <w:tc>
          <w:tcPr>
            <w:tcW w:w="650" w:type="pct"/>
            <w:noWrap/>
            <w:vAlign w:val="center"/>
          </w:tcPr>
          <w:p>
            <w:pPr>
              <w:widowControl/>
              <w:spacing w:line="360" w:lineRule="exact"/>
              <w:jc w:val="center"/>
              <w:rPr>
                <w:kern w:val="0"/>
                <w:szCs w:val="21"/>
              </w:rPr>
            </w:pPr>
            <w:r>
              <w:rPr>
                <w:kern w:val="0"/>
                <w:szCs w:val="21"/>
              </w:rPr>
              <w:t>合计</w:t>
            </w:r>
          </w:p>
        </w:tc>
        <w:tc>
          <w:tcPr>
            <w:tcW w:w="628" w:type="pct"/>
            <w:gridSpan w:val="2"/>
            <w:noWrap/>
            <w:vAlign w:val="center"/>
          </w:tcPr>
          <w:p>
            <w:pPr>
              <w:widowControl/>
              <w:spacing w:line="360" w:lineRule="exact"/>
              <w:jc w:val="center"/>
              <w:rPr>
                <w:kern w:val="0"/>
                <w:szCs w:val="21"/>
              </w:rPr>
            </w:pPr>
            <w:r>
              <w:rPr>
                <w:kern w:val="0"/>
                <w:szCs w:val="21"/>
              </w:rPr>
              <w:t>一般公共预算安排</w:t>
            </w:r>
          </w:p>
        </w:tc>
        <w:tc>
          <w:tcPr>
            <w:tcW w:w="979" w:type="pct"/>
            <w:noWrap/>
            <w:vAlign w:val="center"/>
          </w:tcPr>
          <w:p>
            <w:pPr>
              <w:widowControl/>
              <w:spacing w:line="360" w:lineRule="exact"/>
              <w:jc w:val="center"/>
              <w:rPr>
                <w:kern w:val="0"/>
                <w:szCs w:val="21"/>
              </w:rPr>
            </w:pPr>
            <w:r>
              <w:rPr>
                <w:kern w:val="0"/>
                <w:szCs w:val="21"/>
              </w:rPr>
              <w:t>政府性基金预算安排</w:t>
            </w:r>
          </w:p>
        </w:tc>
        <w:tc>
          <w:tcPr>
            <w:tcW w:w="587" w:type="pct"/>
            <w:noWrap/>
            <w:vAlign w:val="center"/>
          </w:tcPr>
          <w:p>
            <w:pPr>
              <w:widowControl/>
              <w:spacing w:line="360" w:lineRule="exact"/>
              <w:jc w:val="center"/>
              <w:rPr>
                <w:kern w:val="0"/>
                <w:szCs w:val="21"/>
              </w:rPr>
            </w:pPr>
            <w:r>
              <w:rPr>
                <w:kern w:val="0"/>
                <w:szCs w:val="21"/>
              </w:rPr>
              <w:t>国有资本经营预算安排</w:t>
            </w:r>
          </w:p>
        </w:tc>
        <w:tc>
          <w:tcPr>
            <w:tcW w:w="841" w:type="pct"/>
            <w:gridSpan w:val="2"/>
            <w:noWrap/>
            <w:vAlign w:val="center"/>
          </w:tcPr>
          <w:p>
            <w:pPr>
              <w:widowControl/>
              <w:jc w:val="center"/>
              <w:rPr>
                <w:color w:val="000000"/>
                <w:kern w:val="0"/>
                <w:sz w:val="18"/>
                <w:szCs w:val="18"/>
              </w:rPr>
            </w:pPr>
            <w:r>
              <w:rPr>
                <w:color w:val="000000"/>
                <w:kern w:val="0"/>
                <w:sz w:val="18"/>
                <w:szCs w:val="18"/>
              </w:rPr>
              <w:t>社保基金预算安排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预算额</w:t>
            </w:r>
          </w:p>
          <w:p>
            <w:pPr>
              <w:widowControl/>
              <w:spacing w:line="360" w:lineRule="exact"/>
              <w:jc w:val="center"/>
              <w:rPr>
                <w:kern w:val="0"/>
                <w:szCs w:val="21"/>
              </w:rPr>
            </w:pPr>
            <w:r>
              <w:rPr>
                <w:rFonts w:hint="eastAsia"/>
                <w:kern w:val="0"/>
                <w:szCs w:val="21"/>
              </w:rPr>
              <w:t>（</w:t>
            </w:r>
            <w:r>
              <w:rPr>
                <w:rFonts w:hint="eastAsia"/>
                <w:kern w:val="0"/>
                <w:szCs w:val="21"/>
                <w:lang w:val="en-US" w:eastAsia="zh-CN"/>
              </w:rPr>
              <w:t>万</w:t>
            </w:r>
            <w:r>
              <w:rPr>
                <w:rFonts w:hint="eastAsia"/>
                <w:kern w:val="0"/>
                <w:szCs w:val="21"/>
              </w:rPr>
              <w:t>元）</w:t>
            </w:r>
          </w:p>
        </w:tc>
        <w:tc>
          <w:tcPr>
            <w:tcW w:w="650" w:type="pct"/>
            <w:noWrap/>
            <w:vAlign w:val="center"/>
          </w:tcPr>
          <w:p>
            <w:pPr>
              <w:widowControl/>
              <w:spacing w:line="360" w:lineRule="exact"/>
              <w:jc w:val="center"/>
              <w:rPr>
                <w:kern w:val="0"/>
                <w:szCs w:val="21"/>
              </w:rPr>
            </w:pPr>
            <w:r>
              <w:rPr>
                <w:rFonts w:hint="eastAsia"/>
                <w:kern w:val="0"/>
                <w:szCs w:val="21"/>
              </w:rPr>
              <w:t>8</w:t>
            </w:r>
          </w:p>
        </w:tc>
        <w:tc>
          <w:tcPr>
            <w:tcW w:w="628" w:type="pct"/>
            <w:gridSpan w:val="2"/>
            <w:noWrap/>
            <w:vAlign w:val="center"/>
          </w:tcPr>
          <w:p>
            <w:pPr>
              <w:widowControl/>
              <w:spacing w:line="360" w:lineRule="exact"/>
              <w:jc w:val="center"/>
              <w:rPr>
                <w:kern w:val="0"/>
                <w:szCs w:val="21"/>
              </w:rPr>
            </w:pPr>
            <w:r>
              <w:rPr>
                <w:rFonts w:hint="eastAsia"/>
                <w:kern w:val="0"/>
                <w:szCs w:val="21"/>
              </w:rPr>
              <w:t>8</w:t>
            </w:r>
          </w:p>
        </w:tc>
        <w:tc>
          <w:tcPr>
            <w:tcW w:w="979" w:type="pct"/>
            <w:noWrap/>
            <w:vAlign w:val="center"/>
          </w:tcPr>
          <w:p>
            <w:pPr>
              <w:widowControl/>
              <w:spacing w:line="360" w:lineRule="exact"/>
              <w:jc w:val="center"/>
              <w:rPr>
                <w:kern w:val="0"/>
                <w:szCs w:val="21"/>
              </w:rPr>
            </w:pPr>
            <w:r>
              <w:rPr>
                <w:rFonts w:hint="eastAsia"/>
                <w:kern w:val="0"/>
                <w:szCs w:val="21"/>
              </w:rPr>
              <w:t>0</w:t>
            </w:r>
          </w:p>
        </w:tc>
        <w:tc>
          <w:tcPr>
            <w:tcW w:w="587" w:type="pct"/>
            <w:noWrap/>
            <w:vAlign w:val="center"/>
          </w:tcPr>
          <w:p>
            <w:pPr>
              <w:widowControl/>
              <w:spacing w:line="360" w:lineRule="exact"/>
              <w:jc w:val="center"/>
              <w:rPr>
                <w:kern w:val="0"/>
                <w:szCs w:val="21"/>
              </w:rPr>
            </w:pPr>
            <w:r>
              <w:rPr>
                <w:rFonts w:hint="eastAsia"/>
                <w:kern w:val="0"/>
                <w:szCs w:val="21"/>
              </w:rPr>
              <w:t>0</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执行额</w:t>
            </w:r>
          </w:p>
          <w:p>
            <w:pPr>
              <w:widowControl/>
              <w:spacing w:line="360" w:lineRule="exact"/>
              <w:jc w:val="center"/>
              <w:rPr>
                <w:kern w:val="0"/>
                <w:szCs w:val="21"/>
              </w:rPr>
            </w:pPr>
            <w:r>
              <w:rPr>
                <w:rFonts w:hint="eastAsia"/>
                <w:kern w:val="0"/>
                <w:szCs w:val="21"/>
              </w:rPr>
              <w:t>（</w:t>
            </w:r>
            <w:r>
              <w:rPr>
                <w:rFonts w:hint="eastAsia"/>
                <w:kern w:val="0"/>
                <w:szCs w:val="21"/>
                <w:lang w:val="en-US" w:eastAsia="zh-CN"/>
              </w:rPr>
              <w:t>万</w:t>
            </w:r>
            <w:r>
              <w:rPr>
                <w:rFonts w:hint="eastAsia"/>
                <w:kern w:val="0"/>
                <w:szCs w:val="21"/>
              </w:rPr>
              <w:t>元）</w:t>
            </w:r>
          </w:p>
        </w:tc>
        <w:tc>
          <w:tcPr>
            <w:tcW w:w="650" w:type="pct"/>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4.32</w:t>
            </w:r>
          </w:p>
        </w:tc>
        <w:tc>
          <w:tcPr>
            <w:tcW w:w="628" w:type="pct"/>
            <w:gridSpan w:val="2"/>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4.32</w:t>
            </w:r>
          </w:p>
        </w:tc>
        <w:tc>
          <w:tcPr>
            <w:tcW w:w="979" w:type="pct"/>
            <w:noWrap/>
            <w:vAlign w:val="center"/>
          </w:tcPr>
          <w:p>
            <w:pPr>
              <w:widowControl/>
              <w:spacing w:line="360" w:lineRule="exact"/>
              <w:jc w:val="center"/>
              <w:rPr>
                <w:kern w:val="0"/>
                <w:szCs w:val="21"/>
              </w:rPr>
            </w:pPr>
            <w:r>
              <w:rPr>
                <w:rFonts w:hint="eastAsia"/>
                <w:kern w:val="0"/>
                <w:szCs w:val="21"/>
              </w:rPr>
              <w:t>0</w:t>
            </w:r>
          </w:p>
        </w:tc>
        <w:tc>
          <w:tcPr>
            <w:tcW w:w="587" w:type="pct"/>
            <w:noWrap/>
            <w:vAlign w:val="center"/>
          </w:tcPr>
          <w:p>
            <w:pPr>
              <w:widowControl/>
              <w:spacing w:line="360" w:lineRule="exact"/>
              <w:jc w:val="center"/>
              <w:rPr>
                <w:kern w:val="0"/>
                <w:szCs w:val="21"/>
              </w:rPr>
            </w:pPr>
            <w:r>
              <w:rPr>
                <w:rFonts w:hint="eastAsia"/>
                <w:kern w:val="0"/>
                <w:szCs w:val="21"/>
              </w:rPr>
              <w:t>0</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当年结转结余额</w:t>
            </w:r>
            <w:r>
              <w:rPr>
                <w:rFonts w:hint="eastAsia"/>
                <w:kern w:val="0"/>
                <w:szCs w:val="21"/>
              </w:rPr>
              <w:t>（</w:t>
            </w:r>
            <w:r>
              <w:rPr>
                <w:rFonts w:hint="eastAsia"/>
                <w:kern w:val="0"/>
                <w:szCs w:val="21"/>
                <w:lang w:val="en-US" w:eastAsia="zh-CN"/>
              </w:rPr>
              <w:t>万</w:t>
            </w:r>
            <w:r>
              <w:rPr>
                <w:rFonts w:hint="eastAsia"/>
                <w:kern w:val="0"/>
                <w:szCs w:val="21"/>
              </w:rPr>
              <w:t>元）</w:t>
            </w:r>
          </w:p>
        </w:tc>
        <w:tc>
          <w:tcPr>
            <w:tcW w:w="650" w:type="pct"/>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3.68</w:t>
            </w:r>
          </w:p>
        </w:tc>
        <w:tc>
          <w:tcPr>
            <w:tcW w:w="628" w:type="pct"/>
            <w:gridSpan w:val="2"/>
            <w:noWrap/>
            <w:vAlign w:val="center"/>
          </w:tcPr>
          <w:p>
            <w:pPr>
              <w:widowControl/>
              <w:spacing w:line="360" w:lineRule="exact"/>
              <w:jc w:val="center"/>
              <w:rPr>
                <w:rFonts w:hint="default" w:eastAsia="宋体"/>
                <w:kern w:val="0"/>
                <w:szCs w:val="21"/>
                <w:lang w:val="en-US" w:eastAsia="zh-CN"/>
              </w:rPr>
            </w:pPr>
            <w:r>
              <w:rPr>
                <w:rFonts w:hint="eastAsia"/>
                <w:kern w:val="0"/>
                <w:szCs w:val="21"/>
                <w:lang w:val="en-US" w:eastAsia="zh-CN"/>
              </w:rPr>
              <w:t>3.68</w:t>
            </w:r>
          </w:p>
        </w:tc>
        <w:tc>
          <w:tcPr>
            <w:tcW w:w="979" w:type="pct"/>
            <w:noWrap/>
            <w:vAlign w:val="center"/>
          </w:tcPr>
          <w:p>
            <w:pPr>
              <w:widowControl/>
              <w:spacing w:line="360" w:lineRule="exact"/>
              <w:jc w:val="center"/>
              <w:rPr>
                <w:kern w:val="0"/>
                <w:szCs w:val="21"/>
              </w:rPr>
            </w:pPr>
            <w:r>
              <w:rPr>
                <w:rFonts w:hint="eastAsia"/>
                <w:kern w:val="0"/>
                <w:szCs w:val="21"/>
              </w:rPr>
              <w:t>0</w:t>
            </w:r>
          </w:p>
        </w:tc>
        <w:tc>
          <w:tcPr>
            <w:tcW w:w="587" w:type="pct"/>
            <w:noWrap/>
            <w:vAlign w:val="center"/>
          </w:tcPr>
          <w:p>
            <w:pPr>
              <w:widowControl/>
              <w:spacing w:line="360" w:lineRule="exact"/>
              <w:jc w:val="center"/>
              <w:rPr>
                <w:kern w:val="0"/>
                <w:szCs w:val="21"/>
              </w:rPr>
            </w:pPr>
            <w:r>
              <w:rPr>
                <w:rFonts w:hint="eastAsia"/>
                <w:kern w:val="0"/>
                <w:szCs w:val="21"/>
              </w:rPr>
              <w:t>0</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结转结余率%</w:t>
            </w:r>
          </w:p>
        </w:tc>
        <w:tc>
          <w:tcPr>
            <w:tcW w:w="650" w:type="pct"/>
            <w:noWrap/>
            <w:vAlign w:val="center"/>
          </w:tcPr>
          <w:p>
            <w:pPr>
              <w:widowControl/>
              <w:spacing w:line="360" w:lineRule="exact"/>
              <w:jc w:val="center"/>
              <w:rPr>
                <w:kern w:val="0"/>
                <w:szCs w:val="21"/>
              </w:rPr>
            </w:pPr>
            <w:r>
              <w:rPr>
                <w:rFonts w:hint="eastAsia"/>
                <w:kern w:val="0"/>
                <w:szCs w:val="21"/>
                <w:lang w:val="en-US" w:eastAsia="zh-CN"/>
              </w:rPr>
              <w:t>46</w:t>
            </w:r>
            <w:r>
              <w:rPr>
                <w:rFonts w:hint="eastAsia"/>
                <w:kern w:val="0"/>
                <w:szCs w:val="21"/>
              </w:rPr>
              <w:t>%</w:t>
            </w:r>
          </w:p>
        </w:tc>
        <w:tc>
          <w:tcPr>
            <w:tcW w:w="628" w:type="pct"/>
            <w:gridSpan w:val="2"/>
            <w:noWrap/>
            <w:vAlign w:val="center"/>
          </w:tcPr>
          <w:p>
            <w:pPr>
              <w:widowControl/>
              <w:spacing w:line="360" w:lineRule="exact"/>
              <w:jc w:val="center"/>
              <w:rPr>
                <w:kern w:val="0"/>
                <w:szCs w:val="21"/>
              </w:rPr>
            </w:pPr>
            <w:r>
              <w:rPr>
                <w:rFonts w:hint="eastAsia"/>
                <w:kern w:val="0"/>
                <w:szCs w:val="21"/>
                <w:lang w:val="en-US" w:eastAsia="zh-CN"/>
              </w:rPr>
              <w:t>46</w:t>
            </w:r>
            <w:r>
              <w:rPr>
                <w:rFonts w:hint="eastAsia"/>
                <w:kern w:val="0"/>
                <w:szCs w:val="21"/>
              </w:rPr>
              <w:t>%</w:t>
            </w:r>
          </w:p>
        </w:tc>
        <w:tc>
          <w:tcPr>
            <w:tcW w:w="979" w:type="pct"/>
            <w:noWrap/>
            <w:vAlign w:val="center"/>
          </w:tcPr>
          <w:p>
            <w:pPr>
              <w:widowControl/>
              <w:spacing w:line="360" w:lineRule="exact"/>
              <w:jc w:val="center"/>
              <w:rPr>
                <w:kern w:val="0"/>
                <w:szCs w:val="21"/>
              </w:rPr>
            </w:pPr>
            <w:r>
              <w:rPr>
                <w:rFonts w:hint="eastAsia"/>
                <w:kern w:val="0"/>
                <w:szCs w:val="21"/>
              </w:rPr>
              <w:t>0</w:t>
            </w:r>
          </w:p>
        </w:tc>
        <w:tc>
          <w:tcPr>
            <w:tcW w:w="587" w:type="pct"/>
            <w:noWrap/>
            <w:vAlign w:val="center"/>
          </w:tcPr>
          <w:p>
            <w:pPr>
              <w:widowControl/>
              <w:spacing w:line="360" w:lineRule="exact"/>
              <w:jc w:val="center"/>
              <w:rPr>
                <w:kern w:val="0"/>
                <w:szCs w:val="21"/>
              </w:rPr>
            </w:pPr>
            <w:r>
              <w:rPr>
                <w:rFonts w:hint="eastAsia"/>
                <w:kern w:val="0"/>
                <w:szCs w:val="21"/>
              </w:rPr>
              <w:t>0</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pct"/>
            <w:vMerge w:val="continue"/>
            <w:vAlign w:val="center"/>
          </w:tcPr>
          <w:p>
            <w:pPr>
              <w:widowControl/>
              <w:spacing w:line="360" w:lineRule="exact"/>
              <w:jc w:val="center"/>
              <w:rPr>
                <w:kern w:val="0"/>
                <w:szCs w:val="21"/>
              </w:rPr>
            </w:pPr>
          </w:p>
        </w:tc>
        <w:tc>
          <w:tcPr>
            <w:tcW w:w="678" w:type="pct"/>
            <w:gridSpan w:val="2"/>
            <w:noWrap/>
            <w:vAlign w:val="center"/>
          </w:tcPr>
          <w:p>
            <w:pPr>
              <w:widowControl/>
              <w:spacing w:line="360" w:lineRule="exact"/>
              <w:jc w:val="center"/>
              <w:rPr>
                <w:kern w:val="0"/>
                <w:szCs w:val="21"/>
              </w:rPr>
            </w:pPr>
            <w:r>
              <w:rPr>
                <w:kern w:val="0"/>
                <w:szCs w:val="21"/>
              </w:rPr>
              <w:t>结转结余变动率%</w:t>
            </w:r>
          </w:p>
        </w:tc>
        <w:tc>
          <w:tcPr>
            <w:tcW w:w="650" w:type="pct"/>
            <w:noWrap/>
            <w:vAlign w:val="center"/>
          </w:tcPr>
          <w:p>
            <w:pPr>
              <w:widowControl/>
              <w:spacing w:line="360" w:lineRule="exact"/>
              <w:jc w:val="center"/>
              <w:rPr>
                <w:kern w:val="0"/>
                <w:szCs w:val="21"/>
              </w:rPr>
            </w:pPr>
            <w:r>
              <w:rPr>
                <w:rFonts w:hint="eastAsia"/>
                <w:kern w:val="0"/>
                <w:szCs w:val="21"/>
              </w:rPr>
              <w:t>0</w:t>
            </w:r>
          </w:p>
        </w:tc>
        <w:tc>
          <w:tcPr>
            <w:tcW w:w="628" w:type="pct"/>
            <w:gridSpan w:val="2"/>
            <w:noWrap/>
            <w:vAlign w:val="center"/>
          </w:tcPr>
          <w:p>
            <w:pPr>
              <w:widowControl/>
              <w:spacing w:line="360" w:lineRule="exact"/>
              <w:jc w:val="center"/>
              <w:rPr>
                <w:kern w:val="0"/>
                <w:szCs w:val="21"/>
              </w:rPr>
            </w:pPr>
            <w:r>
              <w:rPr>
                <w:rFonts w:hint="eastAsia"/>
                <w:kern w:val="0"/>
                <w:szCs w:val="21"/>
              </w:rPr>
              <w:t>0</w:t>
            </w:r>
          </w:p>
        </w:tc>
        <w:tc>
          <w:tcPr>
            <w:tcW w:w="979" w:type="pct"/>
            <w:noWrap/>
            <w:vAlign w:val="center"/>
          </w:tcPr>
          <w:p>
            <w:pPr>
              <w:widowControl/>
              <w:spacing w:line="360" w:lineRule="exact"/>
              <w:jc w:val="center"/>
              <w:rPr>
                <w:kern w:val="0"/>
                <w:szCs w:val="21"/>
              </w:rPr>
            </w:pPr>
            <w:r>
              <w:rPr>
                <w:rFonts w:hint="eastAsia"/>
                <w:kern w:val="0"/>
                <w:szCs w:val="21"/>
              </w:rPr>
              <w:t>0</w:t>
            </w:r>
          </w:p>
        </w:tc>
        <w:tc>
          <w:tcPr>
            <w:tcW w:w="587" w:type="pct"/>
            <w:noWrap/>
            <w:vAlign w:val="center"/>
          </w:tcPr>
          <w:p>
            <w:pPr>
              <w:widowControl/>
              <w:spacing w:line="360" w:lineRule="exact"/>
              <w:jc w:val="center"/>
              <w:rPr>
                <w:kern w:val="0"/>
                <w:szCs w:val="21"/>
              </w:rPr>
            </w:pPr>
            <w:r>
              <w:rPr>
                <w:rFonts w:hint="eastAsia"/>
                <w:kern w:val="0"/>
                <w:szCs w:val="21"/>
              </w:rPr>
              <w:t>0</w:t>
            </w:r>
          </w:p>
        </w:tc>
        <w:tc>
          <w:tcPr>
            <w:tcW w:w="841" w:type="pct"/>
            <w:gridSpan w:val="2"/>
            <w:noWrap/>
            <w:vAlign w:val="center"/>
          </w:tcPr>
          <w:p>
            <w:pPr>
              <w:widowControl/>
              <w:jc w:val="center"/>
              <w:rPr>
                <w:color w:val="000000"/>
                <w:kern w:val="0"/>
                <w:sz w:val="18"/>
                <w:szCs w:val="18"/>
              </w:rPr>
            </w:pPr>
            <w:r>
              <w:rPr>
                <w:rFonts w:hint="eastAsia"/>
                <w:color w:val="000000"/>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33" w:type="pct"/>
            <w:vMerge w:val="restart"/>
            <w:noWrap/>
            <w:vAlign w:val="center"/>
          </w:tcPr>
          <w:p>
            <w:pPr>
              <w:widowControl/>
              <w:spacing w:line="360" w:lineRule="exact"/>
              <w:jc w:val="center"/>
              <w:rPr>
                <w:kern w:val="0"/>
                <w:szCs w:val="21"/>
              </w:rPr>
            </w:pPr>
            <w:r>
              <w:rPr>
                <w:kern w:val="0"/>
                <w:szCs w:val="21"/>
              </w:rPr>
              <w:t>年度总体目标</w:t>
            </w:r>
          </w:p>
        </w:tc>
        <w:tc>
          <w:tcPr>
            <w:tcW w:w="1328" w:type="pct"/>
            <w:gridSpan w:val="3"/>
            <w:noWrap/>
            <w:vAlign w:val="center"/>
          </w:tcPr>
          <w:p>
            <w:pPr>
              <w:widowControl/>
              <w:spacing w:line="360" w:lineRule="exact"/>
              <w:jc w:val="center"/>
              <w:rPr>
                <w:kern w:val="0"/>
                <w:szCs w:val="21"/>
              </w:rPr>
            </w:pPr>
            <w:r>
              <w:rPr>
                <w:kern w:val="0"/>
                <w:szCs w:val="21"/>
              </w:rPr>
              <w:t>预算总体目标</w:t>
            </w:r>
          </w:p>
        </w:tc>
        <w:tc>
          <w:tcPr>
            <w:tcW w:w="1608" w:type="pct"/>
            <w:gridSpan w:val="3"/>
            <w:noWrap/>
            <w:vAlign w:val="center"/>
          </w:tcPr>
          <w:p>
            <w:pPr>
              <w:widowControl/>
              <w:spacing w:line="360" w:lineRule="exact"/>
              <w:jc w:val="center"/>
              <w:rPr>
                <w:kern w:val="0"/>
                <w:szCs w:val="21"/>
              </w:rPr>
            </w:pPr>
            <w:r>
              <w:rPr>
                <w:kern w:val="0"/>
                <w:szCs w:val="21"/>
              </w:rPr>
              <w:t>预算总体目标执行结果</w:t>
            </w:r>
          </w:p>
        </w:tc>
        <w:tc>
          <w:tcPr>
            <w:tcW w:w="1428" w:type="pct"/>
            <w:gridSpan w:val="3"/>
            <w:noWrap/>
            <w:vAlign w:val="center"/>
          </w:tcPr>
          <w:p>
            <w:pPr>
              <w:widowControl/>
              <w:spacing w:line="360" w:lineRule="exact"/>
              <w:jc w:val="center"/>
              <w:rPr>
                <w:kern w:val="0"/>
                <w:szCs w:val="21"/>
              </w:rPr>
            </w:pPr>
            <w:r>
              <w:rPr>
                <w:kern w:val="0"/>
                <w:szCs w:val="21"/>
              </w:rPr>
              <w:t>预算总体目标与预算总体目标执行结果偏差情况及原因分析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633" w:type="pct"/>
            <w:vMerge w:val="continue"/>
            <w:vAlign w:val="center"/>
          </w:tcPr>
          <w:p>
            <w:pPr>
              <w:widowControl/>
              <w:spacing w:line="360" w:lineRule="exact"/>
              <w:jc w:val="center"/>
              <w:rPr>
                <w:kern w:val="0"/>
                <w:szCs w:val="21"/>
              </w:rPr>
            </w:pPr>
          </w:p>
        </w:tc>
        <w:tc>
          <w:tcPr>
            <w:tcW w:w="1328" w:type="pct"/>
            <w:gridSpan w:val="3"/>
            <w:noWrap/>
            <w:vAlign w:val="center"/>
          </w:tcPr>
          <w:p>
            <w:pPr>
              <w:widowControl/>
              <w:spacing w:line="360" w:lineRule="exact"/>
              <w:jc w:val="center"/>
              <w:rPr>
                <w:kern w:val="0"/>
                <w:szCs w:val="21"/>
              </w:rPr>
            </w:pPr>
            <w:r>
              <w:rPr>
                <w:kern w:val="0"/>
                <w:szCs w:val="21"/>
              </w:rPr>
              <w:t>目标1</w:t>
            </w:r>
            <w:r>
              <w:rPr>
                <w:rFonts w:hint="eastAsia"/>
                <w:kern w:val="0"/>
                <w:szCs w:val="21"/>
              </w:rPr>
              <w:t>实施审批服务便民行动，深化放管服改革。</w:t>
            </w:r>
          </w:p>
        </w:tc>
        <w:tc>
          <w:tcPr>
            <w:tcW w:w="1608" w:type="pct"/>
            <w:gridSpan w:val="3"/>
            <w:noWrap/>
            <w:vAlign w:val="center"/>
          </w:tcPr>
          <w:p>
            <w:pPr>
              <w:widowControl/>
              <w:spacing w:line="360" w:lineRule="exact"/>
              <w:jc w:val="left"/>
              <w:rPr>
                <w:kern w:val="0"/>
                <w:szCs w:val="21"/>
              </w:rPr>
            </w:pPr>
            <w:r>
              <w:rPr>
                <w:rFonts w:hint="eastAsia"/>
                <w:kern w:val="0"/>
                <w:szCs w:val="21"/>
              </w:rPr>
              <w:t>实施审批服务便民行动，深化放管服改革。</w:t>
            </w:r>
          </w:p>
        </w:tc>
        <w:tc>
          <w:tcPr>
            <w:tcW w:w="1428" w:type="pct"/>
            <w:gridSpan w:val="3"/>
            <w:noWrap/>
            <w:vAlign w:val="center"/>
          </w:tcPr>
          <w:p>
            <w:pPr>
              <w:widowControl/>
              <w:spacing w:line="360" w:lineRule="exact"/>
              <w:jc w:val="center"/>
              <w:rPr>
                <w:kern w:val="0"/>
                <w:szCs w:val="21"/>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pct"/>
            <w:vMerge w:val="continue"/>
            <w:vAlign w:val="center"/>
          </w:tcPr>
          <w:p>
            <w:pPr>
              <w:widowControl/>
              <w:spacing w:line="360" w:lineRule="exact"/>
              <w:jc w:val="center"/>
              <w:rPr>
                <w:kern w:val="0"/>
                <w:szCs w:val="21"/>
              </w:rPr>
            </w:pPr>
          </w:p>
        </w:tc>
        <w:tc>
          <w:tcPr>
            <w:tcW w:w="1328" w:type="pct"/>
            <w:gridSpan w:val="3"/>
            <w:noWrap/>
            <w:vAlign w:val="center"/>
          </w:tcPr>
          <w:p>
            <w:pPr>
              <w:widowControl/>
              <w:spacing w:line="360" w:lineRule="exact"/>
              <w:rPr>
                <w:kern w:val="0"/>
                <w:szCs w:val="21"/>
              </w:rPr>
            </w:pPr>
            <w:r>
              <w:rPr>
                <w:kern w:val="0"/>
                <w:szCs w:val="21"/>
              </w:rPr>
              <w:t>目标2:</w:t>
            </w:r>
            <w:r>
              <w:rPr>
                <w:rFonts w:hint="eastAsia"/>
              </w:rPr>
              <w:t xml:space="preserve"> </w:t>
            </w:r>
            <w:r>
              <w:rPr>
                <w:rFonts w:hint="eastAsia"/>
                <w:kern w:val="0"/>
                <w:szCs w:val="21"/>
              </w:rPr>
              <w:t>推动投资建设项目并联审批工作顺利开展。</w:t>
            </w:r>
          </w:p>
        </w:tc>
        <w:tc>
          <w:tcPr>
            <w:tcW w:w="1608" w:type="pct"/>
            <w:gridSpan w:val="3"/>
            <w:noWrap/>
            <w:vAlign w:val="center"/>
          </w:tcPr>
          <w:p>
            <w:pPr>
              <w:widowControl/>
              <w:spacing w:line="360" w:lineRule="exact"/>
              <w:jc w:val="left"/>
              <w:rPr>
                <w:kern w:val="0"/>
                <w:szCs w:val="21"/>
              </w:rPr>
            </w:pPr>
            <w:r>
              <w:rPr>
                <w:rFonts w:hint="eastAsia"/>
                <w:kern w:val="0"/>
                <w:szCs w:val="21"/>
              </w:rPr>
              <w:t>推动投资建设项目并联审批工作顺利开展。</w:t>
            </w:r>
          </w:p>
        </w:tc>
        <w:tc>
          <w:tcPr>
            <w:tcW w:w="1428" w:type="pct"/>
            <w:gridSpan w:val="3"/>
            <w:noWrap/>
            <w:vAlign w:val="center"/>
          </w:tcPr>
          <w:p>
            <w:pPr>
              <w:widowControl/>
              <w:spacing w:line="360" w:lineRule="exact"/>
              <w:jc w:val="center"/>
              <w:rPr>
                <w:kern w:val="0"/>
                <w:szCs w:val="21"/>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633" w:type="pct"/>
            <w:vMerge w:val="continue"/>
            <w:vAlign w:val="center"/>
          </w:tcPr>
          <w:p>
            <w:pPr>
              <w:widowControl/>
              <w:spacing w:line="360" w:lineRule="exact"/>
              <w:jc w:val="center"/>
              <w:rPr>
                <w:kern w:val="0"/>
                <w:szCs w:val="21"/>
              </w:rPr>
            </w:pPr>
          </w:p>
        </w:tc>
        <w:tc>
          <w:tcPr>
            <w:tcW w:w="1328" w:type="pct"/>
            <w:gridSpan w:val="3"/>
            <w:noWrap/>
            <w:vAlign w:val="center"/>
          </w:tcPr>
          <w:p>
            <w:pPr>
              <w:widowControl/>
              <w:spacing w:line="360" w:lineRule="exact"/>
              <w:jc w:val="center"/>
              <w:rPr>
                <w:kern w:val="0"/>
                <w:szCs w:val="21"/>
              </w:rPr>
            </w:pPr>
            <w:r>
              <w:rPr>
                <w:kern w:val="0"/>
                <w:szCs w:val="21"/>
              </w:rPr>
              <w:t>目标3</w:t>
            </w:r>
            <w:r>
              <w:rPr>
                <w:rFonts w:hint="eastAsia"/>
                <w:kern w:val="0"/>
                <w:szCs w:val="21"/>
              </w:rPr>
              <w:t>对投资建设项目前期指导、组织咨询、预受理、分送材料、反馈受理决定限时办理审批</w:t>
            </w:r>
          </w:p>
        </w:tc>
        <w:tc>
          <w:tcPr>
            <w:tcW w:w="1608" w:type="pct"/>
            <w:gridSpan w:val="3"/>
            <w:noWrap/>
            <w:vAlign w:val="center"/>
          </w:tcPr>
          <w:p>
            <w:pPr>
              <w:widowControl/>
              <w:spacing w:line="360" w:lineRule="exact"/>
              <w:rPr>
                <w:kern w:val="0"/>
                <w:szCs w:val="21"/>
              </w:rPr>
            </w:pPr>
            <w:r>
              <w:rPr>
                <w:rFonts w:hint="eastAsia"/>
                <w:kern w:val="0"/>
                <w:szCs w:val="21"/>
              </w:rPr>
              <w:t>对投资建设项目前期指导、组织咨询、预受理、分送材料、反馈受理决定限时办理审批</w:t>
            </w:r>
          </w:p>
        </w:tc>
        <w:tc>
          <w:tcPr>
            <w:tcW w:w="1428" w:type="pct"/>
            <w:gridSpan w:val="3"/>
            <w:noWrap/>
            <w:vAlign w:val="center"/>
          </w:tcPr>
          <w:p>
            <w:pPr>
              <w:widowControl/>
              <w:spacing w:line="360" w:lineRule="exact"/>
              <w:jc w:val="center"/>
              <w:rPr>
                <w:kern w:val="0"/>
                <w:szCs w:val="21"/>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trPr>
        <w:tc>
          <w:tcPr>
            <w:tcW w:w="633" w:type="pct"/>
            <w:vMerge w:val="restart"/>
            <w:noWrap/>
            <w:vAlign w:val="center"/>
          </w:tcPr>
          <w:p>
            <w:pPr>
              <w:widowControl/>
              <w:spacing w:line="360" w:lineRule="exact"/>
              <w:jc w:val="center"/>
              <w:rPr>
                <w:kern w:val="0"/>
                <w:szCs w:val="21"/>
              </w:rPr>
            </w:pPr>
            <w:r>
              <w:rPr>
                <w:kern w:val="0"/>
                <w:szCs w:val="21"/>
              </w:rPr>
              <w:t>年度绩</w:t>
            </w:r>
          </w:p>
          <w:p>
            <w:pPr>
              <w:widowControl/>
              <w:spacing w:line="360" w:lineRule="exact"/>
              <w:jc w:val="center"/>
              <w:rPr>
                <w:kern w:val="0"/>
                <w:szCs w:val="21"/>
              </w:rPr>
            </w:pPr>
            <w:r>
              <w:rPr>
                <w:kern w:val="0"/>
                <w:szCs w:val="21"/>
              </w:rPr>
              <w:t>效指标</w:t>
            </w:r>
          </w:p>
        </w:tc>
        <w:tc>
          <w:tcPr>
            <w:tcW w:w="499" w:type="pct"/>
            <w:noWrap/>
            <w:vAlign w:val="center"/>
          </w:tcPr>
          <w:p>
            <w:pPr>
              <w:widowControl/>
              <w:spacing w:line="360" w:lineRule="exact"/>
              <w:jc w:val="center"/>
              <w:rPr>
                <w:kern w:val="0"/>
                <w:szCs w:val="21"/>
              </w:rPr>
            </w:pPr>
            <w:r>
              <w:rPr>
                <w:kern w:val="0"/>
                <w:szCs w:val="21"/>
              </w:rPr>
              <w:t>一级</w:t>
            </w:r>
          </w:p>
          <w:p>
            <w:pPr>
              <w:widowControl/>
              <w:spacing w:line="360" w:lineRule="exact"/>
              <w:jc w:val="center"/>
              <w:rPr>
                <w:kern w:val="0"/>
                <w:szCs w:val="21"/>
              </w:rPr>
            </w:pPr>
            <w:r>
              <w:rPr>
                <w:kern w:val="0"/>
                <w:szCs w:val="21"/>
              </w:rPr>
              <w:t>指标</w:t>
            </w:r>
          </w:p>
        </w:tc>
        <w:tc>
          <w:tcPr>
            <w:tcW w:w="829" w:type="pct"/>
            <w:gridSpan w:val="2"/>
            <w:noWrap/>
            <w:vAlign w:val="center"/>
          </w:tcPr>
          <w:p>
            <w:pPr>
              <w:widowControl/>
              <w:spacing w:line="360" w:lineRule="exact"/>
              <w:jc w:val="center"/>
              <w:rPr>
                <w:kern w:val="0"/>
                <w:szCs w:val="21"/>
              </w:rPr>
            </w:pPr>
            <w:r>
              <w:rPr>
                <w:kern w:val="0"/>
                <w:szCs w:val="21"/>
              </w:rPr>
              <w:t>二级指标</w:t>
            </w:r>
          </w:p>
        </w:tc>
        <w:tc>
          <w:tcPr>
            <w:tcW w:w="367" w:type="pct"/>
            <w:noWrap/>
            <w:vAlign w:val="center"/>
          </w:tcPr>
          <w:p>
            <w:pPr>
              <w:widowControl/>
              <w:spacing w:line="360" w:lineRule="exact"/>
              <w:jc w:val="center"/>
              <w:rPr>
                <w:kern w:val="0"/>
                <w:szCs w:val="21"/>
              </w:rPr>
            </w:pPr>
            <w:r>
              <w:rPr>
                <w:kern w:val="0"/>
                <w:szCs w:val="21"/>
              </w:rPr>
              <w:t>三级</w:t>
            </w:r>
          </w:p>
          <w:p>
            <w:pPr>
              <w:widowControl/>
              <w:spacing w:line="360" w:lineRule="exact"/>
              <w:jc w:val="center"/>
              <w:rPr>
                <w:kern w:val="0"/>
                <w:szCs w:val="21"/>
              </w:rPr>
            </w:pPr>
            <w:r>
              <w:rPr>
                <w:kern w:val="0"/>
                <w:szCs w:val="21"/>
              </w:rPr>
              <w:t>指标</w:t>
            </w:r>
          </w:p>
        </w:tc>
        <w:tc>
          <w:tcPr>
            <w:tcW w:w="1240" w:type="pct"/>
            <w:gridSpan w:val="2"/>
            <w:noWrap/>
            <w:vAlign w:val="center"/>
          </w:tcPr>
          <w:p>
            <w:pPr>
              <w:widowControl/>
              <w:spacing w:line="360" w:lineRule="exact"/>
              <w:jc w:val="center"/>
              <w:rPr>
                <w:kern w:val="0"/>
                <w:szCs w:val="21"/>
              </w:rPr>
            </w:pPr>
            <w:r>
              <w:rPr>
                <w:kern w:val="0"/>
                <w:szCs w:val="21"/>
              </w:rPr>
              <w:t>预算指标值(包含数字及文字描述)</w:t>
            </w:r>
          </w:p>
        </w:tc>
        <w:tc>
          <w:tcPr>
            <w:tcW w:w="868" w:type="pct"/>
            <w:gridSpan w:val="2"/>
            <w:noWrap/>
            <w:vAlign w:val="center"/>
          </w:tcPr>
          <w:p>
            <w:pPr>
              <w:widowControl/>
              <w:spacing w:line="360" w:lineRule="exact"/>
              <w:jc w:val="center"/>
              <w:rPr>
                <w:kern w:val="0"/>
                <w:szCs w:val="21"/>
              </w:rPr>
            </w:pPr>
            <w:r>
              <w:rPr>
                <w:kern w:val="0"/>
                <w:szCs w:val="21"/>
              </w:rPr>
              <w:t>预算指标值执行结果(包含数字及文字描述)</w:t>
            </w:r>
          </w:p>
        </w:tc>
        <w:tc>
          <w:tcPr>
            <w:tcW w:w="559" w:type="pct"/>
            <w:noWrap/>
            <w:vAlign w:val="center"/>
          </w:tcPr>
          <w:p>
            <w:pPr>
              <w:widowControl/>
              <w:jc w:val="center"/>
              <w:rPr>
                <w:color w:val="000000"/>
                <w:kern w:val="0"/>
                <w:sz w:val="18"/>
                <w:szCs w:val="18"/>
              </w:rPr>
            </w:pPr>
            <w:r>
              <w:rPr>
                <w:color w:val="000000"/>
                <w:kern w:val="0"/>
                <w:sz w:val="18"/>
                <w:szCs w:val="18"/>
              </w:rPr>
              <w:t>预算指标值与预算指标值执行结果偏差情况及原因分析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633" w:type="pct"/>
            <w:vMerge w:val="continue"/>
            <w:vAlign w:val="center"/>
          </w:tcPr>
          <w:p>
            <w:pPr>
              <w:widowControl/>
              <w:spacing w:line="360" w:lineRule="exact"/>
              <w:jc w:val="center"/>
              <w:rPr>
                <w:kern w:val="0"/>
                <w:szCs w:val="21"/>
              </w:rPr>
            </w:pPr>
          </w:p>
        </w:tc>
        <w:tc>
          <w:tcPr>
            <w:tcW w:w="499" w:type="pct"/>
            <w:vMerge w:val="restart"/>
            <w:noWrap/>
            <w:vAlign w:val="center"/>
          </w:tcPr>
          <w:p>
            <w:pPr>
              <w:widowControl/>
              <w:spacing w:line="360" w:lineRule="exact"/>
              <w:jc w:val="center"/>
              <w:rPr>
                <w:kern w:val="0"/>
                <w:szCs w:val="21"/>
              </w:rPr>
            </w:pPr>
            <w:r>
              <w:rPr>
                <w:kern w:val="0"/>
                <w:szCs w:val="21"/>
              </w:rPr>
              <w:t>项目</w:t>
            </w:r>
          </w:p>
          <w:p>
            <w:pPr>
              <w:widowControl/>
              <w:spacing w:line="360" w:lineRule="exact"/>
              <w:jc w:val="center"/>
              <w:rPr>
                <w:kern w:val="0"/>
                <w:szCs w:val="21"/>
              </w:rPr>
            </w:pPr>
            <w:r>
              <w:rPr>
                <w:kern w:val="0"/>
                <w:szCs w:val="21"/>
              </w:rPr>
              <w:t>完成</w:t>
            </w:r>
          </w:p>
        </w:tc>
        <w:tc>
          <w:tcPr>
            <w:tcW w:w="829" w:type="pct"/>
            <w:gridSpan w:val="2"/>
            <w:noWrap/>
            <w:vAlign w:val="center"/>
          </w:tcPr>
          <w:p>
            <w:pPr>
              <w:widowControl/>
              <w:spacing w:line="360" w:lineRule="exact"/>
              <w:jc w:val="center"/>
              <w:rPr>
                <w:kern w:val="0"/>
                <w:szCs w:val="21"/>
              </w:rPr>
            </w:pPr>
            <w:r>
              <w:rPr>
                <w:kern w:val="0"/>
                <w:szCs w:val="21"/>
              </w:rPr>
              <w:t>数量</w:t>
            </w:r>
          </w:p>
          <w:p>
            <w:pPr>
              <w:widowControl/>
              <w:spacing w:line="360" w:lineRule="exact"/>
              <w:jc w:val="center"/>
              <w:rPr>
                <w:kern w:val="0"/>
                <w:szCs w:val="21"/>
              </w:rPr>
            </w:pPr>
            <w:r>
              <w:rPr>
                <w:kern w:val="0"/>
                <w:szCs w:val="21"/>
              </w:rPr>
              <w:t>指标</w:t>
            </w:r>
          </w:p>
        </w:tc>
        <w:tc>
          <w:tcPr>
            <w:tcW w:w="367" w:type="pct"/>
            <w:noWrap/>
            <w:vAlign w:val="center"/>
          </w:tcPr>
          <w:p>
            <w:pPr>
              <w:widowControl/>
              <w:spacing w:line="360" w:lineRule="exact"/>
              <w:jc w:val="center"/>
              <w:rPr>
                <w:kern w:val="0"/>
                <w:szCs w:val="21"/>
              </w:rPr>
            </w:pPr>
            <w:r>
              <w:rPr>
                <w:kern w:val="0"/>
                <w:szCs w:val="21"/>
              </w:rPr>
              <w:t>指标1:</w:t>
            </w:r>
          </w:p>
        </w:tc>
        <w:tc>
          <w:tcPr>
            <w:tcW w:w="1240" w:type="pct"/>
            <w:gridSpan w:val="2"/>
            <w:noWrap/>
            <w:vAlign w:val="center"/>
          </w:tcPr>
          <w:p>
            <w:pPr>
              <w:widowControl/>
              <w:spacing w:line="360" w:lineRule="exact"/>
              <w:jc w:val="left"/>
              <w:rPr>
                <w:kern w:val="0"/>
                <w:szCs w:val="21"/>
              </w:rPr>
            </w:pPr>
            <w:r>
              <w:rPr>
                <w:rFonts w:hint="eastAsia"/>
                <w:kern w:val="0"/>
                <w:szCs w:val="21"/>
              </w:rPr>
              <w:t>县投资建设项目服务办</w:t>
            </w:r>
            <w:r>
              <w:rPr>
                <w:rFonts w:hint="eastAsia"/>
                <w:kern w:val="0"/>
                <w:szCs w:val="21"/>
                <w:lang w:val="en-US" w:eastAsia="zh-CN"/>
              </w:rPr>
              <w:t>1</w:t>
            </w:r>
            <w:r>
              <w:rPr>
                <w:rFonts w:hint="eastAsia"/>
                <w:kern w:val="0"/>
                <w:szCs w:val="21"/>
              </w:rPr>
              <w:t>个</w:t>
            </w:r>
          </w:p>
        </w:tc>
        <w:tc>
          <w:tcPr>
            <w:tcW w:w="868" w:type="pct"/>
            <w:gridSpan w:val="2"/>
            <w:noWrap/>
            <w:vAlign w:val="center"/>
          </w:tcPr>
          <w:p>
            <w:pPr>
              <w:widowControl/>
              <w:spacing w:line="360" w:lineRule="exact"/>
              <w:jc w:val="center"/>
              <w:rPr>
                <w:kern w:val="0"/>
                <w:szCs w:val="21"/>
              </w:rPr>
            </w:pPr>
            <w:r>
              <w:rPr>
                <w:rFonts w:hint="eastAsia"/>
                <w:kern w:val="0"/>
                <w:szCs w:val="21"/>
              </w:rPr>
              <w:t>县投资建设项目服务办</w:t>
            </w:r>
            <w:r>
              <w:rPr>
                <w:rFonts w:hint="eastAsia"/>
                <w:kern w:val="0"/>
                <w:szCs w:val="21"/>
                <w:lang w:val="en-US" w:eastAsia="zh-CN"/>
              </w:rPr>
              <w:t>1</w:t>
            </w:r>
            <w:r>
              <w:rPr>
                <w:rFonts w:hint="eastAsia"/>
                <w:kern w:val="0"/>
                <w:szCs w:val="21"/>
              </w:rPr>
              <w:t>个</w:t>
            </w:r>
          </w:p>
        </w:tc>
        <w:tc>
          <w:tcPr>
            <w:tcW w:w="559" w:type="pct"/>
            <w:noWrap/>
            <w:vAlign w:val="center"/>
          </w:tcPr>
          <w:p>
            <w:pPr>
              <w:widowControl/>
              <w:jc w:val="left"/>
              <w:rPr>
                <w:color w:val="000000"/>
                <w:kern w:val="0"/>
                <w:sz w:val="18"/>
                <w:szCs w:val="18"/>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633" w:type="pct"/>
            <w:vMerge w:val="continue"/>
            <w:vAlign w:val="center"/>
          </w:tcPr>
          <w:p>
            <w:pPr>
              <w:widowControl/>
              <w:spacing w:line="360" w:lineRule="exact"/>
              <w:jc w:val="center"/>
              <w:rPr>
                <w:kern w:val="0"/>
                <w:szCs w:val="21"/>
              </w:rPr>
            </w:pPr>
          </w:p>
        </w:tc>
        <w:tc>
          <w:tcPr>
            <w:tcW w:w="499" w:type="pct"/>
            <w:vMerge w:val="continue"/>
            <w:vAlign w:val="center"/>
          </w:tcPr>
          <w:p>
            <w:pPr>
              <w:widowControl/>
              <w:spacing w:line="360" w:lineRule="exact"/>
              <w:jc w:val="center"/>
              <w:rPr>
                <w:kern w:val="0"/>
                <w:szCs w:val="21"/>
              </w:rPr>
            </w:pPr>
          </w:p>
        </w:tc>
        <w:tc>
          <w:tcPr>
            <w:tcW w:w="829" w:type="pct"/>
            <w:gridSpan w:val="2"/>
            <w:noWrap/>
            <w:vAlign w:val="center"/>
          </w:tcPr>
          <w:p>
            <w:pPr>
              <w:widowControl/>
              <w:spacing w:line="360" w:lineRule="exact"/>
              <w:jc w:val="center"/>
              <w:rPr>
                <w:kern w:val="0"/>
                <w:szCs w:val="21"/>
              </w:rPr>
            </w:pPr>
            <w:r>
              <w:rPr>
                <w:kern w:val="0"/>
                <w:szCs w:val="21"/>
              </w:rPr>
              <w:t>质量</w:t>
            </w:r>
          </w:p>
          <w:p>
            <w:pPr>
              <w:widowControl/>
              <w:spacing w:line="360" w:lineRule="exact"/>
              <w:jc w:val="center"/>
              <w:rPr>
                <w:kern w:val="0"/>
                <w:szCs w:val="21"/>
              </w:rPr>
            </w:pPr>
            <w:r>
              <w:rPr>
                <w:kern w:val="0"/>
                <w:szCs w:val="21"/>
              </w:rPr>
              <w:t>指标</w:t>
            </w:r>
          </w:p>
        </w:tc>
        <w:tc>
          <w:tcPr>
            <w:tcW w:w="367" w:type="pct"/>
            <w:noWrap/>
            <w:vAlign w:val="center"/>
          </w:tcPr>
          <w:p>
            <w:pPr>
              <w:widowControl/>
              <w:spacing w:line="360" w:lineRule="exact"/>
              <w:jc w:val="center"/>
              <w:rPr>
                <w:kern w:val="0"/>
                <w:szCs w:val="21"/>
              </w:rPr>
            </w:pPr>
            <w:r>
              <w:rPr>
                <w:kern w:val="0"/>
                <w:szCs w:val="21"/>
              </w:rPr>
              <w:t>指标1:</w:t>
            </w:r>
          </w:p>
        </w:tc>
        <w:tc>
          <w:tcPr>
            <w:tcW w:w="1240" w:type="pct"/>
            <w:gridSpan w:val="2"/>
            <w:noWrap/>
            <w:vAlign w:val="center"/>
          </w:tcPr>
          <w:p>
            <w:pPr>
              <w:widowControl/>
              <w:spacing w:line="360" w:lineRule="exact"/>
              <w:rPr>
                <w:kern w:val="0"/>
                <w:szCs w:val="21"/>
              </w:rPr>
            </w:pPr>
            <w:r>
              <w:rPr>
                <w:rFonts w:hint="eastAsia"/>
                <w:kern w:val="0"/>
                <w:szCs w:val="21"/>
              </w:rPr>
              <w:t>提高办事效率</w:t>
            </w:r>
            <w:r>
              <w:rPr>
                <w:rFonts w:hint="eastAsia"/>
                <w:kern w:val="0"/>
                <w:szCs w:val="21"/>
                <w:lang w:eastAsia="zh-CN"/>
              </w:rPr>
              <w:t>，</w:t>
            </w:r>
            <w:r>
              <w:rPr>
                <w:rFonts w:hint="eastAsia"/>
                <w:kern w:val="0"/>
                <w:szCs w:val="21"/>
              </w:rPr>
              <w:t>业务正常办理率100%</w:t>
            </w:r>
          </w:p>
        </w:tc>
        <w:tc>
          <w:tcPr>
            <w:tcW w:w="868" w:type="pct"/>
            <w:gridSpan w:val="2"/>
            <w:noWrap/>
            <w:vAlign w:val="center"/>
          </w:tcPr>
          <w:p>
            <w:pPr>
              <w:widowControl/>
              <w:spacing w:line="360" w:lineRule="exact"/>
              <w:jc w:val="center"/>
              <w:rPr>
                <w:kern w:val="0"/>
                <w:szCs w:val="21"/>
              </w:rPr>
            </w:pPr>
            <w:r>
              <w:rPr>
                <w:rFonts w:hint="eastAsia"/>
                <w:kern w:val="0"/>
                <w:szCs w:val="21"/>
              </w:rPr>
              <w:t>提高办事效率</w:t>
            </w:r>
            <w:r>
              <w:rPr>
                <w:rFonts w:hint="eastAsia"/>
                <w:kern w:val="0"/>
                <w:szCs w:val="21"/>
                <w:lang w:eastAsia="zh-CN"/>
              </w:rPr>
              <w:t>，</w:t>
            </w:r>
            <w:r>
              <w:rPr>
                <w:rFonts w:hint="eastAsia"/>
                <w:kern w:val="0"/>
                <w:szCs w:val="21"/>
              </w:rPr>
              <w:t>业务正常办理率100%</w:t>
            </w:r>
          </w:p>
        </w:tc>
        <w:tc>
          <w:tcPr>
            <w:tcW w:w="559" w:type="pct"/>
            <w:noWrap/>
            <w:vAlign w:val="center"/>
          </w:tcPr>
          <w:p>
            <w:pPr>
              <w:widowControl/>
              <w:jc w:val="left"/>
              <w:rPr>
                <w:color w:val="000000"/>
                <w:kern w:val="0"/>
                <w:sz w:val="18"/>
                <w:szCs w:val="18"/>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33" w:type="pct"/>
            <w:vMerge w:val="continue"/>
            <w:vAlign w:val="center"/>
          </w:tcPr>
          <w:p>
            <w:pPr>
              <w:widowControl/>
              <w:spacing w:line="360" w:lineRule="exact"/>
              <w:jc w:val="center"/>
              <w:rPr>
                <w:kern w:val="0"/>
                <w:szCs w:val="21"/>
              </w:rPr>
            </w:pPr>
          </w:p>
        </w:tc>
        <w:tc>
          <w:tcPr>
            <w:tcW w:w="499" w:type="pct"/>
            <w:vMerge w:val="continue"/>
            <w:vAlign w:val="center"/>
          </w:tcPr>
          <w:p>
            <w:pPr>
              <w:widowControl/>
              <w:spacing w:line="360" w:lineRule="exact"/>
              <w:jc w:val="center"/>
              <w:rPr>
                <w:kern w:val="0"/>
                <w:szCs w:val="21"/>
              </w:rPr>
            </w:pPr>
          </w:p>
        </w:tc>
        <w:tc>
          <w:tcPr>
            <w:tcW w:w="829" w:type="pct"/>
            <w:gridSpan w:val="2"/>
            <w:noWrap/>
            <w:vAlign w:val="center"/>
          </w:tcPr>
          <w:p>
            <w:pPr>
              <w:widowControl/>
              <w:spacing w:line="360" w:lineRule="exact"/>
              <w:jc w:val="center"/>
              <w:rPr>
                <w:kern w:val="0"/>
                <w:szCs w:val="21"/>
              </w:rPr>
            </w:pPr>
            <w:r>
              <w:rPr>
                <w:kern w:val="0"/>
                <w:szCs w:val="21"/>
              </w:rPr>
              <w:t>时效</w:t>
            </w:r>
          </w:p>
          <w:p>
            <w:pPr>
              <w:widowControl/>
              <w:spacing w:line="360" w:lineRule="exact"/>
              <w:jc w:val="center"/>
              <w:rPr>
                <w:kern w:val="0"/>
                <w:szCs w:val="21"/>
              </w:rPr>
            </w:pPr>
            <w:r>
              <w:rPr>
                <w:kern w:val="0"/>
                <w:szCs w:val="21"/>
              </w:rPr>
              <w:t>指标</w:t>
            </w:r>
          </w:p>
        </w:tc>
        <w:tc>
          <w:tcPr>
            <w:tcW w:w="367" w:type="pct"/>
            <w:noWrap/>
            <w:vAlign w:val="center"/>
          </w:tcPr>
          <w:p>
            <w:pPr>
              <w:widowControl/>
              <w:spacing w:line="360" w:lineRule="exact"/>
              <w:jc w:val="center"/>
              <w:rPr>
                <w:kern w:val="0"/>
                <w:szCs w:val="21"/>
              </w:rPr>
            </w:pPr>
            <w:r>
              <w:rPr>
                <w:kern w:val="0"/>
                <w:szCs w:val="21"/>
              </w:rPr>
              <w:t>指</w:t>
            </w:r>
            <w:r>
              <w:rPr>
                <w:rFonts w:hint="eastAsia"/>
                <w:kern w:val="0"/>
                <w:szCs w:val="21"/>
              </w:rPr>
              <w:t>标</w:t>
            </w:r>
          </w:p>
        </w:tc>
        <w:tc>
          <w:tcPr>
            <w:tcW w:w="1240" w:type="pct"/>
            <w:gridSpan w:val="2"/>
            <w:noWrap/>
            <w:vAlign w:val="center"/>
          </w:tcPr>
          <w:p>
            <w:pPr>
              <w:widowControl/>
              <w:spacing w:line="360" w:lineRule="exact"/>
              <w:jc w:val="center"/>
              <w:rPr>
                <w:kern w:val="0"/>
                <w:szCs w:val="21"/>
              </w:rPr>
            </w:pPr>
            <w:r>
              <w:rPr>
                <w:rFonts w:hint="eastAsia"/>
                <w:kern w:val="0"/>
                <w:szCs w:val="21"/>
              </w:rPr>
              <w:t>202</w:t>
            </w:r>
            <w:r>
              <w:rPr>
                <w:rFonts w:hint="eastAsia"/>
                <w:kern w:val="0"/>
                <w:szCs w:val="21"/>
                <w:lang w:val="en-US" w:eastAsia="zh-CN"/>
              </w:rPr>
              <w:t>2</w:t>
            </w:r>
            <w:r>
              <w:rPr>
                <w:rFonts w:hint="eastAsia"/>
                <w:kern w:val="0"/>
                <w:szCs w:val="21"/>
              </w:rPr>
              <w:t>年</w:t>
            </w:r>
          </w:p>
        </w:tc>
        <w:tc>
          <w:tcPr>
            <w:tcW w:w="868" w:type="pct"/>
            <w:gridSpan w:val="2"/>
            <w:noWrap/>
            <w:vAlign w:val="center"/>
          </w:tcPr>
          <w:p>
            <w:pPr>
              <w:widowControl/>
              <w:spacing w:line="360" w:lineRule="exact"/>
              <w:jc w:val="center"/>
              <w:rPr>
                <w:kern w:val="0"/>
                <w:szCs w:val="21"/>
              </w:rPr>
            </w:pPr>
            <w:r>
              <w:rPr>
                <w:rFonts w:hint="eastAsia"/>
                <w:kern w:val="0"/>
                <w:szCs w:val="21"/>
              </w:rPr>
              <w:t>202</w:t>
            </w:r>
            <w:r>
              <w:rPr>
                <w:rFonts w:hint="eastAsia"/>
                <w:kern w:val="0"/>
                <w:szCs w:val="21"/>
                <w:lang w:val="en-US" w:eastAsia="zh-CN"/>
              </w:rPr>
              <w:t>2</w:t>
            </w:r>
            <w:r>
              <w:rPr>
                <w:rFonts w:hint="eastAsia"/>
                <w:kern w:val="0"/>
                <w:szCs w:val="21"/>
              </w:rPr>
              <w:t>年</w:t>
            </w:r>
          </w:p>
        </w:tc>
        <w:tc>
          <w:tcPr>
            <w:tcW w:w="559" w:type="pct"/>
            <w:noWrap/>
            <w:vAlign w:val="center"/>
          </w:tcPr>
          <w:p>
            <w:pPr>
              <w:widowControl/>
              <w:jc w:val="left"/>
              <w:rPr>
                <w:color w:val="000000"/>
                <w:kern w:val="0"/>
                <w:sz w:val="18"/>
                <w:szCs w:val="18"/>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633" w:type="pct"/>
            <w:vMerge w:val="continue"/>
            <w:vAlign w:val="center"/>
          </w:tcPr>
          <w:p>
            <w:pPr>
              <w:widowControl/>
              <w:spacing w:line="360" w:lineRule="exact"/>
              <w:jc w:val="center"/>
              <w:rPr>
                <w:kern w:val="0"/>
                <w:szCs w:val="21"/>
              </w:rPr>
            </w:pPr>
          </w:p>
        </w:tc>
        <w:tc>
          <w:tcPr>
            <w:tcW w:w="499" w:type="pct"/>
            <w:vMerge w:val="continue"/>
            <w:vAlign w:val="center"/>
          </w:tcPr>
          <w:p>
            <w:pPr>
              <w:widowControl/>
              <w:spacing w:line="360" w:lineRule="exact"/>
              <w:jc w:val="center"/>
              <w:rPr>
                <w:kern w:val="0"/>
                <w:szCs w:val="21"/>
              </w:rPr>
            </w:pPr>
          </w:p>
        </w:tc>
        <w:tc>
          <w:tcPr>
            <w:tcW w:w="829" w:type="pct"/>
            <w:gridSpan w:val="2"/>
            <w:noWrap/>
            <w:vAlign w:val="center"/>
          </w:tcPr>
          <w:p>
            <w:pPr>
              <w:widowControl/>
              <w:spacing w:line="360" w:lineRule="exact"/>
              <w:jc w:val="center"/>
              <w:rPr>
                <w:kern w:val="0"/>
                <w:szCs w:val="21"/>
              </w:rPr>
            </w:pPr>
            <w:r>
              <w:rPr>
                <w:kern w:val="0"/>
                <w:szCs w:val="21"/>
              </w:rPr>
              <w:t>成本</w:t>
            </w:r>
          </w:p>
          <w:p>
            <w:pPr>
              <w:widowControl/>
              <w:spacing w:line="360" w:lineRule="exact"/>
              <w:jc w:val="center"/>
              <w:rPr>
                <w:kern w:val="0"/>
                <w:szCs w:val="21"/>
              </w:rPr>
            </w:pPr>
            <w:r>
              <w:rPr>
                <w:kern w:val="0"/>
                <w:szCs w:val="21"/>
              </w:rPr>
              <w:t>指标</w:t>
            </w:r>
          </w:p>
        </w:tc>
        <w:tc>
          <w:tcPr>
            <w:tcW w:w="367" w:type="pct"/>
            <w:noWrap/>
            <w:vAlign w:val="center"/>
          </w:tcPr>
          <w:p>
            <w:pPr>
              <w:widowControl/>
              <w:spacing w:line="360" w:lineRule="exact"/>
              <w:jc w:val="center"/>
              <w:rPr>
                <w:kern w:val="0"/>
                <w:szCs w:val="21"/>
              </w:rPr>
            </w:pPr>
            <w:r>
              <w:rPr>
                <w:kern w:val="0"/>
                <w:szCs w:val="21"/>
              </w:rPr>
              <w:t>指标1:</w:t>
            </w:r>
          </w:p>
        </w:tc>
        <w:tc>
          <w:tcPr>
            <w:tcW w:w="1240" w:type="pct"/>
            <w:gridSpan w:val="2"/>
            <w:noWrap/>
            <w:vAlign w:val="center"/>
          </w:tcPr>
          <w:p>
            <w:pPr>
              <w:widowControl/>
              <w:spacing w:line="360" w:lineRule="exact"/>
              <w:jc w:val="center"/>
              <w:rPr>
                <w:kern w:val="0"/>
                <w:szCs w:val="21"/>
              </w:rPr>
            </w:pPr>
            <w:r>
              <w:rPr>
                <w:rFonts w:hint="eastAsia"/>
                <w:kern w:val="0"/>
                <w:szCs w:val="21"/>
              </w:rPr>
              <w:t>202</w:t>
            </w:r>
            <w:r>
              <w:rPr>
                <w:rFonts w:hint="eastAsia"/>
                <w:kern w:val="0"/>
                <w:szCs w:val="21"/>
                <w:lang w:val="en-US" w:eastAsia="zh-CN"/>
              </w:rPr>
              <w:t>2</w:t>
            </w:r>
            <w:r>
              <w:rPr>
                <w:rFonts w:hint="eastAsia"/>
                <w:kern w:val="0"/>
                <w:szCs w:val="21"/>
              </w:rPr>
              <w:t>年8万元</w:t>
            </w:r>
          </w:p>
        </w:tc>
        <w:tc>
          <w:tcPr>
            <w:tcW w:w="868" w:type="pct"/>
            <w:gridSpan w:val="2"/>
            <w:noWrap/>
            <w:vAlign w:val="center"/>
          </w:tcPr>
          <w:p>
            <w:pPr>
              <w:widowControl/>
              <w:spacing w:line="360" w:lineRule="exact"/>
              <w:jc w:val="center"/>
              <w:rPr>
                <w:kern w:val="0"/>
                <w:szCs w:val="21"/>
              </w:rPr>
            </w:pPr>
            <w:r>
              <w:rPr>
                <w:rFonts w:hint="eastAsia"/>
                <w:kern w:val="0"/>
                <w:szCs w:val="21"/>
              </w:rPr>
              <w:t>202</w:t>
            </w:r>
            <w:r>
              <w:rPr>
                <w:rFonts w:hint="eastAsia"/>
                <w:kern w:val="0"/>
                <w:szCs w:val="21"/>
                <w:lang w:val="en-US" w:eastAsia="zh-CN"/>
              </w:rPr>
              <w:t>2</w:t>
            </w:r>
            <w:r>
              <w:rPr>
                <w:rFonts w:hint="eastAsia"/>
                <w:kern w:val="0"/>
                <w:szCs w:val="21"/>
              </w:rPr>
              <w:t>年</w:t>
            </w:r>
            <w:r>
              <w:rPr>
                <w:rFonts w:hint="eastAsia"/>
                <w:kern w:val="0"/>
                <w:szCs w:val="21"/>
                <w:lang w:val="en-US" w:eastAsia="zh-CN"/>
              </w:rPr>
              <w:t>4.32</w:t>
            </w:r>
            <w:bookmarkStart w:id="129" w:name="_GoBack"/>
            <w:bookmarkEnd w:id="129"/>
            <w:r>
              <w:rPr>
                <w:rFonts w:hint="eastAsia"/>
                <w:kern w:val="0"/>
                <w:szCs w:val="21"/>
              </w:rPr>
              <w:t>万元</w:t>
            </w:r>
          </w:p>
        </w:tc>
        <w:tc>
          <w:tcPr>
            <w:tcW w:w="559" w:type="pct"/>
            <w:noWrap/>
            <w:vAlign w:val="center"/>
          </w:tcPr>
          <w:p>
            <w:pPr>
              <w:widowControl/>
              <w:jc w:val="left"/>
              <w:rPr>
                <w:rFonts w:hint="default" w:eastAsia="宋体"/>
                <w:color w:val="000000"/>
                <w:kern w:val="0"/>
                <w:sz w:val="18"/>
                <w:szCs w:val="18"/>
                <w:lang w:val="en-US" w:eastAsia="zh-CN"/>
              </w:rPr>
            </w:pPr>
            <w:r>
              <w:rPr>
                <w:rFonts w:hint="eastAsia"/>
                <w:color w:val="000000"/>
                <w:kern w:val="0"/>
                <w:sz w:val="18"/>
                <w:szCs w:val="18"/>
                <w:lang w:val="en-US" w:eastAsia="zh-CN"/>
              </w:rPr>
              <w:t xml:space="preserve">资金拨付进度缓慢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633" w:type="pct"/>
            <w:vMerge w:val="restart"/>
            <w:vAlign w:val="center"/>
          </w:tcPr>
          <w:p>
            <w:pPr>
              <w:widowControl/>
              <w:spacing w:line="360" w:lineRule="exact"/>
              <w:jc w:val="center"/>
              <w:rPr>
                <w:kern w:val="0"/>
                <w:szCs w:val="21"/>
              </w:rPr>
            </w:pPr>
            <w:r>
              <w:rPr>
                <w:kern w:val="0"/>
                <w:szCs w:val="21"/>
              </w:rPr>
              <w:t>年度绩效指标</w:t>
            </w:r>
          </w:p>
        </w:tc>
        <w:tc>
          <w:tcPr>
            <w:tcW w:w="499" w:type="pct"/>
            <w:vMerge w:val="restart"/>
            <w:noWrap/>
            <w:vAlign w:val="center"/>
          </w:tcPr>
          <w:p>
            <w:pPr>
              <w:widowControl/>
              <w:spacing w:line="360" w:lineRule="exact"/>
              <w:jc w:val="center"/>
              <w:rPr>
                <w:kern w:val="0"/>
                <w:szCs w:val="21"/>
              </w:rPr>
            </w:pPr>
            <w:r>
              <w:rPr>
                <w:kern w:val="0"/>
                <w:szCs w:val="21"/>
              </w:rPr>
              <w:t>项目</w:t>
            </w:r>
          </w:p>
          <w:p>
            <w:pPr>
              <w:widowControl/>
              <w:spacing w:line="360" w:lineRule="exact"/>
              <w:jc w:val="center"/>
              <w:rPr>
                <w:kern w:val="0"/>
                <w:szCs w:val="21"/>
              </w:rPr>
            </w:pPr>
            <w:r>
              <w:rPr>
                <w:kern w:val="0"/>
                <w:szCs w:val="21"/>
              </w:rPr>
              <w:t>效益</w:t>
            </w:r>
          </w:p>
        </w:tc>
        <w:tc>
          <w:tcPr>
            <w:tcW w:w="829" w:type="pct"/>
            <w:gridSpan w:val="2"/>
            <w:noWrap/>
            <w:vAlign w:val="center"/>
          </w:tcPr>
          <w:p>
            <w:pPr>
              <w:widowControl/>
              <w:spacing w:line="360" w:lineRule="exact"/>
              <w:jc w:val="center"/>
              <w:rPr>
                <w:kern w:val="0"/>
                <w:szCs w:val="21"/>
              </w:rPr>
            </w:pPr>
            <w:r>
              <w:rPr>
                <w:kern w:val="0"/>
                <w:szCs w:val="21"/>
              </w:rPr>
              <w:t>经济效益指标</w:t>
            </w:r>
          </w:p>
        </w:tc>
        <w:tc>
          <w:tcPr>
            <w:tcW w:w="367" w:type="pct"/>
            <w:noWrap/>
            <w:vAlign w:val="center"/>
          </w:tcPr>
          <w:p>
            <w:pPr>
              <w:widowControl/>
              <w:spacing w:line="360" w:lineRule="exact"/>
              <w:jc w:val="left"/>
              <w:rPr>
                <w:kern w:val="0"/>
                <w:szCs w:val="21"/>
              </w:rPr>
            </w:pPr>
            <w:r>
              <w:rPr>
                <w:kern w:val="0"/>
                <w:szCs w:val="21"/>
              </w:rPr>
              <w:t>指标1:</w:t>
            </w:r>
          </w:p>
        </w:tc>
        <w:tc>
          <w:tcPr>
            <w:tcW w:w="1240" w:type="pct"/>
            <w:gridSpan w:val="2"/>
            <w:noWrap/>
            <w:vAlign w:val="center"/>
          </w:tcPr>
          <w:p>
            <w:pPr>
              <w:widowControl/>
              <w:spacing w:line="360" w:lineRule="exact"/>
              <w:jc w:val="left"/>
              <w:rPr>
                <w:kern w:val="0"/>
                <w:szCs w:val="21"/>
              </w:rPr>
            </w:pPr>
            <w:r>
              <w:rPr>
                <w:rFonts w:hint="eastAsia"/>
                <w:kern w:val="0"/>
                <w:szCs w:val="21"/>
              </w:rPr>
              <w:t>确保行政审批项目按时办结达到9</w:t>
            </w:r>
            <w:r>
              <w:rPr>
                <w:rFonts w:hint="eastAsia"/>
                <w:kern w:val="0"/>
                <w:szCs w:val="21"/>
                <w:lang w:val="en-US" w:eastAsia="zh-CN"/>
              </w:rPr>
              <w:t>5</w:t>
            </w:r>
            <w:r>
              <w:rPr>
                <w:rFonts w:hint="eastAsia"/>
                <w:kern w:val="0"/>
                <w:szCs w:val="21"/>
              </w:rPr>
              <w:t>%</w:t>
            </w:r>
          </w:p>
        </w:tc>
        <w:tc>
          <w:tcPr>
            <w:tcW w:w="868" w:type="pct"/>
            <w:gridSpan w:val="2"/>
            <w:noWrap/>
            <w:vAlign w:val="center"/>
          </w:tcPr>
          <w:p>
            <w:pPr>
              <w:widowControl/>
              <w:spacing w:line="360" w:lineRule="exact"/>
              <w:jc w:val="left"/>
              <w:rPr>
                <w:rFonts w:ascii="Times New Roman" w:hAnsi="Times New Roman" w:eastAsia="宋体" w:cs="Times New Roman"/>
                <w:kern w:val="0"/>
                <w:sz w:val="21"/>
                <w:szCs w:val="21"/>
                <w:lang w:val="en-US" w:eastAsia="zh-CN" w:bidi="ar-SA"/>
              </w:rPr>
            </w:pPr>
            <w:r>
              <w:rPr>
                <w:rFonts w:hint="eastAsia"/>
                <w:kern w:val="0"/>
                <w:szCs w:val="21"/>
              </w:rPr>
              <w:t>确保行政审批项目按时办结达到9</w:t>
            </w:r>
            <w:r>
              <w:rPr>
                <w:rFonts w:hint="eastAsia"/>
                <w:kern w:val="0"/>
                <w:szCs w:val="21"/>
                <w:lang w:val="en-US" w:eastAsia="zh-CN"/>
              </w:rPr>
              <w:t>5</w:t>
            </w:r>
            <w:r>
              <w:rPr>
                <w:rFonts w:hint="eastAsia"/>
                <w:kern w:val="0"/>
                <w:szCs w:val="21"/>
              </w:rPr>
              <w:t>%</w:t>
            </w:r>
          </w:p>
        </w:tc>
        <w:tc>
          <w:tcPr>
            <w:tcW w:w="559" w:type="pct"/>
            <w:noWrap/>
            <w:vAlign w:val="center"/>
          </w:tcPr>
          <w:p>
            <w:pPr>
              <w:widowControl/>
              <w:jc w:val="left"/>
              <w:rPr>
                <w:color w:val="000000"/>
                <w:kern w:val="0"/>
                <w:sz w:val="18"/>
                <w:szCs w:val="18"/>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633" w:type="pct"/>
            <w:vMerge w:val="continue"/>
            <w:vAlign w:val="center"/>
          </w:tcPr>
          <w:p>
            <w:pPr>
              <w:widowControl/>
              <w:spacing w:line="360" w:lineRule="exact"/>
              <w:jc w:val="center"/>
              <w:rPr>
                <w:kern w:val="0"/>
                <w:szCs w:val="21"/>
              </w:rPr>
            </w:pPr>
          </w:p>
        </w:tc>
        <w:tc>
          <w:tcPr>
            <w:tcW w:w="499" w:type="pct"/>
            <w:vMerge w:val="continue"/>
            <w:vAlign w:val="center"/>
          </w:tcPr>
          <w:p>
            <w:pPr>
              <w:widowControl/>
              <w:spacing w:line="360" w:lineRule="exact"/>
              <w:jc w:val="center"/>
              <w:rPr>
                <w:kern w:val="0"/>
                <w:szCs w:val="21"/>
              </w:rPr>
            </w:pPr>
          </w:p>
        </w:tc>
        <w:tc>
          <w:tcPr>
            <w:tcW w:w="829" w:type="pct"/>
            <w:gridSpan w:val="2"/>
            <w:noWrap/>
            <w:vAlign w:val="center"/>
          </w:tcPr>
          <w:p>
            <w:pPr>
              <w:widowControl/>
              <w:spacing w:line="360" w:lineRule="exact"/>
              <w:jc w:val="center"/>
              <w:rPr>
                <w:kern w:val="0"/>
                <w:szCs w:val="21"/>
              </w:rPr>
            </w:pPr>
            <w:r>
              <w:rPr>
                <w:kern w:val="0"/>
                <w:szCs w:val="21"/>
              </w:rPr>
              <w:t>可持续影响指标</w:t>
            </w:r>
          </w:p>
        </w:tc>
        <w:tc>
          <w:tcPr>
            <w:tcW w:w="367" w:type="pct"/>
            <w:noWrap/>
            <w:vAlign w:val="center"/>
          </w:tcPr>
          <w:p>
            <w:pPr>
              <w:widowControl/>
              <w:spacing w:line="360" w:lineRule="exact"/>
              <w:jc w:val="center"/>
              <w:rPr>
                <w:kern w:val="0"/>
                <w:szCs w:val="21"/>
              </w:rPr>
            </w:pPr>
            <w:r>
              <w:rPr>
                <w:kern w:val="0"/>
                <w:szCs w:val="21"/>
              </w:rPr>
              <w:t>指标1:</w:t>
            </w:r>
          </w:p>
        </w:tc>
        <w:tc>
          <w:tcPr>
            <w:tcW w:w="1240" w:type="pct"/>
            <w:gridSpan w:val="2"/>
            <w:noWrap/>
            <w:vAlign w:val="center"/>
          </w:tcPr>
          <w:p>
            <w:pPr>
              <w:widowControl/>
              <w:spacing w:line="360" w:lineRule="exact"/>
              <w:jc w:val="center"/>
              <w:rPr>
                <w:kern w:val="0"/>
                <w:szCs w:val="21"/>
              </w:rPr>
            </w:pPr>
            <w:r>
              <w:rPr>
                <w:rFonts w:hint="eastAsia"/>
                <w:kern w:val="0"/>
                <w:szCs w:val="21"/>
              </w:rPr>
              <w:t>规范行政审批前置条件，进一步简化办事程序</w:t>
            </w:r>
          </w:p>
        </w:tc>
        <w:tc>
          <w:tcPr>
            <w:tcW w:w="868" w:type="pct"/>
            <w:gridSpan w:val="2"/>
            <w:noWrap/>
            <w:vAlign w:val="center"/>
          </w:tcPr>
          <w:p>
            <w:pPr>
              <w:widowControl/>
              <w:spacing w:line="360" w:lineRule="exact"/>
              <w:jc w:val="center"/>
              <w:rPr>
                <w:kern w:val="0"/>
                <w:szCs w:val="21"/>
              </w:rPr>
            </w:pPr>
            <w:r>
              <w:rPr>
                <w:rFonts w:hint="eastAsia"/>
                <w:kern w:val="0"/>
                <w:szCs w:val="21"/>
              </w:rPr>
              <w:t>规范行政审批前置条件，进一步简化办事程序，</w:t>
            </w:r>
          </w:p>
        </w:tc>
        <w:tc>
          <w:tcPr>
            <w:tcW w:w="559" w:type="pct"/>
            <w:noWrap/>
            <w:vAlign w:val="center"/>
          </w:tcPr>
          <w:p>
            <w:pPr>
              <w:widowControl/>
              <w:jc w:val="left"/>
              <w:rPr>
                <w:color w:val="000000"/>
                <w:kern w:val="0"/>
                <w:sz w:val="18"/>
                <w:szCs w:val="18"/>
              </w:rPr>
            </w:pPr>
            <w:r>
              <w:rPr>
                <w:rFonts w:hint="eastAsia"/>
                <w:kern w:val="0"/>
                <w:szCs w:val="21"/>
              </w:rPr>
              <w:t>无偏差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633" w:type="pct"/>
            <w:vMerge w:val="continue"/>
            <w:vAlign w:val="center"/>
          </w:tcPr>
          <w:p>
            <w:pPr>
              <w:widowControl/>
              <w:spacing w:line="360" w:lineRule="exact"/>
              <w:jc w:val="center"/>
              <w:rPr>
                <w:kern w:val="0"/>
                <w:szCs w:val="21"/>
              </w:rPr>
            </w:pPr>
          </w:p>
        </w:tc>
        <w:tc>
          <w:tcPr>
            <w:tcW w:w="499" w:type="pct"/>
            <w:vMerge w:val="continue"/>
            <w:vAlign w:val="center"/>
          </w:tcPr>
          <w:p>
            <w:pPr>
              <w:widowControl/>
              <w:spacing w:line="360" w:lineRule="exact"/>
              <w:jc w:val="center"/>
              <w:rPr>
                <w:kern w:val="0"/>
                <w:szCs w:val="21"/>
              </w:rPr>
            </w:pPr>
          </w:p>
        </w:tc>
        <w:tc>
          <w:tcPr>
            <w:tcW w:w="829" w:type="pct"/>
            <w:gridSpan w:val="2"/>
            <w:noWrap/>
            <w:vAlign w:val="center"/>
          </w:tcPr>
          <w:p>
            <w:pPr>
              <w:widowControl/>
              <w:spacing w:line="360" w:lineRule="exact"/>
              <w:jc w:val="center"/>
              <w:rPr>
                <w:kern w:val="0"/>
                <w:szCs w:val="21"/>
              </w:rPr>
            </w:pPr>
            <w:r>
              <w:rPr>
                <w:kern w:val="0"/>
                <w:szCs w:val="21"/>
              </w:rPr>
              <w:t>满意度</w:t>
            </w:r>
          </w:p>
          <w:p>
            <w:pPr>
              <w:widowControl/>
              <w:spacing w:line="360" w:lineRule="exact"/>
              <w:jc w:val="center"/>
              <w:rPr>
                <w:kern w:val="0"/>
                <w:szCs w:val="21"/>
              </w:rPr>
            </w:pPr>
            <w:r>
              <w:rPr>
                <w:kern w:val="0"/>
                <w:szCs w:val="21"/>
              </w:rPr>
              <w:t>指标</w:t>
            </w:r>
          </w:p>
        </w:tc>
        <w:tc>
          <w:tcPr>
            <w:tcW w:w="367" w:type="pct"/>
            <w:noWrap/>
            <w:vAlign w:val="center"/>
          </w:tcPr>
          <w:p>
            <w:pPr>
              <w:widowControl/>
              <w:spacing w:line="360" w:lineRule="exact"/>
              <w:jc w:val="center"/>
              <w:rPr>
                <w:kern w:val="0"/>
                <w:szCs w:val="21"/>
              </w:rPr>
            </w:pPr>
            <w:r>
              <w:rPr>
                <w:kern w:val="0"/>
                <w:szCs w:val="21"/>
              </w:rPr>
              <w:t>指标1:</w:t>
            </w:r>
          </w:p>
        </w:tc>
        <w:tc>
          <w:tcPr>
            <w:tcW w:w="1240" w:type="pct"/>
            <w:gridSpan w:val="2"/>
            <w:noWrap/>
            <w:vAlign w:val="center"/>
          </w:tcPr>
          <w:p>
            <w:pPr>
              <w:widowControl/>
              <w:spacing w:line="360" w:lineRule="exact"/>
              <w:jc w:val="center"/>
              <w:rPr>
                <w:rFonts w:hint="default" w:eastAsia="宋体"/>
                <w:kern w:val="0"/>
                <w:szCs w:val="21"/>
                <w:lang w:val="en-US" w:eastAsia="zh-CN"/>
              </w:rPr>
            </w:pPr>
            <w:r>
              <w:rPr>
                <w:rFonts w:hint="eastAsia"/>
                <w:kern w:val="0"/>
                <w:szCs w:val="21"/>
              </w:rPr>
              <w:t>群众满意率达到</w:t>
            </w:r>
            <w:r>
              <w:rPr>
                <w:rFonts w:hint="eastAsia"/>
                <w:kern w:val="0"/>
                <w:szCs w:val="21"/>
                <w:lang w:val="en-US" w:eastAsia="zh-CN"/>
              </w:rPr>
              <w:t>95</w:t>
            </w:r>
            <w:r>
              <w:rPr>
                <w:rFonts w:hint="eastAsia"/>
                <w:kern w:val="0"/>
                <w:szCs w:val="21"/>
              </w:rPr>
              <w:t>%</w:t>
            </w:r>
            <w:r>
              <w:rPr>
                <w:rFonts w:hint="eastAsia"/>
                <w:kern w:val="0"/>
                <w:szCs w:val="21"/>
                <w:lang w:val="en-US" w:eastAsia="zh-CN"/>
              </w:rPr>
              <w:t>以上</w:t>
            </w:r>
          </w:p>
        </w:tc>
        <w:tc>
          <w:tcPr>
            <w:tcW w:w="868" w:type="pct"/>
            <w:gridSpan w:val="2"/>
            <w:noWrap/>
            <w:vAlign w:val="center"/>
          </w:tcPr>
          <w:p>
            <w:pPr>
              <w:widowControl/>
              <w:spacing w:line="360" w:lineRule="exact"/>
              <w:jc w:val="center"/>
              <w:rPr>
                <w:rFonts w:hint="default" w:eastAsia="宋体"/>
                <w:kern w:val="0"/>
                <w:szCs w:val="21"/>
                <w:lang w:val="en-US" w:eastAsia="zh-CN"/>
              </w:rPr>
            </w:pPr>
            <w:r>
              <w:rPr>
                <w:rFonts w:hint="eastAsia"/>
                <w:kern w:val="0"/>
                <w:szCs w:val="21"/>
              </w:rPr>
              <w:t>群众满意率达到</w:t>
            </w:r>
            <w:r>
              <w:rPr>
                <w:rFonts w:hint="eastAsia"/>
                <w:kern w:val="0"/>
                <w:szCs w:val="21"/>
                <w:lang w:val="en-US" w:eastAsia="zh-CN"/>
              </w:rPr>
              <w:t>95</w:t>
            </w:r>
            <w:r>
              <w:rPr>
                <w:rFonts w:hint="eastAsia"/>
                <w:kern w:val="0"/>
                <w:szCs w:val="21"/>
              </w:rPr>
              <w:t>%</w:t>
            </w:r>
            <w:r>
              <w:rPr>
                <w:rFonts w:hint="eastAsia"/>
                <w:kern w:val="0"/>
                <w:szCs w:val="21"/>
                <w:lang w:val="en-US" w:eastAsia="zh-CN"/>
              </w:rPr>
              <w:t>以上</w:t>
            </w:r>
          </w:p>
        </w:tc>
        <w:tc>
          <w:tcPr>
            <w:tcW w:w="559" w:type="pct"/>
            <w:noWrap/>
            <w:vAlign w:val="center"/>
          </w:tcPr>
          <w:p>
            <w:pPr>
              <w:widowControl/>
              <w:jc w:val="left"/>
              <w:rPr>
                <w:color w:val="000000"/>
                <w:kern w:val="0"/>
                <w:sz w:val="18"/>
                <w:szCs w:val="18"/>
              </w:rPr>
            </w:pPr>
            <w:r>
              <w:rPr>
                <w:rFonts w:hint="eastAsia"/>
                <w:kern w:val="0"/>
                <w:szCs w:val="21"/>
              </w:rPr>
              <w:t>无偏差</w:t>
            </w:r>
          </w:p>
        </w:tc>
      </w:tr>
    </w:tbl>
    <w:p>
      <w:pPr>
        <w:spacing w:line="620" w:lineRule="exact"/>
        <w:jc w:val="left"/>
        <w:rPr>
          <w:rFonts w:hint="eastAsia" w:eastAsia="方正黑体简体"/>
          <w:bCs/>
          <w:kern w:val="0"/>
          <w:sz w:val="32"/>
          <w:szCs w:val="32"/>
        </w:rPr>
      </w:pPr>
    </w:p>
    <w:p>
      <w:pPr>
        <w:pStyle w:val="27"/>
      </w:pPr>
    </w:p>
    <w:p>
      <w:pPr>
        <w:pStyle w:val="2"/>
        <w:numPr>
          <w:ilvl w:val="0"/>
          <w:numId w:val="0"/>
        </w:numPr>
        <w:ind w:leftChars="150"/>
      </w:pPr>
    </w:p>
    <w:p>
      <w:pPr>
        <w:pStyle w:val="2"/>
        <w:spacing w:before="93"/>
        <w:rPr>
          <w:sz w:val="32"/>
          <w:szCs w:val="32"/>
        </w:rPr>
      </w:pPr>
    </w:p>
    <w:p>
      <w:pPr>
        <w:spacing w:line="600" w:lineRule="exact"/>
        <w:ind w:firstLine="880" w:firstLineChars="200"/>
        <w:jc w:val="both"/>
        <w:outlineLvl w:val="0"/>
        <w:rPr>
          <w:rFonts w:ascii="仿宋" w:hAnsi="仿宋" w:eastAsia="仿宋"/>
        </w:rPr>
      </w:pPr>
      <w:bookmarkStart w:id="101" w:name="_Toc13698"/>
      <w:bookmarkStart w:id="102" w:name="_Toc15396618"/>
      <w:r>
        <w:rPr>
          <w:rFonts w:hint="eastAsia" w:ascii="黑体" w:hAnsi="黑体" w:eastAsia="黑体"/>
          <w:sz w:val="44"/>
          <w:szCs w:val="44"/>
        </w:rPr>
        <w:t>第</w:t>
      </w:r>
      <w:r>
        <w:rPr>
          <w:rStyle w:val="29"/>
          <w:rFonts w:hint="eastAsia" w:ascii="黑体" w:hAnsi="黑体" w:eastAsia="黑体"/>
          <w:b w:val="0"/>
        </w:rPr>
        <w:t>五部分 附表</w:t>
      </w:r>
      <w:bookmarkEnd w:id="96"/>
      <w:bookmarkEnd w:id="101"/>
      <w:bookmarkEnd w:id="102"/>
      <w:bookmarkStart w:id="103" w:name="_Toc15396619"/>
    </w:p>
    <w:p>
      <w:pPr>
        <w:pStyle w:val="4"/>
        <w:rPr>
          <w:rFonts w:ascii="仿宋" w:hAnsi="仿宋" w:eastAsia="仿宋"/>
        </w:rPr>
      </w:pPr>
      <w:bookmarkStart w:id="104" w:name="_Toc31687"/>
      <w:r>
        <w:rPr>
          <w:rFonts w:hint="eastAsia" w:ascii="仿宋" w:hAnsi="仿宋" w:eastAsia="仿宋"/>
          <w:b w:val="0"/>
        </w:rPr>
        <w:t>一、收</w:t>
      </w:r>
      <w:r>
        <w:rPr>
          <w:rStyle w:val="30"/>
          <w:rFonts w:hint="eastAsia" w:ascii="仿宋" w:hAnsi="仿宋" w:eastAsia="仿宋"/>
          <w:b w:val="0"/>
          <w:bCs w:val="0"/>
        </w:rPr>
        <w:t>入支出决算总表</w:t>
      </w:r>
      <w:bookmarkEnd w:id="103"/>
      <w:bookmarkEnd w:id="104"/>
    </w:p>
    <w:p>
      <w:pPr>
        <w:pStyle w:val="4"/>
        <w:rPr>
          <w:rFonts w:ascii="仿宋" w:hAnsi="仿宋" w:eastAsia="仿宋"/>
        </w:rPr>
      </w:pPr>
      <w:bookmarkStart w:id="105" w:name="_Toc6321"/>
      <w:bookmarkStart w:id="106" w:name="_Toc15396620"/>
      <w:r>
        <w:rPr>
          <w:rFonts w:hint="eastAsia" w:ascii="仿宋" w:hAnsi="仿宋" w:eastAsia="仿宋"/>
          <w:b w:val="0"/>
        </w:rPr>
        <w:t>二、收</w:t>
      </w:r>
      <w:r>
        <w:rPr>
          <w:rStyle w:val="30"/>
          <w:rFonts w:hint="eastAsia" w:ascii="仿宋" w:hAnsi="仿宋" w:eastAsia="仿宋"/>
          <w:b w:val="0"/>
          <w:bCs w:val="0"/>
        </w:rPr>
        <w:t>入决算表</w:t>
      </w:r>
      <w:bookmarkEnd w:id="105"/>
      <w:bookmarkEnd w:id="106"/>
    </w:p>
    <w:p>
      <w:pPr>
        <w:pStyle w:val="4"/>
        <w:rPr>
          <w:rFonts w:ascii="仿宋" w:hAnsi="仿宋" w:eastAsia="仿宋"/>
        </w:rPr>
      </w:pPr>
      <w:bookmarkStart w:id="107" w:name="_Toc15396621"/>
      <w:bookmarkStart w:id="108" w:name="_Toc21879"/>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107"/>
      <w:bookmarkEnd w:id="108"/>
    </w:p>
    <w:p>
      <w:pPr>
        <w:pStyle w:val="4"/>
        <w:rPr>
          <w:rFonts w:ascii="仿宋" w:hAnsi="仿宋" w:eastAsia="仿宋"/>
          <w:b w:val="0"/>
        </w:rPr>
      </w:pPr>
      <w:bookmarkStart w:id="109" w:name="_Toc15396622"/>
      <w:bookmarkStart w:id="110" w:name="_Toc31876"/>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109"/>
      <w:bookmarkEnd w:id="110"/>
    </w:p>
    <w:p>
      <w:pPr>
        <w:pStyle w:val="4"/>
        <w:rPr>
          <w:rStyle w:val="30"/>
          <w:rFonts w:ascii="仿宋" w:hAnsi="仿宋" w:eastAsia="仿宋"/>
          <w:b w:val="0"/>
          <w:bCs w:val="0"/>
        </w:rPr>
      </w:pPr>
      <w:bookmarkStart w:id="111" w:name="_Toc26476"/>
      <w:bookmarkStart w:id="112"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111"/>
      <w:bookmarkEnd w:id="112"/>
      <w:bookmarkStart w:id="113" w:name="_Toc15396624"/>
    </w:p>
    <w:p>
      <w:pPr>
        <w:pStyle w:val="4"/>
        <w:rPr>
          <w:rFonts w:ascii="仿宋" w:hAnsi="仿宋" w:eastAsia="仿宋"/>
        </w:rPr>
      </w:pPr>
      <w:bookmarkStart w:id="114" w:name="_Toc24056"/>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113"/>
      <w:bookmarkEnd w:id="114"/>
    </w:p>
    <w:p>
      <w:pPr>
        <w:pStyle w:val="4"/>
        <w:rPr>
          <w:rFonts w:ascii="仿宋" w:hAnsi="仿宋" w:eastAsia="仿宋"/>
        </w:rPr>
      </w:pPr>
      <w:bookmarkStart w:id="115" w:name="_Toc15396625"/>
      <w:bookmarkStart w:id="116" w:name="_Toc364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115"/>
      <w:bookmarkEnd w:id="116"/>
    </w:p>
    <w:p>
      <w:pPr>
        <w:pStyle w:val="4"/>
        <w:rPr>
          <w:rFonts w:ascii="仿宋" w:hAnsi="仿宋" w:eastAsia="仿宋"/>
        </w:rPr>
      </w:pPr>
      <w:bookmarkStart w:id="117" w:name="_Toc15396626"/>
      <w:bookmarkStart w:id="118" w:name="_Toc21669"/>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117"/>
      <w:bookmarkEnd w:id="118"/>
    </w:p>
    <w:p>
      <w:pPr>
        <w:pStyle w:val="4"/>
        <w:rPr>
          <w:rFonts w:ascii="仿宋" w:hAnsi="仿宋" w:eastAsia="仿宋"/>
        </w:rPr>
      </w:pPr>
      <w:bookmarkStart w:id="119" w:name="_Toc758"/>
      <w:bookmarkStart w:id="120"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119"/>
      <w:bookmarkEnd w:id="120"/>
    </w:p>
    <w:p>
      <w:pPr>
        <w:pStyle w:val="4"/>
        <w:rPr>
          <w:rFonts w:ascii="仿宋" w:hAnsi="仿宋" w:eastAsia="仿宋"/>
        </w:rPr>
      </w:pPr>
      <w:bookmarkStart w:id="121" w:name="_Toc15396628"/>
      <w:bookmarkStart w:id="122" w:name="_Toc7643"/>
      <w:r>
        <w:rPr>
          <w:rStyle w:val="30"/>
          <w:rFonts w:hint="eastAsia" w:ascii="仿宋" w:hAnsi="仿宋" w:eastAsia="仿宋"/>
          <w:b w:val="0"/>
          <w:bCs w:val="0"/>
        </w:rPr>
        <w:t>十、</w:t>
      </w:r>
      <w:bookmarkEnd w:id="121"/>
      <w:r>
        <w:rPr>
          <w:rFonts w:hint="eastAsia" w:ascii="仿宋" w:hAnsi="仿宋" w:eastAsia="仿宋"/>
          <w:b w:val="0"/>
        </w:rPr>
        <w:t>政</w:t>
      </w:r>
      <w:r>
        <w:rPr>
          <w:rStyle w:val="30"/>
          <w:rFonts w:hint="eastAsia" w:ascii="仿宋" w:hAnsi="仿宋" w:eastAsia="仿宋"/>
          <w:b w:val="0"/>
          <w:bCs w:val="0"/>
        </w:rPr>
        <w:t>府性基金预算财政拨款收入支出决算表</w:t>
      </w:r>
      <w:bookmarkEnd w:id="122"/>
    </w:p>
    <w:p>
      <w:pPr>
        <w:pStyle w:val="4"/>
        <w:rPr>
          <w:rFonts w:ascii="仿宋" w:hAnsi="仿宋" w:eastAsia="仿宋"/>
        </w:rPr>
      </w:pPr>
      <w:bookmarkStart w:id="123" w:name="_Toc15396629"/>
      <w:bookmarkStart w:id="124" w:name="_Toc7249"/>
      <w:r>
        <w:rPr>
          <w:rStyle w:val="30"/>
          <w:rFonts w:hint="eastAsia" w:ascii="仿宋" w:hAnsi="仿宋" w:eastAsia="仿宋"/>
          <w:b w:val="0"/>
          <w:bCs w:val="0"/>
        </w:rPr>
        <w:t>十一、</w:t>
      </w:r>
      <w:bookmarkEnd w:id="123"/>
      <w:r>
        <w:rPr>
          <w:rFonts w:hint="eastAsia" w:ascii="仿宋" w:hAnsi="仿宋" w:eastAsia="仿宋"/>
          <w:b w:val="0"/>
        </w:rPr>
        <w:t>国</w:t>
      </w:r>
      <w:r>
        <w:rPr>
          <w:rStyle w:val="30"/>
          <w:rFonts w:hint="eastAsia" w:ascii="仿宋" w:hAnsi="仿宋" w:eastAsia="仿宋"/>
          <w:b w:val="0"/>
          <w:bCs w:val="0"/>
        </w:rPr>
        <w:t>有资本经营预算财政拨款收入支出决算表</w:t>
      </w:r>
      <w:bookmarkEnd w:id="124"/>
    </w:p>
    <w:p>
      <w:pPr>
        <w:pStyle w:val="4"/>
        <w:rPr>
          <w:rFonts w:ascii="仿宋" w:hAnsi="仿宋" w:eastAsia="仿宋"/>
        </w:rPr>
      </w:pPr>
      <w:bookmarkStart w:id="125" w:name="_Toc15396630"/>
      <w:bookmarkStart w:id="126" w:name="_Toc12652"/>
      <w:r>
        <w:rPr>
          <w:rStyle w:val="30"/>
          <w:rFonts w:hint="eastAsia" w:ascii="仿宋" w:hAnsi="仿宋" w:eastAsia="仿宋"/>
          <w:b w:val="0"/>
          <w:bCs w:val="0"/>
        </w:rPr>
        <w:t>十二、</w:t>
      </w:r>
      <w:bookmarkEnd w:id="125"/>
      <w:r>
        <w:rPr>
          <w:rStyle w:val="30"/>
          <w:rFonts w:hint="eastAsia" w:ascii="仿宋" w:hAnsi="仿宋" w:eastAsia="仿宋"/>
          <w:b w:val="0"/>
          <w:bCs w:val="0"/>
        </w:rPr>
        <w:t>国有资本经营预算财政拨款支出决算表</w:t>
      </w:r>
      <w:bookmarkEnd w:id="126"/>
    </w:p>
    <w:p>
      <w:pPr>
        <w:pStyle w:val="4"/>
        <w:rPr>
          <w:rFonts w:eastAsia="仿宋"/>
        </w:rPr>
      </w:pPr>
      <w:bookmarkStart w:id="127" w:name="_Toc15396631"/>
      <w:bookmarkStart w:id="128" w:name="_Toc1751"/>
      <w:r>
        <w:rPr>
          <w:rStyle w:val="30"/>
          <w:rFonts w:hint="eastAsia" w:ascii="仿宋" w:hAnsi="仿宋" w:eastAsia="仿宋"/>
          <w:b w:val="0"/>
          <w:bCs w:val="0"/>
        </w:rPr>
        <w:t>十三、</w:t>
      </w:r>
      <w:bookmarkEnd w:id="127"/>
      <w:r>
        <w:rPr>
          <w:rStyle w:val="30"/>
          <w:rFonts w:hint="eastAsia" w:ascii="仿宋" w:hAnsi="仿宋" w:eastAsia="仿宋"/>
          <w:b w:val="0"/>
          <w:bCs w:val="0"/>
        </w:rPr>
        <w:t>财政拨款“三公”经费支出决算表</w:t>
      </w:r>
      <w:bookmarkEnd w:id="128"/>
    </w:p>
    <w:sectPr>
      <w:footerReference r:id="rId7" w:type="first"/>
      <w:headerReference r:id="rId5" w:type="default"/>
      <w:footerReference r:id="rId6" w:type="default"/>
      <w:pgSz w:w="11906" w:h="16838"/>
      <w:pgMar w:top="1440" w:right="1800" w:bottom="1440" w:left="16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2000000000000000000"/>
    <w:charset w:val="86"/>
    <w:family w:val="auto"/>
    <w:pitch w:val="default"/>
    <w:sig w:usb0="A00002BF" w:usb1="184F6CFA" w:usb2="00000012" w:usb3="00000000" w:csb0="00040001"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ascii="仿宋_GB2312" w:eastAsia="仿宋_GB2312"/>
        <w:sz w:val="28"/>
        <w:szCs w:val="28"/>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_GB2312" w:eastAsia="仿宋_GB2312"/>
        <w:sz w:val="28"/>
        <w:szCs w:val="28"/>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0DB483FC"/>
    <w:multiLevelType w:val="singleLevel"/>
    <w:tmpl w:val="0DB483FC"/>
    <w:lvl w:ilvl="0" w:tentative="0">
      <w:start w:val="2"/>
      <w:numFmt w:val="decimal"/>
      <w:suff w:val="space"/>
      <w:lvlText w:val="%1."/>
      <w:lvlJc w:val="left"/>
    </w:lvl>
  </w:abstractNum>
  <w:abstractNum w:abstractNumId="3">
    <w:nsid w:val="3DBC28E3"/>
    <w:multiLevelType w:val="singleLevel"/>
    <w:tmpl w:val="3DBC28E3"/>
    <w:lvl w:ilvl="0" w:tentative="0">
      <w:start w:val="2"/>
      <w:numFmt w:val="chineseCounting"/>
      <w:suff w:val="nothing"/>
      <w:lvlText w:val="%1、"/>
      <w:lvlJc w:val="left"/>
      <w:rPr>
        <w:rFonts w:hint="eastAsia"/>
      </w:rPr>
    </w:lvl>
  </w:abstractNum>
  <w:abstractNum w:abstractNumId="4">
    <w:nsid w:val="4435CE3F"/>
    <w:multiLevelType w:val="singleLevel"/>
    <w:tmpl w:val="4435CE3F"/>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4NDYyZjVjOGJkOWU1MTlmNzAyMzQ2ZDE5ZmFhZTEifQ=="/>
  </w:docVars>
  <w:rsids>
    <w:rsidRoot w:val="00F1361C"/>
    <w:rsid w:val="000222C6"/>
    <w:rsid w:val="0002549F"/>
    <w:rsid w:val="000468DB"/>
    <w:rsid w:val="0006487A"/>
    <w:rsid w:val="00065F8F"/>
    <w:rsid w:val="00070A43"/>
    <w:rsid w:val="000768F2"/>
    <w:rsid w:val="0009184B"/>
    <w:rsid w:val="00094236"/>
    <w:rsid w:val="0009593C"/>
    <w:rsid w:val="00097322"/>
    <w:rsid w:val="000A2323"/>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113"/>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639FE"/>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D0EFE"/>
    <w:rsid w:val="008E1DE7"/>
    <w:rsid w:val="008E707C"/>
    <w:rsid w:val="008F3C39"/>
    <w:rsid w:val="008F6DF2"/>
    <w:rsid w:val="00900B08"/>
    <w:rsid w:val="00902155"/>
    <w:rsid w:val="00902FA3"/>
    <w:rsid w:val="00923564"/>
    <w:rsid w:val="0092392E"/>
    <w:rsid w:val="00931068"/>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75CC2"/>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1846705"/>
    <w:rsid w:val="01B71956"/>
    <w:rsid w:val="01E42F39"/>
    <w:rsid w:val="01F53619"/>
    <w:rsid w:val="02143E91"/>
    <w:rsid w:val="026D6FA1"/>
    <w:rsid w:val="028E47B8"/>
    <w:rsid w:val="02D80398"/>
    <w:rsid w:val="02E928EF"/>
    <w:rsid w:val="03906E74"/>
    <w:rsid w:val="03DB615E"/>
    <w:rsid w:val="03F92D0E"/>
    <w:rsid w:val="03FC22D1"/>
    <w:rsid w:val="040E201F"/>
    <w:rsid w:val="047412D0"/>
    <w:rsid w:val="04BE031C"/>
    <w:rsid w:val="04C168C3"/>
    <w:rsid w:val="05060433"/>
    <w:rsid w:val="055A48E5"/>
    <w:rsid w:val="059465CD"/>
    <w:rsid w:val="05AB24BD"/>
    <w:rsid w:val="05CC6F64"/>
    <w:rsid w:val="05DD2648"/>
    <w:rsid w:val="05F51026"/>
    <w:rsid w:val="05F55F63"/>
    <w:rsid w:val="060827C7"/>
    <w:rsid w:val="06322399"/>
    <w:rsid w:val="063238B5"/>
    <w:rsid w:val="063511A0"/>
    <w:rsid w:val="064A7765"/>
    <w:rsid w:val="06551007"/>
    <w:rsid w:val="066E0107"/>
    <w:rsid w:val="0675550D"/>
    <w:rsid w:val="068D5793"/>
    <w:rsid w:val="06925787"/>
    <w:rsid w:val="069639FF"/>
    <w:rsid w:val="070D0B3C"/>
    <w:rsid w:val="0724611A"/>
    <w:rsid w:val="078732EF"/>
    <w:rsid w:val="07971283"/>
    <w:rsid w:val="07996F6E"/>
    <w:rsid w:val="07EC7AC7"/>
    <w:rsid w:val="07FB65F3"/>
    <w:rsid w:val="081153CB"/>
    <w:rsid w:val="081B11A0"/>
    <w:rsid w:val="087725A1"/>
    <w:rsid w:val="087F04EB"/>
    <w:rsid w:val="089A1E90"/>
    <w:rsid w:val="098D78C2"/>
    <w:rsid w:val="09C10778"/>
    <w:rsid w:val="09EF5765"/>
    <w:rsid w:val="09F060FC"/>
    <w:rsid w:val="09FE7E1D"/>
    <w:rsid w:val="0A1E4445"/>
    <w:rsid w:val="0A2032A3"/>
    <w:rsid w:val="0A251407"/>
    <w:rsid w:val="0A592D98"/>
    <w:rsid w:val="0B12651A"/>
    <w:rsid w:val="0B701377"/>
    <w:rsid w:val="0B812C1F"/>
    <w:rsid w:val="0B82555A"/>
    <w:rsid w:val="0BB47FCC"/>
    <w:rsid w:val="0BB5159B"/>
    <w:rsid w:val="0BC20B6F"/>
    <w:rsid w:val="0BD35A8D"/>
    <w:rsid w:val="0BE4291E"/>
    <w:rsid w:val="0BE64DF2"/>
    <w:rsid w:val="0BF671FE"/>
    <w:rsid w:val="0C54461F"/>
    <w:rsid w:val="0C5A7159"/>
    <w:rsid w:val="0C9E6D40"/>
    <w:rsid w:val="0CAE3206"/>
    <w:rsid w:val="0CC472BF"/>
    <w:rsid w:val="0CEE63E9"/>
    <w:rsid w:val="0D626437"/>
    <w:rsid w:val="0DA47C1F"/>
    <w:rsid w:val="0DAC6EBB"/>
    <w:rsid w:val="0DB96822"/>
    <w:rsid w:val="0DC2601F"/>
    <w:rsid w:val="0DD85B13"/>
    <w:rsid w:val="0E0759EE"/>
    <w:rsid w:val="0E121243"/>
    <w:rsid w:val="0E376CB7"/>
    <w:rsid w:val="0E625659"/>
    <w:rsid w:val="0E9456BF"/>
    <w:rsid w:val="0F0E7B03"/>
    <w:rsid w:val="0F1474E2"/>
    <w:rsid w:val="0F7F01F7"/>
    <w:rsid w:val="0F98263C"/>
    <w:rsid w:val="0FBD43AE"/>
    <w:rsid w:val="0FC72A26"/>
    <w:rsid w:val="0FE1544F"/>
    <w:rsid w:val="0FE17EAF"/>
    <w:rsid w:val="0FE45011"/>
    <w:rsid w:val="101860EC"/>
    <w:rsid w:val="103B1277"/>
    <w:rsid w:val="10453AD3"/>
    <w:rsid w:val="104D7287"/>
    <w:rsid w:val="104E23C8"/>
    <w:rsid w:val="106C1C28"/>
    <w:rsid w:val="107E7440"/>
    <w:rsid w:val="108D1E75"/>
    <w:rsid w:val="10A874BD"/>
    <w:rsid w:val="10BD4CFF"/>
    <w:rsid w:val="10C055FF"/>
    <w:rsid w:val="10C67E42"/>
    <w:rsid w:val="11052F70"/>
    <w:rsid w:val="11245125"/>
    <w:rsid w:val="118107EC"/>
    <w:rsid w:val="119179D7"/>
    <w:rsid w:val="119D6A4F"/>
    <w:rsid w:val="11CA5AD9"/>
    <w:rsid w:val="11DD1AC4"/>
    <w:rsid w:val="11DE13D9"/>
    <w:rsid w:val="11E03764"/>
    <w:rsid w:val="120D2E4B"/>
    <w:rsid w:val="126B6EDD"/>
    <w:rsid w:val="131A4D52"/>
    <w:rsid w:val="13285082"/>
    <w:rsid w:val="133A33C6"/>
    <w:rsid w:val="135408BA"/>
    <w:rsid w:val="13A13C99"/>
    <w:rsid w:val="13B977EA"/>
    <w:rsid w:val="13BE2161"/>
    <w:rsid w:val="13D50BC4"/>
    <w:rsid w:val="13EC546F"/>
    <w:rsid w:val="13FC16D5"/>
    <w:rsid w:val="14186D37"/>
    <w:rsid w:val="142569F2"/>
    <w:rsid w:val="14362512"/>
    <w:rsid w:val="14442688"/>
    <w:rsid w:val="146F340D"/>
    <w:rsid w:val="14725DB5"/>
    <w:rsid w:val="149645F2"/>
    <w:rsid w:val="14C16704"/>
    <w:rsid w:val="1506582D"/>
    <w:rsid w:val="1527161D"/>
    <w:rsid w:val="152E5951"/>
    <w:rsid w:val="15394B79"/>
    <w:rsid w:val="15612630"/>
    <w:rsid w:val="1561673B"/>
    <w:rsid w:val="15954A06"/>
    <w:rsid w:val="15AB0F50"/>
    <w:rsid w:val="15AF27BF"/>
    <w:rsid w:val="15FA21AC"/>
    <w:rsid w:val="15FE4772"/>
    <w:rsid w:val="1631092F"/>
    <w:rsid w:val="1632001D"/>
    <w:rsid w:val="169C7181"/>
    <w:rsid w:val="16B77244"/>
    <w:rsid w:val="16BA4104"/>
    <w:rsid w:val="16BB723D"/>
    <w:rsid w:val="16BD1020"/>
    <w:rsid w:val="16C31A91"/>
    <w:rsid w:val="171E30BD"/>
    <w:rsid w:val="17562D35"/>
    <w:rsid w:val="17567BDE"/>
    <w:rsid w:val="17571397"/>
    <w:rsid w:val="17B03542"/>
    <w:rsid w:val="17D226B3"/>
    <w:rsid w:val="17EE63B8"/>
    <w:rsid w:val="18AC474C"/>
    <w:rsid w:val="18D1501A"/>
    <w:rsid w:val="19151603"/>
    <w:rsid w:val="191A1AB3"/>
    <w:rsid w:val="192D1643"/>
    <w:rsid w:val="198B4773"/>
    <w:rsid w:val="19C20D95"/>
    <w:rsid w:val="19CE5E41"/>
    <w:rsid w:val="19DB49D6"/>
    <w:rsid w:val="1A30155D"/>
    <w:rsid w:val="1A6F44BB"/>
    <w:rsid w:val="1A806BA9"/>
    <w:rsid w:val="1AA01906"/>
    <w:rsid w:val="1AE40E81"/>
    <w:rsid w:val="1B170F46"/>
    <w:rsid w:val="1B4D4BBA"/>
    <w:rsid w:val="1B6724AA"/>
    <w:rsid w:val="1B795BC8"/>
    <w:rsid w:val="1B9E56EF"/>
    <w:rsid w:val="1BA43FBE"/>
    <w:rsid w:val="1BC55E86"/>
    <w:rsid w:val="1BE544CC"/>
    <w:rsid w:val="1BE8440E"/>
    <w:rsid w:val="1C3466D1"/>
    <w:rsid w:val="1C380340"/>
    <w:rsid w:val="1C804FF2"/>
    <w:rsid w:val="1C8251EB"/>
    <w:rsid w:val="1C845ADB"/>
    <w:rsid w:val="1C91097A"/>
    <w:rsid w:val="1C955779"/>
    <w:rsid w:val="1D0277BC"/>
    <w:rsid w:val="1D107F6F"/>
    <w:rsid w:val="1D155CEE"/>
    <w:rsid w:val="1DBF775C"/>
    <w:rsid w:val="1DE03F03"/>
    <w:rsid w:val="1DF42B67"/>
    <w:rsid w:val="1DF57A31"/>
    <w:rsid w:val="1E00232B"/>
    <w:rsid w:val="1E537AA9"/>
    <w:rsid w:val="1E702999"/>
    <w:rsid w:val="1E717224"/>
    <w:rsid w:val="1EAC6025"/>
    <w:rsid w:val="1EB164CC"/>
    <w:rsid w:val="1ED7138E"/>
    <w:rsid w:val="1EF5473B"/>
    <w:rsid w:val="1EFE5D89"/>
    <w:rsid w:val="1F010D08"/>
    <w:rsid w:val="1F5E3DFB"/>
    <w:rsid w:val="1F604531"/>
    <w:rsid w:val="1F7A738D"/>
    <w:rsid w:val="1FB4324F"/>
    <w:rsid w:val="1FE23EF4"/>
    <w:rsid w:val="1FF1010D"/>
    <w:rsid w:val="1FF35744"/>
    <w:rsid w:val="200A13A7"/>
    <w:rsid w:val="206674B0"/>
    <w:rsid w:val="20971A74"/>
    <w:rsid w:val="209A3295"/>
    <w:rsid w:val="20A625F1"/>
    <w:rsid w:val="20AF3827"/>
    <w:rsid w:val="20B877E4"/>
    <w:rsid w:val="20BD6878"/>
    <w:rsid w:val="20E22F44"/>
    <w:rsid w:val="20E94245"/>
    <w:rsid w:val="212B2D0E"/>
    <w:rsid w:val="214B163A"/>
    <w:rsid w:val="21626FC3"/>
    <w:rsid w:val="216B6602"/>
    <w:rsid w:val="231F42F4"/>
    <w:rsid w:val="232B73AF"/>
    <w:rsid w:val="23355378"/>
    <w:rsid w:val="2357249F"/>
    <w:rsid w:val="23621CC2"/>
    <w:rsid w:val="23706885"/>
    <w:rsid w:val="23860B96"/>
    <w:rsid w:val="23B37ABC"/>
    <w:rsid w:val="23F44CBC"/>
    <w:rsid w:val="240371BF"/>
    <w:rsid w:val="24356B4C"/>
    <w:rsid w:val="243903CE"/>
    <w:rsid w:val="24623BD2"/>
    <w:rsid w:val="24712774"/>
    <w:rsid w:val="2490556A"/>
    <w:rsid w:val="24AE163E"/>
    <w:rsid w:val="24BA55F5"/>
    <w:rsid w:val="254745AF"/>
    <w:rsid w:val="256C0BC0"/>
    <w:rsid w:val="25704753"/>
    <w:rsid w:val="257B51EC"/>
    <w:rsid w:val="25990BBE"/>
    <w:rsid w:val="25DF7CB5"/>
    <w:rsid w:val="26057E46"/>
    <w:rsid w:val="26075EC2"/>
    <w:rsid w:val="262351F0"/>
    <w:rsid w:val="26423A1E"/>
    <w:rsid w:val="26532FEC"/>
    <w:rsid w:val="26710791"/>
    <w:rsid w:val="268C5263"/>
    <w:rsid w:val="26BA3BB3"/>
    <w:rsid w:val="270F3938"/>
    <w:rsid w:val="273E2C13"/>
    <w:rsid w:val="27423867"/>
    <w:rsid w:val="275D7505"/>
    <w:rsid w:val="275E3BC3"/>
    <w:rsid w:val="28263FC7"/>
    <w:rsid w:val="283102E2"/>
    <w:rsid w:val="284278EF"/>
    <w:rsid w:val="284A4F0B"/>
    <w:rsid w:val="2882469C"/>
    <w:rsid w:val="28B822BB"/>
    <w:rsid w:val="28C35333"/>
    <w:rsid w:val="29172821"/>
    <w:rsid w:val="29B64372"/>
    <w:rsid w:val="29D4514C"/>
    <w:rsid w:val="29F671BF"/>
    <w:rsid w:val="29FD04D3"/>
    <w:rsid w:val="2A1343AA"/>
    <w:rsid w:val="2A152ADC"/>
    <w:rsid w:val="2A1D7231"/>
    <w:rsid w:val="2B184111"/>
    <w:rsid w:val="2B6607F9"/>
    <w:rsid w:val="2B6B3586"/>
    <w:rsid w:val="2B864676"/>
    <w:rsid w:val="2BA32520"/>
    <w:rsid w:val="2BA53B25"/>
    <w:rsid w:val="2BF46CC2"/>
    <w:rsid w:val="2C0979A6"/>
    <w:rsid w:val="2C4D2C4B"/>
    <w:rsid w:val="2C591016"/>
    <w:rsid w:val="2C597FFB"/>
    <w:rsid w:val="2C8A61B5"/>
    <w:rsid w:val="2C9F22BF"/>
    <w:rsid w:val="2CBB06AE"/>
    <w:rsid w:val="2CF161FF"/>
    <w:rsid w:val="2D010134"/>
    <w:rsid w:val="2D0D53C1"/>
    <w:rsid w:val="2D533E3D"/>
    <w:rsid w:val="2D536B6B"/>
    <w:rsid w:val="2DB345F8"/>
    <w:rsid w:val="2DF04E50"/>
    <w:rsid w:val="2E4D2D0A"/>
    <w:rsid w:val="2E5F2FC3"/>
    <w:rsid w:val="2E7321B4"/>
    <w:rsid w:val="2E791A71"/>
    <w:rsid w:val="2E7D77F4"/>
    <w:rsid w:val="2E940D7E"/>
    <w:rsid w:val="2ED62D0E"/>
    <w:rsid w:val="2F005511"/>
    <w:rsid w:val="2F040D46"/>
    <w:rsid w:val="2F544D28"/>
    <w:rsid w:val="2FD1290E"/>
    <w:rsid w:val="2FE60D06"/>
    <w:rsid w:val="301C615A"/>
    <w:rsid w:val="303E5334"/>
    <w:rsid w:val="30790103"/>
    <w:rsid w:val="307D0ABC"/>
    <w:rsid w:val="30A65D18"/>
    <w:rsid w:val="30BA369A"/>
    <w:rsid w:val="30E97521"/>
    <w:rsid w:val="30F97F9A"/>
    <w:rsid w:val="310A0DD9"/>
    <w:rsid w:val="31416B2D"/>
    <w:rsid w:val="3161538A"/>
    <w:rsid w:val="316C61C6"/>
    <w:rsid w:val="317036BA"/>
    <w:rsid w:val="31756509"/>
    <w:rsid w:val="319F7F4E"/>
    <w:rsid w:val="31BD6CD9"/>
    <w:rsid w:val="31C07530"/>
    <w:rsid w:val="31F731C3"/>
    <w:rsid w:val="32155421"/>
    <w:rsid w:val="321C0551"/>
    <w:rsid w:val="321E478A"/>
    <w:rsid w:val="323F55E0"/>
    <w:rsid w:val="326C3D3D"/>
    <w:rsid w:val="328F59B1"/>
    <w:rsid w:val="329058B6"/>
    <w:rsid w:val="329F4627"/>
    <w:rsid w:val="32FB79ED"/>
    <w:rsid w:val="33040916"/>
    <w:rsid w:val="3304709D"/>
    <w:rsid w:val="331D611C"/>
    <w:rsid w:val="33346965"/>
    <w:rsid w:val="33427EE4"/>
    <w:rsid w:val="33743072"/>
    <w:rsid w:val="33C75933"/>
    <w:rsid w:val="33E6304D"/>
    <w:rsid w:val="349219DB"/>
    <w:rsid w:val="34D956A4"/>
    <w:rsid w:val="3501355B"/>
    <w:rsid w:val="352A0BA4"/>
    <w:rsid w:val="35564778"/>
    <w:rsid w:val="35774149"/>
    <w:rsid w:val="358062B1"/>
    <w:rsid w:val="35AB4D2C"/>
    <w:rsid w:val="35DC1146"/>
    <w:rsid w:val="36174E7C"/>
    <w:rsid w:val="36233ED6"/>
    <w:rsid w:val="36400A45"/>
    <w:rsid w:val="36A7245F"/>
    <w:rsid w:val="36A96669"/>
    <w:rsid w:val="36AA5135"/>
    <w:rsid w:val="36C408F5"/>
    <w:rsid w:val="371902ED"/>
    <w:rsid w:val="376D39B2"/>
    <w:rsid w:val="37885004"/>
    <w:rsid w:val="37E16F03"/>
    <w:rsid w:val="37E917E4"/>
    <w:rsid w:val="381C5B45"/>
    <w:rsid w:val="38200F85"/>
    <w:rsid w:val="38D469F0"/>
    <w:rsid w:val="38E20840"/>
    <w:rsid w:val="38EF2885"/>
    <w:rsid w:val="39531D9C"/>
    <w:rsid w:val="39756B87"/>
    <w:rsid w:val="39976958"/>
    <w:rsid w:val="399D4202"/>
    <w:rsid w:val="39C27854"/>
    <w:rsid w:val="39D1198E"/>
    <w:rsid w:val="39D16976"/>
    <w:rsid w:val="39D30FD1"/>
    <w:rsid w:val="3A175FFC"/>
    <w:rsid w:val="3A210E17"/>
    <w:rsid w:val="3A4731E5"/>
    <w:rsid w:val="3A8813A9"/>
    <w:rsid w:val="3A9E437D"/>
    <w:rsid w:val="3ABD0AF1"/>
    <w:rsid w:val="3B3E4E44"/>
    <w:rsid w:val="3B404BA8"/>
    <w:rsid w:val="3B700573"/>
    <w:rsid w:val="3BA83507"/>
    <w:rsid w:val="3BAC2BAE"/>
    <w:rsid w:val="3BC02D87"/>
    <w:rsid w:val="3BEC206F"/>
    <w:rsid w:val="3C011525"/>
    <w:rsid w:val="3C02124B"/>
    <w:rsid w:val="3C0D16BD"/>
    <w:rsid w:val="3C0D2748"/>
    <w:rsid w:val="3C3635A9"/>
    <w:rsid w:val="3C8944A2"/>
    <w:rsid w:val="3CD045D6"/>
    <w:rsid w:val="3D066F8C"/>
    <w:rsid w:val="3D98207C"/>
    <w:rsid w:val="3D9C06FD"/>
    <w:rsid w:val="3DB61C59"/>
    <w:rsid w:val="3DCD39DF"/>
    <w:rsid w:val="3DEA2B6B"/>
    <w:rsid w:val="3E0C4F4B"/>
    <w:rsid w:val="3E155E70"/>
    <w:rsid w:val="3E180FCE"/>
    <w:rsid w:val="3E2325E9"/>
    <w:rsid w:val="3E2C1826"/>
    <w:rsid w:val="3E78745D"/>
    <w:rsid w:val="3E7A62F9"/>
    <w:rsid w:val="3EBD265D"/>
    <w:rsid w:val="3ED20193"/>
    <w:rsid w:val="3EE55FCA"/>
    <w:rsid w:val="3EF93363"/>
    <w:rsid w:val="3F5D5271"/>
    <w:rsid w:val="3F750B15"/>
    <w:rsid w:val="3FD3698A"/>
    <w:rsid w:val="3FE65EBE"/>
    <w:rsid w:val="400808FE"/>
    <w:rsid w:val="40543C80"/>
    <w:rsid w:val="40566DEF"/>
    <w:rsid w:val="40AB2684"/>
    <w:rsid w:val="41466261"/>
    <w:rsid w:val="416708A1"/>
    <w:rsid w:val="41F42B0A"/>
    <w:rsid w:val="4212060B"/>
    <w:rsid w:val="425414A5"/>
    <w:rsid w:val="42B2200D"/>
    <w:rsid w:val="42EC7710"/>
    <w:rsid w:val="4300697A"/>
    <w:rsid w:val="431B60FE"/>
    <w:rsid w:val="4356209D"/>
    <w:rsid w:val="439E3C32"/>
    <w:rsid w:val="43BE07A9"/>
    <w:rsid w:val="43FA540D"/>
    <w:rsid w:val="44122DA7"/>
    <w:rsid w:val="4417370D"/>
    <w:rsid w:val="446E76E5"/>
    <w:rsid w:val="447243C4"/>
    <w:rsid w:val="44730B03"/>
    <w:rsid w:val="447535B7"/>
    <w:rsid w:val="44805FC6"/>
    <w:rsid w:val="44831146"/>
    <w:rsid w:val="44BE33A3"/>
    <w:rsid w:val="44D62605"/>
    <w:rsid w:val="44E016BE"/>
    <w:rsid w:val="44E268DA"/>
    <w:rsid w:val="44EA1BBD"/>
    <w:rsid w:val="45752F53"/>
    <w:rsid w:val="45A12B1E"/>
    <w:rsid w:val="45A334F5"/>
    <w:rsid w:val="45EA1B1F"/>
    <w:rsid w:val="46021C91"/>
    <w:rsid w:val="462F2353"/>
    <w:rsid w:val="469F03F5"/>
    <w:rsid w:val="46C55B99"/>
    <w:rsid w:val="46F91317"/>
    <w:rsid w:val="472C65D9"/>
    <w:rsid w:val="473F0482"/>
    <w:rsid w:val="478A6FDE"/>
    <w:rsid w:val="478C48FF"/>
    <w:rsid w:val="478D376E"/>
    <w:rsid w:val="47CF58BB"/>
    <w:rsid w:val="47DC373C"/>
    <w:rsid w:val="47E04C5E"/>
    <w:rsid w:val="47EB3939"/>
    <w:rsid w:val="47F71599"/>
    <w:rsid w:val="481C1329"/>
    <w:rsid w:val="48611BCD"/>
    <w:rsid w:val="48615A3F"/>
    <w:rsid w:val="486B1FB8"/>
    <w:rsid w:val="48866761"/>
    <w:rsid w:val="489C5255"/>
    <w:rsid w:val="48D11A5D"/>
    <w:rsid w:val="48DE1AA4"/>
    <w:rsid w:val="49126989"/>
    <w:rsid w:val="491850C4"/>
    <w:rsid w:val="491E06AA"/>
    <w:rsid w:val="494E1E4E"/>
    <w:rsid w:val="49705CDC"/>
    <w:rsid w:val="49AE559E"/>
    <w:rsid w:val="49C914C7"/>
    <w:rsid w:val="49CB3A8B"/>
    <w:rsid w:val="4A1B2893"/>
    <w:rsid w:val="4A345A30"/>
    <w:rsid w:val="4A445362"/>
    <w:rsid w:val="4A556203"/>
    <w:rsid w:val="4A627F82"/>
    <w:rsid w:val="4AD90AF2"/>
    <w:rsid w:val="4ADE5F5D"/>
    <w:rsid w:val="4ADF1F23"/>
    <w:rsid w:val="4AE16252"/>
    <w:rsid w:val="4B0E749A"/>
    <w:rsid w:val="4B4A5B7B"/>
    <w:rsid w:val="4B4F25DA"/>
    <w:rsid w:val="4B9A255A"/>
    <w:rsid w:val="4BA7623C"/>
    <w:rsid w:val="4BE068DB"/>
    <w:rsid w:val="4BF90568"/>
    <w:rsid w:val="4C1F5453"/>
    <w:rsid w:val="4C22722D"/>
    <w:rsid w:val="4C334D32"/>
    <w:rsid w:val="4C35013F"/>
    <w:rsid w:val="4C3D62E5"/>
    <w:rsid w:val="4CB53279"/>
    <w:rsid w:val="4CD737CC"/>
    <w:rsid w:val="4D0978AB"/>
    <w:rsid w:val="4D2F60FD"/>
    <w:rsid w:val="4D4A391C"/>
    <w:rsid w:val="4D577224"/>
    <w:rsid w:val="4D6E67ED"/>
    <w:rsid w:val="4D734D2F"/>
    <w:rsid w:val="4D886E5A"/>
    <w:rsid w:val="4D8A5CF8"/>
    <w:rsid w:val="4E31712F"/>
    <w:rsid w:val="4EA24813"/>
    <w:rsid w:val="4EA57581"/>
    <w:rsid w:val="4EAB630A"/>
    <w:rsid w:val="4EAD2645"/>
    <w:rsid w:val="4EBB2E81"/>
    <w:rsid w:val="4EBF7833"/>
    <w:rsid w:val="4ECE2238"/>
    <w:rsid w:val="4EDD1015"/>
    <w:rsid w:val="4EE87D26"/>
    <w:rsid w:val="4EE94CD7"/>
    <w:rsid w:val="4F170DF1"/>
    <w:rsid w:val="4F3737A1"/>
    <w:rsid w:val="4F5641EF"/>
    <w:rsid w:val="4F8E73ED"/>
    <w:rsid w:val="4FC63363"/>
    <w:rsid w:val="503E755B"/>
    <w:rsid w:val="504F5E77"/>
    <w:rsid w:val="50800A31"/>
    <w:rsid w:val="509C1631"/>
    <w:rsid w:val="51805160"/>
    <w:rsid w:val="519122C7"/>
    <w:rsid w:val="51A853C4"/>
    <w:rsid w:val="51DA326F"/>
    <w:rsid w:val="520F4868"/>
    <w:rsid w:val="52445815"/>
    <w:rsid w:val="52B754E4"/>
    <w:rsid w:val="52E66EA6"/>
    <w:rsid w:val="5305168B"/>
    <w:rsid w:val="5345775D"/>
    <w:rsid w:val="537E6D0A"/>
    <w:rsid w:val="53E663B9"/>
    <w:rsid w:val="544147C5"/>
    <w:rsid w:val="545D45D2"/>
    <w:rsid w:val="54C337EC"/>
    <w:rsid w:val="54C76883"/>
    <w:rsid w:val="553F61D9"/>
    <w:rsid w:val="55737DE9"/>
    <w:rsid w:val="55870D6C"/>
    <w:rsid w:val="55AF1DB2"/>
    <w:rsid w:val="560F4664"/>
    <w:rsid w:val="5641085B"/>
    <w:rsid w:val="56493CE5"/>
    <w:rsid w:val="566D07B3"/>
    <w:rsid w:val="56792E74"/>
    <w:rsid w:val="56A35157"/>
    <w:rsid w:val="56C66E8B"/>
    <w:rsid w:val="572523F2"/>
    <w:rsid w:val="576537C5"/>
    <w:rsid w:val="578250D2"/>
    <w:rsid w:val="57972F5D"/>
    <w:rsid w:val="57B33DCD"/>
    <w:rsid w:val="57BC2335"/>
    <w:rsid w:val="58193A7C"/>
    <w:rsid w:val="5845583B"/>
    <w:rsid w:val="58593BEB"/>
    <w:rsid w:val="586208B6"/>
    <w:rsid w:val="58985BAC"/>
    <w:rsid w:val="590146DE"/>
    <w:rsid w:val="59425050"/>
    <w:rsid w:val="596F0209"/>
    <w:rsid w:val="59734D57"/>
    <w:rsid w:val="598A151C"/>
    <w:rsid w:val="598C3B9F"/>
    <w:rsid w:val="59A4083B"/>
    <w:rsid w:val="59CA0468"/>
    <w:rsid w:val="59D04453"/>
    <w:rsid w:val="59E36E5C"/>
    <w:rsid w:val="5AC7668B"/>
    <w:rsid w:val="5AEA740D"/>
    <w:rsid w:val="5AF92295"/>
    <w:rsid w:val="5B3425A7"/>
    <w:rsid w:val="5B3624C5"/>
    <w:rsid w:val="5B5D7402"/>
    <w:rsid w:val="5BA309DC"/>
    <w:rsid w:val="5BA422BE"/>
    <w:rsid w:val="5C244A67"/>
    <w:rsid w:val="5C2D5D0A"/>
    <w:rsid w:val="5C8411A0"/>
    <w:rsid w:val="5C9B0D02"/>
    <w:rsid w:val="5C9D49B3"/>
    <w:rsid w:val="5CCE7F56"/>
    <w:rsid w:val="5CD71FC4"/>
    <w:rsid w:val="5D18575F"/>
    <w:rsid w:val="5D1E0A70"/>
    <w:rsid w:val="5D7F574C"/>
    <w:rsid w:val="5DCE6047"/>
    <w:rsid w:val="5DDA6955"/>
    <w:rsid w:val="5DF04C3F"/>
    <w:rsid w:val="5E19198E"/>
    <w:rsid w:val="5E212407"/>
    <w:rsid w:val="5E256B30"/>
    <w:rsid w:val="5E74663C"/>
    <w:rsid w:val="5EA9791D"/>
    <w:rsid w:val="5ECC769B"/>
    <w:rsid w:val="5EEF76AE"/>
    <w:rsid w:val="5EFF470D"/>
    <w:rsid w:val="5F664BB0"/>
    <w:rsid w:val="5FAD626E"/>
    <w:rsid w:val="5FC245C2"/>
    <w:rsid w:val="5FC7786F"/>
    <w:rsid w:val="603F3629"/>
    <w:rsid w:val="604A16C7"/>
    <w:rsid w:val="60854AAF"/>
    <w:rsid w:val="60C30E0C"/>
    <w:rsid w:val="60D81CD6"/>
    <w:rsid w:val="60E16F9F"/>
    <w:rsid w:val="61156E0E"/>
    <w:rsid w:val="614B18B1"/>
    <w:rsid w:val="61577705"/>
    <w:rsid w:val="61773F43"/>
    <w:rsid w:val="618B18D9"/>
    <w:rsid w:val="61930B72"/>
    <w:rsid w:val="61CC2D17"/>
    <w:rsid w:val="61D36DEB"/>
    <w:rsid w:val="61D81967"/>
    <w:rsid w:val="61DD5044"/>
    <w:rsid w:val="61EA31A7"/>
    <w:rsid w:val="61EB191F"/>
    <w:rsid w:val="626E3A0D"/>
    <w:rsid w:val="62715AD6"/>
    <w:rsid w:val="6280108B"/>
    <w:rsid w:val="62882BC4"/>
    <w:rsid w:val="631E5481"/>
    <w:rsid w:val="6335466D"/>
    <w:rsid w:val="63514B0B"/>
    <w:rsid w:val="6384296F"/>
    <w:rsid w:val="638B495C"/>
    <w:rsid w:val="63AC5318"/>
    <w:rsid w:val="63BF37D5"/>
    <w:rsid w:val="63D2744D"/>
    <w:rsid w:val="64063197"/>
    <w:rsid w:val="641E004A"/>
    <w:rsid w:val="64457D8E"/>
    <w:rsid w:val="649C63CC"/>
    <w:rsid w:val="64A771EE"/>
    <w:rsid w:val="64FB0454"/>
    <w:rsid w:val="650A4BA8"/>
    <w:rsid w:val="6516648A"/>
    <w:rsid w:val="65521C65"/>
    <w:rsid w:val="65530F05"/>
    <w:rsid w:val="65C23B69"/>
    <w:rsid w:val="65C432CF"/>
    <w:rsid w:val="65D84CB3"/>
    <w:rsid w:val="65E8688D"/>
    <w:rsid w:val="65F83595"/>
    <w:rsid w:val="662A1EC1"/>
    <w:rsid w:val="6658733D"/>
    <w:rsid w:val="669567F7"/>
    <w:rsid w:val="66BA7C47"/>
    <w:rsid w:val="66E116A0"/>
    <w:rsid w:val="672B09D2"/>
    <w:rsid w:val="675A34FF"/>
    <w:rsid w:val="67683117"/>
    <w:rsid w:val="67800B3F"/>
    <w:rsid w:val="67A44522"/>
    <w:rsid w:val="67AE4503"/>
    <w:rsid w:val="67E41BC9"/>
    <w:rsid w:val="67F61F90"/>
    <w:rsid w:val="67F64615"/>
    <w:rsid w:val="68087FEA"/>
    <w:rsid w:val="68147493"/>
    <w:rsid w:val="68151D7A"/>
    <w:rsid w:val="685F7EED"/>
    <w:rsid w:val="686A1069"/>
    <w:rsid w:val="68755279"/>
    <w:rsid w:val="687A0758"/>
    <w:rsid w:val="68943760"/>
    <w:rsid w:val="68C76E12"/>
    <w:rsid w:val="68D743FA"/>
    <w:rsid w:val="68EC3B8D"/>
    <w:rsid w:val="68F85D30"/>
    <w:rsid w:val="692664AF"/>
    <w:rsid w:val="696F6E53"/>
    <w:rsid w:val="69765F1A"/>
    <w:rsid w:val="69986474"/>
    <w:rsid w:val="6A0A5C6A"/>
    <w:rsid w:val="6A42760A"/>
    <w:rsid w:val="6A6F2511"/>
    <w:rsid w:val="6AFB68D7"/>
    <w:rsid w:val="6B2A2F19"/>
    <w:rsid w:val="6BC065E2"/>
    <w:rsid w:val="6BE70D52"/>
    <w:rsid w:val="6C0872F0"/>
    <w:rsid w:val="6C4A05C8"/>
    <w:rsid w:val="6C4D34B6"/>
    <w:rsid w:val="6C8C01AF"/>
    <w:rsid w:val="6C8C0A07"/>
    <w:rsid w:val="6CA046B4"/>
    <w:rsid w:val="6D100793"/>
    <w:rsid w:val="6DA676D6"/>
    <w:rsid w:val="6DA827E3"/>
    <w:rsid w:val="6DBE5509"/>
    <w:rsid w:val="6DD54537"/>
    <w:rsid w:val="6DE01B22"/>
    <w:rsid w:val="6E1907BD"/>
    <w:rsid w:val="6E7E3605"/>
    <w:rsid w:val="6EF44BDB"/>
    <w:rsid w:val="6F27093C"/>
    <w:rsid w:val="6F2D48F7"/>
    <w:rsid w:val="6F930E19"/>
    <w:rsid w:val="6FB46D7C"/>
    <w:rsid w:val="6FC06A3A"/>
    <w:rsid w:val="6FEE7C1B"/>
    <w:rsid w:val="6FF07BEE"/>
    <w:rsid w:val="6FF5CC65"/>
    <w:rsid w:val="701E1BA0"/>
    <w:rsid w:val="706305CE"/>
    <w:rsid w:val="70E73F15"/>
    <w:rsid w:val="70E77E79"/>
    <w:rsid w:val="70FD2AA6"/>
    <w:rsid w:val="70FD4257"/>
    <w:rsid w:val="70FE2CEF"/>
    <w:rsid w:val="71334977"/>
    <w:rsid w:val="715C0E4B"/>
    <w:rsid w:val="719323C1"/>
    <w:rsid w:val="71E41BDF"/>
    <w:rsid w:val="720027CA"/>
    <w:rsid w:val="72734D90"/>
    <w:rsid w:val="728412A7"/>
    <w:rsid w:val="72AA2B13"/>
    <w:rsid w:val="72B47B1C"/>
    <w:rsid w:val="72BB2CAA"/>
    <w:rsid w:val="72D207BA"/>
    <w:rsid w:val="73012C97"/>
    <w:rsid w:val="73466F14"/>
    <w:rsid w:val="735E01B4"/>
    <w:rsid w:val="73693D53"/>
    <w:rsid w:val="73930C71"/>
    <w:rsid w:val="73AD73D5"/>
    <w:rsid w:val="73B5190E"/>
    <w:rsid w:val="73B6EB34"/>
    <w:rsid w:val="73F4796F"/>
    <w:rsid w:val="73F61A2C"/>
    <w:rsid w:val="74027B89"/>
    <w:rsid w:val="74031302"/>
    <w:rsid w:val="74294FF7"/>
    <w:rsid w:val="744731E5"/>
    <w:rsid w:val="748019FF"/>
    <w:rsid w:val="749F4DD8"/>
    <w:rsid w:val="74B5078A"/>
    <w:rsid w:val="74B93EAD"/>
    <w:rsid w:val="74C80420"/>
    <w:rsid w:val="74CF09A1"/>
    <w:rsid w:val="74D354EC"/>
    <w:rsid w:val="75085B1D"/>
    <w:rsid w:val="75C768B9"/>
    <w:rsid w:val="75E70BA7"/>
    <w:rsid w:val="763D53E4"/>
    <w:rsid w:val="769B72DD"/>
    <w:rsid w:val="76C917DE"/>
    <w:rsid w:val="76E3355F"/>
    <w:rsid w:val="76EA67D8"/>
    <w:rsid w:val="770851D2"/>
    <w:rsid w:val="772C6ADC"/>
    <w:rsid w:val="7753450C"/>
    <w:rsid w:val="776C4D7F"/>
    <w:rsid w:val="778769C8"/>
    <w:rsid w:val="77AC2434"/>
    <w:rsid w:val="77B07E3C"/>
    <w:rsid w:val="77B36166"/>
    <w:rsid w:val="78032ACE"/>
    <w:rsid w:val="783E64A1"/>
    <w:rsid w:val="78877FC7"/>
    <w:rsid w:val="788B4409"/>
    <w:rsid w:val="788F6521"/>
    <w:rsid w:val="78CD3984"/>
    <w:rsid w:val="78D12FE9"/>
    <w:rsid w:val="78D44B62"/>
    <w:rsid w:val="78EF1AFB"/>
    <w:rsid w:val="79551A20"/>
    <w:rsid w:val="796A0FFA"/>
    <w:rsid w:val="798E3997"/>
    <w:rsid w:val="79DF7341"/>
    <w:rsid w:val="79EE5BA4"/>
    <w:rsid w:val="79F461DE"/>
    <w:rsid w:val="7A015ABC"/>
    <w:rsid w:val="7A3178AB"/>
    <w:rsid w:val="7A3A12E6"/>
    <w:rsid w:val="7A4D7611"/>
    <w:rsid w:val="7A525D45"/>
    <w:rsid w:val="7A6E251D"/>
    <w:rsid w:val="7A894339"/>
    <w:rsid w:val="7AAD4F5D"/>
    <w:rsid w:val="7AE119C1"/>
    <w:rsid w:val="7AE412BC"/>
    <w:rsid w:val="7B0823EB"/>
    <w:rsid w:val="7B1302E0"/>
    <w:rsid w:val="7B3A420E"/>
    <w:rsid w:val="7B420AB4"/>
    <w:rsid w:val="7B4F5A78"/>
    <w:rsid w:val="7BAB56C7"/>
    <w:rsid w:val="7BE20891"/>
    <w:rsid w:val="7BF17605"/>
    <w:rsid w:val="7C087B3E"/>
    <w:rsid w:val="7C1D4B83"/>
    <w:rsid w:val="7CAC4152"/>
    <w:rsid w:val="7D0A5A1E"/>
    <w:rsid w:val="7D1F2904"/>
    <w:rsid w:val="7D9A6470"/>
    <w:rsid w:val="7E007930"/>
    <w:rsid w:val="7E39319B"/>
    <w:rsid w:val="7E3D05D0"/>
    <w:rsid w:val="7E4B592E"/>
    <w:rsid w:val="7EBF1F5F"/>
    <w:rsid w:val="7EDD7BCF"/>
    <w:rsid w:val="7EE368E0"/>
    <w:rsid w:val="7EEF11D3"/>
    <w:rsid w:val="7EFA1EEE"/>
    <w:rsid w:val="7F4C5C27"/>
    <w:rsid w:val="7F6960AD"/>
    <w:rsid w:val="7F766EBF"/>
    <w:rsid w:val="7FA30C79"/>
    <w:rsid w:val="7FA829E4"/>
    <w:rsid w:val="7FB457F2"/>
    <w:rsid w:val="7FB7269E"/>
    <w:rsid w:val="7FC27E37"/>
    <w:rsid w:val="7FC96657"/>
    <w:rsid w:val="7FDE2C8B"/>
    <w:rsid w:val="7FFA3A38"/>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100" w:beforeAutospacing="1" w:after="100" w:afterAutospacing="1"/>
      <w:jc w:val="left"/>
    </w:pPr>
    <w:rPr>
      <w:rFonts w:eastAsia="仿宋_GB2312"/>
      <w:kern w:val="0"/>
      <w:sz w:val="24"/>
      <w:szCs w:val="32"/>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9"/>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350.33</c:v>
                </c:pt>
                <c:pt idx="1">
                  <c:v>350.33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238.86</c:v>
                </c:pt>
                <c:pt idx="1">
                  <c:v>238.86</c:v>
                </c:pt>
              </c:numCache>
            </c:numRef>
          </c:val>
        </c:ser>
        <c:dLbls>
          <c:showLegendKey val="0"/>
          <c:showVal val="1"/>
          <c:showCatName val="0"/>
          <c:showSerName val="0"/>
          <c:showPercent val="0"/>
          <c:showBubbleSize val="0"/>
        </c:dLbls>
        <c:gapWidth val="150"/>
        <c:axId val="96599040"/>
        <c:axId val="96633984"/>
      </c:barChart>
      <c:catAx>
        <c:axId val="9659904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633984"/>
        <c:crosses val="autoZero"/>
        <c:auto val="1"/>
        <c:lblAlgn val="ctr"/>
        <c:lblOffset val="100"/>
        <c:noMultiLvlLbl val="0"/>
      </c:catAx>
      <c:valAx>
        <c:axId val="966339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59904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view3D>
      <c:rotX val="75"/>
      <c:rotY val="0"/>
      <c:depthPercent val="100"/>
      <c:rAngAx val="0"/>
      <c:perspective val="30"/>
    </c:view3D>
    <c:floor>
      <c:thickness val="0"/>
    </c:floor>
    <c:sideWall>
      <c:thickness val="0"/>
      <c:spPr>
        <a:noFill/>
        <a:ln>
          <a:noFill/>
        </a:ln>
        <a:effectLst/>
      </c:spPr>
    </c:sideWall>
    <c:backWall>
      <c:thickness val="0"/>
      <c:spPr>
        <a:noFill/>
        <a:ln>
          <a:noFill/>
        </a:ln>
        <a:effectLst/>
      </c:spPr>
    </c:backWall>
    <c:plotArea>
      <c:layout/>
      <c:pie3DChart>
        <c:varyColors val="1"/>
        <c:ser>
          <c:idx val="0"/>
          <c:order val="0"/>
          <c:tx>
            <c:strRef>
              <c:f>Sheet1!$B$1</c:f>
              <c:strCache>
                <c:ptCount val="1"/>
                <c:pt idx="0">
                  <c:v>收入</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Sheet1!$A$2:$A$8</c:f>
              <c:strCache>
                <c:ptCount val="7"/>
                <c:pt idx="0">
                  <c:v>一般公共预算财政拨款收入</c:v>
                </c:pt>
                <c:pt idx="1">
                  <c:v>政府性基金预算财政拨款收入</c:v>
                </c:pt>
                <c:pt idx="2">
                  <c:v>上级补助收入</c:v>
                </c:pt>
                <c:pt idx="3">
                  <c:v>事业收入</c:v>
                </c:pt>
                <c:pt idx="4">
                  <c:v>经营收入</c:v>
                </c:pt>
                <c:pt idx="5">
                  <c:v>附属单位上缴收入</c:v>
                </c:pt>
                <c:pt idx="6">
                  <c:v>其他收入</c:v>
                </c:pt>
              </c:strCache>
            </c:strRef>
          </c:cat>
          <c:val>
            <c:numRef>
              <c:f>Sheet1!$B$2:$B$8</c:f>
              <c:numCache>
                <c:formatCode>General</c:formatCode>
                <c:ptCount val="7"/>
                <c:pt idx="0">
                  <c:v>238.86</c:v>
                </c:pt>
                <c:pt idx="1">
                  <c:v>0</c:v>
                </c:pt>
                <c:pt idx="2">
                  <c:v>0</c:v>
                </c:pt>
                <c:pt idx="3">
                  <c:v>0</c:v>
                </c:pt>
                <c:pt idx="4">
                  <c:v>0</c:v>
                </c:pt>
                <c:pt idx="5">
                  <c:v>0</c:v>
                </c:pt>
                <c:pt idx="6">
                  <c:v>0</c:v>
                </c:pt>
              </c:numCache>
            </c:numRef>
          </c:val>
        </c:ser>
        <c:dLbls>
          <c:showLegendKey val="0"/>
          <c:showVal val="0"/>
          <c:showCatName val="0"/>
          <c:showSerName val="0"/>
          <c:showPercent val="1"/>
          <c:showBubbleSize val="0"/>
        </c:dLbls>
      </c:pie3D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支出</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182.38</c:v>
                </c:pt>
                <c:pt idx="1">
                  <c:v>56.47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78451825418611"/>
          <c:y val="0.00690766751093714"/>
          <c:w val="0.764397474608839"/>
          <c:h val="0.83845268247755"/>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350.33</c:v>
                </c:pt>
                <c:pt idx="1">
                  <c:v>350.33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238.86</c:v>
                </c:pt>
                <c:pt idx="1">
                  <c:v>238.86</c:v>
                </c:pt>
              </c:numCache>
            </c:numRef>
          </c:val>
        </c:ser>
        <c:dLbls>
          <c:showLegendKey val="0"/>
          <c:showVal val="1"/>
          <c:showCatName val="0"/>
          <c:showSerName val="0"/>
          <c:showPercent val="0"/>
          <c:showBubbleSize val="0"/>
        </c:dLbls>
        <c:gapWidth val="150"/>
        <c:axId val="96599040"/>
        <c:axId val="96633984"/>
      </c:barChart>
      <c:catAx>
        <c:axId val="9659904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633984"/>
        <c:crosses val="autoZero"/>
        <c:auto val="1"/>
        <c:lblAlgn val="ctr"/>
        <c:lblOffset val="100"/>
        <c:noMultiLvlLbl val="0"/>
      </c:catAx>
      <c:valAx>
        <c:axId val="966339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59904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Lbl>
              <c:idx val="0"/>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350.33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238.86</c:v>
                </c:pt>
              </c:numCache>
            </c:numRef>
          </c:val>
        </c:ser>
        <c:dLbls>
          <c:showLegendKey val="0"/>
          <c:showVal val="0"/>
          <c:showCatName val="0"/>
          <c:showSerName val="0"/>
          <c:showPercent val="0"/>
          <c:showBubbleSize val="0"/>
        </c:dLbls>
        <c:gapWidth val="150"/>
        <c:axId val="107987712"/>
        <c:axId val="157710592"/>
      </c:barChart>
      <c:catAx>
        <c:axId val="10798771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7710592"/>
        <c:crosses val="autoZero"/>
        <c:auto val="1"/>
        <c:lblAlgn val="ctr"/>
        <c:lblOffset val="100"/>
        <c:noMultiLvlLbl val="0"/>
      </c:catAx>
      <c:valAx>
        <c:axId val="15771059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7987712"/>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一般公共预算财政拨款支出</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dLbl>
              <c:idx val="4"/>
              <c:layout>
                <c:manualLayout>
                  <c:x val="-0.00737425226403645"/>
                  <c:y val="-0.035817647226530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一般公共服务（类）支出</c:v>
                </c:pt>
                <c:pt idx="1">
                  <c:v>教育支出（类）支出</c:v>
                </c:pt>
                <c:pt idx="2">
                  <c:v>扶贫支出</c:v>
                </c:pt>
                <c:pt idx="3">
                  <c:v>社会保障和就业（类）支出</c:v>
                </c:pt>
                <c:pt idx="4">
                  <c:v>医疗卫生支出</c:v>
                </c:pt>
                <c:pt idx="5">
                  <c:v>住房保障支出</c:v>
                </c:pt>
              </c:strCache>
            </c:strRef>
          </c:cat>
          <c:val>
            <c:numRef>
              <c:f>Sheet1!$B$2:$B$7</c:f>
              <c:numCache>
                <c:formatCode>General</c:formatCode>
                <c:ptCount val="6"/>
                <c:pt idx="0">
                  <c:v>206.42</c:v>
                </c:pt>
                <c:pt idx="1">
                  <c:v>0</c:v>
                </c:pt>
                <c:pt idx="2">
                  <c:v>0</c:v>
                </c:pt>
                <c:pt idx="3">
                  <c:v>9.18</c:v>
                </c:pt>
                <c:pt idx="4">
                  <c:v>7.69</c:v>
                </c:pt>
                <c:pt idx="5">
                  <c:v>15.56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”三公“经费财政拨款支出</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0.38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1</TotalTime>
  <ScaleCrop>false</ScaleCrop>
  <LinksUpToDate>false</LinksUpToDate>
  <CharactersWithSpaces>7955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2023-11-09T06:57:00Z</cp:lastPrinted>
  <dcterms:modified xsi:type="dcterms:W3CDTF">2023-11-30T04:45:54Z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422179FA6A844F80B15E5AEE02FC2D1C</vt:lpwstr>
  </property>
</Properties>
</file>