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outlineLvl w:val="0"/>
        <w:rPr>
          <w:rFonts w:ascii="方正小标宋简体" w:hAnsi="宋体" w:eastAsia="方正小标宋简体"/>
          <w:sz w:val="72"/>
          <w:szCs w:val="72"/>
        </w:rPr>
      </w:pPr>
      <w:bookmarkStart w:id="0" w:name="_Toc15377193"/>
      <w:bookmarkStart w:id="1" w:name="_Toc15396597"/>
      <w:bookmarkStart w:id="2" w:name="_Toc15396475"/>
      <w:bookmarkStart w:id="3" w:name="_Toc15378441"/>
      <w:bookmarkStart w:id="4" w:name="_Toc15377425"/>
      <w:bookmarkStart w:id="5" w:name="_Toc15306267"/>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6" w:name="_Toc15377426"/>
      <w:bookmarkStart w:id="7" w:name="_Toc15396598"/>
      <w:bookmarkStart w:id="8" w:name="_Toc15377194"/>
      <w:bookmarkStart w:id="9" w:name="_Toc15378442"/>
      <w:bookmarkStart w:id="10" w:name="_Toc15396476"/>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val="en-US" w:eastAsia="zh-CN"/>
        </w:rPr>
        <w:t>乐至县蚕桑局</w:t>
      </w:r>
      <w:r>
        <w:rPr>
          <w:rFonts w:hint="eastAsia" w:ascii="方正小标宋简体" w:hAnsi="方正小标宋简体" w:eastAsia="方正小标宋简体" w:cs="方正小标宋简体"/>
          <w:sz w:val="72"/>
          <w:szCs w:val="72"/>
        </w:rPr>
        <w:t>部门</w:t>
      </w:r>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p>
    <w:p>
      <w:pPr>
        <w:pStyle w:val="2"/>
      </w:pPr>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4"/>
        <w:numPr>
          <w:ilvl w:val="0"/>
          <w:numId w:val="1"/>
        </w:numPr>
      </w:pPr>
      <w:r>
        <w:rPr>
          <w:rFonts w:hint="eastAsia"/>
        </w:rPr>
        <w:t>公开时间：2023年</w:t>
      </w:r>
      <w:r>
        <w:rPr>
          <w:rFonts w:hint="eastAsia"/>
          <w:lang w:val="en-US" w:eastAsia="zh-CN"/>
        </w:rPr>
        <w:t>10</w:t>
      </w:r>
      <w:r>
        <w:rPr>
          <w:rFonts w:hint="eastAsia"/>
        </w:rPr>
        <w:t>月</w:t>
      </w:r>
      <w:r>
        <w:rPr>
          <w:rFonts w:hint="eastAsia"/>
          <w:lang w:val="en-US" w:eastAsia="zh-CN"/>
        </w:rPr>
        <w:t>19</w:t>
      </w:r>
      <w:r>
        <w:rPr>
          <w:rFonts w:hint="eastAsia"/>
        </w:rPr>
        <w:t>日</w:t>
      </w:r>
    </w:p>
    <w:p/>
    <w:p>
      <w:pPr>
        <w:pStyle w:val="13"/>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sz w:val="24"/>
          <w:lang w:val="en-US" w:eastAsia="zh-CN"/>
        </w:rPr>
      </w:pPr>
      <w:r>
        <w:rPr>
          <w:rFonts w:hint="eastAsia"/>
          <w:sz w:val="24"/>
        </w:rPr>
        <w:t>一、部门职责</w:t>
      </w:r>
      <w:r>
        <w:rPr>
          <w:rFonts w:hint="eastAsia"/>
          <w:sz w:val="24"/>
          <w:lang w:val="en-US" w:eastAsia="zh-CN"/>
        </w:rPr>
        <w:tab/>
      </w:r>
      <w:r>
        <w:rPr>
          <w:rFonts w:hint="eastAsia"/>
          <w:sz w:val="24"/>
          <w:lang w:val="en-US" w:eastAsia="zh-CN"/>
        </w:rPr>
        <w:t>3</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二、机构设置</w:t>
      </w:r>
      <w:r>
        <w:rPr>
          <w:rFonts w:hint="eastAsia"/>
          <w:sz w:val="24"/>
          <w:lang w:val="en-US" w:eastAsia="zh-CN"/>
        </w:rPr>
        <w:tab/>
      </w:r>
      <w:r>
        <w:rPr>
          <w:rFonts w:hint="eastAsia"/>
          <w:sz w:val="24"/>
          <w:lang w:val="en-US" w:eastAsia="zh-CN"/>
        </w:rPr>
        <w:t>4</w:t>
      </w: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sz w:val="24"/>
          <w:szCs w:val="24"/>
        </w:rPr>
      </w:pPr>
      <w:r>
        <w:rPr>
          <w:rFonts w:hint="eastAsia"/>
          <w:sz w:val="24"/>
        </w:rPr>
        <w:t>第二部分 2022年度部门决算情况说明</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一、收入支出决算总体情况说明</w:t>
      </w:r>
      <w:r>
        <w:rPr>
          <w:rFonts w:hint="eastAsia"/>
          <w:sz w:val="24"/>
          <w:lang w:val="en-US" w:eastAsia="zh-CN"/>
        </w:rPr>
        <w:tab/>
      </w:r>
      <w:r>
        <w:rPr>
          <w:rFonts w:hint="eastAsia"/>
          <w:sz w:val="24"/>
          <w:lang w:val="en-US" w:eastAsia="zh-CN"/>
        </w:rPr>
        <w:t>4</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二、收入决算情况说明</w:t>
      </w:r>
      <w:r>
        <w:rPr>
          <w:rFonts w:hint="eastAsia"/>
          <w:sz w:val="24"/>
          <w:lang w:val="en-US" w:eastAsia="zh-CN"/>
        </w:rPr>
        <w:tab/>
      </w:r>
      <w:r>
        <w:rPr>
          <w:rFonts w:hint="eastAsia"/>
          <w:sz w:val="24"/>
          <w:lang w:val="en-US" w:eastAsia="zh-CN"/>
        </w:rPr>
        <w:t>5</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三、支出决算情况说明</w:t>
      </w:r>
      <w:r>
        <w:rPr>
          <w:rFonts w:hint="eastAsia"/>
          <w:sz w:val="24"/>
          <w:lang w:val="en-US" w:eastAsia="zh-CN"/>
        </w:rPr>
        <w:tab/>
      </w:r>
      <w:r>
        <w:rPr>
          <w:rFonts w:hint="eastAsia"/>
          <w:sz w:val="24"/>
          <w:lang w:val="en-US" w:eastAsia="zh-CN"/>
        </w:rPr>
        <w:t>6</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四、财政拨款收入支出决算总体情况说明</w:t>
      </w:r>
      <w:r>
        <w:rPr>
          <w:rFonts w:hint="eastAsia"/>
          <w:sz w:val="24"/>
          <w:lang w:val="en-US" w:eastAsia="zh-CN"/>
        </w:rPr>
        <w:tab/>
      </w:r>
      <w:r>
        <w:rPr>
          <w:rFonts w:hint="eastAsia"/>
          <w:sz w:val="24"/>
          <w:lang w:val="en-US" w:eastAsia="zh-CN"/>
        </w:rPr>
        <w:t>7</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五、一般公共预算财政拨款支出决算情况说明</w:t>
      </w:r>
      <w:r>
        <w:rPr>
          <w:rFonts w:hint="eastAsia"/>
          <w:sz w:val="24"/>
          <w:lang w:val="en-US" w:eastAsia="zh-CN"/>
        </w:rPr>
        <w:tab/>
      </w:r>
      <w:r>
        <w:rPr>
          <w:rFonts w:hint="eastAsia"/>
          <w:sz w:val="24"/>
          <w:lang w:val="en-US" w:eastAsia="zh-CN"/>
        </w:rPr>
        <w:t>8</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六、一般公共预算财政拨款基本支出决算情况说明</w:t>
      </w:r>
      <w:r>
        <w:rPr>
          <w:rFonts w:hint="eastAsia"/>
          <w:sz w:val="24"/>
          <w:lang w:val="en-US" w:eastAsia="zh-CN"/>
        </w:rPr>
        <w:tab/>
      </w:r>
      <w:r>
        <w:rPr>
          <w:rFonts w:hint="eastAsia"/>
          <w:sz w:val="24"/>
          <w:lang w:val="en-US" w:eastAsia="zh-CN"/>
        </w:rPr>
        <w:t>10</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七、财政拨款“三公”经费支出决算情况说明</w:t>
      </w:r>
      <w:r>
        <w:rPr>
          <w:rFonts w:hint="eastAsia"/>
          <w:sz w:val="24"/>
          <w:lang w:val="en-US" w:eastAsia="zh-CN"/>
        </w:rPr>
        <w:tab/>
      </w:r>
      <w:r>
        <w:rPr>
          <w:rFonts w:hint="eastAsia"/>
          <w:sz w:val="24"/>
          <w:lang w:val="en-US" w:eastAsia="zh-CN"/>
        </w:rPr>
        <w:t>11</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default" w:ascii="仿宋" w:hAnsi="仿宋" w:eastAsia="宋体" w:cstheme="minorBidi"/>
          <w:sz w:val="24"/>
          <w:lang w:val="en-US" w:eastAsia="zh-CN"/>
        </w:rPr>
      </w:pPr>
      <w:r>
        <w:rPr>
          <w:rFonts w:hint="eastAsia"/>
          <w:sz w:val="24"/>
        </w:rPr>
        <w:t>八、政府性基金预算支出决算情况说明</w:t>
      </w:r>
      <w:r>
        <w:rPr>
          <w:rFonts w:hint="eastAsia"/>
          <w:sz w:val="24"/>
          <w:lang w:val="en-US" w:eastAsia="zh-CN"/>
        </w:rPr>
        <w:tab/>
      </w:r>
      <w:r>
        <w:rPr>
          <w:rFonts w:hint="eastAsia"/>
          <w:sz w:val="24"/>
          <w:lang w:val="en-US" w:eastAsia="zh-CN"/>
        </w:rPr>
        <w:t>12</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ind w:leftChars="0"/>
        <w:jc w:val="left"/>
        <w:textAlignment w:val="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九、国有资本经营预算支出决算情况说明</w:t>
      </w:r>
      <w:r>
        <w:rPr>
          <w:rFonts w:hint="eastAsia" w:asciiTheme="minorEastAsia" w:hAnsiTheme="minorEastAsia" w:eastAsiaTheme="minorEastAsia" w:cstheme="minorEastAsia"/>
          <w:sz w:val="24"/>
          <w:lang w:val="en-US" w:eastAsia="zh-CN"/>
        </w:rPr>
        <w:tab/>
      </w:r>
      <w:r>
        <w:rPr>
          <w:rFonts w:hint="eastAsia" w:asciiTheme="minorEastAsia" w:hAnsiTheme="minorEastAsia" w:eastAsiaTheme="minorEastAsia" w:cstheme="minorEastAsia"/>
          <w:sz w:val="24"/>
          <w:lang w:val="en-US" w:eastAsia="zh-CN"/>
        </w:rPr>
        <w:t>12</w:t>
      </w:r>
    </w:p>
    <w:p>
      <w:pPr>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ind w:firstLine="420" w:firstLineChars="175"/>
        <w:jc w:val="left"/>
        <w:textAlignment w:val="auto"/>
        <w:rPr>
          <w:rFonts w:hint="default" w:asciiTheme="minorEastAsia" w:hAnsiTheme="minorEastAsia" w:eastAsiaTheme="minorEastAsia" w:cstheme="minorEastAsia"/>
          <w:sz w:val="24"/>
          <w:lang w:val="en-US" w:eastAsia="zh-CN"/>
        </w:rPr>
      </w:pPr>
      <w:r>
        <w:rPr>
          <w:rStyle w:val="20"/>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lang w:val="en-US" w:eastAsia="zh-CN"/>
        </w:rPr>
        <w:t>12</w:t>
      </w: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名词解释</w:t>
      </w:r>
      <w:r>
        <w:rPr>
          <w:rFonts w:hint="eastAsia"/>
          <w:sz w:val="24"/>
          <w:lang w:val="en-US" w:eastAsia="zh-CN"/>
        </w:rPr>
        <w:tab/>
      </w:r>
      <w:r>
        <w:rPr>
          <w:rFonts w:hint="eastAsia"/>
          <w:sz w:val="24"/>
          <w:lang w:val="en-US" w:eastAsia="zh-CN"/>
        </w:rPr>
        <w:t>14</w:t>
      </w: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eastAsia"/>
          <w:sz w:val="24"/>
        </w:rPr>
      </w:pPr>
      <w:r>
        <w:rPr>
          <w:rFonts w:hint="eastAsia"/>
          <w:sz w:val="24"/>
        </w:rPr>
        <w:t>第四部分</w:t>
      </w:r>
      <w:r>
        <w:rPr>
          <w:sz w:val="24"/>
        </w:rPr>
        <w:t xml:space="preserve"> </w:t>
      </w:r>
      <w:r>
        <w:rPr>
          <w:rFonts w:hint="eastAsia"/>
          <w:sz w:val="24"/>
        </w:rPr>
        <w:t>附件</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ind w:leftChars="0"/>
        <w:jc w:val="left"/>
        <w:textAlignment w:val="auto"/>
        <w:rPr>
          <w:rFonts w:hint="eastAsia"/>
          <w:lang w:val="en-US" w:eastAsia="zh-CN"/>
        </w:rPr>
      </w:pPr>
      <w:r>
        <w:rPr>
          <w:rFonts w:hint="eastAsia" w:asciiTheme="minorEastAsia" w:hAnsiTheme="minorEastAsia" w:eastAsiaTheme="minorEastAsia" w:cstheme="minorEastAsia"/>
          <w:sz w:val="24"/>
        </w:rPr>
        <w:t>一、</w:t>
      </w:r>
      <w:r>
        <w:rPr>
          <w:rFonts w:hint="eastAsia" w:asciiTheme="minorEastAsia" w:hAnsiTheme="minorEastAsia" w:eastAsiaTheme="minorEastAsia" w:cstheme="minorEastAsia"/>
          <w:sz w:val="24"/>
          <w:lang w:val="en-US" w:eastAsia="zh-CN"/>
        </w:rPr>
        <w:t>乐至县蚕桑局2022年整体绩效自评报告</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ind w:leftChars="0"/>
        <w:jc w:val="left"/>
        <w:textAlignment w:val="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二、白僵蚕园区前期工作经费</w:t>
      </w:r>
      <w:r>
        <w:rPr>
          <w:rFonts w:hint="eastAsia" w:asciiTheme="minorEastAsia" w:hAnsiTheme="minorEastAsia" w:eastAsiaTheme="minorEastAsia" w:cstheme="minorEastAsia"/>
          <w:sz w:val="24"/>
        </w:rPr>
        <w:t>项目</w:t>
      </w:r>
      <w:r>
        <w:rPr>
          <w:rFonts w:hint="eastAsia" w:asciiTheme="minorEastAsia" w:hAnsiTheme="minorEastAsia" w:eastAsiaTheme="minorEastAsia" w:cstheme="minorEastAsia"/>
          <w:sz w:val="24"/>
          <w:lang w:val="en-US" w:eastAsia="zh-CN"/>
        </w:rPr>
        <w:t>自评报告</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ind w:leftChars="0"/>
        <w:jc w:val="left"/>
        <w:textAlignment w:val="auto"/>
      </w:pPr>
      <w:r>
        <w:rPr>
          <w:rFonts w:hint="eastAsia" w:asciiTheme="minorEastAsia" w:hAnsiTheme="minorEastAsia" w:eastAsiaTheme="minorEastAsia" w:cstheme="minorEastAsia"/>
          <w:sz w:val="24"/>
          <w:lang w:val="en-US" w:eastAsia="zh-CN"/>
        </w:rPr>
        <w:t>三、临聘人员三险一金</w:t>
      </w:r>
      <w:r>
        <w:rPr>
          <w:rFonts w:hint="eastAsia" w:asciiTheme="minorEastAsia" w:hAnsiTheme="minorEastAsia" w:eastAsiaTheme="minorEastAsia" w:cstheme="minorEastAsia"/>
          <w:sz w:val="24"/>
        </w:rPr>
        <w:t>项目</w:t>
      </w:r>
      <w:r>
        <w:rPr>
          <w:rFonts w:hint="eastAsia" w:asciiTheme="minorEastAsia" w:hAnsiTheme="minorEastAsia" w:eastAsiaTheme="minorEastAsia" w:cstheme="minorEastAsia"/>
          <w:sz w:val="24"/>
          <w:lang w:val="en-US" w:eastAsia="zh-CN"/>
        </w:rPr>
        <w:t>绩效评估报告</w:t>
      </w: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cstheme="minorBidi"/>
          <w:sz w:val="24"/>
          <w:szCs w:val="24"/>
        </w:rPr>
      </w:pPr>
      <w:r>
        <w:rPr>
          <w:rFonts w:hint="eastAsia"/>
          <w:sz w:val="24"/>
        </w:rPr>
        <w:t>第五部分</w:t>
      </w:r>
      <w:r>
        <w:rPr>
          <w:sz w:val="24"/>
        </w:rPr>
        <w:t xml:space="preserve"> </w:t>
      </w:r>
      <w:r>
        <w:rPr>
          <w:rFonts w:hint="eastAsia"/>
          <w:sz w:val="24"/>
        </w:rPr>
        <w:t>附表</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eastAsia" w:eastAsia="宋体"/>
          <w:sz w:val="24"/>
          <w:lang w:val="en-US" w:eastAsia="zh-CN"/>
        </w:rPr>
      </w:pPr>
      <w:r>
        <w:rPr>
          <w:rFonts w:hint="eastAsia"/>
          <w:sz w:val="24"/>
        </w:rPr>
        <w:t>一、收入支出决算总表</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eastAsia"/>
          <w:sz w:val="24"/>
        </w:rPr>
      </w:pPr>
      <w:r>
        <w:rPr>
          <w:rFonts w:hint="eastAsia"/>
          <w:sz w:val="24"/>
        </w:rPr>
        <w:t>二、收入决算表</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eastAsia" w:eastAsia="宋体"/>
          <w:sz w:val="24"/>
          <w:lang w:val="en-US" w:eastAsia="zh-CN"/>
        </w:rPr>
      </w:pPr>
      <w:r>
        <w:rPr>
          <w:rFonts w:hint="eastAsia"/>
          <w:sz w:val="24"/>
        </w:rPr>
        <w:t>三、支出决算表</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eastAsia" w:eastAsia="宋体"/>
          <w:sz w:val="24"/>
          <w:lang w:val="en-US" w:eastAsia="zh-CN"/>
        </w:rPr>
      </w:pPr>
      <w:r>
        <w:rPr>
          <w:rFonts w:hint="eastAsia"/>
          <w:sz w:val="24"/>
        </w:rPr>
        <w:t>四、财政拨款收入支出决算总表</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eastAsia" w:eastAsia="宋体"/>
          <w:sz w:val="24"/>
          <w:lang w:val="en-US" w:eastAsia="zh-CN"/>
        </w:rPr>
      </w:pPr>
      <w:r>
        <w:rPr>
          <w:rFonts w:hint="eastAsia"/>
          <w:sz w:val="24"/>
        </w:rPr>
        <w:t>五、财政拨款支出决算明细表</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eastAsia" w:eastAsia="宋体"/>
          <w:sz w:val="24"/>
          <w:lang w:val="en-US" w:eastAsia="zh-CN"/>
        </w:rPr>
      </w:pPr>
      <w:r>
        <w:rPr>
          <w:rFonts w:hint="eastAsia"/>
          <w:sz w:val="24"/>
        </w:rPr>
        <w:t>六、一般公共预算财政拨款支出决算表</w:t>
      </w:r>
    </w:p>
    <w:p>
      <w:pPr>
        <w:pStyle w:val="14"/>
        <w:keepNext w:val="0"/>
        <w:keepLines w:val="0"/>
        <w:pageBreakBefore w:val="0"/>
        <w:widowControl w:val="0"/>
        <w:tabs>
          <w:tab w:val="right" w:leader="middleDot" w:pos="8296"/>
        </w:tabs>
        <w:kinsoku/>
        <w:wordWrap/>
        <w:overflowPunct/>
        <w:topLinePunct w:val="0"/>
        <w:autoSpaceDE/>
        <w:autoSpaceDN/>
        <w:bidi w:val="0"/>
        <w:adjustRightInd w:val="0"/>
        <w:snapToGrid w:val="0"/>
        <w:spacing w:line="440" w:lineRule="exact"/>
        <w:jc w:val="left"/>
        <w:textAlignment w:val="auto"/>
        <w:rPr>
          <w:rFonts w:hint="eastAsia" w:eastAsia="宋体"/>
          <w:sz w:val="24"/>
          <w:lang w:val="en-US" w:eastAsia="zh-CN"/>
        </w:rPr>
      </w:pPr>
      <w:r>
        <w:rPr>
          <w:rFonts w:hint="eastAsia"/>
          <w:sz w:val="24"/>
        </w:rPr>
        <w:t>七、一般公共预算财政拨款支出决算明细表</w:t>
      </w:r>
    </w:p>
    <w:p>
      <w:pPr>
        <w:pStyle w:val="14"/>
        <w:adjustRightInd w:val="0"/>
        <w:snapToGrid w:val="0"/>
        <w:spacing w:line="440" w:lineRule="exact"/>
        <w:jc w:val="left"/>
        <w:rPr>
          <w:rFonts w:hint="eastAsia" w:eastAsia="宋体"/>
          <w:sz w:val="24"/>
          <w:lang w:val="en-US" w:eastAsia="zh-CN"/>
        </w:rPr>
      </w:pPr>
      <w:r>
        <w:rPr>
          <w:rFonts w:hint="eastAsia"/>
          <w:sz w:val="24"/>
        </w:rPr>
        <w:t>八、一般公共预算财政拨款基本支出决算明细表</w:t>
      </w:r>
    </w:p>
    <w:p>
      <w:pPr>
        <w:pStyle w:val="14"/>
        <w:adjustRightInd w:val="0"/>
        <w:snapToGrid w:val="0"/>
        <w:spacing w:line="440" w:lineRule="exact"/>
        <w:jc w:val="left"/>
        <w:rPr>
          <w:rFonts w:hint="eastAsia" w:eastAsia="宋体"/>
          <w:sz w:val="24"/>
          <w:lang w:val="en-US" w:eastAsia="zh-CN"/>
        </w:rPr>
      </w:pPr>
      <w:r>
        <w:rPr>
          <w:rFonts w:hint="eastAsia"/>
          <w:sz w:val="24"/>
        </w:rPr>
        <w:t>九、一般公共预算财政拨款项目支出决算表</w:t>
      </w:r>
    </w:p>
    <w:p>
      <w:pPr>
        <w:pStyle w:val="14"/>
        <w:adjustRightInd w:val="0"/>
        <w:snapToGrid w:val="0"/>
        <w:spacing w:line="440" w:lineRule="exact"/>
        <w:jc w:val="left"/>
        <w:rPr>
          <w:rFonts w:hint="eastAsia" w:eastAsia="宋体"/>
          <w:sz w:val="24"/>
          <w:lang w:val="en-US" w:eastAsia="zh-CN"/>
        </w:rPr>
      </w:pPr>
      <w:r>
        <w:rPr>
          <w:rFonts w:hint="eastAsia"/>
          <w:sz w:val="24"/>
        </w:rPr>
        <w:t>十、政府性基金预算财政拨款收入支出决算表</w:t>
      </w:r>
    </w:p>
    <w:p>
      <w:pPr>
        <w:pStyle w:val="14"/>
        <w:adjustRightInd w:val="0"/>
        <w:snapToGrid w:val="0"/>
        <w:spacing w:line="440" w:lineRule="exact"/>
        <w:jc w:val="left"/>
        <w:rPr>
          <w:rFonts w:hint="eastAsia" w:eastAsia="宋体"/>
          <w:sz w:val="24"/>
          <w:lang w:val="en-US" w:eastAsia="zh-CN"/>
        </w:rPr>
      </w:pPr>
      <w:r>
        <w:rPr>
          <w:rFonts w:hint="eastAsia"/>
          <w:sz w:val="24"/>
        </w:rPr>
        <w:t>十一、国有资本经营预算财政拨款收入支出决算表</w:t>
      </w:r>
    </w:p>
    <w:p>
      <w:pPr>
        <w:pStyle w:val="14"/>
        <w:adjustRightInd w:val="0"/>
        <w:snapToGrid w:val="0"/>
        <w:spacing w:line="440" w:lineRule="exact"/>
        <w:jc w:val="left"/>
        <w:rPr>
          <w:rFonts w:hint="eastAsia" w:eastAsia="宋体"/>
          <w:sz w:val="24"/>
          <w:lang w:val="en-US" w:eastAsia="zh-CN"/>
        </w:rPr>
      </w:pPr>
      <w:r>
        <w:rPr>
          <w:rFonts w:hint="eastAsia"/>
          <w:sz w:val="24"/>
        </w:rPr>
        <w:t>十二、国有资本经营预算财政拨款支出决算表</w:t>
      </w:r>
    </w:p>
    <w:p>
      <w:pPr>
        <w:pStyle w:val="14"/>
        <w:adjustRightInd w:val="0"/>
        <w:snapToGrid w:val="0"/>
        <w:spacing w:line="440" w:lineRule="exact"/>
        <w:jc w:val="left"/>
        <w:rPr>
          <w:rFonts w:hint="eastAsia" w:eastAsia="宋体" w:asciiTheme="minorEastAsia" w:hAnsiTheme="minorEastAsia" w:cstheme="minorEastAsia"/>
          <w:sz w:val="24"/>
          <w:lang w:val="en-US" w:eastAsia="zh-CN"/>
        </w:rPr>
      </w:pPr>
      <w:r>
        <w:rPr>
          <w:rFonts w:hint="eastAsia"/>
          <w:sz w:val="24"/>
        </w:rPr>
        <w:t>十三、财政拨款“三公”经费支出决算表</w:t>
      </w:r>
    </w:p>
    <w:p>
      <w:pPr>
        <w:pStyle w:val="3"/>
        <w:jc w:val="center"/>
        <w:rPr>
          <w:rFonts w:hint="eastAsia" w:ascii="黑体" w:hAnsi="黑体" w:eastAsia="黑体"/>
          <w:b w:val="0"/>
          <w:lang w:val="en-US" w:eastAsia="zh-CN"/>
        </w:rPr>
      </w:pPr>
      <w:bookmarkStart w:id="12" w:name="_Toc15377196"/>
      <w:bookmarkStart w:id="13" w:name="_Toc15396599"/>
    </w:p>
    <w:p>
      <w:pPr>
        <w:pStyle w:val="3"/>
        <w:jc w:val="center"/>
        <w:rPr>
          <w:rFonts w:hint="eastAsia" w:ascii="黑体" w:hAnsi="黑体" w:eastAsia="黑体"/>
          <w:b w:val="0"/>
          <w:lang w:val="en-US" w:eastAsia="zh-CN"/>
        </w:rPr>
      </w:pPr>
    </w:p>
    <w:p>
      <w:pPr>
        <w:pStyle w:val="3"/>
        <w:jc w:val="center"/>
        <w:rPr>
          <w:rFonts w:hint="eastAsia" w:ascii="黑体" w:hAnsi="黑体" w:eastAsia="黑体"/>
          <w:b w:val="0"/>
          <w:lang w:val="en-US" w:eastAsia="zh-CN"/>
        </w:rPr>
      </w:pPr>
    </w:p>
    <w:p>
      <w:pPr>
        <w:pStyle w:val="3"/>
        <w:jc w:val="center"/>
        <w:rPr>
          <w:rFonts w:hint="eastAsia" w:ascii="黑体" w:hAnsi="黑体" w:eastAsia="黑体"/>
          <w:b w:val="0"/>
          <w:lang w:val="en-US" w:eastAsia="zh-CN"/>
        </w:rPr>
      </w:pPr>
    </w:p>
    <w:p>
      <w:pPr>
        <w:pStyle w:val="3"/>
        <w:jc w:val="both"/>
        <w:rPr>
          <w:rFonts w:hint="eastAsia" w:ascii="黑体" w:hAnsi="黑体" w:eastAsia="黑体"/>
          <w:b w:val="0"/>
          <w:lang w:val="en-US" w:eastAsia="zh-CN"/>
        </w:rPr>
      </w:pPr>
    </w:p>
    <w:p>
      <w:pPr>
        <w:rPr>
          <w:rFonts w:hint="eastAsia" w:ascii="黑体" w:hAnsi="黑体" w:eastAsia="黑体"/>
          <w:b w:val="0"/>
          <w:lang w:val="en-US" w:eastAsia="zh-CN"/>
        </w:rPr>
      </w:pPr>
    </w:p>
    <w:p>
      <w:pPr>
        <w:pStyle w:val="2"/>
        <w:rPr>
          <w:rFonts w:hint="eastAsia" w:ascii="黑体" w:hAnsi="黑体" w:eastAsia="黑体"/>
          <w:b w:val="0"/>
          <w:lang w:val="en-US" w:eastAsia="zh-CN"/>
        </w:rPr>
      </w:pPr>
    </w:p>
    <w:p>
      <w:pPr>
        <w:rPr>
          <w:rFonts w:hint="eastAsia" w:ascii="黑体" w:hAnsi="黑体" w:eastAsia="黑体"/>
          <w:b w:val="0"/>
          <w:lang w:val="en-US" w:eastAsia="zh-CN"/>
        </w:rPr>
      </w:pPr>
    </w:p>
    <w:p>
      <w:pPr>
        <w:pStyle w:val="2"/>
        <w:rPr>
          <w:rFonts w:hint="eastAsia" w:ascii="黑体" w:hAnsi="黑体" w:eastAsia="黑体"/>
          <w:b w:val="0"/>
          <w:lang w:val="en-US" w:eastAsia="zh-CN"/>
        </w:rPr>
      </w:pPr>
    </w:p>
    <w:p>
      <w:pPr>
        <w:rPr>
          <w:rFonts w:hint="eastAsia" w:ascii="黑体" w:hAnsi="黑体" w:eastAsia="黑体"/>
          <w:b w:val="0"/>
          <w:lang w:val="en-US" w:eastAsia="zh-CN"/>
        </w:rPr>
      </w:pPr>
    </w:p>
    <w:p>
      <w:pPr>
        <w:pStyle w:val="2"/>
        <w:rPr>
          <w:rFonts w:hint="eastAsia" w:ascii="黑体" w:hAnsi="黑体" w:eastAsia="黑体"/>
          <w:b w:val="0"/>
          <w:lang w:val="en-US" w:eastAsia="zh-CN"/>
        </w:rPr>
      </w:pPr>
    </w:p>
    <w:p>
      <w:pPr>
        <w:rPr>
          <w:rFonts w:hint="eastAsia" w:ascii="黑体" w:hAnsi="黑体" w:eastAsia="黑体"/>
          <w:b w:val="0"/>
          <w:lang w:val="en-US" w:eastAsia="zh-CN"/>
        </w:rPr>
      </w:pPr>
    </w:p>
    <w:p>
      <w:pPr>
        <w:pStyle w:val="2"/>
        <w:rPr>
          <w:rFonts w:hint="eastAsia"/>
          <w:lang w:val="en-US" w:eastAsia="zh-CN"/>
        </w:rPr>
      </w:pPr>
    </w:p>
    <w:p>
      <w:pPr>
        <w:pStyle w:val="3"/>
        <w:jc w:val="center"/>
        <w:rPr>
          <w:rFonts w:hint="eastAsia" w:ascii="黑体" w:hAnsi="黑体" w:eastAsia="黑体"/>
          <w:b w:val="0"/>
          <w:lang w:val="en-US" w:eastAsia="zh-CN"/>
        </w:rPr>
      </w:pPr>
      <w:r>
        <w:rPr>
          <w:rFonts w:hint="eastAsia" w:ascii="黑体" w:hAnsi="黑体" w:eastAsia="黑体"/>
          <w:b w:val="0"/>
          <w:lang w:val="en-US" w:eastAsia="zh-CN"/>
        </w:rPr>
        <w:t>第一部分 部门概况</w:t>
      </w:r>
      <w:bookmarkEnd w:id="12"/>
      <w:bookmarkEnd w:id="13"/>
    </w:p>
    <w:p>
      <w:pPr>
        <w:widowControl/>
        <w:jc w:val="left"/>
        <w:rPr>
          <w:rFonts w:ascii="黑体" w:eastAsia="黑体"/>
          <w:sz w:val="32"/>
          <w:szCs w:val="32"/>
        </w:rPr>
      </w:pPr>
    </w:p>
    <w:p>
      <w:pPr>
        <w:pStyle w:val="4"/>
        <w:numPr>
          <w:ilvl w:val="0"/>
          <w:numId w:val="0"/>
        </w:numPr>
        <w:rPr>
          <w:rFonts w:hint="eastAsia" w:ascii="黑体" w:hAnsi="黑体" w:eastAsia="黑体"/>
          <w:b w:val="0"/>
        </w:rPr>
      </w:pPr>
      <w:r>
        <w:rPr>
          <w:rFonts w:hint="eastAsia" w:ascii="黑体" w:hAnsi="黑体" w:eastAsia="黑体"/>
          <w:b w:val="0"/>
          <w:lang w:val="en-US" w:eastAsia="zh-CN"/>
        </w:rPr>
        <w:t>一、</w:t>
      </w:r>
      <w:r>
        <w:rPr>
          <w:rFonts w:hint="eastAsia" w:ascii="黑体" w:hAnsi="黑体" w:eastAsia="黑体"/>
          <w:b w:val="0"/>
        </w:rPr>
        <w:t>部门职责</w:t>
      </w:r>
    </w:p>
    <w:p>
      <w:pPr>
        <w:ind w:firstLine="800" w:firstLineChars="250"/>
        <w:rPr>
          <w:rFonts w:hint="eastAsia" w:ascii="仿宋" w:hAnsi="仿宋" w:eastAsia="仿宋"/>
          <w:sz w:val="32"/>
          <w:szCs w:val="32"/>
        </w:rPr>
      </w:pPr>
      <w:bookmarkStart w:id="14" w:name="_Toc15396601"/>
      <w:bookmarkStart w:id="15" w:name="_Toc15377200"/>
      <w:r>
        <w:rPr>
          <w:rFonts w:hint="eastAsia" w:ascii="仿宋" w:hAnsi="仿宋" w:eastAsia="仿宋"/>
          <w:sz w:val="32"/>
          <w:szCs w:val="32"/>
        </w:rPr>
        <w:t>（1）全面贯彻执行上级党委、政府在经济发展、社会进步方面的方针、政策，以及国家的法律、法规，促进蚕桑产业发展。</w:t>
      </w:r>
    </w:p>
    <w:p>
      <w:pPr>
        <w:ind w:firstLine="800" w:firstLineChars="250"/>
        <w:rPr>
          <w:rFonts w:hint="eastAsia" w:ascii="仿宋" w:hAnsi="仿宋" w:eastAsia="仿宋"/>
          <w:sz w:val="32"/>
          <w:szCs w:val="32"/>
        </w:rPr>
      </w:pPr>
      <w:r>
        <w:rPr>
          <w:rFonts w:hint="eastAsia" w:ascii="仿宋" w:hAnsi="仿宋" w:eastAsia="仿宋"/>
          <w:sz w:val="32"/>
          <w:szCs w:val="32"/>
        </w:rPr>
        <w:t>（2）拟订实施全县蚕桑生产的技术措施；负责全县蚕桑科技示范和推广及技术服务；负责蚕桑基地建设，促进蚕桑产业化、集约化、高效化。</w:t>
      </w:r>
    </w:p>
    <w:p>
      <w:pPr>
        <w:ind w:firstLine="800" w:firstLineChars="250"/>
        <w:rPr>
          <w:rFonts w:hint="eastAsia" w:ascii="仿宋" w:hAnsi="仿宋" w:eastAsia="仿宋"/>
          <w:sz w:val="32"/>
          <w:szCs w:val="32"/>
        </w:rPr>
      </w:pPr>
      <w:r>
        <w:rPr>
          <w:rFonts w:hint="eastAsia" w:ascii="仿宋" w:hAnsi="仿宋" w:eastAsia="仿宋"/>
          <w:sz w:val="32"/>
          <w:szCs w:val="32"/>
        </w:rPr>
        <w:t>（3）负责全县蚕桑生产业务工作，为县委、政府决策提供参谋服务；深入调研，拟订全县蚕桑生产计划、工作措施和蚕桑生产业务管理办法，组织完成蚕桑生产发展任务。</w:t>
      </w:r>
    </w:p>
    <w:p>
      <w:pPr>
        <w:ind w:firstLine="800" w:firstLineChars="250"/>
        <w:rPr>
          <w:rFonts w:hint="eastAsia" w:ascii="仿宋" w:hAnsi="仿宋" w:eastAsia="仿宋"/>
          <w:sz w:val="32"/>
          <w:szCs w:val="32"/>
        </w:rPr>
      </w:pPr>
      <w:r>
        <w:rPr>
          <w:rFonts w:hint="eastAsia" w:ascii="仿宋" w:hAnsi="仿宋" w:eastAsia="仿宋"/>
          <w:sz w:val="32"/>
          <w:szCs w:val="32"/>
        </w:rPr>
        <w:t>（4）负责全县乡镇蚕桑站的建设和管理工作，负责全县蚕桑系统的目标管理；审核、审批县和乡镇有关蚕桑事业发展和管理事项，督查考核乡镇蚕桑站的工作。</w:t>
      </w:r>
    </w:p>
    <w:p>
      <w:pPr>
        <w:ind w:firstLine="800" w:firstLineChars="250"/>
        <w:rPr>
          <w:rFonts w:hint="eastAsia" w:ascii="仿宋" w:hAnsi="仿宋" w:eastAsia="仿宋"/>
          <w:sz w:val="32"/>
          <w:szCs w:val="32"/>
        </w:rPr>
      </w:pPr>
      <w:r>
        <w:rPr>
          <w:rFonts w:hint="eastAsia" w:ascii="仿宋" w:hAnsi="仿宋" w:eastAsia="仿宋"/>
          <w:sz w:val="32"/>
          <w:szCs w:val="32"/>
        </w:rPr>
        <w:t>（5）负责所属单位业务指导、技术服务及监督管理工作。</w:t>
      </w:r>
    </w:p>
    <w:p>
      <w:pPr>
        <w:ind w:firstLine="800" w:firstLineChars="250"/>
        <w:rPr>
          <w:rFonts w:hint="eastAsia" w:ascii="仿宋" w:hAnsi="仿宋" w:eastAsia="仿宋"/>
          <w:sz w:val="32"/>
          <w:szCs w:val="32"/>
        </w:rPr>
      </w:pPr>
      <w:r>
        <w:rPr>
          <w:rFonts w:hint="eastAsia" w:ascii="仿宋" w:hAnsi="仿宋" w:eastAsia="仿宋"/>
          <w:sz w:val="32"/>
          <w:szCs w:val="32"/>
        </w:rPr>
        <w:t>（6）负责全县蚕桑系统业务人员的队伍建设和管理工作，根据蚕桑事业发展的需要，有计划、多层次培养各类专业人才，不断提高其专业水平。</w:t>
      </w:r>
    </w:p>
    <w:p>
      <w:pPr>
        <w:ind w:firstLine="800" w:firstLineChars="250"/>
        <w:rPr>
          <w:rFonts w:hint="eastAsia" w:ascii="仿宋" w:hAnsi="仿宋" w:eastAsia="仿宋"/>
          <w:sz w:val="32"/>
          <w:szCs w:val="32"/>
        </w:rPr>
      </w:pPr>
      <w:r>
        <w:rPr>
          <w:rFonts w:hint="eastAsia" w:ascii="仿宋" w:hAnsi="仿宋" w:eastAsia="仿宋"/>
          <w:sz w:val="32"/>
          <w:szCs w:val="32"/>
        </w:rPr>
        <w:t>（7）负责本系统的组织、思想、作风建设；抓好纪检、监察、计划生育、安全保卫、社会治安综合治理等工作；负责本系统的工、青、妇工作。</w:t>
      </w:r>
    </w:p>
    <w:p>
      <w:pPr>
        <w:ind w:firstLine="800" w:firstLineChars="250"/>
        <w:rPr>
          <w:rFonts w:hint="eastAsia" w:ascii="仿宋" w:hAnsi="仿宋" w:eastAsia="仿宋"/>
          <w:sz w:val="32"/>
          <w:szCs w:val="32"/>
        </w:rPr>
      </w:pPr>
      <w:r>
        <w:rPr>
          <w:rFonts w:hint="eastAsia" w:ascii="仿宋" w:hAnsi="仿宋" w:eastAsia="仿宋"/>
          <w:sz w:val="32"/>
          <w:szCs w:val="32"/>
        </w:rPr>
        <w:t>（8）承办县政府交办的其他事项。</w:t>
      </w:r>
    </w:p>
    <w:p>
      <w:pPr>
        <w:pStyle w:val="4"/>
        <w:numPr>
          <w:ilvl w:val="0"/>
          <w:numId w:val="1"/>
        </w:numPr>
        <w:rPr>
          <w:rFonts w:hint="eastAsia" w:ascii="黑体" w:hAnsi="黑体" w:eastAsia="黑体"/>
          <w:b w:val="0"/>
        </w:rPr>
      </w:pPr>
      <w:r>
        <w:rPr>
          <w:rFonts w:hint="eastAsia" w:ascii="黑体" w:hAnsi="黑体" w:eastAsia="黑体"/>
          <w:b w:val="0"/>
        </w:rPr>
        <w:t>机构设置</w:t>
      </w:r>
      <w:bookmarkEnd w:id="14"/>
      <w:bookmarkEnd w:id="15"/>
    </w:p>
    <w:p>
      <w:pPr>
        <w:ind w:firstLine="800" w:firstLineChars="250"/>
        <w:rPr>
          <w:rFonts w:hint="eastAsia" w:ascii="仿宋" w:hAnsi="仿宋" w:eastAsia="仿宋"/>
          <w:sz w:val="32"/>
          <w:szCs w:val="32"/>
        </w:rPr>
      </w:pPr>
      <w:r>
        <w:rPr>
          <w:rFonts w:hint="eastAsia" w:ascii="仿宋" w:hAnsi="仿宋" w:eastAsia="仿宋"/>
          <w:sz w:val="32"/>
          <w:szCs w:val="32"/>
          <w:lang w:val="en-US" w:eastAsia="zh-CN"/>
        </w:rPr>
        <w:t>乐至县蚕桑局</w:t>
      </w:r>
      <w:r>
        <w:rPr>
          <w:rFonts w:hint="eastAsia" w:ascii="仿宋" w:hAnsi="仿宋" w:eastAsia="仿宋"/>
          <w:sz w:val="32"/>
          <w:szCs w:val="32"/>
        </w:rPr>
        <w:t>下属二级预算单位</w:t>
      </w:r>
      <w:r>
        <w:rPr>
          <w:rFonts w:hint="eastAsia" w:ascii="仿宋" w:hAnsi="仿宋"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w:t>
      </w:r>
    </w:p>
    <w:p>
      <w:pPr>
        <w:ind w:firstLine="800" w:firstLineChars="250"/>
        <w:rPr>
          <w:rFonts w:hint="eastAsia" w:ascii="仿宋" w:hAnsi="仿宋" w:eastAsia="仿宋"/>
          <w:sz w:val="32"/>
          <w:szCs w:val="32"/>
          <w:lang w:val="en-US" w:eastAsia="zh-CN"/>
        </w:rPr>
      </w:pPr>
      <w:r>
        <w:rPr>
          <w:rFonts w:hint="eastAsia" w:ascii="仿宋" w:hAnsi="仿宋" w:eastAsia="仿宋"/>
          <w:sz w:val="32"/>
          <w:szCs w:val="32"/>
        </w:rPr>
        <w:t>纳入</w:t>
      </w:r>
      <w:r>
        <w:rPr>
          <w:rFonts w:hint="eastAsia" w:ascii="仿宋" w:hAnsi="仿宋" w:eastAsia="仿宋"/>
          <w:sz w:val="32"/>
          <w:szCs w:val="32"/>
          <w:lang w:val="en-US" w:eastAsia="zh-CN"/>
        </w:rPr>
        <w:t>乐至县蚕桑局</w:t>
      </w:r>
      <w:r>
        <w:rPr>
          <w:rFonts w:hint="eastAsia" w:ascii="仿宋" w:hAnsi="仿宋" w:eastAsia="仿宋"/>
          <w:sz w:val="32"/>
          <w:szCs w:val="32"/>
        </w:rPr>
        <w:t>2022年度部门决算编制范围的预算单位包括：</w:t>
      </w:r>
      <w:r>
        <w:rPr>
          <w:rFonts w:hint="eastAsia" w:ascii="仿宋" w:hAnsi="仿宋" w:eastAsia="仿宋"/>
          <w:sz w:val="32"/>
          <w:szCs w:val="32"/>
          <w:lang w:val="en-US" w:eastAsia="zh-CN"/>
        </w:rPr>
        <w:t>乐至县蚕桑局本级。</w:t>
      </w:r>
    </w:p>
    <w:p>
      <w:pPr>
        <w:pStyle w:val="2"/>
        <w:rPr>
          <w:rFonts w:hint="default"/>
          <w:lang w:val="en-US" w:eastAsia="zh-CN"/>
        </w:rPr>
      </w:pPr>
    </w:p>
    <w:p>
      <w:pPr>
        <w:rPr>
          <w:rFonts w:hint="default"/>
          <w:lang w:val="en-US" w:eastAsia="zh-CN"/>
        </w:rPr>
      </w:pPr>
    </w:p>
    <w:p>
      <w:pPr>
        <w:pStyle w:val="3"/>
        <w:jc w:val="center"/>
      </w:pPr>
      <w:bookmarkStart w:id="16" w:name="_Toc15377204"/>
      <w:bookmarkStart w:id="17" w:name="_Toc15396602"/>
      <w:r>
        <w:rPr>
          <w:rFonts w:hint="eastAsia" w:ascii="黑体" w:hAnsi="黑体" w:eastAsia="黑体"/>
          <w:b w:val="0"/>
        </w:rPr>
        <w:t>第二部分 2022年度部门决算情况说明</w:t>
      </w:r>
      <w:bookmarkEnd w:id="16"/>
      <w:bookmarkEnd w:id="17"/>
    </w:p>
    <w:p>
      <w:pPr>
        <w:pStyle w:val="4"/>
        <w:numPr>
          <w:ilvl w:val="0"/>
          <w:numId w:val="0"/>
        </w:numPr>
        <w:rPr>
          <w:rFonts w:hint="eastAsia" w:ascii="黑体" w:hAnsi="黑体" w:eastAsia="黑体"/>
          <w:b w:val="0"/>
        </w:rPr>
      </w:pPr>
      <w:bookmarkStart w:id="18" w:name="_Toc15377205"/>
      <w:bookmarkStart w:id="19" w:name="_Toc15396603"/>
      <w:r>
        <w:rPr>
          <w:rFonts w:hint="eastAsia" w:ascii="黑体" w:hAnsi="黑体" w:eastAsia="黑体"/>
          <w:b w:val="0"/>
          <w:lang w:val="en-US" w:eastAsia="zh-CN"/>
        </w:rPr>
        <w:t>一、</w:t>
      </w:r>
      <w:r>
        <w:rPr>
          <w:rFonts w:hint="eastAsia" w:ascii="黑体" w:hAnsi="黑体" w:eastAsia="黑体"/>
          <w:b w:val="0"/>
        </w:rPr>
        <w:t>收入支出决算总体情况说明</w:t>
      </w:r>
      <w:bookmarkEnd w:id="18"/>
      <w:bookmarkEnd w:id="19"/>
    </w:p>
    <w:p>
      <w:pPr>
        <w:ind w:firstLine="800" w:firstLineChars="250"/>
        <w:rPr>
          <w:rFonts w:hint="eastAsia" w:ascii="仿宋" w:hAnsi="仿宋" w:eastAsia="仿宋"/>
          <w:sz w:val="32"/>
          <w:szCs w:val="32"/>
        </w:rPr>
      </w:pPr>
      <w:r>
        <w:rPr>
          <w:rFonts w:hint="eastAsia" w:ascii="仿宋" w:hAnsi="仿宋" w:eastAsia="仿宋"/>
          <w:sz w:val="32"/>
          <w:szCs w:val="32"/>
        </w:rPr>
        <w:t>2022年度收入1973.23万元，与2021年度收入21596.3万元相比，减少19623.07万元，减少90.86% 。主要原因是现代蚕桑产业园建设项目债券资金</w:t>
      </w:r>
      <w:r>
        <w:rPr>
          <w:rFonts w:hint="eastAsia" w:ascii="仿宋" w:hAnsi="仿宋" w:eastAsia="仿宋"/>
          <w:sz w:val="32"/>
          <w:szCs w:val="32"/>
          <w:lang w:val="en-US" w:eastAsia="zh-CN"/>
        </w:rPr>
        <w:t>减少</w:t>
      </w:r>
      <w:r>
        <w:rPr>
          <w:rFonts w:hint="eastAsia" w:ascii="仿宋" w:hAnsi="仿宋" w:eastAsia="仿宋"/>
          <w:sz w:val="32"/>
          <w:szCs w:val="32"/>
        </w:rPr>
        <w:t>。</w:t>
      </w:r>
    </w:p>
    <w:p>
      <w:pPr>
        <w:ind w:firstLine="800" w:firstLineChars="250"/>
        <w:rPr>
          <w:rFonts w:hint="eastAsia" w:ascii="仿宋" w:hAnsi="仿宋" w:eastAsia="仿宋"/>
          <w:sz w:val="32"/>
          <w:szCs w:val="32"/>
        </w:rPr>
      </w:pPr>
      <w:r>
        <w:rPr>
          <w:rFonts w:hint="eastAsia" w:ascii="仿宋" w:hAnsi="仿宋" w:eastAsia="仿宋"/>
          <w:sz w:val="32"/>
          <w:szCs w:val="32"/>
        </w:rPr>
        <w:t>2022年度支出1973.23万元，与2021年度支出21596.3万元相比，减少19623.07万元，减少90.86% 。主要原因是现代蚕桑产业园建设项目债券资金减少。</w:t>
      </w:r>
    </w:p>
    <w:p>
      <w:pPr>
        <w:ind w:firstLine="800" w:firstLineChars="250"/>
        <w:jc w:val="center"/>
        <w:rPr>
          <w:rFonts w:hint="eastAsia" w:ascii="仿宋" w:hAnsi="仿宋" w:eastAsia="仿宋"/>
          <w:sz w:val="32"/>
          <w:szCs w:val="32"/>
          <w:lang w:val="en-US" w:eastAsia="zh-CN"/>
        </w:rPr>
      </w:pPr>
      <w:r>
        <w:rPr>
          <w:rFonts w:hint="eastAsia" w:ascii="仿宋" w:hAnsi="仿宋" w:eastAsia="仿宋"/>
          <w:sz w:val="32"/>
          <w:szCs w:val="32"/>
        </w:rPr>
        <w:drawing>
          <wp:anchor distT="0" distB="0" distL="114300" distR="114300" simplePos="0" relativeHeight="251661312" behindDoc="0" locked="0" layoutInCell="1" allowOverlap="1">
            <wp:simplePos x="0" y="0"/>
            <wp:positionH relativeFrom="column">
              <wp:posOffset>194310</wp:posOffset>
            </wp:positionH>
            <wp:positionV relativeFrom="paragraph">
              <wp:posOffset>147955</wp:posOffset>
            </wp:positionV>
            <wp:extent cx="5118100" cy="2980690"/>
            <wp:effectExtent l="5080" t="4445" r="20320" b="5715"/>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lang w:val="en-US" w:eastAsia="zh-CN"/>
        </w:rPr>
        <w:t>图1：收、支决算总计变动情况表</w:t>
      </w:r>
      <w:bookmarkStart w:id="20" w:name="_Toc15377206"/>
      <w:bookmarkStart w:id="21" w:name="_Toc15396604"/>
    </w:p>
    <w:p>
      <w:pPr>
        <w:pStyle w:val="2"/>
        <w:rPr>
          <w:rFonts w:hint="eastAsia"/>
        </w:rPr>
      </w:pPr>
    </w:p>
    <w:p>
      <w:pPr>
        <w:pStyle w:val="4"/>
        <w:numPr>
          <w:ilvl w:val="0"/>
          <w:numId w:val="0"/>
        </w:numPr>
        <w:rPr>
          <w:rFonts w:hint="eastAsia" w:ascii="黑体" w:hAnsi="黑体" w:eastAsia="黑体"/>
          <w:b w:val="0"/>
        </w:rPr>
      </w:pPr>
      <w:r>
        <w:rPr>
          <w:rFonts w:hint="eastAsia" w:ascii="黑体" w:hAnsi="黑体" w:eastAsia="黑体"/>
          <w:b w:val="0"/>
          <w:lang w:val="en-US" w:eastAsia="zh-CN"/>
        </w:rPr>
        <w:t>二、</w:t>
      </w:r>
      <w:r>
        <w:rPr>
          <w:rFonts w:hint="eastAsia" w:ascii="黑体" w:hAnsi="黑体" w:eastAsia="黑体"/>
          <w:b w:val="0"/>
        </w:rPr>
        <w:t>收入决算情况说明</w:t>
      </w:r>
      <w:bookmarkEnd w:id="20"/>
      <w:bookmarkEnd w:id="21"/>
    </w:p>
    <w:p>
      <w:pPr>
        <w:ind w:firstLine="800" w:firstLineChars="250"/>
        <w:rPr>
          <w:rFonts w:hint="eastAsia" w:ascii="仿宋" w:hAnsi="仿宋" w:eastAsia="仿宋"/>
          <w:sz w:val="32"/>
          <w:szCs w:val="32"/>
        </w:rPr>
      </w:pPr>
      <w:r>
        <w:rPr>
          <w:rFonts w:hint="eastAsia" w:ascii="仿宋" w:hAnsi="仿宋" w:eastAsia="仿宋"/>
          <w:sz w:val="32"/>
          <w:szCs w:val="32"/>
        </w:rPr>
        <w:t>2022年度总收入1973.23万元，其中政府性基金专项债务收入0万，占比0% ；社会和保障就业收入111.64万元，占比5.66% ；卫生和健康收入57.54万元，占比2.92% ；农林水收入1699.05万元，占比86.10%；住房保障收入105</w:t>
      </w:r>
    </w:p>
    <w:p>
      <w:pPr>
        <w:rPr>
          <w:rFonts w:hint="eastAsia" w:ascii="仿宋" w:hAnsi="仿宋" w:eastAsia="仿宋"/>
          <w:sz w:val="32"/>
          <w:szCs w:val="32"/>
        </w:rPr>
      </w:pPr>
      <w:r>
        <w:rPr>
          <w:rFonts w:hint="eastAsia" w:ascii="仿宋" w:hAnsi="仿宋" w:eastAsia="仿宋"/>
          <w:sz w:val="32"/>
          <w:szCs w:val="32"/>
        </w:rPr>
        <w:t>万元，占比5.32% 。</w:t>
      </w:r>
    </w:p>
    <w:p>
      <w:pPr>
        <w:pStyle w:val="2"/>
        <w:jc w:val="center"/>
        <w:rPr>
          <w:rFonts w:hint="default" w:eastAsia="仿宋_GB2312"/>
          <w:sz w:val="32"/>
          <w:szCs w:val="32"/>
          <w:lang w:val="en-US" w:eastAsia="zh-CN"/>
        </w:rPr>
      </w:pPr>
      <w:r>
        <w:rPr>
          <w:rFonts w:hint="eastAsia" w:ascii="仿宋" w:hAnsi="仿宋" w:eastAsia="仿宋"/>
          <w:sz w:val="32"/>
          <w:szCs w:val="32"/>
        </w:rPr>
        <w:drawing>
          <wp:anchor distT="0" distB="0" distL="114300" distR="114300" simplePos="0" relativeHeight="251665408" behindDoc="0" locked="0" layoutInCell="1" allowOverlap="1">
            <wp:simplePos x="0" y="0"/>
            <wp:positionH relativeFrom="column">
              <wp:posOffset>223520</wp:posOffset>
            </wp:positionH>
            <wp:positionV relativeFrom="paragraph">
              <wp:posOffset>23495</wp:posOffset>
            </wp:positionV>
            <wp:extent cx="4982845" cy="2701925"/>
            <wp:effectExtent l="4445" t="4445" r="22860" b="17780"/>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sz w:val="32"/>
          <w:szCs w:val="32"/>
          <w:lang w:val="en-US" w:eastAsia="zh-CN"/>
        </w:rPr>
        <w:t>图2：收入决算结构图</w:t>
      </w:r>
    </w:p>
    <w:p>
      <w:pPr>
        <w:spacing w:line="600" w:lineRule="exact"/>
        <w:rPr>
          <w:rFonts w:ascii="仿宋_GB2312" w:eastAsia="仿宋_GB2312"/>
          <w:sz w:val="32"/>
          <w:szCs w:val="32"/>
        </w:rPr>
      </w:pPr>
    </w:p>
    <w:p>
      <w:pPr>
        <w:pStyle w:val="4"/>
        <w:numPr>
          <w:ilvl w:val="0"/>
          <w:numId w:val="1"/>
        </w:numPr>
        <w:rPr>
          <w:rFonts w:hint="eastAsia" w:ascii="黑体" w:hAnsi="黑体" w:eastAsia="黑体"/>
          <w:b w:val="0"/>
        </w:rPr>
      </w:pPr>
      <w:bookmarkStart w:id="22" w:name="_Toc15396605"/>
      <w:bookmarkStart w:id="23" w:name="_Toc15377207"/>
      <w:r>
        <w:rPr>
          <w:rFonts w:hint="eastAsia" w:ascii="黑体" w:hAnsi="黑体" w:eastAsia="黑体"/>
          <w:b w:val="0"/>
        </w:rPr>
        <w:t>支出决算情况说明</w:t>
      </w:r>
      <w:bookmarkEnd w:id="22"/>
      <w:bookmarkEnd w:id="23"/>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2022年度总支出1973.23万元，其中政府性基金专项债务支出0万，占比0% ；社会和保障就业支出111.64万元，占比5.66% ；卫生和健康支出57.54万元，占比2.92% ；农林水支出1699.05万元，占比86.10%；住房保障支出105万元，占比5.32%  。</w:t>
      </w:r>
    </w:p>
    <w:p>
      <w:pPr>
        <w:pStyle w:val="7"/>
        <w:rPr>
          <w:rFonts w:hint="default" w:eastAsia="仿宋_GB2312"/>
          <w:sz w:val="32"/>
          <w:szCs w:val="32"/>
          <w:lang w:val="en-US" w:eastAsia="zh-CN"/>
        </w:rPr>
      </w:pPr>
      <w:r>
        <w:drawing>
          <wp:anchor distT="0" distB="0" distL="114300" distR="114300" simplePos="0" relativeHeight="251662336" behindDoc="0" locked="0" layoutInCell="1" allowOverlap="1">
            <wp:simplePos x="0" y="0"/>
            <wp:positionH relativeFrom="column">
              <wp:posOffset>244475</wp:posOffset>
            </wp:positionH>
            <wp:positionV relativeFrom="paragraph">
              <wp:posOffset>137160</wp:posOffset>
            </wp:positionV>
            <wp:extent cx="4887595" cy="2985770"/>
            <wp:effectExtent l="4445" t="4445" r="22860" b="19685"/>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lang w:val="en-US" w:eastAsia="zh-CN"/>
        </w:rPr>
        <w:t xml:space="preserve">                 图3：支出决算结构图</w:t>
      </w:r>
    </w:p>
    <w:p>
      <w:pPr>
        <w:spacing w:line="600" w:lineRule="exact"/>
        <w:rPr>
          <w:rFonts w:ascii="仿宋_GB2312" w:eastAsia="仿宋_GB2312"/>
          <w:sz w:val="32"/>
          <w:szCs w:val="32"/>
        </w:rPr>
      </w:pPr>
    </w:p>
    <w:p>
      <w:pPr>
        <w:spacing w:line="600" w:lineRule="exact"/>
        <w:ind w:firstLine="640" w:firstLineChars="200"/>
        <w:outlineLvl w:val="1"/>
        <w:rPr>
          <w:rStyle w:val="31"/>
          <w:rFonts w:ascii="黑体" w:hAnsi="黑体" w:eastAsia="黑体"/>
          <w:b w:val="0"/>
        </w:rPr>
      </w:pPr>
      <w:bookmarkStart w:id="24" w:name="_Toc15396606"/>
      <w:bookmarkStart w:id="25" w:name="_Toc15377208"/>
      <w:r>
        <w:rPr>
          <w:rFonts w:hint="eastAsia" w:ascii="黑体" w:hAnsi="黑体" w:eastAsia="黑体" w:cstheme="majorBidi"/>
          <w:b w:val="0"/>
          <w:bCs/>
          <w:kern w:val="2"/>
          <w:sz w:val="32"/>
          <w:szCs w:val="32"/>
          <w:lang w:val="en-US" w:eastAsia="zh-CN" w:bidi="ar-SA"/>
        </w:rPr>
        <w:t>四、财政拨款收入支出决算总体情况说明</w:t>
      </w:r>
      <w:bookmarkEnd w:id="24"/>
      <w:bookmarkEnd w:id="25"/>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2022年</w:t>
      </w:r>
      <w:r>
        <w:rPr>
          <w:rFonts w:hint="eastAsia" w:ascii="仿宋_GB2312" w:eastAsia="仿宋_GB2312"/>
          <w:color w:val="000000"/>
          <w:sz w:val="32"/>
          <w:szCs w:val="32"/>
          <w:lang w:val="en-US" w:eastAsia="zh-CN"/>
        </w:rPr>
        <w:t>财政拨款</w:t>
      </w:r>
      <w:r>
        <w:rPr>
          <w:rFonts w:hint="eastAsia" w:ascii="仿宋_GB2312" w:eastAsia="仿宋_GB2312"/>
          <w:color w:val="000000"/>
          <w:sz w:val="32"/>
          <w:szCs w:val="32"/>
        </w:rPr>
        <w:t>收入1973.23万元，较2021年21596.3万元，减少19623.07万元，减少90.86%；2022年</w:t>
      </w:r>
      <w:r>
        <w:rPr>
          <w:rFonts w:hint="eastAsia" w:ascii="仿宋_GB2312" w:eastAsia="仿宋_GB2312"/>
          <w:color w:val="000000"/>
          <w:sz w:val="32"/>
          <w:szCs w:val="32"/>
          <w:lang w:val="en-US" w:eastAsia="zh-CN"/>
        </w:rPr>
        <w:t>财政拨款</w:t>
      </w:r>
      <w:r>
        <w:rPr>
          <w:rFonts w:hint="eastAsia" w:ascii="仿宋_GB2312" w:eastAsia="仿宋_GB2312"/>
          <w:color w:val="000000"/>
          <w:sz w:val="32"/>
          <w:szCs w:val="32"/>
        </w:rPr>
        <w:t>支出1973.23万元，较2021年21596.3万元，减少19623.07万元，减少90.86%。主要原因是现代蚕桑产业园建设项目债券资金减少。</w:t>
      </w:r>
    </w:p>
    <w:p>
      <w:pPr>
        <w:pStyle w:val="7"/>
        <w:jc w:val="center"/>
        <w:rPr>
          <w:rFonts w:hint="default"/>
          <w:sz w:val="32"/>
          <w:szCs w:val="32"/>
          <w:lang w:val="en-US"/>
        </w:rPr>
      </w:pPr>
      <w:r>
        <w:rPr>
          <w:rFonts w:hint="eastAsia" w:ascii="仿宋_GB2312" w:hAnsi="仿宋" w:eastAsia="仿宋_GB2312"/>
          <w:b/>
          <w:sz w:val="32"/>
          <w:szCs w:val="32"/>
        </w:rPr>
        <w:drawing>
          <wp:anchor distT="0" distB="0" distL="114300" distR="114300" simplePos="0" relativeHeight="251663360" behindDoc="0" locked="0" layoutInCell="1" allowOverlap="1">
            <wp:simplePos x="0" y="0"/>
            <wp:positionH relativeFrom="column">
              <wp:posOffset>299085</wp:posOffset>
            </wp:positionH>
            <wp:positionV relativeFrom="paragraph">
              <wp:posOffset>90805</wp:posOffset>
            </wp:positionV>
            <wp:extent cx="5118100" cy="2980690"/>
            <wp:effectExtent l="5080" t="4445" r="20320" b="5715"/>
            <wp:wrapSquare wrapText="bothSides"/>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sz w:val="32"/>
          <w:szCs w:val="32"/>
          <w:lang w:val="en-US" w:eastAsia="zh-CN"/>
        </w:rPr>
        <w:t>图4：财政拨款收支决算总计变动表</w:t>
      </w:r>
    </w:p>
    <w:p>
      <w:pPr>
        <w:pStyle w:val="4"/>
        <w:numPr>
          <w:ilvl w:val="0"/>
          <w:numId w:val="0"/>
        </w:numPr>
        <w:rPr>
          <w:rFonts w:hint="eastAsia" w:ascii="黑体" w:hAnsi="黑体" w:eastAsia="黑体"/>
          <w:b w:val="0"/>
        </w:rPr>
      </w:pPr>
      <w:bookmarkStart w:id="26" w:name="_Toc15377209"/>
      <w:bookmarkStart w:id="27" w:name="_Toc15396607"/>
      <w:r>
        <w:rPr>
          <w:rFonts w:hint="eastAsia" w:ascii="黑体" w:hAnsi="黑体" w:eastAsia="黑体"/>
          <w:b w:val="0"/>
        </w:rPr>
        <w:t>五、一般公共预算财政拨款支出决算情况说明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2022年</w:t>
      </w:r>
      <w:r>
        <w:rPr>
          <w:rFonts w:hint="eastAsia" w:ascii="仿宋_GB2312" w:eastAsia="仿宋_GB2312"/>
          <w:color w:val="000000"/>
          <w:sz w:val="32"/>
          <w:szCs w:val="32"/>
          <w:lang w:val="en-US" w:eastAsia="zh-CN"/>
        </w:rPr>
        <w:t>一般公共预算财政支出</w:t>
      </w:r>
      <w:r>
        <w:rPr>
          <w:rFonts w:hint="eastAsia" w:ascii="仿宋_GB2312" w:eastAsia="仿宋_GB2312"/>
          <w:color w:val="000000"/>
          <w:sz w:val="32"/>
          <w:szCs w:val="32"/>
        </w:rPr>
        <w:t>1973.23万元，较2021年21596.3万元，减少19623.07万元，减少90.86%</w:t>
      </w:r>
      <w:r>
        <w:rPr>
          <w:rFonts w:hint="eastAsia" w:ascii="仿宋_GB2312" w:eastAsia="仿宋_GB2312"/>
          <w:color w:val="000000"/>
          <w:sz w:val="32"/>
          <w:szCs w:val="32"/>
          <w:lang w:eastAsia="zh-CN"/>
        </w:rPr>
        <w:t>。</w:t>
      </w:r>
      <w:r>
        <w:rPr>
          <w:rFonts w:hint="eastAsia" w:ascii="仿宋_GB2312" w:eastAsia="仿宋_GB2312"/>
          <w:color w:val="000000"/>
          <w:sz w:val="32"/>
          <w:szCs w:val="32"/>
        </w:rPr>
        <w:t>主要原因是现代蚕桑产业园建设项目债券资金减少。</w:t>
      </w:r>
    </w:p>
    <w:p>
      <w:pPr>
        <w:spacing w:line="600" w:lineRule="exact"/>
        <w:ind w:firstLine="640" w:firstLineChars="200"/>
        <w:rPr>
          <w:rFonts w:ascii="仿宋" w:hAnsi="仿宋" w:eastAsia="仿宋"/>
          <w:sz w:val="32"/>
          <w:szCs w:val="32"/>
        </w:rPr>
      </w:pPr>
    </w:p>
    <w:p>
      <w:pPr>
        <w:numPr>
          <w:ilvl w:val="0"/>
          <w:numId w:val="2"/>
        </w:numPr>
        <w:spacing w:line="600" w:lineRule="exact"/>
        <w:ind w:firstLine="643" w:firstLineChars="200"/>
        <w:outlineLvl w:val="2"/>
        <w:rPr>
          <w:rFonts w:hint="eastAsia" w:ascii="仿宋" w:hAnsi="仿宋" w:eastAsia="仿宋"/>
          <w:b/>
          <w:sz w:val="32"/>
          <w:szCs w:val="32"/>
        </w:rPr>
      </w:pPr>
      <w:bookmarkStart w:id="29" w:name="_Toc15377211"/>
      <w:r>
        <w:rPr>
          <w:rFonts w:hint="eastAsia" w:ascii="仿宋" w:hAnsi="仿宋" w:eastAsia="仿宋"/>
          <w:b/>
          <w:sz w:val="32"/>
          <w:szCs w:val="32"/>
        </w:rPr>
        <w:t>一般公共预算财政拨款支出决算结构情况</w:t>
      </w:r>
      <w:bookmarkEnd w:id="29"/>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2022年度</w:t>
      </w:r>
      <w:r>
        <w:rPr>
          <w:rFonts w:hint="eastAsia" w:ascii="仿宋_GB2312" w:eastAsia="仿宋_GB2312"/>
          <w:color w:val="000000"/>
          <w:sz w:val="32"/>
          <w:szCs w:val="32"/>
          <w:lang w:val="en-US" w:eastAsia="zh-CN"/>
        </w:rPr>
        <w:t>一般公共预算</w:t>
      </w:r>
      <w:r>
        <w:rPr>
          <w:rFonts w:hint="eastAsia" w:ascii="仿宋_GB2312" w:eastAsia="仿宋_GB2312"/>
          <w:color w:val="000000"/>
          <w:sz w:val="32"/>
          <w:szCs w:val="32"/>
        </w:rPr>
        <w:t>支出1973.23万元，</w:t>
      </w:r>
      <w:r>
        <w:rPr>
          <w:rFonts w:hint="eastAsia" w:ascii="仿宋_GB2312" w:eastAsia="仿宋_GB2312"/>
          <w:color w:val="000000"/>
          <w:sz w:val="32"/>
          <w:szCs w:val="32"/>
          <w:lang w:val="en-US" w:eastAsia="zh-CN"/>
        </w:rPr>
        <w:t>主要用于以下方面：</w:t>
      </w:r>
      <w:r>
        <w:rPr>
          <w:rFonts w:hint="eastAsia" w:ascii="仿宋_GB2312" w:eastAsia="仿宋_GB2312"/>
          <w:color w:val="000000"/>
          <w:sz w:val="32"/>
          <w:szCs w:val="32"/>
        </w:rPr>
        <w:t>社会和保障就业支出111.64万元，占比5.66% ，其中养老保险支出98.96万元，职业年金支出12.68万元；卫生和健康支出57.54万元，占比2.92% ，其中行政单位基本医疗保险支出6.41万元，事业单位医疗保险支出43.71万元，公务员医疗补助支出7.42万元；农林水支出1699.05万元，占比86.10%，其中工资性支出</w:t>
      </w:r>
      <w:r>
        <w:rPr>
          <w:rFonts w:hint="eastAsia" w:ascii="仿宋_GB2312" w:eastAsia="仿宋_GB2312"/>
          <w:color w:val="000000"/>
          <w:sz w:val="32"/>
          <w:szCs w:val="32"/>
          <w:lang w:val="en-US" w:eastAsia="zh-CN"/>
        </w:rPr>
        <w:t>768.57</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对个人和家庭的补助支出235.59万元、公用经费694.89万元（包括产业强镇项目300万元，产业联合体项目288万元，共计588万元。）；住房保障支出105万元，占比5.32%，其中住房公积金支出105万元 。</w:t>
      </w:r>
    </w:p>
    <w:p>
      <w:pPr>
        <w:pStyle w:val="7"/>
        <w:widowControl w:val="0"/>
        <w:numPr>
          <w:ilvl w:val="0"/>
          <w:numId w:val="0"/>
        </w:numPr>
        <w:spacing w:beforeLines="30"/>
        <w:jc w:val="center"/>
        <w:rPr>
          <w:rFonts w:hint="default"/>
          <w:lang w:val="en-US"/>
        </w:rPr>
      </w:pPr>
      <w:r>
        <w:drawing>
          <wp:anchor distT="0" distB="0" distL="114300" distR="114300" simplePos="0" relativeHeight="251664384" behindDoc="0" locked="0" layoutInCell="1" allowOverlap="1">
            <wp:simplePos x="0" y="0"/>
            <wp:positionH relativeFrom="column">
              <wp:posOffset>90170</wp:posOffset>
            </wp:positionH>
            <wp:positionV relativeFrom="paragraph">
              <wp:posOffset>99695</wp:posOffset>
            </wp:positionV>
            <wp:extent cx="4887595" cy="2985770"/>
            <wp:effectExtent l="4445" t="4445" r="22860" b="19685"/>
            <wp:wrapSquare wrapText="bothSides"/>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lang w:val="en-US" w:eastAsia="zh-CN"/>
        </w:rPr>
        <w:t>图5：一般公共预算支出决算结构表</w:t>
      </w:r>
    </w:p>
    <w:p>
      <w:pPr>
        <w:pStyle w:val="7"/>
        <w:widowControl w:val="0"/>
        <w:numPr>
          <w:ilvl w:val="0"/>
          <w:numId w:val="0"/>
        </w:numPr>
        <w:spacing w:beforeLines="30"/>
        <w:jc w:val="both"/>
      </w:pP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ind w:firstLine="640" w:firstLineChars="200"/>
        <w:rPr>
          <w:rFonts w:hint="eastAsia" w:ascii="仿宋_GB2312" w:eastAsia="仿宋_GB2312"/>
          <w:color w:val="000000"/>
          <w:sz w:val="32"/>
          <w:szCs w:val="32"/>
        </w:rPr>
      </w:pPr>
      <w:bookmarkStart w:id="31" w:name="_Toc15377444"/>
      <w:bookmarkStart w:id="32" w:name="_Toc15377213"/>
      <w:bookmarkStart w:id="33" w:name="_Toc15378460"/>
      <w:r>
        <w:rPr>
          <w:rFonts w:hint="eastAsia" w:ascii="仿宋_GB2312" w:eastAsia="仿宋_GB2312"/>
          <w:color w:val="000000"/>
          <w:sz w:val="32"/>
          <w:szCs w:val="32"/>
        </w:rPr>
        <w:t>2022年一般公共预算支出决算数为1973.23</w:t>
      </w:r>
      <w:r>
        <w:rPr>
          <w:rFonts w:hint="eastAsia" w:ascii="仿宋_GB2312" w:eastAsia="仿宋_GB2312"/>
          <w:color w:val="000000"/>
          <w:sz w:val="32"/>
          <w:szCs w:val="32"/>
          <w:lang w:val="en-US" w:eastAsia="zh-CN"/>
        </w:rPr>
        <w:t>万元</w:t>
      </w:r>
      <w:r>
        <w:rPr>
          <w:rFonts w:hint="eastAsia" w:ascii="仿宋_GB2312" w:eastAsia="仿宋_GB2312"/>
          <w:color w:val="000000"/>
          <w:sz w:val="32"/>
          <w:szCs w:val="32"/>
        </w:rPr>
        <w:t>，较年初预算多1034.70万元，增加110.25% ，超额完成预算 。</w:t>
      </w:r>
    </w:p>
    <w:p>
      <w:pPr>
        <w:rPr>
          <w:rFonts w:hint="eastAsia" w:ascii="仿宋_GB2312" w:eastAsia="仿宋_GB2312"/>
          <w:color w:val="000000"/>
          <w:sz w:val="32"/>
          <w:szCs w:val="32"/>
        </w:rPr>
      </w:pPr>
      <w:r>
        <w:rPr>
          <w:rFonts w:hint="eastAsia" w:ascii="仿宋_GB2312" w:eastAsia="仿宋_GB2312"/>
          <w:color w:val="000000"/>
          <w:sz w:val="32"/>
          <w:szCs w:val="32"/>
        </w:rPr>
        <w:t>其中：</w:t>
      </w:r>
      <w:bookmarkEnd w:id="31"/>
      <w:bookmarkEnd w:id="32"/>
      <w:bookmarkEnd w:id="33"/>
    </w:p>
    <w:p>
      <w:pPr>
        <w:spacing w:line="600" w:lineRule="exact"/>
        <w:ind w:firstLine="643" w:firstLineChars="200"/>
        <w:rPr>
          <w:rFonts w:hint="default" w:ascii="仿宋_GB2312" w:eastAsia="仿宋_GB2312"/>
          <w:color w:val="000000"/>
          <w:sz w:val="32"/>
          <w:szCs w:val="32"/>
          <w:lang w:val="en-US" w:eastAsia="zh-CN"/>
        </w:rPr>
      </w:pPr>
      <w:r>
        <w:rPr>
          <w:rStyle w:val="19"/>
          <w:rFonts w:ascii="仿宋" w:hAnsi="仿宋" w:eastAsia="仿宋"/>
          <w:bCs/>
          <w:color w:val="auto"/>
          <w:sz w:val="32"/>
          <w:szCs w:val="32"/>
          <w:highlight w:val="none"/>
        </w:rPr>
        <w:t>1.</w:t>
      </w:r>
      <w:r>
        <w:rPr>
          <w:rStyle w:val="19"/>
          <w:rFonts w:hint="eastAsia" w:ascii="仿宋" w:hAnsi="仿宋" w:eastAsia="仿宋"/>
          <w:bCs/>
          <w:color w:val="auto"/>
          <w:sz w:val="32"/>
          <w:szCs w:val="32"/>
          <w:highlight w:val="none"/>
          <w:lang w:val="en-US" w:eastAsia="zh-CN"/>
        </w:rPr>
        <w:t>农林水类</w:t>
      </w:r>
      <w:r>
        <w:rPr>
          <w:rStyle w:val="19"/>
          <w:rFonts w:ascii="仿宋" w:hAnsi="仿宋" w:eastAsia="仿宋"/>
          <w:bCs/>
          <w:color w:val="auto"/>
          <w:sz w:val="32"/>
          <w:szCs w:val="32"/>
          <w:highlight w:val="none"/>
        </w:rPr>
        <w:t>:</w:t>
      </w:r>
      <w:r>
        <w:rPr>
          <w:rFonts w:hint="eastAsia" w:ascii="仿宋_GB2312" w:eastAsia="仿宋_GB2312"/>
          <w:color w:val="000000"/>
          <w:sz w:val="32"/>
          <w:szCs w:val="32"/>
        </w:rPr>
        <w:t>支出</w:t>
      </w:r>
      <w:r>
        <w:rPr>
          <w:rFonts w:hint="eastAsia" w:ascii="仿宋_GB2312" w:eastAsia="仿宋_GB2312"/>
          <w:color w:val="000000"/>
          <w:sz w:val="32"/>
          <w:szCs w:val="32"/>
          <w:lang w:val="en-US" w:eastAsia="zh-CN"/>
        </w:rPr>
        <w:t>决算数为</w:t>
      </w:r>
      <w:r>
        <w:rPr>
          <w:rFonts w:hint="eastAsia" w:ascii="仿宋_GB2312" w:eastAsia="仿宋_GB2312"/>
          <w:color w:val="000000"/>
          <w:sz w:val="32"/>
          <w:szCs w:val="32"/>
        </w:rPr>
        <w:t>1699.05万元，</w:t>
      </w:r>
      <w:r>
        <w:rPr>
          <w:rFonts w:hint="eastAsia" w:ascii="仿宋_GB2312" w:eastAsia="仿宋_GB2312"/>
          <w:color w:val="000000"/>
          <w:sz w:val="32"/>
          <w:szCs w:val="32"/>
          <w:lang w:val="en-US" w:eastAsia="zh-CN"/>
        </w:rPr>
        <w:t>完成预算的216.03%。</w:t>
      </w:r>
      <w:r>
        <w:rPr>
          <w:rFonts w:hint="eastAsia" w:ascii="仿宋_GB2312" w:eastAsia="仿宋_GB2312"/>
          <w:color w:val="000000"/>
          <w:sz w:val="32"/>
          <w:szCs w:val="32"/>
        </w:rPr>
        <w:t>其中工资性支出</w:t>
      </w:r>
      <w:r>
        <w:rPr>
          <w:rFonts w:hint="eastAsia" w:ascii="仿宋_GB2312" w:eastAsia="仿宋_GB2312"/>
          <w:color w:val="000000"/>
          <w:sz w:val="32"/>
          <w:szCs w:val="32"/>
          <w:lang w:val="en-US" w:eastAsia="zh-CN"/>
        </w:rPr>
        <w:t>768.57</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对个人和家庭的补助支出235.59万元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公用经费694.89万元（包括产业强镇项目300万元，产业联合体项目288万元。）</w:t>
      </w:r>
      <w:r>
        <w:rPr>
          <w:rFonts w:hint="eastAsia" w:ascii="仿宋_GB2312" w:eastAsia="仿宋_GB2312"/>
          <w:color w:val="000000"/>
          <w:sz w:val="32"/>
          <w:szCs w:val="32"/>
          <w:lang w:val="en-US" w:eastAsia="zh-CN"/>
        </w:rPr>
        <w:t>超额完成的主要原因是包含项目经费支出588万元。</w:t>
      </w:r>
    </w:p>
    <w:p>
      <w:pPr>
        <w:spacing w:line="600" w:lineRule="exact"/>
        <w:ind w:firstLine="643" w:firstLineChars="200"/>
        <w:rPr>
          <w:rFonts w:hint="eastAsia" w:ascii="仿宋_GB2312" w:eastAsia="仿宋_GB2312"/>
          <w:color w:val="000000"/>
          <w:sz w:val="32"/>
          <w:szCs w:val="32"/>
          <w:lang w:eastAsia="zh-CN"/>
        </w:rPr>
      </w:pPr>
      <w:r>
        <w:rPr>
          <w:rStyle w:val="19"/>
          <w:rFonts w:hint="eastAsia" w:ascii="仿宋" w:hAnsi="仿宋" w:eastAsia="仿宋"/>
          <w:bCs/>
          <w:color w:val="auto"/>
          <w:sz w:val="32"/>
          <w:szCs w:val="32"/>
          <w:highlight w:val="none"/>
          <w:lang w:val="en-US" w:eastAsia="zh-CN"/>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val="en-US" w:eastAsia="zh-CN"/>
        </w:rPr>
        <w:t>住房保障类</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w:t>
      </w:r>
      <w:r>
        <w:rPr>
          <w:rFonts w:hint="eastAsia" w:ascii="仿宋_GB2312" w:eastAsia="仿宋_GB2312"/>
          <w:color w:val="000000"/>
          <w:sz w:val="32"/>
          <w:szCs w:val="32"/>
        </w:rPr>
        <w:t>出决算为105万元，</w:t>
      </w:r>
      <w:r>
        <w:rPr>
          <w:rFonts w:hint="eastAsia" w:ascii="仿宋_GB2312" w:eastAsia="仿宋_GB2312"/>
          <w:color w:val="000000"/>
          <w:sz w:val="32"/>
          <w:szCs w:val="32"/>
          <w:lang w:val="en-US" w:eastAsia="zh-CN"/>
        </w:rPr>
        <w:t>完成预算数的100% 。</w:t>
      </w:r>
    </w:p>
    <w:p>
      <w:pPr>
        <w:spacing w:line="600" w:lineRule="exact"/>
        <w:ind w:firstLine="643" w:firstLineChars="200"/>
        <w:rPr>
          <w:rFonts w:hint="default" w:ascii="仿宋_GB2312" w:eastAsia="仿宋_GB2312"/>
          <w:color w:val="000000"/>
          <w:sz w:val="32"/>
          <w:szCs w:val="32"/>
          <w:lang w:val="en-US" w:eastAsia="zh-CN"/>
        </w:rPr>
      </w:pPr>
      <w:r>
        <w:rPr>
          <w:rStyle w:val="19"/>
          <w:rFonts w:hint="eastAsia" w:ascii="仿宋" w:hAnsi="仿宋" w:eastAsia="仿宋"/>
          <w:bCs/>
          <w:color w:val="auto"/>
          <w:sz w:val="32"/>
          <w:szCs w:val="32"/>
          <w:highlight w:val="none"/>
          <w:lang w:val="en-US" w:eastAsia="zh-CN"/>
        </w:rPr>
        <w:t>3</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社会保障和就业类</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Fonts w:hint="eastAsia" w:ascii="仿宋_GB2312" w:eastAsia="仿宋_GB2312"/>
          <w:color w:val="000000"/>
          <w:sz w:val="32"/>
          <w:szCs w:val="32"/>
          <w:lang w:val="en-US" w:eastAsia="zh-CN"/>
        </w:rPr>
        <w:t>支出决算为</w:t>
      </w:r>
      <w:r>
        <w:rPr>
          <w:rFonts w:hint="eastAsia" w:ascii="仿宋_GB2312" w:eastAsia="仿宋_GB2312"/>
          <w:color w:val="000000"/>
          <w:sz w:val="32"/>
          <w:szCs w:val="32"/>
        </w:rPr>
        <w:t>111.64万元</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成预算数的114.05% 。</w:t>
      </w:r>
      <w:r>
        <w:rPr>
          <w:rFonts w:hint="eastAsia" w:ascii="仿宋_GB2312" w:eastAsia="仿宋_GB2312"/>
          <w:color w:val="000000"/>
          <w:sz w:val="32"/>
          <w:szCs w:val="32"/>
        </w:rPr>
        <w:t>其中养老保险支出98.96万元，职业年金支出12.68万元。</w:t>
      </w:r>
      <w:r>
        <w:rPr>
          <w:rFonts w:hint="eastAsia" w:ascii="仿宋_GB2312" w:eastAsia="仿宋_GB2312"/>
          <w:color w:val="000000"/>
          <w:sz w:val="32"/>
          <w:szCs w:val="32"/>
          <w:lang w:val="en-US" w:eastAsia="zh-CN"/>
        </w:rPr>
        <w:t>超额完成的原因是职业年金支出未纳入当年年初预算。</w:t>
      </w:r>
    </w:p>
    <w:p>
      <w:pPr>
        <w:spacing w:line="600" w:lineRule="exact"/>
        <w:ind w:firstLine="643" w:firstLineChars="200"/>
        <w:rPr>
          <w:rFonts w:hint="default" w:ascii="仿宋" w:hAnsi="仿宋" w:eastAsia="仿宋"/>
          <w:b/>
          <w:color w:val="auto"/>
          <w:sz w:val="32"/>
          <w:szCs w:val="32"/>
          <w:highlight w:val="none"/>
          <w:lang w:val="en-US" w:eastAsia="zh-CN"/>
        </w:rPr>
      </w:pPr>
      <w:r>
        <w:rPr>
          <w:rStyle w:val="19"/>
          <w:rFonts w:hint="eastAsia" w:ascii="仿宋" w:hAnsi="仿宋" w:eastAsia="仿宋"/>
          <w:bCs/>
          <w:color w:val="auto"/>
          <w:sz w:val="32"/>
          <w:szCs w:val="32"/>
          <w:highlight w:val="none"/>
          <w:lang w:val="en-US" w:eastAsia="zh-CN"/>
        </w:rPr>
        <w:t>4</w:t>
      </w:r>
      <w:r>
        <w:rPr>
          <w:rStyle w:val="19"/>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9"/>
          <w:rFonts w:hint="eastAsia" w:ascii="仿宋" w:hAnsi="仿宋" w:eastAsia="仿宋"/>
          <w:bCs/>
          <w:color w:val="auto"/>
          <w:sz w:val="32"/>
          <w:szCs w:val="32"/>
          <w:highlight w:val="none"/>
        </w:rPr>
        <w:t>类</w:t>
      </w:r>
      <w:r>
        <w:rPr>
          <w:rStyle w:val="19"/>
          <w:rFonts w:ascii="仿宋" w:hAnsi="仿宋" w:eastAsia="仿宋"/>
          <w:bCs/>
          <w:color w:val="auto"/>
          <w:sz w:val="32"/>
          <w:szCs w:val="32"/>
          <w:highlight w:val="none"/>
        </w:rPr>
        <w:t>:</w:t>
      </w:r>
      <w:r>
        <w:rPr>
          <w:rFonts w:hint="eastAsia" w:ascii="仿宋_GB2312" w:eastAsia="仿宋_GB2312"/>
          <w:color w:val="000000"/>
          <w:sz w:val="32"/>
          <w:szCs w:val="32"/>
        </w:rPr>
        <w:t>支出决算为57.5</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完成预算数的106.22% 。</w:t>
      </w:r>
      <w:r>
        <w:rPr>
          <w:rFonts w:hint="eastAsia" w:ascii="仿宋_GB2312" w:eastAsia="仿宋_GB2312"/>
          <w:color w:val="000000"/>
          <w:sz w:val="32"/>
          <w:szCs w:val="32"/>
        </w:rPr>
        <w:t>其中基本医疗保险支出</w:t>
      </w:r>
      <w:r>
        <w:rPr>
          <w:rFonts w:hint="eastAsia" w:ascii="仿宋_GB2312" w:eastAsia="仿宋_GB2312"/>
          <w:color w:val="000000"/>
          <w:sz w:val="32"/>
          <w:szCs w:val="32"/>
          <w:lang w:val="en-US" w:eastAsia="zh-CN"/>
        </w:rPr>
        <w:t>50.12</w:t>
      </w:r>
      <w:r>
        <w:rPr>
          <w:rFonts w:hint="eastAsia" w:ascii="仿宋_GB2312" w:eastAsia="仿宋_GB2312"/>
          <w:color w:val="000000"/>
          <w:sz w:val="32"/>
          <w:szCs w:val="32"/>
        </w:rPr>
        <w:t>万元，公务员医疗补助支出7.4</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预算数与决算数基本持平。</w:t>
      </w:r>
    </w:p>
    <w:p>
      <w:pPr>
        <w:spacing w:line="600" w:lineRule="exact"/>
        <w:ind w:firstLine="640"/>
        <w:rPr>
          <w:rFonts w:ascii="仿宋" w:hAnsi="仿宋" w:eastAsia="仿宋"/>
          <w:b/>
          <w:sz w:val="32"/>
          <w:szCs w:val="32"/>
        </w:rPr>
      </w:pPr>
    </w:p>
    <w:p>
      <w:pPr>
        <w:pStyle w:val="4"/>
        <w:numPr>
          <w:ilvl w:val="0"/>
          <w:numId w:val="0"/>
        </w:numPr>
        <w:rPr>
          <w:rFonts w:hint="eastAsia" w:ascii="黑体" w:hAnsi="黑体" w:eastAsia="黑体"/>
          <w:b w:val="0"/>
        </w:rPr>
      </w:pPr>
      <w:bookmarkStart w:id="34" w:name="_Toc15396608"/>
      <w:bookmarkStart w:id="35" w:name="_Toc15377214"/>
      <w:r>
        <w:rPr>
          <w:rFonts w:hint="eastAsia" w:ascii="黑体" w:hAnsi="黑体" w:eastAsia="黑体"/>
          <w:b w:val="0"/>
        </w:rPr>
        <w:t>六、一般公共预算财政拨款基本支出决算情况说明</w:t>
      </w:r>
      <w:bookmarkEnd w:id="34"/>
      <w:bookmarkEnd w:id="35"/>
      <w:r>
        <w:rPr>
          <w:rFonts w:hint="eastAsia" w:ascii="黑体" w:hAnsi="黑体" w:eastAsia="黑体"/>
          <w:b w:val="0"/>
        </w:rPr>
        <w:tab/>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2022年一般公共预算财政拨款基本支出</w:t>
      </w:r>
      <w:r>
        <w:rPr>
          <w:rFonts w:hint="eastAsia" w:ascii="仿宋_GB2312" w:eastAsia="仿宋_GB2312"/>
          <w:color w:val="000000"/>
          <w:sz w:val="32"/>
          <w:szCs w:val="32"/>
          <w:lang w:val="en-US" w:eastAsia="zh-CN"/>
        </w:rPr>
        <w:t>1973.23</w:t>
      </w:r>
      <w:r>
        <w:rPr>
          <w:rFonts w:hint="eastAsia" w:ascii="仿宋_GB2312" w:eastAsia="仿宋_GB2312"/>
          <w:color w:val="000000"/>
          <w:sz w:val="32"/>
          <w:szCs w:val="32"/>
        </w:rPr>
        <w:t>万元，其中：</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人员经费</w:t>
      </w:r>
      <w:r>
        <w:rPr>
          <w:rFonts w:hint="eastAsia" w:ascii="仿宋_GB2312" w:eastAsia="仿宋_GB2312"/>
          <w:color w:val="000000"/>
          <w:sz w:val="32"/>
          <w:szCs w:val="32"/>
          <w:lang w:val="en-US" w:eastAsia="zh-CN"/>
        </w:rPr>
        <w:t>1278.34</w:t>
      </w:r>
      <w:r>
        <w:rPr>
          <w:rFonts w:hint="eastAsia" w:ascii="仿宋_GB2312" w:eastAsia="仿宋_GB2312"/>
          <w:color w:val="000000"/>
          <w:sz w:val="32"/>
          <w:szCs w:val="32"/>
        </w:rPr>
        <w:t>万元，主要包括：基本工资</w:t>
      </w:r>
      <w:r>
        <w:rPr>
          <w:rFonts w:hint="eastAsia" w:ascii="仿宋_GB2312" w:eastAsia="仿宋_GB2312"/>
          <w:color w:val="000000"/>
          <w:sz w:val="32"/>
          <w:szCs w:val="32"/>
          <w:lang w:val="en-US" w:eastAsia="zh-CN"/>
        </w:rPr>
        <w:t>462.06</w:t>
      </w:r>
      <w:r>
        <w:rPr>
          <w:rFonts w:hint="eastAsia" w:ascii="仿宋_GB2312" w:eastAsia="仿宋_GB2312"/>
          <w:color w:val="000000"/>
          <w:sz w:val="32"/>
          <w:szCs w:val="32"/>
        </w:rPr>
        <w:t>万元、津贴补贴</w:t>
      </w:r>
      <w:r>
        <w:rPr>
          <w:rFonts w:hint="eastAsia" w:ascii="仿宋_GB2312" w:eastAsia="仿宋_GB2312"/>
          <w:color w:val="000000"/>
          <w:sz w:val="32"/>
          <w:szCs w:val="32"/>
          <w:lang w:val="en-US" w:eastAsia="zh-CN"/>
        </w:rPr>
        <w:t>80.55</w:t>
      </w:r>
      <w:r>
        <w:rPr>
          <w:rFonts w:hint="eastAsia" w:ascii="仿宋_GB2312" w:eastAsia="仿宋_GB2312"/>
          <w:color w:val="000000"/>
          <w:sz w:val="32"/>
          <w:szCs w:val="32"/>
        </w:rPr>
        <w:t>万元、奖金</w:t>
      </w:r>
      <w:r>
        <w:rPr>
          <w:rFonts w:hint="eastAsia" w:ascii="仿宋_GB2312" w:eastAsia="仿宋_GB2312"/>
          <w:color w:val="000000"/>
          <w:sz w:val="32"/>
          <w:szCs w:val="32"/>
          <w:lang w:val="en-US" w:eastAsia="zh-CN"/>
        </w:rPr>
        <w:t>4.24</w:t>
      </w:r>
      <w:r>
        <w:rPr>
          <w:rFonts w:hint="eastAsia" w:ascii="仿宋_GB2312" w:eastAsia="仿宋_GB2312"/>
          <w:color w:val="000000"/>
          <w:sz w:val="32"/>
          <w:szCs w:val="32"/>
        </w:rPr>
        <w:t>万元、绩效工资</w:t>
      </w:r>
      <w:r>
        <w:rPr>
          <w:rFonts w:hint="eastAsia" w:ascii="仿宋_GB2312" w:eastAsia="仿宋_GB2312"/>
          <w:color w:val="000000"/>
          <w:sz w:val="32"/>
          <w:szCs w:val="32"/>
          <w:lang w:val="en-US" w:eastAsia="zh-CN"/>
        </w:rPr>
        <w:t>171.88</w:t>
      </w:r>
      <w:r>
        <w:rPr>
          <w:rFonts w:hint="eastAsia" w:ascii="仿宋_GB2312" w:eastAsia="仿宋_GB2312"/>
          <w:color w:val="000000"/>
          <w:sz w:val="32"/>
          <w:szCs w:val="32"/>
        </w:rPr>
        <w:t>万元、机关事业单位基本养老保险缴费</w:t>
      </w:r>
      <w:r>
        <w:rPr>
          <w:rFonts w:hint="eastAsia" w:ascii="仿宋_GB2312" w:eastAsia="仿宋_GB2312"/>
          <w:color w:val="000000"/>
          <w:sz w:val="32"/>
          <w:szCs w:val="32"/>
          <w:lang w:val="en-US" w:eastAsia="zh-CN"/>
        </w:rPr>
        <w:t>98.96</w:t>
      </w:r>
      <w:r>
        <w:rPr>
          <w:rFonts w:hint="eastAsia" w:ascii="仿宋_GB2312" w:eastAsia="仿宋_GB2312"/>
          <w:color w:val="000000"/>
          <w:sz w:val="32"/>
          <w:szCs w:val="32"/>
        </w:rPr>
        <w:t>万元、职业年金缴费</w:t>
      </w:r>
      <w:r>
        <w:rPr>
          <w:rFonts w:hint="eastAsia" w:ascii="仿宋_GB2312" w:eastAsia="仿宋_GB2312"/>
          <w:color w:val="000000"/>
          <w:sz w:val="32"/>
          <w:szCs w:val="32"/>
          <w:lang w:val="en-US" w:eastAsia="zh-CN"/>
        </w:rPr>
        <w:t>12.68</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基本医疗保险50.12</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、公务员补助缴费7.41</w:t>
      </w:r>
      <w:r>
        <w:rPr>
          <w:rFonts w:hint="eastAsia" w:ascii="仿宋_GB2312" w:eastAsia="仿宋_GB2312"/>
          <w:color w:val="000000"/>
          <w:sz w:val="32"/>
          <w:szCs w:val="32"/>
        </w:rPr>
        <w:t>万元</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其他社会保障缴</w:t>
      </w:r>
      <w:r>
        <w:rPr>
          <w:rFonts w:hint="eastAsia" w:ascii="仿宋_GB2312" w:eastAsia="仿宋_GB2312"/>
          <w:color w:val="000000"/>
          <w:sz w:val="32"/>
          <w:szCs w:val="32"/>
          <w:lang w:val="en-US" w:eastAsia="zh-CN"/>
        </w:rPr>
        <w:t>49.85</w:t>
      </w:r>
      <w:r>
        <w:rPr>
          <w:rFonts w:hint="eastAsia" w:ascii="仿宋_GB2312" w:eastAsia="仿宋_GB2312"/>
          <w:color w:val="000000"/>
          <w:sz w:val="32"/>
          <w:szCs w:val="32"/>
        </w:rPr>
        <w:t>万元、抚恤金</w:t>
      </w:r>
      <w:r>
        <w:rPr>
          <w:rFonts w:hint="eastAsia" w:ascii="仿宋_GB2312" w:eastAsia="仿宋_GB2312"/>
          <w:color w:val="000000"/>
          <w:sz w:val="32"/>
          <w:szCs w:val="32"/>
          <w:lang w:val="en-US" w:eastAsia="zh-CN"/>
        </w:rPr>
        <w:t>0.17</w:t>
      </w:r>
      <w:r>
        <w:rPr>
          <w:rFonts w:hint="eastAsia" w:ascii="仿宋_GB2312" w:eastAsia="仿宋_GB2312"/>
          <w:color w:val="000000"/>
          <w:sz w:val="32"/>
          <w:szCs w:val="32"/>
        </w:rPr>
        <w:t>万元、生活补助</w:t>
      </w:r>
      <w:r>
        <w:rPr>
          <w:rFonts w:hint="eastAsia" w:ascii="仿宋_GB2312" w:eastAsia="仿宋_GB2312"/>
          <w:color w:val="000000"/>
          <w:sz w:val="32"/>
          <w:szCs w:val="32"/>
          <w:lang w:val="en-US" w:eastAsia="zh-CN"/>
        </w:rPr>
        <w:t>16.59</w:t>
      </w:r>
      <w:r>
        <w:rPr>
          <w:rFonts w:hint="eastAsia" w:ascii="仿宋_GB2312" w:eastAsia="仿宋_GB2312"/>
          <w:color w:val="000000"/>
          <w:sz w:val="32"/>
          <w:szCs w:val="32"/>
        </w:rPr>
        <w:t>万元、奖励金</w:t>
      </w:r>
      <w:r>
        <w:rPr>
          <w:rFonts w:hint="eastAsia" w:ascii="仿宋_GB2312" w:eastAsia="仿宋_GB2312"/>
          <w:color w:val="000000"/>
          <w:sz w:val="32"/>
          <w:szCs w:val="32"/>
          <w:lang w:val="en-US" w:eastAsia="zh-CN"/>
        </w:rPr>
        <w:t>218.83</w:t>
      </w:r>
      <w:r>
        <w:rPr>
          <w:rFonts w:hint="eastAsia" w:ascii="仿宋_GB2312" w:eastAsia="仿宋_GB2312"/>
          <w:color w:val="000000"/>
          <w:sz w:val="32"/>
          <w:szCs w:val="32"/>
        </w:rPr>
        <w:t>万元、住房公积金</w:t>
      </w:r>
      <w:r>
        <w:rPr>
          <w:rFonts w:hint="eastAsia" w:ascii="仿宋_GB2312" w:eastAsia="仿宋_GB2312"/>
          <w:color w:val="000000"/>
          <w:sz w:val="32"/>
          <w:szCs w:val="32"/>
          <w:lang w:val="en-US" w:eastAsia="zh-CN"/>
        </w:rPr>
        <w:t>105</w:t>
      </w:r>
      <w:r>
        <w:rPr>
          <w:rFonts w:hint="eastAsia" w:ascii="仿宋_GB2312" w:eastAsia="仿宋_GB2312"/>
          <w:color w:val="000000"/>
          <w:sz w:val="32"/>
          <w:szCs w:val="32"/>
        </w:rPr>
        <w:t>万元。</w:t>
      </w:r>
      <w:r>
        <w:rPr>
          <w:rFonts w:hint="eastAsia" w:ascii="仿宋_GB2312" w:eastAsia="仿宋_GB2312"/>
          <w:color w:val="000000"/>
          <w:sz w:val="32"/>
          <w:szCs w:val="32"/>
        </w:rPr>
        <w:br w:type="textWrapping"/>
      </w:r>
      <w:r>
        <w:rPr>
          <w:rFonts w:hint="eastAsia" w:ascii="仿宋_GB2312" w:eastAsia="仿宋_GB2312"/>
          <w:color w:val="000000"/>
          <w:sz w:val="32"/>
          <w:szCs w:val="32"/>
        </w:rPr>
        <w:t>　　公用经费</w:t>
      </w:r>
      <w:r>
        <w:rPr>
          <w:rFonts w:hint="eastAsia" w:ascii="仿宋_GB2312" w:eastAsia="仿宋_GB2312"/>
          <w:color w:val="000000"/>
          <w:sz w:val="32"/>
          <w:szCs w:val="32"/>
          <w:lang w:val="en-US" w:eastAsia="zh-CN"/>
        </w:rPr>
        <w:t>694.89</w:t>
      </w:r>
      <w:r>
        <w:rPr>
          <w:rFonts w:hint="eastAsia" w:ascii="仿宋_GB2312" w:eastAsia="仿宋_GB2312"/>
          <w:color w:val="000000"/>
          <w:sz w:val="32"/>
          <w:szCs w:val="32"/>
        </w:rPr>
        <w:t>万元，主要包括：办公费</w:t>
      </w:r>
      <w:r>
        <w:rPr>
          <w:rFonts w:hint="eastAsia" w:ascii="仿宋_GB2312" w:eastAsia="仿宋_GB2312"/>
          <w:color w:val="000000"/>
          <w:sz w:val="32"/>
          <w:szCs w:val="32"/>
          <w:lang w:val="en-US" w:eastAsia="zh-CN"/>
        </w:rPr>
        <w:t>10.88</w:t>
      </w:r>
      <w:r>
        <w:rPr>
          <w:rFonts w:hint="eastAsia" w:ascii="仿宋_GB2312" w:eastAsia="仿宋_GB2312"/>
          <w:color w:val="000000"/>
          <w:sz w:val="32"/>
          <w:szCs w:val="32"/>
        </w:rPr>
        <w:t>万元、邮电费</w:t>
      </w:r>
      <w:r>
        <w:rPr>
          <w:rFonts w:hint="eastAsia" w:ascii="仿宋_GB2312" w:eastAsia="仿宋_GB2312"/>
          <w:color w:val="000000"/>
          <w:sz w:val="32"/>
          <w:szCs w:val="32"/>
          <w:lang w:val="en-US" w:eastAsia="zh-CN"/>
        </w:rPr>
        <w:t>6.16</w:t>
      </w:r>
      <w:r>
        <w:rPr>
          <w:rFonts w:hint="eastAsia" w:ascii="仿宋_GB2312" w:eastAsia="仿宋_GB2312"/>
          <w:color w:val="000000"/>
          <w:sz w:val="32"/>
          <w:szCs w:val="32"/>
        </w:rPr>
        <w:t>万元、物业管理费</w:t>
      </w: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万元、差旅费</w:t>
      </w:r>
      <w:r>
        <w:rPr>
          <w:rFonts w:hint="eastAsia" w:ascii="仿宋_GB2312" w:eastAsia="仿宋_GB2312"/>
          <w:color w:val="000000"/>
          <w:sz w:val="32"/>
          <w:szCs w:val="32"/>
          <w:lang w:val="en-US" w:eastAsia="zh-CN"/>
        </w:rPr>
        <w:t>53.28</w:t>
      </w:r>
      <w:r>
        <w:rPr>
          <w:rFonts w:hint="eastAsia" w:ascii="仿宋_GB2312" w:eastAsia="仿宋_GB2312"/>
          <w:color w:val="000000"/>
          <w:sz w:val="32"/>
          <w:szCs w:val="32"/>
        </w:rPr>
        <w:t>万元、会议费</w:t>
      </w:r>
      <w:r>
        <w:rPr>
          <w:rFonts w:hint="eastAsia" w:ascii="仿宋_GB2312" w:eastAsia="仿宋_GB2312"/>
          <w:color w:val="000000"/>
          <w:sz w:val="32"/>
          <w:szCs w:val="32"/>
          <w:lang w:val="en-US" w:eastAsia="zh-CN"/>
        </w:rPr>
        <w:t>7.94</w:t>
      </w:r>
      <w:r>
        <w:rPr>
          <w:rFonts w:hint="eastAsia" w:ascii="仿宋_GB2312" w:eastAsia="仿宋_GB2312"/>
          <w:color w:val="000000"/>
          <w:sz w:val="32"/>
          <w:szCs w:val="32"/>
        </w:rPr>
        <w:t>万元、培训费</w:t>
      </w:r>
      <w:r>
        <w:rPr>
          <w:rFonts w:hint="eastAsia" w:ascii="仿宋_GB2312" w:eastAsia="仿宋_GB2312"/>
          <w:color w:val="000000"/>
          <w:sz w:val="32"/>
          <w:szCs w:val="32"/>
          <w:lang w:val="en-US" w:eastAsia="zh-CN"/>
        </w:rPr>
        <w:t>0.35</w:t>
      </w:r>
      <w:r>
        <w:rPr>
          <w:rFonts w:hint="eastAsia" w:ascii="仿宋_GB2312" w:eastAsia="仿宋_GB2312"/>
          <w:color w:val="000000"/>
          <w:sz w:val="32"/>
          <w:szCs w:val="32"/>
        </w:rPr>
        <w:t>万元、公务接待费</w:t>
      </w:r>
      <w:r>
        <w:rPr>
          <w:rFonts w:hint="eastAsia" w:ascii="仿宋_GB2312" w:eastAsia="仿宋_GB2312"/>
          <w:color w:val="000000"/>
          <w:sz w:val="32"/>
          <w:szCs w:val="32"/>
          <w:lang w:val="en-US" w:eastAsia="zh-CN"/>
        </w:rPr>
        <w:t>1.73</w:t>
      </w:r>
      <w:r>
        <w:rPr>
          <w:rFonts w:hint="eastAsia" w:ascii="仿宋_GB2312" w:eastAsia="仿宋_GB2312"/>
          <w:color w:val="000000"/>
          <w:sz w:val="32"/>
          <w:szCs w:val="32"/>
        </w:rPr>
        <w:t>万元、工会经费</w:t>
      </w:r>
      <w:r>
        <w:rPr>
          <w:rFonts w:hint="eastAsia" w:ascii="仿宋_GB2312" w:eastAsia="仿宋_GB2312"/>
          <w:color w:val="000000"/>
          <w:sz w:val="32"/>
          <w:szCs w:val="32"/>
          <w:lang w:val="en-US" w:eastAsia="zh-CN"/>
        </w:rPr>
        <w:t>12.48</w:t>
      </w:r>
      <w:r>
        <w:rPr>
          <w:rFonts w:hint="eastAsia" w:ascii="仿宋_GB2312" w:eastAsia="仿宋_GB2312"/>
          <w:color w:val="000000"/>
          <w:sz w:val="32"/>
          <w:szCs w:val="32"/>
        </w:rPr>
        <w:t>万元、福利费</w:t>
      </w:r>
      <w:r>
        <w:rPr>
          <w:rFonts w:hint="eastAsia" w:ascii="仿宋_GB2312" w:eastAsia="仿宋_GB2312"/>
          <w:color w:val="000000"/>
          <w:sz w:val="32"/>
          <w:szCs w:val="32"/>
          <w:lang w:val="en-US" w:eastAsia="zh-CN"/>
        </w:rPr>
        <w:t>1.58</w:t>
      </w:r>
      <w:r>
        <w:rPr>
          <w:rFonts w:hint="eastAsia" w:ascii="仿宋_GB2312" w:eastAsia="仿宋_GB2312"/>
          <w:color w:val="000000"/>
          <w:sz w:val="32"/>
          <w:szCs w:val="32"/>
        </w:rPr>
        <w:t>万元、其他交通费</w:t>
      </w:r>
      <w:r>
        <w:rPr>
          <w:rFonts w:hint="eastAsia" w:ascii="仿宋_GB2312" w:eastAsia="仿宋_GB2312"/>
          <w:color w:val="000000"/>
          <w:sz w:val="32"/>
          <w:szCs w:val="32"/>
          <w:lang w:val="en-US" w:eastAsia="zh-CN"/>
        </w:rPr>
        <w:t>10.8</w:t>
      </w:r>
      <w:r>
        <w:rPr>
          <w:rFonts w:hint="eastAsia" w:ascii="仿宋_GB2312" w:eastAsia="仿宋_GB2312"/>
          <w:color w:val="000000"/>
          <w:sz w:val="32"/>
          <w:szCs w:val="32"/>
        </w:rPr>
        <w:t>万元、其他商品和服务支出</w:t>
      </w:r>
      <w:r>
        <w:rPr>
          <w:rFonts w:hint="eastAsia" w:ascii="仿宋_GB2312" w:eastAsia="仿宋_GB2312"/>
          <w:color w:val="000000"/>
          <w:sz w:val="32"/>
          <w:szCs w:val="32"/>
          <w:lang w:val="en-US" w:eastAsia="zh-CN"/>
        </w:rPr>
        <w:t>588</w:t>
      </w:r>
      <w:r>
        <w:rPr>
          <w:rFonts w:hint="eastAsia" w:ascii="仿宋_GB2312" w:eastAsia="仿宋_GB2312"/>
          <w:color w:val="000000"/>
          <w:sz w:val="32"/>
          <w:szCs w:val="32"/>
        </w:rPr>
        <w:t>万元。</w:t>
      </w:r>
    </w:p>
    <w:p>
      <w:pPr>
        <w:spacing w:line="600" w:lineRule="exact"/>
        <w:rPr>
          <w:rFonts w:ascii="仿宋" w:hAnsi="仿宋" w:eastAsia="仿宋"/>
          <w:b/>
          <w:sz w:val="32"/>
          <w:szCs w:val="32"/>
        </w:rPr>
      </w:pPr>
    </w:p>
    <w:p>
      <w:pPr>
        <w:pStyle w:val="4"/>
        <w:numPr>
          <w:ilvl w:val="0"/>
          <w:numId w:val="0"/>
        </w:numPr>
        <w:rPr>
          <w:rFonts w:hint="eastAsia" w:ascii="黑体" w:hAnsi="黑体" w:eastAsia="黑体"/>
          <w:b w:val="0"/>
        </w:rPr>
      </w:pPr>
      <w:bookmarkStart w:id="36" w:name="_Toc15377215"/>
      <w:bookmarkStart w:id="37" w:name="_Toc15396609"/>
      <w:r>
        <w:rPr>
          <w:rFonts w:hint="eastAsia" w:ascii="黑体" w:hAnsi="黑体" w:eastAsia="黑体"/>
          <w:b w:val="0"/>
        </w:rPr>
        <w:t>七、财政拨款“三公”经费支出决算情况说明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2022年“三公”经费财政拨款支出决算为</w:t>
      </w:r>
      <w:r>
        <w:rPr>
          <w:rFonts w:hint="eastAsia" w:ascii="仿宋_GB2312" w:eastAsia="仿宋_GB2312"/>
          <w:color w:val="000000"/>
          <w:sz w:val="32"/>
          <w:szCs w:val="32"/>
          <w:lang w:val="en-US" w:eastAsia="zh-CN"/>
        </w:rPr>
        <w:t>1.73</w:t>
      </w:r>
      <w:r>
        <w:rPr>
          <w:rFonts w:hint="eastAsia" w:ascii="仿宋_GB2312" w:eastAsia="仿宋_GB2312"/>
          <w:color w:val="000000"/>
          <w:sz w:val="32"/>
          <w:szCs w:val="32"/>
        </w:rPr>
        <w:t>万元，完成预算</w:t>
      </w:r>
      <w:r>
        <w:rPr>
          <w:rFonts w:hint="eastAsia" w:ascii="仿宋_GB2312" w:eastAsia="仿宋_GB2312"/>
          <w:color w:val="000000"/>
          <w:sz w:val="32"/>
          <w:szCs w:val="32"/>
          <w:lang w:val="en-US" w:eastAsia="zh-CN"/>
        </w:rPr>
        <w:t>86.5</w:t>
      </w:r>
      <w:r>
        <w:rPr>
          <w:rFonts w:hint="eastAsia" w:ascii="仿宋_GB2312" w:eastAsia="仿宋_GB2312"/>
          <w:color w:val="000000"/>
          <w:sz w:val="32"/>
          <w:szCs w:val="32"/>
        </w:rPr>
        <w:t>%，较上年增加</w:t>
      </w:r>
      <w:r>
        <w:rPr>
          <w:rFonts w:hint="eastAsia" w:ascii="仿宋_GB2312" w:eastAsia="仿宋_GB2312"/>
          <w:color w:val="000000"/>
          <w:sz w:val="32"/>
          <w:szCs w:val="32"/>
          <w:lang w:val="en-US" w:eastAsia="zh-CN"/>
        </w:rPr>
        <w:t>0.32</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招商引资增加，接待增加</w:t>
      </w:r>
      <w:r>
        <w:rPr>
          <w:rFonts w:hint="eastAsia" w:ascii="仿宋_GB2312" w:eastAsia="仿宋_GB2312"/>
          <w:color w:val="000000"/>
          <w:sz w:val="32"/>
          <w:szCs w:val="32"/>
        </w:rPr>
        <w:t>。</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2022年“三公”经费财政拨款支出决算中，因公出国（境）费支出决算</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%；公务用车购置及运行维护费支出决算</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%；公务接待费支出决算</w:t>
      </w:r>
      <w:r>
        <w:rPr>
          <w:rFonts w:hint="eastAsia" w:ascii="仿宋_GB2312" w:eastAsia="仿宋_GB2312"/>
          <w:color w:val="000000"/>
          <w:sz w:val="32"/>
          <w:szCs w:val="32"/>
          <w:lang w:val="en-US" w:eastAsia="zh-CN"/>
        </w:rPr>
        <w:t>1.73</w:t>
      </w:r>
      <w:r>
        <w:rPr>
          <w:rFonts w:hint="eastAsia" w:ascii="仿宋_GB2312" w:eastAsia="仿宋_GB2312"/>
          <w:color w:val="000000"/>
          <w:sz w:val="32"/>
          <w:szCs w:val="32"/>
        </w:rPr>
        <w:t>万元，占</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%。具体情况如下：</w:t>
      </w:r>
    </w:p>
    <w:p>
      <w:pPr>
        <w:spacing w:line="600" w:lineRule="exact"/>
        <w:ind w:firstLine="640"/>
        <w:rPr>
          <w:rFonts w:hint="eastAsia" w:ascii="仿宋_GB2312" w:eastAsia="仿宋_GB2312"/>
          <w:color w:val="000000"/>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color w:val="000000"/>
          <w:sz w:val="32"/>
          <w:szCs w:val="32"/>
        </w:rPr>
        <w:t>万元，完成预算</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%。全年安排因公出国（境）团组</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人。因公出国（境）支出决算比2021年增加/减少</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万元，增长/下降</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w:t>
      </w:r>
    </w:p>
    <w:p>
      <w:pPr>
        <w:spacing w:line="600" w:lineRule="exact"/>
        <w:ind w:firstLine="640"/>
        <w:rPr>
          <w:rFonts w:hint="eastAsia" w:eastAsia="仿宋_GB2312"/>
          <w:color w:val="000000"/>
          <w:sz w:val="32"/>
          <w:szCs w:val="32"/>
          <w:lang w:val="en-US" w:eastAsia="zh-CN"/>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hint="eastAsia" w:ascii="仿宋" w:hAnsi="仿宋" w:eastAsia="仿宋"/>
          <w:b w:val="0"/>
          <w:bCs/>
          <w:sz w:val="32"/>
          <w:szCs w:val="32"/>
          <w:lang w:val="en-US" w:eastAsia="zh-CN"/>
        </w:rPr>
        <w:t>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0"/>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hint="default" w:ascii="仿宋_GB2312" w:eastAsia="仿宋_GB2312"/>
          <w:sz w:val="32"/>
          <w:szCs w:val="32"/>
          <w:lang w:val="en-US" w:eastAsia="zh-CN"/>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hint="eastAsia" w:ascii="仿宋_GB2312" w:eastAsia="仿宋_GB2312"/>
          <w:color w:val="000000"/>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1</w:t>
      </w:r>
      <w:r>
        <w:rPr>
          <w:rFonts w:hint="eastAsia" w:ascii="仿宋_GB2312" w:eastAsia="仿宋_GB2312"/>
          <w:color w:val="000000"/>
          <w:sz w:val="32"/>
          <w:szCs w:val="32"/>
          <w:lang w:val="en-US" w:eastAsia="zh-CN"/>
        </w:rPr>
        <w:t>.73</w:t>
      </w:r>
      <w:r>
        <w:rPr>
          <w:rFonts w:hint="eastAsia" w:ascii="仿宋_GB2312" w:eastAsia="仿宋_GB2312"/>
          <w:color w:val="000000"/>
          <w:sz w:val="32"/>
          <w:szCs w:val="32"/>
        </w:rPr>
        <w:t>万元，完成预算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%。公务接待费支出决算比2021年增加</w:t>
      </w:r>
      <w:r>
        <w:rPr>
          <w:rFonts w:hint="eastAsia" w:ascii="仿宋_GB2312" w:eastAsia="仿宋_GB2312"/>
          <w:color w:val="000000"/>
          <w:sz w:val="32"/>
          <w:szCs w:val="32"/>
          <w:lang w:val="en-US" w:eastAsia="zh-CN"/>
        </w:rPr>
        <w:t>0.32</w:t>
      </w:r>
      <w:r>
        <w:rPr>
          <w:rFonts w:hint="eastAsia" w:ascii="仿宋_GB2312" w:eastAsia="仿宋_GB2312"/>
          <w:color w:val="000000"/>
          <w:sz w:val="32"/>
          <w:szCs w:val="32"/>
        </w:rPr>
        <w:t>万元，增长</w:t>
      </w:r>
      <w:r>
        <w:rPr>
          <w:rFonts w:hint="eastAsia" w:ascii="仿宋_GB2312" w:eastAsia="仿宋_GB2312"/>
          <w:color w:val="000000"/>
          <w:sz w:val="32"/>
          <w:szCs w:val="32"/>
          <w:lang w:val="en-US" w:eastAsia="zh-CN"/>
        </w:rPr>
        <w:t>22.7</w:t>
      </w:r>
      <w:r>
        <w:rPr>
          <w:rFonts w:hint="eastAsia" w:ascii="仿宋_GB2312" w:eastAsia="仿宋_GB2312"/>
          <w:color w:val="000000"/>
          <w:sz w:val="32"/>
          <w:szCs w:val="32"/>
        </w:rPr>
        <w:t>%。主要原因是</w:t>
      </w:r>
      <w:r>
        <w:rPr>
          <w:rFonts w:hint="eastAsia" w:ascii="仿宋_GB2312" w:eastAsia="仿宋_GB2312"/>
          <w:color w:val="000000"/>
          <w:sz w:val="32"/>
          <w:szCs w:val="32"/>
          <w:lang w:val="en-US" w:eastAsia="zh-CN"/>
        </w:rPr>
        <w:t>招商引资增加，接待增加</w:t>
      </w:r>
      <w:r>
        <w:rPr>
          <w:rFonts w:hint="eastAsia" w:ascii="仿宋_GB2312" w:eastAsia="仿宋_GB2312"/>
          <w:color w:val="000000"/>
          <w:sz w:val="32"/>
          <w:szCs w:val="32"/>
        </w:rPr>
        <w:t>。其中：</w:t>
      </w:r>
    </w:p>
    <w:p>
      <w:pPr>
        <w:spacing w:line="600" w:lineRule="exact"/>
        <w:ind w:firstLine="640"/>
        <w:rPr>
          <w:rFonts w:ascii="仿宋_GB2312" w:eastAsia="仿宋_GB2312"/>
          <w:sz w:val="32"/>
          <w:szCs w:val="32"/>
          <w:highlight w:val="none"/>
        </w:rPr>
      </w:pPr>
      <w:r>
        <w:rPr>
          <w:rFonts w:hint="eastAsia" w:ascii="仿宋" w:hAnsi="仿宋" w:eastAsia="仿宋"/>
          <w:b/>
          <w:sz w:val="32"/>
          <w:szCs w:val="32"/>
        </w:rPr>
        <w:t>国内公务接待支出</w:t>
      </w:r>
      <w:r>
        <w:rPr>
          <w:rFonts w:hint="eastAsia" w:ascii="仿宋" w:hAnsi="仿宋" w:eastAsia="仿宋"/>
          <w:sz w:val="32"/>
          <w:szCs w:val="32"/>
          <w:lang w:val="en-US" w:eastAsia="zh-CN"/>
        </w:rPr>
        <w:t>1.73</w:t>
      </w:r>
      <w:r>
        <w:rPr>
          <w:rFonts w:hint="eastAsia" w:ascii="仿宋_GB2312" w:eastAsia="仿宋_GB2312"/>
          <w:sz w:val="32"/>
          <w:szCs w:val="32"/>
        </w:rPr>
        <w:t>万元，主要用于</w:t>
      </w:r>
      <w:r>
        <w:rPr>
          <w:rFonts w:hint="eastAsia" w:ascii="仿宋_GB2312" w:eastAsia="仿宋_GB2312"/>
          <w:sz w:val="32"/>
          <w:szCs w:val="32"/>
          <w:highlight w:val="none"/>
        </w:rPr>
        <w:t>用餐费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国内公务接待</w:t>
      </w:r>
      <w:r>
        <w:rPr>
          <w:rFonts w:hint="eastAsia" w:ascii="仿宋_GB2312" w:eastAsia="仿宋_GB2312"/>
          <w:sz w:val="32"/>
          <w:szCs w:val="32"/>
          <w:highlight w:val="none"/>
          <w:lang w:val="en-US" w:eastAsia="zh-CN"/>
        </w:rPr>
        <w:t>29</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251</w:t>
      </w:r>
      <w:r>
        <w:rPr>
          <w:rFonts w:hint="eastAsia" w:ascii="仿宋_GB2312" w:eastAsia="仿宋_GB2312"/>
          <w:sz w:val="32"/>
          <w:szCs w:val="32"/>
          <w:highlight w:val="none"/>
        </w:rPr>
        <w:t>人次，共计支出</w:t>
      </w:r>
      <w:r>
        <w:rPr>
          <w:rFonts w:hint="eastAsia" w:ascii="仿宋_GB2312" w:eastAsia="仿宋_GB2312"/>
          <w:sz w:val="32"/>
          <w:szCs w:val="32"/>
          <w:highlight w:val="none"/>
          <w:lang w:val="en-US" w:eastAsia="zh-CN"/>
        </w:rPr>
        <w:t>1.73</w:t>
      </w:r>
      <w:r>
        <w:rPr>
          <w:rFonts w:hint="eastAsia" w:ascii="仿宋_GB2312" w:eastAsia="仿宋_GB2312"/>
          <w:sz w:val="32"/>
          <w:szCs w:val="32"/>
          <w:highlight w:val="none"/>
        </w:rPr>
        <w:t>万元。</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w:t>
      </w:r>
    </w:p>
    <w:p>
      <w:pPr>
        <w:spacing w:line="600" w:lineRule="exact"/>
        <w:ind w:firstLine="640"/>
        <w:outlineLvl w:val="1"/>
        <w:rPr>
          <w:rFonts w:ascii="黑体" w:eastAsia="黑体"/>
          <w:sz w:val="32"/>
          <w:szCs w:val="32"/>
        </w:rPr>
      </w:pPr>
      <w:bookmarkStart w:id="40" w:name="_Toc15396610"/>
      <w:bookmarkStart w:id="41" w:name="_Toc15377218"/>
    </w:p>
    <w:p>
      <w:pPr>
        <w:pStyle w:val="4"/>
        <w:numPr>
          <w:ilvl w:val="0"/>
          <w:numId w:val="0"/>
        </w:numPr>
        <w:rPr>
          <w:rFonts w:hint="eastAsia" w:ascii="黑体" w:hAnsi="黑体" w:eastAsia="黑体"/>
          <w:b w:val="0"/>
        </w:rPr>
      </w:pPr>
      <w:r>
        <w:rPr>
          <w:rFonts w:hint="eastAsia" w:ascii="黑体" w:hAnsi="黑体" w:eastAsia="黑体"/>
          <w:b w:val="0"/>
        </w:rPr>
        <w:t>八、政府性基金预算支出决算情况说明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pStyle w:val="4"/>
        <w:numPr>
          <w:ilvl w:val="0"/>
          <w:numId w:val="0"/>
        </w:numPr>
        <w:rPr>
          <w:rFonts w:hint="eastAsia" w:ascii="黑体" w:hAnsi="黑体" w:eastAsia="黑体"/>
          <w:b w:val="0"/>
        </w:rPr>
      </w:pPr>
      <w:bookmarkStart w:id="42" w:name="_Toc15396611"/>
      <w:bookmarkStart w:id="43" w:name="_Toc15377219"/>
      <w:r>
        <w:rPr>
          <w:rFonts w:hint="eastAsia" w:ascii="黑体" w:hAnsi="黑体" w:eastAsia="黑体"/>
          <w:b w:val="0"/>
          <w:lang w:val="en-US" w:eastAsia="zh-CN"/>
        </w:rPr>
        <w:t>九、</w:t>
      </w:r>
      <w:r>
        <w:rPr>
          <w:rFonts w:hint="eastAsia" w:ascii="黑体" w:hAnsi="黑体" w:eastAsia="黑体"/>
          <w:b w:val="0"/>
        </w:rPr>
        <w:t>国有资本经营预算支出决算情况说明</w:t>
      </w:r>
      <w:bookmarkEnd w:id="42"/>
      <w:bookmarkEnd w:id="43"/>
    </w:p>
    <w:p>
      <w:pPr>
        <w:spacing w:line="600" w:lineRule="exact"/>
        <w:ind w:firstLine="640"/>
      </w:pPr>
      <w:r>
        <w:rPr>
          <w:rFonts w:hint="eastAsia" w:ascii="仿宋_GB2312" w:eastAsia="仿宋_GB2312"/>
          <w:color w:val="000000"/>
          <w:sz w:val="32"/>
          <w:szCs w:val="32"/>
        </w:rPr>
        <w:t>2022年国有资本经营预算财政拨款支出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Style w:val="4"/>
        <w:numPr>
          <w:ilvl w:val="0"/>
          <w:numId w:val="0"/>
        </w:numPr>
        <w:rPr>
          <w:rFonts w:hint="eastAsia" w:ascii="黑体" w:hAnsi="黑体" w:eastAsia="黑体"/>
          <w:b w:val="0"/>
        </w:rPr>
      </w:pPr>
      <w:bookmarkStart w:id="44" w:name="_Toc15377221"/>
      <w:bookmarkStart w:id="45" w:name="_Toc15396612"/>
      <w:r>
        <w:rPr>
          <w:rFonts w:hint="eastAsia" w:ascii="黑体" w:hAnsi="黑体" w:eastAsia="黑体"/>
          <w:b w:val="0"/>
          <w:lang w:val="en-US" w:eastAsia="zh-CN"/>
        </w:rPr>
        <w:t>十、</w:t>
      </w:r>
      <w:r>
        <w:rPr>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hint="default" w:ascii="仿宋_GB2312" w:eastAsia="仿宋_GB2312"/>
          <w:sz w:val="32"/>
          <w:szCs w:val="32"/>
          <w:lang w:val="en-US" w:eastAsia="zh-CN"/>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蚕桑局</w:t>
      </w:r>
      <w:r>
        <w:rPr>
          <w:rFonts w:hint="eastAsia" w:ascii="仿宋_GB2312" w:eastAsia="仿宋_GB2312"/>
          <w:sz w:val="32"/>
          <w:szCs w:val="32"/>
        </w:rPr>
        <w:t>机关运行经费支出</w:t>
      </w:r>
      <w:r>
        <w:rPr>
          <w:rFonts w:hint="eastAsia" w:ascii="仿宋_GB2312" w:eastAsia="仿宋_GB2312"/>
          <w:sz w:val="32"/>
          <w:szCs w:val="32"/>
          <w:lang w:val="en-US" w:eastAsia="zh-CN"/>
        </w:rPr>
        <w:t>694.89</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21年增加</w:t>
      </w:r>
      <w:r>
        <w:rPr>
          <w:rFonts w:hint="eastAsia" w:ascii="仿宋_GB2312" w:eastAsia="仿宋_GB2312"/>
          <w:sz w:val="32"/>
          <w:szCs w:val="32"/>
          <w:lang w:val="en-US" w:eastAsia="zh-CN"/>
        </w:rPr>
        <w:t>328.08</w:t>
      </w:r>
      <w:r>
        <w:rPr>
          <w:rFonts w:hint="eastAsia" w:ascii="仿宋_GB2312" w:eastAsia="仿宋_GB2312"/>
          <w:sz w:val="32"/>
          <w:szCs w:val="32"/>
        </w:rPr>
        <w:t>万元，增长</w:t>
      </w:r>
      <w:r>
        <w:rPr>
          <w:rFonts w:hint="eastAsia" w:ascii="仿宋_GB2312" w:eastAsia="仿宋_GB2312"/>
          <w:sz w:val="32"/>
          <w:szCs w:val="32"/>
          <w:lang w:val="en-US" w:eastAsia="zh-CN"/>
        </w:rPr>
        <w:t>47.21</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主要原因是直接支付项目款增加。</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eastAsia="仿宋"/>
          <w:color w:val="000000"/>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蚕桑局</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w:t>
      </w:r>
      <w:bookmarkStart w:id="48" w:name="_Toc15377224"/>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蚕桑局</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根据预算绩效管理要求，本部门在2022年度预算编制阶段，组织对</w:t>
      </w:r>
      <w:r>
        <w:rPr>
          <w:rFonts w:hint="eastAsia" w:ascii="仿宋_GB2312" w:eastAsia="仿宋_GB2312"/>
          <w:color w:val="000000"/>
          <w:sz w:val="32"/>
          <w:szCs w:val="32"/>
          <w:lang w:val="en-US" w:eastAsia="zh-CN"/>
        </w:rPr>
        <w:t>白僵蚕园区前期工作经费</w:t>
      </w:r>
      <w:r>
        <w:rPr>
          <w:rFonts w:hint="eastAsia" w:ascii="仿宋_GB2312" w:eastAsia="仿宋_GB2312"/>
          <w:color w:val="000000"/>
          <w:sz w:val="32"/>
          <w:szCs w:val="32"/>
        </w:rPr>
        <w:t>项目</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临聘人员三险一金</w:t>
      </w:r>
      <w:r>
        <w:rPr>
          <w:rFonts w:hint="eastAsia" w:ascii="仿宋_GB2312" w:eastAsia="仿宋_GB2312"/>
          <w:color w:val="000000"/>
          <w:sz w:val="32"/>
          <w:szCs w:val="32"/>
        </w:rPr>
        <w:t>项目开展了预算事前绩效评估，对</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个项目编制了绩效目标，预算执行过程中，选取</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个项目开展绩效监控。</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组织对2022年度一般公共预算、政府性基金预算、国有资本经营预算、社会保险基金预算以及资本资产、债券资金等全面开展绩效自评，形成</w:t>
      </w:r>
      <w:r>
        <w:rPr>
          <w:rFonts w:hint="eastAsia" w:ascii="仿宋_GB2312" w:eastAsia="仿宋_GB2312"/>
          <w:color w:val="000000"/>
          <w:sz w:val="32"/>
          <w:szCs w:val="32"/>
          <w:lang w:val="en-US" w:eastAsia="zh-CN"/>
        </w:rPr>
        <w:t>蚕桑局</w:t>
      </w:r>
      <w:r>
        <w:rPr>
          <w:rFonts w:hint="eastAsia" w:ascii="仿宋_GB2312" w:eastAsia="仿宋_GB2312"/>
          <w:color w:val="000000"/>
          <w:sz w:val="32"/>
          <w:szCs w:val="32"/>
        </w:rPr>
        <w:t>部门整体绩效自评报告</w:t>
      </w:r>
      <w:r>
        <w:rPr>
          <w:rFonts w:hint="eastAsia" w:ascii="仿宋_GB2312" w:eastAsia="仿宋_GB2312"/>
          <w:color w:val="000000"/>
          <w:sz w:val="32"/>
          <w:szCs w:val="32"/>
          <w:lang w:eastAsia="zh-CN"/>
        </w:rPr>
        <w:t>，</w:t>
      </w:r>
      <w:r>
        <w:rPr>
          <w:rFonts w:hint="eastAsia" w:ascii="仿宋_GB2312" w:eastAsia="仿宋_GB2312"/>
          <w:color w:val="000000"/>
          <w:sz w:val="32"/>
          <w:szCs w:val="32"/>
        </w:rPr>
        <w:t>绩效自评得分为</w:t>
      </w:r>
      <w:r>
        <w:rPr>
          <w:rFonts w:hint="eastAsia" w:ascii="仿宋_GB2312" w:eastAsia="仿宋_GB2312"/>
          <w:color w:val="000000"/>
          <w:sz w:val="32"/>
          <w:szCs w:val="32"/>
          <w:lang w:val="en-US" w:eastAsia="zh-CN"/>
        </w:rPr>
        <w:t>99.5</w:t>
      </w:r>
      <w:r>
        <w:rPr>
          <w:rFonts w:hint="eastAsia" w:ascii="仿宋_GB2312" w:eastAsia="仿宋_GB2312"/>
          <w:color w:val="000000"/>
          <w:sz w:val="32"/>
          <w:szCs w:val="32"/>
        </w:rPr>
        <w:t>分，绩效自评综述：</w:t>
      </w:r>
      <w:r>
        <w:rPr>
          <w:rFonts w:hint="eastAsia" w:ascii="仿宋_GB2312" w:eastAsia="仿宋_GB2312"/>
          <w:color w:val="000000"/>
          <w:sz w:val="32"/>
          <w:szCs w:val="32"/>
          <w:lang w:val="en-US" w:eastAsia="zh-CN"/>
        </w:rPr>
        <w:t>优</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白僵蚕园区前期工作经费</w:t>
      </w:r>
      <w:r>
        <w:rPr>
          <w:rFonts w:hint="eastAsia" w:ascii="仿宋_GB2312" w:eastAsia="仿宋_GB2312"/>
          <w:color w:val="000000"/>
          <w:sz w:val="32"/>
          <w:szCs w:val="32"/>
        </w:rPr>
        <w:t>专项预算项目绩效自评得分为</w:t>
      </w:r>
      <w:r>
        <w:rPr>
          <w:rFonts w:hint="eastAsia" w:ascii="仿宋_GB2312" w:eastAsia="仿宋_GB2312"/>
          <w:color w:val="000000"/>
          <w:sz w:val="32"/>
          <w:szCs w:val="32"/>
          <w:lang w:val="en-US" w:eastAsia="zh-CN"/>
        </w:rPr>
        <w:t>95</w:t>
      </w:r>
      <w:r>
        <w:rPr>
          <w:rFonts w:hint="eastAsia" w:ascii="仿宋_GB2312" w:eastAsia="仿宋_GB2312"/>
          <w:color w:val="000000"/>
          <w:sz w:val="32"/>
          <w:szCs w:val="32"/>
        </w:rPr>
        <w:t>分，绩效自评综述：</w:t>
      </w:r>
      <w:r>
        <w:rPr>
          <w:rFonts w:hint="eastAsia" w:ascii="仿宋_GB2312" w:eastAsia="仿宋_GB2312"/>
          <w:color w:val="000000"/>
          <w:sz w:val="32"/>
          <w:szCs w:val="32"/>
          <w:lang w:val="en-US" w:eastAsia="zh-CN"/>
        </w:rPr>
        <w:t>优；临聘人员三险一金</w:t>
      </w:r>
      <w:r>
        <w:rPr>
          <w:rFonts w:hint="eastAsia" w:ascii="仿宋_GB2312" w:eastAsia="仿宋_GB2312"/>
          <w:color w:val="000000"/>
          <w:sz w:val="32"/>
          <w:szCs w:val="32"/>
        </w:rPr>
        <w:t>项目自评得分为</w:t>
      </w:r>
      <w:r>
        <w:rPr>
          <w:rFonts w:hint="eastAsia" w:ascii="仿宋_GB2312" w:eastAsia="仿宋_GB2312"/>
          <w:color w:val="000000"/>
          <w:sz w:val="32"/>
          <w:szCs w:val="32"/>
          <w:lang w:val="en-US" w:eastAsia="zh-CN"/>
        </w:rPr>
        <w:t>98</w:t>
      </w:r>
      <w:r>
        <w:rPr>
          <w:rFonts w:hint="eastAsia" w:ascii="仿宋_GB2312" w:eastAsia="仿宋_GB2312"/>
          <w:color w:val="000000"/>
          <w:sz w:val="32"/>
          <w:szCs w:val="32"/>
        </w:rPr>
        <w:t>分，绩效自评综述：</w:t>
      </w:r>
      <w:r>
        <w:rPr>
          <w:rFonts w:hint="eastAsia" w:ascii="仿宋_GB2312" w:eastAsia="仿宋_GB2312"/>
          <w:color w:val="000000"/>
          <w:sz w:val="32"/>
          <w:szCs w:val="32"/>
          <w:lang w:val="en-US" w:eastAsia="zh-CN"/>
        </w:rPr>
        <w:t>优；</w:t>
      </w:r>
      <w:r>
        <w:rPr>
          <w:rFonts w:hint="eastAsia" w:ascii="仿宋_GB2312" w:eastAsia="仿宋_GB2312"/>
          <w:color w:val="000000"/>
          <w:sz w:val="32"/>
          <w:szCs w:val="32"/>
        </w:rPr>
        <w:t>绩效自评报告详见附件。</w:t>
      </w:r>
    </w:p>
    <w:p>
      <w:pPr>
        <w:pStyle w:val="2"/>
        <w:rPr>
          <w:rFonts w:hint="eastAsia" w:ascii="仿宋_GB2312" w:eastAsia="仿宋_GB2312"/>
          <w:color w:val="000000"/>
          <w:sz w:val="32"/>
          <w:szCs w:val="32"/>
        </w:rPr>
      </w:pPr>
    </w:p>
    <w:p>
      <w:pPr>
        <w:rPr>
          <w:rFonts w:hint="eastAsia"/>
        </w:rPr>
      </w:pPr>
    </w:p>
    <w:p>
      <w:pPr>
        <w:pStyle w:val="7"/>
        <w:spacing w:before="93"/>
      </w:pPr>
    </w:p>
    <w:p>
      <w:pPr>
        <w:pStyle w:val="3"/>
        <w:jc w:val="center"/>
        <w:rPr>
          <w:rFonts w:hint="eastAsia" w:ascii="黑体" w:hAnsi="黑体" w:eastAsia="黑体"/>
          <w:b w:val="0"/>
          <w:lang w:val="en-US" w:eastAsia="zh-CN"/>
        </w:rPr>
      </w:pPr>
      <w:bookmarkStart w:id="49" w:name="_Toc15377225"/>
      <w:bookmarkStart w:id="50" w:name="_Toc15396613"/>
      <w:r>
        <w:rPr>
          <w:rFonts w:hint="eastAsia" w:ascii="黑体" w:hAnsi="黑体" w:eastAsia="黑体"/>
          <w:b w:val="0"/>
          <w:lang w:val="en-US" w:eastAsia="zh-CN"/>
        </w:rPr>
        <w:t>第三部分 名词解释</w:t>
      </w:r>
      <w:bookmarkEnd w:id="49"/>
      <w:bookmarkEnd w:id="50"/>
    </w:p>
    <w:p>
      <w:pPr>
        <w:spacing w:line="600" w:lineRule="exact"/>
        <w:jc w:val="left"/>
        <w:rPr>
          <w:rFonts w:ascii="宋体"/>
          <w:b/>
          <w:sz w:val="44"/>
          <w:szCs w:val="44"/>
        </w:rPr>
      </w:pP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8"/>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8"/>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3</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8"/>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4</w:t>
      </w:r>
      <w:r>
        <w:rPr>
          <w:rFonts w:ascii="仿宋_GB2312" w:eastAsia="仿宋_GB2312"/>
          <w:color w:val="auto"/>
          <w:sz w:val="32"/>
          <w:szCs w:val="32"/>
        </w:rPr>
        <w:t>.</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8"/>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hint="eastAsia" w:ascii="仿宋_GB2312" w:eastAsia="仿宋_GB2312"/>
          <w:sz w:val="32"/>
          <w:szCs w:val="32"/>
          <w:lang w:val="en-US" w:eastAsia="zh-CN"/>
        </w:rPr>
        <w:t>6</w:t>
      </w:r>
      <w:r>
        <w:rPr>
          <w:rFonts w:ascii="仿宋_GB2312" w:eastAsia="仿宋_GB2312"/>
          <w:color w:val="000000"/>
          <w:sz w:val="32"/>
          <w:szCs w:val="32"/>
        </w:rPr>
        <w:t>.</w:t>
      </w:r>
      <w:r>
        <w:rPr>
          <w:rFonts w:hint="eastAsia" w:ascii="仿宋_GB2312" w:eastAsia="仿宋_GB2312"/>
          <w:color w:val="000000"/>
          <w:sz w:val="32"/>
          <w:szCs w:val="32"/>
        </w:rPr>
        <w:t>社会保障和就业（类）…（款）…（项）：指</w:t>
      </w:r>
      <w:r>
        <w:rPr>
          <w:rFonts w:hint="eastAsia" w:ascii="仿宋_GB2312" w:eastAsia="仿宋_GB2312"/>
          <w:color w:val="000000"/>
          <w:sz w:val="32"/>
          <w:szCs w:val="32"/>
          <w:lang w:eastAsia="zh-CN"/>
        </w:rPr>
        <w:t>基本养老保险缴费和职业年金</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7</w:t>
      </w:r>
      <w:r>
        <w:rPr>
          <w:rFonts w:ascii="仿宋_GB2312" w:eastAsia="仿宋_GB2312"/>
          <w:color w:val="000000"/>
          <w:sz w:val="32"/>
          <w:szCs w:val="32"/>
        </w:rPr>
        <w:t>.</w:t>
      </w:r>
      <w:r>
        <w:rPr>
          <w:rFonts w:hint="eastAsia" w:ascii="仿宋_GB2312" w:eastAsia="仿宋_GB2312"/>
          <w:color w:val="000000"/>
          <w:sz w:val="32"/>
          <w:szCs w:val="32"/>
        </w:rPr>
        <w:t>医疗卫生与计划生育（类）…（款）…（项）：指</w:t>
      </w:r>
      <w:r>
        <w:rPr>
          <w:rFonts w:hint="eastAsia" w:ascii="仿宋_GB2312" w:eastAsia="仿宋_GB2312"/>
          <w:color w:val="000000"/>
          <w:sz w:val="32"/>
          <w:szCs w:val="32"/>
          <w:lang w:eastAsia="zh-CN"/>
        </w:rPr>
        <w:t>职工基本医疗保险和公务员补助医疗保险</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8</w:t>
      </w:r>
      <w:r>
        <w:rPr>
          <w:rFonts w:ascii="仿宋_GB2312" w:eastAsia="仿宋_GB2312"/>
          <w:color w:val="000000"/>
          <w:sz w:val="32"/>
          <w:szCs w:val="32"/>
        </w:rPr>
        <w:t>.</w:t>
      </w:r>
      <w:r>
        <w:rPr>
          <w:rFonts w:hint="eastAsia" w:ascii="仿宋_GB2312" w:eastAsia="仿宋_GB2312"/>
          <w:color w:val="000000"/>
          <w:sz w:val="32"/>
          <w:szCs w:val="32"/>
        </w:rPr>
        <w:t>农林水（类）…（款）…（项）：指</w:t>
      </w:r>
      <w:r>
        <w:rPr>
          <w:rFonts w:hint="eastAsia" w:ascii="仿宋_GB2312" w:eastAsia="仿宋_GB2312"/>
          <w:color w:val="000000"/>
          <w:sz w:val="32"/>
          <w:szCs w:val="32"/>
          <w:lang w:eastAsia="zh-CN"/>
        </w:rPr>
        <w:t>职工基本工资、津补贴、奖励金等工资福利及机关日常公用经费，如办公费、物管费、邮电费、差旅费、接待费、会议费、交通费等</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9</w:t>
      </w:r>
      <w:r>
        <w:rPr>
          <w:rFonts w:ascii="仿宋_GB2312" w:eastAsia="仿宋_GB2312"/>
          <w:color w:val="000000"/>
          <w:sz w:val="32"/>
          <w:szCs w:val="32"/>
        </w:rPr>
        <w:t>.</w:t>
      </w:r>
      <w:r>
        <w:rPr>
          <w:rFonts w:hint="eastAsia" w:ascii="仿宋_GB2312" w:eastAsia="仿宋_GB2312"/>
          <w:color w:val="000000"/>
          <w:sz w:val="32"/>
          <w:szCs w:val="32"/>
        </w:rPr>
        <w:t>住房保障（类）…（款）…（项）：指</w:t>
      </w:r>
      <w:r>
        <w:rPr>
          <w:rFonts w:hint="eastAsia" w:ascii="仿宋_GB2312" w:eastAsia="仿宋_GB2312"/>
          <w:color w:val="000000"/>
          <w:sz w:val="32"/>
          <w:szCs w:val="32"/>
          <w:lang w:eastAsia="zh-CN"/>
        </w:rPr>
        <w:t>住房公积金缴费</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10</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pStyle w:val="2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12</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hint="eastAsia" w:ascii="黑体" w:hAnsi="黑体" w:eastAsia="黑体"/>
          <w:sz w:val="44"/>
          <w:szCs w:val="44"/>
        </w:rPr>
      </w:pPr>
      <w:bookmarkStart w:id="51" w:name="_Toc15396614"/>
      <w:bookmarkStart w:id="52" w:name="_Toc15377226"/>
    </w:p>
    <w:p>
      <w:pPr>
        <w:spacing w:line="600" w:lineRule="exact"/>
        <w:jc w:val="center"/>
        <w:outlineLvl w:val="0"/>
        <w:rPr>
          <w:rFonts w:hint="eastAsia" w:ascii="黑体" w:hAnsi="黑体" w:eastAsia="黑体"/>
          <w:sz w:val="44"/>
          <w:szCs w:val="44"/>
        </w:rPr>
      </w:pPr>
    </w:p>
    <w:bookmarkEnd w:id="51"/>
    <w:p>
      <w:pPr>
        <w:pStyle w:val="7"/>
        <w:spacing w:before="93"/>
        <w:rPr>
          <w:rFonts w:hAnsi="宋体" w:cs="宋体"/>
          <w:sz w:val="32"/>
          <w:szCs w:val="32"/>
          <w:shd w:val="clear" w:color="auto" w:fill="FFFFFF"/>
          <w:lang w:val="zh-CN"/>
        </w:rPr>
      </w:pPr>
    </w:p>
    <w:p>
      <w:pPr>
        <w:pStyle w:val="7"/>
        <w:spacing w:before="93"/>
        <w:rPr>
          <w:rFonts w:hAnsi="宋体" w:cs="宋体"/>
          <w:sz w:val="32"/>
          <w:szCs w:val="32"/>
          <w:shd w:val="clear" w:color="auto" w:fill="FFFFFF"/>
          <w:lang w:val="zh-CN"/>
        </w:rPr>
      </w:pPr>
    </w:p>
    <w:p>
      <w:pPr>
        <w:pStyle w:val="7"/>
        <w:spacing w:before="93"/>
        <w:rPr>
          <w:rFonts w:hAnsi="宋体" w:cs="宋体"/>
          <w:sz w:val="32"/>
          <w:szCs w:val="32"/>
          <w:shd w:val="clear" w:color="auto" w:fill="FFFFFF"/>
          <w:lang w:val="zh-CN"/>
        </w:rPr>
      </w:pPr>
    </w:p>
    <w:p>
      <w:pPr>
        <w:pStyle w:val="7"/>
        <w:spacing w:before="93"/>
        <w:rPr>
          <w:rFonts w:hAnsi="宋体" w:cs="宋体"/>
          <w:sz w:val="32"/>
          <w:szCs w:val="32"/>
          <w:shd w:val="clear" w:color="auto" w:fill="FFFFFF"/>
          <w:lang w:val="zh-CN"/>
        </w:rPr>
      </w:pPr>
    </w:p>
    <w:p>
      <w:pPr>
        <w:pStyle w:val="3"/>
        <w:numPr>
          <w:ilvl w:val="0"/>
          <w:numId w:val="3"/>
        </w:numPr>
        <w:jc w:val="center"/>
        <w:rPr>
          <w:rFonts w:hint="eastAsia" w:ascii="黑体" w:hAnsi="黑体" w:eastAsia="黑体"/>
          <w:b w:val="0"/>
          <w:lang w:val="en-US" w:eastAsia="zh-CN"/>
        </w:rPr>
      </w:pPr>
      <w:r>
        <w:rPr>
          <w:rFonts w:hint="eastAsia" w:ascii="黑体" w:hAnsi="黑体" w:eastAsia="黑体"/>
          <w:b w:val="0"/>
          <w:lang w:val="en-US" w:eastAsia="zh-CN"/>
        </w:rPr>
        <w:t>附件</w:t>
      </w:r>
    </w:p>
    <w:p>
      <w:pPr>
        <w:keepNext w:val="0"/>
        <w:keepLines w:val="0"/>
        <w:pageBreakBefore w:val="0"/>
        <w:widowControl/>
        <w:kinsoku/>
        <w:overflowPunct/>
        <w:topLinePunct w:val="0"/>
        <w:autoSpaceDE/>
        <w:autoSpaceDN/>
        <w:bidi w:val="0"/>
        <w:adjustRightInd/>
        <w:snapToGrid/>
        <w:spacing w:line="580" w:lineRule="exact"/>
        <w:jc w:val="center"/>
        <w:rPr>
          <w:rFonts w:eastAsia="方正小标宋简体"/>
          <w:sz w:val="44"/>
          <w:szCs w:val="44"/>
        </w:rPr>
      </w:pPr>
      <w:r>
        <w:rPr>
          <w:rFonts w:hint="eastAsia" w:eastAsia="方正小标宋简体"/>
          <w:sz w:val="44"/>
          <w:szCs w:val="44"/>
        </w:rPr>
        <w:t>乐至县蚕桑局</w:t>
      </w:r>
    </w:p>
    <w:p>
      <w:pPr>
        <w:keepNext w:val="0"/>
        <w:keepLines w:val="0"/>
        <w:pageBreakBefore w:val="0"/>
        <w:widowControl/>
        <w:kinsoku/>
        <w:overflowPunct/>
        <w:topLinePunct w:val="0"/>
        <w:autoSpaceDE/>
        <w:autoSpaceDN/>
        <w:bidi w:val="0"/>
        <w:adjustRightInd/>
        <w:snapToGrid/>
        <w:spacing w:line="580" w:lineRule="exact"/>
        <w:jc w:val="center"/>
        <w:rPr>
          <w:rFonts w:eastAsia="方正小标宋简体"/>
          <w:sz w:val="44"/>
          <w:szCs w:val="44"/>
        </w:rPr>
      </w:pPr>
      <w:r>
        <w:rPr>
          <w:rFonts w:eastAsia="方正小标宋简体"/>
          <w:sz w:val="44"/>
          <w:szCs w:val="44"/>
        </w:rPr>
        <w:t>20</w:t>
      </w:r>
      <w:r>
        <w:rPr>
          <w:rFonts w:hint="eastAsia" w:eastAsia="方正小标宋简体"/>
          <w:sz w:val="44"/>
          <w:szCs w:val="44"/>
        </w:rPr>
        <w:t>22年度预算绩效管理工作总结</w:t>
      </w:r>
    </w:p>
    <w:p>
      <w:pPr>
        <w:keepNext w:val="0"/>
        <w:keepLines w:val="0"/>
        <w:pageBreakBefore w:val="0"/>
        <w:widowControl/>
        <w:kinsoku/>
        <w:overflowPunct/>
        <w:topLinePunct w:val="0"/>
        <w:autoSpaceDE/>
        <w:autoSpaceDN/>
        <w:bidi w:val="0"/>
        <w:adjustRightInd/>
        <w:snapToGrid/>
        <w:spacing w:line="580" w:lineRule="exact"/>
        <w:rPr>
          <w:rFonts w:ascii="仿宋" w:hAnsi="仿宋" w:eastAsia="仿宋"/>
          <w:sz w:val="32"/>
          <w:szCs w:val="32"/>
        </w:rPr>
      </w:pPr>
    </w:p>
    <w:p>
      <w:pPr>
        <w:keepNext w:val="0"/>
        <w:keepLines w:val="0"/>
        <w:pageBreakBefore w:val="0"/>
        <w:widowControl/>
        <w:numPr>
          <w:ilvl w:val="0"/>
          <w:numId w:val="4"/>
        </w:numPr>
        <w:kinsoku/>
        <w:overflowPunct/>
        <w:topLinePunct w:val="0"/>
        <w:autoSpaceDE/>
        <w:autoSpaceDN/>
        <w:bidi w:val="0"/>
        <w:adjustRightInd/>
        <w:snapToGrid/>
        <w:spacing w:line="580" w:lineRule="exact"/>
        <w:ind w:firstLine="660" w:firstLineChars="200"/>
        <w:rPr>
          <w:rFonts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预算绩效管理工作总体情况</w:t>
      </w:r>
    </w:p>
    <w:p>
      <w:pPr>
        <w:keepNext w:val="0"/>
        <w:keepLines w:val="0"/>
        <w:pageBreakBefore w:val="0"/>
        <w:widowControl/>
        <w:kinsoku/>
        <w:overflowPunct/>
        <w:topLinePunct w:val="0"/>
        <w:autoSpaceDE/>
        <w:autoSpaceDN/>
        <w:bidi w:val="0"/>
        <w:adjustRightInd/>
        <w:snapToGrid/>
        <w:spacing w:line="580" w:lineRule="exact"/>
        <w:rPr>
          <w:rFonts w:eastAsia="方正仿宋简体"/>
          <w:sz w:val="33"/>
          <w:szCs w:val="33"/>
        </w:rPr>
      </w:pPr>
      <w:r>
        <w:rPr>
          <w:rFonts w:eastAsia="方正仿宋简体"/>
          <w:sz w:val="33"/>
          <w:szCs w:val="33"/>
        </w:rPr>
        <w:t xml:space="preserve">    为规范和加强财政</w:t>
      </w:r>
      <w:r>
        <w:rPr>
          <w:rFonts w:hint="eastAsia" w:eastAsia="方正仿宋简体"/>
          <w:sz w:val="33"/>
          <w:szCs w:val="33"/>
        </w:rPr>
        <w:t>预算绩效</w:t>
      </w:r>
      <w:r>
        <w:rPr>
          <w:rFonts w:eastAsia="方正仿宋简体"/>
          <w:sz w:val="33"/>
          <w:szCs w:val="33"/>
        </w:rPr>
        <w:t>管理</w:t>
      </w:r>
      <w:r>
        <w:rPr>
          <w:rFonts w:hint="eastAsia" w:eastAsia="方正仿宋简体"/>
          <w:sz w:val="33"/>
          <w:szCs w:val="33"/>
        </w:rPr>
        <w:t>工作</w:t>
      </w:r>
      <w:r>
        <w:rPr>
          <w:rFonts w:eastAsia="方正仿宋简体"/>
          <w:sz w:val="33"/>
          <w:szCs w:val="33"/>
        </w:rPr>
        <w:t>，提高</w:t>
      </w:r>
      <w:r>
        <w:rPr>
          <w:rFonts w:hint="eastAsia" w:eastAsia="方正仿宋简体"/>
          <w:sz w:val="33"/>
          <w:szCs w:val="33"/>
        </w:rPr>
        <w:t>财政</w:t>
      </w:r>
      <w:r>
        <w:rPr>
          <w:rFonts w:eastAsia="方正仿宋简体"/>
          <w:sz w:val="33"/>
          <w:szCs w:val="33"/>
        </w:rPr>
        <w:t>资金的使用效益和管理水平，实现</w:t>
      </w:r>
      <w:r>
        <w:rPr>
          <w:rFonts w:hint="eastAsia" w:eastAsia="方正仿宋简体"/>
          <w:sz w:val="33"/>
          <w:szCs w:val="33"/>
        </w:rPr>
        <w:t>财政</w:t>
      </w:r>
      <w:r>
        <w:rPr>
          <w:rFonts w:eastAsia="方正仿宋简体"/>
          <w:sz w:val="33"/>
          <w:szCs w:val="33"/>
        </w:rPr>
        <w:t>资金</w:t>
      </w:r>
      <w:r>
        <w:rPr>
          <w:rFonts w:hint="eastAsia" w:eastAsia="方正仿宋简体"/>
          <w:sz w:val="33"/>
          <w:szCs w:val="33"/>
        </w:rPr>
        <w:t>预算</w:t>
      </w:r>
      <w:r>
        <w:rPr>
          <w:rFonts w:eastAsia="方正仿宋简体"/>
          <w:sz w:val="33"/>
          <w:szCs w:val="33"/>
        </w:rPr>
        <w:t>安排的科学化，</w:t>
      </w:r>
      <w:r>
        <w:rPr>
          <w:rFonts w:hint="eastAsia" w:eastAsia="方正仿宋简体"/>
          <w:sz w:val="33"/>
          <w:szCs w:val="33"/>
        </w:rPr>
        <w:t>本年度</w:t>
      </w:r>
      <w:r>
        <w:rPr>
          <w:rFonts w:eastAsia="方正仿宋简体"/>
          <w:sz w:val="33"/>
          <w:szCs w:val="33"/>
        </w:rPr>
        <w:t>我单位严格按照上级预算文件相关要求，认真落实预算绩效管理工作。</w:t>
      </w:r>
      <w:r>
        <w:rPr>
          <w:rFonts w:hint="eastAsia" w:eastAsia="方正仿宋简体"/>
          <w:sz w:val="33"/>
          <w:szCs w:val="33"/>
        </w:rPr>
        <w:t>全面提升种桑养蚕经济效益，促进农业增效、蚕民增收，不断巩固脱贫成效，助推乡村振兴。切实将有限的资金用在刀刃上，实现财政资金效益最大化。</w:t>
      </w:r>
      <w:r>
        <w:rPr>
          <w:rFonts w:eastAsia="方正仿宋简体"/>
          <w:sz w:val="33"/>
          <w:szCs w:val="33"/>
        </w:rPr>
        <w:t>一</w:t>
      </w:r>
      <w:r>
        <w:rPr>
          <w:rFonts w:eastAsia="方正仿宋简体"/>
          <w:b/>
          <w:bCs/>
          <w:sz w:val="33"/>
          <w:szCs w:val="33"/>
        </w:rPr>
        <w:t>是</w:t>
      </w:r>
      <w:r>
        <w:rPr>
          <w:rFonts w:eastAsia="方正仿宋简体"/>
          <w:sz w:val="33"/>
          <w:szCs w:val="33"/>
        </w:rPr>
        <w:t>在预算编制工作中，将绩效目标设置作为预算安排的前提，全面实施绩效管理，完善管理流程，扩大预算范围，加强评价结果运用，盘活存量、用好增量，提高财政资金配置效率和使用效益。</w:t>
      </w:r>
      <w:r>
        <w:rPr>
          <w:rFonts w:eastAsia="方正仿宋简体"/>
          <w:b/>
          <w:bCs/>
          <w:sz w:val="33"/>
          <w:szCs w:val="33"/>
        </w:rPr>
        <w:t>二是</w:t>
      </w:r>
      <w:r>
        <w:rPr>
          <w:rFonts w:eastAsia="方正仿宋简体"/>
          <w:sz w:val="33"/>
          <w:szCs w:val="33"/>
        </w:rPr>
        <w:t>加强重点项目绩效评价和政策评估，重点围绕现代蚕桑产业园专项资金和事关民生的蚕桑切块项目等进行绩效评价，对绩效目标审核不合格的项目不予安排预算，对评分低的项目整合安排预算。</w:t>
      </w:r>
      <w:r>
        <w:rPr>
          <w:rFonts w:eastAsia="方正仿宋简体"/>
          <w:b/>
          <w:bCs/>
          <w:sz w:val="33"/>
          <w:szCs w:val="33"/>
        </w:rPr>
        <w:t>三是</w:t>
      </w:r>
      <w:r>
        <w:rPr>
          <w:rFonts w:eastAsia="方正仿宋简体"/>
          <w:sz w:val="33"/>
          <w:szCs w:val="33"/>
        </w:rPr>
        <w:t>加强资金动态监管，实时跟进资金使用情况，切实增强资金主管部门及资金使用单位支出责任意识和支出效率意识。202</w:t>
      </w:r>
      <w:r>
        <w:rPr>
          <w:rFonts w:hint="eastAsia" w:eastAsia="方正仿宋简体"/>
          <w:sz w:val="33"/>
          <w:szCs w:val="33"/>
        </w:rPr>
        <w:t>2</w:t>
      </w:r>
      <w:r>
        <w:rPr>
          <w:rFonts w:eastAsia="方正仿宋简体"/>
          <w:sz w:val="33"/>
          <w:szCs w:val="33"/>
        </w:rPr>
        <w:t>年预算绩效管理工作覆盖蚕桑局，共涉及金额</w:t>
      </w:r>
      <w:r>
        <w:rPr>
          <w:rFonts w:hint="eastAsia" w:eastAsia="方正仿宋简体"/>
          <w:sz w:val="33"/>
          <w:szCs w:val="33"/>
        </w:rPr>
        <w:t>938.53</w:t>
      </w:r>
      <w:r>
        <w:rPr>
          <w:rFonts w:eastAsia="方正仿宋简体"/>
          <w:sz w:val="33"/>
          <w:szCs w:val="33"/>
        </w:rPr>
        <w:t>万元，其中</w:t>
      </w:r>
      <w:r>
        <w:rPr>
          <w:rFonts w:hint="eastAsia" w:eastAsia="方正仿宋简体"/>
          <w:sz w:val="33"/>
          <w:szCs w:val="33"/>
        </w:rPr>
        <w:t>:</w:t>
      </w:r>
      <w:r>
        <w:rPr>
          <w:rFonts w:eastAsia="方正仿宋简体"/>
          <w:sz w:val="33"/>
          <w:szCs w:val="33"/>
        </w:rPr>
        <w:t>单位临聘人员专项经费10万元。</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ascii="方正黑体简体" w:hAnsi="方正黑体简体" w:eastAsia="方正黑体简体" w:cs="方正黑体简体"/>
          <w:sz w:val="33"/>
          <w:szCs w:val="33"/>
        </w:rPr>
      </w:pPr>
      <w:r>
        <w:rPr>
          <w:rFonts w:ascii="方正黑体简体" w:hAnsi="方正黑体简体" w:eastAsia="方正黑体简体" w:cs="方正黑体简体"/>
          <w:sz w:val="33"/>
          <w:szCs w:val="33"/>
        </w:rPr>
        <w:t>二、自评得分情况及说明</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ascii="方正楷体简体" w:hAnsi="方正楷体简体" w:eastAsia="方正楷体简体" w:cs="方正楷体简体"/>
          <w:b/>
          <w:bCs/>
          <w:sz w:val="33"/>
          <w:szCs w:val="33"/>
        </w:rPr>
      </w:pPr>
      <w:r>
        <w:rPr>
          <w:rFonts w:hint="eastAsia" w:ascii="方正楷体简体" w:hAnsi="方正楷体简体" w:eastAsia="方正楷体简体" w:cs="方正楷体简体"/>
          <w:b/>
          <w:bCs/>
          <w:sz w:val="33"/>
          <w:szCs w:val="33"/>
        </w:rPr>
        <w:t>（一）基础管理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1.领导重视方面：</w:t>
      </w:r>
      <w:r>
        <w:rPr>
          <w:rFonts w:hint="eastAsia" w:eastAsia="方正仿宋简体"/>
          <w:sz w:val="33"/>
          <w:szCs w:val="33"/>
        </w:rPr>
        <w:t>党组专题研究预算绩效管理工作，听取预算绩效管理工作开展情况汇报，</w:t>
      </w:r>
      <w:r>
        <w:rPr>
          <w:rFonts w:eastAsia="方正仿宋简体"/>
          <w:sz w:val="33"/>
          <w:szCs w:val="33"/>
        </w:rPr>
        <w:t>成立预算绩效评价管理工作专项领导小组，全年根据财政绩效评价管理安排，共开展相关会议3次，此项得分</w:t>
      </w:r>
      <w:r>
        <w:rPr>
          <w:rFonts w:hint="eastAsia" w:eastAsia="方正仿宋简体"/>
          <w:sz w:val="33"/>
          <w:szCs w:val="33"/>
        </w:rPr>
        <w:t>5</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2.职责明确方面：由局长都国胜担任组长，财务分管领导罗红琼担任副组长，</w:t>
      </w:r>
      <w:r>
        <w:rPr>
          <w:rFonts w:hint="eastAsia" w:eastAsia="方正仿宋简体"/>
          <w:sz w:val="33"/>
          <w:szCs w:val="33"/>
        </w:rPr>
        <w:t>局</w:t>
      </w:r>
      <w:r>
        <w:rPr>
          <w:rFonts w:eastAsia="方正仿宋简体"/>
          <w:sz w:val="33"/>
          <w:szCs w:val="33"/>
        </w:rPr>
        <w:t>下</w:t>
      </w:r>
      <w:r>
        <w:rPr>
          <w:rFonts w:hint="eastAsia" w:eastAsia="方正仿宋简体"/>
          <w:sz w:val="33"/>
          <w:szCs w:val="33"/>
        </w:rPr>
        <w:t>属</w:t>
      </w:r>
      <w:r>
        <w:rPr>
          <w:rFonts w:eastAsia="方正仿宋简体"/>
          <w:sz w:val="33"/>
          <w:szCs w:val="33"/>
        </w:rPr>
        <w:t>科室</w:t>
      </w:r>
      <w:r>
        <w:rPr>
          <w:rFonts w:hint="eastAsia" w:eastAsia="方正仿宋简体"/>
          <w:sz w:val="33"/>
          <w:szCs w:val="33"/>
        </w:rPr>
        <w:t>经办人员</w:t>
      </w:r>
      <w:r>
        <w:rPr>
          <w:rFonts w:eastAsia="方正仿宋简体"/>
          <w:sz w:val="33"/>
          <w:szCs w:val="33"/>
        </w:rPr>
        <w:t>具体负责日常工作开展。此项得分2分。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3.制度建设方面：根据单位实际，制度了完善的预算绩效管理实施办法</w:t>
      </w:r>
      <w:r>
        <w:rPr>
          <w:rFonts w:hint="eastAsia" w:eastAsia="方正仿宋简体"/>
          <w:sz w:val="33"/>
          <w:szCs w:val="33"/>
        </w:rPr>
        <w:t>及具体实施方案，</w:t>
      </w:r>
      <w:r>
        <w:rPr>
          <w:rFonts w:eastAsia="方正仿宋简体"/>
          <w:sz w:val="33"/>
          <w:szCs w:val="33"/>
        </w:rPr>
        <w:t>涵盖相关流程，指标体系完善，并将</w:t>
      </w:r>
      <w:r>
        <w:rPr>
          <w:rFonts w:hint="eastAsia" w:eastAsia="方正仿宋简体"/>
          <w:sz w:val="33"/>
          <w:szCs w:val="33"/>
        </w:rPr>
        <w:t>局</w:t>
      </w:r>
      <w:r>
        <w:rPr>
          <w:rFonts w:eastAsia="方正仿宋简体"/>
          <w:sz w:val="33"/>
          <w:szCs w:val="33"/>
        </w:rPr>
        <w:t>下</w:t>
      </w:r>
      <w:r>
        <w:rPr>
          <w:rFonts w:hint="eastAsia" w:eastAsia="方正仿宋简体"/>
          <w:sz w:val="33"/>
          <w:szCs w:val="33"/>
        </w:rPr>
        <w:t>属</w:t>
      </w:r>
      <w:r>
        <w:rPr>
          <w:rFonts w:eastAsia="方正仿宋简体"/>
          <w:sz w:val="33"/>
          <w:szCs w:val="33"/>
        </w:rPr>
        <w:t>科室绩效管理工作纳入年度考核。此项得分</w:t>
      </w:r>
      <w:r>
        <w:rPr>
          <w:rFonts w:hint="eastAsia" w:eastAsia="方正仿宋简体"/>
          <w:sz w:val="33"/>
          <w:szCs w:val="33"/>
        </w:rPr>
        <w:t>4</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4.指标体系方面：指标体系建立完善，符合单位工作实际。此项得分4分。</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ascii="方正楷体简体" w:hAnsi="方正楷体简体" w:eastAsia="方正楷体简体" w:cs="方正楷体简体"/>
          <w:b/>
          <w:bCs/>
          <w:sz w:val="33"/>
          <w:szCs w:val="33"/>
        </w:rPr>
      </w:pPr>
      <w:r>
        <w:rPr>
          <w:rFonts w:ascii="方正楷体简体" w:hAnsi="方正楷体简体" w:eastAsia="方正楷体简体" w:cs="方正楷体简体"/>
          <w:b/>
          <w:bCs/>
          <w:sz w:val="33"/>
          <w:szCs w:val="33"/>
        </w:rPr>
        <w:t>（二）过程管理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1.事前绩效评估管理：</w:t>
      </w:r>
      <w:r>
        <w:rPr>
          <w:rFonts w:hint="eastAsia" w:eastAsia="方正仿宋简体"/>
          <w:sz w:val="33"/>
          <w:szCs w:val="33"/>
        </w:rPr>
        <w:t>按规定全面开展政策、项目事前绩效评估，</w:t>
      </w:r>
      <w:r>
        <w:rPr>
          <w:rFonts w:eastAsia="方正仿宋简体"/>
          <w:sz w:val="33"/>
          <w:szCs w:val="33"/>
        </w:rPr>
        <w:t>每个项目都按要求做好完整的事前绩效评估报告。此项得分10分。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2.绩效目标管理：</w:t>
      </w:r>
      <w:r>
        <w:rPr>
          <w:rFonts w:hint="eastAsia" w:eastAsia="方正仿宋简体"/>
          <w:sz w:val="33"/>
          <w:szCs w:val="33"/>
        </w:rPr>
        <w:t>在规定时间内</w:t>
      </w:r>
      <w:r>
        <w:rPr>
          <w:rFonts w:eastAsia="方正仿宋简体"/>
          <w:sz w:val="33"/>
          <w:szCs w:val="33"/>
        </w:rPr>
        <w:t>及时报送部门整体和项目绩效评估报告，</w:t>
      </w:r>
      <w:r>
        <w:rPr>
          <w:rFonts w:hint="eastAsia" w:eastAsia="方正仿宋简体"/>
          <w:sz w:val="33"/>
          <w:szCs w:val="33"/>
        </w:rPr>
        <w:t>部门整体和项目绩效指标细化、量化，能清晰反映绩效实现程度，绩效目标设定依据充分、符合相关法律法规、国家相关规定</w:t>
      </w:r>
      <w:r>
        <w:rPr>
          <w:rFonts w:eastAsia="方正仿宋简体"/>
          <w:sz w:val="33"/>
          <w:szCs w:val="33"/>
        </w:rPr>
        <w:t>。此项得分</w:t>
      </w:r>
      <w:r>
        <w:rPr>
          <w:rFonts w:hint="eastAsia" w:eastAsia="方正仿宋简体"/>
          <w:sz w:val="33"/>
          <w:szCs w:val="33"/>
        </w:rPr>
        <w:t>18</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3.绩效监控管理：按相关部门要求，及时保质地对绩效执行信息进行归纳汇总，并向财政部门报送监控报告；</w:t>
      </w:r>
      <w:r>
        <w:rPr>
          <w:color w:val="000000"/>
          <w:kern w:val="0"/>
          <w:szCs w:val="21"/>
        </w:rPr>
        <w:t>.</w:t>
      </w:r>
      <w:r>
        <w:rPr>
          <w:rFonts w:eastAsia="方正仿宋简体"/>
          <w:sz w:val="33"/>
          <w:szCs w:val="33"/>
        </w:rPr>
        <w:t>未出现偏离绩效目标的项目，能确保项目达到预期目标。此项得分</w:t>
      </w:r>
      <w:r>
        <w:rPr>
          <w:rFonts w:hint="eastAsia" w:eastAsia="方正仿宋简体"/>
          <w:sz w:val="33"/>
          <w:szCs w:val="33"/>
        </w:rPr>
        <w:t>9</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4.事后绩效评价管理：能够按照规定及时开展绩效管理自评工作，及时报送报告资料，报送资料符合财政部门要求，</w:t>
      </w:r>
      <w:r>
        <w:rPr>
          <w:rFonts w:hint="eastAsia" w:eastAsia="方正仿宋简体"/>
          <w:sz w:val="33"/>
          <w:szCs w:val="33"/>
        </w:rPr>
        <w:t>绩效归纳合理，陈述明确，总分结合，有理有据，与指标体系特别是反映实际绩效的指标有较好的关联度</w:t>
      </w:r>
      <w:r>
        <w:rPr>
          <w:rFonts w:hint="eastAsia"/>
          <w:color w:val="000000"/>
          <w:kern w:val="0"/>
          <w:szCs w:val="21"/>
        </w:rPr>
        <w:t>，</w:t>
      </w:r>
      <w:r>
        <w:rPr>
          <w:rFonts w:hint="eastAsia" w:eastAsia="方正仿宋简体"/>
          <w:sz w:val="33"/>
          <w:szCs w:val="33"/>
        </w:rPr>
        <w:t>绩效自评报告格式规范，内容完整，</w:t>
      </w:r>
      <w:r>
        <w:rPr>
          <w:rFonts w:eastAsia="方正仿宋简体"/>
          <w:sz w:val="33"/>
          <w:szCs w:val="33"/>
        </w:rPr>
        <w:t>描述准确，但图表、图片运用不够广泛，多为文字叙述。此项得分2</w:t>
      </w:r>
      <w:r>
        <w:rPr>
          <w:rFonts w:hint="eastAsia" w:eastAsia="方正仿宋简体"/>
          <w:sz w:val="33"/>
          <w:szCs w:val="33"/>
        </w:rPr>
        <w:t>0</w:t>
      </w:r>
      <w:r>
        <w:rPr>
          <w:rFonts w:eastAsia="方正仿宋简体"/>
          <w:sz w:val="33"/>
          <w:szCs w:val="33"/>
        </w:rPr>
        <w:t>.5分。</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5.绩效结果运用管理：能够有效发现绩效管理中存在问题，并提出具有针对性的整改措施，能够及时公开预算决算等相关信息，</w:t>
      </w:r>
      <w:r>
        <w:rPr>
          <w:rFonts w:hint="eastAsia" w:eastAsia="方正仿宋简体"/>
          <w:sz w:val="33"/>
          <w:szCs w:val="33"/>
        </w:rPr>
        <w:t>对事前绩效评估、事中绩效监控、事后绩效评价结果作为预算安排、预算调整、资金分配、政策调整完善、改进内部管理依据，</w:t>
      </w:r>
      <w:r>
        <w:rPr>
          <w:rFonts w:eastAsia="方正仿宋简体"/>
          <w:sz w:val="33"/>
          <w:szCs w:val="33"/>
        </w:rPr>
        <w:t>对绩效管理评价结果较好地运用。此项得分1</w:t>
      </w:r>
      <w:r>
        <w:rPr>
          <w:rFonts w:hint="eastAsia" w:eastAsia="方正仿宋简体"/>
          <w:sz w:val="33"/>
          <w:szCs w:val="33"/>
        </w:rPr>
        <w:t>6</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ascii="方正楷体简体" w:hAnsi="方正楷体简体" w:eastAsia="方正楷体简体" w:cs="方正楷体简体"/>
          <w:b/>
          <w:bCs/>
          <w:sz w:val="33"/>
          <w:szCs w:val="33"/>
        </w:rPr>
      </w:pPr>
      <w:r>
        <w:rPr>
          <w:rFonts w:hint="eastAsia" w:ascii="方正楷体简体" w:hAnsi="方正楷体简体" w:eastAsia="方正楷体简体" w:cs="方正楷体简体"/>
          <w:b/>
          <w:bCs/>
          <w:sz w:val="33"/>
          <w:szCs w:val="33"/>
        </w:rPr>
        <w:t>（三）</w:t>
      </w:r>
      <w:r>
        <w:rPr>
          <w:rFonts w:ascii="方正楷体简体" w:hAnsi="方正楷体简体" w:eastAsia="方正楷体简体" w:cs="方正楷体简体"/>
          <w:b/>
          <w:bCs/>
          <w:sz w:val="33"/>
          <w:szCs w:val="33"/>
        </w:rPr>
        <w:t>培训宣传</w:t>
      </w:r>
    </w:p>
    <w:p>
      <w:pPr>
        <w:keepNext w:val="0"/>
        <w:keepLines w:val="0"/>
        <w:pageBreakBefore w:val="0"/>
        <w:widowControl/>
        <w:kinsoku/>
        <w:overflowPunct/>
        <w:topLinePunct w:val="0"/>
        <w:autoSpaceDE/>
        <w:autoSpaceDN/>
        <w:bidi w:val="0"/>
        <w:adjustRightInd/>
        <w:snapToGrid/>
        <w:spacing w:line="580" w:lineRule="exact"/>
        <w:ind w:firstLine="660"/>
        <w:rPr>
          <w:rFonts w:eastAsia="方正仿宋简体"/>
          <w:sz w:val="33"/>
          <w:szCs w:val="33"/>
        </w:rPr>
      </w:pPr>
      <w:r>
        <w:rPr>
          <w:rFonts w:hint="eastAsia" w:eastAsia="方正仿宋简体"/>
          <w:sz w:val="33"/>
          <w:szCs w:val="33"/>
        </w:rPr>
        <w:t>积极组织开展本单位预算绩效管理业务学习和培训工作</w:t>
      </w:r>
      <w:r>
        <w:rPr>
          <w:rFonts w:eastAsia="方正仿宋简体"/>
          <w:sz w:val="33"/>
          <w:szCs w:val="33"/>
        </w:rPr>
        <w:t>，</w:t>
      </w:r>
      <w:r>
        <w:rPr>
          <w:rFonts w:hint="eastAsia" w:eastAsia="方正仿宋简体"/>
          <w:sz w:val="33"/>
          <w:szCs w:val="33"/>
        </w:rPr>
        <w:t>按时向财政部门报送本部门预算绩效管理的相关制度办法、工作考核材料、绩效指标体系、工作计划总结、本部门预算绩效管理的工作动态信息，积极参加财政部门组织的预算绩效管理会议，积极做好财政部门组织评价项目的配合工作。</w:t>
      </w:r>
      <w:r>
        <w:rPr>
          <w:rFonts w:eastAsia="方正仿宋简体"/>
          <w:sz w:val="33"/>
          <w:szCs w:val="33"/>
        </w:rPr>
        <w:t>此项得分</w:t>
      </w:r>
      <w:r>
        <w:rPr>
          <w:rFonts w:hint="eastAsia" w:eastAsia="方正仿宋简体"/>
          <w:sz w:val="33"/>
          <w:szCs w:val="33"/>
        </w:rPr>
        <w:t>11</w:t>
      </w:r>
      <w:r>
        <w:rPr>
          <w:rFonts w:eastAsia="方正仿宋简体"/>
          <w:sz w:val="33"/>
          <w:szCs w:val="33"/>
        </w:rPr>
        <w:t>分。</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hint="eastAsia" w:ascii="方正楷体简体" w:hAnsi="方正楷体简体" w:eastAsia="方正楷体简体" w:cs="方正楷体简体"/>
          <w:b/>
          <w:bCs/>
          <w:sz w:val="33"/>
          <w:szCs w:val="33"/>
        </w:rPr>
      </w:pP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综上所述，单位总体得分</w:t>
      </w:r>
      <w:r>
        <w:rPr>
          <w:rFonts w:hint="eastAsia" w:eastAsia="方正仿宋简体"/>
          <w:sz w:val="33"/>
          <w:szCs w:val="33"/>
        </w:rPr>
        <w:t>99</w:t>
      </w:r>
      <w:r>
        <w:rPr>
          <w:rFonts w:eastAsia="方正仿宋简体"/>
          <w:sz w:val="33"/>
          <w:szCs w:val="33"/>
        </w:rPr>
        <w:t>.5分，考核结果为优。</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ascii="方正黑体简体" w:hAnsi="方正黑体简体" w:eastAsia="方正黑体简体" w:cs="方正黑体简体"/>
          <w:sz w:val="33"/>
          <w:szCs w:val="33"/>
        </w:rPr>
      </w:pPr>
      <w:r>
        <w:rPr>
          <w:rFonts w:ascii="方正黑体简体" w:hAnsi="方正黑体简体" w:eastAsia="方正黑体简体" w:cs="方正黑体简体"/>
          <w:sz w:val="33"/>
          <w:szCs w:val="33"/>
        </w:rPr>
        <w:t>三、主要经验和存在不足</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sz w:val="33"/>
          <w:szCs w:val="33"/>
        </w:rPr>
      </w:pPr>
      <w:r>
        <w:rPr>
          <w:rFonts w:eastAsia="方正仿宋简体"/>
          <w:sz w:val="33"/>
          <w:szCs w:val="33"/>
        </w:rPr>
        <w:t>取得主要经验有以下几点：</w:t>
      </w:r>
      <w:r>
        <w:rPr>
          <w:rFonts w:eastAsia="方正仿宋简体"/>
          <w:b/>
          <w:bCs/>
          <w:sz w:val="33"/>
          <w:szCs w:val="33"/>
        </w:rPr>
        <w:t>一是</w:t>
      </w:r>
      <w:r>
        <w:rPr>
          <w:rFonts w:hint="eastAsia" w:eastAsia="方正仿宋简体"/>
          <w:b/>
          <w:bCs/>
          <w:sz w:val="33"/>
          <w:szCs w:val="33"/>
        </w:rPr>
        <w:t>做好</w:t>
      </w:r>
      <w:r>
        <w:rPr>
          <w:rFonts w:eastAsia="方正仿宋简体"/>
          <w:b/>
          <w:bCs/>
          <w:sz w:val="33"/>
          <w:szCs w:val="33"/>
        </w:rPr>
        <w:t>预算绩效目标编制。</w:t>
      </w:r>
      <w:r>
        <w:rPr>
          <w:rFonts w:eastAsia="方正仿宋简体"/>
          <w:sz w:val="33"/>
          <w:szCs w:val="33"/>
        </w:rPr>
        <w:t>在编制202</w:t>
      </w:r>
      <w:r>
        <w:rPr>
          <w:rFonts w:hint="eastAsia" w:eastAsia="方正仿宋简体"/>
          <w:sz w:val="33"/>
          <w:szCs w:val="33"/>
        </w:rPr>
        <w:t>2</w:t>
      </w:r>
      <w:r>
        <w:rPr>
          <w:rFonts w:eastAsia="方正仿宋简体"/>
          <w:sz w:val="33"/>
          <w:szCs w:val="33"/>
        </w:rPr>
        <w:t>年度预算时，围绕预算绩效管理的主要内容和环节，建立起涵盖预算绩效目标管理、预算绩效运行监控、预算绩效评价管理、评价结果应用等环节的流程、管理制度及实施细则，夯实了预算绩效管理的规制基础。不断推进预算绩效管理制度体系建设及运行，局机关</w:t>
      </w:r>
      <w:r>
        <w:rPr>
          <w:rFonts w:hint="eastAsia" w:eastAsia="方正仿宋简体"/>
          <w:sz w:val="33"/>
          <w:szCs w:val="33"/>
        </w:rPr>
        <w:t>及各科室</w:t>
      </w:r>
      <w:r>
        <w:rPr>
          <w:rFonts w:eastAsia="方正仿宋简体"/>
          <w:sz w:val="33"/>
          <w:szCs w:val="33"/>
        </w:rPr>
        <w:t>预算绩效管理意识明显增强，预算绩效管理主体责任显著强化，各</w:t>
      </w:r>
      <w:r>
        <w:rPr>
          <w:rFonts w:hint="eastAsia" w:eastAsia="方正仿宋简体"/>
          <w:sz w:val="33"/>
          <w:szCs w:val="33"/>
        </w:rPr>
        <w:t>科室</w:t>
      </w:r>
      <w:r>
        <w:rPr>
          <w:rFonts w:eastAsia="方正仿宋简体"/>
          <w:sz w:val="33"/>
          <w:szCs w:val="33"/>
        </w:rPr>
        <w:t>将预算绩效管理工作摆在重要位置、纳入议事日程、安排专职人员负责</w:t>
      </w:r>
      <w:r>
        <w:rPr>
          <w:rFonts w:hint="eastAsia" w:eastAsia="方正仿宋简体"/>
          <w:sz w:val="33"/>
          <w:szCs w:val="33"/>
        </w:rPr>
        <w:t>。</w:t>
      </w:r>
      <w:r>
        <w:rPr>
          <w:rFonts w:eastAsia="方正仿宋简体"/>
          <w:sz w:val="33"/>
          <w:szCs w:val="33"/>
        </w:rPr>
        <w:t>按照“细、实、准”的要求，提供预算依据，明确绩效目标、时间进度及资金使用明细。全年编制基本支出</w:t>
      </w:r>
      <w:r>
        <w:rPr>
          <w:rFonts w:hint="eastAsia" w:eastAsia="方正仿宋简体"/>
          <w:sz w:val="33"/>
          <w:szCs w:val="33"/>
        </w:rPr>
        <w:t>938.53</w:t>
      </w:r>
      <w:r>
        <w:rPr>
          <w:rFonts w:eastAsia="方正仿宋简体"/>
          <w:sz w:val="33"/>
          <w:szCs w:val="33"/>
        </w:rPr>
        <w:t>万元，其中临聘人员专项支出10万元。</w:t>
      </w:r>
      <w:r>
        <w:rPr>
          <w:rFonts w:eastAsia="方正仿宋简体"/>
          <w:b/>
          <w:bCs/>
          <w:sz w:val="33"/>
          <w:szCs w:val="33"/>
        </w:rPr>
        <w:t>二是</w:t>
      </w:r>
      <w:r>
        <w:rPr>
          <w:rFonts w:hint="eastAsia" w:eastAsia="方正仿宋简体"/>
          <w:b/>
          <w:bCs/>
          <w:sz w:val="33"/>
          <w:szCs w:val="33"/>
        </w:rPr>
        <w:t>强化绩效导向，严格过程管控</w:t>
      </w:r>
      <w:r>
        <w:rPr>
          <w:rFonts w:hint="eastAsia" w:eastAsia="方正仿宋简体"/>
          <w:sz w:val="33"/>
          <w:szCs w:val="33"/>
        </w:rPr>
        <w:t>。我局将绩效管理工作渗透到预算资金运行的事前、事中、事后各个环节，打造绩效管理的闭环。重点强化预算绩效目标管理，加强绩效指标</w:t>
      </w:r>
      <w:r>
        <w:rPr>
          <w:rFonts w:eastAsia="方正仿宋简体"/>
          <w:sz w:val="33"/>
          <w:szCs w:val="33"/>
        </w:rPr>
        <w:t>,</w:t>
      </w:r>
      <w:r>
        <w:rPr>
          <w:rFonts w:hint="eastAsia" w:eastAsia="方正仿宋简体"/>
          <w:sz w:val="33"/>
          <w:szCs w:val="33"/>
        </w:rPr>
        <w:t>将预算绩效目标管理前移至预算审核关口，以实现预算绩效目标管理与部门预算编制的有机结合</w:t>
      </w:r>
      <w:r>
        <w:rPr>
          <w:rFonts w:eastAsia="方正仿宋简体"/>
          <w:sz w:val="33"/>
          <w:szCs w:val="33"/>
        </w:rPr>
        <w:t>;</w:t>
      </w:r>
      <w:r>
        <w:rPr>
          <w:rFonts w:hint="eastAsia" w:eastAsia="方正仿宋简体"/>
          <w:sz w:val="33"/>
          <w:szCs w:val="33"/>
        </w:rPr>
        <w:t>通过强化预算绩效监控，确保重点项目财政资金落到实处</w:t>
      </w:r>
      <w:r>
        <w:rPr>
          <w:rFonts w:eastAsia="方正仿宋简体"/>
          <w:sz w:val="33"/>
          <w:szCs w:val="33"/>
        </w:rPr>
        <w:t>,</w:t>
      </w:r>
      <w:r>
        <w:rPr>
          <w:rFonts w:hint="eastAsia" w:eastAsia="方正仿宋简体"/>
          <w:sz w:val="33"/>
          <w:szCs w:val="33"/>
        </w:rPr>
        <w:t>对现代蚕桑产业园项目专项资金列入重点监控范围，在预算执行时，对项目预算执行进度、绩效目标实现程度进行跟踪管理，督促各项目预算单位尽快将资金量转化为实物量，加快财政资金预算执行进度，不断提高预算执行的均衡性和有效性。</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b/>
          <w:bCs/>
          <w:sz w:val="33"/>
          <w:szCs w:val="33"/>
        </w:rPr>
      </w:pPr>
      <w:r>
        <w:rPr>
          <w:rFonts w:eastAsia="方正仿宋简体"/>
          <w:sz w:val="33"/>
          <w:szCs w:val="33"/>
        </w:rPr>
        <w:t>存在不足:</w:t>
      </w:r>
      <w:r>
        <w:rPr>
          <w:rFonts w:eastAsia="方正仿宋简体"/>
          <w:b/>
          <w:bCs/>
          <w:sz w:val="33"/>
          <w:szCs w:val="33"/>
        </w:rPr>
        <w:t>一是绩效管理环节运行不够完善。</w:t>
      </w:r>
      <w:r>
        <w:rPr>
          <w:rFonts w:eastAsia="方正仿宋简体"/>
          <w:sz w:val="33"/>
          <w:szCs w:val="33"/>
        </w:rPr>
        <w:t>重考核办法和考核结果，轻绩效计划和绩效反馈，真正通过绩效管理提升工作效益的作用不明显。</w:t>
      </w:r>
      <w:r>
        <w:rPr>
          <w:rFonts w:eastAsia="方正仿宋简体"/>
          <w:b/>
          <w:bCs/>
          <w:sz w:val="33"/>
          <w:szCs w:val="33"/>
        </w:rPr>
        <w:t>二是绩效管理机构分工不够科学</w:t>
      </w:r>
      <w:r>
        <w:rPr>
          <w:rFonts w:eastAsia="方正仿宋简体"/>
          <w:sz w:val="33"/>
          <w:szCs w:val="33"/>
        </w:rPr>
        <w:t xml:space="preserve">。绩效管理工作大部分由财务科室开展，财务人员未实时参与各蚕桑项目的工作开展，无法全面把握项目运行情况及绩效监管。 </w:t>
      </w:r>
      <w:r>
        <w:rPr>
          <w:rFonts w:eastAsia="方正仿宋简体"/>
          <w:b/>
          <w:bCs/>
          <w:sz w:val="33"/>
          <w:szCs w:val="33"/>
        </w:rPr>
        <w:t>三是绩效管理</w:t>
      </w:r>
      <w:r>
        <w:rPr>
          <w:rFonts w:hint="eastAsia" w:eastAsia="方正仿宋简体"/>
          <w:b/>
          <w:bCs/>
          <w:sz w:val="33"/>
          <w:szCs w:val="33"/>
        </w:rPr>
        <w:t>执行力有待加强</w:t>
      </w:r>
      <w:r>
        <w:rPr>
          <w:rFonts w:eastAsia="方正仿宋简体"/>
          <w:b/>
          <w:bCs/>
          <w:sz w:val="33"/>
          <w:szCs w:val="33"/>
        </w:rPr>
        <w:t>。</w:t>
      </w:r>
      <w:r>
        <w:rPr>
          <w:rFonts w:eastAsia="方正仿宋简体"/>
          <w:sz w:val="33"/>
          <w:szCs w:val="33"/>
        </w:rPr>
        <w:t>制度执行不力,存在不到位的现象。虽然制定了各种管理制度，但由于人员编制紧张、工作量大等因素执行中存在一些畏难情绪，导致执行力度不够。</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eastAsia="方正仿宋简体"/>
          <w:b/>
          <w:bCs/>
          <w:sz w:val="33"/>
          <w:szCs w:val="33"/>
        </w:rPr>
      </w:pPr>
      <w:r>
        <w:rPr>
          <w:rFonts w:hint="eastAsia" w:ascii="方正黑体简体" w:hAnsi="方正黑体简体" w:eastAsia="方正黑体简体" w:cs="方正黑体简体"/>
          <w:sz w:val="33"/>
          <w:szCs w:val="33"/>
        </w:rPr>
        <w:t>四、</w:t>
      </w:r>
      <w:r>
        <w:rPr>
          <w:rFonts w:ascii="方正黑体简体" w:hAnsi="方正黑体简体" w:eastAsia="方正黑体简体" w:cs="方正黑体简体"/>
          <w:sz w:val="33"/>
          <w:szCs w:val="33"/>
        </w:rPr>
        <w:t>下一步工作打算和改进举措</w:t>
      </w:r>
    </w:p>
    <w:p>
      <w:pPr>
        <w:keepNext w:val="0"/>
        <w:keepLines w:val="0"/>
        <w:pageBreakBefore w:val="0"/>
        <w:widowControl/>
        <w:kinsoku/>
        <w:overflowPunct/>
        <w:topLinePunct w:val="0"/>
        <w:autoSpaceDE/>
        <w:autoSpaceDN/>
        <w:bidi w:val="0"/>
        <w:adjustRightInd/>
        <w:snapToGrid/>
        <w:spacing w:line="580" w:lineRule="exact"/>
        <w:ind w:firstLine="663" w:firstLineChars="200"/>
        <w:rPr>
          <w:rFonts w:eastAsia="方正仿宋简体"/>
          <w:sz w:val="33"/>
          <w:szCs w:val="33"/>
        </w:rPr>
      </w:pPr>
      <w:r>
        <w:rPr>
          <w:rFonts w:eastAsia="方正仿宋简体"/>
          <w:b/>
          <w:bCs/>
          <w:sz w:val="33"/>
          <w:szCs w:val="33"/>
        </w:rPr>
        <w:t>一是完善绩效管理机制。</w:t>
      </w:r>
      <w:r>
        <w:rPr>
          <w:rFonts w:eastAsia="方正仿宋简体"/>
          <w:sz w:val="33"/>
          <w:szCs w:val="33"/>
        </w:rPr>
        <w:t>建立单位、科室综合目标管理责任制，成立由单位领导担任组长的绩效管理工作小组，财务科室负责绩效目标管理综合工作，由各相关科室负责本科室具体绩效管理工作。</w:t>
      </w:r>
      <w:r>
        <w:rPr>
          <w:rFonts w:eastAsia="方正仿宋简体"/>
          <w:b/>
          <w:bCs/>
          <w:sz w:val="33"/>
          <w:szCs w:val="33"/>
        </w:rPr>
        <w:t>二是积极运用绩效评估结果。</w:t>
      </w:r>
      <w:r>
        <w:rPr>
          <w:rFonts w:eastAsia="方正仿宋简体"/>
          <w:sz w:val="33"/>
          <w:szCs w:val="33"/>
        </w:rPr>
        <w:t>高度重视绩效评估结果和反馈整改，激励优良、问责不足，以此作为以后年度预算的重要依据，切实发挥绩效评价工作应有的作用。</w:t>
      </w:r>
      <w:r>
        <w:rPr>
          <w:rFonts w:hint="eastAsia" w:eastAsia="方正仿宋简体"/>
          <w:b/>
          <w:bCs/>
          <w:sz w:val="33"/>
          <w:szCs w:val="33"/>
        </w:rPr>
        <w:t>三是</w:t>
      </w:r>
      <w:r>
        <w:rPr>
          <w:rFonts w:eastAsia="方正仿宋简体"/>
          <w:b/>
          <w:bCs/>
          <w:sz w:val="33"/>
          <w:szCs w:val="33"/>
        </w:rPr>
        <w:t>强化单位财务管理工作,提高资金使用效率。</w:t>
      </w:r>
      <w:r>
        <w:rPr>
          <w:rFonts w:eastAsia="方正仿宋简体"/>
          <w:sz w:val="33"/>
          <w:szCs w:val="33"/>
        </w:rPr>
        <w:t>按照年初预算项目,在资金的管理和使用上,守法律底线、纪律底线，严格</w:t>
      </w:r>
      <w:r>
        <w:rPr>
          <w:rFonts w:hint="eastAsia" w:eastAsia="方正仿宋简体"/>
          <w:sz w:val="33"/>
          <w:szCs w:val="33"/>
        </w:rPr>
        <w:t>执行</w:t>
      </w:r>
      <w:r>
        <w:rPr>
          <w:rFonts w:eastAsia="方正仿宋简体"/>
          <w:sz w:val="33"/>
          <w:szCs w:val="33"/>
        </w:rPr>
        <w:t>财经纪律，核算真实完整，项目资金支出和原定用途、预算批复用途相符,提高财政资金使用效率。严格执行财务管理制度，及时进行会计核算,对项目资金、政府采购进行公开公示，接受群众监督。</w:t>
      </w:r>
      <w:r>
        <w:rPr>
          <w:rFonts w:eastAsia="方正仿宋简体"/>
          <w:b/>
          <w:bCs/>
          <w:sz w:val="33"/>
          <w:szCs w:val="33"/>
        </w:rPr>
        <w:t>四是强化机制建设，夯实支撑力量</w:t>
      </w:r>
      <w:r>
        <w:rPr>
          <w:rFonts w:hint="eastAsia" w:eastAsia="方正仿宋简体"/>
          <w:b/>
          <w:bCs/>
          <w:sz w:val="33"/>
          <w:szCs w:val="33"/>
        </w:rPr>
        <w:t>。</w:t>
      </w:r>
      <w:r>
        <w:rPr>
          <w:rFonts w:eastAsia="方正仿宋简体"/>
          <w:sz w:val="33"/>
          <w:szCs w:val="33"/>
        </w:rPr>
        <w:t>深刻理解绩效管理工作重要性，把绩效管理工作列入单位年度重要工作清单，出台绩效目标管理办法，在职责分工、各环节要求上细化分解，为预算绩效目标管理提供基本遵循;搭建预算绩效管理信息平台，为绩效目标管理提供信息技术支撑。拓展管理范围，实现多维覆盖。按照“谁申请资金，谁设定目标”的原则，把绩效目标作为预算安排的前置条件，对纳入部门预算管理的资金项目实现绩效目标管理全覆盖。</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hint="eastAsia" w:ascii="方正黑体简体" w:hAnsi="方正黑体简体" w:eastAsia="方正黑体简体" w:cs="方正黑体简体"/>
          <w:sz w:val="33"/>
          <w:szCs w:val="33"/>
        </w:rPr>
      </w:pPr>
      <w:r>
        <w:rPr>
          <w:rFonts w:hint="eastAsia" w:ascii="方正黑体简体" w:hAnsi="方正黑体简体" w:eastAsia="方正黑体简体" w:cs="方正黑体简体"/>
          <w:sz w:val="33"/>
          <w:szCs w:val="33"/>
        </w:rPr>
        <w:t>五、建议意见</w:t>
      </w:r>
    </w:p>
    <w:p>
      <w:pPr>
        <w:keepNext w:val="0"/>
        <w:keepLines w:val="0"/>
        <w:pageBreakBefore w:val="0"/>
        <w:widowControl/>
        <w:kinsoku/>
        <w:overflowPunct/>
        <w:topLinePunct w:val="0"/>
        <w:autoSpaceDE/>
        <w:autoSpaceDN/>
        <w:bidi w:val="0"/>
        <w:adjustRightInd/>
        <w:snapToGrid/>
        <w:spacing w:line="580" w:lineRule="exact"/>
        <w:ind w:firstLine="560" w:firstLineChars="200"/>
        <w:rPr>
          <w:rFonts w:hint="default" w:ascii="Times New Roman" w:hAnsi="Times New Roman" w:eastAsia="方正仿宋简体" w:cs="Times New Roman"/>
          <w:sz w:val="33"/>
          <w:szCs w:val="33"/>
        </w:rPr>
      </w:pPr>
      <w:r>
        <w:rPr>
          <w:rFonts w:hint="default" w:ascii="Times New Roman" w:hAnsi="Times New Roman" w:eastAsia="方正仿宋简体" w:cs="Times New Roman"/>
          <w:color w:val="000000"/>
          <w:kern w:val="0"/>
          <w:sz w:val="28"/>
          <w:szCs w:val="28"/>
        </w:rPr>
        <w:t>（</w:t>
      </w:r>
      <w:r>
        <w:rPr>
          <w:rFonts w:hint="default" w:ascii="Times New Roman" w:hAnsi="Times New Roman" w:eastAsia="方正仿宋简体" w:cs="Times New Roman"/>
          <w:sz w:val="33"/>
          <w:szCs w:val="33"/>
        </w:rPr>
        <w:t xml:space="preserve">一）加强项目全流程的项目管理，制定风险管控措施，有序推进项目实施。 </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hint="default" w:ascii="Times New Roman" w:hAnsi="Times New Roman" w:eastAsia="方正仿宋简体" w:cs="Times New Roman"/>
          <w:sz w:val="33"/>
          <w:szCs w:val="33"/>
        </w:rPr>
      </w:pPr>
      <w:r>
        <w:rPr>
          <w:rFonts w:hint="default" w:ascii="Times New Roman" w:hAnsi="Times New Roman" w:eastAsia="方正仿宋简体" w:cs="Times New Roman"/>
          <w:sz w:val="33"/>
          <w:szCs w:val="33"/>
        </w:rPr>
        <w:t>（二）细化预算内容，合理测算资金需求，明确项目单价标准，提高预算的可执行性；明确成本控制标准和措施，按照成本绩效管理要求，有效控制运行成本。</w:t>
      </w:r>
    </w:p>
    <w:p>
      <w:pPr>
        <w:keepNext w:val="0"/>
        <w:keepLines w:val="0"/>
        <w:pageBreakBefore w:val="0"/>
        <w:widowControl/>
        <w:kinsoku/>
        <w:overflowPunct/>
        <w:topLinePunct w:val="0"/>
        <w:autoSpaceDE/>
        <w:autoSpaceDN/>
        <w:bidi w:val="0"/>
        <w:adjustRightInd/>
        <w:snapToGrid/>
        <w:spacing w:line="580" w:lineRule="exact"/>
        <w:ind w:firstLine="660" w:firstLineChars="200"/>
        <w:rPr>
          <w:rFonts w:hint="eastAsia" w:eastAsia="方正仿宋简体"/>
          <w:sz w:val="33"/>
          <w:szCs w:val="33"/>
        </w:rPr>
        <w:sectPr>
          <w:pgSz w:w="11906" w:h="16838"/>
          <w:pgMar w:top="1440" w:right="1800" w:bottom="1440" w:left="1800" w:header="851" w:footer="992" w:gutter="0"/>
          <w:pgNumType w:start="1"/>
          <w:cols w:space="425" w:num="1"/>
          <w:titlePg/>
          <w:docGrid w:type="lines" w:linePitch="312" w:charSpace="0"/>
        </w:sectPr>
      </w:pPr>
      <w:r>
        <w:rPr>
          <w:rFonts w:hint="eastAsia" w:eastAsia="方正仿宋简体"/>
          <w:sz w:val="33"/>
          <w:szCs w:val="33"/>
        </w:rPr>
        <w:t>（三）</w:t>
      </w:r>
      <w:r>
        <w:rPr>
          <w:rFonts w:eastAsia="方正仿宋简体"/>
          <w:sz w:val="33"/>
          <w:szCs w:val="33"/>
        </w:rPr>
        <w:t>加强同行业交流。采取网上案例展示，行业学习培训等方式，加强与财政部门和行业内专家的互动,进</w:t>
      </w:r>
      <w:r>
        <w:rPr>
          <w:rFonts w:hint="eastAsia" w:eastAsia="方正仿宋简体"/>
          <w:sz w:val="33"/>
          <w:szCs w:val="33"/>
        </w:rPr>
        <w:t>一</w:t>
      </w:r>
      <w:r>
        <w:rPr>
          <w:rFonts w:eastAsia="方正仿宋简体"/>
          <w:sz w:val="33"/>
          <w:szCs w:val="33"/>
        </w:rPr>
        <w:t>步统</w:t>
      </w:r>
      <w:r>
        <w:rPr>
          <w:rFonts w:hint="eastAsia" w:eastAsia="方正仿宋简体"/>
          <w:sz w:val="33"/>
          <w:szCs w:val="33"/>
        </w:rPr>
        <w:t>一</w:t>
      </w:r>
      <w:r>
        <w:rPr>
          <w:rFonts w:eastAsia="方正仿宋简体"/>
          <w:sz w:val="33"/>
          <w:szCs w:val="33"/>
        </w:rPr>
        <w:t>认</w:t>
      </w:r>
      <w:r>
        <w:rPr>
          <w:rFonts w:hint="eastAsia" w:eastAsia="方正仿宋简体"/>
          <w:sz w:val="33"/>
          <w:szCs w:val="33"/>
        </w:rPr>
        <w:t>识，充实业务知识。</w:t>
      </w:r>
    </w:p>
    <w:tbl>
      <w:tblPr>
        <w:tblStyle w:val="17"/>
        <w:tblW w:w="137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9"/>
        <w:gridCol w:w="985"/>
        <w:gridCol w:w="2023"/>
        <w:gridCol w:w="3355"/>
        <w:gridCol w:w="1019"/>
        <w:gridCol w:w="1065"/>
        <w:gridCol w:w="1723"/>
        <w:gridCol w:w="1065"/>
        <w:gridCol w:w="10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3724"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乐至县预算绩效管理工作考核评分表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4"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楷体简体" w:hAnsi="方正楷体简体" w:eastAsia="方正楷体简体" w:cs="方正楷体简体"/>
                <w:b/>
                <w:bCs/>
                <w:i w:val="0"/>
                <w:iCs w:val="0"/>
                <w:color w:val="000000"/>
                <w:sz w:val="32"/>
                <w:szCs w:val="32"/>
                <w:u w:val="none"/>
              </w:rPr>
            </w:pPr>
            <w:r>
              <w:rPr>
                <w:rFonts w:hint="eastAsia" w:ascii="方正楷体简体" w:hAnsi="方正楷体简体" w:eastAsia="方正楷体简体" w:cs="方正楷体简体"/>
                <w:b/>
                <w:bCs/>
                <w:i w:val="0"/>
                <w:iCs w:val="0"/>
                <w:color w:val="000000"/>
                <w:kern w:val="0"/>
                <w:sz w:val="32"/>
                <w:szCs w:val="32"/>
                <w:u w:val="none"/>
                <w:lang w:val="en-US" w:eastAsia="zh-CN" w:bidi="ar"/>
              </w:rPr>
              <w:t>（</w:t>
            </w:r>
            <w:r>
              <w:rPr>
                <w:rFonts w:hint="default" w:ascii="Times New Roman" w:hAnsi="Times New Roman" w:eastAsia="方正楷体简体" w:cs="Times New Roman"/>
                <w:b/>
                <w:bCs/>
                <w:i w:val="0"/>
                <w:iCs w:val="0"/>
                <w:color w:val="000000"/>
                <w:kern w:val="0"/>
                <w:sz w:val="32"/>
                <w:szCs w:val="32"/>
                <w:u w:val="none"/>
                <w:lang w:val="en-US" w:eastAsia="zh-CN" w:bidi="ar"/>
              </w:rPr>
              <w:t>2022</w:t>
            </w:r>
            <w:r>
              <w:rPr>
                <w:rStyle w:val="45"/>
                <w:rFonts w:ascii="宋体" w:hAnsi="宋体" w:eastAsia="宋体" w:cs="宋体"/>
                <w:sz w:val="24"/>
                <w:szCs w:val="24"/>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724"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部门（单位）：乐至县蚕桑局</w:t>
            </w:r>
            <w:r>
              <w:rPr>
                <w:rStyle w:val="46"/>
                <w:rFonts w:eastAsia="宋体"/>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填报时间：</w:t>
            </w:r>
            <w:r>
              <w:rPr>
                <w:rStyle w:val="46"/>
                <w:rFonts w:eastAsia="宋体"/>
                <w:lang w:val="en-US" w:eastAsia="zh-CN" w:bidi="ar"/>
              </w:rPr>
              <w:t xml:space="preserve"> 2023 </w:t>
            </w:r>
            <w:r>
              <w:rPr>
                <w:rFonts w:hint="eastAsia" w:ascii="宋体" w:hAnsi="宋体" w:eastAsia="宋体" w:cs="宋体"/>
                <w:i w:val="0"/>
                <w:iCs w:val="0"/>
                <w:color w:val="000000"/>
                <w:kern w:val="0"/>
                <w:sz w:val="24"/>
                <w:szCs w:val="24"/>
                <w:u w:val="none"/>
                <w:lang w:val="en-US" w:eastAsia="zh-CN" w:bidi="ar"/>
              </w:rPr>
              <w:t>年</w:t>
            </w:r>
            <w:r>
              <w:rPr>
                <w:rStyle w:val="46"/>
                <w:rFonts w:eastAsia="宋体"/>
                <w:lang w:val="en-US" w:eastAsia="zh-CN" w:bidi="ar"/>
              </w:rPr>
              <w:t xml:space="preserve"> 2</w:t>
            </w:r>
            <w:r>
              <w:rPr>
                <w:rFonts w:hint="eastAsia" w:ascii="宋体" w:hAnsi="宋体" w:eastAsia="宋体" w:cs="宋体"/>
                <w:i w:val="0"/>
                <w:iCs w:val="0"/>
                <w:color w:val="000000"/>
                <w:kern w:val="0"/>
                <w:sz w:val="24"/>
                <w:szCs w:val="24"/>
                <w:u w:val="none"/>
                <w:lang w:val="en-US" w:eastAsia="zh-CN" w:bidi="ar"/>
              </w:rPr>
              <w:t>月</w:t>
            </w:r>
            <w:r>
              <w:rPr>
                <w:rStyle w:val="46"/>
                <w:rFonts w:eastAsia="宋体"/>
                <w:lang w:val="en-US" w:eastAsia="zh-CN" w:bidi="ar"/>
              </w:rPr>
              <w:t xml:space="preserve"> 27 </w:t>
            </w:r>
            <w:r>
              <w:rPr>
                <w:rFonts w:hint="eastAsia" w:ascii="宋体" w:hAnsi="宋体" w:eastAsia="宋体" w:cs="宋体"/>
                <w:i w:val="0"/>
                <w:iCs w:val="0"/>
                <w:color w:val="000000"/>
                <w:kern w:val="0"/>
                <w:sz w:val="24"/>
                <w:szCs w:val="24"/>
                <w:u w:val="none"/>
                <w:lang w:val="en-US" w:eastAsia="zh-CN" w:bidi="ar"/>
              </w:rPr>
              <w:t>日</w:t>
            </w:r>
            <w:r>
              <w:rPr>
                <w:rStyle w:val="46"/>
                <w:rFonts w:eastAsia="宋体"/>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填报人：熊春燕</w:t>
            </w:r>
            <w:r>
              <w:rPr>
                <w:rStyle w:val="46"/>
                <w:rFonts w:eastAsia="宋体"/>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职务：会计</w:t>
            </w:r>
            <w:r>
              <w:rPr>
                <w:rStyle w:val="46"/>
                <w:rFonts w:eastAsia="宋体"/>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联系电话：</w:t>
            </w:r>
            <w:r>
              <w:rPr>
                <w:rStyle w:val="46"/>
                <w:rFonts w:eastAsia="宋体"/>
                <w:lang w:val="en-US" w:eastAsia="zh-CN" w:bidi="ar"/>
              </w:rPr>
              <w:t>26317535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考核内容</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分值</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佐证材料要求</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计分标准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是否附佐证材料</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自评分数</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自评依据及佐证材料简要说明</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县财政局评定分数</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黑体简体" w:hAnsi="方正黑体简体" w:eastAsia="方正黑体简体" w:cs="方正黑体简体"/>
                <w:i w:val="0"/>
                <w:iCs w:val="0"/>
                <w:color w:val="000000"/>
                <w:sz w:val="21"/>
                <w:szCs w:val="21"/>
                <w:u w:val="none"/>
              </w:rPr>
            </w:pPr>
            <w:r>
              <w:rPr>
                <w:rFonts w:hint="eastAsia" w:ascii="方正黑体简体" w:hAnsi="方正黑体简体" w:eastAsia="方正黑体简体" w:cs="方正黑体简体"/>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99.5</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一、基础管理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6"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（一）领导重视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会议记录</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党委（党组）专题研究预算绩效管理工作，听取预算绩效管理工作开展情况汇报，每次</w:t>
            </w:r>
            <w:r>
              <w:rPr>
                <w:rFonts w:hint="default" w:ascii="Times New Roman" w:hAnsi="Times New Roman" w:eastAsia="宋体" w:cs="Times New Roman"/>
                <w:i w:val="0"/>
                <w:iCs w:val="0"/>
                <w:color w:val="000000"/>
                <w:kern w:val="0"/>
                <w:sz w:val="21"/>
                <w:szCs w:val="21"/>
                <w:u w:val="none"/>
                <w:lang w:val="en-US" w:eastAsia="zh-CN" w:bidi="ar"/>
              </w:rPr>
              <w:t>1.5</w:t>
            </w:r>
            <w:r>
              <w:rPr>
                <w:rFonts w:hint="eastAsia" w:ascii="宋体" w:hAnsi="宋体" w:eastAsia="宋体" w:cs="宋体"/>
                <w:i w:val="0"/>
                <w:iCs w:val="0"/>
                <w:color w:val="000000"/>
                <w:kern w:val="0"/>
                <w:sz w:val="21"/>
                <w:szCs w:val="21"/>
                <w:u w:val="none"/>
                <w:lang w:val="en-US" w:eastAsia="zh-CN" w:bidi="ar"/>
              </w:rPr>
              <w:t>分，最多</w:t>
            </w: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一、（一）（会议记录）领导专题研究绩效管理工作</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正式文件</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成立预算绩效管理工作领导小组并由部门主要领导担任领导小组组长的得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一、（一）（二）成立领导小组的通知</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（二）职责明确</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明确内部预算绩效管理工作牵头负责的股室并落实专人负责的得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一、（一）（二）成立领导小组的通知</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6"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（三）制度建设</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制定本系统预算绩效管理具体实施方案的得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一、（三）预算绩效管理具体实施方案</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6"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将内部业务股室、下属单位的预算绩效管理工作内容纳入本部门年度工作绩效考核的</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一、（三）乐至县蚕桑局预算绩效管理办法</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（四）指标体系</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提供指标体系范本</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研究建立本行业或本系统普遍适用的综合指标体系，每项</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分，最多</w:t>
            </w: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一、（四）已建立指标体系</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二、过程管理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73.5</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2"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（一）事前绩效评估管理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2022</w:t>
            </w:r>
            <w:r>
              <w:rPr>
                <w:rFonts w:hint="eastAsia" w:ascii="宋体" w:hAnsi="宋体" w:eastAsia="宋体" w:cs="宋体"/>
                <w:i w:val="0"/>
                <w:iCs w:val="0"/>
                <w:color w:val="000000"/>
                <w:kern w:val="0"/>
                <w:sz w:val="21"/>
                <w:szCs w:val="21"/>
                <w:u w:val="none"/>
                <w:lang w:val="en-US" w:eastAsia="zh-CN" w:bidi="ar"/>
              </w:rPr>
              <w:t>年度预算项目支出明细表（含年初预算和调整预算项目）；</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、提供符合评估条件的项目事前绩效评估报告</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按规定全面开展政策、项目事前绩效评估的得</w:t>
            </w:r>
            <w:r>
              <w:rPr>
                <w:rFonts w:hint="default" w:ascii="Times New Roman" w:hAnsi="Times New Roman" w:eastAsia="宋体" w:cs="Times New Roman"/>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分，每少一项扣</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每个项目都已做绩效评估</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如全年无达到评估条件的项目，则该项作为缺省项，并单独标注说明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（二）绩效目标管理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、申报时间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r>
              <w:rPr>
                <w:rFonts w:hint="eastAsia" w:ascii="宋体" w:hAnsi="宋体" w:eastAsia="宋体" w:cs="宋体"/>
                <w:i w:val="0"/>
                <w:iCs w:val="0"/>
                <w:color w:val="000000"/>
                <w:kern w:val="0"/>
                <w:sz w:val="21"/>
                <w:szCs w:val="21"/>
                <w:u w:val="none"/>
                <w:lang w:val="en-US" w:eastAsia="zh-CN" w:bidi="ar"/>
              </w:rPr>
              <w:t>在规定时间内报送部门整体和项目（政策）绩效目标的得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分，逾期报送一天扣</w:t>
            </w:r>
            <w:r>
              <w:rPr>
                <w:rFonts w:hint="default" w:ascii="Times New Roman" w:hAnsi="Times New Roman" w:eastAsia="宋体" w:cs="Times New Roman"/>
                <w:i w:val="0"/>
                <w:iCs w:val="0"/>
                <w:color w:val="000000"/>
                <w:kern w:val="0"/>
                <w:sz w:val="21"/>
                <w:szCs w:val="21"/>
                <w:u w:val="none"/>
                <w:lang w:val="en-US" w:eastAsia="zh-CN" w:bidi="ar"/>
              </w:rPr>
              <w:t>0.5</w:t>
            </w:r>
            <w:r>
              <w:rPr>
                <w:rFonts w:hint="eastAsia" w:ascii="宋体" w:hAnsi="宋体" w:eastAsia="宋体" w:cs="宋体"/>
                <w:i w:val="0"/>
                <w:iCs w:val="0"/>
                <w:color w:val="000000"/>
                <w:kern w:val="0"/>
                <w:sz w:val="21"/>
                <w:szCs w:val="21"/>
                <w:u w:val="none"/>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全部按时报送</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、申报规模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2022</w:t>
            </w:r>
            <w:r>
              <w:rPr>
                <w:rFonts w:hint="eastAsia" w:ascii="宋体" w:hAnsi="宋体" w:eastAsia="宋体" w:cs="宋体"/>
                <w:i w:val="0"/>
                <w:iCs w:val="0"/>
                <w:color w:val="000000"/>
                <w:kern w:val="0"/>
                <w:sz w:val="21"/>
                <w:szCs w:val="21"/>
                <w:u w:val="none"/>
                <w:lang w:val="en-US" w:eastAsia="zh-CN" w:bidi="ar"/>
              </w:rPr>
              <w:t>年度预算项目支出明细表（含年初预算和调整预算项目）；</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、项目绩效目标申报表</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部门（单位）年度申报绩效目标项目资金额占部门（单位）申报项目预算资金额的比例</w:t>
            </w: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、申报质量</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2022</w:t>
            </w:r>
            <w:r>
              <w:rPr>
                <w:rFonts w:hint="eastAsia" w:ascii="宋体" w:hAnsi="宋体" w:eastAsia="宋体" w:cs="宋体"/>
                <w:i w:val="0"/>
                <w:iCs w:val="0"/>
                <w:color w:val="000000"/>
                <w:kern w:val="0"/>
                <w:sz w:val="21"/>
                <w:szCs w:val="21"/>
                <w:u w:val="none"/>
                <w:lang w:val="en-US" w:eastAsia="zh-CN" w:bidi="ar"/>
              </w:rPr>
              <w:t>年度预算项目支出明细表（含年初预算和调整预算项目）；</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、项目绩效目标申报表；</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r>
              <w:rPr>
                <w:rFonts w:hint="eastAsia" w:ascii="宋体" w:hAnsi="宋体" w:eastAsia="宋体" w:cs="宋体"/>
                <w:i w:val="0"/>
                <w:iCs w:val="0"/>
                <w:color w:val="000000"/>
                <w:kern w:val="0"/>
                <w:sz w:val="21"/>
                <w:szCs w:val="21"/>
                <w:u w:val="none"/>
                <w:lang w:val="en-US" w:eastAsia="zh-CN" w:bidi="ar"/>
              </w:rPr>
              <w:t>申报的部门整体和项目（政策）绩效目标符合规定的格式要求，相关内容完整的得</w:t>
            </w: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分；缺失一项内容扣</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报送资料及时且符合要求</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r>
              <w:rPr>
                <w:rFonts w:hint="eastAsia" w:ascii="宋体" w:hAnsi="宋体" w:eastAsia="宋体" w:cs="宋体"/>
                <w:i w:val="0"/>
                <w:iCs w:val="0"/>
                <w:color w:val="000000"/>
                <w:kern w:val="0"/>
                <w:sz w:val="21"/>
                <w:szCs w:val="21"/>
                <w:u w:val="none"/>
                <w:lang w:val="en-US" w:eastAsia="zh-CN" w:bidi="ar"/>
              </w:rPr>
              <w:t>部门整体和项目（政策）绩效目标的设定符合自身特点的</w:t>
            </w:r>
            <w:r>
              <w:rPr>
                <w:rFonts w:hint="default" w:ascii="Times New Roman" w:hAnsi="Times New Roman" w:eastAsia="宋体" w:cs="Times New Roman"/>
                <w:i w:val="0"/>
                <w:iCs w:val="0"/>
                <w:color w:val="000000"/>
                <w:kern w:val="0"/>
                <w:sz w:val="21"/>
                <w:szCs w:val="21"/>
                <w:u w:val="none"/>
                <w:lang w:val="en-US" w:eastAsia="zh-CN" w:bidi="ar"/>
              </w:rPr>
              <w:t>1.5</w:t>
            </w:r>
            <w:r>
              <w:rPr>
                <w:rFonts w:hint="eastAsia" w:ascii="宋体" w:hAnsi="宋体" w:eastAsia="宋体" w:cs="宋体"/>
                <w:i w:val="0"/>
                <w:iCs w:val="0"/>
                <w:color w:val="000000"/>
                <w:kern w:val="0"/>
                <w:sz w:val="21"/>
                <w:szCs w:val="21"/>
                <w:u w:val="none"/>
                <w:lang w:val="en-US" w:eastAsia="zh-CN" w:bidi="ar"/>
              </w:rPr>
              <w:t>分；部门整体和项目（政策）绩效目标的描述清楚明确的</w:t>
            </w:r>
            <w:r>
              <w:rPr>
                <w:rFonts w:hint="default" w:ascii="Times New Roman" w:hAnsi="Times New Roman" w:eastAsia="宋体" w:cs="Times New Roman"/>
                <w:i w:val="0"/>
                <w:iCs w:val="0"/>
                <w:color w:val="000000"/>
                <w:kern w:val="0"/>
                <w:sz w:val="21"/>
                <w:szCs w:val="21"/>
                <w:u w:val="none"/>
                <w:lang w:val="en-US" w:eastAsia="zh-CN" w:bidi="ar"/>
              </w:rPr>
              <w:t>1.5</w:t>
            </w:r>
            <w:r>
              <w:rPr>
                <w:rFonts w:hint="eastAsia" w:ascii="宋体" w:hAnsi="宋体" w:eastAsia="宋体" w:cs="宋体"/>
                <w:i w:val="0"/>
                <w:iCs w:val="0"/>
                <w:color w:val="000000"/>
                <w:kern w:val="0"/>
                <w:sz w:val="21"/>
                <w:szCs w:val="21"/>
                <w:u w:val="none"/>
                <w:lang w:val="en-US" w:eastAsia="zh-CN" w:bidi="ar"/>
              </w:rPr>
              <w:t>分。否则不得分。最多</w:t>
            </w: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符合自身特点，描述明清楚确</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r>
              <w:rPr>
                <w:rFonts w:hint="eastAsia" w:ascii="宋体" w:hAnsi="宋体" w:eastAsia="宋体" w:cs="宋体"/>
                <w:i w:val="0"/>
                <w:iCs w:val="0"/>
                <w:color w:val="000000"/>
                <w:kern w:val="0"/>
                <w:sz w:val="21"/>
                <w:szCs w:val="21"/>
                <w:u w:val="none"/>
                <w:lang w:val="en-US" w:eastAsia="zh-CN" w:bidi="ar"/>
              </w:rPr>
              <w:t>部门整体和项目（政策）绩效指标细化、量化，能清晰反映绩效实现程度。其中，绩效指标细化到三级或三级以上的，得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分；细化到二级的得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分。该项得分</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（三级或三级以上绩效指标个数</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二级绩效指标个数</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绩效指标总个数。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绩效指标都细化到</w:t>
            </w:r>
            <w:r>
              <w:rPr>
                <w:rFonts w:ascii="Calibri" w:hAnsi="Calibri" w:eastAsia="宋体" w:cs="Calibri"/>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级</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r>
              <w:rPr>
                <w:rFonts w:hint="eastAsia" w:ascii="宋体" w:hAnsi="宋体" w:eastAsia="宋体" w:cs="宋体"/>
                <w:i w:val="0"/>
                <w:iCs w:val="0"/>
                <w:color w:val="000000"/>
                <w:kern w:val="0"/>
                <w:sz w:val="21"/>
                <w:szCs w:val="21"/>
                <w:u w:val="none"/>
                <w:lang w:val="en-US" w:eastAsia="zh-CN" w:bidi="ar"/>
              </w:rPr>
              <w:t>绩效目标设定依据充分、符合相关法律法规、国家相关规定的得</w:t>
            </w: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绩效目标设定依据充分、符合规定</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（三）绩效监控管理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、实施绩效监控</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r>
              <w:rPr>
                <w:rFonts w:hint="eastAsia" w:ascii="宋体" w:hAnsi="宋体" w:eastAsia="宋体" w:cs="宋体"/>
                <w:i w:val="0"/>
                <w:iCs w:val="0"/>
                <w:color w:val="000000"/>
                <w:kern w:val="0"/>
                <w:sz w:val="21"/>
                <w:szCs w:val="21"/>
                <w:u w:val="none"/>
                <w:lang w:val="en-US" w:eastAsia="zh-CN" w:bidi="ar"/>
              </w:rPr>
              <w:t>按财政部门要求，定期采集绩效运行和收支执行的信息进行汇总分析，并及时向财政部门报送监控信息，得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报送资料及时且符合要求</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r>
              <w:rPr>
                <w:rFonts w:hint="eastAsia" w:ascii="宋体" w:hAnsi="宋体" w:eastAsia="宋体" w:cs="宋体"/>
                <w:i w:val="0"/>
                <w:iCs w:val="0"/>
                <w:color w:val="000000"/>
                <w:kern w:val="0"/>
                <w:sz w:val="21"/>
                <w:szCs w:val="21"/>
                <w:u w:val="none"/>
                <w:lang w:val="en-US" w:eastAsia="zh-CN" w:bidi="ar"/>
              </w:rPr>
              <w:t>绩效监控覆盖面得分</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实际绩效监控项目个数</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批复绩效目标项目个数</w:t>
            </w:r>
            <w:r>
              <w:rPr>
                <w:rFonts w:hint="default" w:ascii="Times New Roman" w:hAnsi="Times New Roman" w:eastAsia="宋体" w:cs="Times New Roman"/>
                <w:i w:val="0"/>
                <w:iCs w:val="0"/>
                <w:color w:val="000000"/>
                <w:kern w:val="0"/>
                <w:sz w:val="21"/>
                <w:szCs w:val="21"/>
                <w:u w:val="none"/>
                <w:lang w:val="en-US" w:eastAsia="zh-CN" w:bidi="ar"/>
              </w:rPr>
              <w:t>*3</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批复个数全部监控</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、绩效监控质量</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体现纠偏的工作通知、方案或管理办法等</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r>
              <w:rPr>
                <w:rFonts w:hint="eastAsia" w:ascii="宋体" w:hAnsi="宋体" w:eastAsia="宋体" w:cs="宋体"/>
                <w:i w:val="0"/>
                <w:iCs w:val="0"/>
                <w:color w:val="000000"/>
                <w:kern w:val="0"/>
                <w:sz w:val="21"/>
                <w:szCs w:val="21"/>
                <w:u w:val="none"/>
                <w:lang w:val="en-US" w:eastAsia="zh-CN" w:bidi="ar"/>
              </w:rPr>
              <w:t>对如期实现绩效目标、偏离绩效目标、预期无效项目及时相应提出推进措施、绩效纠偏、预算调整措施和意见的，得</w:t>
            </w: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7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二、（三）2、蚕桑局预算绩效管理存在的问题及整改措施</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（四）事后绩效评价管理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20.5</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、自评开展</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r>
              <w:rPr>
                <w:rFonts w:hint="eastAsia" w:ascii="宋体" w:hAnsi="宋体" w:eastAsia="宋体" w:cs="宋体"/>
                <w:i w:val="0"/>
                <w:iCs w:val="0"/>
                <w:color w:val="000000"/>
                <w:kern w:val="0"/>
                <w:sz w:val="21"/>
                <w:szCs w:val="21"/>
                <w:u w:val="none"/>
                <w:lang w:val="en-US" w:eastAsia="zh-CN" w:bidi="ar"/>
              </w:rPr>
              <w:t>按时报送覆盖部门全部支出的汇总绩效自评报告（含部门整体支出自评报告、政策支出自评报告、项目支出自评报告）书面和电子文档的得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分。每逾期一天扣</w:t>
            </w:r>
            <w:r>
              <w:rPr>
                <w:rFonts w:hint="default" w:ascii="Times New Roman" w:hAnsi="Times New Roman" w:eastAsia="宋体" w:cs="Times New Roman"/>
                <w:i w:val="0"/>
                <w:iCs w:val="0"/>
                <w:color w:val="000000"/>
                <w:kern w:val="0"/>
                <w:sz w:val="21"/>
                <w:szCs w:val="21"/>
                <w:u w:val="none"/>
                <w:lang w:val="en-US" w:eastAsia="zh-CN" w:bidi="ar"/>
              </w:rPr>
              <w:t>0.5</w:t>
            </w:r>
            <w:r>
              <w:rPr>
                <w:rFonts w:hint="eastAsia" w:ascii="宋体" w:hAnsi="宋体" w:eastAsia="宋体" w:cs="宋体"/>
                <w:i w:val="0"/>
                <w:iCs w:val="0"/>
                <w:color w:val="000000"/>
                <w:kern w:val="0"/>
                <w:sz w:val="21"/>
                <w:szCs w:val="21"/>
                <w:u w:val="none"/>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按时报送资料且符合要求</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年度项目支出明细表；</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、项目自评报告</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r>
              <w:rPr>
                <w:rFonts w:hint="eastAsia" w:ascii="宋体" w:hAnsi="宋体" w:eastAsia="宋体" w:cs="宋体"/>
                <w:i w:val="0"/>
                <w:iCs w:val="0"/>
                <w:color w:val="000000"/>
                <w:kern w:val="0"/>
                <w:sz w:val="21"/>
                <w:szCs w:val="21"/>
                <w:u w:val="none"/>
                <w:lang w:val="en-US" w:eastAsia="zh-CN" w:bidi="ar"/>
              </w:rPr>
              <w:t>组织开展部门本级和下属预算单位全面开展绩效自评并分别形成自评报告的得</w:t>
            </w: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分，否则按比例扣减，扣完为止。</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二、（四）乐至县蚕桑局</w:t>
            </w:r>
            <w:r>
              <w:rPr>
                <w:rFonts w:ascii="Calibri" w:hAnsi="Calibri" w:eastAsia="宋体" w:cs="Calibri"/>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、自评质量</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年度项目支出明细表；</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、项目自评报告</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r>
              <w:rPr>
                <w:rFonts w:hint="eastAsia" w:ascii="宋体" w:hAnsi="宋体" w:eastAsia="宋体" w:cs="宋体"/>
                <w:i w:val="0"/>
                <w:iCs w:val="0"/>
                <w:color w:val="000000"/>
                <w:kern w:val="0"/>
                <w:sz w:val="21"/>
                <w:szCs w:val="21"/>
                <w:u w:val="none"/>
                <w:lang w:val="en-US" w:eastAsia="zh-CN" w:bidi="ar"/>
              </w:rPr>
              <w:t>绩效自评报告格式规范，内容完整的得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分，否则酌情扣分；文字部分结构规范、基本情况、绩效情况、评价结论、问题、建议等各项内容节点清晰的得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二、（四）乐至县蚕桑局</w:t>
            </w:r>
            <w:r>
              <w:rPr>
                <w:rFonts w:ascii="Calibri" w:hAnsi="Calibri" w:eastAsia="宋体" w:cs="Calibri"/>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r>
              <w:rPr>
                <w:rFonts w:hint="eastAsia" w:ascii="宋体" w:hAnsi="宋体" w:eastAsia="宋体" w:cs="宋体"/>
                <w:i w:val="0"/>
                <w:iCs w:val="0"/>
                <w:color w:val="000000"/>
                <w:kern w:val="0"/>
                <w:sz w:val="21"/>
                <w:szCs w:val="21"/>
                <w:u w:val="none"/>
                <w:lang w:val="en-US" w:eastAsia="zh-CN" w:bidi="ar"/>
              </w:rPr>
              <w:t>绩效归纳合理，陈述明确，总分结合，有理有据，与指标体系特别是反映实际绩效的指标有较好的关联度，能用图表、照片等形式直观反映实施情况和绩效的得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二、（四）乐至县蚕桑局</w:t>
            </w:r>
            <w:r>
              <w:rPr>
                <w:rFonts w:ascii="Calibri" w:hAnsi="Calibri" w:eastAsia="宋体" w:cs="Calibri"/>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r>
              <w:rPr>
                <w:rFonts w:hint="eastAsia" w:ascii="宋体" w:hAnsi="宋体" w:eastAsia="宋体" w:cs="宋体"/>
                <w:i w:val="0"/>
                <w:iCs w:val="0"/>
                <w:color w:val="000000"/>
                <w:kern w:val="0"/>
                <w:sz w:val="21"/>
                <w:szCs w:val="21"/>
                <w:u w:val="none"/>
                <w:lang w:val="en-US" w:eastAsia="zh-CN" w:bidi="ar"/>
              </w:rPr>
              <w:t>反映的问题具体清楚，依据充分，提出的问题与建议针对性强，表达明确，合理可行的得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二、（四）乐至县蚕桑局</w:t>
            </w:r>
            <w:r>
              <w:rPr>
                <w:rFonts w:ascii="Calibri" w:hAnsi="Calibri" w:eastAsia="宋体" w:cs="Calibri"/>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r>
              <w:rPr>
                <w:rFonts w:hint="eastAsia" w:ascii="宋体" w:hAnsi="宋体" w:eastAsia="宋体" w:cs="宋体"/>
                <w:i w:val="0"/>
                <w:iCs w:val="0"/>
                <w:color w:val="000000"/>
                <w:kern w:val="0"/>
                <w:sz w:val="21"/>
                <w:szCs w:val="21"/>
                <w:u w:val="none"/>
                <w:lang w:val="en-US" w:eastAsia="zh-CN" w:bidi="ar"/>
              </w:rPr>
              <w:t>各项指标评分依据充分，评价结论合理有据、客观公正，与取得绩效、存在问题等内容存在较强一致性的得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分，否则酌情扣分。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二、（四）乐至县蚕桑局</w:t>
            </w:r>
            <w:r>
              <w:rPr>
                <w:rFonts w:ascii="Calibri" w:hAnsi="Calibri" w:eastAsia="宋体" w:cs="Calibri"/>
                <w:i w:val="0"/>
                <w:iCs w:val="0"/>
                <w:color w:val="000000"/>
                <w:kern w:val="0"/>
                <w:sz w:val="21"/>
                <w:szCs w:val="21"/>
                <w:u w:val="none"/>
                <w:lang w:val="en-US" w:eastAsia="zh-CN" w:bidi="ar"/>
              </w:rPr>
              <w:t>2021</w:t>
            </w:r>
            <w:r>
              <w:rPr>
                <w:rFonts w:hint="eastAsia" w:ascii="宋体" w:hAnsi="宋体" w:eastAsia="宋体" w:cs="宋体"/>
                <w:i w:val="0"/>
                <w:iCs w:val="0"/>
                <w:color w:val="000000"/>
                <w:kern w:val="0"/>
                <w:sz w:val="21"/>
                <w:szCs w:val="21"/>
                <w:u w:val="none"/>
                <w:lang w:val="en-US" w:eastAsia="zh-CN" w:bidi="ar"/>
              </w:rPr>
              <w:t>年绩效自评报告</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、自评抽查</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、含有自评抽查内容的工作通知或方案等；</w:t>
            </w:r>
          </w:p>
        </w:tc>
        <w:tc>
          <w:tcPr>
            <w:tcW w:w="3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r>
              <w:rPr>
                <w:rFonts w:hint="eastAsia" w:ascii="宋体" w:hAnsi="宋体" w:eastAsia="宋体" w:cs="宋体"/>
                <w:i w:val="0"/>
                <w:iCs w:val="0"/>
                <w:color w:val="000000"/>
                <w:kern w:val="0"/>
                <w:sz w:val="21"/>
                <w:szCs w:val="21"/>
                <w:u w:val="none"/>
                <w:lang w:val="en-US" w:eastAsia="zh-CN" w:bidi="ar"/>
              </w:rPr>
              <w:t>对下属单位实施的项目按照每年不少于项目个数的三分之一开展绩效自评抽查的得</w:t>
            </w: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分，实际得分按照实际抽查比例计算。</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无下属单位</w:t>
            </w: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无下属单位的部门该项作为缺省项，并单独标注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、工作底稿等</w:t>
            </w:r>
          </w:p>
        </w:tc>
        <w:tc>
          <w:tcPr>
            <w:tcW w:w="3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4"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、绩效评价</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、工作通知或方案等正式文件</w:t>
            </w:r>
          </w:p>
        </w:tc>
        <w:tc>
          <w:tcPr>
            <w:tcW w:w="3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r>
              <w:rPr>
                <w:rFonts w:hint="eastAsia" w:ascii="宋体" w:hAnsi="宋体" w:eastAsia="宋体" w:cs="宋体"/>
                <w:i w:val="0"/>
                <w:iCs w:val="0"/>
                <w:color w:val="000000"/>
                <w:kern w:val="0"/>
                <w:sz w:val="21"/>
                <w:szCs w:val="21"/>
                <w:u w:val="none"/>
                <w:lang w:val="en-US" w:eastAsia="zh-CN" w:bidi="ar"/>
              </w:rPr>
              <w:t>对下属单位实施的项目按照每年不少于项目个数的五分之一开展绩效评价的得</w:t>
            </w: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分，实际得分按照实际评价比例计算。</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无下属单位</w:t>
            </w: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无下属单位的部门该项作为缺省项，并单独标注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、项目支出绩效评价报告等</w:t>
            </w:r>
          </w:p>
        </w:tc>
        <w:tc>
          <w:tcPr>
            <w:tcW w:w="3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（五）绩效结果应用管理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both"/>
              <w:rPr>
                <w:rFonts w:hint="default" w:ascii="Calibri" w:hAnsi="Calibri" w:eastAsia="宋体" w:cs="Calibri"/>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、问题整改</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整改情况报告</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w:t>
            </w:r>
            <w:r>
              <w:rPr>
                <w:rFonts w:hint="eastAsia" w:ascii="宋体" w:hAnsi="宋体" w:eastAsia="宋体" w:cs="宋体"/>
                <w:i w:val="0"/>
                <w:iCs w:val="0"/>
                <w:color w:val="000000"/>
                <w:kern w:val="0"/>
                <w:sz w:val="21"/>
                <w:szCs w:val="21"/>
                <w:u w:val="none"/>
                <w:lang w:val="en-US" w:eastAsia="zh-CN" w:bidi="ar"/>
              </w:rPr>
              <w:t>对预算绩效管理各环节反映的问题及时整改落实到位的得</w:t>
            </w: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分，整改不到位的酌情扣分，未及时整改的不得分（未报送整改情况报告的视同未整改）</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无整改要求</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无整改要求的部门该项作为缺省项，并单独标注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、通报考核</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、考核通知或方案正式文件；</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、通报考核正式文件</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27.</w:t>
            </w:r>
            <w:r>
              <w:rPr>
                <w:rFonts w:hint="eastAsia" w:ascii="宋体" w:hAnsi="宋体" w:eastAsia="宋体" w:cs="宋体"/>
                <w:i w:val="0"/>
                <w:iCs w:val="0"/>
                <w:color w:val="000000"/>
                <w:kern w:val="0"/>
                <w:sz w:val="21"/>
                <w:szCs w:val="21"/>
                <w:u w:val="none"/>
                <w:lang w:val="en-US" w:eastAsia="zh-CN" w:bidi="ar"/>
              </w:rPr>
              <w:t>定期对下属预算单位预算绩效管理工作实施考核并通报考核结果，将考核结果纳入对下属单位的综合考核体系，得</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无下级单位</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无下属单位的部门该项作为缺省项，并单独标注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、请示报告</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报告正式文件、会议有关材料、审查意见或批复等</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r>
              <w:rPr>
                <w:rFonts w:hint="eastAsia" w:ascii="宋体" w:hAnsi="宋体" w:eastAsia="宋体" w:cs="宋体"/>
                <w:i w:val="0"/>
                <w:iCs w:val="0"/>
                <w:color w:val="000000"/>
                <w:kern w:val="0"/>
                <w:sz w:val="21"/>
                <w:szCs w:val="21"/>
                <w:u w:val="none"/>
                <w:lang w:val="en-US" w:eastAsia="zh-CN" w:bidi="ar"/>
              </w:rPr>
              <w:t>将本部门绩效管理工作有关情况正式县领导、上级部门汇报报送的，得</w:t>
            </w: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、公开公示</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、信息公开网址；</w:t>
            </w:r>
          </w:p>
        </w:tc>
        <w:tc>
          <w:tcPr>
            <w:tcW w:w="3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w:t>
            </w:r>
            <w:r>
              <w:rPr>
                <w:rFonts w:hint="eastAsia" w:ascii="宋体" w:hAnsi="宋体" w:eastAsia="宋体" w:cs="宋体"/>
                <w:i w:val="0"/>
                <w:iCs w:val="0"/>
                <w:color w:val="000000"/>
                <w:kern w:val="0"/>
                <w:sz w:val="21"/>
                <w:szCs w:val="21"/>
                <w:u w:val="none"/>
                <w:lang w:val="en-US" w:eastAsia="zh-CN" w:bidi="ar"/>
              </w:rPr>
              <w:t>将绩效目标随同部门预算向社会公开；将部门整体支出、项目支出绩效自评结果随同部门决算向社会公开；将部门重点绩效评价结果向社会公开。每项得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分，总计</w:t>
            </w: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二（五）4、蚕桑局预算、决算公开网址</w:t>
            </w: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、含公开绩效信息的截图等</w:t>
            </w:r>
          </w:p>
        </w:tc>
        <w:tc>
          <w:tcPr>
            <w:tcW w:w="3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、结果应用</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对事前绩效评估、绩效目标管理、绩效运行监控、事后绩效评价结果应用情况逐项进行详细说明，并提供充分的结果应用材料，以及体现结果应用的工作通知、方案或管理办法等</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w:t>
            </w:r>
            <w:r>
              <w:rPr>
                <w:rFonts w:hint="eastAsia" w:ascii="宋体" w:hAnsi="宋体" w:eastAsia="宋体" w:cs="宋体"/>
                <w:i w:val="0"/>
                <w:iCs w:val="0"/>
                <w:color w:val="000000"/>
                <w:kern w:val="0"/>
                <w:sz w:val="21"/>
                <w:szCs w:val="21"/>
                <w:u w:val="none"/>
                <w:lang w:val="en-US" w:eastAsia="zh-CN" w:bidi="ar"/>
              </w:rPr>
              <w:t>将事前绩效评估、事中绩效监控、事后绩效评价结果作为预算安排、预算调整、资金分配、政策调整完善、改进内部管理依据的得</w:t>
            </w: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二（五）5、预算绩效评价结果应用管理办法的通知</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三、培训宣传</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（一）宣传报道</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纸质媒体宣传的需提供完整扫描件或照片等；网络媒体宣传的需提供刊载网址和截图等</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31.</w:t>
            </w:r>
            <w:r>
              <w:rPr>
                <w:rFonts w:hint="eastAsia" w:ascii="宋体" w:hAnsi="宋体" w:eastAsia="宋体" w:cs="宋体"/>
                <w:i w:val="0"/>
                <w:iCs w:val="0"/>
                <w:color w:val="000000"/>
                <w:kern w:val="0"/>
                <w:sz w:val="21"/>
                <w:szCs w:val="21"/>
                <w:u w:val="none"/>
                <w:lang w:val="en-US" w:eastAsia="zh-CN" w:bidi="ar"/>
              </w:rPr>
              <w:t>利用各种媒体形式，宣传预算绩效管理工作，创造良好社会舆论氛围，县级媒体发表的每篇</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分，市级及以上媒体发表的每篇</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分，本项最多</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（三）会议培训</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、培训、会议通知或方案等</w:t>
            </w:r>
          </w:p>
        </w:tc>
        <w:tc>
          <w:tcPr>
            <w:tcW w:w="3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32.</w:t>
            </w:r>
            <w:r>
              <w:rPr>
                <w:rFonts w:hint="eastAsia" w:ascii="宋体" w:hAnsi="宋体" w:eastAsia="宋体" w:cs="宋体"/>
                <w:i w:val="0"/>
                <w:iCs w:val="0"/>
                <w:color w:val="000000"/>
                <w:kern w:val="0"/>
                <w:sz w:val="21"/>
                <w:szCs w:val="21"/>
                <w:u w:val="none"/>
                <w:lang w:val="en-US" w:eastAsia="zh-CN" w:bidi="ar"/>
              </w:rPr>
              <w:t>组织本部门预算绩效管理业务学习和培训，每次</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分。本项最多</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r>
              <w:rPr>
                <w:rFonts w:ascii="Calibri" w:hAnsi="Calibri" w:eastAsia="宋体" w:cs="Calibri"/>
                <w:i w:val="0"/>
                <w:iCs w:val="0"/>
                <w:color w:val="000000"/>
                <w:kern w:val="0"/>
                <w:sz w:val="21"/>
                <w:szCs w:val="21"/>
                <w:u w:val="none"/>
                <w:lang w:val="en-US" w:eastAsia="zh-CN" w:bidi="ar"/>
              </w:rPr>
              <w:t>2022</w:t>
            </w:r>
            <w:r>
              <w:rPr>
                <w:rStyle w:val="47"/>
                <w:lang w:val="en-US" w:eastAsia="zh-CN" w:bidi="ar"/>
              </w:rPr>
              <w:t>年度预算绩效管理业务培训会议</w:t>
            </w: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、签到表和照片等（如为线上培训则无需提供）</w:t>
            </w:r>
          </w:p>
        </w:tc>
        <w:tc>
          <w:tcPr>
            <w:tcW w:w="3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both"/>
              <w:rPr>
                <w:rFonts w:hint="eastAsia" w:ascii="宋体" w:hAnsi="宋体" w:eastAsia="宋体" w:cs="宋体"/>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5" w:hRule="atLeast"/>
        </w:trPr>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（四）信息交流</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33.</w:t>
            </w:r>
            <w:r>
              <w:rPr>
                <w:rFonts w:hint="eastAsia" w:ascii="宋体" w:hAnsi="宋体" w:eastAsia="宋体" w:cs="宋体"/>
                <w:i w:val="0"/>
                <w:iCs w:val="0"/>
                <w:color w:val="000000"/>
                <w:kern w:val="0"/>
                <w:sz w:val="21"/>
                <w:szCs w:val="21"/>
                <w:u w:val="none"/>
                <w:lang w:val="en-US" w:eastAsia="zh-CN" w:bidi="ar"/>
              </w:rPr>
              <w:t>及时向财政部门报送本部门预算绩效管理的相关制度办法、工作考核材料、绩效指标体系、工作计划总结、本部门预算绩效管理的工作动态信息的得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分，否则不得分。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按规定及时报送</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（五）协同配合</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34.</w:t>
            </w:r>
            <w:r>
              <w:rPr>
                <w:rFonts w:hint="eastAsia" w:ascii="宋体" w:hAnsi="宋体" w:eastAsia="宋体" w:cs="宋体"/>
                <w:i w:val="0"/>
                <w:iCs w:val="0"/>
                <w:color w:val="000000"/>
                <w:kern w:val="0"/>
                <w:sz w:val="21"/>
                <w:szCs w:val="21"/>
                <w:u w:val="none"/>
                <w:lang w:val="en-US" w:eastAsia="zh-CN" w:bidi="ar"/>
              </w:rPr>
              <w:t>积极参加财政部门组织的预算绩效管理会议、学习的得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分，每缺席一次扣</w:t>
            </w:r>
            <w:r>
              <w:rPr>
                <w:rFonts w:hint="default" w:ascii="Times New Roman" w:hAnsi="Times New Roman" w:eastAsia="宋体" w:cs="Times New Roman"/>
                <w:i w:val="0"/>
                <w:iCs w:val="0"/>
                <w:color w:val="000000"/>
                <w:kern w:val="0"/>
                <w:sz w:val="21"/>
                <w:szCs w:val="21"/>
                <w:u w:val="none"/>
                <w:lang w:val="en-US" w:eastAsia="zh-CN" w:bidi="ar"/>
              </w:rPr>
              <w:t>0.5</w:t>
            </w:r>
            <w:r>
              <w:rPr>
                <w:rFonts w:hint="eastAsia" w:ascii="宋体" w:hAnsi="宋体" w:eastAsia="宋体" w:cs="宋体"/>
                <w:i w:val="0"/>
                <w:iCs w:val="0"/>
                <w:color w:val="000000"/>
                <w:kern w:val="0"/>
                <w:sz w:val="21"/>
                <w:szCs w:val="21"/>
                <w:u w:val="none"/>
                <w:lang w:val="en-US" w:eastAsia="zh-CN" w:bidi="ar"/>
              </w:rPr>
              <w:t>分，扣完为止。</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全部参加会议</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35.</w:t>
            </w:r>
            <w:r>
              <w:rPr>
                <w:rFonts w:hint="eastAsia" w:ascii="宋体" w:hAnsi="宋体" w:eastAsia="宋体" w:cs="宋体"/>
                <w:i w:val="0"/>
                <w:iCs w:val="0"/>
                <w:color w:val="000000"/>
                <w:kern w:val="0"/>
                <w:sz w:val="21"/>
                <w:szCs w:val="21"/>
                <w:u w:val="none"/>
                <w:lang w:val="en-US" w:eastAsia="zh-CN" w:bidi="ar"/>
              </w:rPr>
              <w:t>认真做好财政部门组织评价项目的配合工作，及时提供相关资料，协调现场勘查、调查等事宜的得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分，否则相应扣分。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认真配合工作，及时提供相关资料</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36.</w:t>
            </w:r>
            <w:r>
              <w:rPr>
                <w:rFonts w:hint="eastAsia" w:ascii="宋体" w:hAnsi="宋体" w:eastAsia="宋体" w:cs="宋体"/>
                <w:i w:val="0"/>
                <w:iCs w:val="0"/>
                <w:color w:val="000000"/>
                <w:kern w:val="0"/>
                <w:sz w:val="21"/>
                <w:szCs w:val="21"/>
                <w:u w:val="none"/>
                <w:lang w:val="en-US" w:eastAsia="zh-CN" w:bidi="ar"/>
              </w:rPr>
              <w:t>按规定报送预算绩效管理工作考核自评材料且工作总结内容翔实的得</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分；逾期报送的不得分；逾期</w:t>
            </w:r>
            <w:r>
              <w:rPr>
                <w:rFonts w:hint="default" w:ascii="Times New Roman" w:hAnsi="Times New Roman" w:eastAsia="宋体" w:cs="Times New Roman"/>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天的取消考核评比资格。工作总结内容缺失的酌情扣分。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按规定按时报送材料</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四、加分项（最高加</w:t>
            </w:r>
            <w:r>
              <w:rPr>
                <w:rFonts w:hint="default" w:ascii="Times New Roman" w:hAnsi="Times New Roman" w:eastAsia="宋体" w:cs="Times New Roman"/>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提供获得表彰的相关文件材料</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在组织实施预算绩效管理过程中，被县财政局或上级部门评定为</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优</w:t>
            </w:r>
            <w:r>
              <w:rPr>
                <w:rFonts w:hint="default" w:ascii="Times New Roman" w:hAnsi="Times New Roman" w:eastAsia="宋体" w:cs="Times New Roman"/>
                <w:i w:val="0"/>
                <w:iCs w:val="0"/>
                <w:color w:val="000000"/>
                <w:kern w:val="0"/>
                <w:sz w:val="21"/>
                <w:szCs w:val="21"/>
                <w:u w:val="none"/>
                <w:lang w:val="en-US" w:eastAsia="zh-CN" w:bidi="ar"/>
              </w:rPr>
              <w:t>”，每次加1分，最高加2分。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请将主要内容、创新举措、取得成效和典型经验等形成专项经验材料</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 </w:t>
            </w:r>
            <w:r>
              <w:rPr>
                <w:rFonts w:hint="eastAsia" w:ascii="宋体" w:hAnsi="宋体" w:eastAsia="宋体" w:cs="宋体"/>
                <w:i w:val="0"/>
                <w:iCs w:val="0"/>
                <w:color w:val="000000"/>
                <w:kern w:val="0"/>
                <w:sz w:val="21"/>
                <w:szCs w:val="21"/>
                <w:u w:val="none"/>
                <w:lang w:val="en-US" w:eastAsia="zh-CN" w:bidi="ar"/>
              </w:rPr>
              <w:t>推进绩效与预算深度融合，在预算编制、资金分配、统筹平衡等方面有创新举措，取得明显成效的，经县财政局复评认定后予以加分，最高加</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8"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、绩效评价工作委托函或合同等</w:t>
            </w:r>
          </w:p>
        </w:tc>
        <w:tc>
          <w:tcPr>
            <w:tcW w:w="3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引入第三方机构参与事前绩效评估、绩效评价环节的，每环节加</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分，最高</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、第三方绩效评价报告等</w:t>
            </w:r>
          </w:p>
        </w:tc>
        <w:tc>
          <w:tcPr>
            <w:tcW w:w="3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积极参加省财政厅预算绩效管理知识竞赛，获得优秀组织奖的加</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五、减分项（最高减</w:t>
            </w:r>
            <w:r>
              <w:rPr>
                <w:rFonts w:hint="default" w:ascii="Times New Roman" w:hAnsi="Times New Roman" w:eastAsia="宋体" w:cs="Times New Roman"/>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分）</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在组织实施预算绩效管理过程中，被县财政局或上级部门评定为</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差</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，每次减</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分，最高减</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 </w:t>
            </w:r>
            <w:r>
              <w:rPr>
                <w:rFonts w:hint="eastAsia" w:ascii="宋体" w:hAnsi="宋体" w:eastAsia="宋体" w:cs="宋体"/>
                <w:i w:val="0"/>
                <w:iCs w:val="0"/>
                <w:color w:val="000000"/>
                <w:kern w:val="0"/>
                <w:sz w:val="21"/>
                <w:szCs w:val="21"/>
                <w:u w:val="none"/>
                <w:lang w:val="en-US" w:eastAsia="zh-CN" w:bidi="ar"/>
              </w:rPr>
              <w:t>在组织实施预算绩效管理过程中，因工作推进不力、绩效管理混乱等情况被县财政局</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工作督促</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责令整改</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约谈</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，每次减</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分，最高减</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5" w:hRule="atLeast"/>
        </w:trPr>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该项无需提供佐证资料</w:t>
            </w:r>
            <w:r>
              <w:rPr>
                <w:rFonts w:hint="eastAsia" w:ascii="宋体" w:hAnsi="宋体" w:eastAsia="宋体" w:cs="宋体"/>
                <w:i w:val="0"/>
                <w:iCs w:val="0"/>
                <w:color w:val="000000"/>
                <w:kern w:val="0"/>
                <w:sz w:val="21"/>
                <w:szCs w:val="21"/>
                <w:u w:val="none"/>
                <w:lang w:val="en-US" w:eastAsia="zh-CN" w:bidi="ar"/>
              </w:rPr>
              <w:t>，按照县财政局日常掌握情况综合评定</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被上级有关部门或本级人大、审计部门、巡视巡察、财政监督检查等发现反映有关预算绩效管理方面问题的，每一次扣</w:t>
            </w: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分，最高减</w:t>
            </w: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1"/>
                <w:szCs w:val="21"/>
                <w:u w:val="none"/>
              </w:rPr>
            </w:pPr>
          </w:p>
        </w:tc>
      </w:tr>
    </w:tbl>
    <w:p/>
    <w:p>
      <w:pPr>
        <w:pStyle w:val="2"/>
        <w:sectPr>
          <w:pgSz w:w="16838" w:h="11906" w:orient="landscape"/>
          <w:pgMar w:top="1800" w:right="1440" w:bottom="1800" w:left="1440" w:header="851" w:footer="992" w:gutter="0"/>
          <w:pgNumType w:start="1"/>
          <w:cols w:space="425" w:num="1"/>
          <w:titlePg/>
          <w:docGrid w:type="lines" w:linePitch="312" w:charSpace="0"/>
        </w:sectPr>
      </w:pPr>
    </w:p>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乐至县白僵蚕产业园建设项目前期工作经费</w:t>
      </w:r>
      <w:r>
        <w:rPr>
          <w:rFonts w:hint="eastAsia" w:eastAsia="方正楷体简体"/>
          <w:b/>
          <w:sz w:val="32"/>
          <w:szCs w:val="32"/>
        </w:rPr>
        <w:t>项目）</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（一）概况</w:t>
      </w:r>
    </w:p>
    <w:p>
      <w:pPr>
        <w:spacing w:line="580" w:lineRule="exact"/>
        <w:ind w:firstLine="640" w:firstLineChars="200"/>
        <w:rPr>
          <w:rFonts w:hint="eastAsia" w:eastAsia="方正仿宋简体"/>
          <w:sz w:val="32"/>
          <w:szCs w:val="32"/>
        </w:rPr>
      </w:pPr>
      <w:r>
        <w:rPr>
          <w:rFonts w:hint="eastAsia" w:eastAsia="方正仿宋简体"/>
          <w:sz w:val="32"/>
          <w:szCs w:val="32"/>
        </w:rPr>
        <w:t>项目背景：</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 xml:space="preserve"> 白僵蚕是我县蚕桑产业的新兴朝阳产业</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lang w:val="en-US" w:eastAsia="zh-CN"/>
        </w:rPr>
        <w:t>市场需求大，发展前景好。为了进一步提升我县白僵蚕发展质量，扩大发展规模，提高乐至县白僵蚕市场影响，全力打造“中国白僵蚕之乡”，助力中国桑都建设，2021年，经认真考察，科学谋划，策划包装了乐至县白僵蚕产业园建设项目，项目于2021年11月立项，并上报申请地方专项债券资金。</w:t>
      </w:r>
    </w:p>
    <w:p>
      <w:pPr>
        <w:spacing w:line="580" w:lineRule="exact"/>
        <w:ind w:firstLine="640" w:firstLineChars="200"/>
        <w:rPr>
          <w:rFonts w:hint="eastAsia" w:eastAsia="方正仿宋简体"/>
          <w:sz w:val="32"/>
          <w:szCs w:val="32"/>
        </w:rPr>
      </w:pPr>
      <w:r>
        <w:rPr>
          <w:rFonts w:hint="eastAsia" w:eastAsia="方正仿宋简体"/>
          <w:sz w:val="32"/>
          <w:szCs w:val="32"/>
        </w:rPr>
        <w:t>建设内容：</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编制乐至县白僵蚕产业园建设项目可行性研究报告和一案两书。</w:t>
      </w:r>
    </w:p>
    <w:p>
      <w:pPr>
        <w:spacing w:line="580" w:lineRule="exact"/>
        <w:ind w:firstLine="640" w:firstLineChars="200"/>
        <w:rPr>
          <w:rFonts w:hint="eastAsia" w:eastAsia="方正仿宋简体"/>
          <w:sz w:val="32"/>
          <w:szCs w:val="32"/>
        </w:rPr>
      </w:pPr>
      <w:r>
        <w:rPr>
          <w:rFonts w:eastAsia="方正仿宋简体"/>
          <w:sz w:val="32"/>
          <w:szCs w:val="32"/>
        </w:rPr>
        <w:t>资金来源</w:t>
      </w:r>
      <w:r>
        <w:rPr>
          <w:rFonts w:hint="eastAsia" w:eastAsia="方正仿宋简体"/>
          <w:sz w:val="32"/>
          <w:szCs w:val="32"/>
        </w:rPr>
        <w:t>：</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eastAsia="zh-CN"/>
        </w:rPr>
        <w:t>县级财政资金</w:t>
      </w:r>
      <w:r>
        <w:rPr>
          <w:rFonts w:hint="eastAsia" w:eastAsia="方正仿宋简体"/>
          <w:sz w:val="32"/>
          <w:szCs w:val="32"/>
          <w:lang w:val="en-US" w:eastAsia="zh-CN"/>
        </w:rPr>
        <w:t>22.6万元。</w:t>
      </w:r>
    </w:p>
    <w:p>
      <w:pPr>
        <w:spacing w:line="580" w:lineRule="exact"/>
        <w:ind w:firstLine="640" w:firstLineChars="200"/>
        <w:rPr>
          <w:rFonts w:hint="eastAsia" w:eastAsia="方正仿宋简体"/>
          <w:sz w:val="32"/>
          <w:szCs w:val="32"/>
        </w:rPr>
      </w:pPr>
      <w:r>
        <w:rPr>
          <w:rFonts w:eastAsia="方正仿宋简体"/>
          <w:sz w:val="32"/>
          <w:szCs w:val="32"/>
        </w:rPr>
        <w:t>实施情况</w:t>
      </w:r>
      <w:r>
        <w:rPr>
          <w:rFonts w:hint="eastAsia" w:eastAsia="方正仿宋简体"/>
          <w:sz w:val="32"/>
          <w:szCs w:val="32"/>
        </w:rPr>
        <w:t>：</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eastAsia="方正仿宋简体"/>
          <w:sz w:val="32"/>
          <w:szCs w:val="32"/>
          <w:lang w:val="en-US" w:eastAsia="zh-CN"/>
        </w:rPr>
        <w:t>2022年4月底前编制完成</w:t>
      </w:r>
      <w:r>
        <w:rPr>
          <w:rFonts w:hint="eastAsia" w:ascii="Times New Roman" w:hAnsi="Times New Roman" w:eastAsia="方正仿宋简体" w:cs="Times New Roman"/>
          <w:sz w:val="32"/>
          <w:szCs w:val="32"/>
          <w:lang w:val="en-US" w:eastAsia="zh-CN"/>
        </w:rPr>
        <w:t>乐至县白僵蚕产业园建设项目可行性研究报告和一案两书。</w:t>
      </w:r>
    </w:p>
    <w:p>
      <w:pPr>
        <w:spacing w:line="580" w:lineRule="exact"/>
        <w:ind w:firstLine="640" w:firstLineChars="200"/>
        <w:rPr>
          <w:rFonts w:hint="eastAsia" w:eastAsia="方正仿宋简体"/>
          <w:sz w:val="32"/>
          <w:szCs w:val="32"/>
        </w:rPr>
      </w:pPr>
      <w:r>
        <w:rPr>
          <w:rFonts w:eastAsia="方正仿宋简体"/>
          <w:sz w:val="32"/>
          <w:szCs w:val="32"/>
        </w:rPr>
        <w:t>组织管理情况</w:t>
      </w:r>
      <w:r>
        <w:rPr>
          <w:rFonts w:hint="eastAsia" w:eastAsia="方正仿宋简体"/>
          <w:sz w:val="32"/>
          <w:szCs w:val="32"/>
        </w:rPr>
        <w:t>：</w:t>
      </w:r>
    </w:p>
    <w:p>
      <w:pPr>
        <w:spacing w:line="580" w:lineRule="exact"/>
        <w:ind w:firstLine="640" w:firstLineChars="200"/>
        <w:rPr>
          <w:rFonts w:hint="eastAsia" w:eastAsia="方正仿宋简体"/>
          <w:sz w:val="32"/>
          <w:szCs w:val="32"/>
        </w:rPr>
      </w:pPr>
      <w:r>
        <w:rPr>
          <w:rFonts w:hint="eastAsia" w:eastAsia="方正仿宋简体"/>
          <w:sz w:val="32"/>
          <w:szCs w:val="32"/>
          <w:lang w:eastAsia="zh-CN"/>
        </w:rPr>
        <w:t>乐至县蚕桑局指导乐至县乐兴现代农业开发有限公司与相关的专业机构签定咨询合同，</w:t>
      </w:r>
      <w:r>
        <w:rPr>
          <w:rFonts w:hint="eastAsia" w:eastAsia="方正仿宋简体"/>
          <w:sz w:val="32"/>
          <w:szCs w:val="32"/>
          <w:lang w:val="en-US" w:eastAsia="zh-CN"/>
        </w:rPr>
        <w:t>2021年11月与四川飞红工程管理咨询有限公司答订乐至县白僵蚕产业园建设项目可行性研究报告合同，2022年2月与成都恒瑞兴工程项目管理有限公司签订乐至县白僵蚕产业园建设项目实施方案咨询合同，2022年2月与四川博锐会计师事务所有限责任公司签订乐至县白僵蚕产业园建设项目专项债券项目财务评估报告咨询合同，2022年2月与四川缘一律师事务所签订乐至县白僵蚕产业园建设项目专项法律顾问合同。合同明确各机构的职能、职责及报告书完成时限等，报告完成后经验收合后划拨资金。</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2022年4月底前编制完成乐至县白僵蚕产业园建设项目可行性研究报告和一案两书。</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0" w:firstLineChars="200"/>
        <w:rPr>
          <w:rFonts w:hint="eastAsia" w:eastAsia="方正黑体简体"/>
          <w:sz w:val="32"/>
          <w:szCs w:val="32"/>
        </w:rPr>
      </w:pPr>
      <w:r>
        <w:rPr>
          <w:rFonts w:hint="eastAsia" w:eastAsia="方正仿宋简体"/>
          <w:sz w:val="32"/>
          <w:szCs w:val="32"/>
        </w:rPr>
        <w:t>局财务部门为主、业务股室配合收集绩效评价资料，开展</w:t>
      </w:r>
      <w:r>
        <w:rPr>
          <w:rFonts w:eastAsia="方正仿宋简体"/>
          <w:sz w:val="32"/>
          <w:szCs w:val="32"/>
        </w:rPr>
        <w:t>绩效评价工作</w:t>
      </w:r>
      <w:r>
        <w:rPr>
          <w:rFonts w:hint="eastAsia" w:eastAsia="方正仿宋简体"/>
          <w:sz w:val="32"/>
          <w:szCs w:val="32"/>
        </w:rPr>
        <w:t>，通过翻阅资料，</w:t>
      </w:r>
      <w:r>
        <w:rPr>
          <w:rFonts w:eastAsia="方正仿宋简体"/>
          <w:sz w:val="32"/>
          <w:szCs w:val="32"/>
        </w:rPr>
        <w:t>资金落实、业务管理、财务管理、项目产出等方面进行了充分评估</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eastAsia="方正黑体简体"/>
          <w:sz w:val="32"/>
          <w:szCs w:val="32"/>
        </w:rPr>
      </w:pPr>
      <w:r>
        <w:rPr>
          <w:rFonts w:hint="eastAsia" w:eastAsia="方正仿宋简体"/>
          <w:sz w:val="32"/>
          <w:szCs w:val="32"/>
          <w:lang w:val="en-US" w:eastAsia="zh-CN"/>
        </w:rPr>
        <w:t>乐至县白僵蚕产业园建设项目前期工作经费</w:t>
      </w:r>
      <w:r>
        <w:rPr>
          <w:rFonts w:hint="eastAsia" w:eastAsia="方正仿宋简体"/>
          <w:sz w:val="32"/>
          <w:szCs w:val="32"/>
        </w:rPr>
        <w:t>项目</w:t>
      </w:r>
      <w:r>
        <w:rPr>
          <w:rFonts w:hint="eastAsia" w:eastAsia="方正仿宋简体"/>
          <w:sz w:val="32"/>
          <w:szCs w:val="32"/>
          <w:lang w:eastAsia="zh-CN"/>
        </w:rPr>
        <w:t>评分为</w:t>
      </w:r>
      <w:r>
        <w:rPr>
          <w:rFonts w:hint="eastAsia" w:eastAsia="方正仿宋简体"/>
          <w:sz w:val="32"/>
          <w:szCs w:val="32"/>
          <w:lang w:val="en-US" w:eastAsia="zh-CN"/>
        </w:rPr>
        <w:t>95分，评价等级为优。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eastAsia="方正仿宋简体"/>
          <w:sz w:val="32"/>
          <w:szCs w:val="32"/>
        </w:rPr>
      </w:pPr>
      <w:r>
        <w:rPr>
          <w:rFonts w:hint="eastAsia" w:eastAsia="方正仿宋简体"/>
          <w:sz w:val="32"/>
          <w:szCs w:val="32"/>
        </w:rPr>
        <w:t>（一）项目投入分析。</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2022年乐至县白僵蚕产业园建设项目前期工作经费</w:t>
      </w:r>
      <w:r>
        <w:rPr>
          <w:rFonts w:hint="eastAsia" w:eastAsia="方正仿宋简体"/>
          <w:sz w:val="32"/>
          <w:szCs w:val="32"/>
        </w:rPr>
        <w:t>项目立项依据充分、立项程序规范，项目符合国家相关法律法规、国民经济发展规划和政府决策，项目绩效目标明确。</w:t>
      </w:r>
    </w:p>
    <w:p>
      <w:pPr>
        <w:spacing w:line="580" w:lineRule="exact"/>
        <w:ind w:firstLine="640" w:firstLineChars="200"/>
        <w:rPr>
          <w:rFonts w:hint="eastAsia" w:eastAsia="方正仿宋简体"/>
          <w:sz w:val="32"/>
          <w:szCs w:val="32"/>
        </w:rPr>
      </w:pPr>
      <w:r>
        <w:rPr>
          <w:rFonts w:hint="eastAsia" w:eastAsia="方正仿宋简体"/>
          <w:sz w:val="32"/>
          <w:szCs w:val="32"/>
        </w:rPr>
        <w:t>（二）项目过程情况分析。</w:t>
      </w:r>
    </w:p>
    <w:p>
      <w:pPr>
        <w:spacing w:line="580" w:lineRule="exact"/>
        <w:ind w:firstLine="640" w:firstLineChars="200"/>
        <w:rPr>
          <w:rFonts w:hint="eastAsia" w:eastAsia="方正仿宋简体"/>
          <w:sz w:val="32"/>
          <w:szCs w:val="32"/>
        </w:rPr>
      </w:pPr>
      <w:r>
        <w:rPr>
          <w:rFonts w:hint="eastAsia" w:eastAsia="方正仿宋简体"/>
          <w:sz w:val="32"/>
          <w:szCs w:val="32"/>
        </w:rPr>
        <w:t>项目资金使用符合国家财经法规和财务管理制度以及有关专项资金管理办法的规定，资金拨付有完整的审批程序和手续，符合项目预算批复或合同规定的用途，不存在截留、挤占、挪用、虚列支出等情况。</w:t>
      </w:r>
    </w:p>
    <w:p>
      <w:pPr>
        <w:spacing w:line="580" w:lineRule="exact"/>
        <w:ind w:firstLine="640" w:firstLineChars="200"/>
        <w:rPr>
          <w:rFonts w:eastAsia="方正仿宋简体"/>
          <w:sz w:val="32"/>
          <w:szCs w:val="32"/>
        </w:rPr>
      </w:pPr>
      <w:r>
        <w:rPr>
          <w:rFonts w:hint="eastAsia" w:eastAsia="方正仿宋简体"/>
          <w:sz w:val="32"/>
          <w:szCs w:val="32"/>
        </w:rPr>
        <w:t>项目实施过程中，</w:t>
      </w:r>
      <w:r>
        <w:rPr>
          <w:rFonts w:hint="eastAsia" w:eastAsia="方正仿宋简体"/>
          <w:sz w:val="32"/>
          <w:szCs w:val="32"/>
          <w:lang w:eastAsia="zh-CN"/>
        </w:rPr>
        <w:t>乐至县蚕桑局</w:t>
      </w:r>
      <w:r>
        <w:rPr>
          <w:rFonts w:hint="eastAsia" w:eastAsia="方正仿宋简体"/>
          <w:sz w:val="32"/>
          <w:szCs w:val="32"/>
        </w:rPr>
        <w:t>对项目实施进行指导，</w:t>
      </w:r>
      <w:r>
        <w:rPr>
          <w:rFonts w:hint="eastAsia" w:eastAsia="方正仿宋简体"/>
          <w:sz w:val="32"/>
          <w:szCs w:val="32"/>
          <w:lang w:eastAsia="zh-CN"/>
        </w:rPr>
        <w:t>提供相关资料，</w:t>
      </w:r>
      <w:r>
        <w:rPr>
          <w:rFonts w:hint="eastAsia" w:eastAsia="方正仿宋简体"/>
          <w:sz w:val="32"/>
          <w:szCs w:val="32"/>
        </w:rPr>
        <w:t>并对项目进行督导监管，对督导监管中发现的问题、项目实施缓慢或未按政策规定实施的项目单位、督促及时整改。</w:t>
      </w:r>
    </w:p>
    <w:p>
      <w:pPr>
        <w:spacing w:line="580" w:lineRule="exact"/>
        <w:ind w:firstLine="640" w:firstLineChars="200"/>
        <w:rPr>
          <w:rFonts w:hint="eastAsia" w:eastAsia="方正仿宋简体"/>
          <w:sz w:val="32"/>
          <w:szCs w:val="32"/>
        </w:rPr>
      </w:pPr>
      <w:r>
        <w:rPr>
          <w:rFonts w:hint="eastAsia" w:eastAsia="方正仿宋简体"/>
          <w:sz w:val="32"/>
          <w:szCs w:val="32"/>
        </w:rPr>
        <w:t>（三）项目产出情况分析。</w:t>
      </w:r>
    </w:p>
    <w:p>
      <w:pPr>
        <w:spacing w:line="580" w:lineRule="exact"/>
        <w:ind w:firstLine="640" w:firstLineChars="200"/>
        <w:rPr>
          <w:rFonts w:hint="eastAsia" w:eastAsia="方正仿宋简体"/>
          <w:sz w:val="32"/>
          <w:szCs w:val="32"/>
        </w:rPr>
      </w:pPr>
      <w:r>
        <w:rPr>
          <w:rFonts w:hint="eastAsia" w:eastAsia="方正仿宋简体"/>
          <w:sz w:val="32"/>
          <w:szCs w:val="32"/>
        </w:rPr>
        <w:t>项目在实际完成率、完成及时率、质量达标率、成本节约率等方面，均达到了预期目标。</w:t>
      </w:r>
    </w:p>
    <w:p>
      <w:pPr>
        <w:spacing w:line="580" w:lineRule="exact"/>
        <w:ind w:firstLine="640" w:firstLineChars="200"/>
        <w:rPr>
          <w:rFonts w:hint="eastAsia" w:eastAsia="方正仿宋简体"/>
          <w:sz w:val="32"/>
          <w:szCs w:val="32"/>
        </w:rPr>
      </w:pPr>
      <w:r>
        <w:rPr>
          <w:rFonts w:hint="eastAsia" w:eastAsia="方正仿宋简体"/>
          <w:sz w:val="32"/>
          <w:szCs w:val="32"/>
        </w:rPr>
        <w:t>（四）项目效益及满意度情况分析。</w:t>
      </w:r>
    </w:p>
    <w:p>
      <w:pPr>
        <w:spacing w:line="580" w:lineRule="exact"/>
        <w:ind w:firstLine="640" w:firstLineChars="200"/>
        <w:rPr>
          <w:rFonts w:hint="eastAsia" w:eastAsia="方正黑体简体"/>
          <w:sz w:val="32"/>
          <w:szCs w:val="32"/>
        </w:rPr>
      </w:pPr>
      <w:r>
        <w:rPr>
          <w:rFonts w:hint="eastAsia" w:eastAsia="方正仿宋简体"/>
          <w:sz w:val="32"/>
          <w:szCs w:val="32"/>
          <w:lang w:val="en-US" w:eastAsia="zh-CN"/>
        </w:rPr>
        <w:t>2022年乐至县白僵蚕产业园建设项目前期工作经费</w:t>
      </w:r>
      <w:r>
        <w:rPr>
          <w:rFonts w:hint="eastAsia" w:eastAsia="方正仿宋简体"/>
          <w:sz w:val="32"/>
          <w:szCs w:val="32"/>
        </w:rPr>
        <w:t>项目</w:t>
      </w:r>
      <w:r>
        <w:rPr>
          <w:rFonts w:hint="eastAsia" w:eastAsia="方正仿宋简体"/>
          <w:sz w:val="32"/>
          <w:szCs w:val="32"/>
          <w:lang w:eastAsia="zh-CN"/>
        </w:rPr>
        <w:t>的实施，成功申请地方专项债券资金，推动了</w:t>
      </w:r>
      <w:r>
        <w:rPr>
          <w:rFonts w:hint="eastAsia" w:eastAsia="方正仿宋简体"/>
          <w:sz w:val="32"/>
          <w:szCs w:val="32"/>
          <w:lang w:val="en-US" w:eastAsia="zh-CN"/>
        </w:rPr>
        <w:t>乐至县白僵蚕产业园建设项目工作顺利有序推进，助力乡村振兴、产业振兴，为县域济发展及”中国桑都“提供坚实支撑，产生了较明显的社会效益。</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eastAsia="zh-CN"/>
        </w:rPr>
        <w:t>事前经过充分的调查了解，选择业务能力强、信誉度高的专业机构，进行</w:t>
      </w:r>
      <w:r>
        <w:rPr>
          <w:rFonts w:hint="eastAsia" w:eastAsia="方正仿宋简体"/>
          <w:sz w:val="32"/>
          <w:szCs w:val="32"/>
          <w:lang w:val="en-US" w:eastAsia="zh-CN"/>
        </w:rPr>
        <w:t>乐至县白僵蚕产业园建设项目可行性研究报告和一案两书的编制。在编制过程中我局相关的专业技术人员提供了充分指导，及时提供相关资料，按要求的时间节点高质量完成了乐至县白僵蚕产业园建设项目可行性研究报告和一案两书的编制。</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3" w:firstLineChars="200"/>
        <w:rPr>
          <w:rFonts w:hint="eastAsia" w:eastAsia="方正楷体简体"/>
          <w:b/>
          <w:sz w:val="32"/>
          <w:szCs w:val="32"/>
        </w:rPr>
      </w:pPr>
      <w:r>
        <w:rPr>
          <w:rFonts w:hint="eastAsia" w:eastAsia="方正楷体简体"/>
          <w:b/>
          <w:sz w:val="32"/>
          <w:szCs w:val="32"/>
          <w:lang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eastAsia="方正仿宋简体"/>
          <w:sz w:val="32"/>
          <w:szCs w:val="32"/>
          <w:lang w:eastAsia="zh-CN"/>
        </w:rPr>
      </w:pPr>
      <w:r>
        <w:rPr>
          <w:rFonts w:hint="eastAsia" w:eastAsia="方正仿宋简体"/>
          <w:sz w:val="32"/>
          <w:szCs w:val="32"/>
          <w:lang w:eastAsia="zh-CN"/>
        </w:rPr>
        <w:t>无</w:t>
      </w: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headerReference r:id="rId6" w:type="default"/>
          <w:footerReference r:id="rId7" w:type="default"/>
          <w:pgSz w:w="11907" w:h="16840"/>
          <w:pgMar w:top="2098" w:right="1474" w:bottom="1928" w:left="1588" w:header="851" w:footer="992" w:gutter="0"/>
          <w:cols w:space="720" w:num="1"/>
          <w:docGrid w:type="lines" w:linePitch="312" w:charSpace="0"/>
        </w:sectPr>
      </w:pP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乐至县白僵蚕产业园建设项目前期工作经费</w:t>
      </w:r>
      <w:r>
        <w:rPr>
          <w:rFonts w:hint="eastAsia" w:eastAsia="方正楷体简体"/>
          <w:b/>
          <w:bCs/>
          <w:kern w:val="0"/>
          <w:sz w:val="32"/>
          <w:szCs w:val="32"/>
        </w:rPr>
        <w:t>项目）</w:t>
      </w:r>
    </w:p>
    <w:p>
      <w:pPr>
        <w:spacing w:line="620" w:lineRule="exact"/>
        <w:rPr>
          <w:rFonts w:hint="eastAsia" w:eastAsia="宋体"/>
          <w:sz w:val="24"/>
          <w:lang w:eastAsia="zh-CN"/>
        </w:rPr>
      </w:pPr>
      <w:r>
        <w:rPr>
          <w:rFonts w:hint="eastAsia"/>
          <w:bCs/>
          <w:kern w:val="0"/>
          <w:sz w:val="24"/>
        </w:rPr>
        <w:t>预算单位名称：</w:t>
      </w:r>
      <w:r>
        <w:rPr>
          <w:rFonts w:hint="eastAsia"/>
          <w:bCs/>
          <w:kern w:val="0"/>
          <w:sz w:val="24"/>
          <w:lang w:val="en-US" w:eastAsia="zh-CN"/>
        </w:rPr>
        <w:t xml:space="preserve">乐至县蚕桑局         </w:t>
      </w:r>
      <w:r>
        <w:rPr>
          <w:rFonts w:hint="eastAsia"/>
          <w:bCs/>
          <w:kern w:val="0"/>
          <w:sz w:val="24"/>
        </w:rPr>
        <w:t>预算单位编码：</w:t>
      </w:r>
      <w:r>
        <w:rPr>
          <w:rFonts w:hint="eastAsia"/>
          <w:bCs/>
          <w:kern w:val="0"/>
          <w:sz w:val="24"/>
          <w:lang w:val="en-US" w:eastAsia="zh-CN"/>
        </w:rPr>
        <w:t>194101</w:t>
      </w:r>
      <w:r>
        <w:rPr>
          <w:bCs/>
          <w:kern w:val="0"/>
          <w:sz w:val="24"/>
        </w:rPr>
        <w:t xml:space="preserve">    </w:t>
      </w:r>
      <w:r>
        <w:rPr>
          <w:rFonts w:hint="eastAsia"/>
          <w:bCs/>
          <w:kern w:val="0"/>
          <w:sz w:val="24"/>
        </w:rPr>
        <w:t>自评等级：</w:t>
      </w:r>
      <w:r>
        <w:rPr>
          <w:rFonts w:hint="eastAsia"/>
          <w:bCs/>
          <w:kern w:val="0"/>
          <w:sz w:val="24"/>
          <w:lang w:eastAsia="zh-CN"/>
        </w:rPr>
        <w:t>优</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8</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center"/>
        <w:rPr>
          <w:rFonts w:eastAsia="方正小标宋简体"/>
          <w:color w:val="000000"/>
          <w:spacing w:val="-12"/>
          <w:kern w:val="0"/>
          <w:sz w:val="36"/>
          <w:szCs w:val="36"/>
        </w:rPr>
      </w:pPr>
      <w:r>
        <w:rPr>
          <w:rFonts w:eastAsia="方正小标宋简体"/>
          <w:color w:val="000000"/>
          <w:spacing w:val="-12"/>
          <w:kern w:val="0"/>
          <w:sz w:val="36"/>
          <w:szCs w:val="36"/>
        </w:rPr>
        <w:t>202</w:t>
      </w:r>
      <w:r>
        <w:rPr>
          <w:rFonts w:hint="eastAsia" w:eastAsia="方正小标宋简体"/>
          <w:color w:val="000000"/>
          <w:spacing w:val="-12"/>
          <w:kern w:val="0"/>
          <w:sz w:val="36"/>
          <w:szCs w:val="36"/>
          <w:lang w:val="en-US" w:eastAsia="zh-CN"/>
        </w:rPr>
        <w:t>2</w:t>
      </w:r>
      <w:r>
        <w:rPr>
          <w:rFonts w:hint="eastAsia" w:eastAsia="方正小标宋简体"/>
          <w:color w:val="000000"/>
          <w:spacing w:val="-12"/>
          <w:kern w:val="0"/>
          <w:sz w:val="36"/>
          <w:szCs w:val="36"/>
        </w:rPr>
        <w:t>年度乐至县项目支出绩效目标完成情况表</w:t>
      </w:r>
    </w:p>
    <w:p>
      <w:pPr>
        <w:pStyle w:val="7"/>
        <w:spacing w:after="0" w:line="240" w:lineRule="exact"/>
        <w:rPr>
          <w:rFonts w:ascii="宋体"/>
        </w:rPr>
      </w:pP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65"/>
        <w:gridCol w:w="912"/>
        <w:gridCol w:w="676"/>
        <w:gridCol w:w="85"/>
        <w:gridCol w:w="679"/>
        <w:gridCol w:w="1355"/>
        <w:gridCol w:w="1623"/>
        <w:gridCol w:w="22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7597" w:type="dxa"/>
            <w:gridSpan w:val="7"/>
            <w:tcBorders>
              <w:top w:val="single" w:color="auto" w:sz="12" w:space="0"/>
            </w:tcBorders>
            <w:noWrap/>
            <w:vAlign w:val="center"/>
          </w:tcPr>
          <w:p>
            <w:pPr>
              <w:widowControl/>
              <w:spacing w:line="240" w:lineRule="exact"/>
              <w:jc w:val="both"/>
              <w:rPr>
                <w:rFonts w:hint="default" w:eastAsia="宋体"/>
                <w:color w:val="000000"/>
                <w:kern w:val="0"/>
                <w:szCs w:val="21"/>
                <w:lang w:val="en-US" w:eastAsia="zh-CN"/>
              </w:rPr>
            </w:pPr>
            <w:r>
              <w:rPr>
                <w:rFonts w:hint="eastAsia" w:eastAsia="宋体" w:cs="Times New Roman"/>
                <w:kern w:val="0"/>
                <w:sz w:val="24"/>
                <w:szCs w:val="24"/>
                <w:lang w:val="en-US" w:eastAsia="zh-CN"/>
              </w:rPr>
              <w:t>乐至县白僵蚕产业园建设项目</w:t>
            </w:r>
            <w:r>
              <w:rPr>
                <w:rFonts w:hint="eastAsia" w:cs="Times New Roman"/>
                <w:kern w:val="0"/>
                <w:sz w:val="24"/>
                <w:szCs w:val="24"/>
                <w:lang w:val="en-US" w:eastAsia="zh-CN"/>
              </w:rPr>
              <w:t>前期工作经费</w:t>
            </w:r>
            <w:r>
              <w:rPr>
                <w:rFonts w:hint="eastAsia"/>
                <w:color w:val="000000"/>
                <w:kern w:val="0"/>
                <w:szCs w:val="21"/>
                <w:lang w:val="en-US" w:eastAsia="zh-CN"/>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761" w:type="dxa"/>
            <w:gridSpan w:val="2"/>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034"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default" w:ascii="Arial" w:hAnsi="Arial" w:cs="Arial"/>
                <w:color w:val="000000"/>
                <w:kern w:val="0"/>
                <w:szCs w:val="21"/>
              </w:rPr>
              <w:t>√</w:t>
            </w:r>
          </w:p>
        </w:tc>
        <w:tc>
          <w:tcPr>
            <w:tcW w:w="761" w:type="dxa"/>
            <w:gridSpan w:val="2"/>
            <w:noWrap/>
            <w:vAlign w:val="center"/>
          </w:tcPr>
          <w:p>
            <w:pPr>
              <w:spacing w:line="240" w:lineRule="exact"/>
              <w:jc w:val="center"/>
              <w:rPr>
                <w:szCs w:val="21"/>
              </w:rPr>
            </w:pPr>
          </w:p>
        </w:tc>
        <w:tc>
          <w:tcPr>
            <w:tcW w:w="2034" w:type="dxa"/>
            <w:gridSpan w:val="2"/>
            <w:noWrap/>
            <w:vAlign w:val="center"/>
          </w:tcPr>
          <w:p>
            <w:pPr>
              <w:spacing w:line="240" w:lineRule="exact"/>
              <w:jc w:val="center"/>
              <w:rPr>
                <w:szCs w:val="21"/>
              </w:rPr>
            </w:pPr>
          </w:p>
        </w:tc>
        <w:tc>
          <w:tcPr>
            <w:tcW w:w="3890" w:type="dxa"/>
            <w:gridSpan w:val="2"/>
            <w:noWrap/>
            <w:vAlign w:val="center"/>
          </w:tcPr>
          <w:p>
            <w:pPr>
              <w:spacing w:line="240" w:lineRule="exac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3707" w:type="dxa"/>
            <w:gridSpan w:val="5"/>
            <w:noWrap/>
            <w:vAlign w:val="center"/>
          </w:tcPr>
          <w:p>
            <w:pPr>
              <w:widowControl/>
              <w:spacing w:line="240" w:lineRule="exact"/>
              <w:jc w:val="center"/>
              <w:rPr>
                <w:color w:val="000000"/>
                <w:kern w:val="0"/>
                <w:szCs w:val="21"/>
              </w:rPr>
            </w:pPr>
            <w:r>
              <w:rPr>
                <w:rFonts w:hint="eastAsia"/>
                <w:color w:val="000000"/>
                <w:kern w:val="0"/>
                <w:szCs w:val="21"/>
              </w:rPr>
              <w:t>乐至县</w:t>
            </w:r>
            <w:r>
              <w:rPr>
                <w:rFonts w:hint="eastAsia"/>
                <w:color w:val="000000"/>
                <w:kern w:val="0"/>
                <w:szCs w:val="21"/>
                <w:lang w:val="en-US" w:eastAsia="zh-CN"/>
              </w:rPr>
              <w:t>蚕桑</w:t>
            </w:r>
            <w:r>
              <w:rPr>
                <w:rFonts w:hint="eastAsia"/>
                <w:color w:val="000000"/>
                <w:kern w:val="0"/>
                <w:szCs w:val="21"/>
              </w:rPr>
              <w:t>局　</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26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194101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764" w:type="dxa"/>
            <w:gridSpan w:val="2"/>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2260</w:t>
            </w:r>
          </w:p>
        </w:tc>
        <w:tc>
          <w:tcPr>
            <w:tcW w:w="135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2260</w:t>
            </w:r>
          </w:p>
        </w:tc>
        <w:tc>
          <w:tcPr>
            <w:tcW w:w="1355" w:type="dxa"/>
            <w:noWrap/>
            <w:vAlign w:val="center"/>
          </w:tcPr>
          <w:p>
            <w:pPr>
              <w:widowControl/>
              <w:spacing w:line="240" w:lineRule="exact"/>
              <w:ind w:firstLine="210" w:firstLineChars="100"/>
              <w:jc w:val="left"/>
              <w:rPr>
                <w:rFonts w:hint="eastAsia"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764" w:type="dxa"/>
            <w:gridSpan w:val="2"/>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67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2260</w:t>
            </w:r>
          </w:p>
        </w:tc>
        <w:tc>
          <w:tcPr>
            <w:tcW w:w="764" w:type="dxa"/>
            <w:gridSpan w:val="2"/>
            <w:noWrap/>
            <w:vAlign w:val="center"/>
          </w:tcPr>
          <w:p>
            <w:pPr>
              <w:widowControl/>
              <w:spacing w:line="240" w:lineRule="exact"/>
              <w:jc w:val="both"/>
              <w:rPr>
                <w:rFonts w:hint="default" w:eastAsia="宋体"/>
                <w:color w:val="000000"/>
                <w:kern w:val="0"/>
                <w:szCs w:val="21"/>
                <w:lang w:val="en-US" w:eastAsia="zh-CN"/>
              </w:rPr>
            </w:pPr>
            <w:r>
              <w:rPr>
                <w:rFonts w:hint="eastAsia" w:ascii="Times New Roman" w:hAnsi="Times New Roman" w:cs="Times New Roman"/>
                <w:color w:val="000000"/>
                <w:kern w:val="0"/>
                <w:szCs w:val="21"/>
                <w:lang w:val="en-US" w:eastAsia="zh-CN"/>
              </w:rPr>
              <w:t>2260</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67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64" w:type="dxa"/>
            <w:gridSpan w:val="2"/>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135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5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119" w:type="dxa"/>
            <w:gridSpan w:val="3"/>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75" w:hRule="atLeast"/>
          <w:jc w:val="center"/>
        </w:trPr>
        <w:tc>
          <w:tcPr>
            <w:tcW w:w="765" w:type="dxa"/>
            <w:vMerge w:val="continue"/>
            <w:vAlign w:val="center"/>
          </w:tcPr>
          <w:p>
            <w:pPr>
              <w:widowControl/>
              <w:spacing w:line="240" w:lineRule="exact"/>
              <w:jc w:val="left"/>
              <w:rPr>
                <w:color w:val="000000"/>
                <w:kern w:val="0"/>
                <w:szCs w:val="21"/>
              </w:rPr>
            </w:pPr>
          </w:p>
        </w:tc>
        <w:tc>
          <w:tcPr>
            <w:tcW w:w="1588" w:type="dxa"/>
            <w:gridSpan w:val="2"/>
            <w:noWrap/>
            <w:vAlign w:val="center"/>
          </w:tcPr>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目标一：完成项目可行性研究报告</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目标二：完成一案两书编制</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目标三：在</w:t>
            </w:r>
            <w:r>
              <w:rPr>
                <w:rFonts w:hint="eastAsia" w:ascii="Times New Roman" w:hAnsi="Times New Roman" w:cs="Times New Roman"/>
                <w:kern w:val="0"/>
                <w:sz w:val="18"/>
                <w:szCs w:val="18"/>
                <w:lang w:val="en-US" w:eastAsia="zh-CN"/>
              </w:rPr>
              <w:t>2022年4月前完成</w:t>
            </w:r>
            <w:r>
              <w:rPr>
                <w:rFonts w:hint="eastAsia" w:ascii="Times New Roman" w:hAnsi="Times New Roman" w:cs="Times New Roman"/>
                <w:kern w:val="0"/>
                <w:sz w:val="18"/>
                <w:szCs w:val="18"/>
                <w:lang w:eastAsia="zh-CN"/>
              </w:rPr>
              <w:t>可研报告和一案两书</w:t>
            </w:r>
          </w:p>
          <w:p>
            <w:pPr>
              <w:spacing w:line="29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目标四：在</w:t>
            </w:r>
            <w:r>
              <w:rPr>
                <w:rFonts w:hint="eastAsia" w:ascii="Times New Roman" w:hAnsi="Times New Roman" w:cs="Times New Roman"/>
                <w:kern w:val="0"/>
                <w:sz w:val="18"/>
                <w:szCs w:val="18"/>
                <w:lang w:val="en-US" w:eastAsia="zh-CN"/>
              </w:rPr>
              <w:t>2022年4月通过省级专项债券资金评审</w:t>
            </w:r>
          </w:p>
          <w:p>
            <w:pPr>
              <w:widowControl/>
              <w:spacing w:line="240" w:lineRule="exact"/>
              <w:jc w:val="left"/>
              <w:rPr>
                <w:color w:val="000000"/>
                <w:kern w:val="0"/>
                <w:sz w:val="18"/>
                <w:szCs w:val="18"/>
              </w:rPr>
            </w:pPr>
          </w:p>
        </w:tc>
        <w:tc>
          <w:tcPr>
            <w:tcW w:w="2119" w:type="dxa"/>
            <w:gridSpan w:val="3"/>
            <w:noWrap/>
            <w:vAlign w:val="center"/>
          </w:tcPr>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目标一：</w:t>
            </w:r>
            <w:r>
              <w:rPr>
                <w:rFonts w:hint="eastAsia" w:cs="Times New Roman"/>
                <w:kern w:val="0"/>
                <w:sz w:val="18"/>
                <w:szCs w:val="18"/>
                <w:lang w:val="en-US" w:eastAsia="zh-CN"/>
              </w:rPr>
              <w:t>已</w:t>
            </w:r>
            <w:r>
              <w:rPr>
                <w:rFonts w:hint="eastAsia" w:ascii="Times New Roman" w:hAnsi="Times New Roman" w:cs="Times New Roman"/>
                <w:kern w:val="0"/>
                <w:sz w:val="18"/>
                <w:szCs w:val="18"/>
                <w:lang w:eastAsia="zh-CN"/>
              </w:rPr>
              <w:t>完成项目可行性研究报告</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目标二：</w:t>
            </w:r>
            <w:r>
              <w:rPr>
                <w:rFonts w:hint="eastAsia" w:cs="Times New Roman"/>
                <w:kern w:val="0"/>
                <w:sz w:val="18"/>
                <w:szCs w:val="18"/>
                <w:lang w:val="en-US" w:eastAsia="zh-CN"/>
              </w:rPr>
              <w:t>已</w:t>
            </w:r>
            <w:r>
              <w:rPr>
                <w:rFonts w:hint="eastAsia" w:ascii="Times New Roman" w:hAnsi="Times New Roman" w:cs="Times New Roman"/>
                <w:kern w:val="0"/>
                <w:sz w:val="18"/>
                <w:szCs w:val="18"/>
                <w:lang w:eastAsia="zh-CN"/>
              </w:rPr>
              <w:t>完成一案两书编制</w:t>
            </w:r>
          </w:p>
          <w:p>
            <w:pPr>
              <w:spacing w:line="290" w:lineRule="exact"/>
              <w:jc w:val="left"/>
              <w:rPr>
                <w:rFonts w:hint="eastAsia" w:ascii="Times New Roman" w:hAnsi="Times New Roman" w:cs="Times New Roman"/>
                <w:kern w:val="0"/>
                <w:sz w:val="18"/>
                <w:szCs w:val="18"/>
                <w:lang w:eastAsia="zh-CN"/>
              </w:rPr>
            </w:pPr>
            <w:r>
              <w:rPr>
                <w:rFonts w:hint="eastAsia" w:ascii="Times New Roman" w:hAnsi="Times New Roman" w:cs="Times New Roman"/>
                <w:kern w:val="0"/>
                <w:sz w:val="18"/>
                <w:szCs w:val="18"/>
                <w:lang w:eastAsia="zh-CN"/>
              </w:rPr>
              <w:t>目标三：在</w:t>
            </w:r>
            <w:r>
              <w:rPr>
                <w:rFonts w:hint="eastAsia" w:ascii="Times New Roman" w:hAnsi="Times New Roman" w:cs="Times New Roman"/>
                <w:kern w:val="0"/>
                <w:sz w:val="18"/>
                <w:szCs w:val="18"/>
                <w:lang w:val="en-US" w:eastAsia="zh-CN"/>
              </w:rPr>
              <w:t>2022年4月前</w:t>
            </w:r>
            <w:r>
              <w:rPr>
                <w:rFonts w:hint="eastAsia" w:cs="Times New Roman"/>
                <w:kern w:val="0"/>
                <w:sz w:val="18"/>
                <w:szCs w:val="18"/>
                <w:lang w:val="en-US" w:eastAsia="zh-CN"/>
              </w:rPr>
              <w:t>已</w:t>
            </w:r>
            <w:r>
              <w:rPr>
                <w:rFonts w:hint="eastAsia" w:ascii="Times New Roman" w:hAnsi="Times New Roman" w:cs="Times New Roman"/>
                <w:kern w:val="0"/>
                <w:sz w:val="18"/>
                <w:szCs w:val="18"/>
                <w:lang w:val="en-US" w:eastAsia="zh-CN"/>
              </w:rPr>
              <w:t>完成</w:t>
            </w:r>
            <w:r>
              <w:rPr>
                <w:rFonts w:hint="eastAsia" w:ascii="Times New Roman" w:hAnsi="Times New Roman" w:cs="Times New Roman"/>
                <w:kern w:val="0"/>
                <w:sz w:val="18"/>
                <w:szCs w:val="18"/>
                <w:lang w:eastAsia="zh-CN"/>
              </w:rPr>
              <w:t>可研报告和一案两书</w:t>
            </w:r>
          </w:p>
          <w:p>
            <w:pPr>
              <w:spacing w:line="29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目标四：在</w:t>
            </w:r>
            <w:r>
              <w:rPr>
                <w:rFonts w:hint="eastAsia" w:ascii="Times New Roman" w:hAnsi="Times New Roman" w:cs="Times New Roman"/>
                <w:kern w:val="0"/>
                <w:sz w:val="18"/>
                <w:szCs w:val="18"/>
                <w:lang w:val="en-US" w:eastAsia="zh-CN"/>
              </w:rPr>
              <w:t>2022年4月</w:t>
            </w:r>
            <w:r>
              <w:rPr>
                <w:rFonts w:hint="eastAsia" w:cs="Times New Roman"/>
                <w:kern w:val="0"/>
                <w:sz w:val="18"/>
                <w:szCs w:val="18"/>
                <w:lang w:val="en-US" w:eastAsia="zh-CN"/>
              </w:rPr>
              <w:t>已</w:t>
            </w:r>
            <w:r>
              <w:rPr>
                <w:rFonts w:hint="eastAsia" w:ascii="Times New Roman" w:hAnsi="Times New Roman" w:cs="Times New Roman"/>
                <w:kern w:val="0"/>
                <w:sz w:val="18"/>
                <w:szCs w:val="18"/>
                <w:lang w:val="en-US" w:eastAsia="zh-CN"/>
              </w:rPr>
              <w:t>通过省级专项债券资金评审</w:t>
            </w:r>
          </w:p>
          <w:p>
            <w:pPr>
              <w:widowControl/>
              <w:spacing w:line="240" w:lineRule="exact"/>
              <w:jc w:val="center"/>
              <w:rPr>
                <w:color w:val="000000"/>
                <w:kern w:val="0"/>
                <w:sz w:val="18"/>
                <w:szCs w:val="18"/>
              </w:rPr>
            </w:pP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764" w:type="dxa"/>
            <w:gridSpan w:val="2"/>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编制1份可研报告</w:t>
            </w:r>
          </w:p>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编制1份一案两书</w:t>
            </w:r>
          </w:p>
        </w:tc>
        <w:tc>
          <w:tcPr>
            <w:tcW w:w="1623"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完成1份可研报告</w:t>
            </w:r>
          </w:p>
          <w:p>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完成1份一案两书</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2022年4月100%通过省级专项债劵资金</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在2022年4月100%通过省级专项债劵资金审定</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eastAsia"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2021年12月</w:t>
            </w:r>
            <w:r>
              <w:rPr>
                <w:rFonts w:hint="default" w:ascii="Times New Roman" w:hAnsi="Times New Roman" w:cs="Times New Roman"/>
                <w:color w:val="000000"/>
                <w:kern w:val="0"/>
                <w:szCs w:val="21"/>
                <w:lang w:val="en-US" w:eastAsia="zh-CN"/>
              </w:rPr>
              <w:t>按时</w:t>
            </w:r>
            <w:r>
              <w:rPr>
                <w:rFonts w:hint="eastAsia" w:ascii="Times New Roman" w:hAnsi="Times New Roman" w:cs="Times New Roman"/>
                <w:color w:val="000000"/>
                <w:kern w:val="0"/>
                <w:szCs w:val="21"/>
                <w:lang w:val="en-US" w:eastAsia="zh-CN"/>
              </w:rPr>
              <w:t>取得可研报告</w:t>
            </w:r>
          </w:p>
          <w:p>
            <w:pPr>
              <w:widowControl/>
              <w:spacing w:line="240" w:lineRule="exact"/>
              <w:jc w:val="left"/>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2022年3月按时取得一案两书</w:t>
            </w:r>
          </w:p>
        </w:tc>
        <w:tc>
          <w:tcPr>
            <w:tcW w:w="1623" w:type="dxa"/>
            <w:noWrap/>
            <w:vAlign w:val="center"/>
          </w:tcPr>
          <w:p>
            <w:pPr>
              <w:widowControl/>
              <w:spacing w:line="240" w:lineRule="exact"/>
              <w:jc w:val="left"/>
              <w:rPr>
                <w:rFonts w:hint="eastAsia"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2021年12月</w:t>
            </w:r>
            <w:r>
              <w:rPr>
                <w:rFonts w:hint="default" w:ascii="Times New Roman" w:hAnsi="Times New Roman" w:cs="Times New Roman"/>
                <w:color w:val="000000"/>
                <w:kern w:val="0"/>
                <w:szCs w:val="21"/>
                <w:lang w:val="en-US" w:eastAsia="zh-CN"/>
              </w:rPr>
              <w:t>按时</w:t>
            </w:r>
            <w:r>
              <w:rPr>
                <w:rFonts w:hint="eastAsia" w:ascii="Times New Roman" w:hAnsi="Times New Roman" w:cs="Times New Roman"/>
                <w:color w:val="000000"/>
                <w:kern w:val="0"/>
                <w:szCs w:val="21"/>
                <w:lang w:val="en-US" w:eastAsia="zh-CN"/>
              </w:rPr>
              <w:t>完成可研报告</w:t>
            </w:r>
          </w:p>
          <w:p>
            <w:pPr>
              <w:widowControl/>
              <w:spacing w:line="240" w:lineRule="exact"/>
              <w:jc w:val="left"/>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2022年3月按时完成一案两书</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5"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推动项目实施效果达到优</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推动项目实施效果已达到优</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continue"/>
            <w:vAlign w:val="center"/>
          </w:tcPr>
          <w:p>
            <w:pPr>
              <w:widowControl/>
              <w:spacing w:line="240" w:lineRule="exact"/>
              <w:jc w:val="left"/>
              <w:rPr>
                <w:color w:val="000000"/>
                <w:kern w:val="0"/>
                <w:szCs w:val="21"/>
              </w:rPr>
            </w:pP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color w:val="000000"/>
                <w:kern w:val="0"/>
                <w:szCs w:val="21"/>
              </w:rPr>
            </w:pP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color w:val="000000"/>
                <w:kern w:val="0"/>
                <w:szCs w:val="21"/>
              </w:rPr>
            </w:pP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vMerge w:val="continue"/>
            <w:vAlign w:val="center"/>
          </w:tcPr>
          <w:p>
            <w:pPr>
              <w:widowControl/>
              <w:spacing w:line="240" w:lineRule="exact"/>
              <w:jc w:val="left"/>
              <w:rPr>
                <w:color w:val="000000"/>
                <w:kern w:val="0"/>
                <w:szCs w:val="21"/>
              </w:rPr>
            </w:pP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color w:val="000000"/>
                <w:kern w:val="0"/>
                <w:szCs w:val="21"/>
              </w:rPr>
            </w:pPr>
          </w:p>
        </w:tc>
        <w:tc>
          <w:tcPr>
            <w:tcW w:w="1623"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本行业未来可持续发展的影响</w:t>
            </w:r>
            <w:r>
              <w:rPr>
                <w:rFonts w:hint="eastAsia" w:ascii="宋体" w:hAnsi="宋体"/>
                <w:color w:val="000000"/>
                <w:kern w:val="0"/>
                <w:szCs w:val="21"/>
              </w:rPr>
              <w:t>≥</w:t>
            </w:r>
            <w:r>
              <w:rPr>
                <w:rFonts w:hint="eastAsia" w:ascii="宋体" w:hAnsi="宋体"/>
                <w:color w:val="000000"/>
                <w:kern w:val="0"/>
                <w:szCs w:val="21"/>
                <w:lang w:val="en-US" w:eastAsia="zh-CN"/>
              </w:rPr>
              <w:t>15年</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本行业未来可持续发展的影响</w:t>
            </w:r>
            <w:r>
              <w:rPr>
                <w:rFonts w:hint="eastAsia" w:ascii="宋体" w:hAnsi="宋体"/>
                <w:color w:val="000000"/>
                <w:kern w:val="0"/>
                <w:szCs w:val="21"/>
              </w:rPr>
              <w:t>≥</w:t>
            </w:r>
            <w:r>
              <w:rPr>
                <w:rFonts w:hint="eastAsia" w:ascii="宋体" w:hAnsi="宋体"/>
                <w:color w:val="000000"/>
                <w:kern w:val="0"/>
                <w:szCs w:val="21"/>
                <w:lang w:val="en-US" w:eastAsia="zh-CN"/>
              </w:rPr>
              <w:t>15年</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764" w:type="dxa"/>
            <w:gridSpan w:val="2"/>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区域辐射人群满意度</w:t>
            </w:r>
            <w:r>
              <w:rPr>
                <w:rFonts w:hint="eastAsia" w:ascii="宋体" w:hAnsi="宋体"/>
                <w:color w:val="000000"/>
                <w:kern w:val="0"/>
                <w:szCs w:val="21"/>
              </w:rPr>
              <w:t>≥</w:t>
            </w:r>
            <w:r>
              <w:rPr>
                <w:rFonts w:hint="eastAsia" w:ascii="宋体" w:hAnsi="宋体"/>
                <w:color w:val="000000"/>
                <w:kern w:val="0"/>
                <w:szCs w:val="21"/>
                <w:lang w:val="en-US" w:eastAsia="zh-CN"/>
              </w:rPr>
              <w:t>90%</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区域辐射人群满意度</w:t>
            </w:r>
            <w:r>
              <w:rPr>
                <w:rFonts w:hint="eastAsia" w:ascii="宋体" w:hAnsi="宋体"/>
                <w:color w:val="000000"/>
                <w:kern w:val="0"/>
                <w:szCs w:val="21"/>
              </w:rPr>
              <w:t>≥</w:t>
            </w:r>
            <w:r>
              <w:rPr>
                <w:rFonts w:hint="eastAsia" w:ascii="宋体" w:hAnsi="宋体"/>
                <w:color w:val="000000"/>
                <w:kern w:val="0"/>
                <w:szCs w:val="21"/>
                <w:lang w:val="en-US" w:eastAsia="zh-CN"/>
              </w:rPr>
              <w:t>90%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bl>
    <w:p/>
    <w:p/>
    <w:p>
      <w:pPr>
        <w:pStyle w:val="2"/>
      </w:pPr>
    </w:p>
    <w:p/>
    <w:p>
      <w:pPr>
        <w:pStyle w:val="2"/>
      </w:pPr>
    </w:p>
    <w:p/>
    <w:p>
      <w:pPr>
        <w:pStyle w:val="2"/>
      </w:pPr>
    </w:p>
    <w:p/>
    <w:p>
      <w:pPr>
        <w:pStyle w:val="2"/>
      </w:pPr>
    </w:p>
    <w:p/>
    <w:p>
      <w:pPr>
        <w:pStyle w:val="2"/>
      </w:pPr>
    </w:p>
    <w:p/>
    <w:p>
      <w:pPr>
        <w:pStyle w:val="2"/>
      </w:pPr>
    </w:p>
    <w:p/>
    <w:p>
      <w:pPr>
        <w:pStyle w:val="2"/>
      </w:pPr>
    </w:p>
    <w:p/>
    <w:p>
      <w:pPr>
        <w:pStyle w:val="2"/>
      </w:pPr>
    </w:p>
    <w:p>
      <w:pPr>
        <w:spacing w:line="580" w:lineRule="exact"/>
        <w:jc w:val="center"/>
        <w:rPr>
          <w:rFonts w:hint="eastAsia" w:eastAsia="方正小标宋简体"/>
          <w:sz w:val="44"/>
          <w:szCs w:val="44"/>
          <w:highlight w:val="none"/>
          <w:lang w:val="en-US" w:eastAsia="zh-CN"/>
        </w:rPr>
      </w:pPr>
      <w:r>
        <w:rPr>
          <w:rFonts w:eastAsia="方正小标宋简体"/>
          <w:sz w:val="44"/>
          <w:szCs w:val="44"/>
          <w:highlight w:val="none"/>
        </w:rPr>
        <w:t>202</w:t>
      </w:r>
      <w:r>
        <w:rPr>
          <w:rFonts w:hint="eastAsia" w:eastAsia="方正小标宋简体"/>
          <w:sz w:val="44"/>
          <w:szCs w:val="44"/>
          <w:highlight w:val="none"/>
          <w:lang w:val="en-US" w:eastAsia="zh-CN"/>
        </w:rPr>
        <w:t>2</w:t>
      </w:r>
      <w:r>
        <w:rPr>
          <w:rFonts w:hint="eastAsia" w:eastAsia="方正小标宋简体"/>
          <w:sz w:val="44"/>
          <w:szCs w:val="44"/>
          <w:highlight w:val="none"/>
        </w:rPr>
        <w:t>年乐至县</w:t>
      </w:r>
      <w:r>
        <w:rPr>
          <w:rFonts w:hint="eastAsia" w:eastAsia="方正小标宋简体"/>
          <w:sz w:val="44"/>
          <w:szCs w:val="44"/>
          <w:highlight w:val="none"/>
          <w:lang w:val="en-US" w:eastAsia="zh-CN"/>
        </w:rPr>
        <w:t>蚕桑局</w:t>
      </w:r>
    </w:p>
    <w:p>
      <w:pPr>
        <w:spacing w:line="580" w:lineRule="exact"/>
        <w:jc w:val="center"/>
        <w:rPr>
          <w:rFonts w:eastAsia="方正小标宋简体"/>
          <w:sz w:val="44"/>
          <w:szCs w:val="44"/>
          <w:highlight w:val="none"/>
        </w:rPr>
      </w:pPr>
      <w:r>
        <w:rPr>
          <w:rFonts w:hint="eastAsia" w:eastAsia="方正小标宋简体"/>
          <w:sz w:val="44"/>
          <w:szCs w:val="44"/>
          <w:highlight w:val="none"/>
          <w:lang w:val="en-US" w:eastAsia="zh-CN"/>
        </w:rPr>
        <w:t>临聘人员经费</w:t>
      </w:r>
      <w:r>
        <w:rPr>
          <w:rFonts w:hint="eastAsia" w:eastAsia="方正小标宋简体"/>
          <w:sz w:val="44"/>
          <w:szCs w:val="44"/>
          <w:highlight w:val="none"/>
        </w:rPr>
        <w:t>项目支出绩效自评报告</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pStyle w:val="2"/>
        <w:ind w:left="0" w:leftChars="0" w:firstLine="320" w:firstLineChars="100"/>
        <w:jc w:val="left"/>
        <w:rPr>
          <w:rFonts w:hint="default" w:ascii="仿宋" w:hAnsi="仿宋" w:eastAsia="仿宋" w:cs="Times New Roman"/>
          <w:kern w:val="2"/>
          <w:sz w:val="32"/>
          <w:szCs w:val="32"/>
          <w:lang w:val="en-US" w:eastAsia="zh-CN" w:bidi="ar-SA"/>
        </w:rPr>
      </w:pPr>
      <w:r>
        <w:rPr>
          <w:rFonts w:hint="eastAsia" w:eastAsia="方正仿宋简体"/>
          <w:sz w:val="32"/>
          <w:szCs w:val="32"/>
          <w:lang w:val="en-US" w:eastAsia="zh-CN"/>
        </w:rPr>
        <w:t xml:space="preserve">  </w:t>
      </w:r>
      <w:r>
        <w:rPr>
          <w:rFonts w:hint="eastAsia" w:ascii="仿宋" w:hAnsi="仿宋" w:eastAsia="仿宋" w:cs="Times New Roman"/>
          <w:kern w:val="2"/>
          <w:sz w:val="32"/>
          <w:szCs w:val="32"/>
          <w:lang w:val="en-US" w:eastAsia="zh-CN" w:bidi="ar-SA"/>
        </w:rPr>
        <w:t>蚕桑局有长期临聘工作人员5人，协助从事蚕桑生产相关工作，为解决5人三险一金问题，我单位每年特从一般公共预算中列支10万元作为临聘人员专项经费支出。</w:t>
      </w:r>
    </w:p>
    <w:p>
      <w:pPr>
        <w:numPr>
          <w:ilvl w:val="0"/>
          <w:numId w:val="5"/>
        </w:numPr>
        <w:spacing w:line="580" w:lineRule="exact"/>
        <w:ind w:left="0" w:leftChars="0" w:firstLine="640" w:firstLineChars="200"/>
        <w:rPr>
          <w:rFonts w:hint="eastAsia" w:eastAsia="方正仿宋简体"/>
          <w:sz w:val="32"/>
          <w:szCs w:val="32"/>
        </w:rPr>
      </w:pPr>
      <w:r>
        <w:rPr>
          <w:rFonts w:hint="eastAsia" w:eastAsia="方正仿宋简体"/>
          <w:sz w:val="32"/>
          <w:szCs w:val="32"/>
        </w:rPr>
        <w:t>预算资金来源及使用情况</w:t>
      </w:r>
    </w:p>
    <w:p>
      <w:pPr>
        <w:pStyle w:val="2"/>
        <w:numPr>
          <w:ilvl w:val="0"/>
          <w:numId w:val="0"/>
        </w:numPr>
        <w:ind w:leftChars="200"/>
        <w:rPr>
          <w:rFonts w:hint="default" w:ascii="仿宋" w:hAnsi="仿宋" w:eastAsia="仿宋" w:cs="Times New Roman"/>
          <w:kern w:val="2"/>
          <w:sz w:val="32"/>
          <w:szCs w:val="32"/>
          <w:lang w:val="en-US" w:eastAsia="zh-CN" w:bidi="ar-SA"/>
        </w:rPr>
      </w:pPr>
      <w:r>
        <w:rPr>
          <w:rFonts w:hint="eastAsia"/>
          <w:lang w:val="en-US" w:eastAsia="zh-CN"/>
        </w:rPr>
        <w:t xml:space="preserve"> </w:t>
      </w:r>
      <w:r>
        <w:rPr>
          <w:rFonts w:hint="eastAsia" w:ascii="仿宋" w:hAnsi="仿宋" w:eastAsia="仿宋" w:cs="Times New Roman"/>
          <w:kern w:val="2"/>
          <w:sz w:val="32"/>
          <w:szCs w:val="32"/>
          <w:lang w:val="en-US" w:eastAsia="zh-CN" w:bidi="ar-SA"/>
        </w:rPr>
        <w:t xml:space="preserve">   10万元为本级财政资金，无自筹资金，全额用于解决临聘人员五险一金事宜。</w:t>
      </w:r>
    </w:p>
    <w:p>
      <w:pPr>
        <w:numPr>
          <w:ilvl w:val="0"/>
          <w:numId w:val="5"/>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pStyle w:val="2"/>
        <w:numPr>
          <w:ilvl w:val="0"/>
          <w:numId w:val="0"/>
        </w:numPr>
        <w:ind w:leftChars="200"/>
        <w:rPr>
          <w:rFonts w:hint="default" w:ascii="仿宋" w:hAnsi="仿宋" w:eastAsia="仿宋" w:cs="Times New Roman"/>
          <w:kern w:val="2"/>
          <w:sz w:val="32"/>
          <w:szCs w:val="32"/>
          <w:lang w:val="en-US" w:eastAsia="zh-CN" w:bidi="ar-SA"/>
        </w:rPr>
      </w:pPr>
      <w:r>
        <w:rPr>
          <w:rFonts w:hint="eastAsia"/>
          <w:lang w:val="en-US" w:eastAsia="zh-CN"/>
        </w:rPr>
        <w:t xml:space="preserve"> </w:t>
      </w:r>
      <w:r>
        <w:rPr>
          <w:rFonts w:hint="eastAsia" w:ascii="仿宋" w:hAnsi="仿宋" w:eastAsia="仿宋" w:cs="Times New Roman"/>
          <w:kern w:val="2"/>
          <w:sz w:val="32"/>
          <w:szCs w:val="32"/>
          <w:lang w:val="en-US" w:eastAsia="zh-CN" w:bidi="ar-SA"/>
        </w:rPr>
        <w:t xml:space="preserve"> 按时保质完成。</w:t>
      </w:r>
    </w:p>
    <w:p>
      <w:pPr>
        <w:numPr>
          <w:ilvl w:val="0"/>
          <w:numId w:val="5"/>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pStyle w:val="2"/>
        <w:ind w:left="0" w:leftChars="0" w:firstLine="320" w:firstLineChars="100"/>
        <w:jc w:val="left"/>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每月按时支付临聘人员三险一金。</w:t>
      </w:r>
    </w:p>
    <w:p>
      <w:pPr>
        <w:pStyle w:val="2"/>
        <w:ind w:left="0" w:leftChars="0" w:firstLine="321" w:firstLineChars="100"/>
        <w:jc w:val="left"/>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（二）绩效目标</w:t>
      </w:r>
    </w:p>
    <w:p>
      <w:pPr>
        <w:pStyle w:val="2"/>
        <w:numPr>
          <w:ilvl w:val="0"/>
          <w:numId w:val="0"/>
        </w:numPr>
        <w:ind w:leftChars="200" w:firstLine="320" w:firstLineChars="100"/>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10万元全额用于解决临聘人员2022年三险一金事宜。</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pStyle w:val="2"/>
        <w:rPr>
          <w:rFonts w:hint="default" w:eastAsia="方正楷体简体"/>
          <w:lang w:val="en-US" w:eastAsia="zh-CN"/>
        </w:rPr>
      </w:pPr>
      <w:r>
        <w:rPr>
          <w:rFonts w:hint="eastAsia" w:eastAsia="方正楷体简体"/>
          <w:b/>
          <w:sz w:val="32"/>
          <w:szCs w:val="32"/>
          <w:lang w:val="en-US" w:eastAsia="zh-CN"/>
        </w:rPr>
        <w:t xml:space="preserve">  无</w:t>
      </w:r>
    </w:p>
    <w:p>
      <w:pPr>
        <w:numPr>
          <w:ilvl w:val="0"/>
          <w:numId w:val="6"/>
        </w:numPr>
        <w:spacing w:line="580" w:lineRule="exact"/>
        <w:ind w:left="-223" w:leftChars="0" w:firstLine="643" w:firstLineChars="0"/>
        <w:rPr>
          <w:rFonts w:hint="eastAsia" w:eastAsia="方正楷体简体"/>
          <w:b/>
          <w:sz w:val="32"/>
          <w:szCs w:val="32"/>
        </w:rPr>
      </w:pPr>
      <w:r>
        <w:rPr>
          <w:rFonts w:hint="eastAsia" w:eastAsia="方正楷体简体"/>
          <w:b/>
          <w:sz w:val="32"/>
          <w:szCs w:val="32"/>
        </w:rPr>
        <w:t>自评方式、方法、重点等</w:t>
      </w:r>
    </w:p>
    <w:p>
      <w:pPr>
        <w:pStyle w:val="2"/>
        <w:numPr>
          <w:ilvl w:val="0"/>
          <w:numId w:val="0"/>
        </w:numPr>
        <w:ind w:left="420" w:leftChars="0"/>
        <w:rPr>
          <w:rFonts w:hint="default" w:eastAsia="宋体"/>
          <w:lang w:val="en-US" w:eastAsia="zh-CN"/>
        </w:rPr>
      </w:pPr>
      <w:r>
        <w:rPr>
          <w:rFonts w:hint="eastAsia"/>
          <w:lang w:val="en-US" w:eastAsia="zh-CN"/>
        </w:rPr>
        <w:t xml:space="preserve">  无</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绩效综合评分结果为99分，依据《乐至县财政支出绩效评价管理办法》规定确定绩效等级为优。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项目实施实际情况与预计情况有轻微差异，完成额度98098.05元。</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pStyle w:val="2"/>
        <w:rPr>
          <w:rFonts w:hint="default" w:eastAsia="方正楷体简体"/>
          <w:lang w:val="en-US" w:eastAsia="zh-CN"/>
        </w:rPr>
      </w:pPr>
      <w:r>
        <w:rPr>
          <w:rFonts w:hint="eastAsia" w:eastAsia="方正楷体简体"/>
          <w:b/>
          <w:sz w:val="32"/>
          <w:szCs w:val="32"/>
          <w:lang w:val="en-US" w:eastAsia="zh-CN"/>
        </w:rPr>
        <w:t xml:space="preserve">   </w:t>
      </w:r>
      <w:r>
        <w:rPr>
          <w:rFonts w:hint="eastAsia" w:ascii="仿宋" w:hAnsi="仿宋" w:eastAsia="仿宋" w:cs="Times New Roman"/>
          <w:kern w:val="2"/>
          <w:sz w:val="32"/>
          <w:szCs w:val="32"/>
          <w:lang w:val="en-US" w:eastAsia="zh-CN" w:bidi="ar-SA"/>
        </w:rPr>
        <w:t>无</w:t>
      </w:r>
    </w:p>
    <w:p>
      <w:pPr>
        <w:numPr>
          <w:ilvl w:val="0"/>
          <w:numId w:val="7"/>
        </w:numPr>
        <w:spacing w:line="580" w:lineRule="exact"/>
        <w:ind w:firstLine="643" w:firstLineChars="200"/>
        <w:rPr>
          <w:rFonts w:hint="eastAsia" w:eastAsia="方正楷体简体"/>
          <w:b/>
          <w:sz w:val="32"/>
          <w:szCs w:val="32"/>
        </w:rPr>
      </w:pPr>
      <w:r>
        <w:rPr>
          <w:rFonts w:hint="eastAsia" w:eastAsia="方正楷体简体"/>
          <w:b/>
          <w:sz w:val="32"/>
          <w:szCs w:val="32"/>
        </w:rPr>
        <w:t>存在的问题</w:t>
      </w:r>
    </w:p>
    <w:p>
      <w:pPr>
        <w:pStyle w:val="2"/>
        <w:numPr>
          <w:ilvl w:val="0"/>
          <w:numId w:val="0"/>
        </w:numPr>
        <w:ind w:leftChars="0"/>
        <w:rPr>
          <w:rFonts w:hint="default" w:eastAsia="宋体"/>
          <w:lang w:val="en-US" w:eastAsia="zh-CN"/>
        </w:rPr>
      </w:pPr>
      <w:r>
        <w:rPr>
          <w:rFonts w:hint="eastAsia"/>
          <w:lang w:val="en-US" w:eastAsia="zh-CN"/>
        </w:rPr>
        <w:t xml:space="preserve">        </w:t>
      </w:r>
      <w:r>
        <w:rPr>
          <w:rFonts w:hint="eastAsia" w:ascii="仿宋" w:hAnsi="仿宋" w:eastAsia="仿宋" w:cs="Times New Roman"/>
          <w:kern w:val="2"/>
          <w:sz w:val="32"/>
          <w:szCs w:val="32"/>
          <w:lang w:val="en-US" w:eastAsia="zh-CN" w:bidi="ar-SA"/>
        </w:rPr>
        <w:t>无</w:t>
      </w:r>
    </w:p>
    <w:p>
      <w:pPr>
        <w:numPr>
          <w:ilvl w:val="0"/>
          <w:numId w:val="7"/>
        </w:numPr>
        <w:spacing w:line="580" w:lineRule="exact"/>
        <w:ind w:left="0" w:leftChars="0" w:firstLine="643" w:firstLineChars="200"/>
        <w:rPr>
          <w:rFonts w:hint="eastAsia" w:eastAsia="方正楷体简体"/>
          <w:b/>
          <w:sz w:val="32"/>
          <w:szCs w:val="32"/>
        </w:rPr>
      </w:pPr>
      <w:r>
        <w:rPr>
          <w:rFonts w:hint="eastAsia" w:eastAsia="方正楷体简体"/>
          <w:b/>
          <w:sz w:val="32"/>
          <w:szCs w:val="32"/>
        </w:rPr>
        <w:t>建议和改进措施</w:t>
      </w:r>
    </w:p>
    <w:p>
      <w:pPr>
        <w:pStyle w:val="2"/>
        <w:numPr>
          <w:ilvl w:val="0"/>
          <w:numId w:val="0"/>
        </w:numPr>
        <w:ind w:leftChars="200"/>
        <w:rPr>
          <w:rFonts w:hint="default" w:ascii="仿宋" w:hAnsi="仿宋" w:eastAsia="仿宋" w:cs="Times New Roman"/>
          <w:kern w:val="2"/>
          <w:sz w:val="32"/>
          <w:szCs w:val="32"/>
          <w:lang w:val="en-US" w:eastAsia="zh-CN" w:bidi="ar-SA"/>
        </w:rPr>
      </w:pPr>
      <w:r>
        <w:rPr>
          <w:rFonts w:hint="eastAsia"/>
          <w:lang w:val="en-US" w:eastAsia="zh-CN"/>
        </w:rPr>
        <w:t xml:space="preserve">     </w:t>
      </w:r>
      <w:r>
        <w:rPr>
          <w:rFonts w:hint="eastAsia" w:ascii="仿宋" w:hAnsi="仿宋" w:eastAsia="仿宋" w:cs="Times New Roman"/>
          <w:kern w:val="2"/>
          <w:sz w:val="32"/>
          <w:szCs w:val="32"/>
          <w:lang w:val="en-US" w:eastAsia="zh-CN" w:bidi="ar-SA"/>
        </w:rPr>
        <w:t>无</w:t>
      </w:r>
    </w:p>
    <w:p>
      <w:pPr>
        <w:spacing w:line="580" w:lineRule="exact"/>
        <w:ind w:firstLine="640" w:firstLineChars="200"/>
        <w:rPr>
          <w:rFonts w:eastAsia="方正仿宋简体"/>
          <w:sz w:val="32"/>
          <w:szCs w:val="32"/>
        </w:rPr>
      </w:pPr>
    </w:p>
    <w:p>
      <w:pPr>
        <w:spacing w:line="620" w:lineRule="exact"/>
        <w:jc w:val="center"/>
        <w:rPr>
          <w:rFonts w:eastAsia="方正小标宋简体"/>
          <w:bCs/>
          <w:kern w:val="0"/>
          <w:sz w:val="44"/>
          <w:szCs w:val="44"/>
        </w:rPr>
      </w:pPr>
    </w:p>
    <w:p>
      <w:pPr>
        <w:spacing w:line="620" w:lineRule="exact"/>
        <w:jc w:val="center"/>
        <w:rPr>
          <w:rFonts w:eastAsia="方正小标宋简体"/>
          <w:bCs/>
          <w:kern w:val="0"/>
          <w:sz w:val="44"/>
          <w:szCs w:val="44"/>
        </w:rPr>
      </w:pPr>
    </w:p>
    <w:p>
      <w:pPr>
        <w:spacing w:line="620" w:lineRule="exact"/>
        <w:jc w:val="center"/>
        <w:rPr>
          <w:rFonts w:eastAsia="方正小标宋简体"/>
          <w:bCs/>
          <w:kern w:val="0"/>
          <w:sz w:val="44"/>
          <w:szCs w:val="44"/>
        </w:rPr>
      </w:pP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临聘人员五险一金</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乐至县蚕桑局</w:t>
      </w:r>
      <w:r>
        <w:rPr>
          <w:bCs/>
          <w:kern w:val="0"/>
          <w:sz w:val="24"/>
        </w:rPr>
        <w:t xml:space="preserve">       </w:t>
      </w:r>
      <w:r>
        <w:rPr>
          <w:rFonts w:hint="eastAsia"/>
          <w:bCs/>
          <w:kern w:val="0"/>
          <w:sz w:val="24"/>
        </w:rPr>
        <w:t>预算单位编码：</w:t>
      </w:r>
      <w:r>
        <w:rPr>
          <w:rFonts w:hint="eastAsia"/>
          <w:bCs/>
          <w:kern w:val="0"/>
          <w:sz w:val="24"/>
          <w:lang w:val="en-US" w:eastAsia="zh-CN"/>
        </w:rPr>
        <w:t>1941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324"/>
        <w:gridCol w:w="476"/>
        <w:gridCol w:w="477"/>
        <w:gridCol w:w="1212"/>
        <w:gridCol w:w="3150"/>
        <w:gridCol w:w="477"/>
        <w:gridCol w:w="29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both"/>
              <w:rPr>
                <w:rFonts w:hint="eastAsia"/>
                <w:lang w:val="en-US" w:eastAsia="zh-CN"/>
              </w:rPr>
            </w:pPr>
            <w:r>
              <w:rPr>
                <w:rFonts w:hint="eastAsia"/>
                <w:lang w:val="en-US" w:eastAsia="zh-CN"/>
              </w:rPr>
              <w:t>立项规范，</w:t>
            </w:r>
          </w:p>
          <w:p>
            <w:pPr>
              <w:pStyle w:val="2"/>
              <w:ind w:left="0" w:leftChars="0" w:firstLine="0" w:firstLineChars="0"/>
              <w:jc w:val="both"/>
              <w:rPr>
                <w:rFonts w:hint="default"/>
                <w:lang w:val="en-US" w:eastAsia="zh-CN"/>
              </w:rPr>
            </w:pPr>
            <w:r>
              <w:rPr>
                <w:rFonts w:hint="eastAsia"/>
                <w:kern w:val="0"/>
                <w:szCs w:val="21"/>
                <w:lang w:val="en-US" w:eastAsia="zh-CN"/>
              </w:rPr>
              <w:t>符合要相关求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lang w:val="en-US" w:eastAsia="zh-CN"/>
              </w:rPr>
              <w:t>绩效目标设置合理，有</w:t>
            </w:r>
          </w:p>
          <w:p>
            <w:pPr>
              <w:widowControl/>
              <w:spacing w:line="240" w:lineRule="exact"/>
              <w:jc w:val="left"/>
              <w:rPr>
                <w:rFonts w:hint="default" w:eastAsia="宋体"/>
                <w:kern w:val="0"/>
                <w:szCs w:val="21"/>
                <w:lang w:val="en-US" w:eastAsia="zh-CN"/>
              </w:rPr>
            </w:pPr>
            <w:r>
              <w:rPr>
                <w:rFonts w:hint="eastAsia"/>
                <w:kern w:val="0"/>
                <w:szCs w:val="21"/>
                <w:lang w:val="en-US" w:eastAsia="zh-CN"/>
              </w:rPr>
              <w:t>效促进蚕桑事业发展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rFonts w:hint="eastAsia"/>
                <w:lang w:val="en-US" w:eastAsia="zh-CN"/>
              </w:rPr>
            </w:pPr>
            <w:r>
              <w:rPr>
                <w:rFonts w:hint="eastAsia"/>
                <w:lang w:val="en-US" w:eastAsia="zh-CN"/>
              </w:rPr>
              <w:t>目标明确可衡量，</w:t>
            </w:r>
          </w:p>
          <w:p>
            <w:pPr>
              <w:pStyle w:val="2"/>
              <w:ind w:left="0" w:leftChars="0" w:firstLine="0" w:firstLineChars="0"/>
              <w:rPr>
                <w:rFonts w:hint="eastAsia"/>
                <w:lang w:val="en-US" w:eastAsia="zh-CN"/>
              </w:rPr>
            </w:pPr>
            <w:r>
              <w:rPr>
                <w:rFonts w:hint="eastAsia"/>
                <w:lang w:val="en-US" w:eastAsia="zh-CN"/>
              </w:rPr>
              <w:t>任务数与计划数一致。</w:t>
            </w:r>
          </w:p>
          <w:p>
            <w:pPr>
              <w:rPr>
                <w:rFonts w:hint="default"/>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资金全额到位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资金到位及时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业务管理合法合规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60" w:lineRule="exact"/>
              <w:jc w:val="left"/>
              <w:rPr>
                <w:rFonts w:hint="eastAsia"/>
                <w:kern w:val="0"/>
                <w:szCs w:val="21"/>
                <w:lang w:val="en-US" w:eastAsia="zh-CN"/>
              </w:rPr>
            </w:pPr>
            <w:r>
              <w:rPr>
                <w:rFonts w:hint="eastAsia"/>
                <w:kern w:val="0"/>
                <w:szCs w:val="21"/>
              </w:rPr>
              <w:t>　</w:t>
            </w:r>
            <w:r>
              <w:rPr>
                <w:rFonts w:hint="eastAsia"/>
                <w:kern w:val="0"/>
                <w:szCs w:val="21"/>
                <w:lang w:val="en-US" w:eastAsia="zh-CN"/>
              </w:rPr>
              <w:t>项目有效实施且合</w:t>
            </w:r>
          </w:p>
          <w:p>
            <w:pPr>
              <w:widowControl/>
              <w:spacing w:line="260" w:lineRule="exact"/>
              <w:jc w:val="left"/>
              <w:rPr>
                <w:rFonts w:hint="default" w:eastAsia="宋体"/>
                <w:kern w:val="0"/>
                <w:szCs w:val="21"/>
                <w:lang w:val="en-US" w:eastAsia="zh-CN"/>
              </w:rPr>
            </w:pPr>
            <w:r>
              <w:rPr>
                <w:rFonts w:hint="eastAsia"/>
                <w:kern w:val="0"/>
                <w:szCs w:val="21"/>
                <w:lang w:val="en-US" w:eastAsia="zh-CN"/>
              </w:rPr>
              <w:t>法合规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kern w:val="0"/>
                <w:szCs w:val="21"/>
                <w:lang w:val="en-US" w:eastAsia="zh-CN"/>
              </w:rPr>
            </w:pPr>
            <w:r>
              <w:rPr>
                <w:rFonts w:hint="eastAsia"/>
              </w:rPr>
              <w:t>　</w:t>
            </w:r>
            <w:r>
              <w:rPr>
                <w:rFonts w:hint="eastAsia"/>
                <w:lang w:val="en-US" w:eastAsia="zh-CN"/>
              </w:rPr>
              <w:t>质量可控，2022年底</w:t>
            </w:r>
            <w:r>
              <w:rPr>
                <w:rFonts w:hint="eastAsia"/>
                <w:kern w:val="0"/>
                <w:szCs w:val="21"/>
                <w:lang w:val="en-US" w:eastAsia="zh-CN"/>
              </w:rPr>
              <w:t>前，</w:t>
            </w:r>
          </w:p>
          <w:p>
            <w:pPr>
              <w:widowControl/>
              <w:spacing w:line="260" w:lineRule="exact"/>
              <w:jc w:val="left"/>
              <w:rPr>
                <w:rFonts w:hint="default"/>
                <w:lang w:val="en-US" w:eastAsia="zh-CN"/>
              </w:rPr>
            </w:pPr>
            <w:r>
              <w:rPr>
                <w:rFonts w:hint="eastAsia"/>
                <w:kern w:val="0"/>
                <w:szCs w:val="21"/>
                <w:lang w:val="en-US" w:eastAsia="zh-CN"/>
              </w:rPr>
              <w:t>全额足额完成项目计划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lang w:val="en-US" w:eastAsia="zh-CN"/>
              </w:rPr>
            </w:pPr>
            <w:r>
              <w:rPr>
                <w:rFonts w:hint="eastAsia"/>
              </w:rPr>
              <w:t>　</w:t>
            </w:r>
            <w:r>
              <w:rPr>
                <w:rFonts w:hint="eastAsia"/>
                <w:lang w:val="en-US" w:eastAsia="zh-CN"/>
              </w:rPr>
              <w:t>财务制度健全，资金使用</w:t>
            </w:r>
          </w:p>
          <w:p>
            <w:pPr>
              <w:pStyle w:val="2"/>
              <w:ind w:left="0" w:leftChars="0" w:firstLine="0" w:firstLineChars="0"/>
              <w:rPr>
                <w:rFonts w:hint="default"/>
                <w:lang w:val="en-US" w:eastAsia="zh-CN"/>
              </w:rPr>
            </w:pPr>
            <w:r>
              <w:rPr>
                <w:rFonts w:hint="eastAsia"/>
                <w:kern w:val="0"/>
                <w:szCs w:val="21"/>
                <w:lang w:val="en-US" w:eastAsia="zh-CN"/>
              </w:rPr>
              <w:t>符合相关会计制度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kern w:val="0"/>
                <w:szCs w:val="21"/>
                <w:lang w:val="en-US" w:eastAsia="zh-CN"/>
              </w:rPr>
            </w:pPr>
            <w:r>
              <w:rPr>
                <w:rFonts w:hint="eastAsia"/>
                <w:kern w:val="0"/>
                <w:szCs w:val="21"/>
                <w:lang w:val="en-US" w:eastAsia="zh-CN"/>
              </w:rPr>
              <w:t>资金使用合理规范，全额用于解</w:t>
            </w:r>
          </w:p>
          <w:p>
            <w:pPr>
              <w:widowControl/>
              <w:spacing w:line="260" w:lineRule="exact"/>
              <w:jc w:val="left"/>
              <w:rPr>
                <w:rFonts w:hint="default" w:eastAsia="宋体"/>
                <w:kern w:val="0"/>
                <w:szCs w:val="21"/>
                <w:lang w:val="en-US" w:eastAsia="zh-CN"/>
              </w:rPr>
            </w:pPr>
            <w:r>
              <w:rPr>
                <w:rFonts w:hint="eastAsia"/>
                <w:kern w:val="0"/>
                <w:szCs w:val="21"/>
                <w:lang w:val="en-US" w:eastAsia="zh-CN"/>
              </w:rPr>
              <w:t>决临聘人员2022年三险一金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rFonts w:hint="eastAsia"/>
                <w:lang w:val="en-US" w:eastAsia="zh-CN"/>
              </w:rPr>
            </w:pPr>
            <w:r>
              <w:rPr>
                <w:rFonts w:hint="eastAsia"/>
              </w:rPr>
              <w:t>　</w:t>
            </w:r>
            <w:r>
              <w:rPr>
                <w:rFonts w:hint="eastAsia"/>
                <w:lang w:val="en-US" w:eastAsia="zh-CN"/>
              </w:rPr>
              <w:t>财务监督及时有效，资金运行</w:t>
            </w:r>
          </w:p>
          <w:p>
            <w:pPr>
              <w:pStyle w:val="2"/>
              <w:ind w:left="0" w:leftChars="0" w:firstLine="0" w:firstLineChars="0"/>
              <w:rPr>
                <w:rFonts w:hint="default"/>
                <w:lang w:val="en-US" w:eastAsia="zh-CN"/>
              </w:rPr>
            </w:pPr>
            <w:r>
              <w:rPr>
                <w:rFonts w:hint="eastAsia"/>
                <w:kern w:val="0"/>
                <w:szCs w:val="21"/>
                <w:lang w:val="en-US" w:eastAsia="zh-CN"/>
              </w:rPr>
              <w:t>合理有序。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kern w:val="0"/>
                <w:szCs w:val="21"/>
              </w:rPr>
            </w:pPr>
            <w:r>
              <w:rPr>
                <w:rFonts w:hint="eastAsia"/>
                <w:kern w:val="0"/>
                <w:szCs w:val="21"/>
                <w:lang w:val="en-US" w:eastAsia="zh-CN"/>
              </w:rPr>
              <w:t>3</w:t>
            </w:r>
            <w:r>
              <w:rPr>
                <w:rFonts w:hint="eastAsia"/>
                <w:kern w:val="0"/>
                <w:szCs w:val="21"/>
              </w:rPr>
              <w:t>　</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98.1%完成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kern w:val="0"/>
                <w:szCs w:val="21"/>
              </w:rPr>
            </w:pPr>
            <w:r>
              <w:rPr>
                <w:rFonts w:hint="eastAsia"/>
                <w:kern w:val="0"/>
                <w:szCs w:val="21"/>
                <w:lang w:val="en-US" w:eastAsia="zh-CN"/>
              </w:rPr>
              <w:t>6</w:t>
            </w:r>
            <w:r>
              <w:rPr>
                <w:rFonts w:hint="eastAsia"/>
                <w:kern w:val="0"/>
                <w:szCs w:val="21"/>
              </w:rPr>
              <w:t>　</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按时完成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lang w:val="en-US" w:eastAsia="zh-CN"/>
              </w:rPr>
              <w:t>资金按时足额发放，</w:t>
            </w:r>
          </w:p>
          <w:p>
            <w:pPr>
              <w:widowControl/>
              <w:spacing w:line="240" w:lineRule="exact"/>
              <w:jc w:val="left"/>
              <w:rPr>
                <w:rFonts w:hint="default" w:eastAsia="宋体"/>
                <w:kern w:val="0"/>
                <w:szCs w:val="21"/>
                <w:lang w:val="en-US" w:eastAsia="zh-CN"/>
              </w:rPr>
            </w:pPr>
            <w:r>
              <w:rPr>
                <w:rFonts w:hint="eastAsia"/>
                <w:kern w:val="0"/>
                <w:szCs w:val="21"/>
                <w:lang w:val="en-US" w:eastAsia="zh-CN"/>
              </w:rPr>
              <w:t>项目落实质量优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kern w:val="0"/>
                <w:szCs w:val="21"/>
              </w:rPr>
            </w:pPr>
            <w:r>
              <w:rPr>
                <w:rFonts w:hint="eastAsia"/>
                <w:kern w:val="0"/>
                <w:szCs w:val="21"/>
                <w:lang w:val="en-US" w:eastAsia="zh-CN"/>
              </w:rPr>
              <w:t>4</w:t>
            </w:r>
            <w:r>
              <w:rPr>
                <w:rFonts w:hint="eastAsia"/>
                <w:kern w:val="0"/>
                <w:szCs w:val="21"/>
              </w:rPr>
              <w:t>　</w:t>
            </w:r>
          </w:p>
        </w:tc>
        <w:tc>
          <w:tcPr>
            <w:tcW w:w="493" w:type="pct"/>
            <w:noWrap/>
            <w:vAlign w:val="center"/>
          </w:tcPr>
          <w:p>
            <w:pPr>
              <w:widowControl/>
              <w:spacing w:line="240" w:lineRule="exact"/>
              <w:jc w:val="left"/>
              <w:rPr>
                <w:rFonts w:hint="eastAsia"/>
                <w:lang w:val="en-US" w:eastAsia="zh-CN"/>
              </w:rPr>
            </w:pPr>
            <w:r>
              <w:rPr>
                <w:rFonts w:hint="eastAsia"/>
              </w:rPr>
              <w:t>　</w:t>
            </w:r>
            <w:r>
              <w:rPr>
                <w:rFonts w:hint="eastAsia"/>
                <w:lang w:eastAsia="zh-CN"/>
              </w:rPr>
              <w:t>（</w:t>
            </w:r>
            <w:r>
              <w:rPr>
                <w:rFonts w:hint="eastAsia"/>
                <w:lang w:val="en-US" w:eastAsia="zh-CN"/>
              </w:rPr>
              <w:t>100000-98098）/100000</w:t>
            </w:r>
          </w:p>
          <w:p>
            <w:pPr>
              <w:rPr>
                <w:rFonts w:hint="default"/>
                <w:lang w:val="en-US" w:eastAsia="zh-CN"/>
              </w:rPr>
            </w:pPr>
            <w:r>
              <w:rPr>
                <w:rFonts w:hint="eastAsia"/>
                <w:lang w:val="en-US" w:eastAsia="zh-CN"/>
              </w:rPr>
              <w:t>=1.9%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保障临聘人员薪资报酬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kern w:val="0"/>
                <w:szCs w:val="21"/>
              </w:rPr>
            </w:pPr>
            <w:r>
              <w:rPr>
                <w:rFonts w:hint="eastAsia"/>
                <w:kern w:val="0"/>
                <w:szCs w:val="21"/>
                <w:lang w:val="en-US" w:eastAsia="zh-CN"/>
              </w:rPr>
              <w:t>5</w:t>
            </w:r>
            <w:r>
              <w:rPr>
                <w:rFonts w:hint="eastAsia"/>
                <w:kern w:val="0"/>
                <w:szCs w:val="21"/>
              </w:rPr>
              <w:t>　</w:t>
            </w:r>
          </w:p>
        </w:tc>
        <w:tc>
          <w:tcPr>
            <w:tcW w:w="49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val="en-US" w:eastAsia="zh-CN"/>
              </w:rPr>
              <w:t>保障临聘人员薪资报酬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val="en-US" w:eastAsia="zh-CN"/>
              </w:rPr>
              <w:t>保障临聘人员薪资报酬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所有临聘人员满意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98</w:t>
            </w:r>
          </w:p>
        </w:tc>
        <w:tc>
          <w:tcPr>
            <w:tcW w:w="493" w:type="pct"/>
            <w:tcBorders>
              <w:bottom w:val="single" w:color="auto" w:sz="12" w:space="0"/>
            </w:tcBorders>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优</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7"/>
        <w:spacing w:after="0" w:line="240" w:lineRule="exact"/>
        <w:rPr>
          <w:rFonts w:ascii="宋体"/>
        </w:rPr>
      </w:pP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12"/>
        <w:gridCol w:w="970"/>
        <w:gridCol w:w="718"/>
        <w:gridCol w:w="812"/>
        <w:gridCol w:w="1443"/>
        <w:gridCol w:w="1821"/>
        <w:gridCol w:w="23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val="en-US" w:eastAsia="zh-CN"/>
              </w:rPr>
              <w:t>蚕桑局2021年临聘人员五险一金</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sym w:font="Wingdings 2" w:char="0052"/>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乐至县蚕桑局</w:t>
            </w:r>
            <w:r>
              <w:rPr>
                <w:rFonts w:hint="eastAsia"/>
                <w:color w:val="000000"/>
                <w:kern w:val="0"/>
                <w:szCs w:val="21"/>
              </w:rPr>
              <w:t>　</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194101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100000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98098.05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100000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98098.05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98098.05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98098.05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目标</w:t>
            </w:r>
            <w:r>
              <w:rPr>
                <w:color w:val="000000"/>
                <w:kern w:val="0"/>
                <w:szCs w:val="21"/>
              </w:rPr>
              <w:t>1:</w:t>
            </w:r>
            <w:r>
              <w:rPr>
                <w:rFonts w:hint="eastAsia"/>
                <w:color w:val="000000"/>
                <w:kern w:val="0"/>
                <w:szCs w:val="21"/>
                <w:lang w:val="en-US" w:eastAsia="zh-CN"/>
              </w:rPr>
              <w:t>使用范围</w:t>
            </w:r>
          </w:p>
        </w:tc>
        <w:tc>
          <w:tcPr>
            <w:tcW w:w="0" w:type="auto"/>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临聘人员5人</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无差异</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目标</w:t>
            </w:r>
            <w:r>
              <w:rPr>
                <w:color w:val="000000"/>
                <w:kern w:val="0"/>
                <w:szCs w:val="21"/>
              </w:rPr>
              <w:t>2:</w:t>
            </w:r>
            <w:r>
              <w:rPr>
                <w:rFonts w:hint="eastAsia"/>
                <w:color w:val="000000"/>
                <w:kern w:val="0"/>
                <w:szCs w:val="21"/>
                <w:lang w:val="en-US" w:eastAsia="zh-CN"/>
              </w:rPr>
              <w:t>支付金额</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98098.05</w:t>
            </w: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少支出1901.95元，轻微差异</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w:t>
            </w:r>
            <w:r>
              <w:rPr>
                <w:color w:val="000000"/>
                <w:kern w:val="0"/>
                <w:szCs w:val="21"/>
              </w:rPr>
              <w:t>.</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辐射人数</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5</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完成期限</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2022年</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2022年</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支出经费</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100000元</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98098.05元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受益人满意度</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95</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
      <w:pPr>
        <w:pStyle w:val="2"/>
      </w:pPr>
    </w:p>
    <w:p/>
    <w:p>
      <w:pPr>
        <w:pStyle w:val="2"/>
      </w:pPr>
    </w:p>
    <w:p/>
    <w:p>
      <w:pPr>
        <w:pStyle w:val="2"/>
      </w:pPr>
    </w:p>
    <w:p/>
    <w:p>
      <w:pPr>
        <w:pStyle w:val="2"/>
      </w:pPr>
    </w:p>
    <w:p/>
    <w:p>
      <w:pPr>
        <w:pStyle w:val="2"/>
      </w:pPr>
    </w:p>
    <w:p>
      <w:pPr>
        <w:sectPr>
          <w:headerReference r:id="rId8" w:type="default"/>
          <w:footerReference r:id="rId9" w:type="default"/>
          <w:pgSz w:w="11907" w:h="16840"/>
          <w:pgMar w:top="2098" w:right="1474" w:bottom="1928" w:left="1588" w:header="851" w:footer="992" w:gutter="0"/>
          <w:cols w:space="720" w:num="1"/>
          <w:docGrid w:type="lines" w:linePitch="312" w:charSpace="0"/>
        </w:sectPr>
      </w:pPr>
    </w:p>
    <w:p>
      <w:pPr>
        <w:rPr>
          <w:rFonts w:hint="eastAsia"/>
          <w:lang w:eastAsia="zh-CN"/>
        </w:rPr>
      </w:pPr>
    </w:p>
    <w:p>
      <w:pPr>
        <w:spacing w:line="580" w:lineRule="exact"/>
        <w:jc w:val="center"/>
        <w:rPr>
          <w:rFonts w:hint="eastAsia" w:ascii="华文楷体" w:hAnsi="华文楷体" w:eastAsia="华文楷体" w:cs="华文楷体"/>
          <w:b/>
          <w:bCs/>
          <w:sz w:val="44"/>
          <w:szCs w:val="44"/>
        </w:rPr>
      </w:pPr>
      <w:bookmarkStart w:id="53" w:name="_Toc15396618"/>
      <w:r>
        <w:rPr>
          <w:rFonts w:hint="eastAsia" w:ascii="华文楷体" w:hAnsi="华文楷体" w:eastAsia="华文楷体" w:cs="华文楷体"/>
          <w:b/>
          <w:bCs/>
          <w:sz w:val="44"/>
          <w:szCs w:val="44"/>
        </w:rPr>
        <w:t>202</w:t>
      </w:r>
      <w:r>
        <w:rPr>
          <w:rFonts w:hint="eastAsia" w:ascii="华文楷体" w:hAnsi="华文楷体" w:eastAsia="华文楷体" w:cs="华文楷体"/>
          <w:b/>
          <w:bCs/>
          <w:sz w:val="44"/>
          <w:szCs w:val="44"/>
          <w:lang w:val="en-US" w:eastAsia="zh-CN"/>
        </w:rPr>
        <w:t>2</w:t>
      </w:r>
      <w:r>
        <w:rPr>
          <w:rFonts w:hint="eastAsia" w:ascii="华文楷体" w:hAnsi="华文楷体" w:eastAsia="华文楷体" w:cs="华文楷体"/>
          <w:b/>
          <w:bCs/>
          <w:sz w:val="44"/>
          <w:szCs w:val="44"/>
        </w:rPr>
        <w:t>年乐至县项目支出绩效自评报告</w:t>
      </w:r>
    </w:p>
    <w:p>
      <w:pPr>
        <w:spacing w:line="580" w:lineRule="exact"/>
        <w:jc w:val="center"/>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w:t>
      </w:r>
      <w:r>
        <w:rPr>
          <w:rFonts w:hint="eastAsia" w:ascii="华文楷体" w:hAnsi="华文楷体" w:eastAsia="华文楷体" w:cs="华文楷体"/>
          <w:b/>
          <w:bCs/>
          <w:sz w:val="32"/>
          <w:szCs w:val="32"/>
          <w:lang w:val="en-US" w:eastAsia="zh-CN"/>
        </w:rPr>
        <w:t xml:space="preserve"> 2020年</w:t>
      </w:r>
      <w:r>
        <w:rPr>
          <w:rFonts w:hint="eastAsia" w:ascii="华文楷体" w:hAnsi="华文楷体" w:eastAsia="华文楷体" w:cs="华文楷体"/>
          <w:b/>
          <w:bCs/>
          <w:sz w:val="36"/>
          <w:szCs w:val="36"/>
          <w:lang w:val="en-US" w:eastAsia="zh-CN"/>
        </w:rPr>
        <w:t>蚕桑产业化联合体项目</w:t>
      </w:r>
      <w:r>
        <w:rPr>
          <w:rFonts w:hint="eastAsia" w:ascii="华文楷体" w:hAnsi="华文楷体" w:eastAsia="华文楷体" w:cs="华文楷体"/>
          <w:b/>
          <w:bCs/>
          <w:sz w:val="32"/>
          <w:szCs w:val="32"/>
        </w:rPr>
        <w:t>）</w:t>
      </w:r>
    </w:p>
    <w:p>
      <w:pPr>
        <w:spacing w:line="580" w:lineRule="exact"/>
        <w:jc w:val="center"/>
        <w:rPr>
          <w:rFonts w:eastAsia="方正黑体简体"/>
          <w:sz w:val="32"/>
          <w:szCs w:val="32"/>
        </w:rPr>
      </w:pPr>
    </w:p>
    <w:p>
      <w:pPr>
        <w:spacing w:line="580" w:lineRule="exact"/>
        <w:ind w:firstLine="641"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一、项目基本情况</w:t>
      </w:r>
    </w:p>
    <w:p>
      <w:pPr>
        <w:spacing w:line="580" w:lineRule="exact"/>
        <w:ind w:firstLine="561" w:firstLineChars="200"/>
        <w:rPr>
          <w:rFonts w:hint="eastAsia" w:ascii="华文楷体" w:hAnsi="华文楷体" w:eastAsia="华文楷体" w:cs="华文楷体"/>
          <w:b/>
          <w:sz w:val="28"/>
          <w:szCs w:val="28"/>
        </w:rPr>
      </w:pPr>
      <w:r>
        <w:rPr>
          <w:rFonts w:hint="eastAsia" w:ascii="华文楷体" w:hAnsi="华文楷体" w:eastAsia="华文楷体" w:cs="华文楷体"/>
          <w:b/>
          <w:sz w:val="28"/>
          <w:szCs w:val="28"/>
        </w:rPr>
        <w:t>（一）概况</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项目背景：</w:t>
      </w:r>
      <w:r>
        <w:rPr>
          <w:rFonts w:hint="eastAsia" w:ascii="华文楷体" w:hAnsi="华文楷体" w:eastAsia="华文楷体" w:cs="华文楷体"/>
          <w:sz w:val="28"/>
          <w:szCs w:val="28"/>
          <w:lang w:val="en-US" w:eastAsia="zh-CN"/>
        </w:rPr>
        <w:t>乐至蚕桑生产历史悠久，素有“桑乐至”、“桑城”之称。为进一步做优、做精、做强乐至蚕桑产业，着力因地制宜构建乐至现代蚕桑生产体系。2020年依据</w:t>
      </w:r>
      <w:r>
        <w:rPr>
          <w:rFonts w:hint="eastAsia" w:ascii="华文楷体" w:hAnsi="华文楷体" w:eastAsia="华文楷体" w:cs="华文楷体"/>
          <w:b w:val="0"/>
          <w:bCs w:val="0"/>
          <w:sz w:val="28"/>
          <w:szCs w:val="28"/>
          <w:lang w:val="en-US" w:eastAsia="zh-CN"/>
        </w:rPr>
        <w:t>四川省农业厅《关于开展2020年度中央财政专项部分任务项目申报工作的通知》和乐至县人民政府《关于乐至县蚕桑农业产业化联合体培育项目实施方案的批复》，发起成立了由“龙头企业”和三个蚕桑专业合作社、八户蚕桑专业家庭农场组成的乐至首个“蚕桑农业产业化联合体”，</w:t>
      </w:r>
    </w:p>
    <w:p>
      <w:pPr>
        <w:numPr>
          <w:ilvl w:val="0"/>
          <w:numId w:val="0"/>
        </w:numPr>
        <w:spacing w:line="240" w:lineRule="auto"/>
        <w:ind w:firstLine="561" w:firstLineChars="200"/>
        <w:jc w:val="both"/>
        <w:rPr>
          <w:rFonts w:hint="eastAsia" w:ascii="华文楷体" w:hAnsi="华文楷体" w:eastAsia="华文楷体" w:cs="华文楷体"/>
          <w:color w:val="FF0000"/>
          <w:sz w:val="28"/>
          <w:szCs w:val="28"/>
          <w:lang w:val="en-US" w:eastAsia="zh-CN"/>
        </w:rPr>
      </w:pPr>
      <w:r>
        <w:rPr>
          <w:rFonts w:hint="eastAsia" w:ascii="华文楷体" w:hAnsi="华文楷体" w:eastAsia="华文楷体" w:cs="华文楷体"/>
          <w:b/>
          <w:bCs/>
          <w:sz w:val="28"/>
          <w:szCs w:val="28"/>
        </w:rPr>
        <w:t>建设内容：</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1</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桑园建设：</w:t>
      </w:r>
      <w:r>
        <w:rPr>
          <w:rFonts w:hint="eastAsia" w:ascii="华文楷体" w:hAnsi="华文楷体" w:eastAsia="华文楷体" w:cs="华文楷体"/>
          <w:sz w:val="28"/>
          <w:szCs w:val="28"/>
          <w:lang w:val="en-US" w:eastAsia="zh-CN"/>
        </w:rPr>
        <w:t>联合体成员</w:t>
      </w:r>
      <w:r>
        <w:rPr>
          <w:rFonts w:hint="eastAsia" w:ascii="华文楷体" w:hAnsi="华文楷体" w:eastAsia="华文楷体" w:cs="华文楷体"/>
          <w:sz w:val="28"/>
          <w:szCs w:val="28"/>
        </w:rPr>
        <w:t>直接流转农民土地（租赁方式）</w:t>
      </w:r>
      <w:r>
        <w:rPr>
          <w:rFonts w:hint="eastAsia" w:ascii="华文楷体" w:hAnsi="华文楷体" w:eastAsia="华文楷体" w:cs="华文楷体"/>
          <w:color w:val="auto"/>
          <w:sz w:val="28"/>
          <w:szCs w:val="28"/>
          <w:lang w:val="en-US" w:eastAsia="zh-CN"/>
        </w:rPr>
        <w:t>580</w:t>
      </w:r>
      <w:r>
        <w:rPr>
          <w:rFonts w:hint="eastAsia" w:ascii="华文楷体" w:hAnsi="华文楷体" w:eastAsia="华文楷体" w:cs="华文楷体"/>
          <w:sz w:val="28"/>
          <w:szCs w:val="28"/>
        </w:rPr>
        <w:t>亩</w:t>
      </w:r>
      <w:r>
        <w:rPr>
          <w:rFonts w:hint="eastAsia" w:ascii="华文楷体" w:hAnsi="华文楷体" w:eastAsia="华文楷体" w:cs="华文楷体"/>
          <w:sz w:val="28"/>
          <w:szCs w:val="28"/>
          <w:highlight w:val="none"/>
          <w:lang w:val="en-US" w:eastAsia="zh-CN"/>
        </w:rPr>
        <w:t>，</w:t>
      </w:r>
      <w:r>
        <w:rPr>
          <w:rFonts w:hint="eastAsia" w:ascii="华文楷体" w:hAnsi="华文楷体" w:eastAsia="华文楷体" w:cs="华文楷体"/>
          <w:color w:val="auto"/>
          <w:sz w:val="28"/>
          <w:szCs w:val="28"/>
        </w:rPr>
        <w:t>修建作业道</w:t>
      </w:r>
      <w:r>
        <w:rPr>
          <w:rFonts w:hint="eastAsia" w:ascii="华文楷体" w:hAnsi="华文楷体" w:eastAsia="华文楷体" w:cs="华文楷体"/>
          <w:color w:val="auto"/>
          <w:sz w:val="28"/>
          <w:szCs w:val="28"/>
          <w:lang w:eastAsia="zh-CN"/>
        </w:rPr>
        <w:t>、</w:t>
      </w:r>
      <w:r>
        <w:rPr>
          <w:rFonts w:hint="eastAsia" w:ascii="华文楷体" w:hAnsi="华文楷体" w:eastAsia="华文楷体" w:cs="华文楷体"/>
          <w:sz w:val="28"/>
          <w:szCs w:val="28"/>
          <w:lang w:val="en-US" w:eastAsia="zh-CN"/>
        </w:rPr>
        <w:t>水渠，按照“6215”模式新栽优质桑品种25</w:t>
      </w:r>
      <w:r>
        <w:rPr>
          <w:rFonts w:hint="eastAsia" w:ascii="华文楷体" w:hAnsi="华文楷体" w:eastAsia="华文楷体" w:cs="华文楷体"/>
          <w:sz w:val="28"/>
          <w:szCs w:val="28"/>
        </w:rPr>
        <w:t>万株</w:t>
      </w:r>
      <w:r>
        <w:rPr>
          <w:rFonts w:hint="eastAsia" w:ascii="华文楷体" w:hAnsi="华文楷体" w:eastAsia="华文楷体" w:cs="华文楷体"/>
          <w:sz w:val="28"/>
          <w:szCs w:val="28"/>
          <w:lang w:val="en-US" w:eastAsia="zh-CN"/>
        </w:rPr>
        <w:t xml:space="preserve"> 。</w:t>
      </w:r>
    </w:p>
    <w:p>
      <w:pPr>
        <w:pStyle w:val="15"/>
        <w:numPr>
          <w:ilvl w:val="0"/>
          <w:numId w:val="8"/>
        </w:numPr>
        <w:adjustRightInd w:val="0"/>
        <w:snapToGrid w:val="0"/>
        <w:spacing w:before="0" w:beforeAutospacing="0" w:after="0" w:afterAutospacing="0" w:line="360" w:lineRule="auto"/>
        <w:ind w:right="210" w:rightChars="100"/>
        <w:jc w:val="both"/>
        <w:rPr>
          <w:rFonts w:hint="eastAsia" w:ascii="华文楷体" w:hAnsi="华文楷体" w:eastAsia="华文楷体" w:cs="华文楷体"/>
          <w:sz w:val="28"/>
          <w:szCs w:val="28"/>
          <w:lang w:eastAsia="zh-CN"/>
        </w:rPr>
      </w:pPr>
      <w:r>
        <w:rPr>
          <w:rFonts w:hint="eastAsia" w:ascii="华文楷体" w:hAnsi="华文楷体" w:eastAsia="华文楷体" w:cs="华文楷体"/>
          <w:b/>
          <w:bCs/>
          <w:sz w:val="28"/>
          <w:szCs w:val="28"/>
        </w:rPr>
        <w:t>小蚕共育室建设</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sz w:val="28"/>
          <w:szCs w:val="28"/>
        </w:rPr>
        <w:t>新建小蚕区域共育中心</w:t>
      </w:r>
      <w:r>
        <w:rPr>
          <w:rFonts w:hint="eastAsia" w:ascii="华文楷体" w:hAnsi="华文楷体" w:eastAsia="华文楷体" w:cs="华文楷体"/>
          <w:sz w:val="28"/>
          <w:szCs w:val="28"/>
          <w:lang w:val="en-US" w:eastAsia="zh-CN"/>
        </w:rPr>
        <w:t>1000</w:t>
      </w:r>
      <w:r>
        <w:rPr>
          <w:rFonts w:hint="eastAsia" w:ascii="华文楷体" w:hAnsi="华文楷体" w:eastAsia="华文楷体" w:cs="华文楷体"/>
          <w:sz w:val="28"/>
          <w:szCs w:val="28"/>
        </w:rPr>
        <w:t>㎡</w:t>
      </w:r>
      <w:r>
        <w:rPr>
          <w:rFonts w:hint="eastAsia" w:ascii="华文楷体" w:hAnsi="华文楷体" w:eastAsia="华文楷体" w:cs="华文楷体"/>
          <w:sz w:val="28"/>
          <w:szCs w:val="28"/>
          <w:lang w:eastAsia="zh-CN"/>
        </w:rPr>
        <w:t>，</w:t>
      </w:r>
      <w:r>
        <w:rPr>
          <w:rFonts w:hint="eastAsia" w:ascii="华文楷体" w:hAnsi="华文楷体" w:eastAsia="华文楷体" w:cs="华文楷体"/>
          <w:color w:val="auto"/>
          <w:sz w:val="28"/>
          <w:szCs w:val="28"/>
        </w:rPr>
        <w:t>改造小蚕共育室100</w:t>
      </w:r>
      <w:r>
        <w:rPr>
          <w:rFonts w:hint="eastAsia" w:ascii="华文楷体" w:hAnsi="华文楷体" w:eastAsia="华文楷体" w:cs="华文楷体"/>
          <w:color w:val="auto"/>
          <w:sz w:val="28"/>
          <w:szCs w:val="28"/>
          <w:lang w:val="en-US" w:eastAsia="zh-CN"/>
        </w:rPr>
        <w:t>0</w:t>
      </w:r>
      <w:r>
        <w:rPr>
          <w:rFonts w:hint="eastAsia" w:ascii="华文楷体" w:hAnsi="华文楷体" w:eastAsia="华文楷体" w:cs="华文楷体"/>
          <w:color w:val="auto"/>
          <w:sz w:val="28"/>
          <w:szCs w:val="28"/>
        </w:rPr>
        <w:t>㎡，配置小蚕共育设施</w:t>
      </w:r>
      <w:r>
        <w:rPr>
          <w:rFonts w:hint="eastAsia" w:ascii="华文楷体" w:hAnsi="华文楷体" w:eastAsia="华文楷体" w:cs="华文楷体"/>
          <w:color w:val="auto"/>
          <w:sz w:val="28"/>
          <w:szCs w:val="28"/>
          <w:lang w:eastAsia="zh-CN"/>
        </w:rPr>
        <w:t>、</w:t>
      </w:r>
      <w:r>
        <w:rPr>
          <w:rFonts w:hint="eastAsia" w:ascii="华文楷体" w:hAnsi="华文楷体" w:eastAsia="华文楷体" w:cs="华文楷体"/>
          <w:color w:val="auto"/>
          <w:sz w:val="28"/>
          <w:szCs w:val="28"/>
        </w:rPr>
        <w:t>设</w:t>
      </w:r>
      <w:r>
        <w:rPr>
          <w:rFonts w:hint="eastAsia" w:ascii="华文楷体" w:hAnsi="华文楷体" w:eastAsia="华文楷体" w:cs="华文楷体"/>
          <w:sz w:val="28"/>
          <w:szCs w:val="28"/>
        </w:rPr>
        <w:t>备</w:t>
      </w:r>
      <w:r>
        <w:rPr>
          <w:rFonts w:hint="eastAsia" w:ascii="华文楷体" w:hAnsi="华文楷体" w:eastAsia="华文楷体" w:cs="华文楷体"/>
          <w:sz w:val="28"/>
          <w:szCs w:val="28"/>
          <w:lang w:eastAsia="zh-CN"/>
        </w:rPr>
        <w:t>。</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3</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大蚕房建设：</w:t>
      </w:r>
      <w:r>
        <w:rPr>
          <w:rFonts w:hint="eastAsia" w:ascii="华文楷体" w:hAnsi="华文楷体" w:eastAsia="华文楷体" w:cs="华文楷体"/>
          <w:sz w:val="28"/>
          <w:szCs w:val="28"/>
        </w:rPr>
        <w:t>新修建大蚕房500</w:t>
      </w:r>
      <w:r>
        <w:rPr>
          <w:rFonts w:hint="eastAsia" w:ascii="华文楷体" w:hAnsi="华文楷体" w:eastAsia="华文楷体" w:cs="华文楷体"/>
          <w:sz w:val="28"/>
          <w:szCs w:val="28"/>
          <w:lang w:val="en-US" w:eastAsia="zh-CN"/>
        </w:rPr>
        <w:t>0</w:t>
      </w:r>
      <w:r>
        <w:rPr>
          <w:rFonts w:hint="eastAsia" w:ascii="华文楷体" w:hAnsi="华文楷体" w:eastAsia="华文楷体" w:cs="华文楷体"/>
          <w:sz w:val="28"/>
          <w:szCs w:val="28"/>
        </w:rPr>
        <w:t>㎡，配置蚕床</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rPr>
        <w:t>纸板方格簇、切桑机</w:t>
      </w:r>
      <w:r>
        <w:rPr>
          <w:rFonts w:hint="eastAsia" w:ascii="华文楷体" w:hAnsi="华文楷体" w:eastAsia="华文楷体" w:cs="华文楷体"/>
          <w:sz w:val="28"/>
          <w:szCs w:val="28"/>
          <w:lang w:val="en-US" w:eastAsia="zh-CN"/>
        </w:rPr>
        <w:t>等。</w:t>
      </w:r>
      <w:r>
        <w:rPr>
          <w:rFonts w:hint="eastAsia" w:ascii="华文楷体" w:hAnsi="华文楷体" w:eastAsia="华文楷体" w:cs="华文楷体"/>
          <w:b/>
          <w:bCs/>
          <w:color w:val="auto"/>
          <w:sz w:val="28"/>
          <w:szCs w:val="28"/>
          <w:lang w:eastAsia="zh-CN"/>
        </w:rPr>
        <w:t>（</w:t>
      </w:r>
      <w:r>
        <w:rPr>
          <w:rFonts w:hint="eastAsia" w:ascii="华文楷体" w:hAnsi="华文楷体" w:eastAsia="华文楷体" w:cs="华文楷体"/>
          <w:b/>
          <w:bCs/>
          <w:color w:val="auto"/>
          <w:sz w:val="28"/>
          <w:szCs w:val="28"/>
          <w:lang w:val="en-US" w:eastAsia="zh-CN"/>
        </w:rPr>
        <w:t>4</w:t>
      </w:r>
      <w:r>
        <w:rPr>
          <w:rFonts w:hint="eastAsia" w:ascii="华文楷体" w:hAnsi="华文楷体" w:eastAsia="华文楷体" w:cs="华文楷体"/>
          <w:b/>
          <w:bCs/>
          <w:color w:val="auto"/>
          <w:sz w:val="28"/>
          <w:szCs w:val="28"/>
          <w:lang w:eastAsia="zh-CN"/>
        </w:rPr>
        <w:t>）</w:t>
      </w:r>
      <w:r>
        <w:rPr>
          <w:rFonts w:hint="eastAsia" w:ascii="华文楷体" w:hAnsi="华文楷体" w:eastAsia="华文楷体" w:cs="华文楷体"/>
          <w:b/>
          <w:bCs/>
          <w:color w:val="auto"/>
          <w:sz w:val="28"/>
          <w:szCs w:val="28"/>
        </w:rPr>
        <w:t>项目提升</w:t>
      </w:r>
      <w:r>
        <w:rPr>
          <w:rFonts w:hint="eastAsia" w:ascii="华文楷体" w:hAnsi="华文楷体" w:eastAsia="华文楷体" w:cs="华文楷体"/>
          <w:b/>
          <w:bCs/>
          <w:sz w:val="28"/>
          <w:szCs w:val="28"/>
        </w:rPr>
        <w:t>：</w:t>
      </w:r>
      <w:r>
        <w:rPr>
          <w:rFonts w:hint="eastAsia" w:ascii="华文楷体" w:hAnsi="华文楷体" w:eastAsia="华文楷体" w:cs="华文楷体"/>
          <w:sz w:val="28"/>
          <w:szCs w:val="28"/>
        </w:rPr>
        <w:t>改造专业合作社养蚕设施，添置旋转架、纸板方格簇、共享蚕棚</w:t>
      </w:r>
      <w:r>
        <w:rPr>
          <w:rFonts w:hint="eastAsia" w:ascii="华文楷体" w:hAnsi="华文楷体" w:eastAsia="华文楷体" w:cs="华文楷体"/>
          <w:sz w:val="28"/>
          <w:szCs w:val="28"/>
          <w:lang w:val="en-US" w:eastAsia="zh-CN"/>
        </w:rPr>
        <w:t>等</w:t>
      </w:r>
      <w:r>
        <w:rPr>
          <w:rFonts w:hint="eastAsia" w:ascii="华文楷体" w:hAnsi="华文楷体" w:eastAsia="华文楷体" w:cs="华文楷体"/>
          <w:sz w:val="28"/>
          <w:szCs w:val="28"/>
          <w:lang w:eastAsia="zh-CN"/>
        </w:rPr>
        <w:t>。</w:t>
      </w:r>
    </w:p>
    <w:p>
      <w:pPr>
        <w:pStyle w:val="15"/>
        <w:numPr>
          <w:ilvl w:val="0"/>
          <w:numId w:val="0"/>
        </w:numPr>
        <w:adjustRightInd w:val="0"/>
        <w:snapToGrid w:val="0"/>
        <w:spacing w:before="0" w:beforeAutospacing="0" w:after="0" w:afterAutospacing="0" w:line="360" w:lineRule="auto"/>
        <w:ind w:right="210" w:rightChars="100" w:firstLine="561" w:firstLineChars="2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b/>
          <w:bCs/>
          <w:sz w:val="28"/>
          <w:szCs w:val="28"/>
        </w:rPr>
        <w:t>资金来源：</w:t>
      </w:r>
      <w:r>
        <w:rPr>
          <w:rFonts w:hint="eastAsia" w:ascii="华文楷体" w:hAnsi="华文楷体" w:eastAsia="华文楷体" w:cs="华文楷体"/>
          <w:sz w:val="28"/>
          <w:szCs w:val="28"/>
        </w:rPr>
        <w:t>项目</w:t>
      </w:r>
      <w:r>
        <w:rPr>
          <w:rFonts w:hint="eastAsia" w:ascii="华文楷体" w:hAnsi="华文楷体" w:eastAsia="华文楷体" w:cs="华文楷体"/>
          <w:sz w:val="28"/>
          <w:szCs w:val="28"/>
          <w:lang w:val="en-US" w:eastAsia="zh-CN"/>
        </w:rPr>
        <w:t>计划</w:t>
      </w:r>
      <w:r>
        <w:rPr>
          <w:rFonts w:hint="eastAsia" w:ascii="华文楷体" w:hAnsi="华文楷体" w:eastAsia="华文楷体" w:cs="华文楷体"/>
          <w:sz w:val="28"/>
          <w:szCs w:val="28"/>
        </w:rPr>
        <w:t>总投资</w:t>
      </w:r>
      <w:r>
        <w:rPr>
          <w:rFonts w:hint="eastAsia" w:ascii="华文楷体" w:hAnsi="华文楷体" w:eastAsia="华文楷体" w:cs="华文楷体"/>
          <w:sz w:val="28"/>
          <w:szCs w:val="28"/>
          <w:lang w:val="en-US" w:eastAsia="zh-CN"/>
        </w:rPr>
        <w:t>717.10</w:t>
      </w:r>
      <w:r>
        <w:rPr>
          <w:rFonts w:hint="eastAsia" w:ascii="华文楷体" w:hAnsi="华文楷体" w:eastAsia="华文楷体" w:cs="华文楷体"/>
          <w:sz w:val="28"/>
          <w:szCs w:val="28"/>
        </w:rPr>
        <w:t>万元</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其中：中央财政资金300万元，自筹资金417.10万元。</w:t>
      </w:r>
    </w:p>
    <w:p>
      <w:pPr>
        <w:pStyle w:val="15"/>
        <w:numPr>
          <w:ilvl w:val="0"/>
          <w:numId w:val="0"/>
        </w:numPr>
        <w:adjustRightInd w:val="0"/>
        <w:snapToGrid w:val="0"/>
        <w:spacing w:before="0" w:beforeAutospacing="0" w:after="0" w:afterAutospacing="0" w:line="360" w:lineRule="auto"/>
        <w:ind w:right="210" w:rightChars="100" w:firstLine="561" w:firstLineChars="200"/>
        <w:jc w:val="both"/>
        <w:rPr>
          <w:rFonts w:hint="eastAsia" w:ascii="华文楷体" w:hAnsi="华文楷体" w:eastAsia="华文楷体" w:cs="华文楷体"/>
          <w:color w:val="auto"/>
          <w:sz w:val="28"/>
          <w:szCs w:val="28"/>
          <w:lang w:eastAsia="zh-CN"/>
        </w:rPr>
      </w:pPr>
      <w:r>
        <w:rPr>
          <w:rFonts w:hint="eastAsia" w:ascii="华文楷体" w:hAnsi="华文楷体" w:eastAsia="华文楷体" w:cs="华文楷体"/>
          <w:b/>
          <w:bCs/>
          <w:sz w:val="28"/>
          <w:szCs w:val="28"/>
          <w:lang w:val="en-US" w:eastAsia="zh-CN"/>
        </w:rPr>
        <w:t>实施情况：（1）桑园建设，</w:t>
      </w:r>
      <w:r>
        <w:rPr>
          <w:rFonts w:hint="eastAsia" w:ascii="华文楷体" w:hAnsi="华文楷体" w:eastAsia="华文楷体" w:cs="华文楷体"/>
          <w:sz w:val="28"/>
          <w:szCs w:val="28"/>
          <w:lang w:val="en-US" w:eastAsia="zh-CN"/>
        </w:rPr>
        <w:t>项目</w:t>
      </w:r>
      <w:r>
        <w:rPr>
          <w:rFonts w:hint="eastAsia" w:ascii="华文楷体" w:hAnsi="华文楷体" w:eastAsia="华文楷体" w:cs="华文楷体"/>
          <w:sz w:val="28"/>
          <w:szCs w:val="28"/>
        </w:rPr>
        <w:t>流转土地</w:t>
      </w:r>
      <w:r>
        <w:rPr>
          <w:rFonts w:hint="eastAsia" w:ascii="华文楷体" w:hAnsi="华文楷体" w:eastAsia="华文楷体" w:cs="华文楷体"/>
          <w:color w:val="auto"/>
          <w:sz w:val="28"/>
          <w:szCs w:val="28"/>
          <w:lang w:val="en-US" w:eastAsia="zh-CN"/>
        </w:rPr>
        <w:t>852</w:t>
      </w:r>
      <w:r>
        <w:rPr>
          <w:rFonts w:hint="eastAsia" w:ascii="华文楷体" w:hAnsi="华文楷体" w:eastAsia="华文楷体" w:cs="华文楷体"/>
          <w:sz w:val="28"/>
          <w:szCs w:val="28"/>
        </w:rPr>
        <w:t>亩</w:t>
      </w:r>
      <w:r>
        <w:rPr>
          <w:rFonts w:hint="eastAsia" w:ascii="华文楷体" w:hAnsi="华文楷体" w:eastAsia="华文楷体" w:cs="华文楷体"/>
          <w:sz w:val="28"/>
          <w:szCs w:val="28"/>
          <w:lang w:eastAsia="zh-CN"/>
        </w:rPr>
        <w:t>，</w:t>
      </w:r>
      <w:r>
        <w:rPr>
          <w:rFonts w:hint="eastAsia" w:ascii="华文楷体" w:hAnsi="华文楷体" w:eastAsia="华文楷体" w:cs="华文楷体"/>
          <w:color w:val="auto"/>
          <w:sz w:val="28"/>
          <w:szCs w:val="28"/>
        </w:rPr>
        <w:t>修建作业道</w:t>
      </w:r>
      <w:r>
        <w:rPr>
          <w:rFonts w:hint="eastAsia" w:ascii="华文楷体" w:hAnsi="华文楷体" w:eastAsia="华文楷体" w:cs="华文楷体"/>
          <w:color w:val="auto"/>
          <w:sz w:val="28"/>
          <w:szCs w:val="28"/>
          <w:lang w:val="en-US" w:eastAsia="zh-CN"/>
        </w:rPr>
        <w:t>860</w:t>
      </w:r>
      <w:r>
        <w:rPr>
          <w:rFonts w:hint="eastAsia" w:ascii="华文楷体" w:hAnsi="华文楷体" w:eastAsia="华文楷体" w:cs="华文楷体"/>
          <w:color w:val="auto"/>
          <w:sz w:val="28"/>
          <w:szCs w:val="28"/>
        </w:rPr>
        <w:t>m</w:t>
      </w:r>
      <w:r>
        <w:rPr>
          <w:rFonts w:hint="eastAsia" w:ascii="华文楷体" w:hAnsi="华文楷体" w:eastAsia="华文楷体" w:cs="华文楷体"/>
          <w:color w:val="auto"/>
          <w:sz w:val="28"/>
          <w:szCs w:val="28"/>
          <w:lang w:eastAsia="zh-CN"/>
        </w:rPr>
        <w:t>、</w:t>
      </w:r>
    </w:p>
    <w:p>
      <w:pPr>
        <w:pStyle w:val="15"/>
        <w:numPr>
          <w:ilvl w:val="0"/>
          <w:numId w:val="0"/>
        </w:numPr>
        <w:adjustRightInd w:val="0"/>
        <w:snapToGrid w:val="0"/>
        <w:spacing w:before="0" w:beforeAutospacing="0" w:after="0" w:afterAutospacing="0" w:line="360" w:lineRule="auto"/>
        <w:ind w:right="210" w:rightChars="100"/>
        <w:jc w:val="both"/>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val="en-US" w:eastAsia="zh-CN"/>
        </w:rPr>
        <w:t xml:space="preserve">水渠375m，按照“6215”模式新栽优质桑品种（强桑1号）25.02 </w:t>
      </w:r>
      <w:r>
        <w:rPr>
          <w:rFonts w:hint="eastAsia" w:ascii="华文楷体" w:hAnsi="华文楷体" w:eastAsia="华文楷体" w:cs="华文楷体"/>
          <w:sz w:val="28"/>
          <w:szCs w:val="28"/>
        </w:rPr>
        <w:t>万株</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2</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小蚕共育室建设</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sz w:val="28"/>
          <w:szCs w:val="28"/>
          <w:lang w:val="en-US" w:eastAsia="zh-CN"/>
        </w:rPr>
        <w:t>项目</w:t>
      </w:r>
      <w:r>
        <w:rPr>
          <w:rFonts w:hint="eastAsia" w:ascii="华文楷体" w:hAnsi="华文楷体" w:eastAsia="华文楷体" w:cs="华文楷体"/>
          <w:sz w:val="28"/>
          <w:szCs w:val="28"/>
        </w:rPr>
        <w:t>新建小蚕区域共育中心</w:t>
      </w:r>
      <w:r>
        <w:rPr>
          <w:rFonts w:hint="eastAsia" w:ascii="华文楷体" w:hAnsi="华文楷体" w:eastAsia="华文楷体" w:cs="华文楷体"/>
          <w:sz w:val="28"/>
          <w:szCs w:val="28"/>
          <w:lang w:val="en-US" w:eastAsia="zh-CN"/>
        </w:rPr>
        <w:t>1010</w:t>
      </w:r>
      <w:r>
        <w:rPr>
          <w:rFonts w:hint="eastAsia" w:ascii="华文楷体" w:hAnsi="华文楷体" w:eastAsia="华文楷体" w:cs="华文楷体"/>
          <w:sz w:val="28"/>
          <w:szCs w:val="28"/>
        </w:rPr>
        <w:t>㎡</w:t>
      </w:r>
      <w:r>
        <w:rPr>
          <w:rFonts w:hint="eastAsia" w:ascii="华文楷体" w:hAnsi="华文楷体" w:eastAsia="华文楷体" w:cs="华文楷体"/>
          <w:color w:val="auto"/>
          <w:sz w:val="28"/>
          <w:szCs w:val="28"/>
        </w:rPr>
        <w:t>、改造小蚕共育室100</w:t>
      </w:r>
      <w:r>
        <w:rPr>
          <w:rFonts w:hint="eastAsia" w:ascii="华文楷体" w:hAnsi="华文楷体" w:eastAsia="华文楷体" w:cs="华文楷体"/>
          <w:color w:val="auto"/>
          <w:sz w:val="28"/>
          <w:szCs w:val="28"/>
          <w:lang w:val="en-US" w:eastAsia="zh-CN"/>
        </w:rPr>
        <w:t>6.5</w:t>
      </w:r>
      <w:r>
        <w:rPr>
          <w:rFonts w:hint="eastAsia" w:ascii="华文楷体" w:hAnsi="华文楷体" w:eastAsia="华文楷体" w:cs="华文楷体"/>
          <w:color w:val="auto"/>
          <w:sz w:val="28"/>
          <w:szCs w:val="28"/>
        </w:rPr>
        <w:t>㎡，配置小蚕共育设施-蚕盒</w:t>
      </w:r>
      <w:r>
        <w:rPr>
          <w:rFonts w:hint="eastAsia" w:ascii="华文楷体" w:hAnsi="华文楷体" w:eastAsia="华文楷体" w:cs="华文楷体"/>
          <w:color w:val="auto"/>
          <w:sz w:val="28"/>
          <w:szCs w:val="28"/>
          <w:lang w:val="en-US" w:eastAsia="zh-CN"/>
        </w:rPr>
        <w:t>2000</w:t>
      </w:r>
      <w:r>
        <w:rPr>
          <w:rFonts w:hint="eastAsia" w:ascii="华文楷体" w:hAnsi="华文楷体" w:eastAsia="华文楷体" w:cs="华文楷体"/>
          <w:color w:val="auto"/>
          <w:sz w:val="28"/>
          <w:szCs w:val="28"/>
        </w:rPr>
        <w:t>个、设</w:t>
      </w:r>
      <w:r>
        <w:rPr>
          <w:rFonts w:hint="eastAsia" w:ascii="华文楷体" w:hAnsi="华文楷体" w:eastAsia="华文楷体" w:cs="华文楷体"/>
          <w:sz w:val="28"/>
          <w:szCs w:val="28"/>
        </w:rPr>
        <w:t>备-智能温控系统7套。</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3</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大蚕房建设：</w:t>
      </w:r>
      <w:r>
        <w:rPr>
          <w:rFonts w:hint="eastAsia" w:ascii="华文楷体" w:hAnsi="华文楷体" w:eastAsia="华文楷体" w:cs="华文楷体"/>
          <w:b w:val="0"/>
          <w:bCs w:val="0"/>
          <w:sz w:val="28"/>
          <w:szCs w:val="28"/>
          <w:lang w:val="en-US" w:eastAsia="zh-CN"/>
        </w:rPr>
        <w:t>项目</w:t>
      </w:r>
      <w:r>
        <w:rPr>
          <w:rFonts w:hint="eastAsia" w:ascii="华文楷体" w:hAnsi="华文楷体" w:eastAsia="华文楷体" w:cs="华文楷体"/>
          <w:sz w:val="28"/>
          <w:szCs w:val="28"/>
        </w:rPr>
        <w:t>新修建大蚕房500</w:t>
      </w:r>
      <w:r>
        <w:rPr>
          <w:rFonts w:hint="eastAsia" w:ascii="华文楷体" w:hAnsi="华文楷体" w:eastAsia="华文楷体" w:cs="华文楷体"/>
          <w:sz w:val="28"/>
          <w:szCs w:val="28"/>
          <w:lang w:val="en-US" w:eastAsia="zh-CN"/>
        </w:rPr>
        <w:t>7</w:t>
      </w:r>
      <w:r>
        <w:rPr>
          <w:rFonts w:hint="eastAsia" w:ascii="华文楷体" w:hAnsi="华文楷体" w:eastAsia="华文楷体" w:cs="华文楷体"/>
          <w:sz w:val="28"/>
          <w:szCs w:val="28"/>
        </w:rPr>
        <w:t>㎡，配置蚕床1800付、纸板方格簇15万片、切桑机10台。</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4</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color w:val="auto"/>
          <w:sz w:val="28"/>
          <w:szCs w:val="28"/>
        </w:rPr>
        <w:t>项目提升</w:t>
      </w:r>
      <w:r>
        <w:rPr>
          <w:rFonts w:hint="eastAsia" w:ascii="华文楷体" w:hAnsi="华文楷体" w:eastAsia="华文楷体" w:cs="华文楷体"/>
          <w:b/>
          <w:bCs/>
          <w:sz w:val="28"/>
          <w:szCs w:val="28"/>
        </w:rPr>
        <w:t>：</w:t>
      </w:r>
      <w:r>
        <w:rPr>
          <w:rFonts w:hint="eastAsia" w:ascii="华文楷体" w:hAnsi="华文楷体" w:eastAsia="华文楷体" w:cs="华文楷体"/>
          <w:b w:val="0"/>
          <w:bCs w:val="0"/>
          <w:sz w:val="28"/>
          <w:szCs w:val="28"/>
          <w:lang w:val="en-US" w:eastAsia="zh-CN"/>
        </w:rPr>
        <w:t>项目</w:t>
      </w:r>
      <w:r>
        <w:rPr>
          <w:rFonts w:hint="eastAsia" w:ascii="华文楷体" w:hAnsi="华文楷体" w:eastAsia="华文楷体" w:cs="华文楷体"/>
          <w:sz w:val="28"/>
          <w:szCs w:val="28"/>
        </w:rPr>
        <w:t>改造专业合作社养蚕设施，添置旋转架1.5</w:t>
      </w:r>
      <w:r>
        <w:rPr>
          <w:rFonts w:hint="eastAsia" w:ascii="华文楷体" w:hAnsi="华文楷体" w:eastAsia="华文楷体" w:cs="华文楷体"/>
          <w:sz w:val="28"/>
          <w:szCs w:val="28"/>
          <w:lang w:val="en-US" w:eastAsia="zh-CN"/>
        </w:rPr>
        <w:t>128</w:t>
      </w:r>
      <w:r>
        <w:rPr>
          <w:rFonts w:hint="eastAsia" w:ascii="华文楷体" w:hAnsi="华文楷体" w:eastAsia="华文楷体" w:cs="华文楷体"/>
          <w:sz w:val="28"/>
          <w:szCs w:val="28"/>
        </w:rPr>
        <w:t>万个、纸板方格簇1</w:t>
      </w:r>
      <w:r>
        <w:rPr>
          <w:rFonts w:hint="eastAsia" w:ascii="华文楷体" w:hAnsi="华文楷体" w:eastAsia="华文楷体" w:cs="华文楷体"/>
          <w:sz w:val="28"/>
          <w:szCs w:val="28"/>
          <w:lang w:val="en-US" w:eastAsia="zh-CN"/>
        </w:rPr>
        <w:t>9.5</w:t>
      </w:r>
      <w:r>
        <w:rPr>
          <w:rFonts w:hint="eastAsia" w:ascii="华文楷体" w:hAnsi="华文楷体" w:eastAsia="华文楷体" w:cs="华文楷体"/>
          <w:sz w:val="28"/>
          <w:szCs w:val="28"/>
        </w:rPr>
        <w:t>万片、共享蚕棚20套</w:t>
      </w:r>
      <w:r>
        <w:rPr>
          <w:rFonts w:hint="eastAsia" w:ascii="华文楷体" w:hAnsi="华文楷体" w:eastAsia="华文楷体" w:cs="华文楷体"/>
          <w:sz w:val="28"/>
          <w:szCs w:val="28"/>
          <w:lang w:eastAsia="zh-CN"/>
        </w:rPr>
        <w:t>。</w:t>
      </w:r>
    </w:p>
    <w:p>
      <w:pPr>
        <w:pStyle w:val="15"/>
        <w:numPr>
          <w:ilvl w:val="0"/>
          <w:numId w:val="0"/>
        </w:numPr>
        <w:adjustRightInd w:val="0"/>
        <w:snapToGrid w:val="0"/>
        <w:spacing w:before="0" w:beforeAutospacing="0" w:after="0" w:afterAutospacing="0" w:line="360" w:lineRule="auto"/>
        <w:ind w:right="210" w:rightChars="100" w:firstLine="561" w:firstLineChars="200"/>
        <w:jc w:val="both"/>
        <w:rPr>
          <w:rFonts w:hint="eastAsia" w:ascii="华文楷体" w:hAnsi="华文楷体" w:eastAsia="华文楷体" w:cs="华文楷体"/>
          <w:sz w:val="28"/>
          <w:szCs w:val="28"/>
        </w:rPr>
      </w:pPr>
      <w:r>
        <w:rPr>
          <w:rFonts w:hint="eastAsia" w:ascii="华文楷体" w:hAnsi="华文楷体" w:eastAsia="华文楷体" w:cs="华文楷体"/>
          <w:b/>
          <w:bCs/>
          <w:sz w:val="28"/>
          <w:szCs w:val="28"/>
        </w:rPr>
        <w:t>组织管理情况：</w:t>
      </w: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蚕桑蚕桑局产制定的《乐至县蚕桑产业化联合体实施方案》，</w:t>
      </w:r>
      <w:r>
        <w:rPr>
          <w:rFonts w:hint="eastAsia" w:ascii="华文楷体" w:hAnsi="华文楷体" w:eastAsia="华文楷体" w:cs="华文楷体"/>
          <w:sz w:val="28"/>
          <w:szCs w:val="28"/>
        </w:rPr>
        <w:t>明确</w:t>
      </w:r>
      <w:r>
        <w:rPr>
          <w:rFonts w:hint="eastAsia" w:ascii="华文楷体" w:hAnsi="华文楷体" w:eastAsia="华文楷体" w:cs="华文楷体"/>
          <w:sz w:val="28"/>
          <w:szCs w:val="28"/>
          <w:lang w:eastAsia="zh-CN"/>
        </w:rPr>
        <w:t>了</w:t>
      </w:r>
      <w:r>
        <w:rPr>
          <w:rFonts w:hint="eastAsia" w:ascii="华文楷体" w:hAnsi="华文楷体" w:eastAsia="华文楷体" w:cs="华文楷体"/>
          <w:sz w:val="28"/>
          <w:szCs w:val="28"/>
        </w:rPr>
        <w:t>项目任务、建设标准、时间节点、补助标准、资金兑付、资料归档等要求，项目由</w:t>
      </w:r>
      <w:r>
        <w:rPr>
          <w:rFonts w:hint="eastAsia" w:ascii="华文楷体" w:hAnsi="华文楷体" w:eastAsia="华文楷体" w:cs="华文楷体"/>
          <w:sz w:val="28"/>
          <w:szCs w:val="28"/>
          <w:lang w:val="en-US" w:eastAsia="zh-CN"/>
        </w:rPr>
        <w:t>四川红旗丝绸有限公司组织</w:t>
      </w:r>
      <w:r>
        <w:rPr>
          <w:rFonts w:hint="eastAsia" w:ascii="华文楷体" w:hAnsi="华文楷体" w:eastAsia="华文楷体" w:cs="华文楷体"/>
          <w:sz w:val="28"/>
          <w:szCs w:val="28"/>
        </w:rPr>
        <w:t>实施，</w:t>
      </w:r>
      <w:r>
        <w:rPr>
          <w:rFonts w:hint="eastAsia" w:ascii="华文楷体" w:hAnsi="华文楷体" w:eastAsia="华文楷体" w:cs="华文楷体"/>
          <w:sz w:val="28"/>
          <w:szCs w:val="28"/>
          <w:lang w:val="en-US" w:eastAsia="zh-CN"/>
        </w:rPr>
        <w:t>项目完成后</w:t>
      </w:r>
      <w:r>
        <w:rPr>
          <w:rFonts w:hint="eastAsia" w:ascii="华文楷体" w:hAnsi="华文楷体" w:eastAsia="华文楷体" w:cs="华文楷体"/>
          <w:sz w:val="28"/>
          <w:szCs w:val="28"/>
        </w:rPr>
        <w:t>由</w:t>
      </w: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蚕桑局</w:t>
      </w:r>
      <w:r>
        <w:rPr>
          <w:rFonts w:hint="eastAsia" w:ascii="华文楷体" w:hAnsi="华文楷体" w:eastAsia="华文楷体" w:cs="华文楷体"/>
          <w:sz w:val="28"/>
          <w:szCs w:val="28"/>
        </w:rPr>
        <w:t>组织初验，初验合格</w:t>
      </w:r>
      <w:r>
        <w:rPr>
          <w:rFonts w:hint="eastAsia" w:ascii="华文楷体" w:hAnsi="华文楷体" w:eastAsia="华文楷体" w:cs="华文楷体"/>
          <w:sz w:val="28"/>
          <w:szCs w:val="28"/>
          <w:lang w:val="en-US" w:eastAsia="zh-CN"/>
        </w:rPr>
        <w:t>由红旗公司</w:t>
      </w:r>
      <w:r>
        <w:rPr>
          <w:rFonts w:hint="eastAsia" w:ascii="华文楷体" w:hAnsi="华文楷体" w:eastAsia="华文楷体" w:cs="华文楷体"/>
          <w:sz w:val="28"/>
          <w:szCs w:val="28"/>
        </w:rPr>
        <w:t>提交验收申请，由</w:t>
      </w:r>
      <w:r>
        <w:rPr>
          <w:rFonts w:hint="eastAsia" w:ascii="华文楷体" w:hAnsi="华文楷体" w:eastAsia="华文楷体" w:cs="华文楷体"/>
          <w:sz w:val="28"/>
          <w:szCs w:val="28"/>
          <w:lang w:val="en-US" w:eastAsia="zh-CN"/>
        </w:rPr>
        <w:t>资阳市农业农村局</w:t>
      </w:r>
      <w:r>
        <w:rPr>
          <w:rFonts w:hint="eastAsia" w:ascii="华文楷体" w:hAnsi="华文楷体" w:eastAsia="华文楷体" w:cs="华文楷体"/>
          <w:sz w:val="28"/>
          <w:szCs w:val="28"/>
        </w:rPr>
        <w:t>级组织</w:t>
      </w:r>
      <w:r>
        <w:rPr>
          <w:rFonts w:hint="eastAsia" w:ascii="华文楷体" w:hAnsi="华文楷体" w:eastAsia="华文楷体" w:cs="华文楷体"/>
          <w:sz w:val="28"/>
          <w:szCs w:val="28"/>
          <w:lang w:val="en-US" w:eastAsia="zh-CN"/>
        </w:rPr>
        <w:t>专家</w:t>
      </w:r>
      <w:r>
        <w:rPr>
          <w:rFonts w:hint="eastAsia" w:ascii="华文楷体" w:hAnsi="华文楷体" w:eastAsia="华文楷体" w:cs="华文楷体"/>
          <w:sz w:val="28"/>
          <w:szCs w:val="28"/>
        </w:rPr>
        <w:t>验收，验收合格后划拨补助资金。</w:t>
      </w:r>
    </w:p>
    <w:p>
      <w:pPr>
        <w:pStyle w:val="15"/>
        <w:numPr>
          <w:ilvl w:val="0"/>
          <w:numId w:val="9"/>
        </w:numPr>
        <w:adjustRightInd w:val="0"/>
        <w:snapToGrid w:val="0"/>
        <w:spacing w:before="0" w:beforeAutospacing="0" w:after="0" w:afterAutospacing="0" w:line="360" w:lineRule="auto"/>
        <w:ind w:right="210" w:rightChars="100" w:firstLine="561" w:firstLineChars="2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sz w:val="28"/>
          <w:szCs w:val="28"/>
        </w:rPr>
        <w:t>绩效目标</w:t>
      </w:r>
    </w:p>
    <w:p>
      <w:pPr>
        <w:pStyle w:val="15"/>
        <w:numPr>
          <w:ilvl w:val="0"/>
          <w:numId w:val="0"/>
        </w:numPr>
        <w:adjustRightInd w:val="0"/>
        <w:snapToGrid w:val="0"/>
        <w:spacing w:before="0" w:beforeAutospacing="0" w:after="0" w:afterAutospacing="0" w:line="360" w:lineRule="auto"/>
        <w:ind w:right="210" w:rightChars="100" w:firstLine="561" w:firstLineChars="2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sz w:val="28"/>
          <w:szCs w:val="28"/>
          <w:lang w:val="en-US" w:eastAsia="zh-CN"/>
        </w:rPr>
        <w:t>1、</w:t>
      </w:r>
      <w:r>
        <w:rPr>
          <w:rFonts w:hint="eastAsia" w:ascii="华文楷体" w:hAnsi="华文楷体" w:eastAsia="华文楷体" w:cs="华文楷体"/>
          <w:b w:val="0"/>
          <w:bCs w:val="0"/>
          <w:sz w:val="28"/>
          <w:szCs w:val="28"/>
          <w:lang w:val="en-US" w:eastAsia="zh-CN"/>
        </w:rPr>
        <w:t>经济效益：</w:t>
      </w:r>
    </w:p>
    <w:p>
      <w:pPr>
        <w:pStyle w:val="1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b w:val="0"/>
          <w:bCs w:val="0"/>
          <w:sz w:val="28"/>
          <w:szCs w:val="28"/>
          <w:lang w:val="en-US" w:eastAsia="zh-CN"/>
        </w:rPr>
        <w:t>（1）2022年</w:t>
      </w:r>
      <w:r>
        <w:rPr>
          <w:rFonts w:hint="eastAsia" w:ascii="华文楷体" w:hAnsi="华文楷体" w:eastAsia="华文楷体" w:cs="华文楷体"/>
          <w:color w:val="auto"/>
          <w:sz w:val="28"/>
          <w:szCs w:val="28"/>
        </w:rPr>
        <w:t>3个蚕桑专业合作社和8户家庭农场</w:t>
      </w:r>
      <w:r>
        <w:rPr>
          <w:rFonts w:hint="eastAsia" w:ascii="华文楷体" w:hAnsi="华文楷体" w:eastAsia="华文楷体" w:cs="华文楷体"/>
          <w:sz w:val="28"/>
          <w:szCs w:val="28"/>
        </w:rPr>
        <w:t>向红旗公司交售蚕茧达</w:t>
      </w:r>
      <w:r>
        <w:rPr>
          <w:rFonts w:hint="eastAsia" w:ascii="华文楷体" w:hAnsi="华文楷体" w:eastAsia="华文楷体" w:cs="华文楷体"/>
          <w:sz w:val="28"/>
          <w:szCs w:val="28"/>
          <w:lang w:val="en-US" w:eastAsia="zh-CN"/>
        </w:rPr>
        <w:t>7.5</w:t>
      </w:r>
      <w:r>
        <w:rPr>
          <w:rFonts w:hint="eastAsia" w:ascii="华文楷体" w:hAnsi="华文楷体" w:eastAsia="华文楷体" w:cs="华文楷体"/>
          <w:sz w:val="28"/>
          <w:szCs w:val="28"/>
        </w:rPr>
        <w:t>万公斤，</w:t>
      </w:r>
      <w:r>
        <w:rPr>
          <w:rFonts w:hint="eastAsia" w:ascii="华文楷体" w:hAnsi="华文楷体" w:eastAsia="华文楷体" w:cs="华文楷体"/>
          <w:sz w:val="28"/>
          <w:szCs w:val="28"/>
          <w:lang w:eastAsia="zh-CN"/>
        </w:rPr>
        <w:t>蚕农</w:t>
      </w:r>
      <w:r>
        <w:rPr>
          <w:rFonts w:hint="eastAsia" w:ascii="华文楷体" w:hAnsi="华文楷体" w:eastAsia="华文楷体" w:cs="华文楷体"/>
          <w:sz w:val="28"/>
          <w:szCs w:val="28"/>
          <w:lang w:val="en-US" w:eastAsia="zh-CN"/>
        </w:rPr>
        <w:t>或家庭农场</w:t>
      </w:r>
      <w:r>
        <w:rPr>
          <w:rFonts w:hint="eastAsia" w:ascii="华文楷体" w:hAnsi="华文楷体" w:eastAsia="华文楷体" w:cs="华文楷体"/>
          <w:sz w:val="28"/>
          <w:szCs w:val="28"/>
        </w:rPr>
        <w:t>茧款收入达</w:t>
      </w:r>
      <w:r>
        <w:rPr>
          <w:rFonts w:hint="eastAsia" w:ascii="华文楷体" w:hAnsi="华文楷体" w:eastAsia="华文楷体" w:cs="华文楷体"/>
          <w:sz w:val="28"/>
          <w:szCs w:val="28"/>
          <w:lang w:val="en-US" w:eastAsia="zh-CN"/>
        </w:rPr>
        <w:t>430</w:t>
      </w:r>
      <w:r>
        <w:rPr>
          <w:rFonts w:hint="eastAsia" w:ascii="华文楷体" w:hAnsi="华文楷体" w:eastAsia="华文楷体" w:cs="华文楷体"/>
          <w:sz w:val="28"/>
          <w:szCs w:val="28"/>
        </w:rPr>
        <w:t>余万元</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 xml:space="preserve"> </w:t>
      </w:r>
    </w:p>
    <w:p>
      <w:pPr>
        <w:pStyle w:val="1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（2）红旗公司（龙头企业）获得7.5万公斤优质蚕茧原料（</w:t>
      </w:r>
      <w:r>
        <w:rPr>
          <w:rFonts w:hint="eastAsia" w:ascii="华文楷体" w:hAnsi="华文楷体" w:eastAsia="华文楷体" w:cs="华文楷体"/>
          <w:sz w:val="28"/>
          <w:szCs w:val="28"/>
        </w:rPr>
        <w:t>蚕茧质量：上车率达95%，单丝长1000米以上</w:t>
      </w:r>
      <w:r>
        <w:rPr>
          <w:rFonts w:hint="eastAsia" w:ascii="华文楷体" w:hAnsi="华文楷体" w:eastAsia="华文楷体" w:cs="华文楷体"/>
          <w:sz w:val="28"/>
          <w:szCs w:val="28"/>
          <w:lang w:val="en-US" w:eastAsia="zh-CN"/>
        </w:rPr>
        <w:t>），可缫6A级顶级生丝10吨，可增加经济效益近20万元。</w:t>
      </w:r>
    </w:p>
    <w:p>
      <w:pPr>
        <w:pStyle w:val="15"/>
        <w:numPr>
          <w:ilvl w:val="0"/>
          <w:numId w:val="0"/>
        </w:numPr>
        <w:adjustRightInd w:val="0"/>
        <w:snapToGrid w:val="0"/>
        <w:spacing w:before="0" w:beforeAutospacing="0" w:after="0" w:afterAutospacing="0" w:line="360" w:lineRule="auto"/>
        <w:ind w:leftChars="200" w:right="210" w:rightChars="100"/>
        <w:jc w:val="both"/>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由此可见，联合体项目有效的实现了联合体成员的“双赢”。</w:t>
      </w:r>
    </w:p>
    <w:p>
      <w:pPr>
        <w:pStyle w:val="15"/>
        <w:numPr>
          <w:ilvl w:val="0"/>
          <w:numId w:val="0"/>
        </w:numPr>
        <w:adjustRightInd w:val="0"/>
        <w:snapToGrid w:val="0"/>
        <w:spacing w:before="0" w:beforeAutospacing="0" w:after="0" w:afterAutospacing="0" w:line="360" w:lineRule="auto"/>
        <w:ind w:leftChars="200" w:right="210" w:rightChars="100"/>
        <w:jc w:val="both"/>
        <w:rPr>
          <w:rFonts w:hint="eastAsia" w:ascii="华文楷体" w:hAnsi="华文楷体" w:eastAsia="华文楷体" w:cs="华文楷体"/>
          <w:b/>
          <w:bCs/>
          <w:sz w:val="28"/>
          <w:szCs w:val="28"/>
          <w:lang w:val="en-US" w:eastAsia="zh-CN"/>
        </w:rPr>
      </w:pPr>
      <w:r>
        <w:rPr>
          <w:rFonts w:hint="eastAsia" w:ascii="华文楷体" w:hAnsi="华文楷体" w:eastAsia="华文楷体" w:cs="华文楷体"/>
          <w:b/>
          <w:bCs/>
          <w:sz w:val="28"/>
          <w:szCs w:val="28"/>
          <w:lang w:val="en-US" w:eastAsia="zh-CN"/>
        </w:rPr>
        <w:t xml:space="preserve"> 2、社会效益：</w:t>
      </w:r>
    </w:p>
    <w:p>
      <w:pPr>
        <w:pStyle w:val="1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（1）联合体项目可直接带动当地新增就业，据统计2022年该项目带动当地就业达358人，新增就业收入172万元，具有较好的扶贫效益。</w:t>
      </w:r>
    </w:p>
    <w:p>
      <w:pPr>
        <w:pStyle w:val="1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（2）项目大蚕房采取依园而建，并建设有作业道，极大的方便了联合体成员桑叶的採摘、运输，具有较好的便民性。</w:t>
      </w:r>
    </w:p>
    <w:p>
      <w:pPr>
        <w:pStyle w:val="15"/>
        <w:numPr>
          <w:ilvl w:val="0"/>
          <w:numId w:val="0"/>
        </w:numPr>
        <w:adjustRightInd w:val="0"/>
        <w:snapToGrid w:val="0"/>
        <w:spacing w:before="0" w:beforeAutospacing="0" w:after="0" w:afterAutospacing="0" w:line="360" w:lineRule="auto"/>
        <w:ind w:right="210" w:rightChars="100" w:firstLine="280" w:firstLineChars="1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（3）项目实施“规模化集约化”蚕桑生产经营，具有较好的示范效益。</w:t>
      </w:r>
    </w:p>
    <w:p>
      <w:pPr>
        <w:pStyle w:val="15"/>
        <w:numPr>
          <w:ilvl w:val="0"/>
          <w:numId w:val="0"/>
        </w:numPr>
        <w:adjustRightInd w:val="0"/>
        <w:snapToGrid w:val="0"/>
        <w:spacing w:before="0" w:beforeAutospacing="0" w:after="0" w:afterAutospacing="0" w:line="360" w:lineRule="auto"/>
        <w:ind w:right="210" w:rightChars="100" w:firstLine="561" w:firstLineChars="200"/>
        <w:jc w:val="both"/>
        <w:rPr>
          <w:rFonts w:hint="eastAsia" w:ascii="华文楷体" w:hAnsi="华文楷体" w:eastAsia="华文楷体" w:cs="华文楷体"/>
          <w:b/>
          <w:bCs/>
          <w:sz w:val="28"/>
          <w:szCs w:val="28"/>
          <w:lang w:val="en-US" w:eastAsia="zh-CN"/>
        </w:rPr>
      </w:pPr>
      <w:r>
        <w:rPr>
          <w:rFonts w:hint="eastAsia" w:ascii="华文楷体" w:hAnsi="华文楷体" w:eastAsia="华文楷体" w:cs="华文楷体"/>
          <w:b/>
          <w:bCs/>
          <w:sz w:val="28"/>
          <w:szCs w:val="28"/>
          <w:lang w:val="en-US" w:eastAsia="zh-CN"/>
        </w:rPr>
        <w:t>3、生态效益</w:t>
      </w:r>
    </w:p>
    <w:p>
      <w:pPr>
        <w:pStyle w:val="15"/>
        <w:numPr>
          <w:ilvl w:val="0"/>
          <w:numId w:val="0"/>
        </w:numPr>
        <w:adjustRightInd w:val="0"/>
        <w:snapToGrid w:val="0"/>
        <w:spacing w:before="0" w:beforeAutospacing="0" w:after="0" w:afterAutospacing="0" w:line="360" w:lineRule="auto"/>
        <w:ind w:right="210" w:rightChars="100" w:firstLine="840" w:firstLineChars="300"/>
        <w:jc w:val="both"/>
        <w:rPr>
          <w:rFonts w:hint="eastAsia" w:ascii="华文楷体" w:hAnsi="华文楷体" w:eastAsia="华文楷体" w:cs="华文楷体"/>
          <w:b w:val="0"/>
          <w:bCs w:val="0"/>
          <w:sz w:val="28"/>
          <w:szCs w:val="28"/>
          <w:lang w:val="en-US" w:eastAsia="zh-CN"/>
        </w:rPr>
      </w:pPr>
      <w:r>
        <w:rPr>
          <w:rFonts w:hint="eastAsia" w:ascii="华文楷体" w:hAnsi="华文楷体" w:eastAsia="华文楷体" w:cs="华文楷体"/>
          <w:b w:val="0"/>
          <w:bCs w:val="0"/>
          <w:sz w:val="28"/>
          <w:szCs w:val="28"/>
          <w:lang w:val="en-US" w:eastAsia="zh-CN"/>
        </w:rPr>
        <w:t>该项目完成600余亩桑树栽植，有效的保护了水土流失，具有较好的生态效益。</w:t>
      </w:r>
    </w:p>
    <w:p>
      <w:pPr>
        <w:spacing w:line="580" w:lineRule="exact"/>
        <w:ind w:firstLine="641"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二、绩效自评工作情况</w:t>
      </w:r>
    </w:p>
    <w:p>
      <w:pPr>
        <w:spacing w:line="580" w:lineRule="exact"/>
        <w:ind w:firstLine="560" w:firstLineChars="200"/>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蚕桑局以</w:t>
      </w:r>
      <w:r>
        <w:rPr>
          <w:rFonts w:hint="eastAsia" w:ascii="华文楷体" w:hAnsi="华文楷体" w:eastAsia="华文楷体" w:cs="华文楷体"/>
          <w:sz w:val="28"/>
          <w:szCs w:val="28"/>
        </w:rPr>
        <w:t>财务部门为主、业务股室配合收集绩效评价资料，开展绩效评价工作，通过翻阅资料、现场核查等方式，对项目立项、资金落实、业务管理、财务管理、项目产出等方面进行了充分评估</w:t>
      </w:r>
      <w:r>
        <w:rPr>
          <w:rFonts w:hint="eastAsia" w:ascii="华文楷体" w:hAnsi="华文楷体" w:eastAsia="华文楷体" w:cs="华文楷体"/>
          <w:sz w:val="28"/>
          <w:szCs w:val="28"/>
          <w:lang w:eastAsia="zh-CN"/>
        </w:rPr>
        <w:t>。</w:t>
      </w:r>
    </w:p>
    <w:p>
      <w:pPr>
        <w:numPr>
          <w:ilvl w:val="0"/>
          <w:numId w:val="10"/>
        </w:numPr>
        <w:spacing w:line="580" w:lineRule="exact"/>
        <w:ind w:firstLine="641"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评价结论</w:t>
      </w:r>
    </w:p>
    <w:p>
      <w:pPr>
        <w:numPr>
          <w:ilvl w:val="0"/>
          <w:numId w:val="0"/>
        </w:num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建设项目评分为</w:t>
      </w:r>
      <w:r>
        <w:rPr>
          <w:rFonts w:hint="eastAsia" w:ascii="华文楷体" w:hAnsi="华文楷体" w:eastAsia="华文楷体" w:cs="华文楷体"/>
          <w:sz w:val="28"/>
          <w:szCs w:val="28"/>
          <w:lang w:val="en-US" w:eastAsia="zh-CN"/>
        </w:rPr>
        <w:t>95</w:t>
      </w:r>
      <w:r>
        <w:rPr>
          <w:rFonts w:hint="eastAsia" w:ascii="华文楷体" w:hAnsi="华文楷体" w:eastAsia="华文楷体" w:cs="华文楷体"/>
          <w:sz w:val="28"/>
          <w:szCs w:val="28"/>
        </w:rPr>
        <w:t>分，评价等级为</w:t>
      </w:r>
      <w:r>
        <w:rPr>
          <w:rFonts w:hint="eastAsia" w:ascii="华文楷体" w:hAnsi="华文楷体" w:eastAsia="华文楷体" w:cs="华文楷体"/>
          <w:sz w:val="28"/>
          <w:szCs w:val="28"/>
          <w:lang w:val="en-US" w:eastAsia="zh-CN"/>
        </w:rPr>
        <w:t>优</w:t>
      </w:r>
      <w:r>
        <w:rPr>
          <w:rFonts w:hint="eastAsia" w:ascii="华文楷体" w:hAnsi="华文楷体" w:eastAsia="华文楷体" w:cs="华文楷体"/>
          <w:sz w:val="28"/>
          <w:szCs w:val="28"/>
        </w:rPr>
        <w:t>。</w:t>
      </w:r>
    </w:p>
    <w:p>
      <w:pPr>
        <w:spacing w:line="580" w:lineRule="exact"/>
        <w:ind w:firstLine="560" w:firstLineChars="200"/>
        <w:rPr>
          <w:rFonts w:hint="eastAsia" w:ascii="华文楷体" w:hAnsi="华文楷体" w:eastAsia="华文楷体" w:cs="华文楷体"/>
          <w:sz w:val="28"/>
          <w:szCs w:val="28"/>
          <w:lang w:eastAsia="zh-CN"/>
        </w:rPr>
      </w:pPr>
      <w:r>
        <w:rPr>
          <w:rFonts w:hint="eastAsia" w:ascii="华文楷体" w:hAnsi="华文楷体" w:eastAsia="华文楷体" w:cs="华文楷体"/>
          <w:sz w:val="28"/>
          <w:szCs w:val="28"/>
          <w:lang w:val="en-US" w:eastAsia="zh-CN"/>
        </w:rPr>
        <w:t>四川红旗丝绸有限公司</w:t>
      </w:r>
      <w:r>
        <w:rPr>
          <w:rFonts w:hint="eastAsia" w:ascii="华文楷体" w:hAnsi="华文楷体" w:eastAsia="华文楷体" w:cs="华文楷体"/>
          <w:sz w:val="28"/>
          <w:szCs w:val="28"/>
        </w:rPr>
        <w:t>负责实施的</w:t>
      </w: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建设项目，在项目立项、资金落实、业务管理、财务管理、项目产出等方面都较为严格的按照相关的规定及目标进行，通过项目的实施，</w:t>
      </w:r>
      <w:r>
        <w:rPr>
          <w:rFonts w:hint="eastAsia" w:ascii="华文楷体" w:hAnsi="华文楷体" w:eastAsia="华文楷体" w:cs="华文楷体"/>
          <w:sz w:val="28"/>
          <w:szCs w:val="28"/>
          <w:lang w:val="en-US" w:eastAsia="zh-CN"/>
        </w:rPr>
        <w:t xml:space="preserve">实现了“规模化集约化”蚕桑生产经营，起到了较好的示范效益，促进了乐至蚕桑产业的高质量发展，增加了蚕农收益和企业经济效益。 </w:t>
      </w:r>
    </w:p>
    <w:p>
      <w:pPr>
        <w:spacing w:line="580" w:lineRule="exact"/>
        <w:ind w:firstLine="561"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四、绩效分析</w:t>
      </w:r>
    </w:p>
    <w:p>
      <w:pPr>
        <w:spacing w:line="580" w:lineRule="exact"/>
        <w:ind w:firstLine="561"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（一）项目投入分析。</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建设项目立项依据充分、立项程序规范，项目符合国家</w:t>
      </w:r>
      <w:r>
        <w:rPr>
          <w:rFonts w:hint="eastAsia" w:ascii="华文楷体" w:hAnsi="华文楷体" w:eastAsia="华文楷体" w:cs="华文楷体"/>
          <w:sz w:val="28"/>
          <w:szCs w:val="28"/>
          <w:lang w:val="en-US" w:eastAsia="zh-CN"/>
        </w:rPr>
        <w:t>产业发展和乡村振兴要求</w:t>
      </w:r>
      <w:r>
        <w:rPr>
          <w:rFonts w:hint="eastAsia" w:ascii="华文楷体" w:hAnsi="华文楷体" w:eastAsia="华文楷体" w:cs="华文楷体"/>
          <w:sz w:val="28"/>
          <w:szCs w:val="28"/>
        </w:rPr>
        <w:t>、国民经济发展规划和</w:t>
      </w:r>
      <w:r>
        <w:rPr>
          <w:rFonts w:hint="eastAsia" w:ascii="华文楷体" w:hAnsi="华文楷体" w:eastAsia="华文楷体" w:cs="华文楷体"/>
          <w:sz w:val="28"/>
          <w:szCs w:val="28"/>
          <w:lang w:eastAsia="zh-CN"/>
        </w:rPr>
        <w:t>县</w:t>
      </w:r>
      <w:r>
        <w:rPr>
          <w:rFonts w:hint="eastAsia" w:ascii="华文楷体" w:hAnsi="华文楷体" w:eastAsia="华文楷体" w:cs="华文楷体"/>
          <w:sz w:val="28"/>
          <w:szCs w:val="28"/>
        </w:rPr>
        <w:t>委政府</w:t>
      </w:r>
      <w:r>
        <w:rPr>
          <w:rFonts w:hint="eastAsia" w:ascii="华文楷体" w:hAnsi="华文楷体" w:eastAsia="华文楷体" w:cs="华文楷体"/>
          <w:sz w:val="28"/>
          <w:szCs w:val="28"/>
          <w:lang w:val="en-US" w:eastAsia="zh-CN"/>
        </w:rPr>
        <w:t>建设中国桑都的</w:t>
      </w:r>
      <w:r>
        <w:rPr>
          <w:rFonts w:hint="eastAsia" w:ascii="华文楷体" w:hAnsi="华文楷体" w:eastAsia="华文楷体" w:cs="华文楷体"/>
          <w:sz w:val="28"/>
          <w:szCs w:val="28"/>
        </w:rPr>
        <w:t>决策，项目绩效目标明确。</w:t>
      </w:r>
    </w:p>
    <w:p>
      <w:pPr>
        <w:numPr>
          <w:ilvl w:val="0"/>
          <w:numId w:val="0"/>
        </w:numPr>
        <w:spacing w:line="580" w:lineRule="exact"/>
        <w:ind w:leftChars="200" w:firstLine="280" w:firstLineChars="1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lang w:val="en-US" w:eastAsia="zh-CN"/>
        </w:rPr>
        <w:t>二</w:t>
      </w:r>
      <w:r>
        <w:rPr>
          <w:rFonts w:hint="eastAsia" w:ascii="华文楷体" w:hAnsi="华文楷体" w:eastAsia="华文楷体" w:cs="华文楷体"/>
          <w:b/>
          <w:bCs/>
          <w:sz w:val="28"/>
          <w:szCs w:val="28"/>
          <w:lang w:eastAsia="zh-CN"/>
        </w:rPr>
        <w:t>）</w:t>
      </w:r>
      <w:r>
        <w:rPr>
          <w:rFonts w:hint="eastAsia" w:ascii="华文楷体" w:hAnsi="华文楷体" w:eastAsia="华文楷体" w:cs="华文楷体"/>
          <w:b/>
          <w:bCs/>
          <w:sz w:val="28"/>
          <w:szCs w:val="28"/>
        </w:rPr>
        <w:t>项目过程情况分析。</w:t>
      </w:r>
    </w:p>
    <w:p>
      <w:pPr>
        <w:numPr>
          <w:ilvl w:val="0"/>
          <w:numId w:val="0"/>
        </w:num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项目资金使用符合国家财经法规和财务管理制度以及有关专项资金管理办法的规定，资金拨付有完整的审批程序和手续，符合项目预算批复或</w:t>
      </w:r>
      <w:r>
        <w:rPr>
          <w:rFonts w:hint="eastAsia" w:ascii="华文楷体" w:hAnsi="华文楷体" w:eastAsia="华文楷体" w:cs="华文楷体"/>
          <w:sz w:val="28"/>
          <w:szCs w:val="28"/>
          <w:lang w:val="en-US" w:eastAsia="zh-CN"/>
        </w:rPr>
        <w:t>建设方案</w:t>
      </w:r>
      <w:r>
        <w:rPr>
          <w:rFonts w:hint="eastAsia" w:ascii="华文楷体" w:hAnsi="华文楷体" w:eastAsia="华文楷体" w:cs="华文楷体"/>
          <w:sz w:val="28"/>
          <w:szCs w:val="28"/>
        </w:rPr>
        <w:t>的用途，不存在截留、挤占、挪用、虚列支出等情况。</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项目实施过程中，</w:t>
      </w:r>
      <w:r>
        <w:rPr>
          <w:rFonts w:hint="eastAsia" w:ascii="华文楷体" w:hAnsi="华文楷体" w:eastAsia="华文楷体" w:cs="华文楷体"/>
          <w:sz w:val="28"/>
          <w:szCs w:val="28"/>
          <w:lang w:eastAsia="zh-CN"/>
        </w:rPr>
        <w:t>县</w:t>
      </w:r>
      <w:r>
        <w:rPr>
          <w:rFonts w:hint="eastAsia" w:ascii="华文楷体" w:hAnsi="华文楷体" w:eastAsia="华文楷体" w:cs="华文楷体"/>
          <w:sz w:val="28"/>
          <w:szCs w:val="28"/>
          <w:lang w:val="en-US" w:eastAsia="zh-CN"/>
        </w:rPr>
        <w:t>蚕桑局</w:t>
      </w:r>
      <w:r>
        <w:rPr>
          <w:rFonts w:hint="eastAsia" w:ascii="华文楷体" w:hAnsi="华文楷体" w:eastAsia="华文楷体" w:cs="华文楷体"/>
          <w:sz w:val="28"/>
          <w:szCs w:val="28"/>
        </w:rPr>
        <w:t>对项目实施进行指导，并对项目进行督导监管，对督导监管中发现的问题及时整改。</w:t>
      </w:r>
    </w:p>
    <w:p>
      <w:pPr>
        <w:spacing w:line="580" w:lineRule="exact"/>
        <w:ind w:firstLine="561"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（三）项目产出情况分析</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项目在实际完成率、完成及时率、质量达标率、成本节约率等方面，均达到</w:t>
      </w:r>
      <w:r>
        <w:rPr>
          <w:rFonts w:hint="eastAsia" w:ascii="华文楷体" w:hAnsi="华文楷体" w:eastAsia="华文楷体" w:cs="华文楷体"/>
          <w:sz w:val="28"/>
          <w:szCs w:val="28"/>
          <w:lang w:eastAsia="zh-CN"/>
        </w:rPr>
        <w:t>或</w:t>
      </w:r>
      <w:r>
        <w:rPr>
          <w:rFonts w:hint="eastAsia" w:ascii="华文楷体" w:hAnsi="华文楷体" w:eastAsia="华文楷体" w:cs="华文楷体"/>
          <w:sz w:val="28"/>
          <w:szCs w:val="28"/>
          <w:lang w:val="en-US" w:eastAsia="zh-CN"/>
        </w:rPr>
        <w:t>超过</w:t>
      </w:r>
      <w:r>
        <w:rPr>
          <w:rFonts w:hint="eastAsia" w:ascii="华文楷体" w:hAnsi="华文楷体" w:eastAsia="华文楷体" w:cs="华文楷体"/>
          <w:sz w:val="28"/>
          <w:szCs w:val="28"/>
        </w:rPr>
        <w:t>了预期目标。</w:t>
      </w:r>
    </w:p>
    <w:p>
      <w:pPr>
        <w:spacing w:line="580" w:lineRule="exact"/>
        <w:ind w:firstLine="561" w:firstLineChars="200"/>
        <w:rPr>
          <w:rFonts w:hint="eastAsia" w:ascii="华文楷体" w:hAnsi="华文楷体" w:eastAsia="华文楷体" w:cs="华文楷体"/>
          <w:b/>
          <w:bCs/>
          <w:sz w:val="28"/>
          <w:szCs w:val="28"/>
        </w:rPr>
      </w:pPr>
      <w:r>
        <w:rPr>
          <w:rFonts w:hint="eastAsia" w:ascii="华文楷体" w:hAnsi="华文楷体" w:eastAsia="华文楷体" w:cs="华文楷体"/>
          <w:b/>
          <w:bCs/>
          <w:sz w:val="28"/>
          <w:szCs w:val="28"/>
        </w:rPr>
        <w:t>（四）项目效益及满意度情况分析。</w:t>
      </w:r>
    </w:p>
    <w:p>
      <w:pPr>
        <w:spacing w:line="580" w:lineRule="exact"/>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lang w:eastAsia="zh-CN"/>
        </w:rPr>
        <w:t>乐至县</w:t>
      </w:r>
      <w:r>
        <w:rPr>
          <w:rFonts w:hint="eastAsia" w:ascii="华文楷体" w:hAnsi="华文楷体" w:eastAsia="华文楷体" w:cs="华文楷体"/>
          <w:sz w:val="28"/>
          <w:szCs w:val="28"/>
          <w:lang w:val="en-US" w:eastAsia="zh-CN"/>
        </w:rPr>
        <w:t>蚕桑产业化联合体</w:t>
      </w:r>
      <w:r>
        <w:rPr>
          <w:rFonts w:hint="eastAsia" w:ascii="华文楷体" w:hAnsi="华文楷体" w:eastAsia="华文楷体" w:cs="华文楷体"/>
          <w:sz w:val="28"/>
          <w:szCs w:val="28"/>
        </w:rPr>
        <w:t>项目</w:t>
      </w:r>
      <w:r>
        <w:rPr>
          <w:rFonts w:hint="eastAsia" w:ascii="华文楷体" w:hAnsi="华文楷体" w:eastAsia="华文楷体" w:cs="华文楷体"/>
          <w:sz w:val="28"/>
          <w:szCs w:val="28"/>
          <w:lang w:eastAsia="zh-CN"/>
        </w:rPr>
        <w:t>，</w:t>
      </w:r>
      <w:r>
        <w:rPr>
          <w:rFonts w:hint="eastAsia" w:ascii="华文楷体" w:hAnsi="华文楷体" w:eastAsia="华文楷体" w:cs="华文楷体"/>
          <w:sz w:val="28"/>
          <w:szCs w:val="28"/>
          <w:lang w:val="en-US" w:eastAsia="zh-CN"/>
        </w:rPr>
        <w:t>改变了原“四边桑”养蚕和桑品种老化的现状，实现“规模化集约化”蚕桑生产，经济效益、</w:t>
      </w:r>
      <w:r>
        <w:rPr>
          <w:rFonts w:hint="eastAsia" w:ascii="华文楷体" w:hAnsi="华文楷体" w:eastAsia="华文楷体" w:cs="华文楷体"/>
          <w:sz w:val="28"/>
          <w:szCs w:val="28"/>
        </w:rPr>
        <w:t>社会效益、生态效益</w:t>
      </w:r>
      <w:r>
        <w:rPr>
          <w:rFonts w:hint="eastAsia" w:ascii="华文楷体" w:hAnsi="华文楷体" w:eastAsia="华文楷体" w:cs="华文楷体"/>
          <w:sz w:val="28"/>
          <w:szCs w:val="28"/>
          <w:lang w:val="en-US" w:eastAsia="zh-CN"/>
        </w:rPr>
        <w:t>明显，广大</w:t>
      </w:r>
      <w:r>
        <w:rPr>
          <w:rFonts w:hint="eastAsia" w:ascii="华文楷体" w:hAnsi="华文楷体" w:eastAsia="华文楷体" w:cs="华文楷体"/>
          <w:sz w:val="28"/>
          <w:szCs w:val="28"/>
          <w:lang w:eastAsia="zh-CN"/>
        </w:rPr>
        <w:t>蚕农和</w:t>
      </w:r>
      <w:r>
        <w:rPr>
          <w:rFonts w:hint="eastAsia" w:ascii="华文楷体" w:hAnsi="华文楷体" w:eastAsia="华文楷体" w:cs="华文楷体"/>
          <w:sz w:val="28"/>
          <w:szCs w:val="28"/>
          <w:lang w:val="en-US" w:eastAsia="zh-CN"/>
        </w:rPr>
        <w:t>家庭农场</w:t>
      </w:r>
      <w:r>
        <w:rPr>
          <w:rFonts w:hint="eastAsia" w:ascii="华文楷体" w:hAnsi="华文楷体" w:eastAsia="华文楷体" w:cs="华文楷体"/>
          <w:sz w:val="28"/>
          <w:szCs w:val="28"/>
        </w:rPr>
        <w:t>的满意度高。</w:t>
      </w:r>
    </w:p>
    <w:p>
      <w:pPr>
        <w:spacing w:line="580" w:lineRule="exact"/>
        <w:ind w:firstLine="641" w:firstLineChars="200"/>
        <w:rPr>
          <w:rFonts w:hint="eastAsia" w:ascii="华文楷体" w:hAnsi="华文楷体" w:eastAsia="华文楷体" w:cs="华文楷体"/>
          <w:b/>
          <w:bCs/>
          <w:sz w:val="32"/>
          <w:szCs w:val="32"/>
        </w:rPr>
      </w:pPr>
      <w:r>
        <w:rPr>
          <w:rFonts w:hint="eastAsia" w:ascii="华文楷体" w:hAnsi="华文楷体" w:eastAsia="华文楷体" w:cs="华文楷体"/>
          <w:b/>
          <w:bCs/>
          <w:sz w:val="32"/>
          <w:szCs w:val="32"/>
        </w:rPr>
        <w:t>五、主要经验及做法、存在的问题和建议</w:t>
      </w:r>
    </w:p>
    <w:p>
      <w:pPr>
        <w:spacing w:line="580" w:lineRule="exact"/>
        <w:ind w:firstLine="561" w:firstLineChars="200"/>
        <w:rPr>
          <w:rFonts w:hint="eastAsia" w:ascii="华文楷体" w:hAnsi="华文楷体" w:eastAsia="华文楷体" w:cs="华文楷体"/>
          <w:b/>
          <w:sz w:val="28"/>
          <w:szCs w:val="28"/>
        </w:rPr>
      </w:pPr>
      <w:r>
        <w:rPr>
          <w:rFonts w:hint="eastAsia" w:ascii="华文楷体" w:hAnsi="华文楷体" w:eastAsia="华文楷体" w:cs="华文楷体"/>
          <w:b/>
          <w:sz w:val="28"/>
          <w:szCs w:val="28"/>
        </w:rPr>
        <w:t>（一）主要经验及做法</w:t>
      </w:r>
    </w:p>
    <w:p>
      <w:pPr>
        <w:spacing w:line="580" w:lineRule="exact"/>
        <w:ind w:firstLine="560" w:firstLineChars="200"/>
        <w:rPr>
          <w:rFonts w:hint="eastAsia" w:ascii="华文楷体" w:hAnsi="华文楷体" w:eastAsia="华文楷体" w:cs="华文楷体"/>
          <w:b w:val="0"/>
          <w:bCs/>
          <w:sz w:val="28"/>
          <w:szCs w:val="28"/>
          <w:lang w:val="en-US" w:eastAsia="zh-CN"/>
        </w:rPr>
      </w:pPr>
      <w:r>
        <w:rPr>
          <w:rFonts w:hint="eastAsia" w:ascii="华文楷体" w:hAnsi="华文楷体" w:eastAsia="华文楷体" w:cs="华文楷体"/>
          <w:b w:val="0"/>
          <w:bCs/>
          <w:sz w:val="28"/>
          <w:szCs w:val="28"/>
          <w:lang w:val="en-US" w:eastAsia="zh-CN"/>
        </w:rPr>
        <w:t>引进了优桑品种“强桑1号”，实行了工厂化饲养小蚕和大蚕，实现了“规模化集约化”蚕桑生产经营和养蚕模式、栽桑模式的创新，促进了蚕桑产业的高质量发展。</w:t>
      </w:r>
    </w:p>
    <w:p>
      <w:pPr>
        <w:spacing w:line="360" w:lineRule="auto"/>
        <w:ind w:firstLine="561" w:firstLineChars="200"/>
        <w:rPr>
          <w:rFonts w:hint="eastAsia" w:ascii="华文楷体" w:hAnsi="华文楷体" w:eastAsia="华文楷体" w:cs="华文楷体"/>
          <w:b/>
          <w:sz w:val="28"/>
          <w:szCs w:val="28"/>
        </w:rPr>
      </w:pPr>
      <w:r>
        <w:rPr>
          <w:rFonts w:hint="eastAsia" w:ascii="华文楷体" w:hAnsi="华文楷体" w:eastAsia="华文楷体" w:cs="华文楷体"/>
          <w:b/>
          <w:sz w:val="28"/>
          <w:szCs w:val="28"/>
        </w:rPr>
        <w:t>（二）存在的问题</w:t>
      </w:r>
    </w:p>
    <w:p>
      <w:pPr>
        <w:pStyle w:val="15"/>
        <w:numPr>
          <w:ilvl w:val="0"/>
          <w:numId w:val="11"/>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sz w:val="28"/>
          <w:szCs w:val="28"/>
        </w:rPr>
      </w:pPr>
      <w:r>
        <w:rPr>
          <w:rFonts w:hint="eastAsia" w:ascii="华文楷体" w:hAnsi="华文楷体" w:eastAsia="华文楷体" w:cs="华文楷体"/>
          <w:sz w:val="28"/>
          <w:szCs w:val="28"/>
        </w:rPr>
        <w:t>联合体实现了规模化集约化蚕桑生产经营，解决了农村土地零星分散经营的局面，农场化蚕桑生产经营是发展方向，但个别家庭农场规模过大，蚕期劳动力紧缺，在丰产期到来时，用工打斗问题特别突出。</w:t>
      </w:r>
    </w:p>
    <w:p>
      <w:pPr>
        <w:pStyle w:val="15"/>
        <w:numPr>
          <w:ilvl w:val="0"/>
          <w:numId w:val="11"/>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b/>
          <w:sz w:val="28"/>
          <w:szCs w:val="28"/>
        </w:rPr>
      </w:pPr>
      <w:r>
        <w:rPr>
          <w:rFonts w:hint="eastAsia" w:ascii="华文楷体" w:hAnsi="华文楷体" w:eastAsia="华文楷体" w:cs="华文楷体"/>
          <w:sz w:val="28"/>
          <w:szCs w:val="28"/>
        </w:rPr>
        <w:t>联合体</w:t>
      </w:r>
      <w:r>
        <w:rPr>
          <w:rFonts w:hint="eastAsia" w:ascii="华文楷体" w:hAnsi="华文楷体" w:eastAsia="华文楷体" w:cs="华文楷体"/>
          <w:sz w:val="28"/>
          <w:szCs w:val="28"/>
          <w:lang w:eastAsia="zh-CN"/>
        </w:rPr>
        <w:t>在</w:t>
      </w:r>
      <w:r>
        <w:rPr>
          <w:rFonts w:hint="eastAsia" w:ascii="华文楷体" w:hAnsi="华文楷体" w:eastAsia="华文楷体" w:cs="华文楷体"/>
          <w:sz w:val="28"/>
          <w:szCs w:val="28"/>
          <w:lang w:val="en-US" w:eastAsia="zh-CN"/>
        </w:rPr>
        <w:t xml:space="preserve">建设大蚕房的过程中，由于受土地政策限制，手续繁琐，建设进度或工期有所延后，影响了联合体成员的正常生产经营活动。   </w:t>
      </w:r>
      <w:r>
        <w:rPr>
          <w:rFonts w:hint="eastAsia" w:ascii="华文楷体" w:hAnsi="华文楷体" w:eastAsia="华文楷体" w:cs="华文楷体"/>
          <w:b/>
          <w:sz w:val="28"/>
          <w:szCs w:val="28"/>
        </w:rPr>
        <w:t>（三）建议和改进措施</w:t>
      </w:r>
    </w:p>
    <w:p>
      <w:pPr>
        <w:pStyle w:val="15"/>
        <w:numPr>
          <w:ilvl w:val="0"/>
          <w:numId w:val="12"/>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bCs/>
          <w:sz w:val="28"/>
          <w:szCs w:val="28"/>
        </w:rPr>
      </w:pPr>
      <w:r>
        <w:rPr>
          <w:rFonts w:hint="eastAsia" w:ascii="华文楷体" w:hAnsi="华文楷体" w:eastAsia="华文楷体" w:cs="华文楷体"/>
          <w:bCs/>
          <w:sz w:val="28"/>
          <w:szCs w:val="28"/>
        </w:rPr>
        <w:t>对蚕桑专业合作社的养蚕设施分期分批进行改造，推广移动式共享蚕房，降低蚕农养蚕投入。</w:t>
      </w:r>
    </w:p>
    <w:p>
      <w:pPr>
        <w:pStyle w:val="15"/>
        <w:numPr>
          <w:ilvl w:val="0"/>
          <w:numId w:val="0"/>
        </w:numPr>
        <w:adjustRightInd w:val="0"/>
        <w:snapToGrid w:val="0"/>
        <w:spacing w:before="0" w:beforeAutospacing="0" w:after="0" w:afterAutospacing="0" w:line="360" w:lineRule="auto"/>
        <w:ind w:right="210" w:rightChars="100" w:firstLine="560" w:firstLineChars="200"/>
        <w:jc w:val="both"/>
        <w:rPr>
          <w:rFonts w:hint="eastAsia" w:ascii="华文楷体" w:hAnsi="华文楷体" w:eastAsia="华文楷体" w:cs="华文楷体"/>
          <w:bCs/>
          <w:sz w:val="28"/>
          <w:szCs w:val="28"/>
        </w:rPr>
      </w:pPr>
      <w:r>
        <w:rPr>
          <w:rFonts w:hint="eastAsia" w:ascii="华文楷体" w:hAnsi="华文楷体" w:eastAsia="华文楷体" w:cs="华文楷体"/>
          <w:bCs/>
          <w:sz w:val="28"/>
          <w:szCs w:val="28"/>
          <w:lang w:val="en-US" w:eastAsia="zh-CN"/>
        </w:rPr>
        <w:t>2、</w:t>
      </w:r>
      <w:r>
        <w:rPr>
          <w:rFonts w:hint="eastAsia" w:ascii="华文楷体" w:hAnsi="华文楷体" w:eastAsia="华文楷体" w:cs="华文楷体"/>
          <w:bCs/>
          <w:sz w:val="28"/>
          <w:szCs w:val="28"/>
        </w:rPr>
        <w:t>大力发展家庭农场，以30~50亩为主，家庭农场建设完成后纳入蚕桑产业联合体进行管理。</w:t>
      </w:r>
    </w:p>
    <w:p>
      <w:pPr>
        <w:spacing w:line="360" w:lineRule="auto"/>
        <w:ind w:firstLine="560" w:firstLineChars="200"/>
        <w:rPr>
          <w:rFonts w:hint="eastAsia" w:ascii="华文楷体" w:hAnsi="华文楷体" w:eastAsia="华文楷体" w:cs="华文楷体"/>
          <w:bCs/>
          <w:sz w:val="28"/>
          <w:szCs w:val="28"/>
        </w:rPr>
      </w:pPr>
      <w:r>
        <w:rPr>
          <w:rFonts w:hint="eastAsia" w:ascii="华文楷体" w:hAnsi="华文楷体" w:eastAsia="华文楷体" w:cs="华文楷体"/>
          <w:bCs/>
          <w:sz w:val="28"/>
          <w:szCs w:val="28"/>
          <w:lang w:val="en-US" w:eastAsia="zh-CN"/>
        </w:rPr>
        <w:t>3、</w:t>
      </w:r>
      <w:r>
        <w:rPr>
          <w:rFonts w:hint="eastAsia" w:ascii="华文楷体" w:hAnsi="华文楷体" w:eastAsia="华文楷体" w:cs="华文楷体"/>
          <w:bCs/>
          <w:sz w:val="28"/>
          <w:szCs w:val="28"/>
        </w:rPr>
        <w:t>实施规模化集约化蚕桑生产，把蚕桑产业作为家庭主业，提高蚕年养蚕收益。</w:t>
      </w: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eastAsia="方正仿宋简体"/>
          <w:sz w:val="32"/>
          <w:szCs w:val="32"/>
        </w:rPr>
      </w:pPr>
    </w:p>
    <w:p>
      <w:pPr>
        <w:spacing w:line="620" w:lineRule="exact"/>
        <w:ind w:left="1916" w:leftChars="760" w:hanging="320" w:hangingChars="100"/>
        <w:jc w:val="left"/>
        <w:rPr>
          <w:rFonts w:hint="eastAsia" w:ascii="宋体" w:hAnsi="宋体" w:eastAsia="方正仿宋简体"/>
          <w:b/>
          <w:sz w:val="32"/>
          <w:szCs w:val="32"/>
          <w:lang w:eastAsia="zh-CN"/>
        </w:rPr>
      </w:pPr>
      <w:r>
        <w:rPr>
          <w:rFonts w:hint="eastAsia" w:eastAsia="方正仿宋简体"/>
          <w:sz w:val="32"/>
          <w:szCs w:val="32"/>
          <w:lang w:val="en-US" w:eastAsia="zh-CN"/>
        </w:rPr>
        <w:t xml:space="preserve"> </w:t>
      </w: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pgSz w:w="11907" w:h="16840"/>
          <w:pgMar w:top="2098" w:right="1474" w:bottom="1928" w:left="1588" w:header="851" w:footer="992" w:gutter="0"/>
          <w:cols w:space="720" w:num="1"/>
          <w:docGrid w:type="lines" w:linePitch="312" w:charSpace="0"/>
        </w:sectPr>
      </w:pPr>
      <w:bookmarkStart w:id="67" w:name="_GoBack"/>
      <w:bookmarkEnd w:id="67"/>
    </w:p>
    <w:p>
      <w:pPr>
        <w:spacing w:line="620" w:lineRule="exact"/>
        <w:jc w:val="center"/>
        <w:rPr>
          <w:rFonts w:hint="eastAsia" w:ascii="华文宋体" w:hAnsi="华文宋体" w:eastAsia="华文宋体" w:cs="华文宋体"/>
          <w:bCs/>
          <w:kern w:val="0"/>
          <w:sz w:val="44"/>
          <w:szCs w:val="44"/>
        </w:rPr>
      </w:pPr>
      <w:r>
        <w:rPr>
          <w:rFonts w:hint="eastAsia" w:ascii="华文宋体" w:hAnsi="华文宋体" w:eastAsia="华文宋体" w:cs="华文宋体"/>
          <w:bCs/>
          <w:kern w:val="0"/>
          <w:sz w:val="44"/>
          <w:szCs w:val="44"/>
        </w:rPr>
        <w:t>202</w:t>
      </w:r>
      <w:r>
        <w:rPr>
          <w:rFonts w:hint="eastAsia" w:ascii="华文宋体" w:hAnsi="华文宋体" w:eastAsia="华文宋体" w:cs="华文宋体"/>
          <w:bCs/>
          <w:kern w:val="0"/>
          <w:sz w:val="44"/>
          <w:szCs w:val="44"/>
          <w:lang w:val="en-US" w:eastAsia="zh-CN"/>
        </w:rPr>
        <w:t>2</w:t>
      </w:r>
      <w:r>
        <w:rPr>
          <w:rFonts w:hint="eastAsia" w:ascii="华文宋体" w:hAnsi="华文宋体" w:eastAsia="华文宋体" w:cs="华文宋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eastAsia="zh-CN"/>
        </w:rPr>
        <w:t>乐至县</w:t>
      </w:r>
      <w:r>
        <w:rPr>
          <w:rFonts w:hint="eastAsia" w:eastAsia="方正楷体简体"/>
          <w:b/>
          <w:bCs/>
          <w:kern w:val="0"/>
          <w:sz w:val="32"/>
          <w:szCs w:val="32"/>
          <w:lang w:val="en-US" w:eastAsia="zh-CN"/>
        </w:rPr>
        <w:t>蚕桑产业化联合体</w:t>
      </w:r>
      <w:r>
        <w:rPr>
          <w:rFonts w:hint="eastAsia" w:eastAsia="方正楷体简体"/>
          <w:b/>
          <w:bCs/>
          <w:kern w:val="0"/>
          <w:sz w:val="32"/>
          <w:szCs w:val="32"/>
        </w:rPr>
        <w:t>项目）</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 xml:space="preserve">乐至县蚕桑局         </w:t>
      </w:r>
      <w:r>
        <w:rPr>
          <w:rFonts w:hint="eastAsia"/>
          <w:bCs/>
          <w:kern w:val="0"/>
          <w:sz w:val="24"/>
        </w:rPr>
        <w:t>预算单位编码：</w:t>
      </w:r>
      <w:r>
        <w:rPr>
          <w:rFonts w:hint="eastAsia"/>
          <w:bCs/>
          <w:kern w:val="0"/>
          <w:sz w:val="24"/>
          <w:lang w:val="en-US" w:eastAsia="zh-CN"/>
        </w:rPr>
        <w:t>194101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1"/>
        <w:gridCol w:w="699"/>
        <w:gridCol w:w="848"/>
        <w:gridCol w:w="1698"/>
        <w:gridCol w:w="3537"/>
        <w:gridCol w:w="705"/>
        <w:gridCol w:w="9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规范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合理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rPr>
              <w:t>　</w:t>
            </w:r>
            <w:r>
              <w:rPr>
                <w:rFonts w:hint="eastAsia"/>
                <w:kern w:val="0"/>
                <w:szCs w:val="21"/>
                <w:lang w:val="en-US" w:eastAsia="zh-CN"/>
              </w:rPr>
              <w:t>清晰</w:t>
            </w:r>
          </w:p>
          <w:p>
            <w:pPr>
              <w:widowControl/>
              <w:spacing w:line="240" w:lineRule="exact"/>
              <w:ind w:firstLine="210" w:firstLineChars="100"/>
              <w:jc w:val="left"/>
              <w:rPr>
                <w:rFonts w:hint="default"/>
                <w:kern w:val="0"/>
                <w:szCs w:val="21"/>
                <w:lang w:val="en-US" w:eastAsia="zh-CN"/>
              </w:rPr>
            </w:pPr>
            <w:r>
              <w:rPr>
                <w:rFonts w:hint="eastAsia"/>
                <w:kern w:val="0"/>
                <w:szCs w:val="21"/>
                <w:lang w:val="en-US" w:eastAsia="zh-CN"/>
              </w:rPr>
              <w:t>明确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rPr>
              <w:t>　</w:t>
            </w:r>
            <w:r>
              <w:rPr>
                <w:rFonts w:hint="eastAsia"/>
                <w:kern w:val="0"/>
                <w:szCs w:val="21"/>
                <w:lang w:val="en-US" w:eastAsia="zh-CN"/>
              </w:rPr>
              <w:t>财政</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资金</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到位</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率不</w:t>
            </w:r>
          </w:p>
          <w:p>
            <w:pPr>
              <w:widowControl/>
              <w:spacing w:line="240" w:lineRule="exact"/>
              <w:ind w:firstLine="210" w:firstLineChars="100"/>
              <w:jc w:val="left"/>
              <w:rPr>
                <w:rFonts w:hint="default"/>
                <w:kern w:val="0"/>
                <w:szCs w:val="21"/>
                <w:lang w:val="en-US" w:eastAsia="zh-CN"/>
              </w:rPr>
            </w:pPr>
            <w:r>
              <w:rPr>
                <w:rFonts w:hint="eastAsia"/>
                <w:kern w:val="0"/>
                <w:szCs w:val="21"/>
                <w:lang w:val="en-US" w:eastAsia="zh-CN"/>
              </w:rPr>
              <w:t>及时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财政</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资金</w:t>
            </w:r>
          </w:p>
          <w:p>
            <w:pPr>
              <w:widowControl/>
              <w:spacing w:line="240" w:lineRule="exact"/>
              <w:ind w:firstLine="210" w:firstLineChars="100"/>
              <w:jc w:val="left"/>
              <w:rPr>
                <w:rFonts w:hint="eastAsia"/>
                <w:kern w:val="0"/>
                <w:szCs w:val="21"/>
                <w:lang w:val="en-US" w:eastAsia="zh-CN"/>
              </w:rPr>
            </w:pPr>
            <w:r>
              <w:rPr>
                <w:rFonts w:hint="eastAsia"/>
                <w:kern w:val="0"/>
                <w:szCs w:val="21"/>
                <w:lang w:val="en-US" w:eastAsia="zh-CN"/>
              </w:rPr>
              <w:t xml:space="preserve">不及 </w:t>
            </w:r>
          </w:p>
          <w:p>
            <w:pPr>
              <w:widowControl/>
              <w:spacing w:line="240" w:lineRule="exact"/>
              <w:ind w:firstLine="210" w:firstLineChars="100"/>
              <w:jc w:val="left"/>
              <w:rPr>
                <w:kern w:val="0"/>
                <w:szCs w:val="21"/>
              </w:rPr>
            </w:pPr>
            <w:r>
              <w:rPr>
                <w:rFonts w:hint="eastAsia"/>
                <w:kern w:val="0"/>
                <w:szCs w:val="21"/>
                <w:lang w:val="en-US" w:eastAsia="zh-CN"/>
              </w:rPr>
              <w:t>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ind w:firstLine="210" w:firstLineChars="100"/>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健全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可控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restart"/>
            <w:shd w:val="clear" w:color="auto" w:fill="FFFFFF"/>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健全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合规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vAlign w:val="center"/>
          </w:tcPr>
          <w:p>
            <w:pPr>
              <w:widowControl/>
              <w:spacing w:line="260" w:lineRule="exact"/>
              <w:jc w:val="left"/>
              <w:rPr>
                <w:kern w:val="0"/>
                <w:szCs w:val="21"/>
              </w:rPr>
            </w:pPr>
          </w:p>
        </w:tc>
        <w:tc>
          <w:tcPr>
            <w:tcW w:w="385" w:type="pct"/>
            <w:vMerge w:val="continue"/>
            <w:shd w:val="clear" w:color="auto" w:fill="auto"/>
            <w:vAlign w:val="center"/>
          </w:tcPr>
          <w:p>
            <w:pPr>
              <w:widowControl/>
              <w:spacing w:line="260" w:lineRule="exact"/>
              <w:jc w:val="left"/>
              <w:rPr>
                <w:kern w:val="0"/>
                <w:szCs w:val="21"/>
              </w:rPr>
            </w:pPr>
          </w:p>
        </w:tc>
        <w:tc>
          <w:tcPr>
            <w:tcW w:w="467" w:type="pct"/>
            <w:shd w:val="clear" w:color="auto" w:fill="FFFFFF"/>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ind w:firstLine="210" w:firstLineChars="100"/>
              <w:jc w:val="left"/>
              <w:rPr>
                <w:rFonts w:hint="eastAsia" w:eastAsia="宋体"/>
                <w:kern w:val="0"/>
                <w:szCs w:val="21"/>
                <w:lang w:val="en-US" w:eastAsia="zh-CN"/>
              </w:rPr>
            </w:pPr>
            <w:r>
              <w:rPr>
                <w:rFonts w:hint="eastAsia"/>
                <w:kern w:val="0"/>
                <w:szCs w:val="21"/>
                <w:lang w:val="en-US" w:eastAsia="zh-CN"/>
              </w:rPr>
              <w:t>2</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ind w:firstLine="210" w:firstLineChars="100"/>
              <w:jc w:val="left"/>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40" w:lineRule="exact"/>
              <w:jc w:val="left"/>
              <w:rPr>
                <w:rFonts w:hint="default"/>
                <w:kern w:val="0"/>
                <w:szCs w:val="21"/>
                <w:lang w:val="en-US" w:eastAsia="zh-CN"/>
              </w:rPr>
            </w:pPr>
            <w:r>
              <w:rPr>
                <w:rFonts w:hint="eastAsia" w:ascii="宋体" w:hAnsi="宋体" w:eastAsia="宋体" w:cs="宋体"/>
                <w:kern w:val="0"/>
                <w:szCs w:val="21"/>
              </w:rPr>
              <w:t>≧</w:t>
            </w:r>
            <w:r>
              <w:rPr>
                <w:rFonts w:hint="eastAsia"/>
                <w:kern w:val="0"/>
                <w:szCs w:val="21"/>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kern w:val="0"/>
                <w:szCs w:val="21"/>
                <w:lang w:val="en-US" w:eastAsia="zh-CN"/>
              </w:rPr>
            </w:pPr>
            <w:r>
              <w:rPr>
                <w:rFonts w:hint="eastAsia"/>
                <w:kern w:val="0"/>
                <w:szCs w:val="21"/>
                <w:lang w:val="en-US" w:eastAsia="zh-CN"/>
              </w:rPr>
              <w:t xml:space="preserve"> 当年</w:t>
            </w:r>
          </w:p>
          <w:p>
            <w:pPr>
              <w:widowControl/>
              <w:spacing w:line="240" w:lineRule="exact"/>
              <w:jc w:val="left"/>
              <w:rPr>
                <w:rFonts w:hint="eastAsia"/>
                <w:kern w:val="0"/>
                <w:szCs w:val="21"/>
                <w:lang w:val="en-US" w:eastAsia="zh-CN"/>
              </w:rPr>
            </w:pPr>
            <w:r>
              <w:rPr>
                <w:rFonts w:hint="eastAsia"/>
                <w:kern w:val="0"/>
                <w:szCs w:val="21"/>
                <w:lang w:val="en-US" w:eastAsia="zh-CN"/>
              </w:rPr>
              <w:t>雨水多</w:t>
            </w:r>
          </w:p>
          <w:p>
            <w:pPr>
              <w:widowControl/>
              <w:spacing w:line="240" w:lineRule="exact"/>
              <w:jc w:val="left"/>
              <w:rPr>
                <w:rFonts w:hint="eastAsia"/>
                <w:kern w:val="0"/>
                <w:szCs w:val="21"/>
                <w:lang w:val="en-US" w:eastAsia="zh-CN"/>
              </w:rPr>
            </w:pPr>
            <w:r>
              <w:rPr>
                <w:rFonts w:hint="eastAsia"/>
                <w:kern w:val="0"/>
                <w:szCs w:val="21"/>
                <w:lang w:val="en-US" w:eastAsia="zh-CN"/>
              </w:rPr>
              <w:t>稍有</w:t>
            </w:r>
          </w:p>
          <w:p>
            <w:pPr>
              <w:widowControl/>
              <w:spacing w:line="240" w:lineRule="exact"/>
              <w:jc w:val="left"/>
              <w:rPr>
                <w:rFonts w:hint="default"/>
                <w:kern w:val="0"/>
                <w:szCs w:val="21"/>
                <w:lang w:val="en-US" w:eastAsia="zh-CN"/>
              </w:rPr>
            </w:pPr>
            <w:r>
              <w:rPr>
                <w:rFonts w:hint="eastAsia"/>
                <w:kern w:val="0"/>
                <w:szCs w:val="21"/>
                <w:lang w:val="en-US" w:eastAsia="zh-CN"/>
              </w:rPr>
              <w:t>延迟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lang w:val="en-US" w:eastAsia="zh-CN"/>
              </w:rPr>
              <w:t>可持续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vAlign w:val="center"/>
          </w:tcPr>
          <w:p>
            <w:pPr>
              <w:widowControl/>
              <w:spacing w:line="240" w:lineRule="exact"/>
              <w:jc w:val="left"/>
              <w:rPr>
                <w:kern w:val="0"/>
                <w:szCs w:val="21"/>
              </w:rPr>
            </w:pPr>
          </w:p>
        </w:tc>
        <w:tc>
          <w:tcPr>
            <w:tcW w:w="385" w:type="pct"/>
            <w:vMerge w:val="continue"/>
            <w:shd w:val="clear" w:color="auto" w:fill="auto"/>
            <w:vAlign w:val="center"/>
          </w:tcPr>
          <w:p>
            <w:pPr>
              <w:widowControl/>
              <w:spacing w:line="240" w:lineRule="exact"/>
              <w:jc w:val="left"/>
              <w:rPr>
                <w:kern w:val="0"/>
                <w:szCs w:val="21"/>
              </w:rPr>
            </w:pPr>
          </w:p>
        </w:tc>
        <w:tc>
          <w:tcPr>
            <w:tcW w:w="467" w:type="pct"/>
            <w:shd w:val="clear" w:color="auto" w:fill="FFFFFF"/>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center"/>
        <w:rPr>
          <w:rFonts w:eastAsia="方正小标宋简体"/>
          <w:color w:val="000000"/>
          <w:spacing w:val="-12"/>
          <w:kern w:val="0"/>
          <w:sz w:val="36"/>
          <w:szCs w:val="36"/>
        </w:rPr>
      </w:pPr>
      <w:r>
        <w:rPr>
          <w:rFonts w:hint="eastAsia" w:eastAsia="方正黑体简体"/>
          <w:sz w:val="32"/>
          <w:szCs w:val="32"/>
          <w:lang w:val="en-US" w:eastAsia="zh-CN"/>
        </w:rPr>
        <w:t xml:space="preserve"> </w:t>
      </w:r>
      <w:r>
        <w:rPr>
          <w:rFonts w:eastAsia="方正小标宋简体"/>
          <w:color w:val="000000"/>
          <w:spacing w:val="-12"/>
          <w:kern w:val="0"/>
          <w:sz w:val="36"/>
          <w:szCs w:val="36"/>
        </w:rPr>
        <w:t>202</w:t>
      </w:r>
      <w:r>
        <w:rPr>
          <w:rFonts w:hint="eastAsia" w:eastAsia="方正小标宋简体"/>
          <w:color w:val="000000"/>
          <w:spacing w:val="-12"/>
          <w:kern w:val="0"/>
          <w:sz w:val="36"/>
          <w:szCs w:val="36"/>
          <w:lang w:val="en-US" w:eastAsia="zh-CN"/>
        </w:rPr>
        <w:t>2</w:t>
      </w:r>
      <w:r>
        <w:rPr>
          <w:rFonts w:hint="eastAsia" w:eastAsia="方正小标宋简体"/>
          <w:color w:val="000000"/>
          <w:spacing w:val="-12"/>
          <w:kern w:val="0"/>
          <w:sz w:val="36"/>
          <w:szCs w:val="36"/>
        </w:rPr>
        <w:t>年度乐至县项目支出绩效目标完成情况表</w:t>
      </w:r>
    </w:p>
    <w:p>
      <w:pPr>
        <w:pStyle w:val="7"/>
        <w:spacing w:after="0" w:line="240" w:lineRule="exact"/>
        <w:rPr>
          <w:rFonts w:ascii="宋体"/>
        </w:rPr>
      </w:pP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65"/>
        <w:gridCol w:w="912"/>
        <w:gridCol w:w="821"/>
        <w:gridCol w:w="619"/>
        <w:gridCol w:w="1355"/>
        <w:gridCol w:w="1623"/>
        <w:gridCol w:w="22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7597" w:type="dxa"/>
            <w:gridSpan w:val="6"/>
            <w:tcBorders>
              <w:top w:val="single" w:color="auto" w:sz="12" w:space="0"/>
            </w:tcBorders>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eastAsia="zh-CN"/>
              </w:rPr>
              <w:t>乐至县</w:t>
            </w:r>
            <w:r>
              <w:rPr>
                <w:rFonts w:hint="eastAsia"/>
                <w:color w:val="000000"/>
                <w:kern w:val="0"/>
                <w:szCs w:val="21"/>
                <w:lang w:val="en-US" w:eastAsia="zh-CN"/>
              </w:rPr>
              <w:t>蚕桑产业化联合体项目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1974"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ascii="宋体" w:hAnsi="宋体" w:eastAsia="宋体" w:cs="宋体"/>
                <w:color w:val="000000"/>
                <w:kern w:val="0"/>
                <w:szCs w:val="21"/>
              </w:rPr>
              <w:t>√</w:t>
            </w:r>
          </w:p>
        </w:tc>
        <w:tc>
          <w:tcPr>
            <w:tcW w:w="821" w:type="dxa"/>
            <w:noWrap/>
            <w:vAlign w:val="center"/>
          </w:tcPr>
          <w:p>
            <w:pPr>
              <w:spacing w:line="240" w:lineRule="exact"/>
              <w:jc w:val="center"/>
              <w:rPr>
                <w:szCs w:val="21"/>
              </w:rPr>
            </w:pPr>
          </w:p>
        </w:tc>
        <w:tc>
          <w:tcPr>
            <w:tcW w:w="1974" w:type="dxa"/>
            <w:gridSpan w:val="2"/>
            <w:noWrap/>
            <w:vAlign w:val="center"/>
          </w:tcPr>
          <w:p>
            <w:pPr>
              <w:spacing w:line="240" w:lineRule="exact"/>
              <w:jc w:val="center"/>
              <w:rPr>
                <w:szCs w:val="21"/>
              </w:rPr>
            </w:pPr>
          </w:p>
        </w:tc>
        <w:tc>
          <w:tcPr>
            <w:tcW w:w="3890" w:type="dxa"/>
            <w:gridSpan w:val="2"/>
            <w:noWrap/>
            <w:vAlign w:val="center"/>
          </w:tcPr>
          <w:p>
            <w:pPr>
              <w:spacing w:line="240" w:lineRule="exac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3707" w:type="dxa"/>
            <w:gridSpan w:val="4"/>
            <w:noWrap/>
            <w:vAlign w:val="center"/>
          </w:tcPr>
          <w:p>
            <w:pPr>
              <w:widowControl/>
              <w:spacing w:line="240" w:lineRule="exact"/>
              <w:jc w:val="center"/>
              <w:rPr>
                <w:color w:val="000000"/>
                <w:kern w:val="0"/>
                <w:szCs w:val="21"/>
              </w:rPr>
            </w:pPr>
            <w:r>
              <w:rPr>
                <w:rFonts w:hint="eastAsia"/>
                <w:color w:val="000000"/>
                <w:kern w:val="0"/>
                <w:szCs w:val="21"/>
              </w:rPr>
              <w:t>乐至县</w:t>
            </w:r>
            <w:r>
              <w:rPr>
                <w:rFonts w:hint="eastAsia"/>
                <w:color w:val="000000"/>
                <w:kern w:val="0"/>
                <w:szCs w:val="21"/>
                <w:lang w:val="en-US" w:eastAsia="zh-CN"/>
              </w:rPr>
              <w:t>蚕桑</w:t>
            </w:r>
            <w:r>
              <w:rPr>
                <w:rFonts w:hint="eastAsia"/>
                <w:color w:val="000000"/>
                <w:kern w:val="0"/>
                <w:szCs w:val="21"/>
              </w:rPr>
              <w:t>局　</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26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194101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619"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71710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71710</w:t>
            </w:r>
          </w:p>
        </w:tc>
        <w:tc>
          <w:tcPr>
            <w:tcW w:w="135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135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ind w:firstLine="210" w:firstLineChars="100"/>
              <w:jc w:val="center"/>
              <w:rPr>
                <w:rFonts w:hint="default" w:eastAsia="宋体"/>
                <w:color w:val="000000"/>
                <w:kern w:val="0"/>
                <w:szCs w:val="21"/>
                <w:lang w:val="en-US" w:eastAsia="zh-CN"/>
              </w:rPr>
            </w:pPr>
            <w:r>
              <w:rPr>
                <w:rFonts w:hint="eastAsia"/>
                <w:color w:val="000000"/>
                <w:kern w:val="0"/>
                <w:szCs w:val="21"/>
                <w:lang w:val="en-US" w:eastAsia="zh-CN"/>
              </w:rPr>
              <w:t>100</w:t>
            </w:r>
            <w:r>
              <w:rPr>
                <w:color w:val="000000"/>
                <w:kern w:val="0"/>
                <w:szCs w:val="21"/>
              </w:rPr>
              <w:t>%</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0"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41710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41710</w:t>
            </w:r>
          </w:p>
        </w:tc>
        <w:tc>
          <w:tcPr>
            <w:tcW w:w="135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0</w:t>
            </w:r>
          </w:p>
        </w:tc>
        <w:tc>
          <w:tcPr>
            <w:tcW w:w="162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619"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821"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0</w:t>
            </w:r>
          </w:p>
        </w:tc>
        <w:tc>
          <w:tcPr>
            <w:tcW w:w="619"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0</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2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r>
              <w:rPr>
                <w:color w:val="000000"/>
                <w:kern w:val="0"/>
                <w:szCs w:val="21"/>
              </w:rPr>
              <w:t>%</w:t>
            </w:r>
          </w:p>
        </w:tc>
        <w:tc>
          <w:tcPr>
            <w:tcW w:w="619"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r>
              <w:rPr>
                <w:color w:val="000000"/>
                <w:kern w:val="0"/>
                <w:szCs w:val="21"/>
              </w:rPr>
              <w:t>%</w:t>
            </w: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21" w:type="dxa"/>
            <w:noWrap/>
            <w:vAlign w:val="center"/>
          </w:tcPr>
          <w:p>
            <w:pPr>
              <w:widowControl/>
              <w:spacing w:line="240" w:lineRule="exact"/>
              <w:jc w:val="center"/>
              <w:rPr>
                <w:color w:val="000000"/>
                <w:kern w:val="0"/>
                <w:szCs w:val="21"/>
              </w:rPr>
            </w:pPr>
          </w:p>
        </w:tc>
        <w:tc>
          <w:tcPr>
            <w:tcW w:w="619" w:type="dxa"/>
            <w:noWrap/>
            <w:vAlign w:val="center"/>
          </w:tcPr>
          <w:p>
            <w:pPr>
              <w:widowControl/>
              <w:spacing w:line="240" w:lineRule="exact"/>
              <w:jc w:val="center"/>
              <w:rPr>
                <w:color w:val="000000"/>
                <w:kern w:val="0"/>
                <w:szCs w:val="21"/>
              </w:rPr>
            </w:pPr>
          </w:p>
        </w:tc>
        <w:tc>
          <w:tcPr>
            <w:tcW w:w="1355" w:type="dxa"/>
            <w:noWrap/>
            <w:vAlign w:val="center"/>
          </w:tcPr>
          <w:p>
            <w:pPr>
              <w:widowControl/>
              <w:spacing w:line="240" w:lineRule="exact"/>
              <w:jc w:val="center"/>
              <w:rPr>
                <w:color w:val="000000"/>
                <w:kern w:val="0"/>
                <w:szCs w:val="21"/>
              </w:rPr>
            </w:pPr>
          </w:p>
        </w:tc>
        <w:tc>
          <w:tcPr>
            <w:tcW w:w="1623" w:type="dxa"/>
            <w:noWrap/>
            <w:vAlign w:val="center"/>
          </w:tcPr>
          <w:p>
            <w:pPr>
              <w:widowControl/>
              <w:spacing w:line="240" w:lineRule="exact"/>
              <w:jc w:val="center"/>
              <w:rPr>
                <w:color w:val="000000"/>
                <w:kern w:val="0"/>
                <w:szCs w:val="21"/>
              </w:rPr>
            </w:pPr>
          </w:p>
        </w:tc>
        <w:tc>
          <w:tcPr>
            <w:tcW w:w="2267" w:type="dxa"/>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733"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1974"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75" w:hRule="atLeast"/>
          <w:jc w:val="center"/>
        </w:trPr>
        <w:tc>
          <w:tcPr>
            <w:tcW w:w="765" w:type="dxa"/>
            <w:vMerge w:val="continue"/>
            <w:vAlign w:val="center"/>
          </w:tcPr>
          <w:p>
            <w:pPr>
              <w:widowControl/>
              <w:spacing w:line="240" w:lineRule="exact"/>
              <w:jc w:val="left"/>
              <w:rPr>
                <w:color w:val="000000"/>
                <w:kern w:val="0"/>
                <w:szCs w:val="21"/>
              </w:rPr>
            </w:pPr>
          </w:p>
        </w:tc>
        <w:tc>
          <w:tcPr>
            <w:tcW w:w="1733"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2022年实施桑园改造、小蚕共育室、大蚕房改造、设施项目提质改造</w:t>
            </w:r>
          </w:p>
        </w:tc>
        <w:tc>
          <w:tcPr>
            <w:tcW w:w="1974"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2022年已全面完成桑园改造、小蚕共育室、大蚕房改造、设施项目提质改造</w:t>
            </w:r>
          </w:p>
        </w:tc>
        <w:tc>
          <w:tcPr>
            <w:tcW w:w="3890"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65"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619"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355"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23"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267"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color w:val="000000"/>
                <w:kern w:val="0"/>
                <w:szCs w:val="21"/>
              </w:rPr>
            </w:pPr>
            <w:r>
              <w:rPr>
                <w:rFonts w:hint="eastAsia"/>
                <w:color w:val="000000"/>
                <w:kern w:val="0"/>
                <w:szCs w:val="21"/>
                <w:lang w:val="en-US" w:eastAsia="zh-CN"/>
              </w:rPr>
              <w:t>桑园改造、小蚕共育室、大蚕房改造、设施项目提质改造</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全面完成任务</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桑园改造、小蚕共育室、大蚕房改造、设施项目提质改造合格率</w:t>
            </w:r>
            <w:r>
              <w:rPr>
                <w:rFonts w:hint="default" w:ascii="Arial" w:hAnsi="Arial" w:cs="Arial"/>
                <w:color w:val="000000"/>
                <w:kern w:val="0"/>
                <w:szCs w:val="21"/>
                <w:lang w:val="en-US" w:eastAsia="zh-CN"/>
              </w:rPr>
              <w:t>≥</w:t>
            </w:r>
            <w:r>
              <w:rPr>
                <w:rFonts w:hint="eastAsia"/>
                <w:color w:val="000000"/>
                <w:kern w:val="0"/>
                <w:szCs w:val="21"/>
                <w:lang w:val="en-US" w:eastAsia="zh-CN"/>
              </w:rPr>
              <w:t>99%</w:t>
            </w:r>
          </w:p>
        </w:tc>
        <w:tc>
          <w:tcPr>
            <w:tcW w:w="1623" w:type="dxa"/>
            <w:noWrap/>
            <w:vAlign w:val="center"/>
          </w:tcPr>
          <w:p>
            <w:pPr>
              <w:widowControl/>
              <w:spacing w:line="240" w:lineRule="exact"/>
              <w:jc w:val="left"/>
              <w:rPr>
                <w:color w:val="000000"/>
                <w:kern w:val="0"/>
                <w:szCs w:val="21"/>
              </w:rPr>
            </w:pPr>
            <w:r>
              <w:rPr>
                <w:rFonts w:hint="eastAsia"/>
                <w:color w:val="000000"/>
                <w:kern w:val="0"/>
                <w:szCs w:val="21"/>
                <w:lang w:val="en-US" w:eastAsia="zh-CN"/>
              </w:rPr>
              <w:t>合格率97%</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项目实施期限1年</w:t>
            </w:r>
          </w:p>
        </w:tc>
        <w:tc>
          <w:tcPr>
            <w:tcW w:w="1623" w:type="dxa"/>
            <w:noWrap/>
            <w:vAlign w:val="center"/>
          </w:tcPr>
          <w:p>
            <w:pPr>
              <w:widowControl/>
              <w:spacing w:line="240" w:lineRule="exact"/>
              <w:ind w:firstLine="420" w:firstLineChars="200"/>
              <w:jc w:val="left"/>
              <w:rPr>
                <w:rFonts w:hint="eastAsia" w:eastAsia="宋体"/>
                <w:color w:val="000000"/>
                <w:kern w:val="0"/>
                <w:szCs w:val="21"/>
                <w:lang w:val="en-US" w:eastAsia="zh-CN"/>
              </w:rPr>
            </w:pPr>
            <w:r>
              <w:rPr>
                <w:rFonts w:hint="eastAsia"/>
                <w:color w:val="000000"/>
                <w:kern w:val="0"/>
                <w:szCs w:val="21"/>
                <w:lang w:val="en-US" w:eastAsia="zh-CN"/>
              </w:rPr>
              <w:t>完工</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35"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联合体推进该项目无害化普及率99%</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99%</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continue"/>
            <w:vAlign w:val="center"/>
          </w:tcPr>
          <w:p>
            <w:pPr>
              <w:widowControl/>
              <w:spacing w:line="240" w:lineRule="exact"/>
              <w:jc w:val="left"/>
              <w:rPr>
                <w:color w:val="000000"/>
                <w:kern w:val="0"/>
                <w:szCs w:val="21"/>
              </w:rPr>
            </w:pP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奖补资金使用无重大违规违纪</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无</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color w:val="000000"/>
                <w:kern w:val="0"/>
                <w:szCs w:val="21"/>
              </w:rPr>
            </w:pPr>
            <w:r>
              <w:rPr>
                <w:rFonts w:hint="eastAsia"/>
                <w:color w:val="000000"/>
                <w:kern w:val="0"/>
                <w:szCs w:val="21"/>
                <w:lang w:val="en-US" w:eastAsia="zh-CN"/>
              </w:rPr>
              <w:t>联合体推进该项目无害化普及率98%</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98%</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vMerge w:val="continue"/>
            <w:vAlign w:val="center"/>
          </w:tcPr>
          <w:p>
            <w:pPr>
              <w:widowControl/>
              <w:spacing w:line="240" w:lineRule="exact"/>
              <w:jc w:val="left"/>
              <w:rPr>
                <w:color w:val="000000"/>
                <w:kern w:val="0"/>
                <w:szCs w:val="21"/>
              </w:rPr>
            </w:pP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项目带动该社经济改善</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有效改善</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vMerge w:val="continue"/>
            <w:vAlign w:val="center"/>
          </w:tcPr>
          <w:p>
            <w:pPr>
              <w:widowControl/>
              <w:spacing w:line="240" w:lineRule="exact"/>
              <w:jc w:val="left"/>
              <w:rPr>
                <w:color w:val="000000"/>
                <w:kern w:val="0"/>
                <w:szCs w:val="21"/>
              </w:rPr>
            </w:pP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建立长效管理机制</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已建立</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5" w:type="dxa"/>
            <w:vMerge w:val="continue"/>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821"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619"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35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项目农户满意度</w:t>
            </w:r>
            <w:r>
              <w:rPr>
                <w:rFonts w:hint="default" w:ascii="Arial" w:hAnsi="Arial" w:cs="Arial"/>
                <w:color w:val="000000"/>
                <w:kern w:val="0"/>
                <w:szCs w:val="21"/>
                <w:lang w:val="en-US" w:eastAsia="zh-CN"/>
              </w:rPr>
              <w:t>≥</w:t>
            </w:r>
            <w:r>
              <w:rPr>
                <w:rFonts w:hint="eastAsia"/>
                <w:color w:val="000000"/>
                <w:kern w:val="0"/>
                <w:szCs w:val="21"/>
                <w:lang w:val="en-US" w:eastAsia="zh-CN"/>
              </w:rPr>
              <w:t>98%</w:t>
            </w:r>
          </w:p>
        </w:tc>
        <w:tc>
          <w:tcPr>
            <w:tcW w:w="162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 xml:space="preserve">   98%</w:t>
            </w:r>
          </w:p>
        </w:tc>
        <w:tc>
          <w:tcPr>
            <w:tcW w:w="2267" w:type="dxa"/>
            <w:noWrap/>
            <w:vAlign w:val="center"/>
          </w:tcPr>
          <w:p>
            <w:pPr>
              <w:widowControl/>
              <w:spacing w:line="240" w:lineRule="exact"/>
              <w:jc w:val="left"/>
              <w:rPr>
                <w:color w:val="000000"/>
                <w:kern w:val="0"/>
                <w:szCs w:val="21"/>
              </w:rPr>
            </w:pPr>
            <w:r>
              <w:rPr>
                <w:rFonts w:hint="eastAsia"/>
                <w:color w:val="000000"/>
                <w:kern w:val="0"/>
                <w:szCs w:val="21"/>
              </w:rPr>
              <w:t>　</w:t>
            </w:r>
          </w:p>
        </w:tc>
      </w:tr>
    </w:tbl>
    <w:p/>
    <w:p>
      <w:pPr>
        <w:pStyle w:val="3"/>
        <w:jc w:val="center"/>
        <w:rPr>
          <w:rFonts w:hint="eastAsia" w:ascii="黑体" w:hAnsi="黑体" w:eastAsia="黑体"/>
          <w:b w:val="0"/>
          <w:lang w:val="en-US" w:eastAsia="zh-CN"/>
        </w:rPr>
      </w:pPr>
    </w:p>
    <w:p>
      <w:pPr>
        <w:pStyle w:val="3"/>
        <w:jc w:val="center"/>
        <w:rPr>
          <w:rFonts w:hint="eastAsia" w:ascii="黑体" w:hAnsi="黑体" w:eastAsia="黑体"/>
          <w:b w:val="0"/>
          <w:lang w:val="en-US" w:eastAsia="zh-CN"/>
        </w:rPr>
      </w:pPr>
      <w:r>
        <w:rPr>
          <w:rFonts w:hint="eastAsia" w:ascii="黑体" w:hAnsi="黑体" w:eastAsia="黑体"/>
          <w:b w:val="0"/>
          <w:lang w:val="en-US" w:eastAsia="zh-CN"/>
        </w:rPr>
        <w:t>第五部分 附表</w:t>
      </w:r>
      <w:bookmarkEnd w:id="52"/>
      <w:bookmarkEnd w:id="53"/>
      <w:bookmarkStart w:id="54" w:name="_Toc15396619"/>
    </w:p>
    <w:p>
      <w:pPr>
        <w:pStyle w:val="4"/>
        <w:rPr>
          <w:rFonts w:ascii="仿宋" w:hAnsi="仿宋" w:eastAsia="仿宋"/>
        </w:rPr>
      </w:pPr>
      <w:r>
        <w:rPr>
          <w:rFonts w:hint="eastAsia" w:ascii="仿宋" w:hAnsi="仿宋" w:eastAsia="仿宋"/>
          <w:b w:val="0"/>
        </w:rPr>
        <w:t>一、收</w:t>
      </w:r>
      <w:r>
        <w:rPr>
          <w:rStyle w:val="31"/>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31"/>
          <w:rFonts w:hint="eastAsia" w:ascii="仿宋" w:hAnsi="仿宋" w:eastAsia="仿宋"/>
          <w:b w:val="0"/>
          <w:bCs w:val="0"/>
        </w:rPr>
        <w:t>入决算表</w:t>
      </w:r>
      <w:bookmarkEnd w:id="55"/>
    </w:p>
    <w:p>
      <w:pPr>
        <w:pStyle w:val="4"/>
        <w:rPr>
          <w:rFonts w:ascii="仿宋" w:hAnsi="仿宋" w:eastAsia="仿宋"/>
        </w:rPr>
      </w:pPr>
      <w:bookmarkStart w:id="56" w:name="_Toc15396621"/>
      <w:r>
        <w:rPr>
          <w:rStyle w:val="31"/>
          <w:rFonts w:hint="eastAsia" w:ascii="仿宋" w:hAnsi="仿宋" w:eastAsia="仿宋"/>
          <w:b w:val="0"/>
          <w:bCs w:val="0"/>
        </w:rPr>
        <w:t>三、</w:t>
      </w:r>
      <w:r>
        <w:rPr>
          <w:rFonts w:hint="eastAsia" w:ascii="仿宋" w:hAnsi="仿宋" w:eastAsia="仿宋"/>
          <w:b w:val="0"/>
        </w:rPr>
        <w:t>支</w:t>
      </w:r>
      <w:r>
        <w:rPr>
          <w:rStyle w:val="31"/>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31"/>
          <w:rFonts w:hint="eastAsia" w:ascii="仿宋" w:hAnsi="仿宋" w:eastAsia="仿宋"/>
          <w:b w:val="0"/>
          <w:bCs w:val="0"/>
        </w:rPr>
        <w:t>四、</w:t>
      </w:r>
      <w:r>
        <w:rPr>
          <w:rFonts w:hint="eastAsia" w:ascii="仿宋" w:hAnsi="仿宋" w:eastAsia="仿宋"/>
          <w:b w:val="0"/>
        </w:rPr>
        <w:t>财</w:t>
      </w:r>
      <w:r>
        <w:rPr>
          <w:rStyle w:val="31"/>
          <w:rFonts w:hint="eastAsia" w:ascii="仿宋" w:hAnsi="仿宋" w:eastAsia="仿宋"/>
          <w:b w:val="0"/>
          <w:bCs w:val="0"/>
        </w:rPr>
        <w:t>政拨款收入支出决算总表</w:t>
      </w:r>
      <w:bookmarkEnd w:id="57"/>
    </w:p>
    <w:p>
      <w:pPr>
        <w:pStyle w:val="4"/>
        <w:rPr>
          <w:rStyle w:val="31"/>
          <w:rFonts w:ascii="仿宋" w:hAnsi="仿宋" w:eastAsia="仿宋"/>
          <w:b w:val="0"/>
          <w:bCs w:val="0"/>
        </w:rPr>
      </w:pPr>
      <w:bookmarkStart w:id="58" w:name="_Toc15396623"/>
      <w:r>
        <w:rPr>
          <w:rStyle w:val="31"/>
          <w:rFonts w:hint="eastAsia" w:ascii="仿宋" w:hAnsi="仿宋" w:eastAsia="仿宋"/>
          <w:b w:val="0"/>
          <w:bCs w:val="0"/>
        </w:rPr>
        <w:t>五、</w:t>
      </w:r>
      <w:r>
        <w:rPr>
          <w:rFonts w:hint="eastAsia" w:ascii="仿宋" w:hAnsi="仿宋" w:eastAsia="仿宋"/>
          <w:b w:val="0"/>
        </w:rPr>
        <w:t>财</w:t>
      </w:r>
      <w:r>
        <w:rPr>
          <w:rStyle w:val="31"/>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31"/>
          <w:rFonts w:hint="eastAsia" w:ascii="仿宋" w:hAnsi="仿宋" w:eastAsia="仿宋"/>
          <w:b w:val="0"/>
          <w:bCs w:val="0"/>
        </w:rPr>
        <w:t>六、</w:t>
      </w:r>
      <w:r>
        <w:rPr>
          <w:rFonts w:hint="eastAsia" w:ascii="仿宋" w:hAnsi="仿宋" w:eastAsia="仿宋"/>
          <w:b w:val="0"/>
        </w:rPr>
        <w:t>一</w:t>
      </w:r>
      <w:r>
        <w:rPr>
          <w:rStyle w:val="31"/>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31"/>
          <w:rFonts w:hint="eastAsia" w:ascii="仿宋" w:hAnsi="仿宋" w:eastAsia="仿宋"/>
          <w:b w:val="0"/>
          <w:bCs w:val="0"/>
        </w:rPr>
        <w:t>七、</w:t>
      </w:r>
      <w:r>
        <w:rPr>
          <w:rFonts w:hint="eastAsia" w:ascii="仿宋" w:hAnsi="仿宋" w:eastAsia="仿宋"/>
          <w:b w:val="0"/>
        </w:rPr>
        <w:t>一</w:t>
      </w:r>
      <w:r>
        <w:rPr>
          <w:rStyle w:val="31"/>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31"/>
          <w:rFonts w:hint="eastAsia" w:ascii="仿宋" w:hAnsi="仿宋" w:eastAsia="仿宋"/>
          <w:b w:val="0"/>
          <w:bCs w:val="0"/>
        </w:rPr>
        <w:t>八、</w:t>
      </w:r>
      <w:r>
        <w:rPr>
          <w:rFonts w:hint="eastAsia" w:ascii="仿宋" w:hAnsi="仿宋" w:eastAsia="仿宋"/>
          <w:b w:val="0"/>
        </w:rPr>
        <w:t>一</w:t>
      </w:r>
      <w:r>
        <w:rPr>
          <w:rStyle w:val="31"/>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31"/>
          <w:rFonts w:hint="eastAsia" w:ascii="仿宋" w:hAnsi="仿宋" w:eastAsia="仿宋"/>
          <w:b w:val="0"/>
          <w:bCs w:val="0"/>
        </w:rPr>
        <w:t>九、</w:t>
      </w:r>
      <w:r>
        <w:rPr>
          <w:rFonts w:hint="eastAsia" w:ascii="仿宋" w:hAnsi="仿宋" w:eastAsia="仿宋"/>
          <w:b w:val="0"/>
        </w:rPr>
        <w:t>一</w:t>
      </w:r>
      <w:r>
        <w:rPr>
          <w:rStyle w:val="31"/>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31"/>
          <w:rFonts w:hint="eastAsia" w:ascii="仿宋" w:hAnsi="仿宋" w:eastAsia="仿宋"/>
          <w:b w:val="0"/>
          <w:bCs w:val="0"/>
        </w:rPr>
        <w:t>十、</w:t>
      </w:r>
      <w:bookmarkEnd w:id="63"/>
      <w:r>
        <w:rPr>
          <w:rFonts w:hint="eastAsia" w:ascii="仿宋" w:hAnsi="仿宋" w:eastAsia="仿宋"/>
          <w:b w:val="0"/>
        </w:rPr>
        <w:t>政</w:t>
      </w:r>
      <w:r>
        <w:rPr>
          <w:rStyle w:val="31"/>
          <w:rFonts w:hint="eastAsia" w:ascii="仿宋" w:hAnsi="仿宋" w:eastAsia="仿宋"/>
          <w:b w:val="0"/>
          <w:bCs w:val="0"/>
        </w:rPr>
        <w:t>府性基金预算财政拨款收入支出决算表</w:t>
      </w:r>
    </w:p>
    <w:p>
      <w:pPr>
        <w:pStyle w:val="4"/>
        <w:rPr>
          <w:rFonts w:ascii="仿宋" w:hAnsi="仿宋" w:eastAsia="仿宋"/>
        </w:rPr>
      </w:pPr>
      <w:bookmarkStart w:id="64" w:name="_Toc15396629"/>
      <w:r>
        <w:rPr>
          <w:rStyle w:val="31"/>
          <w:rFonts w:hint="eastAsia" w:ascii="仿宋" w:hAnsi="仿宋" w:eastAsia="仿宋"/>
          <w:b w:val="0"/>
          <w:bCs w:val="0"/>
        </w:rPr>
        <w:t>十一、</w:t>
      </w:r>
      <w:bookmarkEnd w:id="64"/>
      <w:r>
        <w:rPr>
          <w:rFonts w:hint="eastAsia" w:ascii="仿宋" w:hAnsi="仿宋" w:eastAsia="仿宋"/>
          <w:b w:val="0"/>
        </w:rPr>
        <w:t>国</w:t>
      </w:r>
      <w:r>
        <w:rPr>
          <w:rStyle w:val="31"/>
          <w:rFonts w:hint="eastAsia" w:ascii="仿宋" w:hAnsi="仿宋" w:eastAsia="仿宋"/>
          <w:b w:val="0"/>
          <w:bCs w:val="0"/>
        </w:rPr>
        <w:t>有资本经营预算财政拨款收入支出决算表</w:t>
      </w:r>
    </w:p>
    <w:p>
      <w:pPr>
        <w:pStyle w:val="4"/>
        <w:rPr>
          <w:rFonts w:ascii="仿宋" w:hAnsi="仿宋" w:eastAsia="仿宋"/>
        </w:rPr>
      </w:pPr>
      <w:bookmarkStart w:id="65" w:name="_Toc15396630"/>
      <w:r>
        <w:rPr>
          <w:rStyle w:val="31"/>
          <w:rFonts w:hint="eastAsia" w:ascii="仿宋" w:hAnsi="仿宋" w:eastAsia="仿宋"/>
          <w:b w:val="0"/>
          <w:bCs w:val="0"/>
        </w:rPr>
        <w:t>十二、</w:t>
      </w:r>
      <w:bookmarkEnd w:id="65"/>
      <w:r>
        <w:rPr>
          <w:rStyle w:val="31"/>
          <w:rFonts w:hint="eastAsia" w:ascii="仿宋" w:hAnsi="仿宋" w:eastAsia="仿宋"/>
          <w:b w:val="0"/>
          <w:bCs w:val="0"/>
        </w:rPr>
        <w:t>国有资本经营预算财政拨款支出决算表</w:t>
      </w:r>
    </w:p>
    <w:p>
      <w:pPr>
        <w:pStyle w:val="4"/>
        <w:rPr>
          <w:rFonts w:eastAsia="仿宋"/>
        </w:rPr>
      </w:pPr>
      <w:bookmarkStart w:id="66" w:name="_Toc15396631"/>
      <w:r>
        <w:rPr>
          <w:rStyle w:val="31"/>
          <w:rFonts w:hint="eastAsia" w:ascii="仿宋" w:hAnsi="仿宋" w:eastAsia="仿宋"/>
          <w:b w:val="0"/>
          <w:bCs w:val="0"/>
        </w:rPr>
        <w:t>十三、</w:t>
      </w:r>
      <w:bookmarkEnd w:id="66"/>
      <w:r>
        <w:rPr>
          <w:rStyle w:val="31"/>
          <w:rFonts w:hint="eastAsia" w:ascii="仿宋" w:hAnsi="仿宋" w:eastAsia="仿宋"/>
          <w:b w:val="0"/>
          <w:bCs w:val="0"/>
        </w:rPr>
        <w:t>财政拨款“三公”经费支出决算表</w:t>
      </w:r>
    </w:p>
    <w:sectPr>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楷体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2"/>
    <w:family w:val="auto"/>
    <w:pitch w:val="default"/>
    <w:sig w:usb0="00000000" w:usb1="00000000" w:usb2="00000000" w:usb3="00000000" w:csb0="80000000" w:csb1="00000000"/>
  </w:font>
  <w:font w:name="华文楷体">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42DB80"/>
    <w:multiLevelType w:val="singleLevel"/>
    <w:tmpl w:val="8D42DB80"/>
    <w:lvl w:ilvl="0" w:tentative="0">
      <w:start w:val="2"/>
      <w:numFmt w:val="decimal"/>
      <w:suff w:val="nothing"/>
      <w:lvlText w:val="（%1）"/>
      <w:lvlJc w:val="left"/>
    </w:lvl>
  </w:abstractNum>
  <w:abstractNum w:abstractNumId="1">
    <w:nsid w:val="8DFD96F8"/>
    <w:multiLevelType w:val="singleLevel"/>
    <w:tmpl w:val="8DFD96F8"/>
    <w:lvl w:ilvl="0" w:tentative="0">
      <w:start w:val="1"/>
      <w:numFmt w:val="chineseCounting"/>
      <w:suff w:val="nothing"/>
      <w:lvlText w:val="%1、"/>
      <w:lvlJc w:val="left"/>
      <w:rPr>
        <w:rFonts w:hint="eastAsia"/>
      </w:rPr>
    </w:lvl>
  </w:abstractNum>
  <w:abstractNum w:abstractNumId="2">
    <w:nsid w:val="AE6070CE"/>
    <w:multiLevelType w:val="singleLevel"/>
    <w:tmpl w:val="AE6070CE"/>
    <w:lvl w:ilvl="0" w:tentative="0">
      <w:start w:val="2"/>
      <w:numFmt w:val="chineseCounting"/>
      <w:suff w:val="nothing"/>
      <w:lvlText w:val="（%1）"/>
      <w:lvlJc w:val="left"/>
      <w:rPr>
        <w:rFonts w:hint="eastAsia"/>
      </w:rPr>
    </w:lvl>
  </w:abstractNum>
  <w:abstractNum w:abstractNumId="3">
    <w:nsid w:val="DCB11439"/>
    <w:multiLevelType w:val="singleLevel"/>
    <w:tmpl w:val="DCB11439"/>
    <w:lvl w:ilvl="0" w:tentative="0">
      <w:start w:val="4"/>
      <w:numFmt w:val="chineseCounting"/>
      <w:suff w:val="space"/>
      <w:lvlText w:val="第%1部分"/>
      <w:lvlJc w:val="left"/>
      <w:rPr>
        <w:rFonts w:hint="eastAsia"/>
      </w:rPr>
    </w:lvl>
  </w:abstractNum>
  <w:abstractNum w:abstractNumId="4">
    <w:nsid w:val="DDAE7130"/>
    <w:multiLevelType w:val="singleLevel"/>
    <w:tmpl w:val="DDAE7130"/>
    <w:lvl w:ilvl="0" w:tentative="0">
      <w:start w:val="1"/>
      <w:numFmt w:val="decimal"/>
      <w:suff w:val="nothing"/>
      <w:lvlText w:val="%1、"/>
      <w:lvlJc w:val="left"/>
    </w:lvl>
  </w:abstractNum>
  <w:abstractNum w:abstractNumId="5">
    <w:nsid w:val="E17FF54A"/>
    <w:multiLevelType w:val="singleLevel"/>
    <w:tmpl w:val="E17FF54A"/>
    <w:lvl w:ilvl="0" w:tentative="0">
      <w:start w:val="2"/>
      <w:numFmt w:val="decimal"/>
      <w:lvlText w:val="%1."/>
      <w:lvlJc w:val="left"/>
      <w:pPr>
        <w:tabs>
          <w:tab w:val="left" w:pos="312"/>
        </w:tabs>
      </w:pPr>
    </w:lvl>
  </w:abstractNum>
  <w:abstractNum w:abstractNumId="6">
    <w:nsid w:val="E4EDA123"/>
    <w:multiLevelType w:val="singleLevel"/>
    <w:tmpl w:val="E4EDA123"/>
    <w:lvl w:ilvl="0" w:tentative="0">
      <w:start w:val="3"/>
      <w:numFmt w:val="chineseCounting"/>
      <w:suff w:val="nothing"/>
      <w:lvlText w:val="%1、"/>
      <w:lvlJc w:val="left"/>
      <w:rPr>
        <w:rFonts w:hint="eastAsia"/>
      </w:rPr>
    </w:lvl>
  </w:abstractNum>
  <w:abstractNum w:abstractNumId="7">
    <w:nsid w:val="F45C3502"/>
    <w:multiLevelType w:val="singleLevel"/>
    <w:tmpl w:val="F45C3502"/>
    <w:lvl w:ilvl="0" w:tentative="0">
      <w:start w:val="2"/>
      <w:numFmt w:val="chineseCounting"/>
      <w:suff w:val="nothing"/>
      <w:lvlText w:val="（%1）"/>
      <w:lvlJc w:val="left"/>
      <w:pPr>
        <w:ind w:left="-223"/>
      </w:pPr>
      <w:rPr>
        <w:rFonts w:hint="eastAsia"/>
      </w:rPr>
    </w:lvl>
  </w:abstractNum>
  <w:abstractNum w:abstractNumId="8">
    <w:nsid w:val="1CF83BB4"/>
    <w:multiLevelType w:val="singleLevel"/>
    <w:tmpl w:val="1CF83BB4"/>
    <w:lvl w:ilvl="0" w:tentative="0">
      <w:start w:val="2"/>
      <w:numFmt w:val="chineseCounting"/>
      <w:suff w:val="nothing"/>
      <w:lvlText w:val="（%1）"/>
      <w:lvlJc w:val="left"/>
      <w:rPr>
        <w:rFonts w:hint="eastAsia"/>
      </w:rPr>
    </w:lvl>
  </w:abstractNum>
  <w:abstractNum w:abstractNumId="9">
    <w:nsid w:val="53EE3AAB"/>
    <w:multiLevelType w:val="singleLevel"/>
    <w:tmpl w:val="53EE3AAB"/>
    <w:lvl w:ilvl="0" w:tentative="0">
      <w:start w:val="2"/>
      <w:numFmt w:val="chineseCounting"/>
      <w:suff w:val="nothing"/>
      <w:lvlText w:val="（%1）"/>
      <w:lvlJc w:val="left"/>
      <w:rPr>
        <w:rFonts w:hint="eastAsia"/>
      </w:rPr>
    </w:lvl>
  </w:abstractNum>
  <w:abstractNum w:abstractNumId="10">
    <w:nsid w:val="5B6D87B1"/>
    <w:multiLevelType w:val="singleLevel"/>
    <w:tmpl w:val="5B6D87B1"/>
    <w:lvl w:ilvl="0" w:tentative="0">
      <w:start w:val="1"/>
      <w:numFmt w:val="decimal"/>
      <w:suff w:val="nothing"/>
      <w:lvlText w:val="%1、"/>
      <w:lvlJc w:val="left"/>
    </w:lvl>
  </w:abstractNum>
  <w:abstractNum w:abstractNumId="11">
    <w:nsid w:val="74FCDC9E"/>
    <w:multiLevelType w:val="singleLevel"/>
    <w:tmpl w:val="74FCDC9E"/>
    <w:lvl w:ilvl="0" w:tentative="0">
      <w:start w:val="1"/>
      <w:numFmt w:val="chineseCounting"/>
      <w:suff w:val="nothing"/>
      <w:lvlText w:val="%1、"/>
      <w:lvlJc w:val="left"/>
      <w:rPr>
        <w:rFonts w:hint="eastAsia"/>
      </w:rPr>
    </w:lvl>
  </w:abstractNum>
  <w:num w:numId="1">
    <w:abstractNumId w:val="11"/>
  </w:num>
  <w:num w:numId="2">
    <w:abstractNumId w:val="2"/>
  </w:num>
  <w:num w:numId="3">
    <w:abstractNumId w:val="3"/>
  </w:num>
  <w:num w:numId="4">
    <w:abstractNumId w:val="1"/>
  </w:num>
  <w:num w:numId="5">
    <w:abstractNumId w:val="5"/>
  </w:num>
  <w:num w:numId="6">
    <w:abstractNumId w:val="7"/>
  </w:num>
  <w:num w:numId="7">
    <w:abstractNumId w:val="8"/>
  </w:num>
  <w:num w:numId="8">
    <w:abstractNumId w:val="0"/>
  </w:num>
  <w:num w:numId="9">
    <w:abstractNumId w:val="9"/>
  </w:num>
  <w:num w:numId="10">
    <w:abstractNumId w:val="6"/>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2DC2D3E"/>
    <w:rsid w:val="060B63F9"/>
    <w:rsid w:val="066E0107"/>
    <w:rsid w:val="07996F6E"/>
    <w:rsid w:val="07E92107"/>
    <w:rsid w:val="098708AE"/>
    <w:rsid w:val="09EF5765"/>
    <w:rsid w:val="0A2032A3"/>
    <w:rsid w:val="0A3751CF"/>
    <w:rsid w:val="0A413560"/>
    <w:rsid w:val="0B521618"/>
    <w:rsid w:val="0E236A3E"/>
    <w:rsid w:val="0F7D59F6"/>
    <w:rsid w:val="0F98263C"/>
    <w:rsid w:val="101860EC"/>
    <w:rsid w:val="10C055FF"/>
    <w:rsid w:val="112A7F7C"/>
    <w:rsid w:val="112F5C51"/>
    <w:rsid w:val="118107EC"/>
    <w:rsid w:val="12B40A3B"/>
    <w:rsid w:val="13164E35"/>
    <w:rsid w:val="13D50BC4"/>
    <w:rsid w:val="14B24254"/>
    <w:rsid w:val="14F1166B"/>
    <w:rsid w:val="157C59CB"/>
    <w:rsid w:val="16BB723D"/>
    <w:rsid w:val="183426CD"/>
    <w:rsid w:val="18A23FFA"/>
    <w:rsid w:val="1BE8440E"/>
    <w:rsid w:val="1C3B3861"/>
    <w:rsid w:val="1D155CEE"/>
    <w:rsid w:val="1DDE4990"/>
    <w:rsid w:val="1FD96E6A"/>
    <w:rsid w:val="1FF35744"/>
    <w:rsid w:val="21266B75"/>
    <w:rsid w:val="21D6028F"/>
    <w:rsid w:val="22461847"/>
    <w:rsid w:val="225F01F3"/>
    <w:rsid w:val="23490170"/>
    <w:rsid w:val="23860B96"/>
    <w:rsid w:val="240371BF"/>
    <w:rsid w:val="25AB59B5"/>
    <w:rsid w:val="29F517B4"/>
    <w:rsid w:val="29FD04D3"/>
    <w:rsid w:val="2A7F0E2D"/>
    <w:rsid w:val="2C8A61B5"/>
    <w:rsid w:val="2DC647A7"/>
    <w:rsid w:val="2DF04E50"/>
    <w:rsid w:val="2F040D46"/>
    <w:rsid w:val="301A3977"/>
    <w:rsid w:val="30201103"/>
    <w:rsid w:val="311870BC"/>
    <w:rsid w:val="319F7F4E"/>
    <w:rsid w:val="32115528"/>
    <w:rsid w:val="3304709D"/>
    <w:rsid w:val="330D71CD"/>
    <w:rsid w:val="34CD2A31"/>
    <w:rsid w:val="357A1C0D"/>
    <w:rsid w:val="36890788"/>
    <w:rsid w:val="36AA5135"/>
    <w:rsid w:val="376D39B2"/>
    <w:rsid w:val="379C3AC9"/>
    <w:rsid w:val="37E16F03"/>
    <w:rsid w:val="381E081F"/>
    <w:rsid w:val="38D469F0"/>
    <w:rsid w:val="38EF5674"/>
    <w:rsid w:val="3A062F59"/>
    <w:rsid w:val="3A816C02"/>
    <w:rsid w:val="3C701293"/>
    <w:rsid w:val="3C815550"/>
    <w:rsid w:val="3CFD355E"/>
    <w:rsid w:val="3D931F15"/>
    <w:rsid w:val="3D98207C"/>
    <w:rsid w:val="3E42027B"/>
    <w:rsid w:val="3E78745D"/>
    <w:rsid w:val="3FB10C0A"/>
    <w:rsid w:val="401E37BD"/>
    <w:rsid w:val="42831D2D"/>
    <w:rsid w:val="44DA5705"/>
    <w:rsid w:val="44E268DA"/>
    <w:rsid w:val="45CC270F"/>
    <w:rsid w:val="46B00F37"/>
    <w:rsid w:val="48B60ED8"/>
    <w:rsid w:val="49E05655"/>
    <w:rsid w:val="4A627F82"/>
    <w:rsid w:val="4B0E749A"/>
    <w:rsid w:val="4B4F25DA"/>
    <w:rsid w:val="4BE068DB"/>
    <w:rsid w:val="4C26537C"/>
    <w:rsid w:val="4C3D4FA2"/>
    <w:rsid w:val="4C473333"/>
    <w:rsid w:val="4C616850"/>
    <w:rsid w:val="4D233F9A"/>
    <w:rsid w:val="4D4579D2"/>
    <w:rsid w:val="4D577224"/>
    <w:rsid w:val="4EAB630A"/>
    <w:rsid w:val="4ECE2238"/>
    <w:rsid w:val="4F6144A3"/>
    <w:rsid w:val="4F9A5CA8"/>
    <w:rsid w:val="502D4F36"/>
    <w:rsid w:val="52F34726"/>
    <w:rsid w:val="537E6D0A"/>
    <w:rsid w:val="53B27FDC"/>
    <w:rsid w:val="53F320CA"/>
    <w:rsid w:val="541A5A33"/>
    <w:rsid w:val="54836136"/>
    <w:rsid w:val="553F64BD"/>
    <w:rsid w:val="55A41A91"/>
    <w:rsid w:val="564F4128"/>
    <w:rsid w:val="58D33E46"/>
    <w:rsid w:val="5A9418A9"/>
    <w:rsid w:val="5A97282E"/>
    <w:rsid w:val="5AF92295"/>
    <w:rsid w:val="5CD71FC4"/>
    <w:rsid w:val="5CD807DE"/>
    <w:rsid w:val="5CFB7A99"/>
    <w:rsid w:val="5EB71EFF"/>
    <w:rsid w:val="606C7440"/>
    <w:rsid w:val="63A42106"/>
    <w:rsid w:val="646237BE"/>
    <w:rsid w:val="65461512"/>
    <w:rsid w:val="68282BEF"/>
    <w:rsid w:val="69482CC7"/>
    <w:rsid w:val="6ADF321A"/>
    <w:rsid w:val="6BEB6B1D"/>
    <w:rsid w:val="6C4A05C8"/>
    <w:rsid w:val="6DD83D88"/>
    <w:rsid w:val="6E7E3605"/>
    <w:rsid w:val="6F085736"/>
    <w:rsid w:val="6FF5CC65"/>
    <w:rsid w:val="706305CE"/>
    <w:rsid w:val="71091A03"/>
    <w:rsid w:val="715C0E4B"/>
    <w:rsid w:val="72734D90"/>
    <w:rsid w:val="729C1468"/>
    <w:rsid w:val="73AD73D5"/>
    <w:rsid w:val="73B6EB34"/>
    <w:rsid w:val="744731E5"/>
    <w:rsid w:val="75244CBB"/>
    <w:rsid w:val="764D12A6"/>
    <w:rsid w:val="76E3355F"/>
    <w:rsid w:val="778769C8"/>
    <w:rsid w:val="79EE5BA4"/>
    <w:rsid w:val="7A492DB0"/>
    <w:rsid w:val="7A894339"/>
    <w:rsid w:val="7C9B1A4E"/>
    <w:rsid w:val="7E647607"/>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style>
  <w:style w:type="paragraph" w:styleId="6">
    <w:name w:val="annotation text"/>
    <w:basedOn w:val="1"/>
    <w:semiHidden/>
    <w:unhideWhenUsed/>
    <w:uiPriority w:val="99"/>
    <w:pPr>
      <w:jc w:val="left"/>
    </w:pPr>
  </w:style>
  <w:style w:type="paragraph" w:styleId="7">
    <w:name w:val="Body Text"/>
    <w:basedOn w:val="1"/>
    <w:next w:val="1"/>
    <w:link w:val="27"/>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Body Text First Indent 2"/>
    <w:basedOn w:val="8"/>
    <w:unhideWhenUsed/>
    <w:qFormat/>
    <w:uiPriority w:val="99"/>
    <w:pPr>
      <w:ind w:firstLine="420" w:firstLine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字符"/>
    <w:link w:val="12"/>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字符"/>
    <w:link w:val="11"/>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字符"/>
    <w:link w:val="7"/>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8"/>
    <w:link w:val="3"/>
    <w:qFormat/>
    <w:uiPriority w:val="9"/>
    <w:rPr>
      <w:rFonts w:ascii="Times New Roman" w:hAnsi="Times New Roman"/>
      <w:b/>
      <w:bCs/>
      <w:kern w:val="44"/>
      <w:sz w:val="44"/>
      <w:szCs w:val="44"/>
    </w:rPr>
  </w:style>
  <w:style w:type="character" w:customStyle="1" w:styleId="31">
    <w:name w:val="标题 2 字符"/>
    <w:basedOn w:val="18"/>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8"/>
    <w:link w:val="10"/>
    <w:semiHidden/>
    <w:qFormat/>
    <w:uiPriority w:val="99"/>
    <w:rPr>
      <w:rFonts w:ascii="Times New Roman" w:hAnsi="Times New Roman"/>
      <w:kern w:val="2"/>
      <w:sz w:val="18"/>
      <w:szCs w:val="18"/>
    </w:rPr>
  </w:style>
  <w:style w:type="character" w:customStyle="1" w:styleId="34">
    <w:name w:val="标题 3 字符"/>
    <w:basedOn w:val="18"/>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color w:val="000000"/>
      <w:kern w:val="0"/>
      <w:sz w:val="28"/>
      <w:szCs w:val="21"/>
      <w:lang w:val="zh-CN"/>
    </w:rPr>
  </w:style>
  <w:style w:type="character" w:customStyle="1" w:styleId="37">
    <w:name w:val="font61"/>
    <w:basedOn w:val="18"/>
    <w:uiPriority w:val="0"/>
    <w:rPr>
      <w:rFonts w:hint="default" w:ascii="Times New Roman" w:hAnsi="Times New Roman" w:cs="Times New Roman"/>
      <w:b/>
      <w:bCs/>
      <w:color w:val="000000"/>
      <w:sz w:val="32"/>
      <w:szCs w:val="32"/>
      <w:u w:val="none"/>
    </w:rPr>
  </w:style>
  <w:style w:type="character" w:customStyle="1" w:styleId="38">
    <w:name w:val="font111"/>
    <w:basedOn w:val="18"/>
    <w:uiPriority w:val="0"/>
    <w:rPr>
      <w:rFonts w:hint="eastAsia" w:ascii="方正楷体简体" w:hAnsi="方正楷体简体" w:eastAsia="方正楷体简体" w:cs="方正楷体简体"/>
      <w:b/>
      <w:bCs/>
      <w:color w:val="000000"/>
      <w:sz w:val="32"/>
      <w:szCs w:val="32"/>
      <w:u w:val="none"/>
    </w:rPr>
  </w:style>
  <w:style w:type="character" w:customStyle="1" w:styleId="39">
    <w:name w:val="font122"/>
    <w:basedOn w:val="18"/>
    <w:uiPriority w:val="0"/>
    <w:rPr>
      <w:rFonts w:hint="default" w:ascii="Times New Roman" w:hAnsi="Times New Roman" w:cs="Times New Roman"/>
      <w:color w:val="000000"/>
      <w:sz w:val="24"/>
      <w:szCs w:val="24"/>
      <w:u w:val="none"/>
    </w:rPr>
  </w:style>
  <w:style w:type="character" w:customStyle="1" w:styleId="40">
    <w:name w:val="font131"/>
    <w:basedOn w:val="18"/>
    <w:uiPriority w:val="0"/>
    <w:rPr>
      <w:rFonts w:hint="eastAsia" w:ascii="宋体" w:hAnsi="宋体" w:eastAsia="宋体" w:cs="宋体"/>
      <w:color w:val="000000"/>
      <w:sz w:val="24"/>
      <w:szCs w:val="24"/>
      <w:u w:val="none"/>
    </w:rPr>
  </w:style>
  <w:style w:type="character" w:customStyle="1" w:styleId="41">
    <w:name w:val="font141"/>
    <w:basedOn w:val="18"/>
    <w:uiPriority w:val="0"/>
    <w:rPr>
      <w:rFonts w:hint="eastAsia" w:ascii="宋体" w:hAnsi="宋体" w:eastAsia="宋体" w:cs="宋体"/>
      <w:color w:val="000000"/>
      <w:sz w:val="21"/>
      <w:szCs w:val="21"/>
      <w:u w:val="none"/>
    </w:rPr>
  </w:style>
  <w:style w:type="character" w:customStyle="1" w:styleId="42">
    <w:name w:val="font151"/>
    <w:basedOn w:val="18"/>
    <w:uiPriority w:val="0"/>
    <w:rPr>
      <w:rFonts w:hint="default" w:ascii="Times New Roman" w:hAnsi="Times New Roman" w:cs="Times New Roman"/>
      <w:color w:val="000000"/>
      <w:sz w:val="21"/>
      <w:szCs w:val="21"/>
      <w:u w:val="none"/>
    </w:rPr>
  </w:style>
  <w:style w:type="character" w:customStyle="1" w:styleId="43">
    <w:name w:val="font161"/>
    <w:basedOn w:val="18"/>
    <w:uiPriority w:val="0"/>
    <w:rPr>
      <w:rFonts w:ascii="Calibri" w:hAnsi="Calibri" w:cs="Calibri"/>
      <w:color w:val="000000"/>
      <w:sz w:val="21"/>
      <w:szCs w:val="21"/>
      <w:u w:val="none"/>
    </w:rPr>
  </w:style>
  <w:style w:type="character" w:customStyle="1" w:styleId="44">
    <w:name w:val="font12"/>
    <w:basedOn w:val="18"/>
    <w:uiPriority w:val="0"/>
    <w:rPr>
      <w:rFonts w:hint="eastAsia" w:ascii="宋体" w:hAnsi="宋体" w:eastAsia="宋体" w:cs="宋体"/>
      <w:color w:val="000000"/>
      <w:sz w:val="21"/>
      <w:szCs w:val="21"/>
      <w:u w:val="none"/>
    </w:rPr>
  </w:style>
  <w:style w:type="character" w:customStyle="1" w:styleId="45">
    <w:name w:val="font112"/>
    <w:basedOn w:val="18"/>
    <w:uiPriority w:val="0"/>
    <w:rPr>
      <w:rFonts w:hint="eastAsia" w:ascii="方正楷体简体" w:hAnsi="方正楷体简体" w:eastAsia="方正楷体简体" w:cs="方正楷体简体"/>
      <w:b/>
      <w:bCs/>
      <w:color w:val="000000"/>
      <w:sz w:val="32"/>
      <w:szCs w:val="32"/>
      <w:u w:val="none"/>
    </w:rPr>
  </w:style>
  <w:style w:type="character" w:customStyle="1" w:styleId="46">
    <w:name w:val="font121"/>
    <w:basedOn w:val="18"/>
    <w:uiPriority w:val="0"/>
    <w:rPr>
      <w:rFonts w:hint="default" w:ascii="Times New Roman" w:hAnsi="Times New Roman" w:cs="Times New Roman"/>
      <w:color w:val="000000"/>
      <w:sz w:val="24"/>
      <w:szCs w:val="24"/>
      <w:u w:val="none"/>
    </w:rPr>
  </w:style>
  <w:style w:type="character" w:customStyle="1" w:styleId="47">
    <w:name w:val="font11"/>
    <w:basedOn w:val="18"/>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a:t>2022</a:t>
            </a:r>
            <a:r>
              <a:rPr lang="zh-CN" altLang="en-US"/>
              <a:t>年</a:t>
            </a:r>
            <a:r>
              <a:rPr lang="en-US" altLang="zh-CN"/>
              <a:t>2021</a:t>
            </a:r>
            <a:r>
              <a:rPr lang="zh-CN" altLang="en-US"/>
              <a:t>年收支情况对比</a:t>
            </a:r>
            <a:endParaRPr lang="en-US" altLang="zh-CN"/>
          </a:p>
          <a:p>
            <a:pPr>
              <a:defRPr lang="zh-CN" sz="1800" b="1" i="0" u="none" strike="noStrike" kern="1200" baseline="0">
                <a:solidFill>
                  <a:schemeClr val="tx1"/>
                </a:solidFill>
                <a:latin typeface="+mn-lt"/>
                <a:ea typeface="+mn-ea"/>
                <a:cs typeface="+mn-cs"/>
              </a:defRPr>
            </a:pPr>
            <a:r>
              <a:rPr lang="zh-CN" altLang="en-US" sz="1200" b="0"/>
              <a:t>单位：万元</a:t>
            </a:r>
            <a:endParaRPr lang="zh-CN" altLang="en-US" sz="1200" b="0"/>
          </a:p>
        </c:rich>
      </c:tx>
      <c:layout/>
      <c:overlay val="0"/>
    </c:title>
    <c:autoTitleDeleted val="0"/>
    <c:plotArea>
      <c:layout>
        <c:manualLayout>
          <c:layoutTarget val="inner"/>
          <c:xMode val="edge"/>
          <c:yMode val="edge"/>
          <c:x val="0.0978908188585608"/>
          <c:y val="0.270771197273115"/>
          <c:w val="0.874813895781638"/>
          <c:h val="0.642735406902429"/>
        </c:manualLayout>
      </c:layout>
      <c:barChart>
        <c:barDir val="col"/>
        <c:grouping val="clustered"/>
        <c:varyColors val="0"/>
        <c:ser>
          <c:idx val="0"/>
          <c:order val="0"/>
          <c:invertIfNegative val="0"/>
          <c:dLbls>
            <c:dLbl>
              <c:idx val="1"/>
              <c:layout>
                <c:manualLayout>
                  <c:x val="-0.0148883374689826"/>
                  <c:y val="-0.00958670643374521"/>
                </c:manualLayout>
              </c:layout>
              <c:dLblPos val="outEnd"/>
              <c:showLegendKey val="1"/>
              <c:showVal val="1"/>
              <c:showCatName val="1"/>
              <c:showSerName val="1"/>
              <c:showPercent val="1"/>
              <c:showBubbleSize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1"/>
            <c:showSerName val="1"/>
            <c:showPercent val="1"/>
            <c:showBubbleSize val="1"/>
            <c:showLeaderLines val="0"/>
            <c:extLst>
              <c:ext xmlns:c15="http://schemas.microsoft.com/office/drawing/2012/chart" uri="{CE6537A1-D6FC-4f65-9D91-7224C49458BB}">
                <c15:layout/>
                <c15:showLeaderLines val="0"/>
                <c15:leaderLines/>
              </c:ext>
            </c:extLst>
          </c:dLbls>
          <c:cat>
            <c:strRef>
              <c:f>Sheet4!$A$2:$D$2</c:f>
              <c:strCache>
                <c:ptCount val="4"/>
                <c:pt idx="0">
                  <c:v>2022年收入</c:v>
                </c:pt>
                <c:pt idx="1">
                  <c:v>2021年收入</c:v>
                </c:pt>
                <c:pt idx="2">
                  <c:v>2022年支出</c:v>
                </c:pt>
                <c:pt idx="3">
                  <c:v>2021年支出</c:v>
                </c:pt>
              </c:strCache>
            </c:strRef>
          </c:cat>
          <c:val>
            <c:numRef>
              <c:f>Sheet4!$A$3:$D$3</c:f>
              <c:numCache>
                <c:formatCode>General</c:formatCode>
                <c:ptCount val="4"/>
                <c:pt idx="0">
                  <c:v>1973.23</c:v>
                </c:pt>
                <c:pt idx="1">
                  <c:v>21596.3</c:v>
                </c:pt>
                <c:pt idx="2">
                  <c:v>1973.23</c:v>
                </c:pt>
                <c:pt idx="3">
                  <c:v>21596.3</c:v>
                </c:pt>
              </c:numCache>
            </c:numRef>
          </c:val>
        </c:ser>
        <c:dLbls>
          <c:showLegendKey val="1"/>
          <c:showVal val="1"/>
          <c:showCatName val="1"/>
          <c:showSerName val="1"/>
          <c:showPercent val="1"/>
          <c:showBubbleSize val="1"/>
        </c:dLbls>
        <c:gapWidth val="150"/>
        <c:axId val="99433088"/>
        <c:axId val="99515776"/>
      </c:barChart>
      <c:catAx>
        <c:axId val="99433088"/>
        <c:scaling>
          <c:orientation val="minMax"/>
        </c:scaling>
        <c:delete val="0"/>
        <c:axPos val="b"/>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515776"/>
        <c:crosses val="autoZero"/>
        <c:auto val="1"/>
        <c:lblAlgn val="ctr"/>
        <c:lblOffset val="100"/>
        <c:noMultiLvlLbl val="0"/>
      </c:catAx>
      <c:valAx>
        <c:axId val="995157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433088"/>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a:t>2022</a:t>
            </a:r>
            <a:r>
              <a:rPr lang="zh-CN" altLang="en-US"/>
              <a:t>年度各项收入占比情况</a:t>
            </a:r>
            <a:endParaRPr lang="zh-CN" altLang="en-US"/>
          </a:p>
        </c:rich>
      </c:tx>
      <c:layout/>
      <c:overlay val="0"/>
    </c:title>
    <c:autoTitleDeleted val="0"/>
    <c:plotArea>
      <c:layout/>
      <c:pieChart>
        <c:varyColors val="1"/>
        <c:ser>
          <c:idx val="0"/>
          <c:order val="0"/>
          <c:explosion val="0"/>
          <c:dPt>
            <c:idx val="0"/>
            <c:bubble3D val="0"/>
          </c:dPt>
          <c:dPt>
            <c:idx val="1"/>
            <c:bubble3D val="0"/>
          </c:dPt>
          <c:dPt>
            <c:idx val="2"/>
            <c:bubble3D val="0"/>
          </c:dPt>
          <c:dPt>
            <c:idx val="3"/>
            <c:bubble3D val="0"/>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86.10%</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5.66%</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5.32%</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2.92%</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1"/>
            <c:showCatName val="1"/>
            <c:showSerName val="1"/>
            <c:showPercent val="1"/>
            <c:showBubbleSize val="1"/>
            <c:showLeaderLines val="1"/>
            <c:extLst>
              <c:ext xmlns:c15="http://schemas.microsoft.com/office/drawing/2012/chart" uri="{CE6537A1-D6FC-4f65-9D91-7224C49458BB}">
                <c15:layout/>
                <c15:showLeaderLines val="1"/>
                <c15:leaderLines/>
              </c:ext>
            </c:extLst>
          </c:dLbls>
          <c:cat>
            <c:strRef>
              <c:f>Sheet2!$A$2:$D$2</c:f>
              <c:strCache>
                <c:ptCount val="4"/>
                <c:pt idx="0">
                  <c:v>农林水收入</c:v>
                </c:pt>
                <c:pt idx="1">
                  <c:v>社会和保障就业收入</c:v>
                </c:pt>
                <c:pt idx="2">
                  <c:v>住房保障收入</c:v>
                </c:pt>
                <c:pt idx="3">
                  <c:v>卫生和健康收入</c:v>
                </c:pt>
              </c:strCache>
            </c:strRef>
          </c:cat>
          <c:val>
            <c:numRef>
              <c:f>Sheet2!$A$3:$D$3</c:f>
              <c:numCache>
                <c:formatCode>0.00%</c:formatCode>
                <c:ptCount val="4"/>
                <c:pt idx="0">
                  <c:v>0.861</c:v>
                </c:pt>
                <c:pt idx="1">
                  <c:v>0.0566</c:v>
                </c:pt>
                <c:pt idx="2">
                  <c:v>0.0532</c:v>
                </c:pt>
                <c:pt idx="3">
                  <c:v>0.0292</c:v>
                </c:pt>
              </c:numCache>
            </c:numRef>
          </c:val>
        </c:ser>
        <c:dLbls>
          <c:showLegendKey val="1"/>
          <c:showVal val="1"/>
          <c:showCatName val="1"/>
          <c:showSerName val="1"/>
          <c:showPercent val="1"/>
          <c:showBubbleSize val="1"/>
          <c:showLeaderLines val="1"/>
        </c:dLbls>
        <c:firstSliceAng val="9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a:t>2022</a:t>
            </a:r>
            <a:r>
              <a:rPr lang="zh-CN" altLang="en-US"/>
              <a:t>年度各项支出占比情况</a:t>
            </a:r>
            <a:endParaRPr lang="zh-CN" altLang="en-US"/>
          </a:p>
        </c:rich>
      </c:tx>
      <c:layout/>
      <c:overlay val="0"/>
    </c:title>
    <c:autoTitleDeleted val="0"/>
    <c:plotArea>
      <c:layout/>
      <c:pieChart>
        <c:varyColors val="1"/>
        <c:ser>
          <c:idx val="0"/>
          <c:order val="0"/>
          <c:explosion val="0"/>
          <c:dPt>
            <c:idx val="0"/>
            <c:bubble3D val="0"/>
          </c:dPt>
          <c:dPt>
            <c:idx val="1"/>
            <c:bubble3D val="0"/>
          </c:dPt>
          <c:dPt>
            <c:idx val="2"/>
            <c:bubble3D val="0"/>
          </c:dPt>
          <c:dPt>
            <c:idx val="3"/>
            <c:bubble3D val="0"/>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86.10%</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5.66%</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5.32%</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2.92%</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1"/>
            <c:showCatName val="1"/>
            <c:showSerName val="1"/>
            <c:showPercent val="1"/>
            <c:showBubbleSize val="1"/>
            <c:showLeaderLines val="1"/>
            <c:extLst>
              <c:ext xmlns:c15="http://schemas.microsoft.com/office/drawing/2012/chart" uri="{CE6537A1-D6FC-4f65-9D91-7224C49458BB}">
                <c15:layout/>
                <c15:showLeaderLines val="1"/>
                <c15:leaderLines/>
              </c:ext>
            </c:extLst>
          </c:dLbls>
          <c:cat>
            <c:strRef>
              <c:f>Sheet2!$A$2:$D$2</c:f>
              <c:strCache>
                <c:ptCount val="4"/>
                <c:pt idx="0">
                  <c:v>农林水支出　</c:v>
                </c:pt>
                <c:pt idx="1">
                  <c:v>社会和保障就业支出</c:v>
                </c:pt>
                <c:pt idx="2">
                  <c:v>住房保障支出</c:v>
                </c:pt>
                <c:pt idx="3">
                  <c:v>卫生和健康支出</c:v>
                </c:pt>
              </c:strCache>
            </c:strRef>
          </c:cat>
          <c:val>
            <c:numRef>
              <c:f>Sheet2!$A$3:$D$3</c:f>
              <c:numCache>
                <c:formatCode>0.00%</c:formatCode>
                <c:ptCount val="4"/>
                <c:pt idx="0">
                  <c:v>0.861</c:v>
                </c:pt>
                <c:pt idx="1">
                  <c:v>0.0566</c:v>
                </c:pt>
                <c:pt idx="2">
                  <c:v>0.0532</c:v>
                </c:pt>
                <c:pt idx="3">
                  <c:v>0.0292</c:v>
                </c:pt>
              </c:numCache>
            </c:numRef>
          </c:val>
        </c:ser>
        <c:dLbls>
          <c:showLegendKey val="1"/>
          <c:showVal val="1"/>
          <c:showCatName val="1"/>
          <c:showSerName val="1"/>
          <c:showPercent val="1"/>
          <c:showBubbleSize val="1"/>
          <c:showLeaderLines val="1"/>
        </c:dLbls>
        <c:firstSliceAng val="9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a:t>2022</a:t>
            </a:r>
            <a:r>
              <a:rPr lang="zh-CN" altLang="en-US"/>
              <a:t>年</a:t>
            </a:r>
            <a:r>
              <a:rPr lang="en-US" altLang="zh-CN"/>
              <a:t>2021</a:t>
            </a:r>
            <a:r>
              <a:rPr lang="zh-CN" altLang="en-US"/>
              <a:t>年收支情况对比</a:t>
            </a:r>
            <a:endParaRPr lang="en-US" altLang="zh-CN"/>
          </a:p>
          <a:p>
            <a:pPr>
              <a:defRPr lang="zh-CN" sz="1800" b="1" i="0" u="none" strike="noStrike" kern="1200" baseline="0">
                <a:solidFill>
                  <a:schemeClr val="tx1"/>
                </a:solidFill>
                <a:latin typeface="+mn-lt"/>
                <a:ea typeface="+mn-ea"/>
                <a:cs typeface="+mn-cs"/>
              </a:defRPr>
            </a:pPr>
            <a:r>
              <a:rPr lang="zh-CN" altLang="en-US" sz="1200" b="0"/>
              <a:t>单位：万元</a:t>
            </a:r>
            <a:endParaRPr lang="zh-CN" altLang="en-US" sz="1200" b="0"/>
          </a:p>
        </c:rich>
      </c:tx>
      <c:layout/>
      <c:overlay val="0"/>
    </c:title>
    <c:autoTitleDeleted val="0"/>
    <c:plotArea>
      <c:layout/>
      <c:barChart>
        <c:barDir val="col"/>
        <c:grouping val="clustered"/>
        <c:varyColors val="0"/>
        <c:ser>
          <c:idx val="0"/>
          <c:order val="0"/>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1"/>
            <c:showSerName val="1"/>
            <c:showPercent val="1"/>
            <c:showBubbleSize val="1"/>
            <c:showLeaderLines val="0"/>
            <c:extLst>
              <c:ext xmlns:c15="http://schemas.microsoft.com/office/drawing/2012/chart" uri="{CE6537A1-D6FC-4f65-9D91-7224C49458BB}">
                <c15:layout/>
                <c15:showLeaderLines val="0"/>
                <c15:leaderLines/>
              </c:ext>
            </c:extLst>
          </c:dLbls>
          <c:cat>
            <c:strRef>
              <c:f>Sheet4!$A$2:$D$2</c:f>
              <c:strCache>
                <c:ptCount val="4"/>
                <c:pt idx="0">
                  <c:v>2022年收入</c:v>
                </c:pt>
                <c:pt idx="1">
                  <c:v>2021年收入</c:v>
                </c:pt>
                <c:pt idx="2">
                  <c:v>2022年支出</c:v>
                </c:pt>
                <c:pt idx="3">
                  <c:v>2021年支出</c:v>
                </c:pt>
              </c:strCache>
            </c:strRef>
          </c:cat>
          <c:val>
            <c:numRef>
              <c:f>Sheet4!$A$3:$D$3</c:f>
              <c:numCache>
                <c:formatCode>General</c:formatCode>
                <c:ptCount val="4"/>
                <c:pt idx="0">
                  <c:v>1973.23</c:v>
                </c:pt>
                <c:pt idx="1">
                  <c:v>21596.3</c:v>
                </c:pt>
                <c:pt idx="2">
                  <c:v>1973.23</c:v>
                </c:pt>
                <c:pt idx="3">
                  <c:v>21596.3</c:v>
                </c:pt>
              </c:numCache>
            </c:numRef>
          </c:val>
        </c:ser>
        <c:dLbls>
          <c:showLegendKey val="1"/>
          <c:showVal val="1"/>
          <c:showCatName val="1"/>
          <c:showSerName val="1"/>
          <c:showPercent val="1"/>
          <c:showBubbleSize val="1"/>
        </c:dLbls>
        <c:gapWidth val="150"/>
        <c:axId val="99433088"/>
        <c:axId val="99515776"/>
      </c:barChart>
      <c:catAx>
        <c:axId val="99433088"/>
        <c:scaling>
          <c:orientation val="minMax"/>
        </c:scaling>
        <c:delete val="0"/>
        <c:axPos val="b"/>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515776"/>
        <c:crosses val="autoZero"/>
        <c:auto val="1"/>
        <c:lblAlgn val="ctr"/>
        <c:lblOffset val="100"/>
        <c:noMultiLvlLbl val="0"/>
      </c:catAx>
      <c:valAx>
        <c:axId val="99515776"/>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9433088"/>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a:t>2022</a:t>
            </a:r>
            <a:r>
              <a:rPr lang="zh-CN" altLang="en-US"/>
              <a:t>年度各项支出占比情况</a:t>
            </a:r>
            <a:endParaRPr lang="zh-CN" altLang="en-US"/>
          </a:p>
        </c:rich>
      </c:tx>
      <c:layout/>
      <c:overlay val="0"/>
    </c:title>
    <c:autoTitleDeleted val="0"/>
    <c:plotArea>
      <c:layout/>
      <c:pieChart>
        <c:varyColors val="1"/>
        <c:ser>
          <c:idx val="0"/>
          <c:order val="0"/>
          <c:explosion val="0"/>
          <c:dPt>
            <c:idx val="0"/>
            <c:bubble3D val="0"/>
          </c:dPt>
          <c:dPt>
            <c:idx val="1"/>
            <c:bubble3D val="0"/>
          </c:dPt>
          <c:dPt>
            <c:idx val="2"/>
            <c:bubble3D val="0"/>
          </c:dPt>
          <c:dPt>
            <c:idx val="3"/>
            <c:bubble3D val="0"/>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86.10%</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5.66%</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5.32%</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2.92%</a:t>
                    </a:r>
                    <a:endParaRPr lang="en-US" altLang="zh-CN"/>
                  </a:p>
                </c:rich>
              </c:tx>
              <c:dLblPos val="bestFit"/>
              <c:showLegendKey val="1"/>
              <c:showVal val="1"/>
              <c:showCatName val="1"/>
              <c:showSerName val="1"/>
              <c:showPercent val="1"/>
              <c:showBubbleSize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1"/>
            <c:showCatName val="1"/>
            <c:showSerName val="1"/>
            <c:showPercent val="1"/>
            <c:showBubbleSize val="1"/>
            <c:showLeaderLines val="1"/>
            <c:extLst>
              <c:ext xmlns:c15="http://schemas.microsoft.com/office/drawing/2012/chart" uri="{CE6537A1-D6FC-4f65-9D91-7224C49458BB}">
                <c15:layout/>
                <c15:showLeaderLines val="1"/>
                <c15:leaderLines/>
              </c:ext>
            </c:extLst>
          </c:dLbls>
          <c:cat>
            <c:strRef>
              <c:f>Sheet2!$A$2:$D$2</c:f>
              <c:strCache>
                <c:ptCount val="4"/>
                <c:pt idx="0">
                  <c:v>农林水支出　</c:v>
                </c:pt>
                <c:pt idx="1">
                  <c:v>社会和保障就业支出</c:v>
                </c:pt>
                <c:pt idx="2">
                  <c:v>住房保障支出</c:v>
                </c:pt>
                <c:pt idx="3">
                  <c:v>卫生和健康支出</c:v>
                </c:pt>
              </c:strCache>
            </c:strRef>
          </c:cat>
          <c:val>
            <c:numRef>
              <c:f>Sheet2!$A$3:$D$3</c:f>
              <c:numCache>
                <c:formatCode>0.00%</c:formatCode>
                <c:ptCount val="4"/>
                <c:pt idx="0">
                  <c:v>0.861</c:v>
                </c:pt>
                <c:pt idx="1">
                  <c:v>0.0566</c:v>
                </c:pt>
                <c:pt idx="2">
                  <c:v>0.0532</c:v>
                </c:pt>
                <c:pt idx="3">
                  <c:v>0.0292</c:v>
                </c:pt>
              </c:numCache>
            </c:numRef>
          </c:val>
        </c:ser>
        <c:dLbls>
          <c:showLegendKey val="1"/>
          <c:showVal val="1"/>
          <c:showCatName val="1"/>
          <c:showSerName val="1"/>
          <c:showPercent val="1"/>
          <c:showBubbleSize val="1"/>
          <c:showLeaderLines val="1"/>
        </c:dLbls>
        <c:firstSliceAng val="9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2</TotalTime>
  <ScaleCrop>false</ScaleCrop>
  <LinksUpToDate>false</LinksUpToDate>
  <CharactersWithSpaces>7955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村姑</cp:lastModifiedBy>
  <cp:lastPrinted>2023-10-31T09:37:00Z</cp:lastPrinted>
  <dcterms:modified xsi:type="dcterms:W3CDTF">2023-11-03T00:49:59Z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A683B0ED30724B51AD6C64FBF4887DA3</vt:lpwstr>
  </property>
</Properties>
</file>