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hint="default" w:ascii="Times New Roman" w:hAnsi="Times New Roman" w:eastAsia="方正小标宋简体" w:cs="Times New Roman"/>
          <w:sz w:val="72"/>
          <w:szCs w:val="72"/>
        </w:rPr>
      </w:pPr>
      <w:bookmarkStart w:id="0" w:name="_Toc15396475"/>
      <w:bookmarkStart w:id="1" w:name="_Toc15396597"/>
      <w:bookmarkStart w:id="2" w:name="_Toc15377425"/>
      <w:bookmarkStart w:id="3" w:name="_Toc15377193"/>
      <w:bookmarkStart w:id="4" w:name="_Toc15378441"/>
      <w:bookmarkStart w:id="5" w:name="_Toc15306267"/>
    </w:p>
    <w:p>
      <w:pPr>
        <w:spacing w:line="600" w:lineRule="exact"/>
        <w:jc w:val="center"/>
        <w:outlineLvl w:val="9"/>
        <w:rPr>
          <w:rFonts w:hint="default" w:ascii="Times New Roman" w:hAnsi="Times New Roman" w:eastAsia="方正小标宋简体" w:cs="Times New Roman"/>
          <w:sz w:val="72"/>
          <w:szCs w:val="72"/>
        </w:rPr>
      </w:pPr>
    </w:p>
    <w:p>
      <w:pPr>
        <w:spacing w:line="600" w:lineRule="exact"/>
        <w:jc w:val="center"/>
        <w:outlineLvl w:val="9"/>
        <w:rPr>
          <w:rFonts w:hint="default" w:ascii="Times New Roman" w:hAnsi="Times New Roman" w:eastAsia="方正小标宋简体" w:cs="Times New Roman"/>
          <w:sz w:val="72"/>
          <w:szCs w:val="72"/>
        </w:rPr>
      </w:pPr>
    </w:p>
    <w:p>
      <w:pPr>
        <w:adjustRightInd w:val="0"/>
        <w:snapToGrid w:val="0"/>
        <w:spacing w:line="360" w:lineRule="auto"/>
        <w:jc w:val="center"/>
        <w:outlineLvl w:val="0"/>
        <w:rPr>
          <w:rFonts w:hint="default" w:ascii="Times New Roman" w:hAnsi="Times New Roman" w:eastAsia="方正小标宋简体" w:cs="Times New Roman"/>
          <w:sz w:val="72"/>
          <w:szCs w:val="72"/>
        </w:rPr>
      </w:pPr>
      <w:bookmarkStart w:id="6" w:name="_Toc7339"/>
      <w:r>
        <w:rPr>
          <w:rFonts w:hint="default" w:ascii="Times New Roman" w:hAnsi="Times New Roman" w:eastAsia="方正小标宋简体" w:cs="Times New Roman"/>
          <w:sz w:val="72"/>
          <w:szCs w:val="72"/>
        </w:rPr>
        <w:t>2022年度</w:t>
      </w:r>
      <w:bookmarkEnd w:id="0"/>
      <w:bookmarkEnd w:id="1"/>
      <w:bookmarkEnd w:id="2"/>
      <w:bookmarkEnd w:id="3"/>
      <w:bookmarkEnd w:id="4"/>
      <w:bookmarkEnd w:id="6"/>
    </w:p>
    <w:bookmarkEnd w:id="5"/>
    <w:p>
      <w:pPr>
        <w:adjustRightInd w:val="0"/>
        <w:snapToGrid w:val="0"/>
        <w:spacing w:line="360" w:lineRule="auto"/>
        <w:jc w:val="center"/>
        <w:outlineLvl w:val="0"/>
        <w:rPr>
          <w:rFonts w:hint="default" w:ascii="Times New Roman" w:hAnsi="Times New Roman" w:eastAsia="方正小标宋简体" w:cs="Times New Roman"/>
          <w:sz w:val="72"/>
          <w:szCs w:val="72"/>
          <w:lang w:val="en-US" w:eastAsia="zh-CN"/>
        </w:rPr>
      </w:pPr>
      <w:bookmarkStart w:id="7" w:name="_Toc9465"/>
      <w:bookmarkStart w:id="8" w:name="_Toc15306268"/>
      <w:bookmarkStart w:id="9" w:name="_Toc15377426"/>
      <w:bookmarkStart w:id="10" w:name="_Toc15396476"/>
      <w:bookmarkStart w:id="11" w:name="_Toc15396598"/>
      <w:bookmarkStart w:id="12" w:name="_Toc15378442"/>
      <w:bookmarkStart w:id="13" w:name="_Toc15377194"/>
      <w:r>
        <w:rPr>
          <w:rFonts w:hint="eastAsia" w:eastAsia="方正小标宋简体" w:cs="Times New Roman"/>
          <w:sz w:val="72"/>
          <w:szCs w:val="72"/>
          <w:lang w:val="en-US" w:eastAsia="zh-CN"/>
        </w:rPr>
        <w:t>四川省</w:t>
      </w:r>
      <w:r>
        <w:rPr>
          <w:rFonts w:hint="default" w:ascii="Times New Roman" w:hAnsi="Times New Roman" w:eastAsia="方正小标宋简体" w:cs="Times New Roman"/>
          <w:sz w:val="72"/>
          <w:szCs w:val="72"/>
          <w:lang w:val="en-US" w:eastAsia="zh-CN"/>
        </w:rPr>
        <w:t>乐至</w:t>
      </w:r>
      <w:bookmarkEnd w:id="7"/>
      <w:r>
        <w:rPr>
          <w:rFonts w:hint="eastAsia" w:eastAsia="方正小标宋简体" w:cs="Times New Roman"/>
          <w:sz w:val="72"/>
          <w:szCs w:val="72"/>
          <w:lang w:val="en-US" w:eastAsia="zh-CN"/>
        </w:rPr>
        <w:t>县红十字会</w:t>
      </w:r>
    </w:p>
    <w:p>
      <w:pPr>
        <w:adjustRightInd w:val="0"/>
        <w:snapToGrid w:val="0"/>
        <w:spacing w:line="360" w:lineRule="auto"/>
        <w:jc w:val="center"/>
        <w:outlineLvl w:val="0"/>
        <w:rPr>
          <w:rFonts w:hint="default" w:ascii="Times New Roman" w:hAnsi="Times New Roman" w:eastAsia="方正小标宋简体" w:cs="Times New Roman"/>
          <w:sz w:val="72"/>
          <w:szCs w:val="72"/>
        </w:rPr>
      </w:pPr>
      <w:bookmarkStart w:id="14" w:name="_Toc9250"/>
      <w:r>
        <w:rPr>
          <w:rFonts w:hint="default" w:ascii="Times New Roman" w:hAnsi="Times New Roman" w:eastAsia="方正小标宋简体" w:cs="Times New Roman"/>
          <w:sz w:val="72"/>
          <w:szCs w:val="72"/>
        </w:rPr>
        <w:t>部门决算</w:t>
      </w:r>
      <w:bookmarkEnd w:id="8"/>
      <w:bookmarkEnd w:id="9"/>
      <w:bookmarkEnd w:id="10"/>
      <w:bookmarkEnd w:id="11"/>
      <w:bookmarkEnd w:id="12"/>
      <w:bookmarkEnd w:id="13"/>
      <w:bookmarkEnd w:id="14"/>
    </w:p>
    <w:p>
      <w:pPr>
        <w:widowControl/>
        <w:jc w:val="center"/>
        <w:rPr>
          <w:rFonts w:hint="default" w:ascii="Times New Roman" w:hAnsi="Times New Roman" w:eastAsia="黑体" w:cs="Times New Roman"/>
          <w:sz w:val="48"/>
          <w:szCs w:val="48"/>
        </w:rPr>
      </w:pPr>
      <w:r>
        <w:rPr>
          <w:rFonts w:hint="default" w:ascii="Times New Roman" w:hAnsi="Times New Roman" w:eastAsia="方正小标宋简体" w:cs="Times New Roman"/>
          <w:sz w:val="36"/>
          <w:szCs w:val="36"/>
        </w:rPr>
        <w:br w:type="page"/>
      </w:r>
      <w:r>
        <w:rPr>
          <w:rFonts w:hint="default" w:ascii="Times New Roman" w:hAnsi="Times New Roman" w:eastAsia="黑体" w:cs="Times New Roman"/>
          <w:sz w:val="48"/>
          <w:szCs w:val="48"/>
        </w:rPr>
        <w:t>目录</w:t>
      </w:r>
    </w:p>
    <w:p>
      <w:pPr>
        <w:widowControl/>
        <w:jc w:val="center"/>
        <w:rPr>
          <w:rFonts w:hint="default" w:ascii="Times New Roman" w:hAnsi="Times New Roman" w:eastAsia="黑体" w:cs="Times New Roman"/>
          <w:sz w:val="28"/>
          <w:szCs w:val="28"/>
        </w:rPr>
      </w:pPr>
    </w:p>
    <w:p>
      <w:pPr>
        <w:pStyle w:val="13"/>
        <w:rPr>
          <w:rFonts w:hint="default" w:ascii="Times New Roman" w:hAnsi="Times New Roman" w:cs="Times New Roman"/>
        </w:rPr>
      </w:pPr>
      <w:r>
        <w:rPr>
          <w:rFonts w:hint="default" w:ascii="Times New Roman" w:hAnsi="Times New Roman" w:cs="Times New Roman"/>
        </w:rPr>
        <w:t>公开时间：2023年</w:t>
      </w:r>
      <w:r>
        <w:rPr>
          <w:rFonts w:hint="default" w:ascii="Times New Roman" w:hAnsi="Times New Roman" w:cs="Times New Roman"/>
          <w:lang w:val="en-US" w:eastAsia="zh-CN"/>
        </w:rPr>
        <w:t>10</w:t>
      </w:r>
      <w:r>
        <w:rPr>
          <w:rFonts w:hint="default" w:ascii="Times New Roman" w:hAnsi="Times New Roman" w:cs="Times New Roman"/>
        </w:rPr>
        <w:t>月</w:t>
      </w:r>
      <w:r>
        <w:rPr>
          <w:rFonts w:hint="eastAsia" w:ascii="Times New Roman" w:hAnsi="Times New Roman" w:cs="Times New Roman"/>
          <w:lang w:val="en-US" w:eastAsia="zh-CN"/>
        </w:rPr>
        <w:t>20</w:t>
      </w:r>
      <w:r>
        <w:rPr>
          <w:rFonts w:hint="default" w:ascii="Times New Roman" w:hAnsi="Times New Roman" w:cs="Times New Roman"/>
        </w:rPr>
        <w:t>日</w:t>
      </w:r>
      <w:bookmarkStart w:id="105" w:name="_GoBack"/>
      <w:bookmarkEnd w:id="105"/>
    </w:p>
    <w:p>
      <w:pPr>
        <w:rPr>
          <w:rFonts w:hint="default" w:ascii="Times New Roman" w:hAnsi="Times New Roman" w:cs="Times New Roman"/>
        </w:rPr>
      </w:pPr>
    </w:p>
    <w:sdt>
      <w:sdtPr>
        <w:rPr>
          <w:rFonts w:hint="default" w:ascii="Times New Roman" w:hAnsi="Times New Roman" w:eastAsia="宋体" w:cs="Times New Roman"/>
          <w:kern w:val="2"/>
          <w:sz w:val="21"/>
          <w:szCs w:val="24"/>
          <w:lang w:val="en-US" w:eastAsia="zh-CN" w:bidi="ar-SA"/>
        </w:rPr>
        <w:id w:val="147468709"/>
        <w15:color w:val="DBDBDB"/>
        <w:docPartObj>
          <w:docPartGallery w:val="Table of Contents"/>
          <w:docPartUnique/>
        </w:docPartObj>
      </w:sdtPr>
      <w:sdtEndPr>
        <w:rPr>
          <w:rFonts w:hint="default"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cs="Times New Roman"/>
            </w:rPr>
          </w:pPr>
          <w:bookmarkStart w:id="15" w:name="_Toc15377196"/>
          <w:bookmarkStart w:id="16" w:name="_Toc15396599"/>
        </w:p>
        <w:p>
          <w:pPr>
            <w:pStyle w:val="37"/>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b/>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TOC \o "1-2" \h \u </w:instrText>
          </w:r>
          <w:r>
            <w:rPr>
              <w:rFonts w:hint="default" w:ascii="Times New Roman" w:hAnsi="Times New Roman" w:cs="Times New Roman"/>
              <w:sz w:val="21"/>
              <w:szCs w:val="21"/>
            </w:rPr>
            <w:fldChar w:fldCharType="separate"/>
          </w: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HYPERLINK \l _Toc29917 </w:instrText>
          </w:r>
          <w:r>
            <w:rPr>
              <w:rFonts w:hint="default" w:ascii="Times New Roman" w:hAnsi="Times New Roman" w:cs="Times New Roman"/>
              <w:b/>
              <w:sz w:val="21"/>
              <w:szCs w:val="21"/>
            </w:rPr>
            <w:fldChar w:fldCharType="separate"/>
          </w:r>
          <w:r>
            <w:rPr>
              <w:rFonts w:hint="default" w:ascii="Times New Roman" w:hAnsi="Times New Roman" w:eastAsia="黑体" w:cs="Times New Roman"/>
              <w:b/>
              <w:sz w:val="21"/>
              <w:szCs w:val="21"/>
            </w:rPr>
            <w:t xml:space="preserve">第一部分 </w:t>
          </w:r>
          <w:r>
            <w:rPr>
              <w:rFonts w:hint="default" w:ascii="Times New Roman" w:hAnsi="Times New Roman" w:eastAsia="黑体" w:cs="Times New Roman"/>
              <w:b/>
              <w:bCs w:val="0"/>
              <w:sz w:val="21"/>
              <w:szCs w:val="21"/>
            </w:rPr>
            <w:t>部门概况</w:t>
          </w:r>
          <w:r>
            <w:rPr>
              <w:rFonts w:hint="default" w:ascii="Times New Roman" w:hAnsi="Times New Roman" w:cs="Times New Roman"/>
              <w:b/>
              <w:sz w:val="21"/>
              <w:szCs w:val="21"/>
            </w:rPr>
            <w:tab/>
          </w: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PAGEREF _Toc29917 \h </w:instrText>
          </w:r>
          <w:r>
            <w:rPr>
              <w:rFonts w:hint="default" w:ascii="Times New Roman" w:hAnsi="Times New Roman" w:cs="Times New Roman"/>
              <w:b/>
              <w:sz w:val="21"/>
              <w:szCs w:val="21"/>
            </w:rPr>
            <w:fldChar w:fldCharType="separate"/>
          </w:r>
          <w:r>
            <w:rPr>
              <w:rFonts w:hint="default" w:ascii="Times New Roman" w:hAnsi="Times New Roman" w:cs="Times New Roman"/>
              <w:b/>
              <w:sz w:val="21"/>
              <w:szCs w:val="21"/>
            </w:rPr>
            <w:t>3</w:t>
          </w:r>
          <w:r>
            <w:rPr>
              <w:rFonts w:hint="default" w:ascii="Times New Roman" w:hAnsi="Times New Roman" w:cs="Times New Roman"/>
              <w:b/>
              <w:sz w:val="21"/>
              <w:szCs w:val="21"/>
            </w:rPr>
            <w:fldChar w:fldCharType="end"/>
          </w:r>
          <w:r>
            <w:rPr>
              <w:rFonts w:hint="default" w:ascii="Times New Roman" w:hAnsi="Times New Roman" w:cs="Times New Roman"/>
              <w:b/>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_Toc5302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21"/>
            </w:rPr>
            <w:t>一、 部门职责</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_Toc5302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3</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_Toc18687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21"/>
            </w:rPr>
            <w:t>二、机</w:t>
          </w:r>
          <w:r>
            <w:rPr>
              <w:rFonts w:hint="default" w:ascii="Times New Roman" w:hAnsi="Times New Roman" w:eastAsia="黑体" w:cs="Times New Roman"/>
              <w:bCs w:val="0"/>
              <w:sz w:val="21"/>
              <w:szCs w:val="21"/>
            </w:rPr>
            <w:t>构设置</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_Toc18687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4</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7"/>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b/>
              <w:sz w:val="21"/>
              <w:szCs w:val="21"/>
            </w:rPr>
          </w:pP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HYPERLINK \l _Toc21210 </w:instrText>
          </w:r>
          <w:r>
            <w:rPr>
              <w:rFonts w:hint="default" w:ascii="Times New Roman" w:hAnsi="Times New Roman" w:cs="Times New Roman"/>
              <w:b/>
              <w:sz w:val="21"/>
              <w:szCs w:val="21"/>
            </w:rPr>
            <w:fldChar w:fldCharType="separate"/>
          </w:r>
          <w:r>
            <w:rPr>
              <w:rFonts w:hint="default" w:ascii="Times New Roman" w:hAnsi="Times New Roman" w:eastAsia="黑体" w:cs="Times New Roman"/>
              <w:b/>
              <w:sz w:val="21"/>
              <w:szCs w:val="21"/>
            </w:rPr>
            <w:t>第二部分 2022年度</w:t>
          </w:r>
          <w:r>
            <w:rPr>
              <w:rFonts w:hint="default" w:ascii="Times New Roman" w:hAnsi="Times New Roman" w:eastAsia="黑体" w:cs="Times New Roman"/>
              <w:b/>
              <w:bCs/>
              <w:sz w:val="21"/>
              <w:szCs w:val="21"/>
            </w:rPr>
            <w:t>部门决算情况说明</w:t>
          </w:r>
          <w:r>
            <w:rPr>
              <w:rFonts w:hint="default" w:ascii="Times New Roman" w:hAnsi="Times New Roman" w:cs="Times New Roman"/>
              <w:b/>
              <w:sz w:val="21"/>
              <w:szCs w:val="21"/>
            </w:rPr>
            <w:tab/>
          </w: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PAGEREF _Toc21210 \h </w:instrText>
          </w:r>
          <w:r>
            <w:rPr>
              <w:rFonts w:hint="default" w:ascii="Times New Roman" w:hAnsi="Times New Roman" w:cs="Times New Roman"/>
              <w:b/>
              <w:sz w:val="21"/>
              <w:szCs w:val="21"/>
            </w:rPr>
            <w:fldChar w:fldCharType="separate"/>
          </w:r>
          <w:r>
            <w:rPr>
              <w:rFonts w:hint="default" w:ascii="Times New Roman" w:hAnsi="Times New Roman" w:cs="Times New Roman"/>
              <w:b/>
              <w:sz w:val="21"/>
              <w:szCs w:val="21"/>
            </w:rPr>
            <w:t>4</w:t>
          </w:r>
          <w:r>
            <w:rPr>
              <w:rFonts w:hint="default" w:ascii="Times New Roman" w:hAnsi="Times New Roman" w:cs="Times New Roman"/>
              <w:b/>
              <w:sz w:val="21"/>
              <w:szCs w:val="21"/>
            </w:rPr>
            <w:fldChar w:fldCharType="end"/>
          </w:r>
          <w:r>
            <w:rPr>
              <w:rFonts w:hint="default" w:ascii="Times New Roman" w:hAnsi="Times New Roman" w:cs="Times New Roman"/>
              <w:b/>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_Toc23187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21"/>
            </w:rPr>
            <w:t xml:space="preserve">一、 </w:t>
          </w:r>
          <w:r>
            <w:rPr>
              <w:rFonts w:hint="default" w:ascii="Times New Roman" w:hAnsi="Times New Roman" w:eastAsia="黑体" w:cs="Times New Roman"/>
              <w:sz w:val="21"/>
              <w:szCs w:val="36"/>
            </w:rPr>
            <w:t>收</w:t>
          </w:r>
          <w:r>
            <w:rPr>
              <w:rFonts w:hint="default" w:ascii="Times New Roman" w:hAnsi="Times New Roman" w:eastAsia="黑体" w:cs="Times New Roman"/>
              <w:sz w:val="21"/>
              <w:szCs w:val="21"/>
            </w:rPr>
            <w:t>入支出决算总体情况说明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_Toc23187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4</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_Toc18235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21"/>
            </w:rPr>
            <w:t xml:space="preserve">二、 </w:t>
          </w:r>
          <w:r>
            <w:rPr>
              <w:rFonts w:hint="default" w:ascii="Times New Roman" w:hAnsi="Times New Roman" w:eastAsia="黑体" w:cs="Times New Roman"/>
              <w:sz w:val="21"/>
              <w:szCs w:val="36"/>
            </w:rPr>
            <w:t>收</w:t>
          </w:r>
          <w:r>
            <w:rPr>
              <w:rFonts w:hint="default" w:ascii="Times New Roman" w:hAnsi="Times New Roman" w:eastAsia="黑体" w:cs="Times New Roman"/>
              <w:sz w:val="21"/>
              <w:szCs w:val="21"/>
            </w:rPr>
            <w:t>入决算情况说明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_Toc18235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_Toc9501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21"/>
            </w:rPr>
            <w:t xml:space="preserve">三、 </w:t>
          </w:r>
          <w:r>
            <w:rPr>
              <w:rFonts w:hint="default" w:ascii="Times New Roman" w:hAnsi="Times New Roman" w:eastAsia="黑体" w:cs="Times New Roman"/>
              <w:sz w:val="21"/>
              <w:szCs w:val="36"/>
            </w:rPr>
            <w:t>支</w:t>
          </w:r>
          <w:r>
            <w:rPr>
              <w:rFonts w:hint="default" w:ascii="Times New Roman" w:hAnsi="Times New Roman" w:eastAsia="黑体" w:cs="Times New Roman"/>
              <w:sz w:val="21"/>
              <w:szCs w:val="21"/>
            </w:rPr>
            <w:t>出决算情况说明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_Toc9501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_Toc2226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36"/>
            </w:rPr>
            <w:t>四、财</w:t>
          </w:r>
          <w:r>
            <w:rPr>
              <w:rFonts w:hint="default" w:ascii="Times New Roman" w:hAnsi="Times New Roman" w:eastAsia="黑体" w:cs="Times New Roman"/>
              <w:sz w:val="21"/>
              <w:szCs w:val="21"/>
            </w:rPr>
            <w:t>政拨款收入支出决算总体情况说明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_Toc2226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6</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_Toc18187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36"/>
            </w:rPr>
            <w:t>五、一</w:t>
          </w:r>
          <w:r>
            <w:rPr>
              <w:rFonts w:hint="default" w:ascii="Times New Roman" w:hAnsi="Times New Roman" w:eastAsia="黑体" w:cs="Times New Roman"/>
              <w:sz w:val="21"/>
              <w:szCs w:val="21"/>
            </w:rPr>
            <w:t>般公共预算财政拨款支出决算情况说明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_Toc18187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7</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_Toc21813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36"/>
            </w:rPr>
            <w:t>六、一</w:t>
          </w:r>
          <w:r>
            <w:rPr>
              <w:rFonts w:hint="default" w:ascii="Times New Roman" w:hAnsi="Times New Roman" w:eastAsia="黑体" w:cs="Times New Roman"/>
              <w:sz w:val="21"/>
              <w:szCs w:val="21"/>
            </w:rPr>
            <w:t>般公共预算财政拨款基本支出决算情况说明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_Toc21813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8</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_Toc16009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36"/>
            </w:rPr>
            <w:t>七、</w:t>
          </w:r>
          <w:r>
            <w:rPr>
              <w:rFonts w:hint="default" w:ascii="Times New Roman" w:hAnsi="Times New Roman" w:eastAsia="黑体" w:cs="Times New Roman"/>
              <w:sz w:val="21"/>
              <w:szCs w:val="21"/>
            </w:rPr>
            <w:t>财政拨款“三公”经费支出决算情况说明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_Toc16009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9</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_Toc4667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36"/>
            </w:rPr>
            <w:t>八、</w:t>
          </w:r>
          <w:r>
            <w:rPr>
              <w:rFonts w:hint="default" w:ascii="Times New Roman" w:hAnsi="Times New Roman" w:eastAsia="黑体" w:cs="Times New Roman"/>
              <w:sz w:val="21"/>
              <w:szCs w:val="21"/>
            </w:rPr>
            <w:t>政府性基金预算支出决算情况说明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_Toc4667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10</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_Toc11382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21"/>
            </w:rPr>
            <w:t>九、 国有资本经营预算支出决算情况说明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_Toc11382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10</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_Toc11405 </w:instrText>
          </w:r>
          <w:r>
            <w:rPr>
              <w:rFonts w:hint="default" w:ascii="Times New Roman" w:hAnsi="Times New Roman" w:cs="Times New Roman"/>
              <w:sz w:val="21"/>
              <w:szCs w:val="21"/>
            </w:rPr>
            <w:fldChar w:fldCharType="separate"/>
          </w:r>
          <w:r>
            <w:rPr>
              <w:rFonts w:hint="default" w:ascii="Times New Roman" w:hAnsi="Times New Roman" w:eastAsia="黑体" w:cs="Times New Roman"/>
              <w:sz w:val="21"/>
              <w:szCs w:val="21"/>
            </w:rPr>
            <w:t>十、 其他重要事项的情况说明</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_Toc11405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10</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7"/>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b/>
              <w:sz w:val="21"/>
              <w:szCs w:val="21"/>
            </w:rPr>
          </w:pP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HYPERLINK \l _Toc14499 </w:instrText>
          </w:r>
          <w:r>
            <w:rPr>
              <w:rFonts w:hint="default" w:ascii="Times New Roman" w:hAnsi="Times New Roman" w:cs="Times New Roman"/>
              <w:b/>
              <w:sz w:val="21"/>
              <w:szCs w:val="21"/>
            </w:rPr>
            <w:fldChar w:fldCharType="separate"/>
          </w:r>
          <w:r>
            <w:rPr>
              <w:rFonts w:hint="default" w:ascii="Times New Roman" w:hAnsi="Times New Roman" w:eastAsia="黑体" w:cs="Times New Roman"/>
              <w:b/>
              <w:sz w:val="21"/>
              <w:szCs w:val="21"/>
            </w:rPr>
            <w:t xml:space="preserve">第三部分 </w:t>
          </w:r>
          <w:r>
            <w:rPr>
              <w:rFonts w:hint="default" w:ascii="Times New Roman" w:hAnsi="Times New Roman" w:eastAsia="黑体" w:cs="Times New Roman"/>
              <w:b/>
              <w:sz w:val="21"/>
              <w:szCs w:val="48"/>
            </w:rPr>
            <w:t>名</w:t>
          </w:r>
          <w:r>
            <w:rPr>
              <w:rFonts w:hint="default" w:ascii="Times New Roman" w:hAnsi="Times New Roman" w:eastAsia="黑体" w:cs="Times New Roman"/>
              <w:b/>
              <w:sz w:val="21"/>
              <w:szCs w:val="21"/>
            </w:rPr>
            <w:t>词解释</w:t>
          </w:r>
          <w:r>
            <w:rPr>
              <w:rFonts w:hint="default" w:ascii="Times New Roman" w:hAnsi="Times New Roman" w:cs="Times New Roman"/>
              <w:b/>
              <w:sz w:val="21"/>
              <w:szCs w:val="21"/>
            </w:rPr>
            <w:tab/>
          </w: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PAGEREF _Toc14499 \h </w:instrText>
          </w:r>
          <w:r>
            <w:rPr>
              <w:rFonts w:hint="default" w:ascii="Times New Roman" w:hAnsi="Times New Roman" w:cs="Times New Roman"/>
              <w:b/>
              <w:sz w:val="21"/>
              <w:szCs w:val="21"/>
            </w:rPr>
            <w:fldChar w:fldCharType="separate"/>
          </w:r>
          <w:r>
            <w:rPr>
              <w:rFonts w:hint="default" w:ascii="Times New Roman" w:hAnsi="Times New Roman" w:cs="Times New Roman"/>
              <w:b/>
              <w:sz w:val="21"/>
              <w:szCs w:val="21"/>
            </w:rPr>
            <w:t>12</w:t>
          </w:r>
          <w:r>
            <w:rPr>
              <w:rFonts w:hint="default" w:ascii="Times New Roman" w:hAnsi="Times New Roman" w:cs="Times New Roman"/>
              <w:b/>
              <w:sz w:val="21"/>
              <w:szCs w:val="21"/>
            </w:rPr>
            <w:fldChar w:fldCharType="end"/>
          </w:r>
          <w:r>
            <w:rPr>
              <w:rFonts w:hint="default" w:ascii="Times New Roman" w:hAnsi="Times New Roman" w:cs="Times New Roman"/>
              <w:b/>
              <w:sz w:val="21"/>
              <w:szCs w:val="21"/>
            </w:rPr>
            <w:fldChar w:fldCharType="end"/>
          </w:r>
        </w:p>
        <w:p>
          <w:pPr>
            <w:pStyle w:val="37"/>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b/>
              <w:sz w:val="21"/>
              <w:szCs w:val="21"/>
            </w:rPr>
          </w:pP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HYPERLINK \l _Toc17723 </w:instrText>
          </w:r>
          <w:r>
            <w:rPr>
              <w:rFonts w:hint="default" w:ascii="Times New Roman" w:hAnsi="Times New Roman" w:cs="Times New Roman"/>
              <w:b/>
              <w:sz w:val="21"/>
              <w:szCs w:val="21"/>
            </w:rPr>
            <w:fldChar w:fldCharType="separate"/>
          </w:r>
          <w:r>
            <w:rPr>
              <w:rFonts w:hint="default" w:ascii="Times New Roman" w:hAnsi="Times New Roman" w:eastAsia="黑体" w:cs="Times New Roman"/>
              <w:b/>
              <w:sz w:val="21"/>
              <w:szCs w:val="48"/>
            </w:rPr>
            <w:t>第</w:t>
          </w:r>
          <w:r>
            <w:rPr>
              <w:rFonts w:hint="default" w:ascii="Times New Roman" w:hAnsi="Times New Roman" w:eastAsia="黑体" w:cs="Times New Roman"/>
              <w:b/>
              <w:sz w:val="21"/>
              <w:szCs w:val="21"/>
            </w:rPr>
            <w:t>四部分 附件</w:t>
          </w:r>
          <w:r>
            <w:rPr>
              <w:rFonts w:hint="default" w:ascii="Times New Roman" w:hAnsi="Times New Roman" w:cs="Times New Roman"/>
              <w:b/>
              <w:sz w:val="21"/>
              <w:szCs w:val="21"/>
            </w:rPr>
            <w:tab/>
          </w: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PAGEREF _Toc17723 \h </w:instrText>
          </w:r>
          <w:r>
            <w:rPr>
              <w:rFonts w:hint="default" w:ascii="Times New Roman" w:hAnsi="Times New Roman" w:cs="Times New Roman"/>
              <w:b/>
              <w:sz w:val="21"/>
              <w:szCs w:val="21"/>
            </w:rPr>
            <w:fldChar w:fldCharType="separate"/>
          </w:r>
          <w:r>
            <w:rPr>
              <w:rFonts w:hint="default" w:ascii="Times New Roman" w:hAnsi="Times New Roman" w:cs="Times New Roman"/>
              <w:b/>
              <w:sz w:val="21"/>
              <w:szCs w:val="21"/>
            </w:rPr>
            <w:t>14</w:t>
          </w:r>
          <w:r>
            <w:rPr>
              <w:rFonts w:hint="default" w:ascii="Times New Roman" w:hAnsi="Times New Roman" w:cs="Times New Roman"/>
              <w:b/>
              <w:sz w:val="21"/>
              <w:szCs w:val="21"/>
            </w:rPr>
            <w:fldChar w:fldCharType="end"/>
          </w:r>
          <w:r>
            <w:rPr>
              <w:rFonts w:hint="default" w:ascii="Times New Roman" w:hAnsi="Times New Roman" w:cs="Times New Roman"/>
              <w:b/>
              <w:sz w:val="21"/>
              <w:szCs w:val="21"/>
            </w:rPr>
            <w:fldChar w:fldCharType="end"/>
          </w:r>
        </w:p>
        <w:p>
          <w:pPr>
            <w:pStyle w:val="37"/>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b/>
              <w:sz w:val="21"/>
              <w:szCs w:val="21"/>
            </w:rPr>
          </w:pP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HYPERLINK \l _Toc19222 </w:instrText>
          </w:r>
          <w:r>
            <w:rPr>
              <w:rFonts w:hint="default" w:ascii="Times New Roman" w:hAnsi="Times New Roman" w:cs="Times New Roman"/>
              <w:b/>
              <w:sz w:val="21"/>
              <w:szCs w:val="21"/>
            </w:rPr>
            <w:fldChar w:fldCharType="separate"/>
          </w:r>
          <w:r>
            <w:rPr>
              <w:rFonts w:hint="default" w:ascii="Times New Roman" w:hAnsi="Times New Roman" w:eastAsia="黑体" w:cs="Times New Roman"/>
              <w:b/>
              <w:sz w:val="21"/>
              <w:szCs w:val="48"/>
            </w:rPr>
            <w:t>第</w:t>
          </w:r>
          <w:r>
            <w:rPr>
              <w:rFonts w:hint="default" w:ascii="Times New Roman" w:hAnsi="Times New Roman" w:eastAsia="黑体" w:cs="Times New Roman"/>
              <w:b/>
              <w:sz w:val="21"/>
              <w:szCs w:val="21"/>
            </w:rPr>
            <w:t>五部分 附表</w:t>
          </w:r>
          <w:r>
            <w:rPr>
              <w:rFonts w:hint="default" w:ascii="Times New Roman" w:hAnsi="Times New Roman" w:cs="Times New Roman"/>
              <w:b/>
              <w:sz w:val="21"/>
              <w:szCs w:val="21"/>
            </w:rPr>
            <w:tab/>
          </w:r>
          <w:r>
            <w:rPr>
              <w:rFonts w:hint="default" w:ascii="Times New Roman" w:hAnsi="Times New Roman" w:cs="Times New Roman"/>
              <w:b/>
              <w:sz w:val="21"/>
              <w:szCs w:val="21"/>
            </w:rPr>
            <w:fldChar w:fldCharType="begin"/>
          </w:r>
          <w:r>
            <w:rPr>
              <w:rFonts w:hint="default" w:ascii="Times New Roman" w:hAnsi="Times New Roman" w:cs="Times New Roman"/>
              <w:b/>
              <w:sz w:val="21"/>
              <w:szCs w:val="21"/>
            </w:rPr>
            <w:instrText xml:space="preserve"> PAGEREF _Toc19222 \h </w:instrText>
          </w:r>
          <w:r>
            <w:rPr>
              <w:rFonts w:hint="default" w:ascii="Times New Roman" w:hAnsi="Times New Roman" w:cs="Times New Roman"/>
              <w:b/>
              <w:sz w:val="21"/>
              <w:szCs w:val="21"/>
            </w:rPr>
            <w:fldChar w:fldCharType="separate"/>
          </w:r>
          <w:r>
            <w:rPr>
              <w:rFonts w:hint="default" w:ascii="Times New Roman" w:hAnsi="Times New Roman" w:cs="Times New Roman"/>
              <w:b/>
              <w:sz w:val="21"/>
              <w:szCs w:val="21"/>
            </w:rPr>
            <w:t>15</w:t>
          </w:r>
          <w:r>
            <w:rPr>
              <w:rFonts w:hint="default" w:ascii="Times New Roman" w:hAnsi="Times New Roman" w:cs="Times New Roman"/>
              <w:b/>
              <w:sz w:val="21"/>
              <w:szCs w:val="21"/>
            </w:rPr>
            <w:fldChar w:fldCharType="end"/>
          </w:r>
          <w:r>
            <w:rPr>
              <w:rFonts w:hint="default" w:ascii="Times New Roman" w:hAnsi="Times New Roman" w:cs="Times New Roman"/>
              <w:b/>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_Toc15374 </w:instrText>
          </w:r>
          <w:r>
            <w:rPr>
              <w:rFonts w:hint="default" w:ascii="Times New Roman" w:hAnsi="Times New Roman" w:cs="Times New Roman"/>
              <w:sz w:val="21"/>
              <w:szCs w:val="21"/>
            </w:rPr>
            <w:fldChar w:fldCharType="separate"/>
          </w:r>
          <w:r>
            <w:rPr>
              <w:rFonts w:hint="default" w:ascii="Times New Roman" w:hAnsi="Times New Roman" w:eastAsia="仿宋" w:cs="Times New Roman"/>
              <w:sz w:val="21"/>
              <w:szCs w:val="21"/>
            </w:rPr>
            <w:t>一、收</w:t>
          </w:r>
          <w:r>
            <w:rPr>
              <w:rFonts w:hint="default" w:ascii="Times New Roman" w:hAnsi="Times New Roman" w:eastAsia="仿宋" w:cs="Times New Roman"/>
              <w:bCs w:val="0"/>
              <w:sz w:val="21"/>
              <w:szCs w:val="21"/>
            </w:rPr>
            <w:t>入支出决算总表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_Toc15374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_Toc4414 </w:instrText>
          </w:r>
          <w:r>
            <w:rPr>
              <w:rFonts w:hint="default" w:ascii="Times New Roman" w:hAnsi="Times New Roman" w:cs="Times New Roman"/>
              <w:sz w:val="21"/>
              <w:szCs w:val="21"/>
            </w:rPr>
            <w:fldChar w:fldCharType="separate"/>
          </w:r>
          <w:r>
            <w:rPr>
              <w:rFonts w:hint="default" w:ascii="Times New Roman" w:hAnsi="Times New Roman" w:eastAsia="仿宋" w:cs="Times New Roman"/>
              <w:sz w:val="21"/>
              <w:szCs w:val="21"/>
            </w:rPr>
            <w:t>二、收</w:t>
          </w:r>
          <w:r>
            <w:rPr>
              <w:rFonts w:hint="default" w:ascii="Times New Roman" w:hAnsi="Times New Roman" w:eastAsia="仿宋" w:cs="Times New Roman"/>
              <w:bCs w:val="0"/>
              <w:sz w:val="21"/>
              <w:szCs w:val="21"/>
            </w:rPr>
            <w:t>入决算表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_Toc4414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_Toc19031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三、</w:t>
          </w:r>
          <w:r>
            <w:rPr>
              <w:rFonts w:hint="default" w:ascii="Times New Roman" w:hAnsi="Times New Roman" w:eastAsia="仿宋" w:cs="Times New Roman"/>
              <w:sz w:val="21"/>
              <w:szCs w:val="21"/>
            </w:rPr>
            <w:t>支</w:t>
          </w:r>
          <w:r>
            <w:rPr>
              <w:rFonts w:hint="default" w:ascii="Times New Roman" w:hAnsi="Times New Roman" w:eastAsia="仿宋" w:cs="Times New Roman"/>
              <w:bCs w:val="0"/>
              <w:sz w:val="21"/>
              <w:szCs w:val="21"/>
            </w:rPr>
            <w:t>出决算表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_Toc19031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_Toc8767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四、</w:t>
          </w:r>
          <w:r>
            <w:rPr>
              <w:rFonts w:hint="default" w:ascii="Times New Roman" w:hAnsi="Times New Roman" w:eastAsia="仿宋" w:cs="Times New Roman"/>
              <w:sz w:val="21"/>
              <w:szCs w:val="21"/>
            </w:rPr>
            <w:t>财</w:t>
          </w:r>
          <w:r>
            <w:rPr>
              <w:rFonts w:hint="default" w:ascii="Times New Roman" w:hAnsi="Times New Roman" w:eastAsia="仿宋" w:cs="Times New Roman"/>
              <w:bCs w:val="0"/>
              <w:sz w:val="21"/>
              <w:szCs w:val="21"/>
            </w:rPr>
            <w:t>政拨款收入支出决算总表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_Toc8767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_Toc18781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五、</w:t>
          </w:r>
          <w:r>
            <w:rPr>
              <w:rFonts w:hint="default" w:ascii="Times New Roman" w:hAnsi="Times New Roman" w:eastAsia="仿宋" w:cs="Times New Roman"/>
              <w:sz w:val="21"/>
              <w:szCs w:val="21"/>
            </w:rPr>
            <w:t>财</w:t>
          </w:r>
          <w:r>
            <w:rPr>
              <w:rFonts w:hint="default" w:ascii="Times New Roman" w:hAnsi="Times New Roman" w:eastAsia="仿宋" w:cs="Times New Roman"/>
              <w:bCs w:val="0"/>
              <w:sz w:val="21"/>
              <w:szCs w:val="21"/>
            </w:rPr>
            <w:t>政拨款支出决算明细表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_Toc18781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_Toc24114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六、</w:t>
          </w:r>
          <w:r>
            <w:rPr>
              <w:rFonts w:hint="default" w:ascii="Times New Roman" w:hAnsi="Times New Roman" w:eastAsia="仿宋" w:cs="Times New Roman"/>
              <w:sz w:val="21"/>
              <w:szCs w:val="21"/>
            </w:rPr>
            <w:t>一</w:t>
          </w:r>
          <w:r>
            <w:rPr>
              <w:rFonts w:hint="default" w:ascii="Times New Roman" w:hAnsi="Times New Roman" w:eastAsia="仿宋" w:cs="Times New Roman"/>
              <w:bCs w:val="0"/>
              <w:sz w:val="21"/>
              <w:szCs w:val="21"/>
            </w:rPr>
            <w:t>般公共预算财政拨款支出决算表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_Toc24114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_Toc32025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七、</w:t>
          </w:r>
          <w:r>
            <w:rPr>
              <w:rFonts w:hint="default" w:ascii="Times New Roman" w:hAnsi="Times New Roman" w:eastAsia="仿宋" w:cs="Times New Roman"/>
              <w:sz w:val="21"/>
              <w:szCs w:val="21"/>
            </w:rPr>
            <w:t>一</w:t>
          </w:r>
          <w:r>
            <w:rPr>
              <w:rFonts w:hint="default" w:ascii="Times New Roman" w:hAnsi="Times New Roman" w:eastAsia="仿宋" w:cs="Times New Roman"/>
              <w:bCs w:val="0"/>
              <w:sz w:val="21"/>
              <w:szCs w:val="21"/>
            </w:rPr>
            <w:t>般公共预算财政拨款支出决算明细表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_Toc32025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_Toc21603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八、</w:t>
          </w:r>
          <w:r>
            <w:rPr>
              <w:rFonts w:hint="default" w:ascii="Times New Roman" w:hAnsi="Times New Roman" w:eastAsia="仿宋" w:cs="Times New Roman"/>
              <w:sz w:val="21"/>
              <w:szCs w:val="21"/>
            </w:rPr>
            <w:t>一</w:t>
          </w:r>
          <w:r>
            <w:rPr>
              <w:rFonts w:hint="default" w:ascii="Times New Roman" w:hAnsi="Times New Roman" w:eastAsia="仿宋" w:cs="Times New Roman"/>
              <w:bCs w:val="0"/>
              <w:sz w:val="21"/>
              <w:szCs w:val="21"/>
            </w:rPr>
            <w:t>般公共预算财政拨款基本支出决算表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_Toc21603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_Toc3573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九、</w:t>
          </w:r>
          <w:r>
            <w:rPr>
              <w:rFonts w:hint="default" w:ascii="Times New Roman" w:hAnsi="Times New Roman" w:eastAsia="仿宋" w:cs="Times New Roman"/>
              <w:sz w:val="21"/>
              <w:szCs w:val="21"/>
            </w:rPr>
            <w:t>一</w:t>
          </w:r>
          <w:r>
            <w:rPr>
              <w:rFonts w:hint="default" w:ascii="Times New Roman" w:hAnsi="Times New Roman" w:eastAsia="仿宋" w:cs="Times New Roman"/>
              <w:bCs w:val="0"/>
              <w:sz w:val="21"/>
              <w:szCs w:val="21"/>
            </w:rPr>
            <w:t>般公共预算财政拨款项目支出决算表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_Toc3573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_Toc20640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十、</w:t>
          </w:r>
          <w:r>
            <w:rPr>
              <w:rFonts w:hint="default" w:ascii="Times New Roman" w:hAnsi="Times New Roman" w:eastAsia="仿宋" w:cs="Times New Roman"/>
              <w:sz w:val="21"/>
              <w:szCs w:val="21"/>
            </w:rPr>
            <w:t>政</w:t>
          </w:r>
          <w:r>
            <w:rPr>
              <w:rFonts w:hint="default" w:ascii="Times New Roman" w:hAnsi="Times New Roman" w:eastAsia="仿宋" w:cs="Times New Roman"/>
              <w:bCs w:val="0"/>
              <w:sz w:val="21"/>
              <w:szCs w:val="21"/>
            </w:rPr>
            <w:t>府性基金预算财政拨款收入支出决算表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_Toc20640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_Toc29036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十一、</w:t>
          </w:r>
          <w:r>
            <w:rPr>
              <w:rFonts w:hint="default" w:ascii="Times New Roman" w:hAnsi="Times New Roman" w:eastAsia="仿宋" w:cs="Times New Roman"/>
              <w:sz w:val="21"/>
              <w:szCs w:val="21"/>
            </w:rPr>
            <w:t>国</w:t>
          </w:r>
          <w:r>
            <w:rPr>
              <w:rFonts w:hint="default" w:ascii="Times New Roman" w:hAnsi="Times New Roman" w:eastAsia="仿宋" w:cs="Times New Roman"/>
              <w:bCs w:val="0"/>
              <w:sz w:val="21"/>
              <w:szCs w:val="21"/>
            </w:rPr>
            <w:t>有资本经营预算财政拨款收入支出决算表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_Toc29036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_Toc28624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十二、国有资本经营预算财政拨款支出决算表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_Toc28624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pStyle w:val="38"/>
            <w:keepNext w:val="0"/>
            <w:keepLines w:val="0"/>
            <w:pageBreakBefore w:val="0"/>
            <w:widowControl/>
            <w:tabs>
              <w:tab w:val="right" w:leader="dot" w:pos="8306"/>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\l _Toc16571 </w:instrText>
          </w:r>
          <w:r>
            <w:rPr>
              <w:rFonts w:hint="default" w:ascii="Times New Roman" w:hAnsi="Times New Roman" w:cs="Times New Roman"/>
              <w:sz w:val="21"/>
              <w:szCs w:val="21"/>
            </w:rPr>
            <w:fldChar w:fldCharType="separate"/>
          </w:r>
          <w:r>
            <w:rPr>
              <w:rFonts w:hint="default" w:ascii="Times New Roman" w:hAnsi="Times New Roman" w:eastAsia="仿宋" w:cs="Times New Roman"/>
              <w:bCs w:val="0"/>
              <w:sz w:val="21"/>
              <w:szCs w:val="21"/>
            </w:rPr>
            <w:t>十三、财政拨款“三公”经费支出决算表</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_Toc16571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15</w:t>
          </w:r>
          <w:r>
            <w:rPr>
              <w:rFonts w:hint="default" w:ascii="Times New Roman" w:hAnsi="Times New Roman" w:cs="Times New Roman"/>
              <w:sz w:val="21"/>
              <w:szCs w:val="21"/>
            </w:rPr>
            <w:fldChar w:fldCharType="end"/>
          </w:r>
          <w:r>
            <w:rPr>
              <w:rFonts w:hint="default" w:ascii="Times New Roman" w:hAnsi="Times New Roman" w:cs="Times New Roman"/>
              <w:sz w:val="21"/>
              <w:szCs w:val="21"/>
            </w:rPr>
            <w:fldChar w:fldCharType="end"/>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cs="Times New Roman"/>
            </w:rPr>
          </w:pPr>
          <w:r>
            <w:rPr>
              <w:rFonts w:hint="default" w:ascii="Times New Roman" w:hAnsi="Times New Roman" w:cs="Times New Roman"/>
              <w:b/>
              <w:sz w:val="21"/>
              <w:szCs w:val="21"/>
            </w:rPr>
            <w:fldChar w:fldCharType="end"/>
          </w:r>
        </w:p>
      </w:sdtContent>
    </w:sdt>
    <w:p>
      <w:pPr>
        <w:pStyle w:val="3"/>
        <w:jc w:val="center"/>
        <w:rPr>
          <w:rStyle w:val="30"/>
          <w:rFonts w:hint="default" w:ascii="Times New Roman" w:hAnsi="Times New Roman" w:eastAsia="黑体" w:cs="Times New Roman"/>
          <w:b/>
          <w:bCs w:val="0"/>
        </w:rPr>
      </w:pPr>
      <w:bookmarkStart w:id="17" w:name="_Toc29917"/>
      <w:r>
        <w:rPr>
          <w:rFonts w:hint="default" w:ascii="Times New Roman" w:hAnsi="Times New Roman" w:eastAsia="黑体" w:cs="Times New Roman"/>
          <w:b w:val="0"/>
        </w:rPr>
        <w:t xml:space="preserve">第一部分 </w:t>
      </w:r>
      <w:r>
        <w:rPr>
          <w:rStyle w:val="30"/>
          <w:rFonts w:hint="default" w:ascii="Times New Roman" w:hAnsi="Times New Roman" w:eastAsia="黑体" w:cs="Times New Roman"/>
          <w:b w:val="0"/>
          <w:bCs w:val="0"/>
        </w:rPr>
        <w:t>部门概况</w:t>
      </w:r>
      <w:bookmarkEnd w:id="15"/>
      <w:bookmarkEnd w:id="16"/>
      <w:bookmarkEnd w:id="17"/>
    </w:p>
    <w:p>
      <w:pPr>
        <w:widowControl/>
        <w:jc w:val="left"/>
        <w:rPr>
          <w:rFonts w:hint="default" w:ascii="Times New Roman" w:hAnsi="Times New Roman" w:eastAsia="黑体" w:cs="Times New Roman"/>
          <w:sz w:val="32"/>
          <w:szCs w:val="32"/>
        </w:rPr>
      </w:pPr>
    </w:p>
    <w:p>
      <w:pPr>
        <w:pStyle w:val="4"/>
        <w:numPr>
          <w:ilvl w:val="0"/>
          <w:numId w:val="1"/>
        </w:numPr>
        <w:rPr>
          <w:rFonts w:hint="default" w:ascii="Times New Roman" w:hAnsi="Times New Roman" w:eastAsia="黑体" w:cs="Times New Roman"/>
          <w:b w:val="0"/>
        </w:rPr>
      </w:pPr>
      <w:bookmarkStart w:id="18" w:name="_Toc5302"/>
      <w:r>
        <w:rPr>
          <w:rFonts w:hint="default" w:ascii="Times New Roman" w:hAnsi="Times New Roman" w:eastAsia="黑体" w:cs="Times New Roman"/>
          <w:b w:val="0"/>
        </w:rPr>
        <w:t>部门职责</w:t>
      </w:r>
      <w:bookmarkEnd w:id="18"/>
    </w:p>
    <w:p>
      <w:pPr>
        <w:pStyle w:val="7"/>
        <w:adjustRightInd w:val="0"/>
        <w:snapToGrid w:val="0"/>
        <w:spacing w:before="93" w:line="600" w:lineRule="exact"/>
        <w:ind w:firstLine="640" w:firstLineChars="200"/>
        <w:outlineLvl w:val="2"/>
        <w:rPr>
          <w:rFonts w:hint="eastAsia" w:ascii="Times New Roman" w:cs="Times New Roman"/>
          <w:bCs/>
          <w:sz w:val="32"/>
          <w:szCs w:val="32"/>
          <w:lang w:val="en-US" w:eastAsia="zh-CN"/>
        </w:rPr>
      </w:pPr>
      <w:bookmarkStart w:id="19" w:name="_Toc15377199"/>
      <w:bookmarkStart w:id="20" w:name="_Toc15378446"/>
      <w:r>
        <w:rPr>
          <w:rFonts w:hint="eastAsia" w:ascii="Times New Roman" w:cs="Times New Roman"/>
          <w:bCs/>
          <w:sz w:val="32"/>
          <w:szCs w:val="32"/>
          <w:lang w:val="en-US" w:eastAsia="zh-CN"/>
        </w:rPr>
        <w:t>乐至县红十字会是中共乐至县委领导下的群众团体，是从事人道主义工作的社会救助团体，是县委、县政府在人道领域的助手和联系群众的桥梁纽带。县红十字会机关贯彻落实省委、市委和县委关于红十字工作的决策部署，在履行职责过程中坚持和加强党的全面领导。主要职责是：</w:t>
      </w:r>
    </w:p>
    <w:p>
      <w:pPr>
        <w:numPr>
          <w:ilvl w:val="0"/>
          <w:numId w:val="0"/>
        </w:numPr>
        <w:snapToGrid w:val="0"/>
        <w:spacing w:line="520" w:lineRule="exact"/>
        <w:ind w:firstLine="640" w:firstLineChars="200"/>
        <w:rPr>
          <w:rFonts w:hint="eastAsia" w:ascii="Times New Roman" w:hAnsi="Times New Roman" w:eastAsia="仿宋_GB2312" w:cs="Times New Roman"/>
          <w:bCs/>
          <w:kern w:val="0"/>
          <w:sz w:val="32"/>
          <w:szCs w:val="32"/>
          <w:lang w:val="en-US" w:eastAsia="zh-CN" w:bidi="ar-SA"/>
        </w:rPr>
      </w:pPr>
      <w:r>
        <w:rPr>
          <w:rFonts w:hint="eastAsia" w:ascii="Times New Roman" w:hAnsi="Times New Roman" w:eastAsia="仿宋_GB2312" w:cs="Times New Roman"/>
          <w:bCs/>
          <w:kern w:val="0"/>
          <w:sz w:val="32"/>
          <w:szCs w:val="32"/>
          <w:lang w:val="en-US" w:eastAsia="zh-CN" w:bidi="ar-SA"/>
        </w:rPr>
        <w:t>（一）贯彻落实《中华人民共和国红十字法》及有关法规，执行《中国红十字会章程》，制定并实施乐至县红十字事业发展规划。</w:t>
      </w:r>
    </w:p>
    <w:p>
      <w:pPr>
        <w:pStyle w:val="7"/>
        <w:adjustRightInd w:val="0"/>
        <w:snapToGrid w:val="0"/>
        <w:spacing w:before="93" w:line="600" w:lineRule="exact"/>
        <w:ind w:firstLine="672" w:firstLineChars="210"/>
        <w:outlineLvl w:val="2"/>
        <w:rPr>
          <w:rFonts w:hint="eastAsia" w:ascii="Times New Roman" w:hAnsi="Times New Roman" w:eastAsia="仿宋_GB2312" w:cs="Times New Roman"/>
          <w:bCs/>
          <w:kern w:val="0"/>
          <w:sz w:val="32"/>
          <w:szCs w:val="32"/>
          <w:lang w:val="en-US" w:eastAsia="zh-CN" w:bidi="ar-SA"/>
        </w:rPr>
      </w:pPr>
      <w:r>
        <w:rPr>
          <w:rFonts w:hint="eastAsia" w:ascii="Times New Roman" w:hAnsi="Times New Roman" w:cs="Times New Roman"/>
          <w:bCs/>
          <w:kern w:val="0"/>
          <w:sz w:val="32"/>
          <w:szCs w:val="32"/>
          <w:lang w:val="en-US" w:eastAsia="zh-CN" w:bidi="ar-SA"/>
        </w:rPr>
        <w:t>（二）</w:t>
      </w:r>
      <w:r>
        <w:rPr>
          <w:rFonts w:hint="eastAsia" w:ascii="Times New Roman" w:hAnsi="Times New Roman" w:eastAsia="仿宋_GB2312" w:cs="Times New Roman"/>
          <w:bCs/>
          <w:kern w:val="0"/>
          <w:sz w:val="32"/>
          <w:szCs w:val="32"/>
          <w:lang w:val="en-US" w:eastAsia="zh-CN" w:bidi="ar-SA"/>
        </w:rPr>
        <w:t>开展救援救灾的相关工作，建立红十字应急救援体系，在自然灾害、事故灾难、公共卫生事件等突发事件中，向上伤病人员和其他受害者提供紧急救援和人道救助。</w:t>
      </w:r>
    </w:p>
    <w:p>
      <w:pPr>
        <w:numPr>
          <w:ilvl w:val="0"/>
          <w:numId w:val="0"/>
        </w:numPr>
        <w:snapToGrid w:val="0"/>
        <w:spacing w:line="520" w:lineRule="exact"/>
        <w:ind w:firstLine="640" w:firstLineChars="200"/>
        <w:rPr>
          <w:rFonts w:hint="eastAsia" w:ascii="Times New Roman" w:hAnsi="Times New Roman" w:eastAsia="仿宋_GB2312" w:cs="Times New Roman"/>
          <w:bCs/>
          <w:kern w:val="0"/>
          <w:sz w:val="32"/>
          <w:szCs w:val="32"/>
          <w:lang w:val="en-US" w:eastAsia="zh-CN" w:bidi="ar-SA"/>
        </w:rPr>
      </w:pPr>
      <w:r>
        <w:rPr>
          <w:rFonts w:hint="eastAsia" w:ascii="Times New Roman" w:hAnsi="Times New Roman" w:eastAsia="仿宋_GB2312" w:cs="Times New Roman"/>
          <w:bCs/>
          <w:kern w:val="0"/>
          <w:sz w:val="32"/>
          <w:szCs w:val="32"/>
          <w:lang w:val="en-US" w:eastAsia="zh-CN" w:bidi="ar-SA"/>
        </w:rPr>
        <w:t>（三）开展应急救护培训，普及应急救护、防灾避险和卫生健康知识，组织红十字志愿者参与现场救护。</w:t>
      </w:r>
    </w:p>
    <w:p>
      <w:pPr>
        <w:numPr>
          <w:ilvl w:val="0"/>
          <w:numId w:val="0"/>
        </w:numPr>
        <w:snapToGrid w:val="0"/>
        <w:spacing w:line="520" w:lineRule="exact"/>
        <w:ind w:firstLine="640" w:firstLineChars="200"/>
        <w:rPr>
          <w:rFonts w:hint="eastAsia" w:ascii="Times New Roman" w:hAnsi="Times New Roman" w:eastAsia="仿宋_GB2312" w:cs="Times New Roman"/>
          <w:bCs/>
          <w:kern w:val="0"/>
          <w:sz w:val="32"/>
          <w:szCs w:val="32"/>
          <w:lang w:val="en-US" w:eastAsia="zh-CN" w:bidi="ar-SA"/>
        </w:rPr>
      </w:pPr>
      <w:r>
        <w:rPr>
          <w:rFonts w:hint="eastAsia" w:ascii="Times New Roman" w:hAnsi="Times New Roman" w:eastAsia="仿宋_GB2312" w:cs="Times New Roman"/>
          <w:bCs/>
          <w:kern w:val="0"/>
          <w:sz w:val="32"/>
          <w:szCs w:val="32"/>
          <w:lang w:val="en-US" w:eastAsia="zh-CN" w:bidi="ar-SA"/>
        </w:rPr>
        <w:t>（四）参与、推动无偿献血、遗体和人体器官（组织）捐献工作，参与开展造血干细胞捐献的相关工作。</w:t>
      </w:r>
    </w:p>
    <w:p>
      <w:pPr>
        <w:pStyle w:val="2"/>
        <w:ind w:firstLine="640" w:firstLineChars="200"/>
        <w:rPr>
          <w:rFonts w:hint="eastAsia" w:ascii="Times New Roman" w:hAnsi="Times New Roman" w:eastAsia="仿宋_GB2312" w:cs="Times New Roman"/>
          <w:bCs/>
          <w:kern w:val="0"/>
          <w:sz w:val="32"/>
          <w:szCs w:val="32"/>
          <w:lang w:val="en-US" w:eastAsia="zh-CN" w:bidi="ar-SA"/>
        </w:rPr>
      </w:pPr>
      <w:r>
        <w:rPr>
          <w:rFonts w:hint="eastAsia" w:ascii="Times New Roman" w:hAnsi="Times New Roman" w:eastAsia="仿宋_GB2312" w:cs="Times New Roman"/>
          <w:bCs/>
          <w:kern w:val="0"/>
          <w:sz w:val="32"/>
          <w:szCs w:val="32"/>
          <w:lang w:val="en-US" w:eastAsia="zh-CN" w:bidi="ar-SA"/>
        </w:rPr>
        <w:t>（五）开展人道领域内的社会公益活动，参与基层社会治理，对特殊困难对象进行人道救助。参与或兴办医疗、康复、养老等与红十字会宗旨相符的社会公益事业。</w:t>
      </w:r>
    </w:p>
    <w:p>
      <w:pPr>
        <w:numPr>
          <w:ilvl w:val="0"/>
          <w:numId w:val="0"/>
        </w:numPr>
        <w:snapToGrid w:val="0"/>
        <w:spacing w:line="520" w:lineRule="exact"/>
        <w:ind w:firstLine="640" w:firstLineChars="200"/>
        <w:rPr>
          <w:rFonts w:hint="eastAsia" w:ascii="Times New Roman" w:hAnsi="Times New Roman" w:eastAsia="仿宋_GB2312" w:cs="Times New Roman"/>
          <w:bCs/>
          <w:kern w:val="0"/>
          <w:sz w:val="32"/>
          <w:szCs w:val="32"/>
          <w:lang w:val="en-US" w:eastAsia="zh-CN" w:bidi="ar-SA"/>
        </w:rPr>
      </w:pPr>
      <w:r>
        <w:rPr>
          <w:rFonts w:hint="eastAsia" w:ascii="Times New Roman" w:hAnsi="Times New Roman" w:eastAsia="仿宋_GB2312" w:cs="Times New Roman"/>
          <w:bCs/>
          <w:kern w:val="0"/>
          <w:sz w:val="32"/>
          <w:szCs w:val="32"/>
          <w:lang w:val="en-US" w:eastAsia="zh-CN" w:bidi="ar-SA"/>
        </w:rPr>
        <w:t>（六）依法开展募捐活动。依法依规接受和处理分配捐赠款物。</w:t>
      </w:r>
    </w:p>
    <w:p>
      <w:pPr>
        <w:numPr>
          <w:ilvl w:val="0"/>
          <w:numId w:val="0"/>
        </w:numPr>
        <w:snapToGrid w:val="0"/>
        <w:spacing w:line="520" w:lineRule="exact"/>
        <w:ind w:firstLine="640" w:firstLineChars="200"/>
        <w:rPr>
          <w:rFonts w:hint="eastAsia" w:ascii="Times New Roman" w:hAnsi="Times New Roman" w:eastAsia="仿宋_GB2312" w:cs="Times New Roman"/>
          <w:bCs/>
          <w:kern w:val="0"/>
          <w:sz w:val="32"/>
          <w:szCs w:val="32"/>
          <w:lang w:val="en-US" w:eastAsia="zh-CN" w:bidi="ar-SA"/>
        </w:rPr>
      </w:pPr>
      <w:r>
        <w:rPr>
          <w:rFonts w:hint="eastAsia" w:ascii="Times New Roman" w:hAnsi="Times New Roman" w:eastAsia="仿宋_GB2312" w:cs="Times New Roman"/>
          <w:bCs/>
          <w:kern w:val="0"/>
          <w:sz w:val="32"/>
          <w:szCs w:val="32"/>
          <w:lang w:val="en-US" w:eastAsia="zh-CN" w:bidi="ar-SA"/>
        </w:rPr>
        <w:t>（七）组织开展红十字志愿服务，开展有益于青少年身心健康、弘扬人道主义精神的红十字青少年活动。</w:t>
      </w:r>
    </w:p>
    <w:p>
      <w:pPr>
        <w:numPr>
          <w:ilvl w:val="0"/>
          <w:numId w:val="0"/>
        </w:numPr>
        <w:snapToGrid w:val="0"/>
        <w:spacing w:line="520" w:lineRule="exact"/>
        <w:ind w:firstLine="640" w:firstLineChars="200"/>
        <w:rPr>
          <w:rFonts w:hint="eastAsia" w:ascii="Times New Roman" w:hAnsi="Times New Roman" w:eastAsia="仿宋_GB2312" w:cs="Times New Roman"/>
          <w:bCs/>
          <w:kern w:val="0"/>
          <w:sz w:val="32"/>
          <w:szCs w:val="32"/>
          <w:lang w:val="en-US" w:eastAsia="zh-CN" w:bidi="ar-SA"/>
        </w:rPr>
      </w:pPr>
      <w:r>
        <w:rPr>
          <w:rFonts w:hint="eastAsia" w:ascii="Times New Roman" w:hAnsi="Times New Roman" w:eastAsia="仿宋_GB2312" w:cs="Times New Roman"/>
          <w:bCs/>
          <w:kern w:val="0"/>
          <w:sz w:val="32"/>
          <w:szCs w:val="32"/>
          <w:lang w:val="en-US" w:eastAsia="zh-CN" w:bidi="ar-SA"/>
        </w:rPr>
        <w:t>（八）在中国红十字会总会、省红十字会和市红十字会的指导下，开展与国（境）外红十字组织的友好合作与交流，参与国际人道主义救助工作。</w:t>
      </w:r>
    </w:p>
    <w:p>
      <w:pPr>
        <w:numPr>
          <w:ilvl w:val="0"/>
          <w:numId w:val="0"/>
        </w:numPr>
        <w:snapToGrid w:val="0"/>
        <w:spacing w:line="520" w:lineRule="exact"/>
        <w:ind w:firstLine="640" w:firstLineChars="200"/>
        <w:rPr>
          <w:rFonts w:hint="eastAsia" w:ascii="Times New Roman" w:hAnsi="Times New Roman" w:eastAsia="仿宋_GB2312" w:cs="Times New Roman"/>
          <w:bCs/>
          <w:kern w:val="0"/>
          <w:sz w:val="32"/>
          <w:szCs w:val="32"/>
          <w:lang w:val="en-US" w:eastAsia="zh-CN" w:bidi="ar-SA"/>
        </w:rPr>
      </w:pPr>
      <w:r>
        <w:rPr>
          <w:rFonts w:hint="eastAsia" w:ascii="Times New Roman" w:hAnsi="Times New Roman" w:eastAsia="仿宋_GB2312" w:cs="Times New Roman"/>
          <w:bCs/>
          <w:kern w:val="0"/>
          <w:sz w:val="32"/>
          <w:szCs w:val="32"/>
          <w:lang w:val="en-US" w:eastAsia="zh-CN" w:bidi="ar-SA"/>
        </w:rPr>
        <w:t>（九）指导下级红十字会加强自身建设、组织建设和开展各项工作。</w:t>
      </w:r>
    </w:p>
    <w:p>
      <w:pPr>
        <w:pStyle w:val="2"/>
        <w:ind w:firstLine="640" w:firstLineChars="200"/>
        <w:rPr>
          <w:rFonts w:hint="default"/>
          <w:lang w:val="en-US" w:eastAsia="zh-CN"/>
        </w:rPr>
      </w:pPr>
      <w:r>
        <w:rPr>
          <w:rFonts w:hint="eastAsia" w:ascii="Times New Roman" w:hAnsi="Times New Roman" w:eastAsia="仿宋_GB2312" w:cs="Times New Roman"/>
          <w:bCs/>
          <w:kern w:val="0"/>
          <w:sz w:val="32"/>
          <w:szCs w:val="32"/>
          <w:lang w:val="en-US" w:eastAsia="zh-CN" w:bidi="ar-SA"/>
        </w:rPr>
        <w:t>（十）</w:t>
      </w:r>
      <w:r>
        <w:rPr>
          <w:rFonts w:hint="eastAsia" w:eastAsia="仿宋_GB2312" w:cs="Times New Roman"/>
          <w:bCs/>
          <w:sz w:val="32"/>
          <w:szCs w:val="32"/>
          <w:lang w:val="en-US" w:eastAsia="zh-CN"/>
        </w:rPr>
        <w:t>完成县委、县政府和省、市红十字会交办、委托的其他业务。</w:t>
      </w:r>
    </w:p>
    <w:bookmarkEnd w:id="19"/>
    <w:bookmarkEnd w:id="20"/>
    <w:p>
      <w:pPr>
        <w:pStyle w:val="4"/>
        <w:rPr>
          <w:rStyle w:val="31"/>
          <w:rFonts w:hint="default" w:ascii="Times New Roman" w:hAnsi="Times New Roman" w:cs="Times New Roman"/>
          <w:b w:val="0"/>
          <w:bCs w:val="0"/>
        </w:rPr>
      </w:pPr>
      <w:bookmarkStart w:id="21" w:name="_Toc15396601"/>
      <w:bookmarkStart w:id="22" w:name="_Toc15377200"/>
      <w:bookmarkStart w:id="23" w:name="_Toc18687"/>
      <w:r>
        <w:rPr>
          <w:rFonts w:hint="default" w:ascii="Times New Roman" w:hAnsi="Times New Roman" w:eastAsia="黑体" w:cs="Times New Roman"/>
          <w:b w:val="0"/>
        </w:rPr>
        <w:t>二、机</w:t>
      </w:r>
      <w:r>
        <w:rPr>
          <w:rStyle w:val="31"/>
          <w:rFonts w:hint="default" w:ascii="Times New Roman" w:hAnsi="Times New Roman" w:eastAsia="黑体" w:cs="Times New Roman"/>
          <w:b w:val="0"/>
          <w:bCs w:val="0"/>
        </w:rPr>
        <w:t>构设置</w:t>
      </w:r>
      <w:bookmarkEnd w:id="21"/>
      <w:bookmarkEnd w:id="22"/>
      <w:bookmarkEnd w:id="23"/>
    </w:p>
    <w:p>
      <w:pPr>
        <w:widowControl/>
        <w:ind w:firstLine="640" w:firstLineChars="200"/>
        <w:jc w:val="left"/>
        <w:rPr>
          <w:rFonts w:hint="default" w:ascii="Times New Roman" w:hAnsi="Times New Roman" w:cs="Times New Roman"/>
        </w:rPr>
      </w:pPr>
      <w:r>
        <w:rPr>
          <w:rFonts w:hint="default" w:ascii="Times New Roman" w:hAnsi="Times New Roman" w:eastAsia="仿宋_GB2312" w:cs="Times New Roman"/>
          <w:b w:val="0"/>
          <w:bCs/>
          <w:kern w:val="0"/>
          <w:sz w:val="32"/>
          <w:szCs w:val="32"/>
          <w:lang w:val="en-US" w:eastAsia="zh-CN" w:bidi="ar-SA"/>
        </w:rPr>
        <w:t>乐至县</w:t>
      </w:r>
      <w:r>
        <w:rPr>
          <w:rFonts w:hint="eastAsia" w:eastAsia="仿宋_GB2312" w:cs="Times New Roman"/>
          <w:b w:val="0"/>
          <w:bCs/>
          <w:kern w:val="0"/>
          <w:sz w:val="32"/>
          <w:szCs w:val="32"/>
          <w:lang w:val="en-US" w:eastAsia="zh-CN" w:bidi="ar-SA"/>
        </w:rPr>
        <w:t>红十字会</w:t>
      </w:r>
      <w:r>
        <w:rPr>
          <w:rFonts w:hint="default" w:ascii="Times New Roman" w:hAnsi="Times New Roman" w:eastAsia="仿宋_GB2312" w:cs="Times New Roman"/>
          <w:b w:val="0"/>
          <w:bCs/>
          <w:kern w:val="0"/>
          <w:sz w:val="32"/>
          <w:szCs w:val="32"/>
          <w:lang w:val="en-US" w:eastAsia="zh-CN" w:bidi="ar-SA"/>
        </w:rPr>
        <w:t>属一级预算单位，</w:t>
      </w:r>
      <w:r>
        <w:rPr>
          <w:rFonts w:hint="eastAsia" w:eastAsia="仿宋_GB2312" w:cs="Times New Roman"/>
          <w:b w:val="0"/>
          <w:bCs/>
          <w:kern w:val="0"/>
          <w:sz w:val="32"/>
          <w:szCs w:val="32"/>
          <w:lang w:val="en-US" w:eastAsia="zh-CN" w:bidi="ar-SA"/>
        </w:rPr>
        <w:t>为</w:t>
      </w:r>
      <w:r>
        <w:rPr>
          <w:rFonts w:hint="eastAsia" w:ascii="仿宋_GB2312" w:hAnsi="仿宋" w:eastAsia="仿宋_GB2312"/>
          <w:sz w:val="32"/>
          <w:szCs w:val="32"/>
          <w:lang w:val="en-US" w:eastAsia="zh-CN"/>
        </w:rPr>
        <w:t>参照公务员法管理的事业单位，</w:t>
      </w:r>
      <w:r>
        <w:rPr>
          <w:rFonts w:hint="default" w:ascii="Times New Roman" w:hAnsi="Times New Roman" w:eastAsia="仿宋_GB2312" w:cs="Times New Roman"/>
          <w:b w:val="0"/>
          <w:bCs/>
          <w:kern w:val="0"/>
          <w:sz w:val="32"/>
          <w:szCs w:val="32"/>
          <w:lang w:val="en-US" w:eastAsia="zh-CN" w:bidi="ar-SA"/>
        </w:rPr>
        <w:t>下属单位</w:t>
      </w:r>
      <w:r>
        <w:rPr>
          <w:rFonts w:hint="eastAsia" w:eastAsia="仿宋_GB2312" w:cs="Times New Roman"/>
          <w:b w:val="0"/>
          <w:bCs/>
          <w:kern w:val="0"/>
          <w:sz w:val="32"/>
          <w:szCs w:val="32"/>
          <w:lang w:val="en-US" w:eastAsia="zh-CN" w:bidi="ar-SA"/>
        </w:rPr>
        <w:t>0</w:t>
      </w:r>
      <w:r>
        <w:rPr>
          <w:rFonts w:hint="default" w:ascii="Times New Roman" w:hAnsi="Times New Roman" w:eastAsia="仿宋_GB2312" w:cs="Times New Roman"/>
          <w:b w:val="0"/>
          <w:bCs/>
          <w:kern w:val="0"/>
          <w:sz w:val="32"/>
          <w:szCs w:val="32"/>
          <w:lang w:val="en-US" w:eastAsia="zh-CN" w:bidi="ar-SA"/>
        </w:rPr>
        <w:t>个，其中行政单位0个，参照公务员法管理的事业单位0个，其他事业单位</w:t>
      </w:r>
      <w:r>
        <w:rPr>
          <w:rFonts w:hint="eastAsia" w:eastAsia="仿宋_GB2312" w:cs="Times New Roman"/>
          <w:b w:val="0"/>
          <w:bCs/>
          <w:kern w:val="0"/>
          <w:sz w:val="32"/>
          <w:szCs w:val="32"/>
          <w:lang w:val="en-US" w:eastAsia="zh-CN" w:bidi="ar-SA"/>
        </w:rPr>
        <w:t>0</w:t>
      </w:r>
      <w:r>
        <w:rPr>
          <w:rFonts w:hint="default" w:ascii="Times New Roman" w:hAnsi="Times New Roman" w:eastAsia="仿宋_GB2312" w:cs="Times New Roman"/>
          <w:b w:val="0"/>
          <w:bCs/>
          <w:kern w:val="0"/>
          <w:sz w:val="32"/>
          <w:szCs w:val="32"/>
          <w:lang w:val="en-US" w:eastAsia="zh-CN" w:bidi="ar-SA"/>
        </w:rPr>
        <w:t>个。</w:t>
      </w:r>
    </w:p>
    <w:p>
      <w:pPr>
        <w:pStyle w:val="3"/>
        <w:ind w:right="440"/>
        <w:jc w:val="center"/>
        <w:rPr>
          <w:rStyle w:val="30"/>
          <w:rFonts w:hint="default" w:ascii="Times New Roman" w:hAnsi="Times New Roman" w:eastAsia="黑体" w:cs="Times New Roman"/>
          <w:b w:val="0"/>
          <w:bCs/>
        </w:rPr>
      </w:pPr>
      <w:bookmarkStart w:id="24" w:name="_Toc21210"/>
      <w:bookmarkStart w:id="25" w:name="_Toc15377204"/>
      <w:bookmarkStart w:id="26" w:name="_Toc15396602"/>
      <w:r>
        <w:rPr>
          <w:rFonts w:hint="default" w:ascii="Times New Roman" w:hAnsi="Times New Roman" w:eastAsia="黑体" w:cs="Times New Roman"/>
          <w:b w:val="0"/>
        </w:rPr>
        <w:t>第二部分 2022年度</w:t>
      </w:r>
      <w:r>
        <w:rPr>
          <w:rStyle w:val="30"/>
          <w:rFonts w:hint="default" w:ascii="Times New Roman" w:hAnsi="Times New Roman" w:eastAsia="黑体" w:cs="Times New Roman"/>
          <w:b w:val="0"/>
          <w:bCs/>
        </w:rPr>
        <w:t>部门决算情况说明</w:t>
      </w:r>
      <w:bookmarkEnd w:id="24"/>
      <w:bookmarkEnd w:id="25"/>
      <w:bookmarkEnd w:id="26"/>
    </w:p>
    <w:p>
      <w:pPr>
        <w:rPr>
          <w:rFonts w:hint="default" w:ascii="Times New Roman" w:hAnsi="Times New Roman" w:cs="Times New Roman"/>
        </w:rPr>
      </w:pPr>
    </w:p>
    <w:p>
      <w:pPr>
        <w:pStyle w:val="29"/>
        <w:numPr>
          <w:ilvl w:val="0"/>
          <w:numId w:val="2"/>
        </w:numPr>
        <w:spacing w:line="600" w:lineRule="exact"/>
        <w:ind w:firstLineChars="0"/>
        <w:outlineLvl w:val="1"/>
        <w:rPr>
          <w:rStyle w:val="31"/>
          <w:rFonts w:hint="default" w:ascii="Times New Roman" w:hAnsi="Times New Roman" w:eastAsia="黑体" w:cs="Times New Roman"/>
          <w:b w:val="0"/>
        </w:rPr>
      </w:pPr>
      <w:bookmarkStart w:id="27" w:name="_Toc15377205"/>
      <w:bookmarkStart w:id="28" w:name="_Toc23187"/>
      <w:bookmarkStart w:id="29" w:name="_Toc15396603"/>
      <w:r>
        <w:rPr>
          <w:rFonts w:hint="default" w:ascii="Times New Roman" w:hAnsi="Times New Roman" w:eastAsia="黑体" w:cs="Times New Roman"/>
          <w:sz w:val="32"/>
          <w:szCs w:val="32"/>
        </w:rPr>
        <w:t>收</w:t>
      </w:r>
      <w:r>
        <w:rPr>
          <w:rStyle w:val="31"/>
          <w:rFonts w:hint="default" w:ascii="Times New Roman" w:hAnsi="Times New Roman" w:eastAsia="黑体" w:cs="Times New Roman"/>
          <w:b w:val="0"/>
        </w:rPr>
        <w:t>入支出决算总体情况说明</w:t>
      </w:r>
      <w:bookmarkEnd w:id="27"/>
      <w:bookmarkEnd w:id="28"/>
      <w:bookmarkEnd w:id="29"/>
    </w:p>
    <w:p>
      <w:pPr>
        <w:spacing w:line="600" w:lineRule="exact"/>
        <w:ind w:firstLine="640" w:firstLineChars="200"/>
        <w:rPr>
          <w:rFonts w:hint="eastAsia"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2022年度收、支总计</w:t>
      </w:r>
      <w:r>
        <w:rPr>
          <w:rFonts w:hint="eastAsia" w:eastAsia="仿宋_GB2312" w:cs="Times New Roman"/>
          <w:b w:val="0"/>
          <w:bCs/>
          <w:kern w:val="0"/>
          <w:sz w:val="32"/>
          <w:szCs w:val="32"/>
          <w:lang w:val="en-US" w:eastAsia="zh-CN" w:bidi="ar-SA"/>
        </w:rPr>
        <w:t>104.7</w:t>
      </w:r>
      <w:r>
        <w:rPr>
          <w:rFonts w:hint="default" w:ascii="Times New Roman" w:hAnsi="Times New Roman" w:eastAsia="仿宋_GB2312" w:cs="Times New Roman"/>
          <w:b w:val="0"/>
          <w:bCs/>
          <w:kern w:val="0"/>
          <w:sz w:val="32"/>
          <w:szCs w:val="32"/>
          <w:lang w:val="en-US" w:eastAsia="zh-CN" w:bidi="ar-SA"/>
        </w:rPr>
        <w:t>万元。与2021年相比，收、支总计各</w:t>
      </w:r>
      <w:r>
        <w:rPr>
          <w:rFonts w:hint="eastAsia" w:eastAsia="仿宋_GB2312" w:cs="Times New Roman"/>
          <w:b w:val="0"/>
          <w:bCs/>
          <w:kern w:val="0"/>
          <w:sz w:val="32"/>
          <w:szCs w:val="32"/>
          <w:lang w:val="en-US" w:eastAsia="zh-CN" w:bidi="ar-SA"/>
        </w:rPr>
        <w:t>增加52.35</w:t>
      </w:r>
      <w:r>
        <w:rPr>
          <w:rFonts w:hint="default" w:ascii="Times New Roman" w:hAnsi="Times New Roman" w:eastAsia="仿宋_GB2312" w:cs="Times New Roman"/>
          <w:b w:val="0"/>
          <w:bCs/>
          <w:kern w:val="0"/>
          <w:sz w:val="32"/>
          <w:szCs w:val="32"/>
          <w:lang w:val="en-US" w:eastAsia="zh-CN" w:bidi="ar-SA"/>
        </w:rPr>
        <w:t>万元，</w:t>
      </w:r>
      <w:r>
        <w:rPr>
          <w:rFonts w:hint="eastAsia" w:eastAsia="仿宋_GB2312" w:cs="Times New Roman"/>
          <w:b w:val="0"/>
          <w:bCs/>
          <w:kern w:val="0"/>
          <w:sz w:val="32"/>
          <w:szCs w:val="32"/>
          <w:lang w:val="en-US" w:eastAsia="zh-CN" w:bidi="ar-SA"/>
        </w:rPr>
        <w:t>增长100.0</w:t>
      </w:r>
      <w:r>
        <w:rPr>
          <w:rFonts w:hint="default" w:ascii="Times New Roman" w:hAnsi="Times New Roman" w:eastAsia="仿宋_GB2312" w:cs="Times New Roman"/>
          <w:b w:val="0"/>
          <w:bCs/>
          <w:kern w:val="0"/>
          <w:sz w:val="32"/>
          <w:szCs w:val="32"/>
          <w:lang w:val="en-US" w:eastAsia="zh-CN" w:bidi="ar-SA"/>
        </w:rPr>
        <w:t>%。主要变动原因是</w:t>
      </w:r>
      <w:r>
        <w:rPr>
          <w:rFonts w:hint="eastAsia" w:eastAsia="仿宋_GB2312" w:cs="Times New Roman"/>
          <w:b w:val="0"/>
          <w:bCs/>
          <w:kern w:val="0"/>
          <w:sz w:val="32"/>
          <w:szCs w:val="32"/>
          <w:lang w:val="en-US" w:eastAsia="zh-CN" w:bidi="ar-SA"/>
        </w:rPr>
        <w:t>本</w:t>
      </w:r>
    </w:p>
    <w:p>
      <w:pPr>
        <w:spacing w:line="600" w:lineRule="exact"/>
        <w:rPr>
          <w:rFonts w:hint="default" w:ascii="Times New Roman" w:hAnsi="Times New Roman" w:eastAsia="仿宋_GB2312" w:cs="Times New Roman"/>
          <w:b w:val="0"/>
          <w:bCs/>
          <w:kern w:val="0"/>
          <w:sz w:val="32"/>
          <w:szCs w:val="32"/>
          <w:lang w:val="en-US" w:eastAsia="zh-CN" w:bidi="ar-SA"/>
        </w:rPr>
      </w:pPr>
      <w:r>
        <w:rPr>
          <w:rFonts w:hint="eastAsia" w:eastAsia="仿宋_GB2312" w:cs="Times New Roman"/>
          <w:b w:val="0"/>
          <w:bCs/>
          <w:kern w:val="0"/>
          <w:sz w:val="32"/>
          <w:szCs w:val="32"/>
          <w:lang w:val="en-US" w:eastAsia="zh-CN" w:bidi="ar-SA"/>
        </w:rPr>
        <w:t>单位为2022年新成立单位。</w:t>
      </w:r>
    </w:p>
    <w:p>
      <w:pPr>
        <w:spacing w:line="600" w:lineRule="exact"/>
        <w:ind w:firstLine="640" w:firstLineChars="200"/>
        <w:jc w:val="left"/>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r>
        <w:rPr>
          <w:rFonts w:hint="default"/>
          <w:lang w:eastAsia="zh-CN"/>
        </w:rPr>
        <w:drawing>
          <wp:anchor distT="0" distB="0" distL="114300" distR="114300" simplePos="0" relativeHeight="251661312" behindDoc="1" locked="0" layoutInCell="1" allowOverlap="1">
            <wp:simplePos x="0" y="0"/>
            <wp:positionH relativeFrom="column">
              <wp:posOffset>-38100</wp:posOffset>
            </wp:positionH>
            <wp:positionV relativeFrom="paragraph">
              <wp:posOffset>75565</wp:posOffset>
            </wp:positionV>
            <wp:extent cx="5080000" cy="3810000"/>
            <wp:effectExtent l="4445" t="4445" r="20955" b="14605"/>
            <wp:wrapTight wrapText="bothSides">
              <wp:wrapPolygon>
                <wp:start x="-19" y="-25"/>
                <wp:lineTo x="-19" y="21575"/>
                <wp:lineTo x="21527" y="21575"/>
                <wp:lineTo x="21527" y="-25"/>
                <wp:lineTo x="-19" y="-25"/>
              </wp:wrapPolygon>
            </wp:wrapTight>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rPr>
          <w:rFonts w:hint="default" w:ascii="Times New Roman" w:hAnsi="Times New Roman" w:eastAsia="仿宋_GB2312" w:cs="Times New Roman"/>
          <w:sz w:val="32"/>
          <w:szCs w:val="32"/>
          <w:lang w:eastAsia="zh-CN"/>
        </w:rPr>
      </w:pPr>
    </w:p>
    <w:p>
      <w:pPr>
        <w:pStyle w:val="2"/>
        <w:rPr>
          <w:rFonts w:hint="default"/>
          <w:lang w:eastAsia="zh-CN"/>
        </w:rPr>
      </w:pPr>
    </w:p>
    <w:p>
      <w:pPr>
        <w:pStyle w:val="29"/>
        <w:numPr>
          <w:ilvl w:val="0"/>
          <w:numId w:val="2"/>
        </w:numPr>
        <w:spacing w:line="600" w:lineRule="exact"/>
        <w:ind w:firstLineChars="0"/>
        <w:outlineLvl w:val="1"/>
        <w:rPr>
          <w:rStyle w:val="31"/>
          <w:rFonts w:hint="default" w:ascii="Times New Roman" w:hAnsi="Times New Roman" w:eastAsia="黑体" w:cs="Times New Roman"/>
          <w:b w:val="0"/>
        </w:rPr>
      </w:pPr>
      <w:bookmarkStart w:id="30" w:name="_Toc15377206"/>
      <w:bookmarkStart w:id="31" w:name="_Toc15396604"/>
      <w:bookmarkStart w:id="32" w:name="_Toc18235"/>
      <w:r>
        <w:rPr>
          <w:rFonts w:hint="default" w:ascii="Times New Roman" w:hAnsi="Times New Roman" w:eastAsia="黑体" w:cs="Times New Roman"/>
          <w:sz w:val="32"/>
          <w:szCs w:val="32"/>
        </w:rPr>
        <w:t>收</w:t>
      </w:r>
      <w:r>
        <w:rPr>
          <w:rStyle w:val="31"/>
          <w:rFonts w:hint="default" w:ascii="Times New Roman" w:hAnsi="Times New Roman" w:eastAsia="黑体" w:cs="Times New Roman"/>
          <w:b w:val="0"/>
        </w:rPr>
        <w:t>入决算情况说明</w:t>
      </w:r>
      <w:bookmarkEnd w:id="30"/>
      <w:bookmarkEnd w:id="31"/>
      <w:bookmarkEnd w:id="32"/>
    </w:p>
    <w:p>
      <w:pPr>
        <w:spacing w:line="600" w:lineRule="exact"/>
        <w:ind w:firstLine="640" w:firstLineChars="200"/>
        <w:outlineLvl w:val="1"/>
        <w:rPr>
          <w:rFonts w:hint="default" w:ascii="Times New Roman" w:hAnsi="Times New Roman" w:eastAsia="仿宋" w:cs="Times New Roman"/>
          <w:sz w:val="32"/>
          <w:szCs w:val="32"/>
          <w:lang w:eastAsia="zh-CN"/>
        </w:rPr>
      </w:pPr>
      <w:bookmarkStart w:id="33" w:name="_Toc23222"/>
      <w:r>
        <w:rPr>
          <w:rFonts w:hint="default" w:ascii="Times New Roman" w:hAnsi="Times New Roman" w:eastAsia="仿宋_GB2312" w:cs="Times New Roman"/>
          <w:b w:val="0"/>
          <w:bCs/>
          <w:kern w:val="0"/>
          <w:sz w:val="32"/>
          <w:szCs w:val="32"/>
          <w:lang w:val="en-US" w:eastAsia="zh-CN" w:bidi="ar-SA"/>
        </w:rPr>
        <w:t>2022年本年收入合计</w:t>
      </w:r>
      <w:r>
        <w:rPr>
          <w:rFonts w:hint="eastAsia" w:eastAsia="仿宋_GB2312" w:cs="Times New Roman"/>
          <w:b w:val="0"/>
          <w:bCs/>
          <w:kern w:val="0"/>
          <w:sz w:val="32"/>
          <w:szCs w:val="32"/>
          <w:lang w:val="en-US" w:eastAsia="zh-CN" w:bidi="ar-SA"/>
        </w:rPr>
        <w:t>52.35</w:t>
      </w:r>
      <w:r>
        <w:rPr>
          <w:rFonts w:hint="default" w:ascii="Times New Roman" w:hAnsi="Times New Roman" w:eastAsia="仿宋_GB2312" w:cs="Times New Roman"/>
          <w:b w:val="0"/>
          <w:bCs/>
          <w:kern w:val="0"/>
          <w:sz w:val="32"/>
          <w:szCs w:val="32"/>
          <w:lang w:val="en-US" w:eastAsia="zh-CN" w:bidi="ar-SA"/>
        </w:rPr>
        <w:t>万元，其中：一般公共预算财政拨款收入</w:t>
      </w:r>
      <w:r>
        <w:rPr>
          <w:rFonts w:hint="eastAsia" w:eastAsia="仿宋_GB2312" w:cs="Times New Roman"/>
          <w:b w:val="0"/>
          <w:bCs/>
          <w:kern w:val="0"/>
          <w:sz w:val="32"/>
          <w:szCs w:val="32"/>
          <w:lang w:val="en-US" w:eastAsia="zh-CN" w:bidi="ar-SA"/>
        </w:rPr>
        <w:t>52.35</w:t>
      </w:r>
      <w:r>
        <w:rPr>
          <w:rFonts w:hint="default" w:ascii="Times New Roman" w:hAnsi="Times New Roman" w:eastAsia="仿宋_GB2312" w:cs="Times New Roman"/>
          <w:b w:val="0"/>
          <w:bCs/>
          <w:kern w:val="0"/>
          <w:sz w:val="32"/>
          <w:szCs w:val="32"/>
          <w:lang w:val="en-US" w:eastAsia="zh-CN" w:bidi="ar-SA"/>
        </w:rPr>
        <w:t>万元，占100</w:t>
      </w:r>
      <w:r>
        <w:rPr>
          <w:rFonts w:hint="eastAsia" w:eastAsia="仿宋_GB2312" w:cs="Times New Roman"/>
          <w:b w:val="0"/>
          <w:bCs/>
          <w:kern w:val="0"/>
          <w:sz w:val="32"/>
          <w:szCs w:val="32"/>
          <w:lang w:val="en-US" w:eastAsia="zh-CN" w:bidi="ar-SA"/>
        </w:rPr>
        <w:t>.0</w:t>
      </w:r>
      <w:r>
        <w:rPr>
          <w:rFonts w:hint="default" w:ascii="Times New Roman" w:hAnsi="Times New Roman" w:eastAsia="仿宋_GB2312" w:cs="Times New Roman"/>
          <w:b w:val="0"/>
          <w:bCs/>
          <w:kern w:val="0"/>
          <w:sz w:val="32"/>
          <w:szCs w:val="32"/>
          <w:lang w:val="en-US" w:eastAsia="zh-CN" w:bidi="ar-SA"/>
        </w:rPr>
        <w:t>%。</w:t>
      </w:r>
      <w:bookmarkEnd w:id="33"/>
    </w:p>
    <w:p>
      <w:pPr>
        <w:spacing w:line="600" w:lineRule="exact"/>
        <w:ind w:firstLine="420" w:firstLineChars="200"/>
        <w:rPr>
          <w:rFonts w:hint="default" w:ascii="Times New Roman" w:hAnsi="Times New Roman" w:cs="Times New Roman"/>
        </w:rPr>
      </w:pPr>
      <w:r>
        <w:rPr>
          <w:rFonts w:hint="default" w:ascii="Times New Roman" w:hAnsi="Times New Roman" w:cs="Times New Roman"/>
        </w:rPr>
        <w:drawing>
          <wp:anchor distT="0" distB="0" distL="114300" distR="114300" simplePos="0" relativeHeight="251659264" behindDoc="0" locked="0" layoutInCell="1" allowOverlap="1">
            <wp:simplePos x="0" y="0"/>
            <wp:positionH relativeFrom="column">
              <wp:posOffset>271780</wp:posOffset>
            </wp:positionH>
            <wp:positionV relativeFrom="paragraph">
              <wp:posOffset>337185</wp:posOffset>
            </wp:positionV>
            <wp:extent cx="4572000" cy="2228850"/>
            <wp:effectExtent l="5080" t="4445" r="13970" b="14605"/>
            <wp:wrapSquare wrapText="bothSides"/>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420" w:firstLineChars="200"/>
        <w:rPr>
          <w:rFonts w:hint="default" w:ascii="Times New Roman" w:hAnsi="Times New Roman" w:cs="Times New Roman"/>
        </w:rPr>
      </w:pPr>
    </w:p>
    <w:p>
      <w:pPr>
        <w:spacing w:line="600" w:lineRule="exact"/>
        <w:ind w:firstLine="420" w:firstLineChars="200"/>
        <w:rPr>
          <w:rFonts w:hint="default" w:ascii="Times New Roman" w:hAnsi="Times New Roman" w:cs="Times New Roman"/>
        </w:rPr>
      </w:pPr>
    </w:p>
    <w:p>
      <w:pPr>
        <w:spacing w:line="600" w:lineRule="exact"/>
        <w:ind w:firstLine="420" w:firstLineChars="200"/>
        <w:rPr>
          <w:rFonts w:hint="default" w:ascii="Times New Roman" w:hAnsi="Times New Roman" w:cs="Times New Roman"/>
        </w:rPr>
      </w:pPr>
    </w:p>
    <w:p>
      <w:pPr>
        <w:spacing w:line="600" w:lineRule="exact"/>
        <w:ind w:firstLine="420" w:firstLineChars="200"/>
        <w:rPr>
          <w:rFonts w:hint="default" w:ascii="Times New Roman" w:hAnsi="Times New Roman" w:cs="Times New Roman"/>
        </w:rPr>
      </w:pPr>
    </w:p>
    <w:p>
      <w:pPr>
        <w:spacing w:line="600" w:lineRule="exact"/>
        <w:ind w:firstLine="420" w:firstLineChars="200"/>
        <w:rPr>
          <w:rFonts w:hint="default" w:ascii="Times New Roman" w:hAnsi="Times New Roman" w:cs="Times New Roman"/>
        </w:rPr>
      </w:pPr>
    </w:p>
    <w:p>
      <w:pPr>
        <w:spacing w:line="600" w:lineRule="exact"/>
        <w:ind w:firstLine="640" w:firstLineChars="200"/>
        <w:rPr>
          <w:rFonts w:hint="default" w:ascii="Times New Roman" w:hAnsi="Times New Roman" w:eastAsia="仿宋_GB2312" w:cs="Times New Roman"/>
          <w:sz w:val="32"/>
          <w:szCs w:val="32"/>
        </w:rPr>
      </w:pPr>
    </w:p>
    <w:p>
      <w:pPr>
        <w:pStyle w:val="29"/>
        <w:numPr>
          <w:ilvl w:val="0"/>
          <w:numId w:val="2"/>
        </w:numPr>
        <w:spacing w:line="600" w:lineRule="exact"/>
        <w:ind w:firstLineChars="0"/>
        <w:outlineLvl w:val="1"/>
        <w:rPr>
          <w:rStyle w:val="31"/>
          <w:rFonts w:hint="default" w:ascii="Times New Roman" w:hAnsi="Times New Roman" w:eastAsia="黑体" w:cs="Times New Roman"/>
          <w:b w:val="0"/>
        </w:rPr>
      </w:pPr>
      <w:bookmarkStart w:id="34" w:name="_Toc15377207"/>
      <w:bookmarkStart w:id="35" w:name="_Toc15396605"/>
      <w:bookmarkStart w:id="36" w:name="_Toc9501"/>
      <w:r>
        <w:rPr>
          <w:rFonts w:hint="default" w:ascii="Times New Roman" w:hAnsi="Times New Roman" w:eastAsia="黑体" w:cs="Times New Roman"/>
          <w:sz w:val="32"/>
          <w:szCs w:val="32"/>
        </w:rPr>
        <w:t>支</w:t>
      </w:r>
      <w:r>
        <w:rPr>
          <w:rStyle w:val="31"/>
          <w:rFonts w:hint="default" w:ascii="Times New Roman" w:hAnsi="Times New Roman" w:eastAsia="黑体" w:cs="Times New Roman"/>
          <w:b w:val="0"/>
        </w:rPr>
        <w:t>出决算情况说明</w:t>
      </w:r>
      <w:bookmarkEnd w:id="34"/>
      <w:bookmarkEnd w:id="35"/>
      <w:bookmarkEnd w:id="36"/>
    </w:p>
    <w:p>
      <w:pPr>
        <w:spacing w:line="600" w:lineRule="exact"/>
        <w:ind w:firstLine="640" w:firstLineChars="200"/>
        <w:outlineLvl w:val="1"/>
        <w:rPr>
          <w:rFonts w:hint="default" w:ascii="Times New Roman" w:hAnsi="Times New Roman" w:eastAsia="仿宋" w:cs="Times New Roman"/>
          <w:sz w:val="32"/>
          <w:szCs w:val="32"/>
        </w:rPr>
      </w:pPr>
      <w:bookmarkStart w:id="37" w:name="_Toc17360"/>
      <w:r>
        <w:rPr>
          <w:rFonts w:hint="default" w:ascii="Times New Roman" w:hAnsi="Times New Roman" w:eastAsia="仿宋_GB2312" w:cs="Times New Roman"/>
          <w:b w:val="0"/>
          <w:bCs/>
          <w:kern w:val="0"/>
          <w:sz w:val="32"/>
          <w:szCs w:val="32"/>
          <w:lang w:val="en-US" w:eastAsia="zh-CN" w:bidi="ar-SA"/>
        </w:rPr>
        <w:t>2022年本年支出合计</w:t>
      </w:r>
      <w:r>
        <w:rPr>
          <w:rFonts w:hint="eastAsia" w:eastAsia="仿宋_GB2312" w:cs="Times New Roman"/>
          <w:b w:val="0"/>
          <w:bCs/>
          <w:kern w:val="0"/>
          <w:sz w:val="32"/>
          <w:szCs w:val="32"/>
          <w:lang w:val="en-US" w:eastAsia="zh-CN" w:bidi="ar-SA"/>
        </w:rPr>
        <w:t>52.35</w:t>
      </w:r>
      <w:r>
        <w:rPr>
          <w:rFonts w:hint="default" w:ascii="Times New Roman" w:hAnsi="Times New Roman" w:eastAsia="仿宋_GB2312" w:cs="Times New Roman"/>
          <w:b w:val="0"/>
          <w:bCs/>
          <w:kern w:val="0"/>
          <w:sz w:val="32"/>
          <w:szCs w:val="32"/>
          <w:lang w:val="en-US" w:eastAsia="zh-CN" w:bidi="ar-SA"/>
        </w:rPr>
        <w:t>万元，其中：基本支出</w:t>
      </w:r>
      <w:r>
        <w:rPr>
          <w:rFonts w:hint="eastAsia" w:eastAsia="仿宋_GB2312" w:cs="Times New Roman"/>
          <w:b w:val="0"/>
          <w:bCs/>
          <w:kern w:val="0"/>
          <w:sz w:val="32"/>
          <w:szCs w:val="32"/>
          <w:lang w:val="en-US" w:eastAsia="zh-CN" w:bidi="ar-SA"/>
        </w:rPr>
        <w:t>42.37</w:t>
      </w:r>
      <w:r>
        <w:rPr>
          <w:rFonts w:hint="default" w:ascii="Times New Roman" w:hAnsi="Times New Roman" w:eastAsia="仿宋_GB2312" w:cs="Times New Roman"/>
          <w:b w:val="0"/>
          <w:bCs/>
          <w:kern w:val="0"/>
          <w:sz w:val="32"/>
          <w:szCs w:val="32"/>
          <w:lang w:val="en-US" w:eastAsia="zh-CN" w:bidi="ar-SA"/>
        </w:rPr>
        <w:t>万元，占</w:t>
      </w:r>
      <w:r>
        <w:rPr>
          <w:rFonts w:hint="eastAsia" w:eastAsia="仿宋_GB2312" w:cs="Times New Roman"/>
          <w:b w:val="0"/>
          <w:bCs/>
          <w:kern w:val="0"/>
          <w:sz w:val="32"/>
          <w:szCs w:val="32"/>
          <w:lang w:val="en-US" w:eastAsia="zh-CN" w:bidi="ar-SA"/>
        </w:rPr>
        <w:t>80.94</w:t>
      </w:r>
      <w:r>
        <w:rPr>
          <w:rFonts w:hint="default" w:ascii="Times New Roman" w:hAnsi="Times New Roman" w:eastAsia="仿宋_GB2312" w:cs="Times New Roman"/>
          <w:b w:val="0"/>
          <w:bCs/>
          <w:kern w:val="0"/>
          <w:sz w:val="32"/>
          <w:szCs w:val="32"/>
          <w:lang w:val="en-US" w:eastAsia="zh-CN" w:bidi="ar-SA"/>
        </w:rPr>
        <w:t>%；项目支出</w:t>
      </w:r>
      <w:r>
        <w:rPr>
          <w:rFonts w:hint="eastAsia" w:eastAsia="仿宋_GB2312" w:cs="Times New Roman"/>
          <w:b w:val="0"/>
          <w:bCs/>
          <w:kern w:val="0"/>
          <w:sz w:val="32"/>
          <w:szCs w:val="32"/>
          <w:lang w:val="en-US" w:eastAsia="zh-CN" w:bidi="ar-SA"/>
        </w:rPr>
        <w:t>9.97</w:t>
      </w:r>
      <w:r>
        <w:rPr>
          <w:rFonts w:hint="default" w:ascii="Times New Roman" w:hAnsi="Times New Roman" w:eastAsia="仿宋_GB2312" w:cs="Times New Roman"/>
          <w:b w:val="0"/>
          <w:bCs/>
          <w:kern w:val="0"/>
          <w:sz w:val="32"/>
          <w:szCs w:val="32"/>
          <w:lang w:val="en-US" w:eastAsia="zh-CN" w:bidi="ar-SA"/>
        </w:rPr>
        <w:t>万元，占</w:t>
      </w:r>
      <w:r>
        <w:rPr>
          <w:rFonts w:hint="eastAsia" w:eastAsia="仿宋_GB2312" w:cs="Times New Roman"/>
          <w:b w:val="0"/>
          <w:bCs/>
          <w:kern w:val="0"/>
          <w:sz w:val="32"/>
          <w:szCs w:val="32"/>
          <w:lang w:val="en-US" w:eastAsia="zh-CN" w:bidi="ar-SA"/>
        </w:rPr>
        <w:t>19.04</w:t>
      </w:r>
      <w:r>
        <w:rPr>
          <w:rFonts w:hint="default" w:ascii="Times New Roman" w:hAnsi="Times New Roman" w:eastAsia="仿宋_GB2312" w:cs="Times New Roman"/>
          <w:b w:val="0"/>
          <w:bCs/>
          <w:kern w:val="0"/>
          <w:sz w:val="32"/>
          <w:szCs w:val="32"/>
          <w:lang w:val="en-US" w:eastAsia="zh-CN" w:bidi="ar-SA"/>
        </w:rPr>
        <w:t>%。</w:t>
      </w:r>
      <w:bookmarkEnd w:id="37"/>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drawing>
          <wp:anchor distT="0" distB="0" distL="114300" distR="114300" simplePos="0" relativeHeight="251660288" behindDoc="1" locked="0" layoutInCell="1" allowOverlap="1">
            <wp:simplePos x="0" y="0"/>
            <wp:positionH relativeFrom="column">
              <wp:posOffset>343535</wp:posOffset>
            </wp:positionH>
            <wp:positionV relativeFrom="paragraph">
              <wp:posOffset>127635</wp:posOffset>
            </wp:positionV>
            <wp:extent cx="3994150" cy="2933700"/>
            <wp:effectExtent l="5080" t="4445" r="20320" b="14605"/>
            <wp:wrapTight wrapText="bothSides">
              <wp:wrapPolygon>
                <wp:start x="-27" y="-33"/>
                <wp:lineTo x="-27" y="21567"/>
                <wp:lineTo x="21504" y="21567"/>
                <wp:lineTo x="21504" y="-33"/>
                <wp:lineTo x="-27" y="-33"/>
              </wp:wrapPolygon>
            </wp:wrapTight>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spacing w:line="600" w:lineRule="exact"/>
        <w:rPr>
          <w:rFonts w:hint="default" w:ascii="Times New Roman" w:hAnsi="Times New Roman" w:eastAsia="仿宋_GB2312" w:cs="Times New Roman"/>
          <w:sz w:val="32"/>
          <w:szCs w:val="32"/>
          <w:lang w:eastAsia="zh-CN"/>
        </w:rPr>
      </w:pPr>
    </w:p>
    <w:p>
      <w:pPr>
        <w:spacing w:line="600" w:lineRule="exact"/>
        <w:ind w:firstLine="640" w:firstLineChars="200"/>
        <w:outlineLvl w:val="1"/>
        <w:rPr>
          <w:rStyle w:val="31"/>
          <w:rFonts w:hint="default" w:ascii="Times New Roman" w:hAnsi="Times New Roman" w:eastAsia="黑体" w:cs="Times New Roman"/>
          <w:b w:val="0"/>
        </w:rPr>
      </w:pPr>
      <w:bookmarkStart w:id="38" w:name="_Toc2226"/>
      <w:bookmarkStart w:id="39" w:name="_Toc15377208"/>
      <w:bookmarkStart w:id="40" w:name="_Toc15396606"/>
      <w:r>
        <w:rPr>
          <w:rFonts w:hint="default" w:ascii="Times New Roman" w:hAnsi="Times New Roman" w:eastAsia="黑体" w:cs="Times New Roman"/>
          <w:sz w:val="32"/>
          <w:szCs w:val="32"/>
        </w:rPr>
        <w:t>四、财</w:t>
      </w:r>
      <w:r>
        <w:rPr>
          <w:rStyle w:val="31"/>
          <w:rFonts w:hint="default" w:ascii="Times New Roman" w:hAnsi="Times New Roman" w:eastAsia="黑体" w:cs="Times New Roman"/>
          <w:b w:val="0"/>
        </w:rPr>
        <w:t>政拨款收入支出决算总体情况说明</w:t>
      </w:r>
      <w:bookmarkEnd w:id="38"/>
      <w:bookmarkEnd w:id="39"/>
      <w:bookmarkEnd w:id="40"/>
    </w:p>
    <w:p>
      <w:pPr>
        <w:spacing w:line="600" w:lineRule="exact"/>
        <w:ind w:firstLine="640" w:firstLineChars="200"/>
        <w:outlineLvl w:val="1"/>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2022年财政拨款收、支总计</w:t>
      </w:r>
      <w:r>
        <w:rPr>
          <w:rFonts w:hint="eastAsia" w:eastAsia="仿宋_GB2312" w:cs="Times New Roman"/>
          <w:b w:val="0"/>
          <w:bCs/>
          <w:kern w:val="0"/>
          <w:sz w:val="32"/>
          <w:szCs w:val="32"/>
          <w:lang w:val="en-US" w:eastAsia="zh-CN" w:bidi="ar-SA"/>
        </w:rPr>
        <w:t>104.7</w:t>
      </w:r>
      <w:r>
        <w:rPr>
          <w:rFonts w:hint="default" w:ascii="Times New Roman" w:hAnsi="Times New Roman" w:eastAsia="仿宋_GB2312" w:cs="Times New Roman"/>
          <w:b w:val="0"/>
          <w:bCs/>
          <w:kern w:val="0"/>
          <w:sz w:val="32"/>
          <w:szCs w:val="32"/>
          <w:lang w:val="en-US" w:eastAsia="zh-CN" w:bidi="ar-SA"/>
        </w:rPr>
        <w:t>万元。与2021年相比，财政拨款收、支总计各</w:t>
      </w:r>
      <w:r>
        <w:rPr>
          <w:rFonts w:hint="eastAsia" w:eastAsia="仿宋_GB2312" w:cs="Times New Roman"/>
          <w:b w:val="0"/>
          <w:bCs/>
          <w:kern w:val="0"/>
          <w:sz w:val="32"/>
          <w:szCs w:val="32"/>
          <w:lang w:val="en-US" w:eastAsia="zh-CN" w:bidi="ar-SA"/>
        </w:rPr>
        <w:t>增加52.35</w:t>
      </w:r>
      <w:r>
        <w:rPr>
          <w:rFonts w:hint="default" w:ascii="Times New Roman" w:hAnsi="Times New Roman" w:eastAsia="仿宋_GB2312" w:cs="Times New Roman"/>
          <w:b w:val="0"/>
          <w:bCs/>
          <w:kern w:val="0"/>
          <w:sz w:val="32"/>
          <w:szCs w:val="32"/>
          <w:lang w:val="en-US" w:eastAsia="zh-CN" w:bidi="ar-SA"/>
        </w:rPr>
        <w:t>万元，</w:t>
      </w:r>
      <w:r>
        <w:rPr>
          <w:rFonts w:hint="eastAsia" w:eastAsia="仿宋_GB2312" w:cs="Times New Roman"/>
          <w:b w:val="0"/>
          <w:bCs/>
          <w:kern w:val="0"/>
          <w:sz w:val="32"/>
          <w:szCs w:val="32"/>
          <w:lang w:val="en-US" w:eastAsia="zh-CN" w:bidi="ar-SA"/>
        </w:rPr>
        <w:t>增长100.0</w:t>
      </w:r>
      <w:r>
        <w:rPr>
          <w:rFonts w:hint="default" w:ascii="Times New Roman" w:hAnsi="Times New Roman" w:eastAsia="仿宋_GB2312" w:cs="Times New Roman"/>
          <w:b w:val="0"/>
          <w:bCs/>
          <w:kern w:val="0"/>
          <w:sz w:val="32"/>
          <w:szCs w:val="32"/>
          <w:lang w:val="en-US" w:eastAsia="zh-CN" w:bidi="ar-SA"/>
        </w:rPr>
        <w:t>%。主要变动原因</w:t>
      </w:r>
      <w:r>
        <w:rPr>
          <w:rFonts w:hint="eastAsia" w:eastAsia="仿宋_GB2312" w:cs="Times New Roman"/>
          <w:b w:val="0"/>
          <w:bCs/>
          <w:kern w:val="0"/>
          <w:sz w:val="32"/>
          <w:szCs w:val="32"/>
          <w:lang w:val="en-US" w:eastAsia="zh-CN" w:bidi="ar-SA"/>
        </w:rPr>
        <w:t>是本单位为2022年新成立单位。</w:t>
      </w:r>
    </w:p>
    <w:p>
      <w:pPr>
        <w:spacing w:line="600" w:lineRule="exact"/>
        <w:ind w:firstLine="420" w:firstLineChars="200"/>
        <w:outlineLvl w:val="1"/>
        <w:rPr>
          <w:rFonts w:hint="default" w:ascii="Times New Roman" w:hAnsi="Times New Roman" w:eastAsia="仿宋_GB2312" w:cs="Times New Roman"/>
          <w:b w:val="0"/>
          <w:bCs/>
          <w:kern w:val="0"/>
          <w:sz w:val="32"/>
          <w:szCs w:val="32"/>
          <w:lang w:val="en-US" w:eastAsia="zh-CN" w:bidi="ar-SA"/>
        </w:rPr>
      </w:pPr>
      <w:r>
        <w:rPr>
          <w:rFonts w:hint="default"/>
          <w:lang w:val="en-US" w:eastAsia="zh-CN"/>
        </w:rPr>
        <w:drawing>
          <wp:anchor distT="0" distB="0" distL="114300" distR="114300" simplePos="0" relativeHeight="251662336" behindDoc="1" locked="0" layoutInCell="1" allowOverlap="1">
            <wp:simplePos x="0" y="0"/>
            <wp:positionH relativeFrom="column">
              <wp:posOffset>-175260</wp:posOffset>
            </wp:positionH>
            <wp:positionV relativeFrom="paragraph">
              <wp:posOffset>227330</wp:posOffset>
            </wp:positionV>
            <wp:extent cx="5080000" cy="3810000"/>
            <wp:effectExtent l="4445" t="4445" r="20955" b="14605"/>
            <wp:wrapTight wrapText="bothSides">
              <wp:wrapPolygon>
                <wp:start x="-19" y="-25"/>
                <wp:lineTo x="-19" y="21575"/>
                <wp:lineTo x="21527" y="21575"/>
                <wp:lineTo x="21527" y="-25"/>
                <wp:lineTo x="-19" y="-25"/>
              </wp:wrapPolygon>
            </wp:wrapTight>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
        <w:rPr>
          <w:rFonts w:hint="default" w:ascii="Times New Roman" w:hAnsi="Times New Roman" w:eastAsia="仿宋_GB2312" w:cs="Times New Roman"/>
          <w:b w:val="0"/>
          <w:bCs/>
          <w:kern w:val="0"/>
          <w:sz w:val="32"/>
          <w:szCs w:val="32"/>
          <w:lang w:val="en-US" w:eastAsia="zh-CN" w:bidi="ar-SA"/>
        </w:rPr>
      </w:pPr>
    </w:p>
    <w:p>
      <w:pPr>
        <w:rPr>
          <w:rFonts w:hint="default" w:ascii="Times New Roman" w:hAnsi="Times New Roman" w:eastAsia="仿宋_GB2312" w:cs="Times New Roman"/>
          <w:b w:val="0"/>
          <w:bCs/>
          <w:kern w:val="0"/>
          <w:sz w:val="32"/>
          <w:szCs w:val="32"/>
          <w:lang w:val="en-US" w:eastAsia="zh-CN" w:bidi="ar-SA"/>
        </w:rPr>
      </w:pPr>
    </w:p>
    <w:p>
      <w:pPr>
        <w:pStyle w:val="2"/>
        <w:rPr>
          <w:rFonts w:hint="default"/>
          <w:lang w:val="en-US" w:eastAsia="zh-CN"/>
        </w:rPr>
      </w:pPr>
    </w:p>
    <w:p>
      <w:pPr>
        <w:pStyle w:val="15"/>
        <w:rPr>
          <w:rFonts w:hint="default" w:ascii="Times New Roman" w:hAnsi="Times New Roman" w:eastAsia="仿宋" w:cs="Times New Roman"/>
          <w:b/>
          <w:sz w:val="32"/>
          <w:szCs w:val="32"/>
        </w:rPr>
      </w:pPr>
    </w:p>
    <w:p>
      <w:pPr>
        <w:pStyle w:val="15"/>
        <w:rPr>
          <w:rFonts w:hint="default" w:ascii="Times New Roman" w:hAnsi="Times New Roman" w:cs="Times New Roman"/>
        </w:rPr>
      </w:pPr>
    </w:p>
    <w:p>
      <w:pPr>
        <w:spacing w:line="600" w:lineRule="exact"/>
        <w:ind w:firstLine="640" w:firstLineChars="200"/>
        <w:outlineLvl w:val="1"/>
        <w:rPr>
          <w:rStyle w:val="31"/>
          <w:rFonts w:hint="default" w:ascii="Times New Roman" w:hAnsi="Times New Roman" w:eastAsia="黑体" w:cs="Times New Roman"/>
          <w:b w:val="0"/>
        </w:rPr>
      </w:pPr>
      <w:bookmarkStart w:id="41" w:name="_Toc15377209"/>
      <w:bookmarkStart w:id="42" w:name="_Toc18187"/>
      <w:bookmarkStart w:id="43" w:name="_Toc15396607"/>
      <w:r>
        <w:rPr>
          <w:rFonts w:hint="default" w:ascii="Times New Roman" w:hAnsi="Times New Roman" w:eastAsia="黑体" w:cs="Times New Roman"/>
          <w:sz w:val="32"/>
          <w:szCs w:val="32"/>
        </w:rPr>
        <w:t>五、</w:t>
      </w:r>
      <w:r>
        <w:rPr>
          <w:rFonts w:hint="default" w:ascii="Times New Roman" w:hAnsi="Times New Roman" w:eastAsia="黑体" w:cs="Times New Roman"/>
          <w:b/>
          <w:sz w:val="32"/>
          <w:szCs w:val="32"/>
        </w:rPr>
        <w:t>一</w:t>
      </w:r>
      <w:r>
        <w:rPr>
          <w:rStyle w:val="31"/>
          <w:rFonts w:hint="default" w:ascii="Times New Roman" w:hAnsi="Times New Roman" w:eastAsia="黑体" w:cs="Times New Roman"/>
          <w:b w:val="0"/>
        </w:rPr>
        <w:t>般公共预算财政拨款支出决算情况说明</w:t>
      </w:r>
      <w:bookmarkEnd w:id="41"/>
      <w:bookmarkEnd w:id="42"/>
      <w:bookmarkEnd w:id="43"/>
    </w:p>
    <w:p>
      <w:pPr>
        <w:spacing w:line="600" w:lineRule="exact"/>
        <w:ind w:firstLine="643" w:firstLineChars="200"/>
        <w:outlineLvl w:val="2"/>
        <w:rPr>
          <w:rFonts w:hint="default" w:ascii="Times New Roman" w:hAnsi="Times New Roman" w:eastAsia="仿宋" w:cs="Times New Roman"/>
          <w:b/>
          <w:sz w:val="32"/>
          <w:szCs w:val="32"/>
        </w:rPr>
      </w:pPr>
      <w:bookmarkStart w:id="44" w:name="_Toc15377210"/>
      <w:r>
        <w:rPr>
          <w:rFonts w:hint="default" w:ascii="Times New Roman" w:hAnsi="Times New Roman" w:eastAsia="仿宋" w:cs="Times New Roman"/>
          <w:b/>
          <w:sz w:val="32"/>
          <w:szCs w:val="32"/>
        </w:rPr>
        <w:t>（一）一般公共预算财政拨款支出决算总体情况</w:t>
      </w:r>
      <w:bookmarkEnd w:id="44"/>
    </w:p>
    <w:p>
      <w:pPr>
        <w:spacing w:line="600" w:lineRule="exact"/>
        <w:ind w:firstLine="640" w:firstLineChars="200"/>
        <w:outlineLvl w:val="1"/>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2022年一般公共预算财政拨款支出:</w:t>
      </w:r>
      <w:r>
        <w:rPr>
          <w:rFonts w:hint="eastAsia" w:eastAsia="仿宋_GB2312" w:cs="Times New Roman"/>
          <w:b w:val="0"/>
          <w:bCs/>
          <w:kern w:val="0"/>
          <w:sz w:val="32"/>
          <w:szCs w:val="32"/>
          <w:lang w:val="en-US" w:eastAsia="zh-CN" w:bidi="ar-SA"/>
        </w:rPr>
        <w:t>52.35</w:t>
      </w:r>
      <w:r>
        <w:rPr>
          <w:rFonts w:hint="default" w:ascii="Times New Roman" w:hAnsi="Times New Roman" w:eastAsia="仿宋_GB2312" w:cs="Times New Roman"/>
          <w:b w:val="0"/>
          <w:bCs/>
          <w:kern w:val="0"/>
          <w:sz w:val="32"/>
          <w:szCs w:val="32"/>
          <w:lang w:val="en-US" w:eastAsia="zh-CN" w:bidi="ar-SA"/>
        </w:rPr>
        <w:t>万元，占本年支出合计的</w:t>
      </w:r>
      <w:r>
        <w:rPr>
          <w:rFonts w:hint="eastAsia" w:eastAsia="仿宋_GB2312" w:cs="Times New Roman"/>
          <w:b w:val="0"/>
          <w:bCs/>
          <w:kern w:val="0"/>
          <w:sz w:val="32"/>
          <w:szCs w:val="32"/>
          <w:lang w:val="en-US" w:eastAsia="zh-CN" w:bidi="ar-SA"/>
        </w:rPr>
        <w:t>100.0</w:t>
      </w:r>
      <w:r>
        <w:rPr>
          <w:rFonts w:hint="default" w:ascii="Times New Roman" w:hAnsi="Times New Roman" w:eastAsia="仿宋_GB2312" w:cs="Times New Roman"/>
          <w:b w:val="0"/>
          <w:bCs/>
          <w:kern w:val="0"/>
          <w:sz w:val="32"/>
          <w:szCs w:val="32"/>
          <w:lang w:val="en-US" w:eastAsia="zh-CN" w:bidi="ar-SA"/>
        </w:rPr>
        <w:t>%。与2021年相比，一般公共预算财政拨款支出</w:t>
      </w:r>
      <w:r>
        <w:rPr>
          <w:rFonts w:hint="eastAsia" w:eastAsia="仿宋_GB2312" w:cs="Times New Roman"/>
          <w:b w:val="0"/>
          <w:bCs/>
          <w:kern w:val="0"/>
          <w:sz w:val="32"/>
          <w:szCs w:val="32"/>
          <w:lang w:val="en-US" w:eastAsia="zh-CN" w:bidi="ar-SA"/>
        </w:rPr>
        <w:t>0</w:t>
      </w:r>
      <w:r>
        <w:rPr>
          <w:rFonts w:hint="default" w:ascii="Times New Roman" w:hAnsi="Times New Roman" w:eastAsia="仿宋_GB2312" w:cs="Times New Roman"/>
          <w:b w:val="0"/>
          <w:bCs/>
          <w:kern w:val="0"/>
          <w:sz w:val="32"/>
          <w:szCs w:val="32"/>
          <w:lang w:val="en-US" w:eastAsia="zh-CN" w:bidi="ar-SA"/>
        </w:rPr>
        <w:t>万元，</w:t>
      </w:r>
      <w:r>
        <w:rPr>
          <w:rFonts w:hint="eastAsia" w:eastAsia="仿宋_GB2312" w:cs="Times New Roman"/>
          <w:b w:val="0"/>
          <w:bCs/>
          <w:kern w:val="0"/>
          <w:sz w:val="32"/>
          <w:szCs w:val="32"/>
          <w:lang w:val="en-US" w:eastAsia="zh-CN" w:bidi="ar-SA"/>
        </w:rPr>
        <w:t>增长100</w:t>
      </w:r>
      <w:r>
        <w:rPr>
          <w:rFonts w:hint="default" w:ascii="Times New Roman" w:hAnsi="Times New Roman" w:eastAsia="仿宋_GB2312" w:cs="Times New Roman"/>
          <w:b w:val="0"/>
          <w:bCs/>
          <w:kern w:val="0"/>
          <w:sz w:val="32"/>
          <w:szCs w:val="32"/>
          <w:lang w:val="en-US" w:eastAsia="zh-CN" w:bidi="ar-SA"/>
        </w:rPr>
        <w:t>.0%。主要变动原因是</w:t>
      </w:r>
      <w:r>
        <w:rPr>
          <w:rFonts w:hint="eastAsia" w:eastAsia="仿宋_GB2312" w:cs="Times New Roman"/>
          <w:b w:val="0"/>
          <w:bCs/>
          <w:kern w:val="0"/>
          <w:sz w:val="32"/>
          <w:szCs w:val="32"/>
          <w:lang w:val="en-US" w:eastAsia="zh-CN" w:bidi="ar-SA"/>
        </w:rPr>
        <w:t>是本单位为2022年新成立单位</w:t>
      </w:r>
      <w:r>
        <w:rPr>
          <w:rFonts w:hint="default" w:ascii="Times New Roman" w:hAnsi="Times New Roman" w:eastAsia="仿宋_GB2312" w:cs="Times New Roman"/>
          <w:b w:val="0"/>
          <w:bCs/>
          <w:kern w:val="0"/>
          <w:sz w:val="32"/>
          <w:szCs w:val="32"/>
          <w:lang w:val="en-US" w:eastAsia="zh-CN" w:bidi="ar-SA"/>
        </w:rPr>
        <w:t>。</w:t>
      </w:r>
    </w:p>
    <w:p>
      <w:pPr>
        <w:pStyle w:val="2"/>
        <w:rPr>
          <w:rFonts w:hint="default"/>
          <w:lang w:val="en-US" w:eastAsia="zh-CN"/>
        </w:rPr>
      </w:pPr>
      <w:r>
        <w:rPr>
          <w:rFonts w:hint="default"/>
          <w:lang w:val="en-US" w:eastAsia="zh-CN"/>
        </w:rPr>
        <w:drawing>
          <wp:anchor distT="0" distB="0" distL="114300" distR="114300" simplePos="0" relativeHeight="251663360" behindDoc="1" locked="0" layoutInCell="1" allowOverlap="1">
            <wp:simplePos x="0" y="0"/>
            <wp:positionH relativeFrom="column">
              <wp:posOffset>173990</wp:posOffset>
            </wp:positionH>
            <wp:positionV relativeFrom="paragraph">
              <wp:posOffset>136525</wp:posOffset>
            </wp:positionV>
            <wp:extent cx="5080000" cy="3810000"/>
            <wp:effectExtent l="4445" t="4445" r="20955" b="14605"/>
            <wp:wrapTight wrapText="bothSides">
              <wp:wrapPolygon>
                <wp:start x="-19" y="-25"/>
                <wp:lineTo x="-19" y="21575"/>
                <wp:lineTo x="21527" y="21575"/>
                <wp:lineTo x="21527" y="-25"/>
                <wp:lineTo x="-19" y="-25"/>
              </wp:wrapPolygon>
            </wp:wrapTight>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15"/>
        <w:ind w:left="0" w:leftChars="0" w:firstLine="0" w:firstLineChars="0"/>
        <w:rPr>
          <w:rFonts w:hint="default" w:ascii="Times New Roman" w:hAnsi="Times New Roman" w:eastAsia="仿宋" w:cs="Times New Roman"/>
          <w:b/>
          <w:sz w:val="32"/>
          <w:szCs w:val="32"/>
        </w:rPr>
      </w:pPr>
      <w:bookmarkStart w:id="45" w:name="_Toc15377211"/>
      <w:r>
        <w:rPr>
          <w:rFonts w:hint="default" w:ascii="Times New Roman" w:hAnsi="Times New Roman" w:eastAsia="仿宋" w:cs="Times New Roman"/>
          <w:b/>
          <w:sz w:val="32"/>
          <w:szCs w:val="32"/>
        </w:rPr>
        <w:t>（二）一般公共预算财政拨款支出决算结构情况</w:t>
      </w:r>
      <w:bookmarkEnd w:id="45"/>
    </w:p>
    <w:p>
      <w:pPr>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2022年一般公共预算财政拨款支出</w:t>
      </w:r>
      <w:r>
        <w:rPr>
          <w:rFonts w:hint="eastAsia" w:eastAsia="仿宋" w:cs="Times New Roman"/>
          <w:sz w:val="32"/>
          <w:szCs w:val="32"/>
          <w:lang w:val="en-US" w:eastAsia="zh-CN"/>
        </w:rPr>
        <w:t>52.35</w:t>
      </w:r>
      <w:r>
        <w:rPr>
          <w:rFonts w:hint="default" w:ascii="Times New Roman" w:hAnsi="Times New Roman" w:eastAsia="仿宋" w:cs="Times New Roman"/>
          <w:sz w:val="32"/>
          <w:szCs w:val="32"/>
        </w:rPr>
        <w:t>万元，主要用于以下方面:</w:t>
      </w:r>
      <w:r>
        <w:rPr>
          <w:rFonts w:hint="default" w:ascii="Times New Roman" w:hAnsi="Times New Roman" w:eastAsia="仿宋" w:cs="Times New Roman"/>
          <w:b/>
          <w:sz w:val="32"/>
          <w:szCs w:val="32"/>
        </w:rPr>
        <w:t>一般公共服务</w:t>
      </w:r>
      <w:r>
        <w:rPr>
          <w:rFonts w:hint="default" w:ascii="Times New Roman" w:hAnsi="Times New Roman" w:eastAsia="仿宋" w:cs="Times New Roman"/>
          <w:b/>
          <w:bCs/>
          <w:sz w:val="32"/>
          <w:szCs w:val="32"/>
        </w:rPr>
        <w:t>支出</w:t>
      </w:r>
      <w:r>
        <w:rPr>
          <w:rFonts w:hint="eastAsia" w:eastAsia="仿宋" w:cs="Times New Roman"/>
          <w:sz w:val="32"/>
          <w:szCs w:val="32"/>
          <w:lang w:val="en-US" w:eastAsia="zh-CN"/>
        </w:rPr>
        <w:t>0.2</w:t>
      </w:r>
      <w:r>
        <w:rPr>
          <w:rFonts w:hint="default" w:ascii="Times New Roman" w:hAnsi="Times New Roman" w:eastAsia="仿宋" w:cs="Times New Roman"/>
          <w:sz w:val="32"/>
          <w:szCs w:val="32"/>
        </w:rPr>
        <w:t>万元，占</w:t>
      </w:r>
      <w:r>
        <w:rPr>
          <w:rFonts w:hint="eastAsia" w:eastAsia="仿宋" w:cs="Times New Roman"/>
          <w:sz w:val="32"/>
          <w:szCs w:val="32"/>
          <w:lang w:val="en-US" w:eastAsia="zh-CN"/>
        </w:rPr>
        <w:t>0.38</w:t>
      </w:r>
      <w:r>
        <w:rPr>
          <w:rFonts w:hint="default" w:ascii="Times New Roman" w:hAnsi="Times New Roman" w:eastAsia="仿宋" w:cs="Times New Roman"/>
          <w:sz w:val="32"/>
          <w:szCs w:val="32"/>
        </w:rPr>
        <w:t>%；</w:t>
      </w:r>
      <w:r>
        <w:rPr>
          <w:rFonts w:hint="default" w:ascii="Times New Roman" w:hAnsi="Times New Roman" w:eastAsia="仿宋" w:cs="Times New Roman"/>
          <w:b/>
          <w:sz w:val="32"/>
          <w:szCs w:val="32"/>
        </w:rPr>
        <w:t>社会保障和就业</w:t>
      </w:r>
      <w:r>
        <w:rPr>
          <w:rFonts w:hint="default" w:ascii="Times New Roman" w:hAnsi="Times New Roman" w:eastAsia="仿宋" w:cs="Times New Roman"/>
          <w:b/>
          <w:bCs/>
          <w:sz w:val="32"/>
          <w:szCs w:val="32"/>
        </w:rPr>
        <w:t>支出</w:t>
      </w:r>
      <w:r>
        <w:rPr>
          <w:rFonts w:hint="eastAsia" w:eastAsia="仿宋" w:cs="Times New Roman"/>
          <w:sz w:val="32"/>
          <w:szCs w:val="32"/>
          <w:lang w:val="en-US" w:eastAsia="zh-CN"/>
        </w:rPr>
        <w:t>45.82</w:t>
      </w:r>
      <w:r>
        <w:rPr>
          <w:rFonts w:hint="default" w:ascii="Times New Roman" w:hAnsi="Times New Roman" w:eastAsia="仿宋" w:cs="Times New Roman"/>
          <w:sz w:val="32"/>
          <w:szCs w:val="32"/>
        </w:rPr>
        <w:t>万元，占</w:t>
      </w:r>
      <w:r>
        <w:rPr>
          <w:rFonts w:hint="eastAsia" w:eastAsia="仿宋" w:cs="Times New Roman"/>
          <w:sz w:val="32"/>
          <w:szCs w:val="32"/>
          <w:lang w:val="en-US" w:eastAsia="zh-CN"/>
        </w:rPr>
        <w:t>87.53</w:t>
      </w:r>
      <w:r>
        <w:rPr>
          <w:rFonts w:hint="default" w:ascii="Times New Roman" w:hAnsi="Times New Roman" w:eastAsia="仿宋" w:cs="Times New Roman"/>
          <w:sz w:val="32"/>
          <w:szCs w:val="32"/>
        </w:rPr>
        <w:t>%；</w:t>
      </w:r>
      <w:r>
        <w:rPr>
          <w:rFonts w:hint="default" w:ascii="Times New Roman" w:hAnsi="Times New Roman" w:eastAsia="仿宋" w:cs="Times New Roman"/>
          <w:b/>
          <w:bCs/>
          <w:sz w:val="32"/>
          <w:szCs w:val="32"/>
        </w:rPr>
        <w:t>卫生健康支出</w:t>
      </w:r>
      <w:r>
        <w:rPr>
          <w:rFonts w:hint="eastAsia" w:eastAsia="仿宋" w:cs="Times New Roman"/>
          <w:sz w:val="32"/>
          <w:szCs w:val="32"/>
          <w:lang w:val="en-US" w:eastAsia="zh-CN"/>
        </w:rPr>
        <w:t>1.4</w:t>
      </w:r>
      <w:r>
        <w:rPr>
          <w:rFonts w:hint="default" w:ascii="Times New Roman" w:hAnsi="Times New Roman" w:eastAsia="仿宋" w:cs="Times New Roman"/>
          <w:sz w:val="32"/>
          <w:szCs w:val="32"/>
        </w:rPr>
        <w:t>万元，占</w:t>
      </w:r>
      <w:r>
        <w:rPr>
          <w:rFonts w:hint="eastAsia" w:eastAsia="仿宋" w:cs="Times New Roman"/>
          <w:sz w:val="32"/>
          <w:szCs w:val="32"/>
          <w:lang w:val="en-US" w:eastAsia="zh-CN"/>
        </w:rPr>
        <w:t>2.67</w:t>
      </w:r>
      <w:r>
        <w:rPr>
          <w:rFonts w:hint="default" w:ascii="Times New Roman" w:hAnsi="Times New Roman" w:eastAsia="仿宋" w:cs="Times New Roman"/>
          <w:sz w:val="32"/>
          <w:szCs w:val="32"/>
        </w:rPr>
        <w:t>%；</w:t>
      </w:r>
      <w:r>
        <w:rPr>
          <w:rFonts w:hint="default" w:ascii="Times New Roman" w:hAnsi="Times New Roman" w:eastAsia="仿宋" w:cs="Times New Roman"/>
          <w:b/>
          <w:bCs/>
          <w:sz w:val="32"/>
          <w:szCs w:val="32"/>
        </w:rPr>
        <w:t>住房保障支出</w:t>
      </w:r>
      <w:r>
        <w:rPr>
          <w:rFonts w:hint="eastAsia" w:eastAsia="仿宋" w:cs="Times New Roman"/>
          <w:sz w:val="32"/>
          <w:szCs w:val="32"/>
          <w:lang w:val="en-US" w:eastAsia="zh-CN"/>
        </w:rPr>
        <w:t>4.92</w:t>
      </w:r>
      <w:r>
        <w:rPr>
          <w:rFonts w:hint="default" w:ascii="Times New Roman" w:hAnsi="Times New Roman" w:eastAsia="仿宋" w:cs="Times New Roman"/>
          <w:sz w:val="32"/>
          <w:szCs w:val="32"/>
        </w:rPr>
        <w:t>万元，占</w:t>
      </w:r>
      <w:r>
        <w:rPr>
          <w:rFonts w:hint="eastAsia" w:eastAsia="仿宋" w:cs="Times New Roman"/>
          <w:sz w:val="32"/>
          <w:szCs w:val="32"/>
          <w:lang w:val="en-US" w:eastAsia="zh-CN"/>
        </w:rPr>
        <w:t>9.4</w:t>
      </w:r>
      <w:r>
        <w:rPr>
          <w:rFonts w:hint="default" w:ascii="Times New Roman" w:hAnsi="Times New Roman" w:eastAsia="仿宋" w:cs="Times New Roman"/>
          <w:sz w:val="32"/>
          <w:szCs w:val="32"/>
        </w:rPr>
        <w:t>%。</w:t>
      </w:r>
      <w:bookmarkStart w:id="46" w:name="_Toc15377212"/>
    </w:p>
    <w:p>
      <w:pPr>
        <w:spacing w:line="600" w:lineRule="exact"/>
        <w:rPr>
          <w:rFonts w:hint="default" w:ascii="Times New Roman" w:hAnsi="Times New Roman" w:eastAsia="仿宋" w:cs="Times New Roman"/>
          <w:b/>
          <w:sz w:val="32"/>
          <w:szCs w:val="32"/>
        </w:rPr>
      </w:pPr>
      <w:r>
        <w:rPr>
          <w:rFonts w:hint="eastAsia" w:ascii="Times New Roman" w:hAnsi="Times New Roman" w:eastAsia="仿宋" w:cs="Times New Roman"/>
          <w:b/>
          <w:sz w:val="32"/>
          <w:szCs w:val="32"/>
          <w:lang w:eastAsia="zh-CN"/>
        </w:rPr>
        <w:drawing>
          <wp:anchor distT="0" distB="0" distL="114300" distR="114300" simplePos="0" relativeHeight="251664384" behindDoc="1" locked="0" layoutInCell="1" allowOverlap="1">
            <wp:simplePos x="0" y="0"/>
            <wp:positionH relativeFrom="column">
              <wp:posOffset>57150</wp:posOffset>
            </wp:positionH>
            <wp:positionV relativeFrom="paragraph">
              <wp:posOffset>312420</wp:posOffset>
            </wp:positionV>
            <wp:extent cx="5080000" cy="3810000"/>
            <wp:effectExtent l="4445" t="4445" r="20955" b="14605"/>
            <wp:wrapTight wrapText="bothSides">
              <wp:wrapPolygon>
                <wp:start x="-19" y="-25"/>
                <wp:lineTo x="-19" y="21575"/>
                <wp:lineTo x="21527" y="21575"/>
                <wp:lineTo x="21527" y="-25"/>
                <wp:lineTo x="-19" y="-25"/>
              </wp:wrapPolygon>
            </wp:wrapTight>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rPr>
          <w:rFonts w:hint="default"/>
        </w:rPr>
      </w:pPr>
    </w:p>
    <w:p>
      <w:pPr>
        <w:spacing w:line="600" w:lineRule="exact"/>
        <w:ind w:firstLine="643" w:firstLineChars="200"/>
        <w:outlineLvl w:val="2"/>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（三）一般公共预算财政拨款支出决算具体情况</w:t>
      </w:r>
      <w:bookmarkEnd w:id="46"/>
    </w:p>
    <w:p>
      <w:pPr>
        <w:spacing w:line="600" w:lineRule="exact"/>
        <w:ind w:firstLine="643" w:firstLineChars="200"/>
        <w:outlineLvl w:val="2"/>
        <w:rPr>
          <w:rFonts w:hint="default" w:ascii="Times New Roman" w:hAnsi="Times New Roman" w:eastAsia="仿宋" w:cs="Times New Roman"/>
          <w:sz w:val="32"/>
          <w:szCs w:val="32"/>
        </w:rPr>
      </w:pPr>
      <w:bookmarkStart w:id="47" w:name="_Toc15377213"/>
      <w:bookmarkStart w:id="48" w:name="_Toc15377444"/>
      <w:bookmarkStart w:id="49" w:name="_Toc15378460"/>
      <w:r>
        <w:rPr>
          <w:rFonts w:hint="default" w:ascii="Times New Roman" w:hAnsi="Times New Roman" w:eastAsia="仿宋" w:cs="Times New Roman"/>
          <w:b/>
          <w:sz w:val="32"/>
          <w:szCs w:val="32"/>
        </w:rPr>
        <w:t>2022年一般公共预算支出决算数为</w:t>
      </w:r>
      <w:r>
        <w:rPr>
          <w:rFonts w:hint="eastAsia" w:eastAsia="仿宋" w:cs="Times New Roman"/>
          <w:b/>
          <w:sz w:val="32"/>
          <w:szCs w:val="32"/>
          <w:lang w:val="en-US" w:eastAsia="zh-CN"/>
        </w:rPr>
        <w:t>52.35</w:t>
      </w:r>
      <w:r>
        <w:rPr>
          <w:rFonts w:hint="default" w:ascii="Times New Roman" w:hAnsi="Times New Roman" w:eastAsia="仿宋" w:cs="Times New Roman"/>
          <w:sz w:val="32"/>
          <w:szCs w:val="32"/>
        </w:rPr>
        <w:t>，</w:t>
      </w:r>
      <w:r>
        <w:rPr>
          <w:rStyle w:val="19"/>
          <w:rFonts w:hint="default" w:ascii="Times New Roman" w:hAnsi="Times New Roman" w:eastAsia="仿宋" w:cs="Times New Roman"/>
          <w:bCs/>
          <w:sz w:val="32"/>
          <w:szCs w:val="32"/>
        </w:rPr>
        <w:t>完成预算</w:t>
      </w:r>
      <w:r>
        <w:rPr>
          <w:rStyle w:val="19"/>
          <w:rFonts w:hint="default" w:ascii="Times New Roman" w:hAnsi="Times New Roman" w:eastAsia="仿宋" w:cs="Times New Roman"/>
          <w:bCs/>
          <w:sz w:val="32"/>
          <w:szCs w:val="32"/>
          <w:lang w:val="en-US" w:eastAsia="zh-CN"/>
        </w:rPr>
        <w:t>100</w:t>
      </w:r>
      <w:r>
        <w:rPr>
          <w:rStyle w:val="19"/>
          <w:rFonts w:hint="default" w:ascii="Times New Roman" w:hAnsi="Times New Roman" w:eastAsia="仿宋" w:cs="Times New Roman"/>
          <w:bCs/>
          <w:sz w:val="32"/>
          <w:szCs w:val="32"/>
        </w:rPr>
        <w:t>%。其中：</w:t>
      </w:r>
      <w:bookmarkEnd w:id="47"/>
      <w:bookmarkEnd w:id="48"/>
      <w:bookmarkEnd w:id="49"/>
    </w:p>
    <w:p>
      <w:pPr>
        <w:spacing w:line="600" w:lineRule="exact"/>
        <w:ind w:firstLine="643" w:firstLineChars="200"/>
        <w:rPr>
          <w:rFonts w:hint="default" w:ascii="Times New Roman" w:hAnsi="Times New Roman" w:eastAsia="仿宋" w:cs="Times New Roman"/>
          <w:b/>
          <w:sz w:val="32"/>
          <w:szCs w:val="32"/>
        </w:rPr>
      </w:pPr>
      <w:r>
        <w:rPr>
          <w:rStyle w:val="19"/>
          <w:rFonts w:hint="default" w:ascii="Times New Roman" w:hAnsi="Times New Roman" w:eastAsia="仿宋" w:cs="Times New Roman"/>
          <w:bCs/>
          <w:sz w:val="32"/>
          <w:szCs w:val="32"/>
        </w:rPr>
        <w:t>1.一般公共服务:</w:t>
      </w:r>
      <w:r>
        <w:rPr>
          <w:rStyle w:val="19"/>
          <w:rFonts w:hint="default" w:ascii="Times New Roman" w:hAnsi="Times New Roman" w:eastAsia="仿宋" w:cs="Times New Roman"/>
          <w:b w:val="0"/>
          <w:bCs/>
          <w:sz w:val="32"/>
          <w:szCs w:val="32"/>
        </w:rPr>
        <w:t xml:space="preserve"> 支出决算为</w:t>
      </w:r>
      <w:r>
        <w:rPr>
          <w:rStyle w:val="19"/>
          <w:rFonts w:hint="eastAsia" w:eastAsia="仿宋" w:cs="Times New Roman"/>
          <w:b w:val="0"/>
          <w:bCs/>
          <w:sz w:val="32"/>
          <w:szCs w:val="32"/>
          <w:lang w:val="en-US" w:eastAsia="zh-CN"/>
        </w:rPr>
        <w:t>0.2</w:t>
      </w:r>
      <w:r>
        <w:rPr>
          <w:rStyle w:val="19"/>
          <w:rFonts w:hint="default" w:ascii="Times New Roman" w:hAnsi="Times New Roman" w:eastAsia="仿宋" w:cs="Times New Roman"/>
          <w:b w:val="0"/>
          <w:bCs/>
          <w:sz w:val="32"/>
          <w:szCs w:val="32"/>
        </w:rPr>
        <w:t>万元，完成预算</w:t>
      </w:r>
      <w:r>
        <w:rPr>
          <w:rStyle w:val="19"/>
          <w:rFonts w:hint="default" w:ascii="Times New Roman" w:hAnsi="Times New Roman" w:eastAsia="仿宋" w:cs="Times New Roman"/>
          <w:b w:val="0"/>
          <w:bCs/>
          <w:sz w:val="32"/>
          <w:szCs w:val="32"/>
          <w:lang w:val="en-US" w:eastAsia="zh-CN"/>
        </w:rPr>
        <w:t>100</w:t>
      </w:r>
      <w:r>
        <w:rPr>
          <w:rStyle w:val="19"/>
          <w:rFonts w:hint="default" w:ascii="Times New Roman" w:hAnsi="Times New Roman" w:eastAsia="仿宋" w:cs="Times New Roman"/>
          <w:b w:val="0"/>
          <w:bCs/>
          <w:sz w:val="32"/>
          <w:szCs w:val="32"/>
        </w:rPr>
        <w:t>%。</w:t>
      </w:r>
    </w:p>
    <w:p>
      <w:pPr>
        <w:spacing w:line="600" w:lineRule="exact"/>
        <w:ind w:firstLine="643" w:firstLineChars="200"/>
        <w:rPr>
          <w:rStyle w:val="19"/>
          <w:rFonts w:hint="default" w:ascii="Times New Roman" w:hAnsi="Times New Roman" w:eastAsia="仿宋" w:cs="Times New Roman"/>
          <w:b w:val="0"/>
          <w:bCs/>
          <w:sz w:val="32"/>
          <w:szCs w:val="32"/>
        </w:rPr>
      </w:pPr>
      <w:r>
        <w:rPr>
          <w:rStyle w:val="19"/>
          <w:rFonts w:hint="default" w:ascii="Times New Roman" w:hAnsi="Times New Roman" w:eastAsia="仿宋" w:cs="Times New Roman"/>
          <w:bCs/>
          <w:sz w:val="32"/>
          <w:szCs w:val="32"/>
        </w:rPr>
        <w:t>2.社会保障和就业:</w:t>
      </w:r>
      <w:r>
        <w:rPr>
          <w:rStyle w:val="19"/>
          <w:rFonts w:hint="default" w:ascii="Times New Roman" w:hAnsi="Times New Roman" w:eastAsia="仿宋" w:cs="Times New Roman"/>
          <w:b w:val="0"/>
          <w:bCs/>
          <w:sz w:val="32"/>
          <w:szCs w:val="32"/>
        </w:rPr>
        <w:t xml:space="preserve"> 支出决算为</w:t>
      </w:r>
      <w:r>
        <w:rPr>
          <w:rStyle w:val="19"/>
          <w:rFonts w:hint="eastAsia" w:eastAsia="仿宋" w:cs="Times New Roman"/>
          <w:b w:val="0"/>
          <w:bCs/>
          <w:sz w:val="32"/>
          <w:szCs w:val="32"/>
          <w:lang w:val="en-US" w:eastAsia="zh-CN"/>
        </w:rPr>
        <w:t>45.82</w:t>
      </w:r>
      <w:r>
        <w:rPr>
          <w:rStyle w:val="19"/>
          <w:rFonts w:hint="default" w:ascii="Times New Roman" w:hAnsi="Times New Roman" w:eastAsia="仿宋" w:cs="Times New Roman"/>
          <w:b w:val="0"/>
          <w:bCs/>
          <w:sz w:val="32"/>
          <w:szCs w:val="32"/>
        </w:rPr>
        <w:t>万元，完成预算</w:t>
      </w:r>
      <w:r>
        <w:rPr>
          <w:rStyle w:val="19"/>
          <w:rFonts w:hint="default" w:ascii="Times New Roman" w:hAnsi="Times New Roman" w:eastAsia="仿宋" w:cs="Times New Roman"/>
          <w:b w:val="0"/>
          <w:bCs/>
          <w:sz w:val="32"/>
          <w:szCs w:val="32"/>
          <w:lang w:val="en-US" w:eastAsia="zh-CN"/>
        </w:rPr>
        <w:t>100</w:t>
      </w:r>
      <w:r>
        <w:rPr>
          <w:rStyle w:val="19"/>
          <w:rFonts w:hint="default" w:ascii="Times New Roman" w:hAnsi="Times New Roman" w:eastAsia="仿宋" w:cs="Times New Roman"/>
          <w:b w:val="0"/>
          <w:bCs/>
          <w:sz w:val="32"/>
          <w:szCs w:val="32"/>
        </w:rPr>
        <w:t>%。</w:t>
      </w:r>
    </w:p>
    <w:p>
      <w:pPr>
        <w:spacing w:line="600" w:lineRule="exact"/>
        <w:ind w:firstLine="643" w:firstLineChars="200"/>
        <w:rPr>
          <w:rFonts w:hint="default" w:ascii="Times New Roman" w:hAnsi="Times New Roman" w:eastAsia="仿宋" w:cs="Times New Roman"/>
          <w:b/>
          <w:sz w:val="32"/>
          <w:szCs w:val="32"/>
        </w:rPr>
      </w:pPr>
      <w:r>
        <w:rPr>
          <w:rStyle w:val="19"/>
          <w:rFonts w:hint="default" w:ascii="Times New Roman" w:hAnsi="Times New Roman" w:eastAsia="仿宋" w:cs="Times New Roman"/>
          <w:bCs/>
          <w:sz w:val="32"/>
          <w:szCs w:val="32"/>
        </w:rPr>
        <w:t>3.</w:t>
      </w:r>
      <w:r>
        <w:rPr>
          <w:rFonts w:hint="default" w:ascii="Times New Roman" w:hAnsi="Times New Roman" w:eastAsia="仿宋" w:cs="Times New Roman"/>
          <w:b/>
          <w:bCs/>
          <w:sz w:val="32"/>
          <w:szCs w:val="32"/>
        </w:rPr>
        <w:t>卫生健康</w:t>
      </w:r>
      <w:r>
        <w:rPr>
          <w:rStyle w:val="19"/>
          <w:rFonts w:hint="default" w:ascii="Times New Roman" w:hAnsi="Times New Roman" w:eastAsia="仿宋" w:cs="Times New Roman"/>
          <w:bCs/>
          <w:sz w:val="32"/>
          <w:szCs w:val="32"/>
        </w:rPr>
        <w:t>:</w:t>
      </w:r>
      <w:r>
        <w:rPr>
          <w:rStyle w:val="19"/>
          <w:rFonts w:hint="default" w:ascii="Times New Roman" w:hAnsi="Times New Roman" w:eastAsia="仿宋" w:cs="Times New Roman"/>
          <w:b w:val="0"/>
          <w:bCs/>
          <w:sz w:val="32"/>
          <w:szCs w:val="32"/>
        </w:rPr>
        <w:t>支出决算为</w:t>
      </w:r>
      <w:r>
        <w:rPr>
          <w:rStyle w:val="19"/>
          <w:rFonts w:hint="eastAsia" w:eastAsia="仿宋" w:cs="Times New Roman"/>
          <w:b w:val="0"/>
          <w:bCs/>
          <w:sz w:val="32"/>
          <w:szCs w:val="32"/>
          <w:lang w:val="en-US" w:eastAsia="zh-CN"/>
        </w:rPr>
        <w:t>1.4</w:t>
      </w:r>
      <w:r>
        <w:rPr>
          <w:rStyle w:val="19"/>
          <w:rFonts w:hint="default" w:ascii="Times New Roman" w:hAnsi="Times New Roman" w:eastAsia="仿宋" w:cs="Times New Roman"/>
          <w:b w:val="0"/>
          <w:bCs/>
          <w:sz w:val="32"/>
          <w:szCs w:val="32"/>
        </w:rPr>
        <w:t>万元，完成预算</w:t>
      </w:r>
      <w:r>
        <w:rPr>
          <w:rStyle w:val="19"/>
          <w:rFonts w:hint="default" w:ascii="Times New Roman" w:hAnsi="Times New Roman" w:eastAsia="仿宋" w:cs="Times New Roman"/>
          <w:b w:val="0"/>
          <w:bCs/>
          <w:sz w:val="32"/>
          <w:szCs w:val="32"/>
          <w:lang w:val="en-US" w:eastAsia="zh-CN"/>
        </w:rPr>
        <w:t>100</w:t>
      </w:r>
      <w:r>
        <w:rPr>
          <w:rStyle w:val="19"/>
          <w:rFonts w:hint="default" w:ascii="Times New Roman" w:hAnsi="Times New Roman" w:eastAsia="仿宋" w:cs="Times New Roman"/>
          <w:b w:val="0"/>
          <w:bCs/>
          <w:sz w:val="32"/>
          <w:szCs w:val="32"/>
        </w:rPr>
        <w:t>%。</w:t>
      </w:r>
    </w:p>
    <w:p>
      <w:pPr>
        <w:spacing w:line="600" w:lineRule="exact"/>
        <w:ind w:firstLine="643" w:firstLineChars="200"/>
        <w:rPr>
          <w:rFonts w:hint="default" w:ascii="Times New Roman" w:hAnsi="Times New Roman" w:eastAsia="仿宋" w:cs="Times New Roman"/>
          <w:b/>
          <w:sz w:val="32"/>
          <w:szCs w:val="32"/>
        </w:rPr>
      </w:pPr>
      <w:r>
        <w:rPr>
          <w:rStyle w:val="19"/>
          <w:rFonts w:hint="default" w:ascii="Times New Roman" w:hAnsi="Times New Roman" w:eastAsia="仿宋" w:cs="Times New Roman"/>
          <w:bCs/>
          <w:sz w:val="32"/>
          <w:szCs w:val="32"/>
        </w:rPr>
        <w:t>4.</w:t>
      </w:r>
      <w:r>
        <w:rPr>
          <w:rFonts w:hint="default" w:ascii="Times New Roman" w:hAnsi="Times New Roman" w:eastAsia="仿宋" w:cs="Times New Roman"/>
          <w:b/>
          <w:color w:val="000000"/>
          <w:sz w:val="32"/>
          <w:szCs w:val="32"/>
          <w:lang w:eastAsia="zh-CN"/>
        </w:rPr>
        <w:t>保障住房：</w:t>
      </w:r>
      <w:r>
        <w:rPr>
          <w:rFonts w:hint="default" w:ascii="Times New Roman" w:hAnsi="Times New Roman" w:eastAsia="仿宋" w:cs="Times New Roman"/>
          <w:b w:val="0"/>
          <w:bCs/>
          <w:color w:val="000000"/>
          <w:sz w:val="32"/>
          <w:szCs w:val="32"/>
          <w:lang w:eastAsia="zh-CN"/>
        </w:rPr>
        <w:t>支出决算为</w:t>
      </w:r>
      <w:r>
        <w:rPr>
          <w:rFonts w:hint="eastAsia" w:eastAsia="仿宋" w:cs="Times New Roman"/>
          <w:b w:val="0"/>
          <w:bCs/>
          <w:color w:val="000000"/>
          <w:sz w:val="32"/>
          <w:szCs w:val="32"/>
          <w:lang w:val="en-US" w:eastAsia="zh-CN"/>
        </w:rPr>
        <w:t>4.92</w:t>
      </w:r>
      <w:r>
        <w:rPr>
          <w:rFonts w:hint="default" w:ascii="Times New Roman" w:hAnsi="Times New Roman" w:eastAsia="仿宋" w:cs="Times New Roman"/>
          <w:b w:val="0"/>
          <w:bCs/>
          <w:color w:val="000000"/>
          <w:sz w:val="32"/>
          <w:szCs w:val="32"/>
          <w:lang w:val="en-US" w:eastAsia="zh-CN"/>
        </w:rPr>
        <w:t>万元，完成预算100%。</w:t>
      </w:r>
    </w:p>
    <w:p>
      <w:pPr>
        <w:tabs>
          <w:tab w:val="right" w:pos="8306"/>
        </w:tabs>
        <w:spacing w:line="600" w:lineRule="exact"/>
        <w:ind w:firstLine="640"/>
        <w:outlineLvl w:val="1"/>
        <w:rPr>
          <w:rStyle w:val="31"/>
          <w:rFonts w:hint="default" w:ascii="Times New Roman" w:hAnsi="Times New Roman" w:cs="Times New Roman"/>
        </w:rPr>
      </w:pPr>
      <w:bookmarkStart w:id="50" w:name="_Toc15396608"/>
      <w:bookmarkStart w:id="51" w:name="_Toc21813"/>
      <w:bookmarkStart w:id="52" w:name="_Toc15377214"/>
      <w:r>
        <w:rPr>
          <w:rFonts w:hint="default" w:ascii="Times New Roman" w:hAnsi="Times New Roman" w:eastAsia="黑体" w:cs="Times New Roman"/>
          <w:sz w:val="32"/>
          <w:szCs w:val="32"/>
        </w:rPr>
        <w:t>六</w:t>
      </w:r>
      <w:r>
        <w:rPr>
          <w:rFonts w:hint="default" w:ascii="Times New Roman" w:hAnsi="Times New Roman" w:eastAsia="黑体" w:cs="Times New Roman"/>
          <w:b/>
          <w:sz w:val="32"/>
          <w:szCs w:val="32"/>
        </w:rPr>
        <w:t>、一</w:t>
      </w:r>
      <w:r>
        <w:rPr>
          <w:rStyle w:val="31"/>
          <w:rFonts w:hint="default" w:ascii="Times New Roman" w:hAnsi="Times New Roman" w:eastAsia="黑体" w:cs="Times New Roman"/>
          <w:b w:val="0"/>
        </w:rPr>
        <w:t>般公共预算财政拨款基本支出决算情况说明</w:t>
      </w:r>
      <w:bookmarkEnd w:id="50"/>
      <w:bookmarkEnd w:id="51"/>
      <w:bookmarkEnd w:id="52"/>
      <w:r>
        <w:rPr>
          <w:rStyle w:val="31"/>
          <w:rFonts w:hint="default" w:ascii="Times New Roman" w:hAnsi="Times New Roman" w:eastAsia="黑体" w:cs="Times New Roman"/>
          <w:b w:val="0"/>
        </w:rPr>
        <w:tab/>
      </w:r>
    </w:p>
    <w:p>
      <w:pPr>
        <w:spacing w:line="600" w:lineRule="exact"/>
        <w:ind w:firstLine="645"/>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2022年一般公共预算财政拨款基本支出</w:t>
      </w:r>
      <w:r>
        <w:rPr>
          <w:rFonts w:hint="eastAsia" w:eastAsia="仿宋" w:cs="Times New Roman"/>
          <w:sz w:val="32"/>
          <w:szCs w:val="32"/>
          <w:lang w:val="en-US" w:eastAsia="zh-CN"/>
        </w:rPr>
        <w:t>42.37</w:t>
      </w:r>
      <w:r>
        <w:rPr>
          <w:rFonts w:hint="default" w:ascii="Times New Roman" w:hAnsi="Times New Roman" w:eastAsia="仿宋" w:cs="Times New Roman"/>
          <w:sz w:val="32"/>
          <w:szCs w:val="32"/>
        </w:rPr>
        <w:t>万元，其中：</w:t>
      </w:r>
    </w:p>
    <w:p>
      <w:pPr>
        <w:spacing w:line="600" w:lineRule="exact"/>
        <w:rPr>
          <w:rFonts w:hint="default" w:ascii="Times New Roman" w:hAnsi="Times New Roman" w:eastAsia="仿宋" w:cs="Times New Roman"/>
          <w:b/>
          <w:sz w:val="32"/>
          <w:szCs w:val="32"/>
        </w:rPr>
      </w:pPr>
      <w:r>
        <w:rPr>
          <w:rFonts w:hint="default" w:ascii="Times New Roman" w:hAnsi="Times New Roman" w:eastAsia="仿宋" w:cs="Times New Roman"/>
          <w:sz w:val="32"/>
          <w:szCs w:val="32"/>
        </w:rPr>
        <w:t>人员经费</w:t>
      </w:r>
      <w:r>
        <w:rPr>
          <w:rFonts w:hint="eastAsia" w:eastAsia="仿宋" w:cs="Times New Roman"/>
          <w:sz w:val="32"/>
          <w:szCs w:val="32"/>
          <w:lang w:val="en-US" w:eastAsia="zh-CN"/>
        </w:rPr>
        <w:t>34.37</w:t>
      </w:r>
      <w:r>
        <w:rPr>
          <w:rFonts w:hint="default" w:ascii="Times New Roman" w:hAnsi="Times New Roman" w:eastAsia="仿宋" w:cs="Times New Roman"/>
          <w:sz w:val="32"/>
          <w:szCs w:val="32"/>
        </w:rPr>
        <w:t>万元，主要包括：基本工资、津贴补贴、奖金、机关事业单位基本养老保险缴费、</w:t>
      </w:r>
      <w:r>
        <w:rPr>
          <w:rFonts w:hint="eastAsia" w:eastAsia="仿宋" w:cs="Times New Roman"/>
          <w:sz w:val="32"/>
          <w:szCs w:val="32"/>
          <w:lang w:val="en-US" w:eastAsia="zh-CN"/>
        </w:rPr>
        <w:t>职工基本医疗保险缴费、公务员医疗补助缴费、其他社会保险缴费、住房公积金、对个人和家庭的补助、奖励金</w:t>
      </w:r>
      <w:r>
        <w:rPr>
          <w:rFonts w:hint="default" w:ascii="Times New Roman" w:hAnsi="Times New Roman" w:eastAsia="仿宋" w:cs="Times New Roman"/>
          <w:sz w:val="32"/>
          <w:szCs w:val="32"/>
        </w:rPr>
        <w:t>等。</w:t>
      </w:r>
      <w:r>
        <w:rPr>
          <w:rFonts w:hint="default" w:ascii="Times New Roman" w:hAnsi="Times New Roman" w:eastAsia="仿宋" w:cs="Times New Roman"/>
          <w:sz w:val="32"/>
          <w:szCs w:val="32"/>
        </w:rPr>
        <w:br w:type="textWrapping"/>
      </w:r>
      <w:r>
        <w:rPr>
          <w:rFonts w:hint="default" w:ascii="Times New Roman" w:hAnsi="Times New Roman" w:eastAsia="仿宋" w:cs="Times New Roman"/>
          <w:sz w:val="32"/>
          <w:szCs w:val="32"/>
        </w:rPr>
        <w:t>　　公用经费</w:t>
      </w:r>
      <w:r>
        <w:rPr>
          <w:rFonts w:hint="eastAsia" w:eastAsia="仿宋" w:cs="Times New Roman"/>
          <w:sz w:val="32"/>
          <w:szCs w:val="32"/>
          <w:lang w:val="en-US" w:eastAsia="zh-CN"/>
        </w:rPr>
        <w:t>8</w:t>
      </w:r>
      <w:r>
        <w:rPr>
          <w:rFonts w:hint="default" w:ascii="Times New Roman" w:hAnsi="Times New Roman" w:eastAsia="仿宋" w:cs="Times New Roman"/>
          <w:sz w:val="32"/>
          <w:szCs w:val="32"/>
        </w:rPr>
        <w:t>万元，主要包括：办公费、</w:t>
      </w:r>
      <w:r>
        <w:rPr>
          <w:rFonts w:hint="eastAsia" w:eastAsia="仿宋" w:cs="Times New Roman"/>
          <w:sz w:val="32"/>
          <w:szCs w:val="32"/>
          <w:lang w:val="en-US" w:eastAsia="zh-CN"/>
        </w:rPr>
        <w:t>邮电费、</w:t>
      </w:r>
      <w:r>
        <w:rPr>
          <w:rFonts w:hint="default" w:ascii="Times New Roman" w:hAnsi="Times New Roman" w:eastAsia="仿宋" w:cs="Times New Roman"/>
          <w:sz w:val="32"/>
          <w:szCs w:val="32"/>
        </w:rPr>
        <w:t>差旅费、劳务费、工会经费、福利费、其他交通费</w:t>
      </w:r>
      <w:r>
        <w:rPr>
          <w:rFonts w:hint="eastAsia" w:ascii="Times New Roman" w:hAnsi="Times New Roman" w:eastAsia="仿宋" w:cs="Times New Roman"/>
          <w:sz w:val="32"/>
          <w:szCs w:val="32"/>
          <w:lang w:val="en-US" w:eastAsia="zh-CN"/>
        </w:rPr>
        <w:t>用</w:t>
      </w:r>
      <w:r>
        <w:rPr>
          <w:rFonts w:hint="default" w:ascii="Times New Roman" w:hAnsi="Times New Roman" w:eastAsia="仿宋" w:cs="Times New Roman"/>
          <w:sz w:val="32"/>
          <w:szCs w:val="32"/>
        </w:rPr>
        <w:t>、其他商品和服务支出等。</w:t>
      </w:r>
    </w:p>
    <w:p>
      <w:pPr>
        <w:spacing w:line="600" w:lineRule="exact"/>
        <w:ind w:firstLine="640"/>
        <w:outlineLvl w:val="1"/>
        <w:rPr>
          <w:rStyle w:val="31"/>
          <w:rFonts w:hint="default" w:ascii="Times New Roman" w:hAnsi="Times New Roman" w:eastAsia="黑体" w:cs="Times New Roman"/>
          <w:b w:val="0"/>
        </w:rPr>
      </w:pPr>
      <w:bookmarkStart w:id="53" w:name="_Toc15396609"/>
      <w:bookmarkStart w:id="54" w:name="_Toc15377215"/>
      <w:bookmarkStart w:id="55" w:name="_Toc16009"/>
      <w:r>
        <w:rPr>
          <w:rFonts w:hint="default" w:ascii="Times New Roman" w:hAnsi="Times New Roman" w:eastAsia="黑体" w:cs="Times New Roman"/>
          <w:sz w:val="32"/>
          <w:szCs w:val="32"/>
        </w:rPr>
        <w:t>七、</w:t>
      </w:r>
      <w:r>
        <w:rPr>
          <w:rStyle w:val="31"/>
          <w:rFonts w:hint="default" w:ascii="Times New Roman" w:hAnsi="Times New Roman" w:eastAsia="黑体" w:cs="Times New Roman"/>
          <w:b w:val="0"/>
        </w:rPr>
        <w:t>财政拨款</w:t>
      </w:r>
      <w:r>
        <w:rPr>
          <w:rStyle w:val="31"/>
          <w:rFonts w:hint="default" w:ascii="Times New Roman" w:hAnsi="Times New Roman" w:eastAsia="黑体" w:cs="Times New Roman"/>
        </w:rPr>
        <w:t>“</w:t>
      </w:r>
      <w:r>
        <w:rPr>
          <w:rStyle w:val="31"/>
          <w:rFonts w:hint="default" w:ascii="Times New Roman" w:hAnsi="Times New Roman" w:eastAsia="黑体" w:cs="Times New Roman"/>
          <w:b w:val="0"/>
        </w:rPr>
        <w:t>三公”经费支出决算情况说明</w:t>
      </w:r>
      <w:bookmarkEnd w:id="53"/>
      <w:bookmarkEnd w:id="54"/>
      <w:bookmarkEnd w:id="55"/>
    </w:p>
    <w:p>
      <w:pPr>
        <w:spacing w:line="600" w:lineRule="exact"/>
        <w:ind w:firstLine="640"/>
        <w:outlineLvl w:val="2"/>
        <w:rPr>
          <w:rFonts w:hint="default" w:ascii="Times New Roman" w:hAnsi="Times New Roman" w:eastAsia="仿宋" w:cs="Times New Roman"/>
          <w:b/>
          <w:sz w:val="32"/>
          <w:szCs w:val="32"/>
        </w:rPr>
      </w:pPr>
      <w:bookmarkStart w:id="56" w:name="_Toc15377216"/>
      <w:r>
        <w:rPr>
          <w:rFonts w:hint="default" w:ascii="Times New Roman" w:hAnsi="Times New Roman" w:eastAsia="仿宋" w:cs="Times New Roman"/>
          <w:b/>
          <w:sz w:val="32"/>
          <w:szCs w:val="32"/>
        </w:rPr>
        <w:t>（一）“三公”经费财政拨款支出决算总体情况说明</w:t>
      </w:r>
      <w:bookmarkEnd w:id="56"/>
    </w:p>
    <w:p>
      <w:pPr>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2022年“三公”经费财政拨款支出决算为</w:t>
      </w:r>
      <w:r>
        <w:rPr>
          <w:rFonts w:hint="eastAsia" w:eastAsia="仿宋" w:cs="Times New Roman"/>
          <w:sz w:val="32"/>
          <w:szCs w:val="32"/>
          <w:lang w:val="en-US" w:eastAsia="zh-CN"/>
        </w:rPr>
        <w:t>0</w:t>
      </w:r>
      <w:r>
        <w:rPr>
          <w:rFonts w:hint="default" w:ascii="Times New Roman" w:hAnsi="Times New Roman" w:eastAsia="仿宋" w:cs="Times New Roman"/>
          <w:sz w:val="32"/>
          <w:szCs w:val="32"/>
        </w:rPr>
        <w:t>万元，完成预算</w:t>
      </w:r>
      <w:r>
        <w:rPr>
          <w:rFonts w:hint="eastAsia" w:eastAsia="仿宋" w:cs="Times New Roman"/>
          <w:sz w:val="32"/>
          <w:szCs w:val="32"/>
          <w:lang w:val="en-US" w:eastAsia="zh-CN"/>
        </w:rPr>
        <w:t>0</w:t>
      </w:r>
      <w:r>
        <w:rPr>
          <w:rFonts w:hint="default" w:ascii="Times New Roman" w:hAnsi="Times New Roman" w:eastAsia="仿宋" w:cs="Times New Roman"/>
          <w:sz w:val="32"/>
          <w:szCs w:val="32"/>
        </w:rPr>
        <w:t>%，较上年增加</w:t>
      </w:r>
      <w:r>
        <w:rPr>
          <w:rFonts w:hint="eastAsia" w:eastAsia="仿宋" w:cs="Times New Roman"/>
          <w:sz w:val="32"/>
          <w:szCs w:val="32"/>
          <w:lang w:val="en-US" w:eastAsia="zh-CN"/>
        </w:rPr>
        <w:t>/减少0</w:t>
      </w:r>
      <w:r>
        <w:rPr>
          <w:rFonts w:hint="default" w:ascii="Times New Roman" w:hAnsi="Times New Roman" w:eastAsia="仿宋" w:cs="Times New Roman"/>
          <w:sz w:val="32"/>
          <w:szCs w:val="32"/>
        </w:rPr>
        <w:t>万元，增长</w:t>
      </w:r>
      <w:r>
        <w:rPr>
          <w:rFonts w:hint="eastAsia" w:eastAsia="仿宋" w:cs="Times New Roman"/>
          <w:sz w:val="32"/>
          <w:szCs w:val="32"/>
          <w:lang w:val="en-US" w:eastAsia="zh-CN"/>
        </w:rPr>
        <w:t>/下降0</w:t>
      </w:r>
      <w:r>
        <w:rPr>
          <w:rFonts w:hint="default" w:ascii="Times New Roman" w:hAnsi="Times New Roman" w:eastAsia="仿宋" w:cs="Times New Roman"/>
          <w:sz w:val="32"/>
          <w:szCs w:val="32"/>
        </w:rPr>
        <w:t>%。决算数小于预算数</w:t>
      </w:r>
      <w:r>
        <w:rPr>
          <w:rFonts w:hint="eastAsia" w:eastAsia="仿宋" w:cs="Times New Roman"/>
          <w:sz w:val="32"/>
          <w:szCs w:val="32"/>
          <w:lang w:eastAsia="zh-CN"/>
        </w:rPr>
        <w:t>（</w:t>
      </w:r>
      <w:r>
        <w:rPr>
          <w:rFonts w:hint="eastAsia" w:eastAsia="仿宋" w:cs="Times New Roman"/>
          <w:sz w:val="32"/>
          <w:szCs w:val="32"/>
          <w:lang w:val="en-US" w:eastAsia="zh-CN"/>
        </w:rPr>
        <w:t>或与预算数持平</w:t>
      </w:r>
      <w:r>
        <w:rPr>
          <w:rFonts w:hint="eastAsia" w:eastAsia="仿宋" w:cs="Times New Roman"/>
          <w:sz w:val="32"/>
          <w:szCs w:val="32"/>
          <w:lang w:eastAsia="zh-CN"/>
        </w:rPr>
        <w:t>）</w:t>
      </w:r>
      <w:r>
        <w:rPr>
          <w:rFonts w:hint="default" w:ascii="Times New Roman" w:hAnsi="Times New Roman" w:eastAsia="仿宋" w:cs="Times New Roman"/>
          <w:sz w:val="32"/>
          <w:szCs w:val="32"/>
        </w:rPr>
        <w:t>的主要原因是</w:t>
      </w:r>
      <w:r>
        <w:rPr>
          <w:rFonts w:hint="eastAsia" w:eastAsia="仿宋" w:cs="Times New Roman"/>
          <w:sz w:val="32"/>
          <w:szCs w:val="32"/>
          <w:lang w:val="en-US" w:eastAsia="zh-CN"/>
        </w:rPr>
        <w:t>本单位为2022年新成立单位</w:t>
      </w:r>
      <w:r>
        <w:rPr>
          <w:rFonts w:hint="default" w:ascii="Times New Roman" w:hAnsi="Times New Roman" w:eastAsia="仿宋" w:cs="Times New Roman"/>
          <w:sz w:val="32"/>
          <w:szCs w:val="32"/>
        </w:rPr>
        <w:t>。</w:t>
      </w:r>
    </w:p>
    <w:p>
      <w:pPr>
        <w:spacing w:line="600" w:lineRule="exact"/>
        <w:ind w:firstLine="640"/>
        <w:outlineLvl w:val="2"/>
        <w:rPr>
          <w:rFonts w:hint="default" w:ascii="Times New Roman" w:hAnsi="Times New Roman" w:eastAsia="仿宋" w:cs="Times New Roman"/>
          <w:b/>
          <w:sz w:val="32"/>
          <w:szCs w:val="32"/>
        </w:rPr>
      </w:pPr>
      <w:bookmarkStart w:id="57" w:name="_Toc15377217"/>
      <w:r>
        <w:rPr>
          <w:rFonts w:hint="default" w:ascii="Times New Roman" w:hAnsi="Times New Roman" w:eastAsia="仿宋" w:cs="Times New Roman"/>
          <w:b/>
          <w:sz w:val="32"/>
          <w:szCs w:val="32"/>
        </w:rPr>
        <w:t>（二）“三公”经费财政拨款支出决算具体情况说明</w:t>
      </w:r>
      <w:bookmarkEnd w:id="57"/>
    </w:p>
    <w:p>
      <w:pPr>
        <w:spacing w:line="600" w:lineRule="exact"/>
        <w:ind w:firstLine="640"/>
        <w:rPr>
          <w:rFonts w:hint="default" w:ascii="Times New Roman" w:hAnsi="Times New Roman" w:eastAsia="仿宋_GB2312" w:cs="Times New Roman"/>
          <w:b/>
          <w:sz w:val="32"/>
          <w:szCs w:val="32"/>
        </w:rPr>
      </w:pPr>
      <w:r>
        <w:rPr>
          <w:rFonts w:hint="default" w:ascii="Times New Roman" w:hAnsi="Times New Roman" w:eastAsia="仿宋" w:cs="Times New Roman"/>
          <w:sz w:val="32"/>
          <w:szCs w:val="32"/>
        </w:rPr>
        <w:t>2022年“三公”经费财政拨款支出决算中，因公出国（境）费支出决算</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万元，占</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%；公务用车购置及运行维护费支出决算</w:t>
      </w:r>
      <w:r>
        <w:rPr>
          <w:rFonts w:hint="eastAsia" w:eastAsia="仿宋" w:cs="Times New Roman"/>
          <w:sz w:val="32"/>
          <w:szCs w:val="32"/>
          <w:lang w:val="en-US" w:eastAsia="zh-CN"/>
        </w:rPr>
        <w:t>0</w:t>
      </w:r>
      <w:r>
        <w:rPr>
          <w:rFonts w:hint="default" w:ascii="Times New Roman" w:hAnsi="Times New Roman" w:eastAsia="仿宋" w:cs="Times New Roman"/>
          <w:sz w:val="32"/>
          <w:szCs w:val="32"/>
        </w:rPr>
        <w:t>万元，占</w:t>
      </w:r>
      <w:r>
        <w:rPr>
          <w:rFonts w:hint="eastAsia" w:eastAsia="仿宋" w:cs="Times New Roman"/>
          <w:sz w:val="32"/>
          <w:szCs w:val="32"/>
          <w:lang w:val="en-US" w:eastAsia="zh-CN"/>
        </w:rPr>
        <w:t>0</w:t>
      </w:r>
      <w:r>
        <w:rPr>
          <w:rFonts w:hint="default" w:ascii="Times New Roman" w:hAnsi="Times New Roman" w:eastAsia="仿宋" w:cs="Times New Roman"/>
          <w:sz w:val="32"/>
          <w:szCs w:val="32"/>
        </w:rPr>
        <w:t>%；公务接待费支出决算</w:t>
      </w:r>
      <w:r>
        <w:rPr>
          <w:rFonts w:hint="eastAsia" w:eastAsia="仿宋" w:cs="Times New Roman"/>
          <w:sz w:val="32"/>
          <w:szCs w:val="32"/>
          <w:lang w:val="en-US" w:eastAsia="zh-CN"/>
        </w:rPr>
        <w:t>0</w:t>
      </w:r>
      <w:r>
        <w:rPr>
          <w:rFonts w:hint="default" w:ascii="Times New Roman" w:hAnsi="Times New Roman" w:eastAsia="仿宋" w:cs="Times New Roman"/>
          <w:sz w:val="32"/>
          <w:szCs w:val="32"/>
        </w:rPr>
        <w:t>万元，占</w:t>
      </w:r>
      <w:r>
        <w:rPr>
          <w:rFonts w:hint="eastAsia" w:eastAsia="仿宋" w:cs="Times New Roman"/>
          <w:sz w:val="32"/>
          <w:szCs w:val="32"/>
          <w:lang w:val="en-US" w:eastAsia="zh-CN"/>
        </w:rPr>
        <w:t>0</w:t>
      </w:r>
      <w:r>
        <w:rPr>
          <w:rFonts w:hint="default" w:ascii="Times New Roman" w:hAnsi="Times New Roman" w:eastAsia="仿宋" w:cs="Times New Roman"/>
          <w:sz w:val="32"/>
          <w:szCs w:val="32"/>
        </w:rPr>
        <w:t>%。</w:t>
      </w:r>
    </w:p>
    <w:p>
      <w:pPr>
        <w:spacing w:line="600" w:lineRule="exact"/>
        <w:ind w:firstLine="640"/>
        <w:rPr>
          <w:rFonts w:hint="default" w:ascii="Times New Roman" w:hAnsi="Times New Roman" w:eastAsia="仿宋" w:cs="Times New Roman"/>
          <w:i/>
          <w:color w:val="000000"/>
          <w:sz w:val="32"/>
          <w:szCs w:val="32"/>
        </w:rPr>
      </w:pPr>
      <w:r>
        <w:rPr>
          <w:rFonts w:hint="default" w:ascii="Times New Roman" w:hAnsi="Times New Roman" w:eastAsia="仿宋_GB2312" w:cs="Times New Roman"/>
          <w:b/>
          <w:sz w:val="32"/>
          <w:szCs w:val="32"/>
        </w:rPr>
        <w:t>1.因公出国（境）经费支出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Style w:val="19"/>
          <w:rFonts w:hint="default" w:ascii="Times New Roman" w:hAnsi="Times New Roman" w:eastAsia="仿宋" w:cs="Times New Roman"/>
          <w:b w:val="0"/>
          <w:bCs/>
          <w:sz w:val="32"/>
          <w:szCs w:val="32"/>
        </w:rPr>
        <w:t>。</w:t>
      </w:r>
      <w:r>
        <w:rPr>
          <w:rFonts w:hint="default" w:ascii="Times New Roman" w:hAnsi="Times New Roman" w:eastAsia="仿宋_GB2312" w:cs="Times New Roman"/>
          <w:sz w:val="32"/>
          <w:szCs w:val="32"/>
        </w:rPr>
        <w:t>全年安排因公出国（境）团组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次，出国（境）</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人。因公出国（境）支出决算比2021年增加/减少</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万元，增长/下降</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spacing w:line="600" w:lineRule="exact"/>
        <w:ind w:firstLine="64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2.公务用车购置及运行维护费支出</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w:t>
      </w:r>
      <w:r>
        <w:rPr>
          <w:rStyle w:val="19"/>
          <w:rFonts w:hint="default" w:ascii="Times New Roman" w:hAnsi="Times New Roman" w:eastAsia="仿宋" w:cs="Times New Roman"/>
          <w:b w:val="0"/>
          <w:bCs/>
          <w:sz w:val="32"/>
          <w:szCs w:val="32"/>
        </w:rPr>
        <w:t>完成预算</w:t>
      </w:r>
      <w:r>
        <w:rPr>
          <w:rStyle w:val="19"/>
          <w:rFonts w:hint="eastAsia" w:eastAsia="仿宋" w:cs="Times New Roman"/>
          <w:b w:val="0"/>
          <w:bCs/>
          <w:sz w:val="32"/>
          <w:szCs w:val="32"/>
          <w:lang w:val="en-US" w:eastAsia="zh-CN"/>
        </w:rPr>
        <w:t>0</w:t>
      </w:r>
      <w:r>
        <w:rPr>
          <w:rStyle w:val="19"/>
          <w:rFonts w:hint="default" w:ascii="Times New Roman" w:hAnsi="Times New Roman" w:eastAsia="仿宋" w:cs="Times New Roman"/>
          <w:b w:val="0"/>
          <w:bCs/>
          <w:sz w:val="32"/>
          <w:szCs w:val="32"/>
        </w:rPr>
        <w:t>%。</w:t>
      </w:r>
      <w:r>
        <w:rPr>
          <w:rFonts w:hint="default" w:ascii="Times New Roman" w:hAnsi="Times New Roman" w:eastAsia="仿宋_GB2312" w:cs="Times New Roman"/>
          <w:sz w:val="32"/>
          <w:szCs w:val="32"/>
        </w:rPr>
        <w:t>公务用车购置及运行维护费支出决算比2021年增加</w:t>
      </w:r>
      <w:r>
        <w:rPr>
          <w:rFonts w:hint="eastAsia" w:eastAsia="仿宋_GB2312" w:cs="Times New Roman"/>
          <w:sz w:val="32"/>
          <w:szCs w:val="32"/>
          <w:lang w:val="en-US" w:eastAsia="zh-CN"/>
        </w:rPr>
        <w:t>/减少0</w:t>
      </w:r>
      <w:r>
        <w:rPr>
          <w:rFonts w:hint="default" w:ascii="Times New Roman" w:hAnsi="Times New Roman" w:eastAsia="仿宋_GB2312" w:cs="Times New Roman"/>
          <w:sz w:val="32"/>
          <w:szCs w:val="32"/>
        </w:rPr>
        <w:t>万元，增长</w:t>
      </w:r>
      <w:r>
        <w:rPr>
          <w:rFonts w:hint="eastAsia" w:eastAsia="仿宋_GB2312" w:cs="Times New Roman"/>
          <w:sz w:val="32"/>
          <w:szCs w:val="32"/>
          <w:lang w:val="en-US" w:eastAsia="zh-CN"/>
        </w:rPr>
        <w:t>/下降0</w:t>
      </w:r>
      <w:r>
        <w:rPr>
          <w:rFonts w:hint="default" w:ascii="Times New Roman" w:hAnsi="Times New Roman" w:eastAsia="仿宋_GB2312" w:cs="Times New Roman"/>
          <w:sz w:val="32"/>
          <w:szCs w:val="32"/>
        </w:rPr>
        <w:t>%。</w:t>
      </w:r>
    </w:p>
    <w:p>
      <w:pPr>
        <w:spacing w:line="600" w:lineRule="exact"/>
        <w:ind w:firstLine="640"/>
        <w:rPr>
          <w:rFonts w:hint="default" w:ascii="Times New Roman" w:hAnsi="Times New Roman" w:cs="Times New Roman"/>
        </w:rPr>
      </w:pPr>
      <w:r>
        <w:rPr>
          <w:rFonts w:hint="default" w:ascii="Times New Roman" w:hAnsi="Times New Roman" w:eastAsia="仿宋_GB2312" w:cs="Times New Roman"/>
          <w:sz w:val="32"/>
          <w:szCs w:val="32"/>
        </w:rPr>
        <w:t>其中：</w:t>
      </w:r>
      <w:r>
        <w:rPr>
          <w:rFonts w:hint="default" w:ascii="Times New Roman" w:hAnsi="Times New Roman" w:eastAsia="仿宋_GB2312" w:cs="Times New Roman"/>
          <w:b/>
          <w:sz w:val="32"/>
          <w:szCs w:val="32"/>
        </w:rPr>
        <w:t>公务用车购置支出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万元。全年按规定更新购置公务用车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辆，其中：轿车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万元，越野车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万元，载客汽车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万元，主要用于…。截至2022年12月底，单位共有公务用车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辆，其中：轿车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辆、越野车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辆、载客汽车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公务用车运行维护费支出</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3.公务接待费支出</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w:t>
      </w:r>
      <w:r>
        <w:rPr>
          <w:rStyle w:val="19"/>
          <w:rFonts w:hint="default" w:ascii="Times New Roman" w:hAnsi="Times New Roman" w:eastAsia="仿宋" w:cs="Times New Roman"/>
          <w:b w:val="0"/>
          <w:bCs/>
          <w:sz w:val="32"/>
          <w:szCs w:val="32"/>
        </w:rPr>
        <w:t>完成预算</w:t>
      </w:r>
      <w:r>
        <w:rPr>
          <w:rStyle w:val="19"/>
          <w:rFonts w:hint="eastAsia" w:eastAsia="仿宋" w:cs="Times New Roman"/>
          <w:b w:val="0"/>
          <w:bCs/>
          <w:sz w:val="32"/>
          <w:szCs w:val="32"/>
          <w:lang w:val="en-US" w:eastAsia="zh-CN"/>
        </w:rPr>
        <w:t>0</w:t>
      </w:r>
      <w:r>
        <w:rPr>
          <w:rStyle w:val="19"/>
          <w:rFonts w:hint="default" w:ascii="Times New Roman" w:hAnsi="Times New Roman" w:eastAsia="仿宋" w:cs="Times New Roman"/>
          <w:b w:val="0"/>
          <w:bCs/>
          <w:sz w:val="32"/>
          <w:szCs w:val="32"/>
        </w:rPr>
        <w:t>%。</w:t>
      </w:r>
      <w:r>
        <w:rPr>
          <w:rFonts w:hint="default" w:ascii="Times New Roman" w:hAnsi="Times New Roman" w:eastAsia="仿宋_GB2312" w:cs="Times New Roman"/>
          <w:sz w:val="32"/>
          <w:szCs w:val="32"/>
        </w:rPr>
        <w:t>公务接待费支出决算比2021年增加</w:t>
      </w:r>
      <w:r>
        <w:rPr>
          <w:rFonts w:hint="eastAsia" w:eastAsia="仿宋_GB2312" w:cs="Times New Roman"/>
          <w:sz w:val="32"/>
          <w:szCs w:val="32"/>
          <w:lang w:val="en-US" w:eastAsia="zh-CN"/>
        </w:rPr>
        <w:t>/减少0</w:t>
      </w:r>
      <w:r>
        <w:rPr>
          <w:rFonts w:hint="default" w:ascii="Times New Roman" w:hAnsi="Times New Roman" w:eastAsia="仿宋_GB2312" w:cs="Times New Roman"/>
          <w:sz w:val="32"/>
          <w:szCs w:val="32"/>
        </w:rPr>
        <w:t>万元，增长</w:t>
      </w:r>
      <w:r>
        <w:rPr>
          <w:rFonts w:hint="eastAsia" w:eastAsia="仿宋_GB2312" w:cs="Times New Roman"/>
          <w:sz w:val="32"/>
          <w:szCs w:val="32"/>
          <w:lang w:val="en-US" w:eastAsia="zh-CN"/>
        </w:rPr>
        <w:t>/下降0</w:t>
      </w:r>
      <w:r>
        <w:rPr>
          <w:rFonts w:hint="default" w:ascii="Times New Roman" w:hAnsi="Times New Roman" w:eastAsia="仿宋_GB2312" w:cs="Times New Roman"/>
          <w:sz w:val="32"/>
          <w:szCs w:val="32"/>
        </w:rPr>
        <w:t>%。其中：</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 w:cs="Times New Roman"/>
          <w:b/>
          <w:sz w:val="32"/>
          <w:szCs w:val="32"/>
        </w:rPr>
        <w:t>国内公务接待支出</w:t>
      </w:r>
      <w:r>
        <w:rPr>
          <w:rFonts w:hint="eastAsia" w:eastAsia="仿宋"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firstLine="640"/>
        <w:outlineLvl w:val="1"/>
        <w:rPr>
          <w:rFonts w:hint="default" w:ascii="Times New Roman" w:hAnsi="Times New Roman" w:eastAsia="黑体" w:cs="Times New Roman"/>
          <w:sz w:val="32"/>
          <w:szCs w:val="32"/>
        </w:rPr>
      </w:pPr>
      <w:bookmarkStart w:id="58" w:name="_Toc14538"/>
      <w:r>
        <w:rPr>
          <w:rFonts w:hint="default" w:ascii="Times New Roman" w:hAnsi="Times New Roman" w:eastAsia="仿宋" w:cs="Times New Roman"/>
          <w:b/>
          <w:sz w:val="32"/>
          <w:szCs w:val="32"/>
        </w:rPr>
        <w:t>外事接待支出</w:t>
      </w:r>
      <w:r>
        <w:rPr>
          <w:rFonts w:hint="default" w:ascii="Times New Roman" w:hAnsi="Times New Roman" w:eastAsia="仿宋" w:cs="Times New Roman"/>
          <w:sz w:val="32"/>
          <w:szCs w:val="32"/>
          <w:lang w:val="en-US" w:eastAsia="zh-CN"/>
        </w:rPr>
        <w:t>0</w:t>
      </w:r>
      <w:r>
        <w:rPr>
          <w:rFonts w:hint="default" w:ascii="Times New Roman" w:hAnsi="Times New Roman" w:eastAsia="仿宋_GB2312" w:cs="Times New Roman"/>
          <w:sz w:val="32"/>
          <w:szCs w:val="32"/>
        </w:rPr>
        <w:t>万元。</w:t>
      </w:r>
      <w:bookmarkEnd w:id="58"/>
      <w:bookmarkStart w:id="59" w:name="_Toc15396610"/>
      <w:bookmarkStart w:id="60" w:name="_Toc15377218"/>
    </w:p>
    <w:p>
      <w:pPr>
        <w:spacing w:line="600" w:lineRule="exact"/>
        <w:ind w:firstLine="640"/>
        <w:outlineLvl w:val="1"/>
        <w:rPr>
          <w:rStyle w:val="31"/>
          <w:rFonts w:hint="default" w:ascii="Times New Roman" w:hAnsi="Times New Roman" w:eastAsia="黑体" w:cs="Times New Roman"/>
        </w:rPr>
      </w:pPr>
      <w:bookmarkStart w:id="61" w:name="_Toc4667"/>
      <w:r>
        <w:rPr>
          <w:rFonts w:hint="default" w:ascii="Times New Roman" w:hAnsi="Times New Roman" w:eastAsia="黑体" w:cs="Times New Roman"/>
          <w:sz w:val="32"/>
          <w:szCs w:val="32"/>
        </w:rPr>
        <w:t>八、</w:t>
      </w:r>
      <w:r>
        <w:rPr>
          <w:rStyle w:val="31"/>
          <w:rFonts w:hint="default" w:ascii="Times New Roman" w:hAnsi="Times New Roman" w:eastAsia="黑体" w:cs="Times New Roman"/>
          <w:b w:val="0"/>
        </w:rPr>
        <w:t>政府性基金预算支出决算情况说明</w:t>
      </w:r>
      <w:bookmarkEnd w:id="59"/>
      <w:bookmarkEnd w:id="60"/>
      <w:bookmarkEnd w:id="61"/>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2022年政府性基金预算财政拨款支出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numPr>
          <w:ilvl w:val="0"/>
          <w:numId w:val="3"/>
        </w:numPr>
        <w:spacing w:line="600" w:lineRule="exact"/>
        <w:ind w:firstLine="640"/>
        <w:outlineLvl w:val="1"/>
        <w:rPr>
          <w:rStyle w:val="31"/>
          <w:rFonts w:hint="default" w:ascii="Times New Roman" w:hAnsi="Times New Roman" w:eastAsia="黑体" w:cs="Times New Roman"/>
          <w:b w:val="0"/>
        </w:rPr>
      </w:pPr>
      <w:bookmarkStart w:id="62" w:name="_Toc11382"/>
      <w:bookmarkStart w:id="63" w:name="_Toc15377219"/>
      <w:bookmarkStart w:id="64" w:name="_Toc15396611"/>
      <w:r>
        <w:rPr>
          <w:rStyle w:val="31"/>
          <w:rFonts w:hint="default" w:ascii="Times New Roman" w:hAnsi="Times New Roman" w:eastAsia="黑体" w:cs="Times New Roman"/>
          <w:b w:val="0"/>
        </w:rPr>
        <w:t>国有资本经营预算支出决算情况说明</w:t>
      </w:r>
      <w:bookmarkEnd w:id="62"/>
      <w:bookmarkEnd w:id="63"/>
      <w:bookmarkEnd w:id="64"/>
    </w:p>
    <w:p>
      <w:pPr>
        <w:spacing w:line="600" w:lineRule="exact"/>
        <w:ind w:firstLine="640"/>
        <w:rPr>
          <w:rFonts w:hint="default" w:ascii="Times New Roman" w:hAnsi="Times New Roman" w:eastAsia="方正小标宋简体" w:cs="Times New Roman"/>
          <w:sz w:val="44"/>
          <w:szCs w:val="44"/>
        </w:rPr>
      </w:pPr>
      <w:r>
        <w:rPr>
          <w:rFonts w:hint="default" w:ascii="Times New Roman" w:hAnsi="Times New Roman" w:eastAsia="仿宋_GB2312" w:cs="Times New Roman"/>
          <w:sz w:val="32"/>
          <w:szCs w:val="32"/>
        </w:rPr>
        <w:t>2022年国有资本经营预算财政拨款支出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numPr>
          <w:ilvl w:val="0"/>
          <w:numId w:val="3"/>
        </w:numPr>
        <w:spacing w:line="600" w:lineRule="exact"/>
        <w:ind w:firstLine="640"/>
        <w:outlineLvl w:val="1"/>
        <w:rPr>
          <w:rStyle w:val="31"/>
          <w:rFonts w:hint="default" w:ascii="Times New Roman" w:hAnsi="Times New Roman" w:eastAsia="黑体" w:cs="Times New Roman"/>
          <w:b w:val="0"/>
        </w:rPr>
      </w:pPr>
      <w:bookmarkStart w:id="65" w:name="_Toc15396612"/>
      <w:bookmarkStart w:id="66" w:name="_Toc15377221"/>
      <w:bookmarkStart w:id="67" w:name="_Toc11405"/>
      <w:r>
        <w:rPr>
          <w:rStyle w:val="31"/>
          <w:rFonts w:hint="default" w:ascii="Times New Roman" w:hAnsi="Times New Roman" w:eastAsia="黑体" w:cs="Times New Roman"/>
          <w:b w:val="0"/>
        </w:rPr>
        <w:t>其他重要事项的情况说明</w:t>
      </w:r>
      <w:bookmarkEnd w:id="65"/>
      <w:bookmarkEnd w:id="66"/>
      <w:bookmarkEnd w:id="67"/>
    </w:p>
    <w:p>
      <w:pPr>
        <w:spacing w:line="600" w:lineRule="exact"/>
        <w:ind w:firstLine="643" w:firstLineChars="200"/>
        <w:outlineLvl w:val="2"/>
        <w:rPr>
          <w:rFonts w:hint="default" w:ascii="Times New Roman" w:hAnsi="Times New Roman" w:eastAsia="仿宋" w:cs="Times New Roman"/>
          <w:sz w:val="32"/>
          <w:szCs w:val="32"/>
        </w:rPr>
      </w:pPr>
      <w:bookmarkStart w:id="68" w:name="_Toc15377222"/>
      <w:r>
        <w:rPr>
          <w:rFonts w:hint="default" w:ascii="Times New Roman" w:hAnsi="Times New Roman" w:eastAsia="仿宋" w:cs="Times New Roman"/>
          <w:b/>
          <w:sz w:val="32"/>
          <w:szCs w:val="32"/>
        </w:rPr>
        <w:t>（一）机关运行经费支出情况</w:t>
      </w:r>
      <w:bookmarkEnd w:id="68"/>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2022年，</w:t>
      </w:r>
      <w:r>
        <w:rPr>
          <w:rFonts w:hint="default" w:ascii="Times New Roman" w:hAnsi="Times New Roman" w:eastAsia="仿宋_GB2312" w:cs="Times New Roman"/>
          <w:sz w:val="32"/>
          <w:szCs w:val="32"/>
          <w:lang w:val="en-US" w:eastAsia="zh-CN"/>
        </w:rPr>
        <w:t>乐至县</w:t>
      </w:r>
      <w:r>
        <w:rPr>
          <w:rFonts w:hint="eastAsia" w:eastAsia="仿宋_GB2312" w:cs="Times New Roman"/>
          <w:sz w:val="32"/>
          <w:szCs w:val="32"/>
          <w:lang w:val="en-US" w:eastAsia="zh-CN"/>
        </w:rPr>
        <w:t>红十字会</w:t>
      </w:r>
      <w:r>
        <w:rPr>
          <w:rFonts w:hint="default" w:ascii="Times New Roman" w:hAnsi="Times New Roman" w:eastAsia="仿宋_GB2312" w:cs="Times New Roman"/>
          <w:sz w:val="32"/>
          <w:szCs w:val="32"/>
        </w:rPr>
        <w:t>机关运行经费支出</w:t>
      </w:r>
      <w:r>
        <w:rPr>
          <w:rFonts w:hint="eastAsia" w:eastAsia="仿宋_GB2312" w:cs="Times New Roman"/>
          <w:sz w:val="32"/>
          <w:szCs w:val="32"/>
          <w:lang w:val="en-US" w:eastAsia="zh-CN"/>
        </w:rPr>
        <w:t>8</w:t>
      </w:r>
      <w:r>
        <w:rPr>
          <w:rFonts w:hint="default" w:ascii="Times New Roman" w:hAnsi="Times New Roman" w:eastAsia="仿宋_GB2312" w:cs="Times New Roman"/>
          <w:sz w:val="32"/>
          <w:szCs w:val="32"/>
        </w:rPr>
        <w:t>万元，比2021年增加</w:t>
      </w:r>
      <w:r>
        <w:rPr>
          <w:rFonts w:hint="eastAsia" w:eastAsia="仿宋_GB2312" w:cs="Times New Roman"/>
          <w:sz w:val="32"/>
          <w:szCs w:val="32"/>
          <w:lang w:val="en-US" w:eastAsia="zh-CN"/>
        </w:rPr>
        <w:t>8</w:t>
      </w:r>
      <w:r>
        <w:rPr>
          <w:rFonts w:hint="default" w:ascii="Times New Roman" w:hAnsi="Times New Roman" w:eastAsia="仿宋_GB2312" w:cs="Times New Roman"/>
          <w:sz w:val="32"/>
          <w:szCs w:val="32"/>
        </w:rPr>
        <w:t>万元，增长</w:t>
      </w:r>
      <w:r>
        <w:rPr>
          <w:rFonts w:hint="eastAsia" w:eastAsia="仿宋_GB2312" w:cs="Times New Roman"/>
          <w:sz w:val="32"/>
          <w:szCs w:val="32"/>
          <w:lang w:val="en-US" w:eastAsia="zh-CN"/>
        </w:rPr>
        <w:t>100.0</w:t>
      </w:r>
      <w:r>
        <w:rPr>
          <w:rFonts w:hint="default" w:ascii="Times New Roman" w:hAnsi="Times New Roman" w:eastAsia="仿宋_GB2312" w:cs="Times New Roman"/>
          <w:sz w:val="32"/>
          <w:szCs w:val="32"/>
        </w:rPr>
        <w:t>%。主要原因</w:t>
      </w:r>
      <w:r>
        <w:rPr>
          <w:rFonts w:hint="eastAsia" w:eastAsia="仿宋_GB2312" w:cs="Times New Roman"/>
          <w:sz w:val="32"/>
          <w:szCs w:val="32"/>
          <w:lang w:val="en-US" w:eastAsia="zh-CN"/>
        </w:rPr>
        <w:t>是</w:t>
      </w:r>
      <w:r>
        <w:rPr>
          <w:rFonts w:hint="eastAsia" w:eastAsia="仿宋" w:cs="Times New Roman"/>
          <w:sz w:val="32"/>
          <w:szCs w:val="32"/>
          <w:lang w:val="en-US" w:eastAsia="zh-CN"/>
        </w:rPr>
        <w:t>本单位为2022年新成立单位</w:t>
      </w:r>
      <w:r>
        <w:rPr>
          <w:rFonts w:hint="default" w:ascii="Times New Roman" w:hAnsi="Times New Roman" w:eastAsia="仿宋" w:cs="Times New Roman"/>
          <w:sz w:val="32"/>
          <w:szCs w:val="32"/>
        </w:rPr>
        <w:t>。</w:t>
      </w:r>
    </w:p>
    <w:p>
      <w:pPr>
        <w:autoSpaceDE w:val="0"/>
        <w:autoSpaceDN w:val="0"/>
        <w:adjustRightInd w:val="0"/>
        <w:spacing w:line="600" w:lineRule="exact"/>
        <w:ind w:firstLine="643" w:firstLineChars="200"/>
        <w:jc w:val="left"/>
        <w:outlineLvl w:val="2"/>
        <w:rPr>
          <w:rFonts w:hint="default" w:ascii="Times New Roman" w:hAnsi="Times New Roman" w:eastAsia="仿宋" w:cs="Times New Roman"/>
          <w:b/>
          <w:sz w:val="32"/>
          <w:szCs w:val="32"/>
        </w:rPr>
      </w:pPr>
      <w:bookmarkStart w:id="69" w:name="_Toc15377223"/>
      <w:r>
        <w:rPr>
          <w:rFonts w:hint="default" w:ascii="Times New Roman" w:hAnsi="Times New Roman" w:eastAsia="仿宋" w:cs="Times New Roman"/>
          <w:b/>
          <w:sz w:val="32"/>
          <w:szCs w:val="32"/>
        </w:rPr>
        <w:t>（二）政府采购支出情况</w:t>
      </w:r>
      <w:bookmarkEnd w:id="69"/>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2022年，</w:t>
      </w:r>
      <w:r>
        <w:rPr>
          <w:rFonts w:hint="default" w:ascii="Times New Roman" w:hAnsi="Times New Roman" w:eastAsia="仿宋_GB2312" w:cs="Times New Roman"/>
          <w:sz w:val="32"/>
          <w:szCs w:val="32"/>
          <w:lang w:val="en-US" w:eastAsia="zh-CN"/>
        </w:rPr>
        <w:t>乐至县</w:t>
      </w:r>
      <w:r>
        <w:rPr>
          <w:rFonts w:hint="eastAsia" w:eastAsia="仿宋_GB2312" w:cs="Times New Roman"/>
          <w:sz w:val="32"/>
          <w:szCs w:val="32"/>
          <w:lang w:val="en-US" w:eastAsia="zh-CN"/>
        </w:rPr>
        <w:t>红十字会</w:t>
      </w:r>
      <w:r>
        <w:rPr>
          <w:rFonts w:hint="default" w:ascii="Times New Roman" w:hAnsi="Times New Roman" w:eastAsia="仿宋_GB2312" w:cs="Times New Roman"/>
          <w:sz w:val="32"/>
          <w:szCs w:val="32"/>
        </w:rPr>
        <w:t>政府采购支出总额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万元，其中：政府采购货物支出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万元、政府采购工程支出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万元、政府采购服务支出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万元。主要用于</w:t>
      </w:r>
      <w:r>
        <w:rPr>
          <w:rFonts w:hint="default" w:ascii="Times New Roman" w:hAnsi="Times New Roman" w:eastAsia="仿宋_GB2312" w:cs="Times New Roman"/>
          <w:sz w:val="32"/>
          <w:szCs w:val="32"/>
          <w:lang w:val="en-US" w:eastAsia="zh-CN"/>
        </w:rPr>
        <w:t>购买电脑</w:t>
      </w:r>
      <w:r>
        <w:rPr>
          <w:rFonts w:hint="default" w:ascii="Times New Roman" w:hAnsi="Times New Roman" w:eastAsia="仿宋_GB2312" w:cs="Times New Roman"/>
          <w:sz w:val="32"/>
          <w:szCs w:val="32"/>
        </w:rPr>
        <w:t>。授予中小企业合同金额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%，其中：授予小微企业合同金额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autoSpaceDE w:val="0"/>
        <w:autoSpaceDN w:val="0"/>
        <w:adjustRightInd w:val="0"/>
        <w:spacing w:line="600" w:lineRule="exact"/>
        <w:ind w:firstLine="643" w:firstLineChars="200"/>
        <w:jc w:val="left"/>
        <w:outlineLvl w:val="2"/>
        <w:rPr>
          <w:rFonts w:hint="default" w:ascii="Times New Roman" w:hAnsi="Times New Roman" w:eastAsia="仿宋" w:cs="Times New Roman"/>
          <w:b/>
          <w:sz w:val="32"/>
          <w:szCs w:val="32"/>
        </w:rPr>
      </w:pPr>
      <w:bookmarkStart w:id="70" w:name="_Toc15377224"/>
      <w:r>
        <w:rPr>
          <w:rFonts w:hint="default" w:ascii="Times New Roman" w:hAnsi="Times New Roman" w:eastAsia="仿宋" w:cs="Times New Roman"/>
          <w:b/>
          <w:sz w:val="32"/>
          <w:szCs w:val="32"/>
        </w:rPr>
        <w:t>（三）国有资产占有使用情况</w:t>
      </w:r>
      <w:bookmarkEnd w:id="70"/>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截至2022年12月31日，乐至县</w:t>
      </w:r>
      <w:r>
        <w:rPr>
          <w:rFonts w:hint="eastAsia" w:eastAsia="仿宋_GB2312" w:cs="Times New Roman"/>
          <w:sz w:val="32"/>
          <w:szCs w:val="32"/>
          <w:lang w:val="en-US" w:eastAsia="zh-CN"/>
        </w:rPr>
        <w:t>红十字会</w:t>
      </w:r>
      <w:r>
        <w:rPr>
          <w:rFonts w:hint="default" w:ascii="Times New Roman" w:hAnsi="Times New Roman" w:eastAsia="仿宋_GB2312" w:cs="Times New Roman"/>
          <w:sz w:val="32"/>
          <w:szCs w:val="32"/>
        </w:rPr>
        <w:t>共有车辆0辆，其中：主要领导干部用车0辆、机要通信用车0辆、应急保障用车0辆、执法执勤用车0辆、特种专业技术用车0辆、其他用车0辆。单价100万元以上专用设备</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台（套）。</w:t>
      </w:r>
    </w:p>
    <w:p>
      <w:pPr>
        <w:autoSpaceDE w:val="0"/>
        <w:autoSpaceDN w:val="0"/>
        <w:adjustRightInd w:val="0"/>
        <w:spacing w:line="600" w:lineRule="exact"/>
        <w:ind w:firstLine="643" w:firstLineChars="200"/>
        <w:jc w:val="left"/>
        <w:outlineLvl w:val="2"/>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（四）预算绩效管理情况</w:t>
      </w:r>
    </w:p>
    <w:p>
      <w:pPr>
        <w:widowControl/>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根据预算绩效管理要求，本部门在2022年度预算编制阶段，组织对</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乐至县红十字会专项工作经费</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项目（项目名称）开展了预算事前绩效评估，对</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个项目编制了绩效目标，预算执行过程中，</w:t>
      </w:r>
      <w:r>
        <w:rPr>
          <w:rFonts w:hint="eastAsia" w:eastAsia="仿宋_GB2312" w:cs="Times New Roman"/>
          <w:sz w:val="32"/>
          <w:szCs w:val="32"/>
          <w:lang w:val="en-US" w:eastAsia="zh-CN"/>
        </w:rPr>
        <w:t>对1</w:t>
      </w:r>
      <w:r>
        <w:rPr>
          <w:rFonts w:hint="default" w:ascii="Times New Roman" w:hAnsi="Times New Roman" w:eastAsia="仿宋_GB2312" w:cs="Times New Roman"/>
          <w:sz w:val="32"/>
          <w:szCs w:val="32"/>
        </w:rPr>
        <w:t>个项目开展绩效监控。</w:t>
      </w:r>
    </w:p>
    <w:p>
      <w:pPr>
        <w:widowControl/>
        <w:ind w:firstLine="640" w:firstLineChars="200"/>
        <w:jc w:val="left"/>
        <w:rPr>
          <w:rFonts w:hint="default" w:ascii="Times New Roman" w:hAnsi="Times New Roman" w:eastAsia="仿宋_GB2312" w:cs="Times New Roman"/>
          <w:b/>
          <w:sz w:val="32"/>
          <w:szCs w:val="32"/>
        </w:rPr>
      </w:pPr>
      <w:r>
        <w:rPr>
          <w:rFonts w:hint="eastAsia" w:eastAsia="仿宋_GB2312" w:cs="Times New Roman"/>
          <w:sz w:val="32"/>
          <w:szCs w:val="32"/>
          <w:lang w:val="en-US" w:eastAsia="zh-CN"/>
        </w:rPr>
        <w:t>组织对2022年度一般公共预算等全面开展绩效自评，形成乐至县红十字会部门整体（含部门预算项目）绩效自评报告，绩效自评报告详见附件。</w:t>
      </w:r>
      <w:r>
        <w:rPr>
          <w:rFonts w:hint="default" w:ascii="Times New Roman" w:hAnsi="Times New Roman" w:eastAsia="仿宋_GB2312" w:cs="Times New Roman"/>
          <w:b/>
          <w:sz w:val="32"/>
          <w:szCs w:val="32"/>
        </w:rPr>
        <w:br w:type="page"/>
      </w:r>
    </w:p>
    <w:p>
      <w:pPr>
        <w:numPr>
          <w:ilvl w:val="0"/>
          <w:numId w:val="4"/>
        </w:numPr>
        <w:spacing w:line="600" w:lineRule="exact"/>
        <w:ind w:firstLine="660" w:firstLineChars="150"/>
        <w:jc w:val="center"/>
        <w:outlineLvl w:val="0"/>
        <w:rPr>
          <w:rStyle w:val="30"/>
          <w:rFonts w:hint="default" w:ascii="Times New Roman" w:hAnsi="Times New Roman" w:eastAsia="黑体" w:cs="Times New Roman"/>
          <w:b w:val="0"/>
        </w:rPr>
      </w:pPr>
      <w:bookmarkStart w:id="71" w:name="_Toc15396613"/>
      <w:bookmarkStart w:id="72" w:name="_Toc15377225"/>
      <w:bookmarkStart w:id="73" w:name="_Toc14499"/>
      <w:r>
        <w:rPr>
          <w:rFonts w:hint="default" w:ascii="Times New Roman" w:hAnsi="Times New Roman" w:eastAsia="黑体" w:cs="Times New Roman"/>
          <w:sz w:val="44"/>
          <w:szCs w:val="44"/>
        </w:rPr>
        <w:t>名</w:t>
      </w:r>
      <w:r>
        <w:rPr>
          <w:rStyle w:val="30"/>
          <w:rFonts w:hint="default" w:ascii="Times New Roman" w:hAnsi="Times New Roman" w:eastAsia="黑体" w:cs="Times New Roman"/>
          <w:b w:val="0"/>
        </w:rPr>
        <w:t>词解释</w:t>
      </w:r>
      <w:bookmarkEnd w:id="71"/>
      <w:bookmarkEnd w:id="72"/>
      <w:bookmarkEnd w:id="73"/>
    </w:p>
    <w:p>
      <w:pPr>
        <w:spacing w:line="600" w:lineRule="exact"/>
        <w:jc w:val="left"/>
        <w:rPr>
          <w:rFonts w:hint="default" w:ascii="Times New Roman" w:hAnsi="Times New Roman" w:cs="Times New Roman"/>
          <w:b/>
          <w:sz w:val="44"/>
          <w:szCs w:val="44"/>
        </w:rPr>
      </w:pP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1.财政拨款收入：指单位从同级财政部门取得的财政预算资金。</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2.事业收入：指事业单位开展专业业务活动及辅助活动取得的收入。</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3.经营收入：指事业单位在专业业务活动及其辅助活动之外开展非独立核算经营活动取得的收入。</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4.其他收入：指单位取得的除上述收入以外的各项收入</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6.年初结转和结余：指以前年度尚未完成、结转到本年按有关规定继续使用的资金。 </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7.结余分配：指事业单位按照事业单位会计制度的规定从非财政补助结余中分配的事业基金和职工福利基金等。</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8、年末结转和结余：指单位按有关规定结转到下年或以后年度继续使用的资金。</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9.一般公共服务审计事务：指政府审计方面的支出。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10.社会保障和就业：指机关事业单位基本养老保险和职业年金缴费支出。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11.医疗卫生与计划生育：指行政事业单位医疗方面的支出。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12.农林水：指农村扶贫支出和其他普惠金融发展支出。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13.基本支出：指为保障机构正常运转、完成日常工作任务而发生的人员支出和公用支出。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14.项目支出：指在基本支出之外为完成特定行政任务和事业发展目标所发生的支出。 </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15.“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0"/>
          <w:rFonts w:hint="default" w:ascii="Times New Roman" w:hAnsi="Times New Roman" w:eastAsia="黑体" w:cs="Times New Roman"/>
          <w:b w:val="0"/>
        </w:rPr>
      </w:pPr>
      <w:bookmarkStart w:id="74" w:name="_Toc15377226"/>
      <w:r>
        <w:rPr>
          <w:rFonts w:hint="default" w:ascii="Times New Roman" w:hAnsi="Times New Roman" w:cs="Times New Roman"/>
          <w:b/>
          <w:sz w:val="44"/>
          <w:szCs w:val="44"/>
        </w:rPr>
        <w:br w:type="page"/>
      </w:r>
      <w:bookmarkStart w:id="75" w:name="_Toc15396614"/>
      <w:bookmarkStart w:id="76" w:name="_Toc17723"/>
      <w:r>
        <w:rPr>
          <w:rFonts w:hint="default" w:ascii="Times New Roman" w:hAnsi="Times New Roman" w:eastAsia="黑体" w:cs="Times New Roman"/>
          <w:sz w:val="44"/>
          <w:szCs w:val="44"/>
        </w:rPr>
        <w:t>第</w:t>
      </w:r>
      <w:r>
        <w:rPr>
          <w:rStyle w:val="30"/>
          <w:rFonts w:hint="default" w:ascii="Times New Roman" w:hAnsi="Times New Roman" w:eastAsia="黑体" w:cs="Times New Roman"/>
          <w:b w:val="0"/>
        </w:rPr>
        <w:t>四部分 附件</w:t>
      </w:r>
      <w:bookmarkEnd w:id="75"/>
      <w:bookmarkEnd w:id="76"/>
    </w:p>
    <w:p>
      <w:pPr>
        <w:widowControl/>
        <w:adjustRightInd w:val="0"/>
        <w:snapToGrid w:val="0"/>
        <w:spacing w:line="580" w:lineRule="exact"/>
        <w:contextualSpacing/>
        <w:jc w:val="left"/>
        <w:rPr>
          <w:rFonts w:hint="default" w:ascii="Times New Roman" w:hAnsi="Times New Roman" w:eastAsia="仿宋_GB2312" w:cs="Times New Roman"/>
          <w:kern w:val="0"/>
          <w:sz w:val="32"/>
          <w:szCs w:val="32"/>
          <w:shd w:val="clear" w:color="auto" w:fill="FFFFFF"/>
          <w:lang w:val="zh-CN"/>
        </w:rPr>
      </w:pPr>
      <w:r>
        <w:rPr>
          <w:rFonts w:hint="default" w:ascii="Times New Roman" w:hAnsi="Times New Roman" w:eastAsia="仿宋_GB2312" w:cs="Times New Roman"/>
          <w:kern w:val="0"/>
          <w:sz w:val="32"/>
          <w:szCs w:val="32"/>
          <w:shd w:val="clear" w:color="auto" w:fill="FFFFFF"/>
          <w:lang w:val="zh-CN"/>
        </w:rPr>
        <w:t>附件：</w:t>
      </w:r>
      <w:r>
        <w:rPr>
          <w:rFonts w:hint="default" w:ascii="Times New Roman" w:hAnsi="Times New Roman" w:eastAsia="仿宋_GB2312" w:cs="Times New Roman"/>
          <w:kern w:val="0"/>
          <w:sz w:val="32"/>
          <w:szCs w:val="32"/>
          <w:shd w:val="clear" w:color="auto" w:fill="FFFFFF"/>
          <w:lang w:val="en-US" w:eastAsia="zh-CN"/>
        </w:rPr>
        <w:t>1.</w:t>
      </w:r>
      <w:r>
        <w:rPr>
          <w:rFonts w:hint="default" w:ascii="Times New Roman" w:hAnsi="Times New Roman" w:eastAsia="仿宋_GB2312" w:cs="Times New Roman"/>
          <w:kern w:val="0"/>
          <w:sz w:val="32"/>
          <w:szCs w:val="32"/>
          <w:shd w:val="clear" w:color="auto" w:fill="FFFFFF"/>
          <w:lang w:val="zh-CN"/>
        </w:rPr>
        <w:t>《2022年乐至县部门整体支出绩效自评报告》</w:t>
      </w:r>
    </w:p>
    <w:p>
      <w:pPr>
        <w:widowControl/>
        <w:numPr>
          <w:ilvl w:val="0"/>
          <w:numId w:val="5"/>
        </w:numPr>
        <w:adjustRightInd w:val="0"/>
        <w:snapToGrid w:val="0"/>
        <w:spacing w:line="580" w:lineRule="exact"/>
        <w:ind w:left="1278" w:leftChars="456" w:hanging="320" w:hangingChars="100"/>
        <w:contextualSpacing/>
        <w:jc w:val="left"/>
        <w:rPr>
          <w:rFonts w:hint="default" w:ascii="Times New Roman" w:hAnsi="Times New Roman" w:eastAsia="仿宋_GB2312" w:cs="Times New Roman"/>
          <w:sz w:val="32"/>
          <w:szCs w:val="32"/>
          <w:shd w:val="clear" w:color="auto" w:fill="FFFFFF"/>
          <w:lang w:val="en-US" w:eastAsia="zh-CN"/>
        </w:rPr>
      </w:pPr>
      <w:r>
        <w:rPr>
          <w:rFonts w:hint="default" w:ascii="Times New Roman" w:hAnsi="Times New Roman" w:eastAsia="仿宋_GB2312" w:cs="Times New Roman"/>
          <w:kern w:val="0"/>
          <w:sz w:val="32"/>
          <w:szCs w:val="32"/>
          <w:shd w:val="clear" w:color="auto" w:fill="FFFFFF"/>
          <w:lang w:val="en-US" w:eastAsia="zh-CN"/>
        </w:rPr>
        <w:t>《2022年乐至县项目支出绩效自评报告-</w:t>
      </w:r>
      <w:r>
        <w:rPr>
          <w:rFonts w:hint="eastAsia" w:eastAsia="仿宋_GB2312" w:cs="Times New Roman"/>
          <w:kern w:val="0"/>
          <w:sz w:val="32"/>
          <w:szCs w:val="32"/>
          <w:shd w:val="clear" w:color="auto" w:fill="FFFFFF"/>
          <w:lang w:val="en-US" w:eastAsia="zh-CN"/>
        </w:rPr>
        <w:t>专项工作经费</w:t>
      </w:r>
      <w:r>
        <w:rPr>
          <w:rFonts w:hint="default" w:ascii="Times New Roman" w:hAnsi="Times New Roman" w:eastAsia="仿宋_GB2312" w:cs="Times New Roman"/>
          <w:kern w:val="0"/>
          <w:sz w:val="32"/>
          <w:szCs w:val="32"/>
          <w:shd w:val="clear" w:color="auto" w:fill="FFFFFF"/>
          <w:lang w:val="en-US" w:eastAsia="zh-CN"/>
        </w:rPr>
        <w:t>》</w:t>
      </w:r>
    </w:p>
    <w:p>
      <w:pPr>
        <w:widowControl/>
        <w:numPr>
          <w:ilvl w:val="0"/>
          <w:numId w:val="5"/>
        </w:numPr>
        <w:adjustRightInd w:val="0"/>
        <w:snapToGrid w:val="0"/>
        <w:spacing w:line="580" w:lineRule="exact"/>
        <w:ind w:left="1278" w:leftChars="456" w:hanging="320" w:hangingChars="100"/>
        <w:contextualSpacing/>
        <w:jc w:val="left"/>
        <w:rPr>
          <w:rFonts w:hint="default" w:ascii="Times New Roman" w:hAnsi="Times New Roman" w:eastAsia="仿宋_GB2312" w:cs="Times New Roman"/>
          <w:sz w:val="32"/>
          <w:szCs w:val="32"/>
          <w:shd w:val="clear" w:color="auto" w:fill="FFFFFF"/>
          <w:lang w:val="en-US" w:eastAsia="zh-CN"/>
        </w:rPr>
      </w:pPr>
      <w:r>
        <w:rPr>
          <w:rFonts w:hint="eastAsia" w:eastAsia="仿宋_GB2312" w:cs="Times New Roman"/>
          <w:kern w:val="0"/>
          <w:sz w:val="32"/>
          <w:szCs w:val="32"/>
          <w:shd w:val="clear" w:color="auto" w:fill="FFFFFF"/>
          <w:lang w:val="en-US" w:eastAsia="zh-CN"/>
        </w:rPr>
        <w:t>《2022年乐至县项目支出绩效自评报告-投影仪采购》</w:t>
      </w:r>
      <w:r>
        <w:rPr>
          <w:rFonts w:hint="default" w:ascii="Times New Roman" w:hAnsi="Times New Roman" w:eastAsia="仿宋_GB2312" w:cs="Times New Roman"/>
          <w:kern w:val="0"/>
          <w:sz w:val="32"/>
          <w:szCs w:val="32"/>
          <w:shd w:val="clear" w:color="auto" w:fill="FFFFFF"/>
          <w:lang w:val="en-US" w:eastAsia="zh-CN" w:bidi="ar-SA"/>
        </w:rPr>
        <w:t xml:space="preserve">     </w:t>
      </w: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rPr>
      </w:pPr>
    </w:p>
    <w:p>
      <w:pPr>
        <w:spacing w:line="600" w:lineRule="exact"/>
        <w:jc w:val="center"/>
        <w:outlineLvl w:val="0"/>
        <w:rPr>
          <w:rFonts w:hint="default" w:ascii="Times New Roman" w:hAnsi="Times New Roman" w:eastAsia="仿宋" w:cs="Times New Roman"/>
        </w:rPr>
      </w:pPr>
      <w:bookmarkStart w:id="77" w:name="_Toc19222"/>
      <w:bookmarkStart w:id="78" w:name="_Toc15396618"/>
      <w:r>
        <w:rPr>
          <w:rFonts w:hint="default" w:ascii="Times New Roman" w:hAnsi="Times New Roman" w:eastAsia="黑体" w:cs="Times New Roman"/>
          <w:sz w:val="44"/>
          <w:szCs w:val="44"/>
        </w:rPr>
        <w:t>第</w:t>
      </w:r>
      <w:r>
        <w:rPr>
          <w:rStyle w:val="30"/>
          <w:rFonts w:hint="default" w:ascii="Times New Roman" w:hAnsi="Times New Roman" w:eastAsia="黑体" w:cs="Times New Roman"/>
          <w:b w:val="0"/>
        </w:rPr>
        <w:t>五部分 附表</w:t>
      </w:r>
      <w:bookmarkEnd w:id="74"/>
      <w:bookmarkEnd w:id="77"/>
      <w:bookmarkEnd w:id="78"/>
      <w:bookmarkStart w:id="79" w:name="_Toc15396619"/>
    </w:p>
    <w:p>
      <w:pPr>
        <w:pStyle w:val="4"/>
        <w:rPr>
          <w:rFonts w:hint="default" w:ascii="Times New Roman" w:hAnsi="Times New Roman" w:eastAsia="仿宋" w:cs="Times New Roman"/>
        </w:rPr>
      </w:pPr>
      <w:bookmarkStart w:id="80" w:name="_Toc15374"/>
      <w:r>
        <w:rPr>
          <w:rFonts w:hint="default" w:ascii="Times New Roman" w:hAnsi="Times New Roman" w:eastAsia="仿宋" w:cs="Times New Roman"/>
          <w:b w:val="0"/>
        </w:rPr>
        <w:t>一、收</w:t>
      </w:r>
      <w:r>
        <w:rPr>
          <w:rStyle w:val="31"/>
          <w:rFonts w:hint="default" w:ascii="Times New Roman" w:hAnsi="Times New Roman" w:eastAsia="仿宋" w:cs="Times New Roman"/>
          <w:b w:val="0"/>
          <w:bCs w:val="0"/>
        </w:rPr>
        <w:t>入支出决算总表</w:t>
      </w:r>
      <w:bookmarkEnd w:id="79"/>
      <w:bookmarkEnd w:id="80"/>
    </w:p>
    <w:p>
      <w:pPr>
        <w:pStyle w:val="4"/>
        <w:rPr>
          <w:rFonts w:hint="default" w:ascii="Times New Roman" w:hAnsi="Times New Roman" w:eastAsia="仿宋" w:cs="Times New Roman"/>
        </w:rPr>
      </w:pPr>
      <w:bookmarkStart w:id="81" w:name="_Toc15396620"/>
      <w:bookmarkStart w:id="82" w:name="_Toc4414"/>
      <w:r>
        <w:rPr>
          <w:rFonts w:hint="default" w:ascii="Times New Roman" w:hAnsi="Times New Roman" w:eastAsia="仿宋" w:cs="Times New Roman"/>
          <w:b w:val="0"/>
        </w:rPr>
        <w:t>二、收</w:t>
      </w:r>
      <w:r>
        <w:rPr>
          <w:rStyle w:val="31"/>
          <w:rFonts w:hint="default" w:ascii="Times New Roman" w:hAnsi="Times New Roman" w:eastAsia="仿宋" w:cs="Times New Roman"/>
          <w:b w:val="0"/>
          <w:bCs w:val="0"/>
        </w:rPr>
        <w:t>入决算表</w:t>
      </w:r>
      <w:bookmarkEnd w:id="81"/>
      <w:bookmarkEnd w:id="82"/>
    </w:p>
    <w:p>
      <w:pPr>
        <w:pStyle w:val="4"/>
        <w:rPr>
          <w:rFonts w:hint="default" w:ascii="Times New Roman" w:hAnsi="Times New Roman" w:eastAsia="仿宋" w:cs="Times New Roman"/>
        </w:rPr>
      </w:pPr>
      <w:bookmarkStart w:id="83" w:name="_Toc15396621"/>
      <w:bookmarkStart w:id="84" w:name="_Toc19031"/>
      <w:r>
        <w:rPr>
          <w:rStyle w:val="31"/>
          <w:rFonts w:hint="default" w:ascii="Times New Roman" w:hAnsi="Times New Roman" w:eastAsia="仿宋" w:cs="Times New Roman"/>
          <w:b w:val="0"/>
          <w:bCs w:val="0"/>
        </w:rPr>
        <w:t>三、</w:t>
      </w:r>
      <w:r>
        <w:rPr>
          <w:rFonts w:hint="default" w:ascii="Times New Roman" w:hAnsi="Times New Roman" w:eastAsia="仿宋" w:cs="Times New Roman"/>
          <w:b w:val="0"/>
        </w:rPr>
        <w:t>支</w:t>
      </w:r>
      <w:r>
        <w:rPr>
          <w:rStyle w:val="31"/>
          <w:rFonts w:hint="default" w:ascii="Times New Roman" w:hAnsi="Times New Roman" w:eastAsia="仿宋" w:cs="Times New Roman"/>
          <w:b w:val="0"/>
          <w:bCs w:val="0"/>
        </w:rPr>
        <w:t>出决算表</w:t>
      </w:r>
      <w:bookmarkEnd w:id="83"/>
      <w:bookmarkEnd w:id="84"/>
    </w:p>
    <w:p>
      <w:pPr>
        <w:pStyle w:val="4"/>
        <w:rPr>
          <w:rFonts w:hint="default" w:ascii="Times New Roman" w:hAnsi="Times New Roman" w:eastAsia="仿宋" w:cs="Times New Roman"/>
          <w:b w:val="0"/>
        </w:rPr>
      </w:pPr>
      <w:bookmarkStart w:id="85" w:name="_Toc8767"/>
      <w:bookmarkStart w:id="86" w:name="_Toc15396622"/>
      <w:r>
        <w:rPr>
          <w:rStyle w:val="31"/>
          <w:rFonts w:hint="default" w:ascii="Times New Roman" w:hAnsi="Times New Roman" w:eastAsia="仿宋" w:cs="Times New Roman"/>
          <w:b w:val="0"/>
          <w:bCs w:val="0"/>
        </w:rPr>
        <w:t>四、</w:t>
      </w:r>
      <w:r>
        <w:rPr>
          <w:rFonts w:hint="default" w:ascii="Times New Roman" w:hAnsi="Times New Roman" w:eastAsia="仿宋" w:cs="Times New Roman"/>
          <w:b w:val="0"/>
        </w:rPr>
        <w:t>财</w:t>
      </w:r>
      <w:r>
        <w:rPr>
          <w:rStyle w:val="31"/>
          <w:rFonts w:hint="default" w:ascii="Times New Roman" w:hAnsi="Times New Roman" w:eastAsia="仿宋" w:cs="Times New Roman"/>
          <w:b w:val="0"/>
          <w:bCs w:val="0"/>
        </w:rPr>
        <w:t>政拨款收入支出决算总表</w:t>
      </w:r>
      <w:bookmarkEnd w:id="85"/>
      <w:bookmarkEnd w:id="86"/>
    </w:p>
    <w:p>
      <w:pPr>
        <w:pStyle w:val="4"/>
        <w:rPr>
          <w:rStyle w:val="31"/>
          <w:rFonts w:hint="default" w:ascii="Times New Roman" w:hAnsi="Times New Roman" w:eastAsia="仿宋" w:cs="Times New Roman"/>
          <w:b w:val="0"/>
          <w:bCs w:val="0"/>
        </w:rPr>
      </w:pPr>
      <w:bookmarkStart w:id="87" w:name="_Toc15396623"/>
      <w:bookmarkStart w:id="88" w:name="_Toc18781"/>
      <w:r>
        <w:rPr>
          <w:rStyle w:val="31"/>
          <w:rFonts w:hint="default" w:ascii="Times New Roman" w:hAnsi="Times New Roman" w:eastAsia="仿宋" w:cs="Times New Roman"/>
          <w:b w:val="0"/>
          <w:bCs w:val="0"/>
        </w:rPr>
        <w:t>五、</w:t>
      </w:r>
      <w:r>
        <w:rPr>
          <w:rFonts w:hint="default" w:ascii="Times New Roman" w:hAnsi="Times New Roman" w:eastAsia="仿宋" w:cs="Times New Roman"/>
          <w:b w:val="0"/>
        </w:rPr>
        <w:t>财</w:t>
      </w:r>
      <w:r>
        <w:rPr>
          <w:rStyle w:val="31"/>
          <w:rFonts w:hint="default" w:ascii="Times New Roman" w:hAnsi="Times New Roman" w:eastAsia="仿宋" w:cs="Times New Roman"/>
          <w:b w:val="0"/>
          <w:bCs w:val="0"/>
        </w:rPr>
        <w:t>政拨款支出决算明细表</w:t>
      </w:r>
      <w:bookmarkEnd w:id="87"/>
      <w:bookmarkEnd w:id="88"/>
      <w:bookmarkStart w:id="89" w:name="_Toc15396624"/>
    </w:p>
    <w:p>
      <w:pPr>
        <w:pStyle w:val="4"/>
        <w:rPr>
          <w:rFonts w:hint="default" w:ascii="Times New Roman" w:hAnsi="Times New Roman" w:eastAsia="仿宋" w:cs="Times New Roman"/>
        </w:rPr>
      </w:pPr>
      <w:bookmarkStart w:id="90" w:name="_Toc24114"/>
      <w:r>
        <w:rPr>
          <w:rStyle w:val="31"/>
          <w:rFonts w:hint="default" w:ascii="Times New Roman" w:hAnsi="Times New Roman" w:eastAsia="仿宋" w:cs="Times New Roman"/>
          <w:b w:val="0"/>
          <w:bCs w:val="0"/>
        </w:rPr>
        <w:t>六、</w:t>
      </w:r>
      <w:r>
        <w:rPr>
          <w:rFonts w:hint="default" w:ascii="Times New Roman" w:hAnsi="Times New Roman" w:eastAsia="仿宋" w:cs="Times New Roman"/>
          <w:b w:val="0"/>
        </w:rPr>
        <w:t>一</w:t>
      </w:r>
      <w:r>
        <w:rPr>
          <w:rStyle w:val="31"/>
          <w:rFonts w:hint="default" w:ascii="Times New Roman" w:hAnsi="Times New Roman" w:eastAsia="仿宋" w:cs="Times New Roman"/>
          <w:b w:val="0"/>
          <w:bCs w:val="0"/>
        </w:rPr>
        <w:t>般公共预算财政拨款支出决算表</w:t>
      </w:r>
      <w:bookmarkEnd w:id="89"/>
      <w:bookmarkEnd w:id="90"/>
    </w:p>
    <w:p>
      <w:pPr>
        <w:pStyle w:val="4"/>
        <w:rPr>
          <w:rFonts w:hint="default" w:ascii="Times New Roman" w:hAnsi="Times New Roman" w:eastAsia="仿宋" w:cs="Times New Roman"/>
        </w:rPr>
      </w:pPr>
      <w:bookmarkStart w:id="91" w:name="_Toc32025"/>
      <w:bookmarkStart w:id="92" w:name="_Toc15396625"/>
      <w:r>
        <w:rPr>
          <w:rStyle w:val="31"/>
          <w:rFonts w:hint="default" w:ascii="Times New Roman" w:hAnsi="Times New Roman" w:eastAsia="仿宋" w:cs="Times New Roman"/>
          <w:b w:val="0"/>
          <w:bCs w:val="0"/>
        </w:rPr>
        <w:t>七、</w:t>
      </w:r>
      <w:r>
        <w:rPr>
          <w:rFonts w:hint="default" w:ascii="Times New Roman" w:hAnsi="Times New Roman" w:eastAsia="仿宋" w:cs="Times New Roman"/>
          <w:b w:val="0"/>
        </w:rPr>
        <w:t>一</w:t>
      </w:r>
      <w:r>
        <w:rPr>
          <w:rStyle w:val="31"/>
          <w:rFonts w:hint="default" w:ascii="Times New Roman" w:hAnsi="Times New Roman" w:eastAsia="仿宋" w:cs="Times New Roman"/>
          <w:b w:val="0"/>
          <w:bCs w:val="0"/>
        </w:rPr>
        <w:t>般公共预算财政拨款支出决算明细表</w:t>
      </w:r>
      <w:bookmarkEnd w:id="91"/>
      <w:bookmarkEnd w:id="92"/>
    </w:p>
    <w:p>
      <w:pPr>
        <w:pStyle w:val="4"/>
        <w:rPr>
          <w:rFonts w:hint="default" w:ascii="Times New Roman" w:hAnsi="Times New Roman" w:eastAsia="仿宋" w:cs="Times New Roman"/>
        </w:rPr>
      </w:pPr>
      <w:bookmarkStart w:id="93" w:name="_Toc21603"/>
      <w:bookmarkStart w:id="94" w:name="_Toc15396626"/>
      <w:r>
        <w:rPr>
          <w:rStyle w:val="31"/>
          <w:rFonts w:hint="default" w:ascii="Times New Roman" w:hAnsi="Times New Roman" w:eastAsia="仿宋" w:cs="Times New Roman"/>
          <w:b w:val="0"/>
          <w:bCs w:val="0"/>
        </w:rPr>
        <w:t>八、</w:t>
      </w:r>
      <w:r>
        <w:rPr>
          <w:rFonts w:hint="default" w:ascii="Times New Roman" w:hAnsi="Times New Roman" w:eastAsia="仿宋" w:cs="Times New Roman"/>
          <w:b w:val="0"/>
        </w:rPr>
        <w:t>一</w:t>
      </w:r>
      <w:r>
        <w:rPr>
          <w:rStyle w:val="31"/>
          <w:rFonts w:hint="default" w:ascii="Times New Roman" w:hAnsi="Times New Roman" w:eastAsia="仿宋" w:cs="Times New Roman"/>
          <w:b w:val="0"/>
          <w:bCs w:val="0"/>
        </w:rPr>
        <w:t>般公共预算财政拨款基本支出决算表</w:t>
      </w:r>
      <w:bookmarkEnd w:id="93"/>
      <w:bookmarkEnd w:id="94"/>
    </w:p>
    <w:p>
      <w:pPr>
        <w:pStyle w:val="4"/>
        <w:rPr>
          <w:rFonts w:hint="default" w:ascii="Times New Roman" w:hAnsi="Times New Roman" w:eastAsia="仿宋" w:cs="Times New Roman"/>
        </w:rPr>
      </w:pPr>
      <w:bookmarkStart w:id="95" w:name="_Toc3573"/>
      <w:bookmarkStart w:id="96" w:name="_Toc15396627"/>
      <w:r>
        <w:rPr>
          <w:rStyle w:val="31"/>
          <w:rFonts w:hint="default" w:ascii="Times New Roman" w:hAnsi="Times New Roman" w:eastAsia="仿宋" w:cs="Times New Roman"/>
          <w:b w:val="0"/>
          <w:bCs w:val="0"/>
        </w:rPr>
        <w:t>九、</w:t>
      </w:r>
      <w:r>
        <w:rPr>
          <w:rFonts w:hint="default" w:ascii="Times New Roman" w:hAnsi="Times New Roman" w:eastAsia="仿宋" w:cs="Times New Roman"/>
          <w:b w:val="0"/>
        </w:rPr>
        <w:t>一</w:t>
      </w:r>
      <w:r>
        <w:rPr>
          <w:rStyle w:val="31"/>
          <w:rFonts w:hint="default" w:ascii="Times New Roman" w:hAnsi="Times New Roman" w:eastAsia="仿宋" w:cs="Times New Roman"/>
          <w:b w:val="0"/>
          <w:bCs w:val="0"/>
        </w:rPr>
        <w:t>般公共预算财政拨款项目支出决算表</w:t>
      </w:r>
      <w:bookmarkEnd w:id="95"/>
      <w:bookmarkEnd w:id="96"/>
    </w:p>
    <w:p>
      <w:pPr>
        <w:pStyle w:val="4"/>
        <w:rPr>
          <w:rFonts w:hint="default" w:ascii="Times New Roman" w:hAnsi="Times New Roman" w:eastAsia="仿宋" w:cs="Times New Roman"/>
        </w:rPr>
      </w:pPr>
      <w:bookmarkStart w:id="97" w:name="_Toc15396628"/>
      <w:bookmarkStart w:id="98" w:name="_Toc20640"/>
      <w:r>
        <w:rPr>
          <w:rStyle w:val="31"/>
          <w:rFonts w:hint="default" w:ascii="Times New Roman" w:hAnsi="Times New Roman" w:eastAsia="仿宋" w:cs="Times New Roman"/>
          <w:b w:val="0"/>
          <w:bCs w:val="0"/>
        </w:rPr>
        <w:t>十、</w:t>
      </w:r>
      <w:bookmarkEnd w:id="97"/>
      <w:r>
        <w:rPr>
          <w:rFonts w:hint="default" w:ascii="Times New Roman" w:hAnsi="Times New Roman" w:eastAsia="仿宋" w:cs="Times New Roman"/>
          <w:b w:val="0"/>
        </w:rPr>
        <w:t>政</w:t>
      </w:r>
      <w:r>
        <w:rPr>
          <w:rStyle w:val="31"/>
          <w:rFonts w:hint="default" w:ascii="Times New Roman" w:hAnsi="Times New Roman" w:eastAsia="仿宋" w:cs="Times New Roman"/>
          <w:b w:val="0"/>
          <w:bCs w:val="0"/>
        </w:rPr>
        <w:t>府性基金预算财政拨款收入支出决算表</w:t>
      </w:r>
      <w:bookmarkEnd w:id="98"/>
    </w:p>
    <w:p>
      <w:pPr>
        <w:pStyle w:val="4"/>
        <w:rPr>
          <w:rFonts w:hint="default" w:ascii="Times New Roman" w:hAnsi="Times New Roman" w:eastAsia="仿宋" w:cs="Times New Roman"/>
        </w:rPr>
      </w:pPr>
      <w:bookmarkStart w:id="99" w:name="_Toc15396629"/>
      <w:bookmarkStart w:id="100" w:name="_Toc29036"/>
      <w:r>
        <w:rPr>
          <w:rStyle w:val="31"/>
          <w:rFonts w:hint="default" w:ascii="Times New Roman" w:hAnsi="Times New Roman" w:eastAsia="仿宋" w:cs="Times New Roman"/>
          <w:b w:val="0"/>
          <w:bCs w:val="0"/>
        </w:rPr>
        <w:t>十一、</w:t>
      </w:r>
      <w:bookmarkEnd w:id="99"/>
      <w:r>
        <w:rPr>
          <w:rFonts w:hint="default" w:ascii="Times New Roman" w:hAnsi="Times New Roman" w:eastAsia="仿宋" w:cs="Times New Roman"/>
          <w:b w:val="0"/>
        </w:rPr>
        <w:t>国</w:t>
      </w:r>
      <w:r>
        <w:rPr>
          <w:rStyle w:val="31"/>
          <w:rFonts w:hint="default" w:ascii="Times New Roman" w:hAnsi="Times New Roman" w:eastAsia="仿宋" w:cs="Times New Roman"/>
          <w:b w:val="0"/>
          <w:bCs w:val="0"/>
        </w:rPr>
        <w:t>有资本经营预算财政拨款收入支出决算表</w:t>
      </w:r>
      <w:bookmarkEnd w:id="100"/>
    </w:p>
    <w:p>
      <w:pPr>
        <w:pStyle w:val="4"/>
        <w:rPr>
          <w:rFonts w:hint="default" w:ascii="Times New Roman" w:hAnsi="Times New Roman" w:eastAsia="仿宋" w:cs="Times New Roman"/>
        </w:rPr>
      </w:pPr>
      <w:bookmarkStart w:id="101" w:name="_Toc15396630"/>
      <w:bookmarkStart w:id="102" w:name="_Toc28624"/>
      <w:r>
        <w:rPr>
          <w:rStyle w:val="31"/>
          <w:rFonts w:hint="default" w:ascii="Times New Roman" w:hAnsi="Times New Roman" w:eastAsia="仿宋" w:cs="Times New Roman"/>
          <w:b w:val="0"/>
          <w:bCs w:val="0"/>
        </w:rPr>
        <w:t>十二、</w:t>
      </w:r>
      <w:bookmarkEnd w:id="101"/>
      <w:r>
        <w:rPr>
          <w:rStyle w:val="31"/>
          <w:rFonts w:hint="default" w:ascii="Times New Roman" w:hAnsi="Times New Roman" w:eastAsia="仿宋" w:cs="Times New Roman"/>
          <w:b w:val="0"/>
          <w:bCs w:val="0"/>
        </w:rPr>
        <w:t>国有资本经营预算财政拨款支出决算表</w:t>
      </w:r>
      <w:bookmarkEnd w:id="102"/>
    </w:p>
    <w:p>
      <w:pPr>
        <w:pStyle w:val="4"/>
        <w:rPr>
          <w:rFonts w:hint="default" w:ascii="Times New Roman" w:hAnsi="Times New Roman" w:eastAsia="仿宋" w:cs="Times New Roman"/>
        </w:rPr>
      </w:pPr>
      <w:bookmarkStart w:id="103" w:name="_Toc15396631"/>
      <w:bookmarkStart w:id="104" w:name="_Toc16571"/>
      <w:r>
        <w:rPr>
          <w:rStyle w:val="31"/>
          <w:rFonts w:hint="default" w:ascii="Times New Roman" w:hAnsi="Times New Roman" w:eastAsia="仿宋" w:cs="Times New Roman"/>
          <w:b w:val="0"/>
          <w:bCs w:val="0"/>
        </w:rPr>
        <w:t>十三、</w:t>
      </w:r>
      <w:bookmarkEnd w:id="103"/>
      <w:r>
        <w:rPr>
          <w:rStyle w:val="31"/>
          <w:rFonts w:hint="default" w:ascii="Times New Roman" w:hAnsi="Times New Roman" w:eastAsia="仿宋" w:cs="Times New Roman"/>
          <w:b w:val="0"/>
          <w:bCs w:val="0"/>
        </w:rPr>
        <w:t>财政拨款“三公”经费支出决算表</w:t>
      </w:r>
      <w:bookmarkEnd w:id="104"/>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32A9B"/>
    <w:multiLevelType w:val="singleLevel"/>
    <w:tmpl w:val="CC332A9B"/>
    <w:lvl w:ilvl="0" w:tentative="0">
      <w:start w:val="2"/>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EC6B558"/>
    <w:multiLevelType w:val="singleLevel"/>
    <w:tmpl w:val="6EC6B558"/>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076AAE"/>
    <w:rsid w:val="015975B8"/>
    <w:rsid w:val="02143E91"/>
    <w:rsid w:val="066E0107"/>
    <w:rsid w:val="068A1819"/>
    <w:rsid w:val="06BB3700"/>
    <w:rsid w:val="07996F6E"/>
    <w:rsid w:val="09EF5765"/>
    <w:rsid w:val="0A2032A3"/>
    <w:rsid w:val="0F98263C"/>
    <w:rsid w:val="101860EC"/>
    <w:rsid w:val="10C055FF"/>
    <w:rsid w:val="118107EC"/>
    <w:rsid w:val="13D50BC4"/>
    <w:rsid w:val="15681211"/>
    <w:rsid w:val="16BB723D"/>
    <w:rsid w:val="17BB110B"/>
    <w:rsid w:val="1BE8440E"/>
    <w:rsid w:val="1D155CEE"/>
    <w:rsid w:val="1E0764E6"/>
    <w:rsid w:val="1EEF0EF0"/>
    <w:rsid w:val="1FF35744"/>
    <w:rsid w:val="207F0804"/>
    <w:rsid w:val="220A7088"/>
    <w:rsid w:val="23860B96"/>
    <w:rsid w:val="240371BF"/>
    <w:rsid w:val="25EA2CC2"/>
    <w:rsid w:val="28B823D0"/>
    <w:rsid w:val="28D53140"/>
    <w:rsid w:val="29FD04D3"/>
    <w:rsid w:val="2C8A61B5"/>
    <w:rsid w:val="2DF04E50"/>
    <w:rsid w:val="2EA64A2A"/>
    <w:rsid w:val="2F040D46"/>
    <w:rsid w:val="2F0F5C46"/>
    <w:rsid w:val="2F280D2F"/>
    <w:rsid w:val="2FC279D2"/>
    <w:rsid w:val="319F7F4E"/>
    <w:rsid w:val="3304709D"/>
    <w:rsid w:val="36AA5135"/>
    <w:rsid w:val="376D39B2"/>
    <w:rsid w:val="37E16F03"/>
    <w:rsid w:val="38D469F0"/>
    <w:rsid w:val="3B0F2C1B"/>
    <w:rsid w:val="3C6B4854"/>
    <w:rsid w:val="3D6373DF"/>
    <w:rsid w:val="3D98207C"/>
    <w:rsid w:val="3E78745D"/>
    <w:rsid w:val="44E268DA"/>
    <w:rsid w:val="47F87462"/>
    <w:rsid w:val="4A627F82"/>
    <w:rsid w:val="4B0E749A"/>
    <w:rsid w:val="4B4F25DA"/>
    <w:rsid w:val="4BE068DB"/>
    <w:rsid w:val="4CB8720F"/>
    <w:rsid w:val="4CC3321C"/>
    <w:rsid w:val="4D577224"/>
    <w:rsid w:val="4E6331AE"/>
    <w:rsid w:val="4EAB630A"/>
    <w:rsid w:val="4ECE2238"/>
    <w:rsid w:val="4EF8686B"/>
    <w:rsid w:val="537E6D0A"/>
    <w:rsid w:val="5AF92295"/>
    <w:rsid w:val="5CD71FC4"/>
    <w:rsid w:val="5EFD4353"/>
    <w:rsid w:val="62935FDB"/>
    <w:rsid w:val="643613A2"/>
    <w:rsid w:val="67F41676"/>
    <w:rsid w:val="6946357C"/>
    <w:rsid w:val="6B365391"/>
    <w:rsid w:val="6C4A05C8"/>
    <w:rsid w:val="6E7E3605"/>
    <w:rsid w:val="6FF5CC65"/>
    <w:rsid w:val="706305CE"/>
    <w:rsid w:val="715C0E4B"/>
    <w:rsid w:val="72734D90"/>
    <w:rsid w:val="72785434"/>
    <w:rsid w:val="73AD73D5"/>
    <w:rsid w:val="73B6EB34"/>
    <w:rsid w:val="744731E5"/>
    <w:rsid w:val="75D14E32"/>
    <w:rsid w:val="769426E2"/>
    <w:rsid w:val="76E3355F"/>
    <w:rsid w:val="778769C8"/>
    <w:rsid w:val="77FD54FC"/>
    <w:rsid w:val="79EE5BA4"/>
    <w:rsid w:val="7A894339"/>
    <w:rsid w:val="7BBC740E"/>
    <w:rsid w:val="7D2D1B42"/>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cs="Arial"/>
      <w:sz w:val="24"/>
    </w:rPr>
  </w:style>
  <w:style w:type="paragraph" w:styleId="6">
    <w:name w:val="annotation text"/>
    <w:basedOn w:val="1"/>
    <w:semiHidden/>
    <w:unhideWhenUsed/>
    <w:qFormat/>
    <w:uiPriority w:val="99"/>
    <w:pPr>
      <w:jc w:val="left"/>
    </w:pPr>
  </w:style>
  <w:style w:type="paragraph" w:styleId="7">
    <w:name w:val="Body Text"/>
    <w:basedOn w:val="1"/>
    <w:link w:val="27"/>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15"/>
    <w:qFormat/>
    <w:uiPriority w:val="99"/>
    <w:pPr>
      <w:snapToGrid w:val="0"/>
      <w:jc w:val="left"/>
    </w:pPr>
    <w:rPr>
      <w:sz w:val="18"/>
      <w:szCs w:val="18"/>
    </w:rPr>
  </w:style>
  <w:style w:type="paragraph" w:styleId="15">
    <w:name w:val="Body Text First Indent 2"/>
    <w:basedOn w:val="8"/>
    <w:next w:val="1"/>
    <w:unhideWhenUsed/>
    <w:qFormat/>
    <w:uiPriority w:val="99"/>
    <w:pPr>
      <w:ind w:firstLine="420" w:firstLineChars="200"/>
    </w:pPr>
  </w:style>
  <w:style w:type="paragraph" w:styleId="16">
    <w:name w:val="toc 2"/>
    <w:basedOn w:val="1"/>
    <w:next w:val="1"/>
    <w:unhideWhenUsed/>
    <w:qFormat/>
    <w:uiPriority w:val="39"/>
    <w:pPr>
      <w:tabs>
        <w:tab w:val="right" w:leader="dot" w:pos="8296"/>
      </w:tabs>
      <w:ind w:left="420" w:leftChars="200"/>
    </w:p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字符"/>
    <w:link w:val="12"/>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字符"/>
    <w:link w:val="11"/>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字符"/>
    <w:link w:val="7"/>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8"/>
    <w:link w:val="3"/>
    <w:qFormat/>
    <w:uiPriority w:val="9"/>
    <w:rPr>
      <w:rFonts w:ascii="Times New Roman" w:hAnsi="Times New Roman"/>
      <w:b/>
      <w:bCs/>
      <w:kern w:val="44"/>
      <w:sz w:val="44"/>
      <w:szCs w:val="44"/>
    </w:rPr>
  </w:style>
  <w:style w:type="character" w:customStyle="1" w:styleId="31">
    <w:name w:val="标题 2 字符"/>
    <w:basedOn w:val="18"/>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8"/>
    <w:link w:val="10"/>
    <w:semiHidden/>
    <w:qFormat/>
    <w:uiPriority w:val="99"/>
    <w:rPr>
      <w:rFonts w:ascii="Times New Roman" w:hAnsi="Times New Roman"/>
      <w:kern w:val="2"/>
      <w:sz w:val="18"/>
      <w:szCs w:val="18"/>
    </w:rPr>
  </w:style>
  <w:style w:type="character" w:customStyle="1" w:styleId="34">
    <w:name w:val="标题 3 字符"/>
    <w:basedOn w:val="18"/>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color w:val="000000"/>
      <w:kern w:val="0"/>
      <w:sz w:val="28"/>
      <w:szCs w:val="21"/>
      <w:lang w:val="zh-CN"/>
    </w:rPr>
  </w:style>
  <w:style w:type="paragraph" w:customStyle="1" w:styleId="37">
    <w:name w:val="WPSOffice手动目录 1"/>
    <w:qFormat/>
    <w:uiPriority w:val="0"/>
    <w:pPr>
      <w:ind w:leftChars="0"/>
    </w:pPr>
    <w:rPr>
      <w:rFonts w:asciiTheme="minorHAnsi" w:hAnsiTheme="minorHAnsi" w:eastAsiaTheme="minorEastAsia" w:cstheme="minorBidi"/>
      <w:sz w:val="20"/>
      <w:szCs w:val="20"/>
    </w:rPr>
  </w:style>
  <w:style w:type="paragraph" w:customStyle="1" w:styleId="38">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2270;&#34920;%20&#22312;%20&#65288;&#21333;&#20301;&#33539;&#26412;&#65289;&#20048;&#33267;&#21439;&#26412;&#32423;2021&#24180;&#24230;&#37096;&#38376;&#20915;&#31639;&#20844;&#24320;&#35828;&#26126;.doc"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图</a:t>
            </a:r>
            <a:r>
              <a:rPr lang="en-US" altLang="zh-CN"/>
              <a:t>1</a:t>
            </a:r>
            <a:r>
              <a:rPr altLang="en-US"/>
              <a:t>：收、支决算总计变动情况</a:t>
            </a:r>
            <a:r>
              <a:rPr altLang="en-US"/>
              <a:t>表</a:t>
            </a:r>
            <a:endParaRPr altLang="en-US"/>
          </a:p>
        </c:rich>
      </c:tx>
      <c:layout>
        <c:manualLayout>
          <c:xMode val="edge"/>
          <c:yMode val="edge"/>
          <c:x val="0.2085"/>
          <c:y val="0.0338333333333333"/>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2021年</c:v>
                </c:pt>
                <c:pt idx="1">
                  <c:v>2022年</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0</c:v>
                </c:pt>
                <c:pt idx="1">
                  <c:v>52.35</c:v>
                </c:pt>
              </c:numCache>
            </c:numRef>
          </c:val>
        </c:ser>
        <c:ser>
          <c:idx val="1"/>
          <c:order val="1"/>
          <c:tx>
            <c:strRef>
              <c:f>Sheet1!$C$1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2021年</c:v>
                </c:pt>
                <c:pt idx="1">
                  <c:v>2022年</c:v>
                </c:pt>
              </c:strCache>
            </c:strRef>
          </c:cat>
          <c:val>
            <c:numRef>
              <c:extLst>
                <c:ext xmlns:c15="http://schemas.microsoft.com/office/drawing/2012/chart" uri="{02D57815-91ED-43cb-92C2-25804820EDAC}">
                  <c15:fullRef>
                    <c15:sqref>Sheet1!$C$2:$C$5</c15:sqref>
                  </c15:fullRef>
                </c:ext>
              </c:extLst>
              <c:f>Sheet1!$C$2:$C$3</c:f>
              <c:numCache>
                <c:formatCode>General</c:formatCode>
                <c:ptCount val="2"/>
                <c:pt idx="0">
                  <c:v>0</c:v>
                </c:pt>
                <c:pt idx="1">
                  <c:v>52.35</c:v>
                </c:pt>
              </c:numCache>
            </c:numRef>
          </c:val>
        </c:ser>
        <c:dLbls>
          <c:showLegendKey val="0"/>
          <c:showVal val="1"/>
          <c:showCatName val="0"/>
          <c:showSerName val="0"/>
          <c:showPercent val="0"/>
          <c:showBubbleSize val="0"/>
        </c:dLbls>
        <c:gapWidth val="75"/>
        <c:overlap val="-25"/>
        <c:axId val="232454699"/>
        <c:axId val="312177812"/>
      </c:barChart>
      <c:catAx>
        <c:axId val="23245469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12177812"/>
        <c:crosses val="autoZero"/>
        <c:auto val="1"/>
        <c:lblAlgn val="ctr"/>
        <c:lblOffset val="100"/>
        <c:noMultiLvlLbl val="0"/>
      </c:catAx>
      <c:valAx>
        <c:axId val="3121778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245469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'[图表 在 （单位范本）乐至县本级2021年度部门决算公开说明.doc]Sheet1'!$B$3</c:f>
              <c:strCache>
                <c:ptCount val="1"/>
                <c:pt idx="0">
                  <c:v>图2：收入决算结构图</c:v>
                </c:pt>
              </c:strCache>
            </c:strRef>
          </c:tx>
          <c:spPr/>
          <c:explosion val="0"/>
          <c:dPt>
            <c:idx val="0"/>
            <c:bubble3D val="0"/>
            <c:spPr>
              <a:solidFill>
                <a:schemeClr val="accent1"/>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52.35</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'[图表 在 （单位范本）乐至县本级2021年度部门决算公开说明.doc]Sheet1'!$C$2</c:f>
              <c:strCache>
                <c:ptCount val="1"/>
                <c:pt idx="0">
                  <c:v>一般公共预算财政拨款收入</c:v>
                </c:pt>
              </c:strCache>
            </c:strRef>
          </c:cat>
          <c:val>
            <c:numRef>
              <c:f>'[图表 在 （单位范本）乐至县本级2021年度部门决算公开说明.doc]Sheet1'!$C$3</c:f>
              <c:numCache>
                <c:formatCode>General</c:formatCode>
                <c:ptCount val="1"/>
                <c:pt idx="0">
                  <c:v>645.64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图</a:t>
            </a:r>
            <a:r>
              <a:rPr lang="en-US" altLang="zh-CN"/>
              <a:t>3</a:t>
            </a:r>
            <a:r>
              <a:rPr altLang="en-US"/>
              <a:t>：</a:t>
            </a:r>
            <a:r>
              <a:t>支出金额</a:t>
            </a:r>
          </a:p>
        </c:rich>
      </c:tx>
      <c:layout/>
      <c:overlay val="0"/>
      <c:spPr>
        <a:noFill/>
        <a:ln>
          <a:noFill/>
        </a:ln>
        <a:effectLst/>
      </c:spPr>
    </c:title>
    <c:autoTitleDeleted val="0"/>
    <c:plotArea>
      <c:layout/>
      <c:pieChart>
        <c:varyColors val="1"/>
        <c:ser>
          <c:idx val="0"/>
          <c:order val="0"/>
          <c:tx>
            <c:strRef>
              <c:f>Sheet1!$B$1</c:f>
              <c:strCache>
                <c:ptCount val="1"/>
                <c:pt idx="0">
                  <c:v>支出金额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42.37,80.94%</a:t>
                    </a:r>
                    <a:endParaRPr altLang="en-US"/>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9.97,19.04%</a:t>
                    </a:r>
                    <a:endParaRPr altLang="en-US"/>
                  </a:p>
                </c:rich>
              </c:tx>
              <c:dLblPos val="bestFit"/>
              <c:showLegendKey val="0"/>
              <c:showVal val="1"/>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42.37</c:v>
                </c:pt>
                <c:pt idx="1">
                  <c:v>9.97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图</a:t>
            </a:r>
            <a:r>
              <a:rPr lang="en-US" altLang="zh-CN"/>
              <a:t>4</a:t>
            </a:r>
            <a:r>
              <a:rPr altLang="en-US"/>
              <a:t>：收、支决算总计变动情况</a:t>
            </a:r>
            <a:r>
              <a:rPr altLang="en-US"/>
              <a:t>图</a:t>
            </a:r>
            <a:endParaRPr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2021年</c:v>
                </c:pt>
                <c:pt idx="1">
                  <c:v>2022年</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0</c:v>
                </c:pt>
                <c:pt idx="1">
                  <c:v>52.35</c:v>
                </c:pt>
              </c:numCache>
            </c:numRef>
          </c:val>
        </c:ser>
        <c:ser>
          <c:idx val="1"/>
          <c:order val="1"/>
          <c:tx>
            <c:strRef>
              <c:f>Sheet1!$C$1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2021年</c:v>
                </c:pt>
                <c:pt idx="1">
                  <c:v>2022年</c:v>
                </c:pt>
              </c:strCache>
            </c:strRef>
          </c:cat>
          <c:val>
            <c:numRef>
              <c:extLst>
                <c:ext xmlns:c15="http://schemas.microsoft.com/office/drawing/2012/chart" uri="{02D57815-91ED-43cb-92C2-25804820EDAC}">
                  <c15:fullRef>
                    <c15:sqref>Sheet1!$C$2:$C$5</c15:sqref>
                  </c15:fullRef>
                </c:ext>
              </c:extLst>
              <c:f>Sheet1!$C$2:$C$3</c:f>
              <c:numCache>
                <c:formatCode>General</c:formatCode>
                <c:ptCount val="2"/>
                <c:pt idx="0">
                  <c:v>0</c:v>
                </c:pt>
                <c:pt idx="1">
                  <c:v>52.35</c:v>
                </c:pt>
              </c:numCache>
            </c:numRef>
          </c:val>
        </c:ser>
        <c:dLbls>
          <c:showLegendKey val="0"/>
          <c:showVal val="1"/>
          <c:showCatName val="0"/>
          <c:showSerName val="0"/>
          <c:showPercent val="0"/>
          <c:showBubbleSize val="0"/>
        </c:dLbls>
        <c:gapWidth val="219"/>
        <c:overlap val="-27"/>
        <c:axId val="207847797"/>
        <c:axId val="832548146"/>
      </c:barChart>
      <c:catAx>
        <c:axId val="20784779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32548146"/>
        <c:crosses val="autoZero"/>
        <c:auto val="1"/>
        <c:lblAlgn val="ctr"/>
        <c:lblOffset val="100"/>
        <c:noMultiLvlLbl val="0"/>
      </c:catAx>
      <c:valAx>
        <c:axId val="83254814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784779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图</a:t>
            </a:r>
            <a:r>
              <a:rPr lang="en-US" altLang="zh-CN"/>
              <a:t>5</a:t>
            </a:r>
            <a:r>
              <a:rPr altLang="en-US"/>
              <a:t>：一般公共预算财政拨款支出决算变动</a:t>
            </a:r>
            <a:r>
              <a:rPr altLang="en-US"/>
              <a:t>情况</a:t>
            </a:r>
            <a:endParaRPr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2021年</c:v>
                </c:pt>
                <c:pt idx="1">
                  <c:v>2022年</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0</c:v>
                </c:pt>
                <c:pt idx="1">
                  <c:v>52.35</c:v>
                </c:pt>
              </c:numCache>
            </c:numRef>
          </c:val>
        </c:ser>
        <c:dLbls>
          <c:showLegendKey val="0"/>
          <c:showVal val="1"/>
          <c:showCatName val="0"/>
          <c:showSerName val="0"/>
          <c:showPercent val="0"/>
          <c:showBubbleSize val="0"/>
        </c:dLbls>
        <c:gapWidth val="75"/>
        <c:overlap val="-25"/>
        <c:axId val="100579374"/>
        <c:axId val="986789379"/>
      </c:barChart>
      <c:catAx>
        <c:axId val="10057937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789379"/>
        <c:crosses val="autoZero"/>
        <c:auto val="1"/>
        <c:lblAlgn val="ctr"/>
        <c:lblOffset val="100"/>
        <c:noMultiLvlLbl val="0"/>
      </c:catAx>
      <c:valAx>
        <c:axId val="9867893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57937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图6：一般公共预算财政拨款支出决算结构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c:v>
                </c:pt>
                <c:pt idx="1">
                  <c:v>社会保障和就业</c:v>
                </c:pt>
                <c:pt idx="2">
                  <c:v>卫生健康支出</c:v>
                </c:pt>
                <c:pt idx="3">
                  <c:v>住房保障支出</c:v>
                </c:pt>
              </c:strCache>
            </c:strRef>
          </c:cat>
          <c:val>
            <c:numRef>
              <c:f>Sheet1!$B$2:$B$5</c:f>
              <c:numCache>
                <c:formatCode>0.00%</c:formatCode>
                <c:ptCount val="4"/>
                <c:pt idx="0">
                  <c:v>0.0038</c:v>
                </c:pt>
                <c:pt idx="1">
                  <c:v>0.8753</c:v>
                </c:pt>
                <c:pt idx="2">
                  <c:v>0.0267</c:v>
                </c:pt>
                <c:pt idx="3">
                  <c:v>0.094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1</TotalTime>
  <ScaleCrop>false</ScaleCrop>
  <LinksUpToDate>false</LinksUpToDate>
  <CharactersWithSpaces>7955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Acer</cp:lastModifiedBy>
  <cp:lastPrinted>2023-10-26T08:59:00Z</cp:lastPrinted>
  <dcterms:modified xsi:type="dcterms:W3CDTF">2023-11-06T07:42:13Z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A683B0ED30724B51AD6C64FBF4887DA3</vt:lpwstr>
  </property>
</Properties>
</file>