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Times New Roman" w:eastAsia="黑体" w:cs="黑体"/>
          <w:color w:val="000000"/>
        </w:rPr>
      </w:pPr>
      <w:bookmarkStart w:id="0" w:name="YS040100"/>
    </w:p>
    <w:p>
      <w:pPr>
        <w:jc w:val="center"/>
        <w:rPr>
          <w:rFonts w:ascii="黑体" w:hAnsi="Times New Roman" w:eastAsia="黑体" w:cs="黑体"/>
          <w:color w:val="000000"/>
        </w:rPr>
      </w:pPr>
    </w:p>
    <w:p>
      <w:pPr>
        <w:jc w:val="center"/>
        <w:rPr>
          <w:rFonts w:ascii="黑体" w:hAnsi="Times New Roman" w:eastAsia="黑体" w:cs="黑体"/>
          <w:color w:val="000000"/>
        </w:rPr>
      </w:pPr>
    </w:p>
    <w:bookmarkEnd w:id="0"/>
    <w:p>
      <w:pPr>
        <w:jc w:val="center"/>
        <w:rPr>
          <w:rFonts w:hint="eastAsia" w:ascii="华文中宋" w:hAnsi="华文中宋" w:eastAsia="华文中宋" w:cs="黑体"/>
          <w:color w:val="000000"/>
          <w:sz w:val="36"/>
          <w:szCs w:val="32"/>
        </w:rPr>
      </w:pPr>
      <w:r>
        <w:rPr>
          <w:rFonts w:hint="eastAsia" w:ascii="华文中宋" w:hAnsi="华文中宋" w:eastAsia="华文中宋" w:cs="黑体"/>
          <w:color w:val="000000"/>
          <w:sz w:val="36"/>
          <w:szCs w:val="32"/>
          <w:lang w:eastAsia="zh-CN"/>
        </w:rPr>
        <w:t>乐至县石佛镇人民政府</w:t>
      </w:r>
      <w:r>
        <w:rPr>
          <w:rFonts w:hint="eastAsia" w:ascii="华文中宋" w:hAnsi="华文中宋" w:eastAsia="华文中宋" w:cs="黑体"/>
          <w:color w:val="000000"/>
          <w:sz w:val="36"/>
          <w:szCs w:val="32"/>
        </w:rPr>
        <w:t>20</w:t>
      </w:r>
      <w:r>
        <w:rPr>
          <w:rFonts w:hint="eastAsia" w:ascii="华文中宋" w:hAnsi="华文中宋" w:eastAsia="华文中宋" w:cs="黑体"/>
          <w:color w:val="000000"/>
          <w:sz w:val="36"/>
          <w:szCs w:val="32"/>
          <w:lang w:val="en-US" w:eastAsia="zh-CN"/>
        </w:rPr>
        <w:t>21</w:t>
      </w:r>
      <w:r>
        <w:rPr>
          <w:rFonts w:hint="eastAsia" w:ascii="华文中宋" w:hAnsi="华文中宋" w:eastAsia="华文中宋" w:cs="黑体"/>
          <w:color w:val="000000"/>
          <w:sz w:val="36"/>
          <w:szCs w:val="32"/>
        </w:rPr>
        <w:t>年度部门决算报表</w:t>
      </w:r>
    </w:p>
    <w:p>
      <w:pPr>
        <w:jc w:val="center"/>
        <w:rPr>
          <w:rFonts w:ascii="华文中宋" w:hAnsi="华文中宋" w:eastAsia="华文中宋" w:cs="黑体"/>
          <w:color w:val="000000"/>
          <w:sz w:val="36"/>
          <w:szCs w:val="32"/>
        </w:rPr>
      </w:pPr>
      <w:r>
        <w:rPr>
          <w:rFonts w:hint="eastAsia" w:ascii="华文中宋" w:hAnsi="华文中宋" w:eastAsia="华文中宋" w:cs="黑体"/>
          <w:color w:val="000000"/>
          <w:sz w:val="36"/>
          <w:szCs w:val="32"/>
        </w:rPr>
        <w:t>填报说明</w:t>
      </w:r>
    </w:p>
    <w:p>
      <w:pPr>
        <w:jc w:val="center"/>
        <w:rPr>
          <w:rFonts w:ascii="仿宋_GB2312" w:hAnsi="华文中宋" w:eastAsia="仿宋_GB2312" w:cs="黑体"/>
          <w:color w:val="000000"/>
          <w:sz w:val="32"/>
          <w:szCs w:val="32"/>
        </w:rPr>
      </w:pP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一、决算信息来源说明</w:t>
      </w:r>
    </w:p>
    <w:p>
      <w:pPr>
        <w:ind w:firstLine="640" w:firstLineChars="200"/>
        <w:rPr>
          <w:rFonts w:ascii="仿宋_GB2312" w:hAnsi="仿宋" w:eastAsia="仿宋_GB2312" w:cs="仿宋"/>
          <w:bCs/>
          <w:color w:val="000000"/>
          <w:sz w:val="32"/>
          <w:szCs w:val="32"/>
        </w:rPr>
      </w:pPr>
      <w:r>
        <w:rPr>
          <w:rFonts w:hint="eastAsia" w:ascii="仿宋_GB2312" w:hAnsi="仿宋" w:eastAsia="仿宋_GB2312" w:cs="仿宋"/>
          <w:bCs/>
          <w:color w:val="000000"/>
          <w:sz w:val="32"/>
          <w:szCs w:val="32"/>
        </w:rPr>
        <w:t>本套决算依据本单位登记完整、核对无误的账簿记录和其他有关会计核算资料编制，账证相符、账实相符、账表相符、表表相符，真实、准确、完整地反映了本单位预算执行结果和财务状况。</w:t>
      </w:r>
    </w:p>
    <w:p>
      <w:pPr>
        <w:ind w:firstLine="640" w:firstLineChars="200"/>
        <w:rPr>
          <w:rFonts w:ascii="仿宋_GB2312" w:hAnsi="仿宋" w:eastAsia="仿宋_GB2312" w:cs="黑体"/>
          <w:color w:val="000000"/>
          <w:sz w:val="32"/>
          <w:szCs w:val="32"/>
        </w:rPr>
      </w:pPr>
      <w:r>
        <w:rPr>
          <w:rFonts w:hint="eastAsia" w:ascii="仿宋_GB2312" w:hAnsi="仿宋" w:eastAsia="仿宋_GB2312"/>
          <w:sz w:val="32"/>
          <w:szCs w:val="32"/>
        </w:rPr>
        <w:t>（一）本套决算主表数据主要依据本单位会计账簿总账及明细账数据填列，预算数据依据本单位预、决算批复文件及预算调整文件填列。</w:t>
      </w:r>
    </w:p>
    <w:p>
      <w:pPr>
        <w:ind w:firstLine="640" w:firstLineChars="200"/>
        <w:rPr>
          <w:rFonts w:ascii="仿宋_GB2312" w:hAnsi="仿宋" w:eastAsia="仿宋_GB2312"/>
          <w:sz w:val="32"/>
          <w:szCs w:val="32"/>
        </w:rPr>
      </w:pPr>
      <w:r>
        <w:rPr>
          <w:rFonts w:hint="eastAsia" w:ascii="仿宋_GB2312" w:hAnsi="仿宋" w:eastAsia="仿宋_GB2312"/>
          <w:sz w:val="32"/>
          <w:szCs w:val="32"/>
        </w:rPr>
        <w:t>（二）本套决算附表数据主要依据本单位会计账簿、资产、人事台账及相关资料填列。</w:t>
      </w:r>
    </w:p>
    <w:p>
      <w:pPr>
        <w:ind w:firstLine="640" w:firstLineChars="200"/>
        <w:rPr>
          <w:rFonts w:ascii="黑体" w:hAnsi="黑体" w:eastAsia="黑体" w:cs="黑体"/>
          <w:sz w:val="32"/>
          <w:szCs w:val="32"/>
        </w:rPr>
      </w:pPr>
      <w:r>
        <w:rPr>
          <w:rFonts w:hint="eastAsia" w:ascii="黑体" w:hAnsi="黑体" w:eastAsia="黑体" w:cs="黑体"/>
          <w:sz w:val="32"/>
          <w:szCs w:val="32"/>
        </w:rPr>
        <w:t>二、决算编制基本情况</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本单位为</w:t>
      </w:r>
      <w:r>
        <w:rPr>
          <w:rFonts w:hint="eastAsia" w:ascii="仿宋_GB2312" w:hAnsi="仿宋" w:eastAsia="仿宋_GB2312" w:cs="仿宋"/>
          <w:bCs/>
          <w:sz w:val="32"/>
          <w:szCs w:val="32"/>
          <w:u w:val="single"/>
        </w:rPr>
        <w:t xml:space="preserve"> 乐至县</w:t>
      </w:r>
      <w:r>
        <w:rPr>
          <w:rFonts w:hint="eastAsia" w:ascii="仿宋_GB2312" w:hAnsi="仿宋" w:eastAsia="仿宋_GB2312" w:cs="仿宋"/>
          <w:bCs/>
          <w:sz w:val="32"/>
          <w:szCs w:val="32"/>
          <w:u w:val="single"/>
          <w:lang w:eastAsia="zh-CN"/>
        </w:rPr>
        <w:t>石佛镇</w:t>
      </w:r>
      <w:r>
        <w:rPr>
          <w:rFonts w:hint="eastAsia" w:ascii="仿宋_GB2312" w:hAnsi="仿宋" w:eastAsia="仿宋_GB2312" w:cs="仿宋"/>
          <w:bCs/>
          <w:sz w:val="32"/>
          <w:szCs w:val="32"/>
          <w:u w:val="single"/>
        </w:rPr>
        <w:t>人民政府</w:t>
      </w:r>
      <w:r>
        <w:rPr>
          <w:rFonts w:hint="eastAsia" w:ascii="仿宋_GB2312" w:hAnsi="仿宋" w:eastAsia="仿宋_GB2312" w:cs="仿宋"/>
          <w:bCs/>
          <w:sz w:val="32"/>
          <w:szCs w:val="32"/>
        </w:rPr>
        <w:t>（填列一级预算单位名称）所属</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u w:val="single"/>
          <w:lang w:eastAsia="zh-CN"/>
        </w:rPr>
        <w:t>一</w:t>
      </w:r>
      <w:r>
        <w:rPr>
          <w:rFonts w:hint="eastAsia" w:ascii="仿宋_GB2312" w:hAnsi="仿宋" w:eastAsia="仿宋_GB2312" w:cs="仿宋"/>
          <w:bCs/>
          <w:sz w:val="32"/>
          <w:szCs w:val="32"/>
        </w:rPr>
        <w:t>级（</w:t>
      </w:r>
      <w:r>
        <w:rPr>
          <w:rFonts w:hint="eastAsia" w:ascii="仿宋_GB2312" w:hAnsi="仿宋" w:eastAsia="仿宋_GB2312" w:cs="仿宋"/>
          <w:bCs/>
          <w:spacing w:val="14"/>
          <w:sz w:val="32"/>
          <w:szCs w:val="32"/>
        </w:rPr>
        <w:t>按封面“单位预算级次”填列）预算单位，单位性质</w:t>
      </w:r>
      <w:r>
        <w:rPr>
          <w:rFonts w:hint="eastAsia" w:ascii="仿宋_GB2312" w:hAnsi="仿宋" w:eastAsia="仿宋_GB2312" w:cs="仿宋"/>
          <w:bCs/>
          <w:sz w:val="32"/>
          <w:szCs w:val="32"/>
        </w:rPr>
        <w:t>为</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u w:val="single"/>
          <w:lang w:eastAsia="zh-CN"/>
        </w:rPr>
        <w:t>行政单位</w:t>
      </w:r>
      <w:r>
        <w:rPr>
          <w:rFonts w:hint="eastAsia" w:ascii="仿宋_GB2312" w:hAnsi="仿宋" w:eastAsia="仿宋_GB2312" w:cs="仿宋"/>
          <w:bCs/>
          <w:sz w:val="32"/>
          <w:szCs w:val="32"/>
        </w:rPr>
        <w:t>单位（按封面“单位基本性质”填列），决算编报类型为</w:t>
      </w:r>
      <w:r>
        <w:rPr>
          <w:rFonts w:hint="eastAsia" w:ascii="仿宋_GB2312" w:hAnsi="仿宋" w:eastAsia="仿宋_GB2312" w:cs="仿宋"/>
          <w:bCs/>
          <w:sz w:val="32"/>
          <w:szCs w:val="32"/>
          <w:u w:val="single"/>
          <w:lang w:eastAsia="zh-CN"/>
        </w:rPr>
        <w:t>乡镇汇总录入表</w:t>
      </w:r>
      <w:r>
        <w:rPr>
          <w:rFonts w:hint="eastAsia" w:ascii="仿宋_GB2312" w:hAnsi="仿宋" w:eastAsia="仿宋_GB2312" w:cs="仿宋"/>
          <w:bCs/>
          <w:sz w:val="32"/>
          <w:szCs w:val="32"/>
        </w:rPr>
        <w:t>（按封面“报表类型”填列），按照</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u w:val="single"/>
          <w:lang w:eastAsia="zh-CN"/>
        </w:rPr>
        <w:t>政府</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rPr>
        <w:t>会计制度填报决算数据（按封面“单位执行会计制度”填列）。</w:t>
      </w:r>
    </w:p>
    <w:p>
      <w:pPr>
        <w:ind w:firstLine="567"/>
        <w:rPr>
          <w:rFonts w:ascii="仿宋_GB2312" w:hAnsi="仿宋" w:eastAsia="仿宋_GB2312" w:cs="仿宋"/>
          <w:bCs/>
          <w:sz w:val="32"/>
          <w:szCs w:val="32"/>
        </w:rPr>
      </w:pPr>
      <w:r>
        <w:rPr>
          <w:rFonts w:hint="eastAsia" w:ascii="仿宋_GB2312" w:hAnsi="仿宋" w:eastAsia="仿宋_GB2312" w:cs="仿宋"/>
          <w:bCs/>
          <w:sz w:val="32"/>
          <w:szCs w:val="32"/>
        </w:rPr>
        <w:t>纳入本套决算编制范围的独立核算单位共</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u w:val="single"/>
          <w:lang w:val="en-US" w:eastAsia="zh-CN"/>
        </w:rPr>
        <w:t>1</w:t>
      </w:r>
      <w:r>
        <w:rPr>
          <w:rFonts w:hint="eastAsia" w:ascii="仿宋_GB2312" w:hAnsi="仿宋" w:eastAsia="仿宋_GB2312" w:cs="仿宋"/>
          <w:bCs/>
          <w:sz w:val="32"/>
          <w:szCs w:val="32"/>
        </w:rPr>
        <w:t>个，比上年增减</w:t>
      </w:r>
      <w:r>
        <w:rPr>
          <w:rFonts w:hint="eastAsia" w:ascii="仿宋_GB2312" w:hAnsi="仿宋" w:eastAsia="仿宋_GB2312" w:cs="仿宋"/>
          <w:bCs/>
          <w:sz w:val="32"/>
          <w:szCs w:val="32"/>
          <w:u w:val="single"/>
        </w:rPr>
        <w:t xml:space="preserve"> </w:t>
      </w:r>
      <w:r>
        <w:rPr>
          <w:rFonts w:hint="eastAsia" w:ascii="仿宋_GB2312" w:hAnsi="仿宋" w:eastAsia="仿宋_GB2312" w:cs="仿宋"/>
          <w:bCs/>
          <w:sz w:val="32"/>
          <w:szCs w:val="32"/>
          <w:u w:val="single"/>
          <w:lang w:val="en-US" w:eastAsia="zh-CN"/>
        </w:rPr>
        <w:t>0</w:t>
      </w:r>
      <w:r>
        <w:rPr>
          <w:rFonts w:hint="eastAsia" w:ascii="仿宋_GB2312" w:hAnsi="仿宋" w:eastAsia="仿宋_GB2312" w:cs="仿宋"/>
          <w:bCs/>
          <w:sz w:val="32"/>
          <w:szCs w:val="32"/>
        </w:rPr>
        <w:t>个。</w:t>
      </w:r>
    </w:p>
    <w:p>
      <w:pPr>
        <w:ind w:firstLine="707" w:firstLineChars="221"/>
        <w:rPr>
          <w:rFonts w:ascii="黑体" w:hAnsi="黑体" w:eastAsia="黑体" w:cs="Times New Roman"/>
          <w:color w:val="000000"/>
          <w:sz w:val="32"/>
          <w:szCs w:val="32"/>
        </w:rPr>
      </w:pPr>
      <w:r>
        <w:rPr>
          <w:rFonts w:hint="eastAsia" w:ascii="黑体" w:hAnsi="黑体" w:eastAsia="黑体" w:cs="黑体"/>
          <w:color w:val="000000"/>
          <w:sz w:val="32"/>
          <w:szCs w:val="32"/>
        </w:rPr>
        <w:t>三、基础数据核对情况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（一）财政资金对账情况。</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1．财政拨款核对情况。</w:t>
      </w:r>
    </w:p>
    <w:p>
      <w:pPr>
        <w:ind w:firstLine="70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（1）单位本年度实际收到的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公共预算财政拨款收入</w:t>
      </w:r>
      <w:r>
        <w:rPr>
          <w:rFonts w:ascii="仿宋_GB2312" w:eastAsia="仿宋_GB2312" w:cs="Times New Roman"/>
          <w:color w:val="000000"/>
          <w:sz w:val="32"/>
          <w:szCs w:val="32"/>
          <w:u w:val="single"/>
        </w:rPr>
        <w:t xml:space="preserve"> </w:t>
      </w:r>
      <w:r>
        <w:rPr>
          <w:rFonts w:hint="eastAsia" w:ascii="仿宋_GB2312" w:eastAsia="仿宋_GB2312" w:cs="Times New Roman"/>
          <w:color w:val="000000"/>
          <w:sz w:val="32"/>
          <w:szCs w:val="32"/>
          <w:u w:val="single"/>
          <w:lang w:val="en-US" w:eastAsia="zh-CN"/>
        </w:rPr>
        <w:t>5252.91</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lang w:val="en-US" w:eastAsia="zh-CN"/>
        </w:rPr>
        <w:t>5252.91</w:t>
      </w:r>
      <w:r>
        <w:rPr>
          <w:rFonts w:ascii="仿宋_GB2312"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万元，差额</w:t>
      </w:r>
      <w:r>
        <w:rPr>
          <w:rFonts w:ascii="仿宋_GB2312" w:eastAsia="仿宋_GB2312" w:cs="Times New Roman"/>
          <w:color w:val="000000"/>
          <w:sz w:val="32"/>
          <w:szCs w:val="32"/>
          <w:u w:val="single"/>
        </w:rPr>
        <w:t xml:space="preserve"> </w:t>
      </w:r>
      <w:r>
        <w:rPr>
          <w:rFonts w:hint="eastAsia" w:ascii="仿宋_GB2312" w:eastAsia="仿宋_GB2312" w:cs="Times New Roman"/>
          <w:color w:val="000000"/>
          <w:sz w:val="32"/>
          <w:szCs w:val="32"/>
          <w:u w:val="single"/>
        </w:rPr>
        <w:t>0</w:t>
      </w:r>
      <w:r>
        <w:rPr>
          <w:rFonts w:ascii="仿宋_GB2312" w:eastAsia="仿宋_GB2312" w:cs="Times New Roman"/>
          <w:color w:val="000000"/>
          <w:sz w:val="32"/>
          <w:szCs w:val="32"/>
          <w:u w:val="single"/>
        </w:rPr>
        <w:t xml:space="preserve"> </w:t>
      </w:r>
      <w:r>
        <w:rPr>
          <w:rFonts w:hint="eastAsia" w:ascii="仿宋_GB2312" w:hAnsi="仿宋" w:eastAsia="仿宋_GB2312" w:cs="仿宋"/>
          <w:color w:val="000000"/>
          <w:sz w:val="32"/>
          <w:szCs w:val="32"/>
        </w:rPr>
        <w:t>万元。</w:t>
      </w:r>
    </w:p>
    <w:p>
      <w:pPr>
        <w:ind w:firstLine="70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（2）单位本年度政府性基金预算财政拨款收入</w:t>
      </w:r>
      <w:r>
        <w:rPr>
          <w:rFonts w:hint="eastAsia" w:ascii="仿宋_GB2312" w:eastAsia="仿宋_GB2312" w:cs="Times New Roman"/>
          <w:color w:val="000000"/>
          <w:sz w:val="32"/>
          <w:szCs w:val="32"/>
          <w:u w:val="single"/>
          <w:lang w:val="en-US" w:eastAsia="zh-CN"/>
        </w:rPr>
        <w:t>41.90</w:t>
      </w:r>
      <w:r>
        <w:rPr>
          <w:rFonts w:hint="eastAsia" w:ascii="仿宋_GB2312" w:hAnsi="仿宋" w:eastAsia="仿宋_GB2312" w:cs="仿宋"/>
          <w:color w:val="000000"/>
          <w:sz w:val="32"/>
          <w:szCs w:val="32"/>
        </w:rPr>
        <w:t>万元，财政部门拨款对账单</w:t>
      </w:r>
      <w:r>
        <w:rPr>
          <w:rFonts w:hint="eastAsia" w:ascii="仿宋_GB2312" w:eastAsia="仿宋_GB2312" w:cs="Times New Roman"/>
          <w:color w:val="000000"/>
          <w:sz w:val="32"/>
          <w:szCs w:val="32"/>
          <w:u w:val="single"/>
          <w:lang w:val="en-US" w:eastAsia="zh-CN"/>
        </w:rPr>
        <w:t>41.91</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0</w:t>
      </w:r>
      <w:r>
        <w:rPr>
          <w:rFonts w:hint="eastAsia" w:ascii="仿宋_GB2312" w:hAnsi="仿宋" w:eastAsia="仿宋_GB2312" w:cs="仿宋"/>
          <w:color w:val="000000"/>
          <w:sz w:val="32"/>
          <w:szCs w:val="32"/>
        </w:rPr>
        <w:t>万元。</w:t>
      </w:r>
    </w:p>
    <w:p>
      <w:pPr>
        <w:ind w:firstLine="960" w:firstLineChars="300"/>
        <w:rPr>
          <w:rFonts w:hint="eastAsia" w:ascii="仿宋_GB2312" w:hAnsi="Times New Roman" w:eastAsia="仿宋_GB2312" w:cs="Times New Roman"/>
          <w:color w:val="000000"/>
          <w:sz w:val="32"/>
          <w:szCs w:val="32"/>
        </w:rPr>
      </w:pPr>
      <w:r>
        <w:rPr>
          <w:rFonts w:hint="eastAsia" w:ascii="仿宋_GB2312" w:hAnsi="仿宋" w:eastAsia="仿宋_GB2312" w:cs="仿宋"/>
          <w:color w:val="000000"/>
          <w:sz w:val="32"/>
          <w:szCs w:val="32"/>
        </w:rPr>
        <w:t>2．财政专户管理资金核对情况</w:t>
      </w:r>
    </w:p>
    <w:p>
      <w:pPr>
        <w:ind w:firstLine="709"/>
        <w:rPr>
          <w:rFonts w:hint="eastAsia" w:ascii="仿宋_GB2312" w:hAnsi="Times New Roman" w:eastAsia="仿宋_GB2312" w:cs="Times New Roman"/>
          <w:color w:val="000000"/>
          <w:sz w:val="32"/>
          <w:szCs w:val="32"/>
        </w:rPr>
      </w:pPr>
      <w:r>
        <w:rPr>
          <w:rFonts w:hint="eastAsia" w:ascii="仿宋_GB2312" w:hAnsi="仿宋" w:eastAsia="仿宋_GB2312" w:cs="仿宋"/>
          <w:color w:val="000000"/>
          <w:sz w:val="32"/>
          <w:szCs w:val="32"/>
        </w:rPr>
        <w:t>（1）单位本年度缴入财政专户</w:t>
      </w:r>
      <w:r>
        <w:rPr>
          <w:rFonts w:hint="eastAsia" w:ascii="仿宋_GB2312" w:eastAsia="仿宋_GB2312" w:cs="Times New Roman"/>
          <w:color w:val="000000"/>
          <w:sz w:val="32"/>
          <w:szCs w:val="32"/>
          <w:u w:val="single"/>
        </w:rPr>
        <w:t>0</w:t>
      </w:r>
      <w:r>
        <w:rPr>
          <w:rFonts w:hint="eastAsia" w:ascii="仿宋_GB2312" w:hAnsi="仿宋" w:eastAsia="仿宋_GB2312" w:cs="仿宋"/>
          <w:color w:val="000000"/>
          <w:sz w:val="32"/>
          <w:szCs w:val="32"/>
        </w:rPr>
        <w:t>万元，财政部门财政专户缴款对账单</w:t>
      </w:r>
      <w:r>
        <w:rPr>
          <w:rFonts w:hint="eastAsia" w:ascii="仿宋_GB2312" w:eastAsia="仿宋_GB2312" w:cs="Times New Roman"/>
          <w:color w:val="000000"/>
          <w:sz w:val="32"/>
          <w:szCs w:val="32"/>
          <w:u w:val="single"/>
        </w:rPr>
        <w:t>0</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0</w:t>
      </w:r>
      <w:r>
        <w:rPr>
          <w:rFonts w:hint="eastAsia" w:ascii="仿宋_GB2312" w:hAnsi="仿宋" w:eastAsia="仿宋_GB2312" w:cs="仿宋"/>
          <w:color w:val="000000"/>
          <w:sz w:val="32"/>
          <w:szCs w:val="32"/>
        </w:rPr>
        <w:t>万元。</w:t>
      </w:r>
    </w:p>
    <w:p>
      <w:pPr>
        <w:ind w:firstLine="709"/>
        <w:rPr>
          <w:rFonts w:hint="eastAsia" w:ascii="仿宋_GB2312" w:hAnsi="Times New Roman" w:eastAsia="仿宋_GB2312" w:cs="Times New Roman"/>
          <w:color w:val="000000"/>
          <w:sz w:val="32"/>
          <w:szCs w:val="32"/>
        </w:rPr>
      </w:pPr>
      <w:r>
        <w:rPr>
          <w:rFonts w:hint="eastAsia" w:ascii="仿宋_GB2312" w:hAnsi="仿宋" w:eastAsia="仿宋_GB2312" w:cs="仿宋"/>
          <w:color w:val="000000"/>
          <w:sz w:val="32"/>
          <w:szCs w:val="32"/>
        </w:rPr>
        <w:t>（2）单位本年度财政专户</w:t>
      </w:r>
      <w:r>
        <w:rPr>
          <w:rFonts w:hint="eastAsia" w:ascii="仿宋_GB2312" w:hAnsi="仿宋" w:eastAsia="仿宋_GB2312" w:cs="仿宋"/>
          <w:bCs/>
          <w:color w:val="000000"/>
          <w:sz w:val="32"/>
          <w:szCs w:val="32"/>
        </w:rPr>
        <w:t>管理</w:t>
      </w:r>
      <w:r>
        <w:rPr>
          <w:rFonts w:hint="eastAsia" w:ascii="仿宋_GB2312" w:hAnsi="仿宋" w:eastAsia="仿宋_GB2312" w:cs="仿宋"/>
          <w:color w:val="000000"/>
          <w:sz w:val="32"/>
          <w:szCs w:val="32"/>
        </w:rPr>
        <w:t>资金收入</w:t>
      </w:r>
      <w:r>
        <w:rPr>
          <w:rFonts w:hint="eastAsia" w:ascii="仿宋_GB2312" w:eastAsia="仿宋_GB2312" w:cs="Times New Roman"/>
          <w:color w:val="000000"/>
          <w:sz w:val="32"/>
          <w:szCs w:val="32"/>
          <w:u w:val="single"/>
        </w:rPr>
        <w:t>0</w:t>
      </w:r>
      <w:r>
        <w:rPr>
          <w:rFonts w:hint="eastAsia" w:ascii="仿宋_GB2312" w:hAnsi="仿宋" w:eastAsia="仿宋_GB2312" w:cs="仿宋"/>
          <w:color w:val="000000"/>
          <w:sz w:val="32"/>
          <w:szCs w:val="32"/>
        </w:rPr>
        <w:t>万元，财政部门财政专户拨款对账单</w:t>
      </w:r>
      <w:r>
        <w:rPr>
          <w:rFonts w:hint="eastAsia" w:ascii="仿宋_GB2312" w:eastAsia="仿宋_GB2312" w:cs="Times New Roman"/>
          <w:color w:val="000000"/>
          <w:sz w:val="32"/>
          <w:szCs w:val="32"/>
          <w:u w:val="single"/>
        </w:rPr>
        <w:t>0</w:t>
      </w:r>
      <w:r>
        <w:rPr>
          <w:rFonts w:hint="eastAsia" w:ascii="仿宋_GB2312" w:hAnsi="仿宋" w:eastAsia="仿宋_GB2312" w:cs="仿宋"/>
          <w:color w:val="000000"/>
          <w:sz w:val="32"/>
          <w:szCs w:val="32"/>
        </w:rPr>
        <w:t>万元，差额</w:t>
      </w:r>
      <w:r>
        <w:rPr>
          <w:rFonts w:hint="eastAsia" w:ascii="仿宋_GB2312" w:eastAsia="仿宋_GB2312" w:cs="Times New Roman"/>
          <w:color w:val="000000"/>
          <w:sz w:val="32"/>
          <w:szCs w:val="32"/>
          <w:u w:val="single"/>
        </w:rPr>
        <w:t>0</w:t>
      </w:r>
      <w:r>
        <w:rPr>
          <w:rFonts w:hint="eastAsia" w:ascii="仿宋_GB2312" w:hAnsi="仿宋" w:eastAsia="仿宋_GB2312" w:cs="仿宋"/>
          <w:color w:val="000000"/>
          <w:sz w:val="32"/>
          <w:szCs w:val="32"/>
        </w:rPr>
        <w:t>万元。对差额原因进行说明。</w:t>
      </w:r>
    </w:p>
    <w:p>
      <w:pPr>
        <w:ind w:firstLine="709"/>
        <w:rPr>
          <w:rFonts w:ascii="仿宋_GB2312" w:hAnsi="仿宋" w:eastAsia="仿宋_GB2312" w:cs="Times New Roman"/>
          <w:b/>
          <w:color w:val="000000"/>
          <w:sz w:val="32"/>
          <w:szCs w:val="32"/>
        </w:rPr>
      </w:pPr>
      <w:r>
        <w:rPr>
          <w:rFonts w:hint="eastAsia" w:ascii="仿宋_GB2312" w:hAnsi="仿宋" w:eastAsia="仿宋_GB2312" w:cs="仿宋"/>
          <w:b/>
          <w:color w:val="000000"/>
          <w:sz w:val="32"/>
          <w:szCs w:val="32"/>
        </w:rPr>
        <w:t>2．其他需要说明的情况。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（二）与上年指标核对情况。</w:t>
      </w:r>
    </w:p>
    <w:p>
      <w:pPr>
        <w:ind w:firstLine="709"/>
        <w:rPr>
          <w:rFonts w:hint="eastAsia" w:ascii="仿宋_GB2312" w:hAnsi="仿宋" w:eastAsia="仿宋_GB2312" w:cs="仿宋"/>
          <w:color w:val="auto"/>
          <w:sz w:val="32"/>
          <w:szCs w:val="32"/>
          <w:highlight w:val="none"/>
          <w:lang w:eastAsia="zh-CN"/>
        </w:rPr>
      </w:pPr>
      <w:r>
        <w:rPr>
          <w:rFonts w:hint="eastAsia" w:ascii="仿宋_GB2312" w:hAnsi="仿宋" w:eastAsia="仿宋_GB2312" w:cs="仿宋"/>
          <w:color w:val="000000"/>
          <w:sz w:val="32"/>
          <w:szCs w:val="32"/>
        </w:rPr>
        <w:t>1．全口径、</w:t>
      </w:r>
      <w:r>
        <w:rPr>
          <w:rFonts w:hint="eastAsia" w:ascii="仿宋_GB2312" w:hAnsi="仿宋" w:eastAsia="仿宋_GB2312" w:cs="仿宋"/>
          <w:bCs/>
          <w:color w:val="000000"/>
          <w:sz w:val="32"/>
          <w:szCs w:val="32"/>
        </w:rPr>
        <w:t>一般</w:t>
      </w:r>
      <w:r>
        <w:rPr>
          <w:rFonts w:hint="eastAsia" w:ascii="仿宋_GB2312" w:hAnsi="仿宋" w:eastAsia="仿宋_GB2312" w:cs="仿宋"/>
          <w:color w:val="000000"/>
          <w:sz w:val="32"/>
          <w:szCs w:val="32"/>
        </w:rPr>
        <w:t>公共预算财政拨款和政府性基金预算财政拨款的结转和结余资金本年年初数与上年年末数不一致的</w:t>
      </w:r>
      <w:r>
        <w:rPr>
          <w:rFonts w:hint="eastAsia" w:ascii="仿宋_GB2312" w:hAnsi="仿宋" w:eastAsia="仿宋_GB2312" w:cs="仿宋"/>
          <w:color w:val="auto"/>
          <w:sz w:val="32"/>
          <w:szCs w:val="32"/>
        </w:rPr>
        <w:t>情况</w:t>
      </w:r>
      <w:r>
        <w:rPr>
          <w:rFonts w:hint="eastAsia" w:ascii="仿宋_GB2312" w:hAnsi="仿宋" w:eastAsia="仿宋_GB2312" w:cs="仿宋"/>
          <w:color w:val="auto"/>
          <w:sz w:val="32"/>
          <w:szCs w:val="32"/>
          <w:highlight w:val="none"/>
        </w:rPr>
        <w:t>说明，包括会计</w:t>
      </w:r>
      <w:r>
        <w:rPr>
          <w:rFonts w:hint="eastAsia" w:ascii="仿宋_GB2312" w:hAnsi="仿宋" w:eastAsia="仿宋_GB2312" w:cs="仿宋"/>
          <w:bCs/>
          <w:color w:val="auto"/>
          <w:sz w:val="32"/>
          <w:szCs w:val="32"/>
          <w:highlight w:val="none"/>
        </w:rPr>
        <w:t>差错更正、收回以前年度支出</w:t>
      </w:r>
      <w:r>
        <w:rPr>
          <w:rFonts w:hint="eastAsia" w:ascii="仿宋_GB2312" w:hAnsi="仿宋" w:eastAsia="仿宋_GB2312" w:cs="仿宋"/>
          <w:color w:val="auto"/>
          <w:sz w:val="32"/>
          <w:szCs w:val="32"/>
          <w:highlight w:val="none"/>
        </w:rPr>
        <w:t>、归集调入、归集调出、归集上缴和缴回资金</w:t>
      </w:r>
      <w:r>
        <w:rPr>
          <w:rFonts w:hint="eastAsia" w:ascii="仿宋_GB2312" w:hAnsi="仿宋" w:eastAsia="仿宋_GB2312" w:cs="仿宋"/>
          <w:color w:val="auto"/>
          <w:sz w:val="32"/>
          <w:szCs w:val="32"/>
          <w:highlight w:val="none"/>
          <w:lang w:eastAsia="zh-CN"/>
        </w:rPr>
        <w:t>及单位内部调剂</w:t>
      </w:r>
      <w:r>
        <w:rPr>
          <w:rFonts w:hint="eastAsia" w:ascii="仿宋_GB2312" w:hAnsi="仿宋" w:eastAsia="仿宋_GB2312" w:cs="仿宋"/>
          <w:color w:val="auto"/>
          <w:sz w:val="32"/>
          <w:szCs w:val="32"/>
          <w:highlight w:val="none"/>
        </w:rPr>
        <w:t>等情况（附表</w:t>
      </w:r>
      <w:r>
        <w:rPr>
          <w:rFonts w:hint="eastAsia" w:ascii="仿宋_GB2312" w:hAnsi="仿宋" w:eastAsia="仿宋_GB2312" w:cs="仿宋"/>
          <w:bCs/>
          <w:color w:val="auto"/>
          <w:sz w:val="32"/>
          <w:szCs w:val="32"/>
          <w:highlight w:val="none"/>
        </w:rPr>
        <w:t>1</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eastAsia="zh-CN"/>
        </w:rPr>
        <w:t>因新旧会计制度转换，按照</w:t>
      </w:r>
      <w:r>
        <w:rPr>
          <w:rFonts w:hint="eastAsia" w:ascii="仿宋_GB2312" w:hAnsi="仿宋" w:eastAsia="仿宋_GB2312" w:cs="仿宋"/>
          <w:color w:val="auto"/>
          <w:sz w:val="32"/>
          <w:szCs w:val="32"/>
          <w:highlight w:val="none"/>
        </w:rPr>
        <w:t>法定会计政策变更追溯调整形成的差异</w:t>
      </w:r>
      <w:r>
        <w:rPr>
          <w:rFonts w:hint="eastAsia" w:ascii="仿宋_GB2312" w:hAnsi="仿宋" w:eastAsia="仿宋_GB2312" w:cs="仿宋"/>
          <w:color w:val="auto"/>
          <w:sz w:val="32"/>
          <w:szCs w:val="32"/>
          <w:highlight w:val="none"/>
          <w:lang w:eastAsia="zh-CN"/>
        </w:rPr>
        <w:t>，在“其他”栏目填列并在备注予以说明。</w:t>
      </w:r>
    </w:p>
    <w:p>
      <w:pPr>
        <w:ind w:firstLine="709"/>
        <w:rPr>
          <w:rFonts w:hint="eastAsia" w:ascii="仿宋_GB2312" w:hAnsi="仿宋" w:eastAsia="仿宋_GB2312" w:cs="仿宋"/>
          <w:color w:val="000000"/>
          <w:sz w:val="32"/>
          <w:szCs w:val="32"/>
        </w:rPr>
      </w:pPr>
      <w:r>
        <w:rPr>
          <w:rFonts w:hint="eastAsia" w:ascii="仿宋_GB2312" w:hAnsi="仿宋" w:eastAsia="仿宋_GB2312" w:cs="仿宋"/>
          <w:color w:val="000000"/>
          <w:sz w:val="32"/>
          <w:szCs w:val="32"/>
        </w:rPr>
        <w:t>2．主要指标上下年变动幅度超过20%，其中机构人员指标上下年有变动的，应具体核实并说明原因（附表</w:t>
      </w:r>
      <w:r>
        <w:rPr>
          <w:rFonts w:hint="eastAsia" w:ascii="仿宋_GB2312" w:hAnsi="仿宋" w:eastAsia="仿宋_GB2312" w:cs="仿宋"/>
          <w:bCs/>
          <w:color w:val="000000"/>
          <w:sz w:val="32"/>
          <w:szCs w:val="32"/>
        </w:rPr>
        <w:t>2</w:t>
      </w:r>
      <w:r>
        <w:rPr>
          <w:rFonts w:hint="eastAsia" w:ascii="仿宋_GB2312" w:hAnsi="仿宋" w:eastAsia="仿宋_GB2312" w:cs="仿宋"/>
          <w:color w:val="000000"/>
          <w:sz w:val="32"/>
          <w:szCs w:val="32"/>
        </w:rPr>
        <w:t>）。</w:t>
      </w:r>
    </w:p>
    <w:p>
      <w:pPr>
        <w:rPr>
          <w:rFonts w:hint="eastAsia" w:ascii="仿宋_GB2312" w:eastAsia="仿宋_GB2312" w:cs="Times New Roman"/>
          <w:color w:val="000000"/>
          <w:sz w:val="32"/>
          <w:szCs w:val="32"/>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2831"/>
        <w:gridCol w:w="444"/>
        <w:gridCol w:w="958"/>
        <w:gridCol w:w="958"/>
        <w:gridCol w:w="1015"/>
        <w:gridCol w:w="616"/>
        <w:gridCol w:w="1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 w:hRule="atLeast"/>
        </w:trPr>
        <w:tc>
          <w:tcPr>
            <w:tcW w:w="5000" w:type="pct"/>
            <w:gridSpan w:val="7"/>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bdr w:val="none" w:color="auto" w:sz="0" w:space="0"/>
                <w:lang w:val="en-US" w:eastAsia="zh-CN" w:bidi="ar"/>
              </w:rPr>
              <w:t>主要指标变动情况表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1773" w:type="pct"/>
            <w:tcBorders>
              <w:top w:val="nil"/>
              <w:left w:val="nil"/>
              <w:bottom w:val="nil"/>
              <w:right w:val="nil"/>
            </w:tcBorders>
            <w:shd w:val="clear"/>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编制单位：四川省资阳市乐至县石佛镇人民政府</w:t>
            </w:r>
          </w:p>
        </w:tc>
        <w:tc>
          <w:tcPr>
            <w:tcW w:w="216" w:type="pct"/>
            <w:tcBorders>
              <w:top w:val="nil"/>
              <w:left w:val="nil"/>
              <w:bottom w:val="nil"/>
              <w:right w:val="nil"/>
            </w:tcBorders>
            <w:shd w:val="clear"/>
            <w:noWrap/>
            <w:vAlign w:val="bottom"/>
          </w:tcPr>
          <w:p>
            <w:pPr>
              <w:rPr>
                <w:rFonts w:hint="eastAsia" w:ascii="Arial" w:hAnsi="Arial" w:cs="Arial"/>
                <w:i w:val="0"/>
                <w:iCs w:val="0"/>
                <w:color w:val="000000"/>
                <w:sz w:val="20"/>
                <w:szCs w:val="20"/>
                <w:u w:val="none"/>
              </w:rPr>
            </w:pPr>
          </w:p>
        </w:tc>
        <w:tc>
          <w:tcPr>
            <w:tcW w:w="543" w:type="pct"/>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543" w:type="pct"/>
            <w:tcBorders>
              <w:top w:val="nil"/>
              <w:left w:val="nil"/>
              <w:bottom w:val="nil"/>
              <w:right w:val="nil"/>
            </w:tcBorders>
            <w:shd w:val="clear"/>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2021年度</w:t>
            </w:r>
          </w:p>
        </w:tc>
        <w:tc>
          <w:tcPr>
            <w:tcW w:w="580" w:type="pct"/>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325" w:type="pct"/>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c>
          <w:tcPr>
            <w:tcW w:w="1016" w:type="pct"/>
            <w:tcBorders>
              <w:top w:val="nil"/>
              <w:left w:val="nil"/>
              <w:bottom w:val="nil"/>
              <w:right w:val="nil"/>
            </w:tcBorders>
            <w:shd w:val="clear"/>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vMerge w:val="restart"/>
            <w:tcBorders>
              <w:top w:val="single" w:color="000000" w:sz="4" w:space="0"/>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指    标</w:t>
            </w:r>
          </w:p>
        </w:tc>
        <w:tc>
          <w:tcPr>
            <w:tcW w:w="216" w:type="pct"/>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行次</w:t>
            </w:r>
          </w:p>
        </w:tc>
        <w:tc>
          <w:tcPr>
            <w:tcW w:w="543" w:type="pct"/>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本年度</w:t>
            </w:r>
          </w:p>
        </w:tc>
        <w:tc>
          <w:tcPr>
            <w:tcW w:w="543" w:type="pct"/>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上年度</w:t>
            </w:r>
          </w:p>
        </w:tc>
        <w:tc>
          <w:tcPr>
            <w:tcW w:w="580" w:type="pct"/>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比上年增减</w:t>
            </w:r>
          </w:p>
        </w:tc>
        <w:tc>
          <w:tcPr>
            <w:tcW w:w="325" w:type="pct"/>
            <w:vMerge w:val="restart"/>
            <w:tcBorders>
              <w:top w:val="single" w:color="000000" w:sz="4" w:space="0"/>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增减％</w:t>
            </w:r>
          </w:p>
        </w:tc>
        <w:tc>
          <w:tcPr>
            <w:tcW w:w="1016" w:type="pct"/>
            <w:vMerge w:val="restart"/>
            <w:tcBorders>
              <w:top w:val="single" w:color="000000" w:sz="4" w:space="0"/>
              <w:left w:val="nil"/>
              <w:bottom w:val="single" w:color="000000" w:sz="4" w:space="0"/>
              <w:right w:val="single" w:color="000000" w:sz="8"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vMerge w:val="continue"/>
            <w:tcBorders>
              <w:top w:val="single" w:color="000000" w:sz="4" w:space="0"/>
              <w:left w:val="single" w:color="000000" w:sz="4" w:space="0"/>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216" w:type="pct"/>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543" w:type="pct"/>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543" w:type="pct"/>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580" w:type="pct"/>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325" w:type="pct"/>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1016" w:type="pct"/>
            <w:vMerge w:val="continue"/>
            <w:tcBorders>
              <w:top w:val="single" w:color="000000" w:sz="4" w:space="0"/>
              <w:left w:val="nil"/>
              <w:bottom w:val="single" w:color="000000" w:sz="4" w:space="0"/>
              <w:right w:val="single" w:color="000000" w:sz="8"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栏    次 </w:t>
            </w:r>
          </w:p>
        </w:tc>
        <w:tc>
          <w:tcPr>
            <w:tcW w:w="216" w:type="pct"/>
            <w:vMerge w:val="continue"/>
            <w:tcBorders>
              <w:top w:val="single" w:color="000000" w:sz="4" w:space="0"/>
              <w:left w:val="nil"/>
              <w:bottom w:val="single" w:color="000000" w:sz="4" w:space="0"/>
              <w:right w:val="single" w:color="000000" w:sz="4" w:space="0"/>
            </w:tcBorders>
            <w:shd w:val="clear" w:color="FFFFFF" w:fill="C0C0C0"/>
            <w:noWrap/>
            <w:vAlign w:val="center"/>
          </w:tcPr>
          <w:p>
            <w:pPr>
              <w:jc w:val="center"/>
              <w:rPr>
                <w:rFonts w:hint="eastAsia" w:ascii="宋体" w:hAnsi="宋体" w:eastAsia="宋体" w:cs="宋体"/>
                <w:i w:val="0"/>
                <w:iCs w:val="0"/>
                <w:color w:val="000000"/>
                <w:sz w:val="22"/>
                <w:szCs w:val="22"/>
                <w:u w:val="none"/>
              </w:rPr>
            </w:pPr>
          </w:p>
        </w:tc>
        <w:tc>
          <w:tcPr>
            <w:tcW w:w="543"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543"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580"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325"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1016" w:type="pct"/>
            <w:tcBorders>
              <w:top w:val="nil"/>
              <w:left w:val="nil"/>
              <w:bottom w:val="single" w:color="000000" w:sz="4" w:space="0"/>
              <w:right w:val="single" w:color="000000" w:sz="8"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一、年度收支情况（单位：元）</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1.本年收入</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52,948,020.55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67,185,150.79</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-14,237,130.24</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-21.19</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其中：一般公共预算财政拨款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52,529,058.55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66,687,550.79</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-14,158,492.24</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-21.23</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政府性基金预算财政拨款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418,962.00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497,600.00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-78,638.00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-15.80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国有资本经营预算财政拨款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*事业收入</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事业单位经营收入</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*其他收入</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2.本年支出</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52,948,020.55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67,185,150.79</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-14,237,130.24</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-21.19</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其中：基本支出</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35,239,123.83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27,268,948.26</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7,970,175.57</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29.23</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（1）人员经费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30,448,099.47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23,924,171.18</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6,523,928.29</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27.27</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（2）公用经费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4,791,024.36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3,344,777.08</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1,446,247.28</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43.24</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项目支出</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17,708,896.72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39,916,202.53</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-22,207,305.81</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-55.63</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项目减少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其中：基本建设类项目</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事业单位经营支出</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3.年末结转和结余</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其中：一般公共预算财政拨款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政府性基金预算财政拨款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国有资本经营预算财政拨款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二、年末资产负债信息（单位：元）</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1.货币资金</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1,313,832.57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159,458.00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1,154,374.57</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723.94</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开源节流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2.财政应返还额度</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159,458.00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-159,458.00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-100.00</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本年下级对账单无此项目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3.房屋</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995,741.63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4,318,249.54</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-3,322,507.91</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-76.94</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上年度填报错误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4.车辆</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5.在建工程</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6.借款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7.应缴财政款</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8.应付职工薪酬</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三、年末机构人员情况（单位：个、人）</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1.独立编制机构数</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-12.50</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机构合并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2.独立核算机构数</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31</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-12.50</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机构合并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3.年末实有人数</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在职人员</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其中：行政人员</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-2.78</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参照公务员法管理事业人员</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非参公事业人员</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6.25</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离休人员</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退休人员</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38</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4.年末其他人员数</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39</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5.年末学生人数</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四、补充资料（单位：元）</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1.固定资产情况</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房屋面积（平方米）</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4,336.60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1,415.00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2,921.60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206.47</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面积经过核实国有资产系统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车辆数量（辆）</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44</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2.“三公”经费支出</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1,675.00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13,000.00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-11,325.00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-87.12</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接待减少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其中：因公出国（境）费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公务用车购置及运行维护费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其中：公务用车购置费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48</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公务用车运行维护费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49</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公务接待费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1,675.00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13,000.00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-11,325.00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-87.12</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接待减少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3.培训费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51</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25,000.00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-25,000.00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-100.00</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未发生该项费用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4.会议费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30,000.00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71,930.00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-41,930.00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-58.29</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该支出减少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5.机关运行经费</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53</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4,791,024.36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3,344,777.08</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1,446,247.28</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43.24</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6.年初预算数</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54</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本年收入合计</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24,685,070.00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12,835,516.50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11,849,553.50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92.32</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本年支出合计</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56</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24,685,070.00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12,835,516.50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11,849,553.50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92.32</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人员增加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年末结转和结余</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57</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4"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7.调整预算数</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58</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本年收入合计</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59</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52,948,020.55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67,485,150.79</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-14,537,130.24</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-21.54</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本年城乡居民养老保险未列入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4"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本年支出合计</w:t>
            </w:r>
          </w:p>
        </w:tc>
        <w:tc>
          <w:tcPr>
            <w:tcW w:w="216" w:type="pct"/>
            <w:tcBorders>
              <w:top w:val="nil"/>
              <w:left w:val="nil"/>
              <w:bottom w:val="single" w:color="000000" w:sz="4"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52,948,020.55</w:t>
            </w:r>
          </w:p>
        </w:tc>
        <w:tc>
          <w:tcPr>
            <w:tcW w:w="543"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67,485,150.79</w:t>
            </w:r>
          </w:p>
        </w:tc>
        <w:tc>
          <w:tcPr>
            <w:tcW w:w="580"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-14,537,130.24</w:t>
            </w:r>
          </w:p>
        </w:tc>
        <w:tc>
          <w:tcPr>
            <w:tcW w:w="325" w:type="pct"/>
            <w:tcBorders>
              <w:top w:val="nil"/>
              <w:left w:val="nil"/>
              <w:bottom w:val="single" w:color="000000" w:sz="4"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-21.54</w:t>
            </w:r>
          </w:p>
        </w:tc>
        <w:tc>
          <w:tcPr>
            <w:tcW w:w="1016" w:type="pct"/>
            <w:tcBorders>
              <w:top w:val="nil"/>
              <w:left w:val="nil"/>
              <w:bottom w:val="single" w:color="000000" w:sz="4" w:space="0"/>
              <w:right w:val="single" w:color="000000" w:sz="8" w:space="0"/>
            </w:tcBorders>
            <w:shd w:val="clear"/>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本年城乡居民养老保险未列入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08" w:hRule="atLeast"/>
        </w:trPr>
        <w:tc>
          <w:tcPr>
            <w:tcW w:w="1773" w:type="pct"/>
            <w:tcBorders>
              <w:top w:val="nil"/>
              <w:left w:val="single" w:color="000000" w:sz="4" w:space="0"/>
              <w:bottom w:val="single" w:color="000000" w:sz="8" w:space="0"/>
              <w:right w:val="single" w:color="000000" w:sz="4" w:space="0"/>
            </w:tcBorders>
            <w:shd w:val="clear" w:color="FFFFFF" w:fill="C0C0C0"/>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      年末结转和结余</w:t>
            </w:r>
          </w:p>
        </w:tc>
        <w:tc>
          <w:tcPr>
            <w:tcW w:w="216" w:type="pct"/>
            <w:tcBorders>
              <w:top w:val="nil"/>
              <w:left w:val="nil"/>
              <w:bottom w:val="single" w:color="000000" w:sz="8" w:space="0"/>
              <w:right w:val="single" w:color="000000" w:sz="4" w:space="0"/>
            </w:tcBorders>
            <w:shd w:val="clear" w:color="FFFFFF" w:fill="C0C0C0"/>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61</w:t>
            </w:r>
          </w:p>
        </w:tc>
        <w:tc>
          <w:tcPr>
            <w:tcW w:w="543" w:type="pct"/>
            <w:tcBorders>
              <w:top w:val="nil"/>
              <w:left w:val="nil"/>
              <w:bottom w:val="single" w:color="000000" w:sz="8"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43" w:type="pct"/>
            <w:tcBorders>
              <w:top w:val="nil"/>
              <w:left w:val="nil"/>
              <w:bottom w:val="single" w:color="000000" w:sz="8"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580" w:type="pct"/>
            <w:tcBorders>
              <w:top w:val="nil"/>
              <w:left w:val="nil"/>
              <w:bottom w:val="single" w:color="000000" w:sz="8"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325" w:type="pct"/>
            <w:tcBorders>
              <w:top w:val="nil"/>
              <w:left w:val="nil"/>
              <w:bottom w:val="single" w:color="000000" w:sz="8" w:space="0"/>
              <w:right w:val="single" w:color="000000" w:sz="4" w:space="0"/>
            </w:tcBorders>
            <w:shd w:val="clear"/>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0.00</w:t>
            </w:r>
          </w:p>
        </w:tc>
        <w:tc>
          <w:tcPr>
            <w:tcW w:w="1016" w:type="pct"/>
            <w:tcBorders>
              <w:top w:val="nil"/>
              <w:left w:val="nil"/>
              <w:bottom w:val="single" w:color="000000" w:sz="8" w:space="0"/>
              <w:right w:val="single" w:color="000000" w:sz="8" w:space="0"/>
            </w:tcBorders>
            <w:shd w:val="clear"/>
            <w:noWrap/>
            <w:vAlign w:val="center"/>
          </w:tcPr>
          <w:p>
            <w:pPr>
              <w:jc w:val="left"/>
              <w:rPr>
                <w:rFonts w:hint="eastAsia" w:ascii="宋体" w:hAnsi="宋体" w:eastAsia="宋体" w:cs="宋体"/>
                <w:i w:val="0"/>
                <w:iCs w:val="0"/>
                <w:color w:val="000000"/>
                <w:sz w:val="22"/>
                <w:szCs w:val="22"/>
                <w:u w:val="none"/>
              </w:rPr>
            </w:pPr>
          </w:p>
        </w:tc>
      </w:tr>
    </w:tbl>
    <w:p>
      <w:pPr>
        <w:rPr>
          <w:rFonts w:hint="eastAsia" w:ascii="仿宋_GB2312" w:eastAsia="仿宋_GB2312" w:cs="Times New Roman"/>
          <w:color w:val="000000"/>
          <w:sz w:val="32"/>
          <w:szCs w:val="32"/>
        </w:rPr>
      </w:pPr>
    </w:p>
    <w:p>
      <w:pPr>
        <w:ind w:firstLine="709"/>
        <w:rPr>
          <w:rFonts w:ascii="黑体" w:hAnsi="黑体" w:eastAsia="黑体" w:cs="黑体"/>
          <w:color w:val="000000"/>
          <w:sz w:val="32"/>
          <w:szCs w:val="32"/>
        </w:rPr>
      </w:pPr>
      <w:r>
        <w:rPr>
          <w:rFonts w:hint="eastAsia" w:ascii="仿宋_GB2312" w:eastAsia="仿宋_GB2312" w:cs="Times New Roman"/>
          <w:color w:val="000000"/>
          <w:sz w:val="32"/>
          <w:szCs w:val="32"/>
        </w:rPr>
        <w:t> </w:t>
      </w:r>
      <w:r>
        <w:rPr>
          <w:rFonts w:hint="eastAsia" w:ascii="黑体" w:hAnsi="黑体" w:eastAsia="黑体" w:cs="黑体"/>
          <w:color w:val="000000"/>
          <w:sz w:val="32"/>
          <w:szCs w:val="32"/>
        </w:rPr>
        <w:t>四、报表审核情况</w:t>
      </w:r>
    </w:p>
    <w:p>
      <w:pPr>
        <w:ind w:firstLine="709"/>
        <w:rPr>
          <w:rFonts w:ascii="楷体_GB2312" w:hAnsi="仿宋" w:eastAsia="楷体_GB2312" w:cs="仿宋"/>
          <w:b/>
          <w:color w:val="000000"/>
          <w:sz w:val="32"/>
          <w:szCs w:val="32"/>
        </w:rPr>
      </w:pPr>
      <w:r>
        <w:rPr>
          <w:rFonts w:hint="eastAsia" w:ascii="楷体_GB2312" w:hAnsi="仿宋" w:eastAsia="楷体_GB2312" w:cs="仿宋"/>
          <w:b/>
          <w:color w:val="000000"/>
          <w:sz w:val="32"/>
          <w:szCs w:val="32"/>
        </w:rPr>
        <w:t>（一）审核情况。</w:t>
      </w:r>
    </w:p>
    <w:p>
      <w:pPr>
        <w:ind w:firstLine="709"/>
        <w:rPr>
          <w:rFonts w:ascii="仿宋_GB2312" w:hAnsi="仿宋" w:eastAsia="仿宋_GB2312" w:cs="仿宋"/>
          <w:b/>
          <w:bCs/>
          <w:color w:val="000000"/>
          <w:sz w:val="32"/>
          <w:szCs w:val="32"/>
        </w:rPr>
      </w:pPr>
      <w:r>
        <w:rPr>
          <w:rFonts w:hint="eastAsia" w:ascii="仿宋_GB2312" w:hAnsi="仿宋" w:eastAsia="仿宋_GB2312" w:cs="仿宋"/>
          <w:b/>
          <w:bCs/>
          <w:color w:val="000000"/>
          <w:sz w:val="32"/>
          <w:szCs w:val="32"/>
        </w:rPr>
        <w:t>1．审核公式。</w:t>
      </w:r>
    </w:p>
    <w:p>
      <w:pPr>
        <w:ind w:firstLine="709"/>
        <w:rPr>
          <w:rFonts w:hint="eastAsia" w:ascii="楷体_GB2312" w:hAnsi="仿宋" w:eastAsia="楷体_GB2312" w:cs="仿宋"/>
          <w:b/>
          <w:color w:val="000000"/>
          <w:sz w:val="32"/>
          <w:szCs w:val="32"/>
        </w:rPr>
      </w:pPr>
      <w:r>
        <w:rPr>
          <w:rFonts w:hint="eastAsia" w:ascii="楷体_GB2312" w:hAnsi="仿宋" w:eastAsia="楷体_GB2312" w:cs="仿宋"/>
          <w:b/>
          <w:color w:val="000000"/>
          <w:sz w:val="32"/>
          <w:szCs w:val="32"/>
        </w:rPr>
        <w:t>（一）审核情况。</w:t>
      </w:r>
    </w:p>
    <w:tbl>
      <w:tblPr>
        <w:tblStyle w:val="5"/>
        <w:tblW w:w="8528" w:type="dxa"/>
        <w:tblInd w:w="2" w:type="dxa"/>
        <w:tblLayout w:type="fixed"/>
        <w:tblCellMar>
          <w:top w:w="0" w:type="dxa"/>
          <w:left w:w="0" w:type="dxa"/>
          <w:bottom w:w="0" w:type="dxa"/>
          <w:right w:w="0" w:type="dxa"/>
        </w:tblCellMar>
      </w:tblPr>
      <w:tblGrid>
        <w:gridCol w:w="1827"/>
        <w:gridCol w:w="1259"/>
        <w:gridCol w:w="1787"/>
        <w:gridCol w:w="3655"/>
      </w:tblGrid>
      <w:tr>
        <w:tblPrEx>
          <w:tblCellMar>
            <w:top w:w="0" w:type="dxa"/>
            <w:left w:w="0" w:type="dxa"/>
            <w:bottom w:w="0" w:type="dxa"/>
            <w:right w:w="0" w:type="dxa"/>
          </w:tblCellMar>
        </w:tblPrEx>
        <w:trPr>
          <w:trHeight w:val="60" w:hRule="atLeast"/>
        </w:trPr>
        <w:tc>
          <w:tcPr>
            <w:tcW w:w="1827"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ascii="Times New Roman" w:hAnsi="Times New Roman" w:cs="Times New Roman"/>
              </w:rPr>
            </w:pPr>
            <w:r>
              <w:rPr>
                <w:rFonts w:hint="eastAsia" w:ascii="仿宋" w:hAnsi="仿宋" w:eastAsia="仿宋" w:cs="仿宋"/>
                <w:color w:val="000000"/>
              </w:rPr>
              <w:t>审核项目</w:t>
            </w:r>
          </w:p>
        </w:tc>
        <w:tc>
          <w:tcPr>
            <w:tcW w:w="1259"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ascii="Times New Roman" w:hAnsi="Times New Roman" w:cs="Times New Roman"/>
              </w:rPr>
            </w:pPr>
            <w:r>
              <w:rPr>
                <w:rFonts w:hint="eastAsia" w:ascii="仿宋" w:hAnsi="仿宋" w:eastAsia="仿宋" w:cs="仿宋"/>
                <w:color w:val="000000"/>
              </w:rPr>
              <w:t>数量</w:t>
            </w:r>
          </w:p>
        </w:tc>
        <w:tc>
          <w:tcPr>
            <w:tcW w:w="1787"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ascii="Times New Roman" w:hAnsi="Times New Roman" w:cs="Times New Roman"/>
              </w:rPr>
            </w:pPr>
            <w:r>
              <w:rPr>
                <w:rFonts w:hint="eastAsia" w:ascii="仿宋" w:hAnsi="仿宋" w:eastAsia="仿宋" w:cs="仿宋"/>
                <w:color w:val="000000"/>
              </w:rPr>
              <w:t>提示内容</w:t>
            </w:r>
          </w:p>
        </w:tc>
        <w:tc>
          <w:tcPr>
            <w:tcW w:w="3655" w:type="dxa"/>
            <w:tcBorders>
              <w:top w:val="single" w:color="000000" w:sz="8" w:space="0"/>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ascii="Times New Roman" w:hAnsi="Times New Roman" w:cs="Times New Roman"/>
              </w:rPr>
            </w:pPr>
            <w:r>
              <w:rPr>
                <w:rFonts w:hint="eastAsia" w:ascii="仿宋" w:hAnsi="仿宋" w:eastAsia="仿宋" w:cs="仿宋"/>
                <w:color w:val="000000"/>
              </w:rPr>
              <w:t>原因说明</w:t>
            </w:r>
          </w:p>
        </w:tc>
      </w:tr>
      <w:tr>
        <w:tblPrEx>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pPr>
              <w:spacing w:line="60" w:lineRule="atLeast"/>
              <w:rPr>
                <w:rFonts w:ascii="Times New Roman" w:hAnsi="Times New Roman" w:cs="Times New Roman"/>
              </w:rPr>
            </w:pPr>
            <w:r>
              <w:rPr>
                <w:rFonts w:hint="eastAsia" w:ascii="仿宋" w:hAnsi="仿宋" w:eastAsia="仿宋" w:cs="仿宋"/>
                <w:color w:val="000000"/>
              </w:rPr>
              <w:t>一、审核公式</w:t>
            </w:r>
          </w:p>
        </w:tc>
        <w:tc>
          <w:tcPr>
            <w:tcW w:w="1259"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ascii="Times New Roman" w:hAnsi="Times New Roman" w:cs="Times New Roman"/>
              </w:rPr>
            </w:pPr>
            <w:r>
              <w:rPr>
                <w:rFonts w:hint="eastAsia" w:ascii="仿宋" w:hAnsi="仿宋" w:eastAsia="仿宋" w:cs="仿宋"/>
                <w:color w:val="000000"/>
                <w:lang w:val="en-US" w:eastAsia="zh-CN"/>
              </w:rPr>
              <w:t>2</w:t>
            </w:r>
            <w:r>
              <w:rPr>
                <w:rFonts w:hint="eastAsia" w:ascii="仿宋" w:hAnsi="仿宋" w:eastAsia="仿宋" w:cs="仿宋"/>
                <w:color w:val="000000"/>
              </w:rPr>
              <w:t>条</w:t>
            </w:r>
          </w:p>
        </w:tc>
        <w:tc>
          <w:tcPr>
            <w:tcW w:w="1787"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rPr>
                <w:rFonts w:hint="eastAsia" w:ascii="Times New Roman" w:hAnsi="Times New Roman" w:eastAsia="仿宋" w:cs="Times New Roman"/>
                <w:lang w:val="en-US" w:eastAsia="zh-CN"/>
              </w:rPr>
            </w:pPr>
          </w:p>
        </w:tc>
        <w:tc>
          <w:tcPr>
            <w:tcW w:w="365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rPr>
                <w:rFonts w:hint="eastAsia" w:ascii="Times New Roman" w:hAnsi="Times New Roman" w:eastAsia="宋体" w:cs="Times New Roman"/>
                <w:lang w:val="en-US" w:eastAsia="zh-CN"/>
              </w:rPr>
            </w:pPr>
          </w:p>
        </w:tc>
      </w:tr>
      <w:tr>
        <w:tblPrEx>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2081902</w:t>
            </w:r>
          </w:p>
        </w:tc>
        <w:tc>
          <w:tcPr>
            <w:tcW w:w="1259"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1条</w:t>
            </w:r>
          </w:p>
        </w:tc>
        <w:tc>
          <w:tcPr>
            <w:tcW w:w="1787"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rPr>
                <w:rFonts w:ascii="Times New Roman" w:hAnsi="Times New Roman" w:cs="Times New Roman"/>
              </w:rPr>
            </w:pPr>
            <w:r>
              <w:rPr>
                <w:rFonts w:hint="eastAsia" w:ascii="仿宋" w:hAnsi="仿宋" w:eastAsia="仿宋" w:cs="仿宋"/>
                <w:color w:val="000000"/>
              </w:rPr>
              <w:t>　最低生活保障应列救济费</w:t>
            </w:r>
          </w:p>
        </w:tc>
        <w:tc>
          <w:tcPr>
            <w:tcW w:w="365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rPr>
                <w:rFonts w:ascii="Times New Roman" w:hAnsi="Times New Roman" w:cs="Times New Roman"/>
              </w:rPr>
            </w:pPr>
            <w:r>
              <w:rPr>
                <w:rFonts w:hint="eastAsia" w:ascii="仿宋" w:hAnsi="仿宋" w:eastAsia="仿宋" w:cs="仿宋"/>
                <w:color w:val="000000"/>
              </w:rPr>
              <w:t>　乐至县村（社区）干部2019年养老保险财政补贴金额268423.5列为其他社会保障缴费；乐至县乡镇（街道）敬老院2020年运行经费25190列为办公费；2021年农村敬老院床位改造提升行动资金194000列为了办公设备购置，合计487613.5元未列入救济费</w:t>
            </w:r>
          </w:p>
        </w:tc>
      </w:tr>
      <w:tr>
        <w:tblPrEx>
          <w:tblCellMar>
            <w:top w:w="0" w:type="dxa"/>
            <w:left w:w="0" w:type="dxa"/>
            <w:bottom w:w="0" w:type="dxa"/>
            <w:right w:w="0" w:type="dxa"/>
          </w:tblCellMar>
        </w:tblPrEx>
        <w:trPr>
          <w:trHeight w:val="60" w:hRule="atLeast"/>
        </w:trPr>
        <w:tc>
          <w:tcPr>
            <w:tcW w:w="1827"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210409</w:t>
            </w:r>
          </w:p>
        </w:tc>
        <w:tc>
          <w:tcPr>
            <w:tcW w:w="1259"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jc w:val="center"/>
              <w:rPr>
                <w:rFonts w:ascii="Times New Roman" w:hAnsi="Times New Roman" w:cs="Times New Roman"/>
              </w:rPr>
            </w:pPr>
            <w:r>
              <w:rPr>
                <w:rFonts w:hint="eastAsia" w:ascii="Times New Roman" w:hAnsi="Times New Roman" w:cs="Times New Roman"/>
                <w:lang w:val="en-US" w:eastAsia="zh-CN"/>
              </w:rPr>
              <w:t>1条</w:t>
            </w:r>
          </w:p>
        </w:tc>
        <w:tc>
          <w:tcPr>
            <w:tcW w:w="1787"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rPr>
                <w:rFonts w:ascii="Times New Roman" w:hAnsi="Times New Roman" w:cs="Times New Roman"/>
              </w:rPr>
            </w:pPr>
            <w:r>
              <w:rPr>
                <w:rFonts w:hint="eastAsia" w:ascii="仿宋" w:hAnsi="仿宋" w:eastAsia="仿宋" w:cs="仿宋"/>
                <w:color w:val="000000"/>
              </w:rPr>
              <w:t>　商品和服务支出中“其他”所占比重超过30%，需说明具体构成</w:t>
            </w:r>
          </w:p>
        </w:tc>
        <w:tc>
          <w:tcPr>
            <w:tcW w:w="3655" w:type="dxa"/>
            <w:tcBorders>
              <w:top w:val="nil"/>
              <w:left w:val="nil"/>
              <w:bottom w:val="single" w:color="000000" w:sz="8" w:space="0"/>
              <w:right w:val="single" w:color="000000" w:sz="8" w:space="0"/>
            </w:tcBorders>
            <w:noWrap w:val="0"/>
            <w:tcMar>
              <w:top w:w="0" w:type="dxa"/>
              <w:left w:w="108" w:type="dxa"/>
              <w:bottom w:w="0" w:type="dxa"/>
              <w:right w:w="108" w:type="dxa"/>
            </w:tcMar>
            <w:vAlign w:val="center"/>
          </w:tcPr>
          <w:p>
            <w:pPr>
              <w:spacing w:line="60" w:lineRule="atLeast"/>
              <w:rPr>
                <w:rFonts w:ascii="Times New Roman" w:hAnsi="Times New Roman" w:cs="Times New Roman"/>
              </w:rPr>
            </w:pPr>
            <w:r>
              <w:rPr>
                <w:rFonts w:hint="eastAsia" w:ascii="仿宋" w:hAnsi="仿宋" w:eastAsia="仿宋" w:cs="仿宋"/>
                <w:color w:val="000000"/>
              </w:rPr>
              <w:t>　其中疫情防控资金使用347106元，占比过高</w:t>
            </w:r>
          </w:p>
        </w:tc>
      </w:tr>
    </w:tbl>
    <w:p>
      <w:pPr>
        <w:ind w:firstLine="709"/>
        <w:rPr>
          <w:rFonts w:ascii="楷体_GB2312" w:hAnsi="Times New Roman" w:eastAsia="楷体_GB2312" w:cs="Times New Roman"/>
          <w:b/>
          <w:color w:val="auto"/>
          <w:sz w:val="32"/>
          <w:szCs w:val="32"/>
          <w:highlight w:val="none"/>
        </w:rPr>
      </w:pPr>
      <w:r>
        <w:rPr>
          <w:rFonts w:hint="eastAsia" w:ascii="楷体_GB2312" w:hAnsi="仿宋" w:eastAsia="楷体_GB2312" w:cs="仿宋"/>
          <w:b/>
          <w:color w:val="auto"/>
          <w:sz w:val="32"/>
          <w:szCs w:val="32"/>
          <w:highlight w:val="none"/>
        </w:rPr>
        <w:t>（二）对报表指标、审核公式和审核模板的设置建议。</w:t>
      </w:r>
    </w:p>
    <w:p>
      <w:pPr>
        <w:ind w:firstLine="1450" w:firstLineChars="437"/>
        <w:rPr>
          <w:rFonts w:hint="eastAsia" w:ascii="仿宋_GB2312" w:hAnsi="仿宋" w:eastAsia="仿宋_GB2312" w:cs="仿宋"/>
          <w:color w:val="auto"/>
          <w:spacing w:val="6"/>
          <w:sz w:val="32"/>
          <w:szCs w:val="32"/>
          <w:highlight w:val="none"/>
          <w:lang w:eastAsia="zh-CN"/>
        </w:rPr>
      </w:pPr>
      <w:r>
        <w:rPr>
          <w:rFonts w:hint="eastAsia" w:ascii="仿宋_GB2312" w:hAnsi="仿宋" w:eastAsia="仿宋_GB2312" w:cs="仿宋"/>
          <w:color w:val="auto"/>
          <w:spacing w:val="6"/>
          <w:sz w:val="32"/>
          <w:szCs w:val="32"/>
          <w:highlight w:val="none"/>
          <w:lang w:eastAsia="zh-CN"/>
        </w:rPr>
        <w:t>无</w:t>
      </w:r>
      <w:bookmarkStart w:id="1" w:name="_GoBack"/>
      <w:bookmarkEnd w:id="1"/>
    </w:p>
    <w:p>
      <w:pPr>
        <w:ind w:firstLine="709"/>
        <w:rPr>
          <w:rFonts w:ascii="黑体" w:hAnsi="黑体" w:eastAsia="黑体" w:cs="Times New Roman"/>
          <w:color w:val="auto"/>
          <w:sz w:val="32"/>
          <w:szCs w:val="32"/>
          <w:highlight w:val="none"/>
        </w:rPr>
      </w:pPr>
      <w:r>
        <w:rPr>
          <w:rFonts w:hint="eastAsia" w:ascii="黑体" w:hAnsi="黑体" w:eastAsia="黑体" w:cs="黑体"/>
          <w:color w:val="auto"/>
          <w:sz w:val="32"/>
          <w:szCs w:val="32"/>
          <w:highlight w:val="none"/>
        </w:rPr>
        <w:t>五、决算数据其他需要说明的情况</w:t>
      </w:r>
    </w:p>
    <w:p>
      <w:pPr>
        <w:ind w:firstLine="709"/>
        <w:rPr>
          <w:rFonts w:hint="eastAsia" w:ascii="仿宋_GB2312" w:hAnsi="仿宋" w:eastAsia="仿宋_GB2312" w:cs="仿宋"/>
          <w:color w:val="auto"/>
          <w:spacing w:val="6"/>
          <w:sz w:val="32"/>
          <w:szCs w:val="32"/>
          <w:highlight w:val="none"/>
        </w:rPr>
      </w:pPr>
      <w:r>
        <w:rPr>
          <w:rFonts w:hint="eastAsia" w:ascii="仿宋_GB2312" w:hAnsi="仿宋" w:eastAsia="仿宋_GB2312" w:cs="仿宋"/>
          <w:color w:val="auto"/>
          <w:sz w:val="32"/>
          <w:szCs w:val="32"/>
          <w:highlight w:val="none"/>
        </w:rPr>
        <w:t>1．“收入决算表”中</w:t>
      </w:r>
      <w:r>
        <w:rPr>
          <w:rFonts w:hint="eastAsia" w:ascii="仿宋_GB2312" w:hAnsi="仿宋" w:eastAsia="仿宋_GB2312" w:cs="仿宋"/>
          <w:color w:val="auto"/>
          <w:sz w:val="32"/>
          <w:szCs w:val="32"/>
          <w:highlight w:val="none"/>
          <w:lang w:eastAsia="zh-CN"/>
        </w:rPr>
        <w:t>无</w:t>
      </w:r>
      <w:r>
        <w:rPr>
          <w:rFonts w:hint="eastAsia" w:ascii="仿宋_GB2312" w:hAnsi="仿宋" w:eastAsia="仿宋_GB2312" w:cs="仿宋"/>
          <w:color w:val="auto"/>
          <w:spacing w:val="6"/>
          <w:sz w:val="32"/>
          <w:szCs w:val="32"/>
          <w:highlight w:val="none"/>
        </w:rPr>
        <w:t>其他收入</w:t>
      </w:r>
    </w:p>
    <w:p>
      <w:pPr>
        <w:ind w:firstLine="709"/>
        <w:rPr>
          <w:rFonts w:ascii="仿宋_GB2312" w:hAnsi="仿宋" w:eastAsia="仿宋_GB2312" w:cs="仿宋"/>
          <w:color w:val="auto"/>
          <w:sz w:val="32"/>
          <w:szCs w:val="32"/>
          <w:highlight w:val="none"/>
        </w:rPr>
      </w:pPr>
      <w:r>
        <w:rPr>
          <w:rFonts w:hint="eastAsia" w:ascii="仿宋_GB2312" w:hAnsi="仿宋" w:eastAsia="仿宋_GB2312" w:cs="仿宋"/>
          <w:color w:val="auto"/>
          <w:sz w:val="32"/>
          <w:szCs w:val="32"/>
          <w:highlight w:val="none"/>
          <w:lang w:val="en-US" w:eastAsia="zh-CN"/>
        </w:rPr>
        <w:t>2</w:t>
      </w:r>
      <w:r>
        <w:rPr>
          <w:rFonts w:hint="eastAsia" w:ascii="仿宋_GB2312" w:hAnsi="仿宋" w:eastAsia="仿宋_GB2312" w:cs="仿宋"/>
          <w:color w:val="auto"/>
          <w:sz w:val="32"/>
          <w:szCs w:val="32"/>
          <w:highlight w:val="none"/>
        </w:rPr>
        <w:t>.</w:t>
      </w:r>
      <w:r>
        <w:rPr>
          <w:rFonts w:hint="eastAsia" w:ascii="仿宋_GB2312" w:hAnsi="仿宋" w:eastAsia="仿宋_GB2312" w:cs="仿宋"/>
          <w:color w:val="auto"/>
          <w:sz w:val="32"/>
          <w:szCs w:val="32"/>
          <w:highlight w:val="none"/>
          <w:lang w:val="en-US" w:eastAsia="zh-CN"/>
        </w:rPr>
        <w:t xml:space="preserve">  </w:t>
      </w:r>
      <w:r>
        <w:rPr>
          <w:rFonts w:hint="eastAsia" w:ascii="仿宋_GB2312" w:hAnsi="仿宋" w:eastAsia="仿宋_GB2312" w:cs="仿宋"/>
          <w:color w:val="000000"/>
          <w:sz w:val="32"/>
          <w:szCs w:val="32"/>
        </w:rPr>
        <w:t>年末</w:t>
      </w:r>
      <w:r>
        <w:rPr>
          <w:rFonts w:hint="eastAsia" w:ascii="仿宋_GB2312" w:hAnsi="仿宋" w:eastAsia="仿宋_GB2312" w:cs="仿宋"/>
          <w:color w:val="000000"/>
          <w:sz w:val="32"/>
          <w:szCs w:val="32"/>
          <w:lang w:eastAsia="zh-CN"/>
        </w:rPr>
        <w:t>无</w:t>
      </w:r>
      <w:r>
        <w:rPr>
          <w:rFonts w:hint="eastAsia" w:ascii="仿宋_GB2312" w:hAnsi="仿宋" w:eastAsia="仿宋_GB2312" w:cs="仿宋"/>
          <w:color w:val="000000"/>
          <w:sz w:val="32"/>
          <w:szCs w:val="32"/>
        </w:rPr>
        <w:t>结转和结余。</w:t>
      </w:r>
    </w:p>
    <w:p>
      <w:pPr>
        <w:ind w:firstLine="709"/>
        <w:rPr>
          <w:rFonts w:hint="eastAsia" w:ascii="仿宋_GB2312" w:hAnsi="仿宋" w:eastAsia="仿宋_GB2312" w:cs="仿宋"/>
          <w:color w:val="000000"/>
          <w:sz w:val="32"/>
          <w:szCs w:val="32"/>
          <w:lang w:val="en-US" w:eastAsia="zh-CN"/>
        </w:rPr>
      </w:pPr>
      <w:r>
        <w:rPr>
          <w:rFonts w:hint="eastAsia" w:ascii="仿宋_GB2312" w:hAnsi="仿宋" w:eastAsia="仿宋_GB2312" w:cs="仿宋"/>
          <w:color w:val="000000"/>
          <w:sz w:val="32"/>
          <w:szCs w:val="32"/>
          <w:lang w:val="en-US" w:eastAsia="zh-CN"/>
        </w:rPr>
        <w:t>4</w:t>
      </w:r>
      <w:r>
        <w:rPr>
          <w:rFonts w:hint="eastAsia" w:ascii="仿宋_GB2312" w:hAnsi="仿宋" w:eastAsia="仿宋_GB2312" w:cs="仿宋"/>
          <w:color w:val="000000"/>
          <w:sz w:val="32"/>
          <w:szCs w:val="32"/>
        </w:rPr>
        <w:t>.“三公”经费总额及分项金额与年初预算数</w:t>
      </w:r>
      <w:r>
        <w:rPr>
          <w:rFonts w:hint="eastAsia" w:ascii="仿宋_GB2312" w:hAnsi="仿宋" w:eastAsia="仿宋_GB2312" w:cs="仿宋"/>
          <w:color w:val="000000"/>
          <w:sz w:val="32"/>
          <w:szCs w:val="32"/>
          <w:lang w:eastAsia="zh-CN"/>
        </w:rPr>
        <w:t>主要为公务接待费</w:t>
      </w:r>
      <w:r>
        <w:rPr>
          <w:rFonts w:hint="eastAsia" w:ascii="仿宋_GB2312" w:hAnsi="仿宋" w:eastAsia="仿宋_GB2312" w:cs="仿宋"/>
          <w:color w:val="000000"/>
          <w:sz w:val="32"/>
          <w:szCs w:val="32"/>
          <w:lang w:val="en-US" w:eastAsia="zh-CN"/>
        </w:rPr>
        <w:t>4000元，当年决算的接待费为1675元，与上年相比下降87.12%，因2021年接待减少。公务接待批次为</w:t>
      </w:r>
      <w:r>
        <w:rPr>
          <w:rFonts w:hint="eastAsia" w:ascii="仿宋_GB2312" w:hAnsi="仿宋" w:eastAsia="仿宋_GB2312" w:cs="仿宋"/>
          <w:color w:val="auto"/>
          <w:sz w:val="32"/>
          <w:szCs w:val="32"/>
          <w:lang w:val="en-US" w:eastAsia="zh-CN"/>
        </w:rPr>
        <w:t>19次、62</w:t>
      </w:r>
      <w:r>
        <w:rPr>
          <w:rFonts w:hint="eastAsia" w:ascii="仿宋_GB2312" w:hAnsi="仿宋" w:eastAsia="仿宋_GB2312" w:cs="仿宋"/>
          <w:color w:val="000000"/>
          <w:sz w:val="32"/>
          <w:szCs w:val="32"/>
          <w:lang w:val="en-US" w:eastAsia="zh-CN"/>
        </w:rPr>
        <w:t>人，本单位无因公出镜和公务用车。</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000000"/>
          <w:sz w:val="32"/>
          <w:szCs w:val="32"/>
          <w:lang w:val="en-US" w:eastAsia="zh-CN"/>
        </w:rPr>
        <w:t>5</w:t>
      </w:r>
      <w:r>
        <w:rPr>
          <w:rFonts w:hint="eastAsia" w:ascii="仿宋_GB2312" w:hAnsi="仿宋" w:eastAsia="仿宋_GB2312" w:cs="仿宋"/>
          <w:bCs/>
          <w:color w:val="000000"/>
          <w:sz w:val="32"/>
          <w:szCs w:val="32"/>
        </w:rPr>
        <w:t>.行</w:t>
      </w:r>
      <w:r>
        <w:rPr>
          <w:rFonts w:hint="eastAsia" w:ascii="仿宋_GB2312" w:hAnsi="仿宋" w:eastAsia="仿宋_GB2312" w:cs="仿宋"/>
          <w:bCs/>
          <w:color w:val="auto"/>
          <w:sz w:val="32"/>
          <w:szCs w:val="32"/>
        </w:rPr>
        <w:t>政单位、参照公务员法管理的事业单位机关运行经费支出4,791,024.36</w:t>
      </w:r>
      <w:r>
        <w:rPr>
          <w:rFonts w:hint="eastAsia" w:ascii="仿宋_GB2312" w:hAnsi="仿宋" w:eastAsia="仿宋_GB2312" w:cs="仿宋"/>
          <w:bCs/>
          <w:color w:val="auto"/>
          <w:sz w:val="32"/>
          <w:szCs w:val="32"/>
          <w:lang w:eastAsia="zh-CN"/>
        </w:rPr>
        <w:t>元与上年相比上升</w:t>
      </w:r>
      <w:r>
        <w:rPr>
          <w:rFonts w:hint="eastAsia" w:ascii="仿宋_GB2312" w:hAnsi="仿宋" w:eastAsia="仿宋_GB2312" w:cs="仿宋"/>
          <w:bCs/>
          <w:color w:val="auto"/>
          <w:sz w:val="32"/>
          <w:szCs w:val="32"/>
          <w:lang w:val="en-US" w:eastAsia="zh-CN"/>
        </w:rPr>
        <w:t>43.24%，主要变动原因为2021年加大了机关运行经费的投入，保障了职工的医保个账补助</w:t>
      </w:r>
      <w:r>
        <w:rPr>
          <w:rFonts w:hint="eastAsia" w:ascii="仿宋_GB2312" w:hAnsi="仿宋" w:eastAsia="仿宋_GB2312" w:cs="仿宋"/>
          <w:bCs/>
          <w:color w:val="auto"/>
          <w:sz w:val="32"/>
          <w:szCs w:val="32"/>
        </w:rPr>
        <w:t>。</w:t>
      </w:r>
    </w:p>
    <w:p>
      <w:pPr>
        <w:ind w:firstLine="709"/>
        <w:rPr>
          <w:rFonts w:hint="default" w:ascii="仿宋_GB2312" w:hAnsi="仿宋" w:eastAsia="仿宋_GB2312" w:cs="仿宋"/>
          <w:bCs/>
          <w:color w:val="auto"/>
          <w:sz w:val="32"/>
          <w:szCs w:val="32"/>
          <w:lang w:val="en-US" w:eastAsia="zh-CN"/>
        </w:rPr>
      </w:pPr>
      <w:r>
        <w:rPr>
          <w:rFonts w:hint="eastAsia" w:ascii="仿宋_GB2312" w:hAnsi="仿宋" w:eastAsia="仿宋_GB2312" w:cs="仿宋"/>
          <w:bCs/>
          <w:color w:val="auto"/>
          <w:sz w:val="32"/>
          <w:szCs w:val="32"/>
          <w:lang w:val="en-US" w:eastAsia="zh-CN"/>
        </w:rPr>
        <w:t>6</w:t>
      </w:r>
      <w:r>
        <w:rPr>
          <w:rFonts w:hint="eastAsia" w:ascii="仿宋_GB2312" w:hAnsi="仿宋" w:eastAsia="仿宋_GB2312" w:cs="仿宋"/>
          <w:bCs/>
          <w:color w:val="auto"/>
          <w:sz w:val="32"/>
          <w:szCs w:val="32"/>
        </w:rPr>
        <w:t>.政府采购支出情况</w:t>
      </w:r>
      <w:r>
        <w:rPr>
          <w:rFonts w:hint="eastAsia" w:ascii="仿宋_GB2312" w:hAnsi="仿宋" w:eastAsia="仿宋_GB2312" w:cs="仿宋"/>
          <w:bCs/>
          <w:color w:val="auto"/>
          <w:sz w:val="32"/>
          <w:szCs w:val="32"/>
          <w:lang w:eastAsia="zh-CN"/>
        </w:rPr>
        <w:t>。</w:t>
      </w:r>
      <w:r>
        <w:rPr>
          <w:rFonts w:hint="eastAsia" w:ascii="仿宋_GB2312" w:hAnsi="仿宋" w:eastAsia="仿宋_GB2312" w:cs="仿宋"/>
          <w:bCs/>
          <w:color w:val="auto"/>
          <w:sz w:val="32"/>
          <w:szCs w:val="32"/>
          <w:lang w:val="en-US" w:eastAsia="zh-CN"/>
        </w:rPr>
        <w:t>2021年我单位无10万以上的单笔采购，只有2万以内的商场直购，主要采购物品为文件柜和电脑均为日常办公设备购买。</w:t>
      </w:r>
    </w:p>
    <w:p>
      <w:pPr>
        <w:ind w:firstLine="709"/>
        <w:rPr>
          <w:rFonts w:hint="eastAsia"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7</w:t>
      </w:r>
      <w:r>
        <w:rPr>
          <w:rFonts w:hint="eastAsia" w:ascii="仿宋_GB2312" w:hAnsi="仿宋" w:eastAsia="仿宋_GB2312" w:cs="仿宋"/>
          <w:bCs/>
          <w:color w:val="auto"/>
          <w:sz w:val="32"/>
          <w:szCs w:val="32"/>
        </w:rPr>
        <w:t>.</w:t>
      </w:r>
      <w:r>
        <w:rPr>
          <w:rFonts w:hint="eastAsia" w:ascii="仿宋_GB2312" w:hAnsi="仿宋" w:eastAsia="仿宋_GB2312" w:cs="仿宋"/>
          <w:bCs/>
          <w:color w:val="auto"/>
          <w:sz w:val="32"/>
          <w:szCs w:val="32"/>
          <w:lang w:eastAsia="zh-CN"/>
        </w:rPr>
        <w:t>无</w:t>
      </w:r>
      <w:r>
        <w:rPr>
          <w:rFonts w:hint="eastAsia" w:ascii="仿宋_GB2312" w:hAnsi="仿宋" w:eastAsia="仿宋_GB2312" w:cs="仿宋"/>
          <w:bCs/>
          <w:color w:val="auto"/>
          <w:sz w:val="32"/>
          <w:szCs w:val="32"/>
        </w:rPr>
        <w:t>中央单位财政拨款结转和结余情况</w:t>
      </w:r>
    </w:p>
    <w:p>
      <w:pPr>
        <w:ind w:firstLine="709"/>
        <w:rPr>
          <w:rFonts w:hint="eastAsia"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8</w:t>
      </w:r>
      <w:r>
        <w:rPr>
          <w:rFonts w:hint="eastAsia" w:ascii="仿宋_GB2312" w:hAnsi="仿宋" w:eastAsia="仿宋_GB2312" w:cs="仿宋"/>
          <w:bCs/>
          <w:color w:val="auto"/>
          <w:sz w:val="32"/>
          <w:szCs w:val="32"/>
        </w:rPr>
        <w:t>.</w:t>
      </w:r>
      <w:r>
        <w:rPr>
          <w:rFonts w:hint="eastAsia" w:ascii="仿宋_GB2312" w:hAnsi="仿宋" w:eastAsia="仿宋_GB2312" w:cs="仿宋"/>
          <w:bCs/>
          <w:color w:val="auto"/>
          <w:sz w:val="32"/>
          <w:szCs w:val="32"/>
          <w:lang w:eastAsia="zh-CN"/>
        </w:rPr>
        <w:t>无</w:t>
      </w:r>
      <w:r>
        <w:rPr>
          <w:rFonts w:hint="eastAsia" w:ascii="仿宋_GB2312" w:hAnsi="仿宋" w:eastAsia="仿宋_GB2312" w:cs="仿宋"/>
          <w:bCs/>
          <w:color w:val="auto"/>
          <w:sz w:val="32"/>
          <w:szCs w:val="32"/>
        </w:rPr>
        <w:t>中央单位驻外机构有关情况</w:t>
      </w:r>
    </w:p>
    <w:p>
      <w:pPr>
        <w:ind w:firstLine="709"/>
        <w:rPr>
          <w:rFonts w:ascii="仿宋_GB2312" w:hAnsi="仿宋" w:eastAsia="仿宋_GB2312" w:cs="仿宋"/>
          <w:bCs/>
          <w:color w:val="auto"/>
          <w:sz w:val="32"/>
          <w:szCs w:val="32"/>
        </w:rPr>
      </w:pPr>
      <w:r>
        <w:rPr>
          <w:rFonts w:hint="eastAsia" w:ascii="仿宋_GB2312" w:hAnsi="仿宋" w:eastAsia="仿宋_GB2312" w:cs="仿宋"/>
          <w:bCs/>
          <w:color w:val="auto"/>
          <w:sz w:val="32"/>
          <w:szCs w:val="32"/>
          <w:lang w:val="en-US" w:eastAsia="zh-CN"/>
        </w:rPr>
        <w:t>9</w:t>
      </w:r>
      <w:r>
        <w:rPr>
          <w:rFonts w:hint="eastAsia" w:ascii="仿宋_GB2312" w:hAnsi="仿宋" w:eastAsia="仿宋_GB2312" w:cs="仿宋"/>
          <w:bCs/>
          <w:color w:val="auto"/>
          <w:sz w:val="32"/>
          <w:szCs w:val="32"/>
        </w:rPr>
        <w:t>.</w:t>
      </w:r>
      <w:r>
        <w:rPr>
          <w:rFonts w:hint="eastAsia" w:ascii="仿宋_GB2312" w:hAnsi="仿宋" w:eastAsia="仿宋_GB2312" w:cs="仿宋"/>
          <w:bCs/>
          <w:color w:val="auto"/>
          <w:sz w:val="32"/>
          <w:szCs w:val="32"/>
          <w:lang w:eastAsia="zh-CN"/>
        </w:rPr>
        <w:t>无</w:t>
      </w:r>
      <w:r>
        <w:rPr>
          <w:rFonts w:hint="eastAsia" w:ascii="仿宋_GB2312" w:hAnsi="仿宋" w:eastAsia="仿宋_GB2312" w:cs="仿宋"/>
          <w:bCs/>
          <w:color w:val="auto"/>
          <w:sz w:val="32"/>
          <w:szCs w:val="32"/>
        </w:rPr>
        <w:t>住房公积金管理中心住房公积金业务收支情况。</w:t>
      </w:r>
    </w:p>
    <w:p>
      <w:pPr>
        <w:ind w:firstLine="709"/>
        <w:rPr>
          <w:rFonts w:hint="default" w:ascii="仿宋_GB2312" w:hAnsi="仿宋" w:eastAsia="仿宋_GB2312" w:cs="仿宋"/>
          <w:color w:val="000000"/>
          <w:sz w:val="32"/>
          <w:szCs w:val="32"/>
          <w:lang w:val="en-US" w:eastAsia="zh-CN"/>
        </w:rPr>
      </w:pPr>
      <w:r>
        <w:rPr>
          <w:rFonts w:hint="eastAsia" w:ascii="仿宋_GB2312" w:hAnsi="仿宋" w:eastAsia="仿宋_GB2312" w:cs="仿宋"/>
          <w:bCs/>
          <w:color w:val="auto"/>
          <w:sz w:val="32"/>
          <w:szCs w:val="32"/>
        </w:rPr>
        <w:t>1</w:t>
      </w:r>
      <w:r>
        <w:rPr>
          <w:rFonts w:hint="eastAsia" w:ascii="仿宋_GB2312" w:hAnsi="仿宋" w:eastAsia="仿宋_GB2312" w:cs="仿宋"/>
          <w:bCs/>
          <w:color w:val="auto"/>
          <w:sz w:val="32"/>
          <w:szCs w:val="32"/>
          <w:lang w:val="en-US" w:eastAsia="zh-CN"/>
        </w:rPr>
        <w:t>0</w:t>
      </w:r>
      <w:r>
        <w:rPr>
          <w:rFonts w:hint="eastAsia" w:ascii="仿宋_GB2312" w:hAnsi="仿宋" w:eastAsia="仿宋_GB2312" w:cs="仿宋"/>
          <w:bCs/>
          <w:color w:val="auto"/>
          <w:sz w:val="32"/>
          <w:szCs w:val="32"/>
        </w:rPr>
        <w:t>.“收入支出决算总表”中如调</w:t>
      </w:r>
      <w:r>
        <w:rPr>
          <w:rFonts w:hint="eastAsia" w:ascii="仿宋_GB2312" w:hAnsi="仿宋" w:eastAsia="仿宋_GB2312" w:cs="仿宋"/>
          <w:bCs/>
          <w:color w:val="000000"/>
          <w:sz w:val="32"/>
          <w:szCs w:val="32"/>
        </w:rPr>
        <w:t>整预算数大于年初预算数，</w:t>
      </w:r>
      <w:r>
        <w:rPr>
          <w:rFonts w:hint="eastAsia" w:ascii="仿宋_GB2312" w:hAnsi="仿宋" w:eastAsia="仿宋_GB2312" w:cs="仿宋"/>
          <w:bCs/>
          <w:color w:val="000000"/>
          <w:sz w:val="32"/>
          <w:szCs w:val="32"/>
          <w:lang w:val="en-US" w:eastAsia="zh-CN"/>
        </w:rPr>
        <w:t>2020年年初预算为24,685,070.00元，调整预算数为52,948,020.55元，调整数均为财政拨款数，调整原因是增加了本年度行业部门的项目拨款和工作经费拨款。</w:t>
      </w:r>
    </w:p>
    <w:p>
      <w:pPr>
        <w:ind w:firstLine="709"/>
        <w:rPr>
          <w:rFonts w:ascii="仿宋_GB2312" w:hAnsi="仿宋" w:eastAsia="仿宋_GB2312" w:cs="仿宋"/>
          <w:sz w:val="32"/>
          <w:szCs w:val="32"/>
          <w:highlight w:val="none"/>
        </w:rPr>
      </w:pPr>
      <w:r>
        <w:rPr>
          <w:rFonts w:hint="eastAsia" w:ascii="仿宋_GB2312" w:hAnsi="仿宋" w:eastAsia="仿宋_GB2312" w:cs="仿宋"/>
          <w:bCs/>
          <w:sz w:val="32"/>
          <w:szCs w:val="32"/>
          <w:highlight w:val="none"/>
        </w:rPr>
        <w:t>1</w:t>
      </w:r>
      <w:r>
        <w:rPr>
          <w:rFonts w:hint="eastAsia" w:ascii="仿宋_GB2312" w:hAnsi="仿宋" w:eastAsia="仿宋_GB2312" w:cs="仿宋"/>
          <w:bCs/>
          <w:sz w:val="32"/>
          <w:szCs w:val="32"/>
          <w:highlight w:val="none"/>
          <w:lang w:val="en-US" w:eastAsia="zh-CN"/>
        </w:rPr>
        <w:t>1</w:t>
      </w:r>
      <w:r>
        <w:rPr>
          <w:rFonts w:hint="eastAsia" w:ascii="仿宋_GB2312" w:hAnsi="仿宋" w:eastAsia="仿宋_GB2312" w:cs="仿宋"/>
          <w:bCs/>
          <w:sz w:val="32"/>
          <w:szCs w:val="32"/>
          <w:highlight w:val="none"/>
        </w:rPr>
        <w:t>.</w:t>
      </w:r>
      <w:r>
        <w:rPr>
          <w:rFonts w:hint="eastAsia" w:ascii="仿宋_GB2312" w:hAnsi="仿宋" w:eastAsia="仿宋_GB2312" w:cs="仿宋"/>
          <w:bCs/>
          <w:sz w:val="32"/>
          <w:szCs w:val="32"/>
          <w:highlight w:val="none"/>
          <w:lang w:eastAsia="zh-CN"/>
        </w:rPr>
        <w:t>无</w:t>
      </w:r>
      <w:r>
        <w:rPr>
          <w:rFonts w:hint="eastAsia" w:ascii="仿宋_GB2312" w:hAnsi="仿宋" w:eastAsia="仿宋_GB2312" w:cs="仿宋"/>
          <w:bCs/>
          <w:sz w:val="32"/>
          <w:szCs w:val="32"/>
          <w:highlight w:val="none"/>
        </w:rPr>
        <w:t>深化党和国家机构改革对决算编报相关方面的影响。</w:t>
      </w:r>
    </w:p>
    <w:p>
      <w:pPr>
        <w:ind w:firstLine="709"/>
        <w:rPr>
          <w:rFonts w:ascii="仿宋_GB2312" w:hAnsi="仿宋" w:eastAsia="仿宋_GB2312" w:cs="仿宋"/>
          <w:color w:val="000000"/>
          <w:sz w:val="32"/>
          <w:szCs w:val="32"/>
        </w:rPr>
      </w:pPr>
      <w:r>
        <w:rPr>
          <w:rFonts w:hint="eastAsia" w:ascii="仿宋_GB2312" w:hAnsi="仿宋" w:eastAsia="仿宋_GB2312" w:cs="仿宋"/>
          <w:bCs/>
          <w:color w:val="000000"/>
          <w:sz w:val="32"/>
          <w:szCs w:val="32"/>
        </w:rPr>
        <w:t>1</w:t>
      </w:r>
      <w:r>
        <w:rPr>
          <w:rFonts w:hint="eastAsia" w:ascii="仿宋_GB2312" w:hAnsi="仿宋" w:eastAsia="仿宋_GB2312" w:cs="仿宋"/>
          <w:bCs/>
          <w:color w:val="000000"/>
          <w:sz w:val="32"/>
          <w:szCs w:val="32"/>
          <w:lang w:val="en-US" w:eastAsia="zh-CN"/>
        </w:rPr>
        <w:t>2</w:t>
      </w:r>
      <w:r>
        <w:rPr>
          <w:rFonts w:hint="eastAsia" w:ascii="仿宋_GB2312" w:hAnsi="仿宋" w:eastAsia="仿宋_GB2312" w:cs="仿宋"/>
          <w:bCs/>
          <w:color w:val="000000"/>
          <w:sz w:val="32"/>
          <w:szCs w:val="32"/>
        </w:rPr>
        <w:t>.</w:t>
      </w:r>
      <w:r>
        <w:rPr>
          <w:rFonts w:hint="eastAsia" w:ascii="仿宋_GB2312" w:hAnsi="仿宋" w:eastAsia="仿宋_GB2312" w:cs="仿宋"/>
          <w:bCs/>
          <w:color w:val="000000"/>
          <w:sz w:val="32"/>
          <w:szCs w:val="32"/>
          <w:lang w:eastAsia="zh-CN"/>
        </w:rPr>
        <w:t>无</w:t>
      </w:r>
      <w:r>
        <w:rPr>
          <w:rFonts w:hint="eastAsia" w:ascii="仿宋_GB2312" w:hAnsi="仿宋" w:eastAsia="仿宋_GB2312" w:cs="仿宋"/>
          <w:color w:val="000000"/>
          <w:sz w:val="32"/>
          <w:szCs w:val="32"/>
        </w:rPr>
        <w:t>其他需要说明的问题。</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PAGE   \* MERGEFORMAT </w:instrText>
    </w:r>
    <w:r>
      <w:rPr>
        <w:rFonts w:ascii="Arial" w:hAnsi="Arial" w:cs="Arial"/>
        <w:sz w:val="24"/>
        <w:szCs w:val="24"/>
      </w:rPr>
      <w:fldChar w:fldCharType="separate"/>
    </w:r>
    <w:r>
      <w:rPr>
        <w:rFonts w:ascii="Arial" w:hAnsi="Arial" w:cs="Arial"/>
        <w:sz w:val="24"/>
        <w:szCs w:val="24"/>
        <w:lang w:val="zh-CN"/>
      </w:rPr>
      <w:t>4</w:t>
    </w:r>
    <w:r>
      <w:rPr>
        <w:rFonts w:ascii="Arial" w:hAnsi="Arial" w:cs="Arial"/>
        <w:sz w:val="24"/>
        <w:szCs w:val="24"/>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7C3"/>
    <w:rsid w:val="000A1A07"/>
    <w:rsid w:val="001A527B"/>
    <w:rsid w:val="002C0140"/>
    <w:rsid w:val="002C6963"/>
    <w:rsid w:val="003877C3"/>
    <w:rsid w:val="00522486"/>
    <w:rsid w:val="005502D5"/>
    <w:rsid w:val="00576055"/>
    <w:rsid w:val="00601750"/>
    <w:rsid w:val="006210EA"/>
    <w:rsid w:val="006231DE"/>
    <w:rsid w:val="0068308D"/>
    <w:rsid w:val="006B17A2"/>
    <w:rsid w:val="007329D4"/>
    <w:rsid w:val="00760F51"/>
    <w:rsid w:val="007C00B5"/>
    <w:rsid w:val="00822C60"/>
    <w:rsid w:val="008B4CF8"/>
    <w:rsid w:val="008D1A61"/>
    <w:rsid w:val="008E5B2B"/>
    <w:rsid w:val="009E77A1"/>
    <w:rsid w:val="00AF40A1"/>
    <w:rsid w:val="00BB0B4D"/>
    <w:rsid w:val="00BD6CD3"/>
    <w:rsid w:val="00D6432C"/>
    <w:rsid w:val="00DA1F66"/>
    <w:rsid w:val="00DA4E30"/>
    <w:rsid w:val="00E1090A"/>
    <w:rsid w:val="00E329F1"/>
    <w:rsid w:val="00EB18AC"/>
    <w:rsid w:val="00EE0CEF"/>
    <w:rsid w:val="00FC360F"/>
    <w:rsid w:val="00FE6666"/>
    <w:rsid w:val="07AB4E73"/>
    <w:rsid w:val="092E7856"/>
    <w:rsid w:val="0E5F15F8"/>
    <w:rsid w:val="0E8D72FF"/>
    <w:rsid w:val="10524E07"/>
    <w:rsid w:val="10E04EA0"/>
    <w:rsid w:val="11D51D34"/>
    <w:rsid w:val="12863EF6"/>
    <w:rsid w:val="17784E74"/>
    <w:rsid w:val="1A757130"/>
    <w:rsid w:val="1DAD4996"/>
    <w:rsid w:val="224C2753"/>
    <w:rsid w:val="22657E82"/>
    <w:rsid w:val="24790FA9"/>
    <w:rsid w:val="27152366"/>
    <w:rsid w:val="2C4227BF"/>
    <w:rsid w:val="2FE51CFA"/>
    <w:rsid w:val="30A047F9"/>
    <w:rsid w:val="34D963E2"/>
    <w:rsid w:val="35BD5D3A"/>
    <w:rsid w:val="38007442"/>
    <w:rsid w:val="3AAE3851"/>
    <w:rsid w:val="42A33A00"/>
    <w:rsid w:val="453F180C"/>
    <w:rsid w:val="45844C17"/>
    <w:rsid w:val="49201FD2"/>
    <w:rsid w:val="4BA312B6"/>
    <w:rsid w:val="4DED0701"/>
    <w:rsid w:val="4EE429A3"/>
    <w:rsid w:val="57BB325E"/>
    <w:rsid w:val="59A02E3A"/>
    <w:rsid w:val="5D272EFB"/>
    <w:rsid w:val="5D521C1E"/>
    <w:rsid w:val="5FE378E6"/>
    <w:rsid w:val="74BC7003"/>
    <w:rsid w:val="765724D8"/>
    <w:rsid w:val="790F6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5"/>
    <w:qFormat/>
    <w:uiPriority w:val="0"/>
    <w:rPr>
      <w:rFonts w:cs="Times New Roman"/>
      <w:sz w:val="18"/>
      <w:szCs w:val="18"/>
    </w:rPr>
  </w:style>
  <w:style w:type="paragraph" w:styleId="3">
    <w:name w:val="footer"/>
    <w:basedOn w:val="1"/>
    <w:link w:val="10"/>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character" w:styleId="7">
    <w:name w:val="FollowedHyperlink"/>
    <w:semiHidden/>
    <w:qFormat/>
    <w:uiPriority w:val="99"/>
    <w:rPr>
      <w:color w:val="800080"/>
      <w:u w:val="single"/>
    </w:rPr>
  </w:style>
  <w:style w:type="character" w:styleId="8">
    <w:name w:val="Hyperlink"/>
    <w:semiHidden/>
    <w:qFormat/>
    <w:uiPriority w:val="99"/>
    <w:rPr>
      <w:color w:val="0000FF"/>
      <w:u w:val="single"/>
    </w:rPr>
  </w:style>
  <w:style w:type="character" w:customStyle="1" w:styleId="9">
    <w:name w:val="页脚 Char"/>
    <w:basedOn w:val="6"/>
    <w:semiHidden/>
    <w:qFormat/>
    <w:uiPriority w:val="99"/>
    <w:rPr>
      <w:rFonts w:ascii="Calibri" w:hAnsi="Calibri" w:eastAsia="宋体" w:cs="Calibri"/>
      <w:sz w:val="18"/>
      <w:szCs w:val="18"/>
    </w:rPr>
  </w:style>
  <w:style w:type="character" w:customStyle="1" w:styleId="10">
    <w:name w:val="页脚 Char1"/>
    <w:link w:val="3"/>
    <w:qFormat/>
    <w:locked/>
    <w:uiPriority w:val="99"/>
    <w:rPr>
      <w:rFonts w:ascii="Times New Roman" w:hAnsi="Times New Roman" w:eastAsia="宋体" w:cs="Times New Roman"/>
      <w:kern w:val="0"/>
      <w:sz w:val="18"/>
      <w:szCs w:val="18"/>
    </w:rPr>
  </w:style>
  <w:style w:type="character" w:customStyle="1" w:styleId="11">
    <w:name w:val="页眉 Char"/>
    <w:basedOn w:val="6"/>
    <w:semiHidden/>
    <w:qFormat/>
    <w:uiPriority w:val="99"/>
    <w:rPr>
      <w:rFonts w:ascii="Calibri" w:hAnsi="Calibri" w:eastAsia="宋体" w:cs="Calibri"/>
      <w:sz w:val="18"/>
      <w:szCs w:val="18"/>
    </w:rPr>
  </w:style>
  <w:style w:type="character" w:customStyle="1" w:styleId="12">
    <w:name w:val="页眉 Char1"/>
    <w:link w:val="4"/>
    <w:qFormat/>
    <w:locked/>
    <w:uiPriority w:val="99"/>
    <w:rPr>
      <w:rFonts w:ascii="Times New Roman" w:hAnsi="Times New Roman" w:eastAsia="宋体" w:cs="Times New Roman"/>
      <w:kern w:val="0"/>
      <w:sz w:val="18"/>
      <w:szCs w:val="18"/>
    </w:rPr>
  </w:style>
  <w:style w:type="character" w:customStyle="1" w:styleId="13">
    <w:name w:val="apple-converted-space"/>
    <w:basedOn w:val="6"/>
    <w:qFormat/>
    <w:uiPriority w:val="99"/>
  </w:style>
  <w:style w:type="character" w:customStyle="1" w:styleId="14">
    <w:name w:val="批注框文本 Char"/>
    <w:basedOn w:val="6"/>
    <w:semiHidden/>
    <w:qFormat/>
    <w:uiPriority w:val="99"/>
    <w:rPr>
      <w:rFonts w:ascii="Calibri" w:hAnsi="Calibri" w:eastAsia="宋体" w:cs="Calibri"/>
      <w:sz w:val="18"/>
      <w:szCs w:val="18"/>
    </w:rPr>
  </w:style>
  <w:style w:type="character" w:customStyle="1" w:styleId="15">
    <w:name w:val="批注框文本 Char1"/>
    <w:link w:val="2"/>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2727</Words>
  <Characters>3987</Characters>
  <Lines>11</Lines>
  <Paragraphs>3</Paragraphs>
  <TotalTime>2</TotalTime>
  <ScaleCrop>false</ScaleCrop>
  <LinksUpToDate>false</LinksUpToDate>
  <CharactersWithSpaces>4430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2018-09-18T01:13:00Z</dcterms:created>
  <dc:creator>闻吉</dc:creator>
  <cp:lastModifiedBy>Administrator</cp:lastModifiedBy>
  <dcterms:modified xsi:type="dcterms:W3CDTF">2022-02-19T13:26:58Z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6D5C0AC9C62F4CADAC253E2791E76C0E</vt:lpwstr>
  </property>
</Properties>
</file>