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7425"/>
      <w:bookmarkStart w:id="1" w:name="_Toc15396597"/>
      <w:bookmarkStart w:id="2" w:name="_Toc15396475"/>
      <w:bookmarkStart w:id="3" w:name="_Toc15378441"/>
      <w:bookmarkStart w:id="4" w:name="_Toc15377193"/>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p>
    <w:bookmarkEnd w:id="5"/>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eastAsia" w:ascii="方正小标宋简体" w:hAnsi="方正小标宋简体" w:eastAsia="方正小标宋简体" w:cs="方正小标宋简体"/>
          <w:sz w:val="72"/>
          <w:szCs w:val="72"/>
          <w:lang w:val="en-US" w:eastAsia="zh-CN"/>
        </w:rPr>
      </w:pPr>
      <w:bookmarkStart w:id="6" w:name="_Toc15306268"/>
      <w:bookmarkStart w:id="7" w:name="_Toc15396476"/>
      <w:bookmarkStart w:id="8" w:name="_Toc15378442"/>
      <w:bookmarkStart w:id="9" w:name="_Toc15377194"/>
      <w:bookmarkStart w:id="10" w:name="_Toc15396598"/>
      <w:bookmarkStart w:id="11" w:name="_Toc15377426"/>
      <w:r>
        <w:rPr>
          <w:rFonts w:hint="eastAsia" w:ascii="方正小标宋简体" w:hAnsi="方正小标宋简体" w:eastAsia="方正小标宋简体" w:cs="方正小标宋简体"/>
          <w:sz w:val="72"/>
          <w:szCs w:val="72"/>
          <w:lang w:val="en-US" w:eastAsia="zh-CN"/>
        </w:rPr>
        <w:t>乐至县政府政务服务和</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eastAsia"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lang w:val="en-US" w:eastAsia="zh-CN"/>
        </w:rPr>
        <w:t>公共资源交易服务中心</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outlineLvl w:val="0"/>
        <w:rPr>
          <w:rFonts w:hint="default" w:ascii="方正小标宋简体" w:hAnsi="方正小标宋简体" w:eastAsia="方正小标宋简体" w:cs="方正小标宋简体"/>
          <w:sz w:val="72"/>
          <w:szCs w:val="72"/>
          <w:lang w:val="en-US" w:eastAsia="zh-CN"/>
        </w:rPr>
      </w:pP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lang w:val="en-US" w:eastAsia="zh-CN"/>
        </w:rPr>
        <w:t>公开说明</w:t>
      </w:r>
    </w:p>
    <w:p>
      <w:pPr>
        <w:adjustRightInd w:val="0"/>
        <w:snapToGrid w:val="0"/>
        <w:spacing w:line="360" w:lineRule="auto"/>
        <w:jc w:val="center"/>
        <w:outlineLvl w:val="0"/>
        <w:rPr>
          <w:rFonts w:ascii="方正小标宋简体" w:hAnsi="宋体" w:eastAsia="方正小标宋简体"/>
          <w:sz w:val="52"/>
          <w:szCs w:val="52"/>
        </w:rPr>
      </w:pPr>
    </w:p>
    <w:p>
      <w:pPr>
        <w:pStyle w:val="3"/>
      </w:pPr>
    </w:p>
    <w:p>
      <w:pPr>
        <w:widowControl/>
        <w:jc w:val="center"/>
        <w:rPr>
          <w:rFonts w:hint="eastAsia" w:ascii="黑体" w:hAnsi="黑体" w:eastAsia="黑体"/>
          <w:sz w:val="48"/>
          <w:szCs w:val="48"/>
        </w:rPr>
        <w:sectPr>
          <w:footerReference r:id="rId5" w:type="first"/>
          <w:footerReference r:id="rId3" w:type="default"/>
          <w:footerReference r:id="rId4" w:type="even"/>
          <w:pgSz w:w="11907" w:h="16840"/>
          <w:pgMar w:top="2098" w:right="1474" w:bottom="1928" w:left="1588" w:header="851" w:footer="992" w:gutter="0"/>
          <w:cols w:space="720" w:num="1"/>
          <w:docGrid w:type="lines" w:linePitch="312" w:charSpace="0"/>
        </w:sectPr>
      </w:pPr>
    </w:p>
    <w:p>
      <w:pPr>
        <w:widowControl/>
        <w:jc w:val="center"/>
        <w:rPr>
          <w:rFonts w:ascii="黑体" w:hAnsi="黑体" w:eastAsia="黑体"/>
          <w:sz w:val="48"/>
          <w:szCs w:val="48"/>
        </w:rPr>
      </w:pP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3"/>
      </w:pPr>
      <w:r>
        <w:rPr>
          <w:rFonts w:hint="eastAsia"/>
        </w:rPr>
        <w:t>公开时间：2023年</w:t>
      </w:r>
      <w:r>
        <w:rPr>
          <w:rFonts w:hint="eastAsia"/>
          <w:lang w:val="en-US" w:eastAsia="zh-CN"/>
        </w:rPr>
        <w:t>10</w:t>
      </w:r>
      <w:r>
        <w:rPr>
          <w:rFonts w:hint="eastAsia"/>
        </w:rPr>
        <w:t>月</w:t>
      </w:r>
      <w:r>
        <w:rPr>
          <w:rFonts w:hint="eastAsia"/>
          <w:lang w:val="en-US" w:eastAsia="zh-CN"/>
        </w:rPr>
        <w:t>19</w:t>
      </w:r>
      <w:r>
        <w:rPr>
          <w:rFonts w:hint="eastAsia"/>
        </w:rPr>
        <w:t>日</w:t>
      </w:r>
    </w:p>
    <w:p/>
    <w:p>
      <w:pPr>
        <w:pStyle w:val="13"/>
        <w:keepNext w:val="0"/>
        <w:keepLines w:val="0"/>
        <w:pageBreakBefore w:val="0"/>
        <w:widowControl w:val="0"/>
        <w:tabs>
          <w:tab w:val="right" w:leader="dot" w:pos="7350"/>
        </w:tabs>
        <w:kinsoku/>
        <w:wordWrap/>
        <w:overflowPunct/>
        <w:topLinePunct w:val="0"/>
        <w:autoSpaceDE/>
        <w:autoSpaceDN/>
        <w:bidi w:val="0"/>
        <w:adjustRightInd w:val="0"/>
        <w:snapToGrid w:val="0"/>
        <w:spacing w:before="0" w:line="440" w:lineRule="exact"/>
        <w:jc w:val="left"/>
        <w:textAlignment w:val="auto"/>
        <w:rPr>
          <w:rFonts w:hint="eastAsia" w:eastAsia="仿宋" w:cstheme="minorBidi"/>
          <w:sz w:val="24"/>
          <w:szCs w:val="24"/>
          <w:lang w:val="en-US" w:eastAsia="zh-CN"/>
        </w:rPr>
      </w:pPr>
      <w:r>
        <w:rPr>
          <w:rFonts w:hint="eastAsia"/>
          <w:sz w:val="24"/>
        </w:rPr>
        <w:t>第一部分</w:t>
      </w:r>
      <w:r>
        <w:rPr>
          <w:sz w:val="24"/>
        </w:rPr>
        <w:t xml:space="preserve"> </w:t>
      </w:r>
      <w:r>
        <w:rPr>
          <w:rFonts w:hint="eastAsia"/>
          <w:sz w:val="24"/>
        </w:rPr>
        <w:t>部门概况</w:t>
      </w:r>
      <w:r>
        <w:rPr>
          <w:rFonts w:hint="eastAsia"/>
          <w:sz w:val="24"/>
          <w:lang w:val="en-US" w:eastAsia="zh-CN"/>
        </w:rPr>
        <w:tab/>
        <w:t/>
      </w:r>
      <w:r>
        <w:rPr>
          <w:rFonts w:hint="eastAsia"/>
          <w:sz w:val="24"/>
          <w:lang w:val="en-US" w:eastAsia="zh-CN"/>
        </w:rPr>
        <w:tab/>
        <w:t>1</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sz w:val="24"/>
          <w:lang w:val="en-US" w:eastAsia="zh-CN"/>
        </w:rPr>
      </w:pPr>
      <w:r>
        <w:rPr>
          <w:rFonts w:hint="eastAsia"/>
          <w:sz w:val="24"/>
        </w:rPr>
        <w:t>一、部门职责</w:t>
      </w:r>
      <w:r>
        <w:rPr>
          <w:rFonts w:hint="eastAsia"/>
          <w:sz w:val="24"/>
          <w:lang w:val="en-US" w:eastAsia="zh-CN"/>
        </w:rPr>
        <w:tab/>
        <w:t/>
      </w:r>
      <w:r>
        <w:rPr>
          <w:rFonts w:hint="eastAsia"/>
          <w:sz w:val="24"/>
          <w:lang w:val="en-US" w:eastAsia="zh-CN"/>
        </w:rPr>
        <w:tab/>
        <w:t>1</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二、机构设置</w:t>
      </w:r>
      <w:r>
        <w:rPr>
          <w:rFonts w:hint="eastAsia"/>
          <w:sz w:val="24"/>
          <w:lang w:val="en-US" w:eastAsia="zh-CN"/>
        </w:rPr>
        <w:tab/>
        <w:t/>
      </w:r>
      <w:r>
        <w:rPr>
          <w:rFonts w:hint="eastAsia"/>
          <w:sz w:val="24"/>
          <w:lang w:val="en-US" w:eastAsia="zh-CN"/>
        </w:rPr>
        <w:tab/>
        <w:t>4</w:t>
      </w:r>
    </w:p>
    <w:p>
      <w:pPr>
        <w:pStyle w:val="13"/>
        <w:keepNext w:val="0"/>
        <w:keepLines w:val="0"/>
        <w:pageBreakBefore w:val="0"/>
        <w:widowControl w:val="0"/>
        <w:tabs>
          <w:tab w:val="right" w:leader="dot" w:pos="7350"/>
        </w:tabs>
        <w:kinsoku/>
        <w:wordWrap/>
        <w:overflowPunct/>
        <w:topLinePunct w:val="0"/>
        <w:autoSpaceDE/>
        <w:autoSpaceDN/>
        <w:bidi w:val="0"/>
        <w:adjustRightInd w:val="0"/>
        <w:snapToGrid w:val="0"/>
        <w:spacing w:before="0" w:line="440" w:lineRule="exact"/>
        <w:jc w:val="left"/>
        <w:textAlignment w:val="auto"/>
        <w:rPr>
          <w:rFonts w:hint="eastAsia" w:eastAsia="仿宋"/>
          <w:sz w:val="24"/>
          <w:szCs w:val="24"/>
          <w:lang w:val="en-US" w:eastAsia="zh-CN"/>
        </w:rPr>
      </w:pPr>
      <w:r>
        <w:rPr>
          <w:rFonts w:hint="eastAsia"/>
          <w:sz w:val="24"/>
        </w:rPr>
        <w:t>第二部分 2022年度部门决算情况说明</w:t>
      </w:r>
      <w:r>
        <w:rPr>
          <w:rFonts w:hint="eastAsia"/>
          <w:sz w:val="24"/>
          <w:lang w:val="en-US" w:eastAsia="zh-CN"/>
        </w:rPr>
        <w:tab/>
        <w:t/>
      </w:r>
      <w:r>
        <w:rPr>
          <w:rFonts w:hint="eastAsia"/>
          <w:sz w:val="24"/>
          <w:lang w:val="en-US" w:eastAsia="zh-CN"/>
        </w:rPr>
        <w:tab/>
        <w:t>4</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一、收入支出决算总体情况说明</w:t>
      </w:r>
      <w:r>
        <w:rPr>
          <w:rFonts w:hint="eastAsia"/>
          <w:sz w:val="24"/>
          <w:lang w:val="en-US" w:eastAsia="zh-CN"/>
        </w:rPr>
        <w:tab/>
        <w:t/>
      </w:r>
      <w:r>
        <w:rPr>
          <w:rFonts w:hint="eastAsia"/>
          <w:sz w:val="24"/>
          <w:lang w:val="en-US" w:eastAsia="zh-CN"/>
        </w:rPr>
        <w:tab/>
        <w:t>4</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二、收入决算情况说明</w:t>
      </w:r>
      <w:r>
        <w:rPr>
          <w:rFonts w:hint="eastAsia"/>
          <w:sz w:val="24"/>
          <w:lang w:val="en-US" w:eastAsia="zh-CN"/>
        </w:rPr>
        <w:tab/>
        <w:t/>
      </w:r>
      <w:r>
        <w:rPr>
          <w:rFonts w:hint="eastAsia"/>
          <w:sz w:val="24"/>
          <w:lang w:val="en-US" w:eastAsia="zh-CN"/>
        </w:rPr>
        <w:tab/>
        <w:t>5</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三、支出决算情况说明</w:t>
      </w:r>
      <w:r>
        <w:rPr>
          <w:rFonts w:hint="eastAsia"/>
          <w:sz w:val="24"/>
          <w:lang w:val="en-US" w:eastAsia="zh-CN"/>
        </w:rPr>
        <w:tab/>
        <w:t/>
      </w:r>
      <w:r>
        <w:rPr>
          <w:rFonts w:hint="eastAsia"/>
          <w:sz w:val="24"/>
          <w:lang w:val="en-US" w:eastAsia="zh-CN"/>
        </w:rPr>
        <w:tab/>
        <w:t>5</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四、财政拨款收入支出决算总体情况说明</w:t>
      </w:r>
      <w:r>
        <w:rPr>
          <w:rFonts w:hint="eastAsia"/>
          <w:sz w:val="24"/>
          <w:lang w:val="en-US" w:eastAsia="zh-CN"/>
        </w:rPr>
        <w:tab/>
        <w:t/>
      </w:r>
      <w:r>
        <w:rPr>
          <w:rFonts w:hint="eastAsia"/>
          <w:sz w:val="24"/>
          <w:lang w:val="en-US" w:eastAsia="zh-CN"/>
        </w:rPr>
        <w:tab/>
        <w:t>5</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五、一般公共预算财政拨款支出决算情况说明</w:t>
      </w:r>
      <w:r>
        <w:rPr>
          <w:rFonts w:hint="eastAsia"/>
          <w:sz w:val="24"/>
          <w:lang w:val="en-US" w:eastAsia="zh-CN"/>
        </w:rPr>
        <w:tab/>
        <w:t/>
      </w:r>
      <w:r>
        <w:rPr>
          <w:rFonts w:hint="eastAsia"/>
          <w:sz w:val="24"/>
          <w:lang w:val="en-US" w:eastAsia="zh-CN"/>
        </w:rPr>
        <w:tab/>
        <w:t>6</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六、一般公共预算财政拨款基本支出决算情况说明</w:t>
      </w:r>
      <w:r>
        <w:rPr>
          <w:rFonts w:hint="eastAsia"/>
          <w:sz w:val="24"/>
          <w:lang w:val="en-US" w:eastAsia="zh-CN"/>
        </w:rPr>
        <w:tab/>
        <w:t/>
      </w:r>
      <w:r>
        <w:rPr>
          <w:rFonts w:hint="eastAsia"/>
          <w:sz w:val="24"/>
          <w:lang w:val="en-US" w:eastAsia="zh-CN"/>
        </w:rPr>
        <w:tab/>
        <w:t>7</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七、财政拨款“三公”经费支出决算情况说明</w:t>
      </w:r>
      <w:r>
        <w:rPr>
          <w:rFonts w:hint="eastAsia"/>
          <w:sz w:val="24"/>
          <w:lang w:val="en-US" w:eastAsia="zh-CN"/>
        </w:rPr>
        <w:tab/>
        <w:t/>
      </w:r>
      <w:r>
        <w:rPr>
          <w:rFonts w:hint="eastAsia"/>
          <w:sz w:val="24"/>
          <w:lang w:val="en-US" w:eastAsia="zh-CN"/>
        </w:rPr>
        <w:tab/>
        <w:t>7</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jc w:val="left"/>
        <w:textAlignment w:val="auto"/>
        <w:rPr>
          <w:rFonts w:hint="eastAsia" w:ascii="仿宋" w:hAnsi="仿宋" w:eastAsia="宋体" w:cstheme="minorBidi"/>
          <w:sz w:val="24"/>
          <w:lang w:val="en-US" w:eastAsia="zh-CN"/>
        </w:rPr>
      </w:pPr>
      <w:r>
        <w:rPr>
          <w:rFonts w:hint="eastAsia"/>
          <w:sz w:val="24"/>
        </w:rPr>
        <w:t>八、政府性基金预算支出决算情况说明</w:t>
      </w:r>
      <w:r>
        <w:rPr>
          <w:rFonts w:hint="eastAsia"/>
          <w:sz w:val="24"/>
          <w:lang w:val="en-US" w:eastAsia="zh-CN"/>
        </w:rPr>
        <w:tab/>
        <w:t/>
      </w:r>
      <w:r>
        <w:rPr>
          <w:rFonts w:hint="eastAsia"/>
          <w:sz w:val="24"/>
          <w:lang w:val="en-US" w:eastAsia="zh-CN"/>
        </w:rPr>
        <w:tab/>
        <w:t>9</w:t>
      </w:r>
    </w:p>
    <w:p>
      <w:pPr>
        <w:pStyle w:val="14"/>
        <w:keepNext w:val="0"/>
        <w:keepLines w:val="0"/>
        <w:pageBreakBefore w:val="0"/>
        <w:widowControl w:val="0"/>
        <w:tabs>
          <w:tab w:val="right" w:leader="dot" w:pos="7350"/>
        </w:tabs>
        <w:kinsoku/>
        <w:wordWrap/>
        <w:overflowPunct/>
        <w:topLinePunct w:val="0"/>
        <w:autoSpaceDE/>
        <w:autoSpaceDN/>
        <w:bidi w:val="0"/>
        <w:adjustRightInd w:val="0"/>
        <w:snapToGrid w:val="0"/>
        <w:spacing w:line="440" w:lineRule="exact"/>
        <w:ind w:leftChars="0"/>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九、国有资本经营预算支出决算情况说明</w:t>
      </w:r>
      <w:r>
        <w:rPr>
          <w:rFonts w:hint="eastAsia" w:asciiTheme="minorEastAsia" w:hAnsiTheme="minorEastAsia" w:eastAsiaTheme="minorEastAsia" w:cstheme="minorEastAsia"/>
          <w:sz w:val="24"/>
          <w:lang w:val="en-US" w:eastAsia="zh-CN"/>
        </w:rPr>
        <w:tab/>
        <w:t/>
      </w:r>
      <w:r>
        <w:rPr>
          <w:rFonts w:hint="eastAsia" w:asciiTheme="minorEastAsia" w:hAnsiTheme="minorEastAsia" w:eastAsiaTheme="minorEastAsia" w:cstheme="minorEastAsia"/>
          <w:sz w:val="24"/>
          <w:lang w:val="en-US" w:eastAsia="zh-CN"/>
        </w:rPr>
        <w:tab/>
        <w:t>9</w:t>
      </w:r>
    </w:p>
    <w:p>
      <w:pPr>
        <w:keepNext w:val="0"/>
        <w:keepLines w:val="0"/>
        <w:pageBreakBefore w:val="0"/>
        <w:widowControl w:val="0"/>
        <w:tabs>
          <w:tab w:val="right" w:leader="dot" w:pos="7350"/>
          <w:tab w:val="right" w:leader="dot" w:pos="8296"/>
        </w:tabs>
        <w:kinsoku/>
        <w:wordWrap/>
        <w:overflowPunct/>
        <w:topLinePunct w:val="0"/>
        <w:autoSpaceDE/>
        <w:autoSpaceDN/>
        <w:bidi w:val="0"/>
        <w:adjustRightInd w:val="0"/>
        <w:snapToGrid w:val="0"/>
        <w:spacing w:line="440" w:lineRule="exact"/>
        <w:ind w:firstLine="420" w:firstLineChars="175"/>
        <w:jc w:val="left"/>
        <w:textAlignment w:val="auto"/>
        <w:rPr>
          <w:rFonts w:hint="eastAsia" w:asciiTheme="minorEastAsia" w:hAnsiTheme="minorEastAsia" w:eastAsiaTheme="minorEastAsia" w:cstheme="minorEastAsia"/>
          <w:sz w:val="24"/>
          <w:lang w:val="en-US" w:eastAsia="zh-CN"/>
        </w:rPr>
      </w:pPr>
      <w:r>
        <w:rPr>
          <w:rStyle w:val="20"/>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r>
        <w:rPr>
          <w:rFonts w:hint="eastAsia" w:asciiTheme="minorEastAsia" w:hAnsiTheme="minorEastAsia" w:eastAsiaTheme="minorEastAsia" w:cstheme="minorEastAsia"/>
          <w:sz w:val="24"/>
          <w:lang w:val="en-US" w:eastAsia="zh-CN"/>
        </w:rPr>
        <w:tab/>
        <w:t>9</w:t>
      </w:r>
    </w:p>
    <w:p>
      <w:pPr>
        <w:pStyle w:val="13"/>
        <w:keepNext w:val="0"/>
        <w:keepLines w:val="0"/>
        <w:pageBreakBefore w:val="0"/>
        <w:widowControl w:val="0"/>
        <w:tabs>
          <w:tab w:val="right" w:leader="dot" w:pos="735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名词解释</w:t>
      </w:r>
      <w:r>
        <w:rPr>
          <w:rFonts w:hint="eastAsia"/>
          <w:sz w:val="24"/>
          <w:lang w:val="en-US" w:eastAsia="zh-CN"/>
        </w:rPr>
        <w:tab/>
        <w:t/>
      </w:r>
      <w:r>
        <w:rPr>
          <w:rFonts w:hint="eastAsia"/>
          <w:sz w:val="24"/>
          <w:lang w:val="en-US" w:eastAsia="zh-CN"/>
        </w:rPr>
        <w:tab/>
        <w:t>12</w:t>
      </w:r>
    </w:p>
    <w:p>
      <w:pPr>
        <w:pStyle w:val="13"/>
        <w:keepNext w:val="0"/>
        <w:keepLines w:val="0"/>
        <w:pageBreakBefore w:val="0"/>
        <w:widowControl w:val="0"/>
        <w:tabs>
          <w:tab w:val="right" w:leader="dot" w:pos="735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附件</w:t>
      </w:r>
      <w:r>
        <w:rPr>
          <w:rFonts w:hint="eastAsia"/>
          <w:sz w:val="24"/>
          <w:lang w:val="en-US" w:eastAsia="zh-CN"/>
        </w:rPr>
        <w:tab/>
        <w:t/>
      </w:r>
      <w:r>
        <w:rPr>
          <w:rFonts w:hint="eastAsia"/>
          <w:sz w:val="24"/>
          <w:lang w:val="en-US" w:eastAsia="zh-CN"/>
        </w:rPr>
        <w:tab/>
        <w:t>14</w:t>
      </w:r>
    </w:p>
    <w:p>
      <w:pPr>
        <w:pStyle w:val="13"/>
        <w:keepNext w:val="0"/>
        <w:keepLines w:val="0"/>
        <w:pageBreakBefore w:val="0"/>
        <w:widowControl w:val="0"/>
        <w:tabs>
          <w:tab w:val="right" w:leader="dot" w:pos="7350"/>
        </w:tabs>
        <w:kinsoku/>
        <w:wordWrap/>
        <w:overflowPunct/>
        <w:topLinePunct w:val="0"/>
        <w:autoSpaceDE/>
        <w:autoSpaceDN/>
        <w:bidi w:val="0"/>
        <w:adjustRightInd w:val="0"/>
        <w:snapToGrid w:val="0"/>
        <w:spacing w:before="0" w:line="440" w:lineRule="exact"/>
        <w:jc w:val="left"/>
        <w:textAlignment w:val="auto"/>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附表</w:t>
      </w:r>
      <w:r>
        <w:rPr>
          <w:rFonts w:hint="eastAsia"/>
          <w:sz w:val="24"/>
          <w:lang w:val="en-US" w:eastAsia="zh-CN"/>
        </w:rPr>
        <w:tab/>
        <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sz w:val="24"/>
          <w:lang w:val="en-US" w:eastAsia="zh-CN"/>
        </w:rPr>
        <w:tab/>
        <w:t>77</w:t>
      </w:r>
    </w:p>
    <w:p>
      <w:pPr>
        <w:pStyle w:val="14"/>
        <w:adjustRightInd w:val="0"/>
        <w:snapToGrid w:val="0"/>
        <w:spacing w:line="440" w:lineRule="exact"/>
        <w:jc w:val="left"/>
        <w:rPr>
          <w:rFonts w:hint="eastAsia"/>
          <w:sz w:val="24"/>
          <w:lang w:val="en-US" w:eastAsia="zh-CN"/>
        </w:rPr>
      </w:pPr>
      <w:r>
        <w:rPr>
          <w:rFonts w:hint="eastAsia"/>
          <w:sz w:val="24"/>
        </w:rPr>
        <w:t>三、支出决算表</w:t>
      </w:r>
      <w:r>
        <w:rPr>
          <w:rFonts w:hint="eastAsia"/>
          <w:sz w:val="24"/>
          <w:lang w:val="en-US" w:eastAsia="zh-CN"/>
        </w:rPr>
        <w:tab/>
        <w:t>77</w:t>
      </w:r>
      <w:r>
        <w:rPr>
          <w:rFonts w:hint="eastAsia"/>
          <w:sz w:val="24"/>
          <w:lang w:val="en-US" w:eastAsia="zh-CN"/>
        </w:rPr>
        <w:tab/>
      </w:r>
    </w:p>
    <w:p>
      <w:pPr>
        <w:pStyle w:val="14"/>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八、一般公共预算财政拨款基本支出决算明细表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十、政府性基金预算财政拨款收入支出决算表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十一、国有资本经营预算财政拨款收入支出决算表</w:t>
      </w:r>
      <w:r>
        <w:rPr>
          <w:rFonts w:hint="eastAsia"/>
          <w:sz w:val="24"/>
          <w:lang w:val="en-US" w:eastAsia="zh-CN"/>
        </w:rPr>
        <w:tab/>
        <w:t>77</w:t>
      </w:r>
    </w:p>
    <w:p>
      <w:pPr>
        <w:pStyle w:val="14"/>
        <w:adjustRightInd w:val="0"/>
        <w:snapToGrid w:val="0"/>
        <w:spacing w:line="440" w:lineRule="exact"/>
        <w:jc w:val="left"/>
        <w:rPr>
          <w:rFonts w:hint="default" w:eastAsia="宋体"/>
          <w:sz w:val="24"/>
          <w:lang w:val="en-US" w:eastAsia="zh-CN"/>
        </w:rPr>
      </w:pPr>
      <w:r>
        <w:rPr>
          <w:rFonts w:hint="eastAsia"/>
          <w:sz w:val="24"/>
        </w:rPr>
        <w:t>十二、国有资本经营预算财政拨款支出决算表</w:t>
      </w:r>
      <w:r>
        <w:rPr>
          <w:rFonts w:hint="eastAsia"/>
          <w:sz w:val="24"/>
          <w:lang w:val="en-US" w:eastAsia="zh-CN"/>
        </w:rPr>
        <w:tab/>
        <w:t>77</w:t>
      </w:r>
    </w:p>
    <w:p>
      <w:pPr>
        <w:pStyle w:val="14"/>
        <w:adjustRightInd w:val="0"/>
        <w:snapToGrid w:val="0"/>
        <w:spacing w:line="440" w:lineRule="exact"/>
        <w:jc w:val="left"/>
        <w:rPr>
          <w:rFonts w:hint="default" w:eastAsia="宋体" w:asciiTheme="minorEastAsia" w:hAnsiTheme="minorEastAsia" w:cstheme="minorEastAsia"/>
          <w:sz w:val="24"/>
          <w:lang w:val="en-US" w:eastAsia="zh-CN"/>
        </w:rPr>
      </w:pPr>
      <w:r>
        <w:rPr>
          <w:rFonts w:hint="eastAsia"/>
          <w:sz w:val="24"/>
        </w:rPr>
        <w:t>十三、财政拨款“三公”经费支出决算表</w:t>
      </w:r>
      <w:r>
        <w:rPr>
          <w:rFonts w:hint="eastAsia"/>
          <w:sz w:val="24"/>
          <w:lang w:val="en-US" w:eastAsia="zh-CN"/>
        </w:rPr>
        <w:tab/>
        <w:t>77</w:t>
      </w:r>
    </w:p>
    <w:p>
      <w:pPr>
        <w:widowControl/>
        <w:adjustRightInd w:val="0"/>
        <w:snapToGrid w:val="0"/>
        <w:spacing w:line="440" w:lineRule="exact"/>
        <w:ind w:firstLine="1320" w:firstLineChars="550"/>
        <w:jc w:val="left"/>
        <w:rPr>
          <w:rFonts w:ascii="仿宋" w:hAnsi="仿宋" w:eastAsia="仿宋"/>
          <w:sz w:val="24"/>
        </w:rPr>
      </w:pPr>
    </w:p>
    <w:p>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pPr>
        <w:pStyle w:val="4"/>
        <w:jc w:val="center"/>
        <w:rPr>
          <w:rStyle w:val="30"/>
          <w:rFonts w:ascii="黑体" w:hAnsi="黑体" w:eastAsia="黑体"/>
          <w:b/>
          <w:bCs w:val="0"/>
        </w:rPr>
      </w:pPr>
      <w:r>
        <w:rPr>
          <w:rFonts w:hint="eastAsia" w:ascii="黑体" w:hAnsi="黑体" w:eastAsia="黑体"/>
          <w:b w:val="0"/>
        </w:rPr>
        <w:t xml:space="preserve">第一部分 </w:t>
      </w:r>
      <w:r>
        <w:rPr>
          <w:rStyle w:val="30"/>
          <w:rFonts w:hint="eastAsia" w:ascii="黑体" w:hAnsi="黑体" w:eastAsia="黑体"/>
          <w:b w:val="0"/>
          <w:bCs w:val="0"/>
        </w:rPr>
        <w:t>部门概况</w:t>
      </w:r>
      <w:bookmarkEnd w:id="12"/>
      <w:bookmarkEnd w:id="13"/>
    </w:p>
    <w:p>
      <w:pPr>
        <w:widowControl/>
        <w:jc w:val="left"/>
        <w:rPr>
          <w:rFonts w:ascii="黑体" w:eastAsia="黑体"/>
          <w:sz w:val="32"/>
          <w:szCs w:val="32"/>
        </w:rPr>
      </w:pPr>
    </w:p>
    <w:p>
      <w:pPr>
        <w:pStyle w:val="5"/>
        <w:rPr>
          <w:rFonts w:hint="eastAsia" w:ascii="黑体" w:hAnsi="黑体" w:eastAsia="黑体"/>
          <w:b w:val="0"/>
        </w:rPr>
      </w:pPr>
      <w:bookmarkStart w:id="14" w:name="_Toc15377197"/>
      <w:bookmarkStart w:id="15" w:name="_Toc15396600"/>
      <w:r>
        <w:rPr>
          <w:rFonts w:hint="eastAsia" w:ascii="黑体" w:hAnsi="黑体" w:eastAsia="黑体"/>
          <w:b w:val="0"/>
        </w:rPr>
        <w:t>一、</w:t>
      </w:r>
      <w:bookmarkEnd w:id="14"/>
      <w:bookmarkEnd w:id="15"/>
      <w:r>
        <w:rPr>
          <w:rFonts w:hint="eastAsia" w:ascii="黑体" w:hAnsi="黑体" w:eastAsia="黑体"/>
          <w:b w:val="0"/>
        </w:rPr>
        <w:t>部门职责</w:t>
      </w:r>
      <w:bookmarkStart w:id="16" w:name="_Toc15377200"/>
      <w:bookmarkStart w:id="17" w:name="_Toc15396601"/>
    </w:p>
    <w:p>
      <w:pPr>
        <w:spacing w:line="59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主要职能。</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w:t>
      </w:r>
      <w:r>
        <w:rPr>
          <w:rFonts w:hint="eastAsia" w:ascii="仿宋_GB2312" w:hAnsi="仿宋" w:eastAsia="仿宋_GB2312"/>
          <w:sz w:val="32"/>
          <w:szCs w:val="32"/>
          <w:lang w:eastAsia="zh-CN"/>
        </w:rPr>
        <w:t>）</w:t>
      </w:r>
      <w:r>
        <w:rPr>
          <w:rFonts w:hint="eastAsia" w:ascii="仿宋" w:hAnsi="仿宋" w:eastAsia="仿宋" w:cs="仿宋"/>
          <w:sz w:val="32"/>
          <w:szCs w:val="32"/>
        </w:rPr>
        <w:t>贯彻执行政务服务和公共资源交易管理相关法律、法规和政策，拟定或制定县级政务服务和公共资源交易管理规章制度、工作流程等并组织实施。</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w:t>
      </w:r>
      <w:r>
        <w:rPr>
          <w:rFonts w:hint="eastAsia" w:ascii="仿宋_GB2312" w:hAnsi="仿宋" w:eastAsia="仿宋_GB2312"/>
          <w:sz w:val="32"/>
          <w:szCs w:val="32"/>
          <w:lang w:eastAsia="zh-CN"/>
        </w:rPr>
        <w:t>）</w:t>
      </w:r>
      <w:r>
        <w:rPr>
          <w:rFonts w:hint="eastAsia" w:ascii="仿宋" w:hAnsi="仿宋" w:eastAsia="仿宋" w:cs="仿宋"/>
          <w:sz w:val="32"/>
          <w:szCs w:val="32"/>
        </w:rPr>
        <w:t>为县级政务服务和公共资源交易活动提供场所、设施、信息及现场服务管理；负责县政务服务资源交易中心信息技术及数据平台建设和管理工作；协助相关部门开展中介机构库建设和管理工作。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3</w:t>
      </w:r>
      <w:r>
        <w:rPr>
          <w:rFonts w:hint="eastAsia" w:ascii="仿宋_GB2312" w:hAnsi="仿宋" w:eastAsia="仿宋_GB2312"/>
          <w:sz w:val="32"/>
          <w:szCs w:val="32"/>
          <w:lang w:eastAsia="zh-CN"/>
        </w:rPr>
        <w:t>）</w:t>
      </w:r>
      <w:r>
        <w:rPr>
          <w:rFonts w:hint="eastAsia" w:ascii="仿宋" w:hAnsi="仿宋" w:eastAsia="仿宋" w:cs="仿宋"/>
          <w:sz w:val="32"/>
          <w:szCs w:val="32"/>
        </w:rPr>
        <w:t>对派驻政务服务大厅的单位窗口及工作人员进行监督管理；对公共资源交易项目进场交易机构及工作人员进行监督管理。</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4</w:t>
      </w:r>
      <w:r>
        <w:rPr>
          <w:rFonts w:hint="eastAsia" w:ascii="仿宋_GB2312" w:hAnsi="仿宋" w:eastAsia="仿宋_GB2312"/>
          <w:sz w:val="32"/>
          <w:szCs w:val="32"/>
          <w:lang w:eastAsia="zh-CN"/>
        </w:rPr>
        <w:t>）</w:t>
      </w:r>
      <w:r>
        <w:rPr>
          <w:rFonts w:hint="eastAsia" w:ascii="仿宋" w:hAnsi="仿宋" w:eastAsia="仿宋" w:cs="仿宋"/>
          <w:sz w:val="32"/>
          <w:szCs w:val="32"/>
        </w:rPr>
        <w:t>参与研究入驻县政务服务和公共资源交易大厅的部门（单位）及审批服务事项的调整工作。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5</w:t>
      </w:r>
      <w:r>
        <w:rPr>
          <w:rFonts w:hint="eastAsia" w:ascii="仿宋_GB2312" w:hAnsi="仿宋" w:eastAsia="仿宋_GB2312"/>
          <w:sz w:val="32"/>
          <w:szCs w:val="32"/>
          <w:lang w:eastAsia="zh-CN"/>
        </w:rPr>
        <w:t>）</w:t>
      </w:r>
      <w:r>
        <w:rPr>
          <w:rFonts w:hint="eastAsia" w:ascii="仿宋" w:hAnsi="仿宋" w:eastAsia="仿宋" w:cs="仿宋"/>
          <w:sz w:val="32"/>
          <w:szCs w:val="32"/>
        </w:rPr>
        <w:t>审查进场交易的公共资源项目相关手续，审核各参与方的主体资格；负责国家投资工程建设项目的招投标、政府集中采购和国有土地、矿业权等出让的招拍挂、国有资产或特许经营权等转让的现场管理和服务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6</w:t>
      </w:r>
      <w:r>
        <w:rPr>
          <w:rFonts w:hint="eastAsia" w:ascii="仿宋_GB2312" w:hAnsi="仿宋" w:eastAsia="仿宋_GB2312"/>
          <w:sz w:val="32"/>
          <w:szCs w:val="32"/>
          <w:lang w:eastAsia="zh-CN"/>
        </w:rPr>
        <w:t>）</w:t>
      </w:r>
      <w:r>
        <w:rPr>
          <w:rFonts w:hint="eastAsia" w:ascii="仿宋" w:hAnsi="仿宋" w:eastAsia="仿宋" w:cs="仿宋"/>
          <w:sz w:val="32"/>
          <w:szCs w:val="32"/>
        </w:rPr>
        <w:t>负责县本级政府集中采购相关工作，接受县级各政府采购单位委托，代理执行政府采购工作。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7</w:t>
      </w:r>
      <w:r>
        <w:rPr>
          <w:rFonts w:hint="eastAsia" w:ascii="仿宋_GB2312" w:hAnsi="仿宋" w:eastAsia="仿宋_GB2312"/>
          <w:sz w:val="32"/>
          <w:szCs w:val="32"/>
          <w:lang w:eastAsia="zh-CN"/>
        </w:rPr>
        <w:t>）</w:t>
      </w:r>
      <w:r>
        <w:rPr>
          <w:rFonts w:hint="eastAsia" w:ascii="仿宋" w:hAnsi="仿宋" w:eastAsia="仿宋" w:cs="仿宋"/>
          <w:sz w:val="32"/>
          <w:szCs w:val="32"/>
        </w:rPr>
        <w:t>建立公共资源交易从业者现场行为公开制度，开展信用信息记录、评价和发布工作。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8</w:t>
      </w:r>
      <w:r>
        <w:rPr>
          <w:rFonts w:hint="eastAsia" w:ascii="仿宋_GB2312" w:hAnsi="仿宋" w:eastAsia="仿宋_GB2312"/>
          <w:sz w:val="32"/>
          <w:szCs w:val="32"/>
          <w:lang w:eastAsia="zh-CN"/>
        </w:rPr>
        <w:t>）</w:t>
      </w:r>
      <w:r>
        <w:rPr>
          <w:rFonts w:hint="eastAsia" w:ascii="仿宋" w:hAnsi="仿宋" w:eastAsia="仿宋" w:cs="仿宋"/>
          <w:sz w:val="32"/>
          <w:szCs w:val="32"/>
        </w:rPr>
        <w:t>负责公共资源交易涉及的保证金收退等财务管理工作。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9</w:t>
      </w:r>
      <w:r>
        <w:rPr>
          <w:rFonts w:hint="eastAsia" w:ascii="仿宋_GB2312" w:hAnsi="仿宋" w:eastAsia="仿宋_GB2312"/>
          <w:sz w:val="32"/>
          <w:szCs w:val="32"/>
          <w:lang w:eastAsia="zh-CN"/>
        </w:rPr>
        <w:t>）</w:t>
      </w:r>
      <w:r>
        <w:rPr>
          <w:rFonts w:hint="eastAsia" w:ascii="仿宋" w:hAnsi="仿宋" w:eastAsia="仿宋" w:cs="仿宋"/>
          <w:sz w:val="32"/>
          <w:szCs w:val="32"/>
        </w:rPr>
        <w:t>承担12345政务服务热线工作，负责制定政务服务热线管理制度，负责政务服务热线转办、催办、回访、审结、归档等工作。</w:t>
      </w:r>
    </w:p>
    <w:p>
      <w:pPr>
        <w:spacing w:line="590" w:lineRule="exact"/>
        <w:ind w:firstLine="640" w:firstLineChars="200"/>
        <w:rPr>
          <w:rFonts w:hint="eastAsia" w:ascii="仿宋" w:hAnsi="仿宋" w:eastAsia="仿宋" w:cs="仿宋"/>
          <w:sz w:val="32"/>
          <w:szCs w:val="32"/>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10</w:t>
      </w:r>
      <w:r>
        <w:rPr>
          <w:rFonts w:hint="eastAsia" w:ascii="仿宋_GB2312" w:hAnsi="仿宋" w:eastAsia="仿宋_GB2312"/>
          <w:sz w:val="32"/>
          <w:szCs w:val="32"/>
          <w:lang w:eastAsia="zh-CN"/>
        </w:rPr>
        <w:t>）</w:t>
      </w:r>
      <w:r>
        <w:rPr>
          <w:rFonts w:hint="eastAsia" w:ascii="仿宋" w:hAnsi="仿宋" w:eastAsia="仿宋" w:cs="仿宋"/>
          <w:sz w:val="32"/>
          <w:szCs w:val="32"/>
        </w:rPr>
        <w:t>指导乡镇（街道）便民服务大厅标准化建设和规范化运行工作，参与相关业务的调研和培训工作。</w:t>
      </w:r>
    </w:p>
    <w:p>
      <w:pPr>
        <w:spacing w:line="590" w:lineRule="exact"/>
        <w:ind w:firstLine="640" w:firstLineChars="200"/>
        <w:rPr>
          <w:rFonts w:hint="eastAsia"/>
        </w:rPr>
      </w:pP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11</w:t>
      </w:r>
      <w:r>
        <w:rPr>
          <w:rFonts w:hint="eastAsia" w:ascii="仿宋_GB2312" w:hAnsi="仿宋" w:eastAsia="仿宋_GB2312"/>
          <w:sz w:val="32"/>
          <w:szCs w:val="32"/>
          <w:lang w:eastAsia="zh-CN"/>
        </w:rPr>
        <w:t>）</w:t>
      </w:r>
      <w:r>
        <w:rPr>
          <w:rFonts w:hint="eastAsia" w:ascii="仿宋" w:hAnsi="仿宋" w:eastAsia="仿宋" w:cs="仿宋"/>
          <w:sz w:val="32"/>
          <w:szCs w:val="32"/>
        </w:rPr>
        <w:t>完成主管部门交办的其他工作。</w:t>
      </w:r>
    </w:p>
    <w:p>
      <w:pPr>
        <w:pStyle w:val="5"/>
        <w:rPr>
          <w:rStyle w:val="31"/>
          <w:b w:val="0"/>
          <w:bCs w:val="0"/>
        </w:rPr>
      </w:pPr>
      <w:r>
        <w:rPr>
          <w:rFonts w:hint="eastAsia" w:ascii="黑体" w:eastAsia="黑体"/>
          <w:b w:val="0"/>
        </w:rPr>
        <w:t>二、</w:t>
      </w:r>
      <w:r>
        <w:rPr>
          <w:rFonts w:hint="eastAsia" w:ascii="黑体" w:hAnsi="黑体" w:eastAsia="黑体"/>
          <w:b w:val="0"/>
        </w:rPr>
        <w:t>机</w:t>
      </w:r>
      <w:r>
        <w:rPr>
          <w:rStyle w:val="31"/>
          <w:rFonts w:hint="eastAsia" w:ascii="黑体" w:hAnsi="黑体" w:eastAsia="黑体"/>
          <w:b w:val="0"/>
          <w:bCs w:val="0"/>
        </w:rPr>
        <w:t>构设置</w:t>
      </w:r>
      <w:bookmarkEnd w:id="16"/>
      <w:bookmarkEnd w:id="17"/>
    </w:p>
    <w:p>
      <w:pPr>
        <w:snapToGrid w:val="0"/>
        <w:spacing w:line="52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按照《关于乐至县公共资源交易服务中心更名等事项的通知》（乐委编发</w:t>
      </w:r>
      <w:r>
        <w:rPr>
          <w:rFonts w:hint="eastAsia" w:ascii="仿宋_GB2312" w:hAnsi="仿宋" w:eastAsia="仿宋_GB2312"/>
          <w:sz w:val="32"/>
          <w:szCs w:val="32"/>
          <w:lang w:val="en-US" w:eastAsia="zh-CN"/>
        </w:rPr>
        <w:t>〔</w:t>
      </w:r>
      <w:r>
        <w:rPr>
          <w:rFonts w:hint="eastAsia" w:ascii="仿宋_GB2312" w:hAnsi="仿宋" w:eastAsia="仿宋_GB2312"/>
          <w:sz w:val="32"/>
          <w:szCs w:val="32"/>
        </w:rPr>
        <w:t>20</w:t>
      </w:r>
      <w:r>
        <w:rPr>
          <w:rFonts w:hint="eastAsia" w:ascii="仿宋_GB2312" w:hAnsi="仿宋" w:eastAsia="仿宋_GB2312"/>
          <w:sz w:val="32"/>
          <w:szCs w:val="32"/>
          <w:lang w:val="en-US" w:eastAsia="zh-CN"/>
        </w:rPr>
        <w:t>20〕15</w:t>
      </w:r>
      <w:r>
        <w:rPr>
          <w:rFonts w:hint="eastAsia" w:ascii="仿宋_GB2312" w:hAnsi="仿宋" w:eastAsia="仿宋_GB2312"/>
          <w:sz w:val="32"/>
          <w:szCs w:val="32"/>
        </w:rPr>
        <w:t>号）文件规定，我中心设置办公室</w:t>
      </w:r>
      <w:r>
        <w:rPr>
          <w:rFonts w:hint="eastAsia" w:ascii="仿宋_GB2312" w:hAnsi="仿宋" w:eastAsia="仿宋_GB2312"/>
          <w:sz w:val="32"/>
          <w:szCs w:val="32"/>
          <w:lang w:val="en-US" w:eastAsia="zh-CN"/>
        </w:rPr>
        <w:t>、</w:t>
      </w:r>
      <w:r>
        <w:rPr>
          <w:rFonts w:hint="eastAsia" w:ascii="仿宋_GB2312" w:hAnsi="仿宋" w:eastAsia="仿宋_GB2312" w:cs="Times New Roman"/>
          <w:sz w:val="32"/>
          <w:szCs w:val="32"/>
        </w:rPr>
        <w:t>监督服务股、交易受理股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工程交易股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政府采购股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国资交易股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政务热线股</w:t>
      </w:r>
      <w:r>
        <w:rPr>
          <w:rFonts w:hint="eastAsia" w:ascii="仿宋_GB2312" w:hAnsi="仿宋" w:eastAsia="仿宋_GB2312" w:cs="Times New Roman"/>
          <w:sz w:val="32"/>
          <w:szCs w:val="32"/>
          <w:lang w:val="en-US" w:eastAsia="zh-CN"/>
        </w:rPr>
        <w:t>、</w:t>
      </w:r>
      <w:r>
        <w:rPr>
          <w:rFonts w:hint="eastAsia" w:ascii="仿宋_GB2312" w:hAnsi="仿宋" w:eastAsia="仿宋_GB2312" w:cs="Times New Roman"/>
          <w:sz w:val="32"/>
          <w:szCs w:val="32"/>
        </w:rPr>
        <w:t>网络信息股</w:t>
      </w:r>
      <w:r>
        <w:rPr>
          <w:rFonts w:hint="eastAsia" w:ascii="仿宋_GB2312" w:hAnsi="仿宋" w:eastAsia="仿宋_GB2312" w:cs="Times New Roman"/>
          <w:sz w:val="32"/>
          <w:szCs w:val="32"/>
          <w:lang w:val="en-US" w:eastAsia="zh-CN"/>
        </w:rPr>
        <w:t>8</w:t>
      </w:r>
      <w:r>
        <w:rPr>
          <w:rFonts w:hint="eastAsia" w:ascii="仿宋_GB2312" w:hAnsi="仿宋" w:eastAsia="仿宋_GB2312"/>
          <w:sz w:val="32"/>
          <w:szCs w:val="32"/>
        </w:rPr>
        <w:t>个内设机构。</w:t>
      </w:r>
    </w:p>
    <w:p>
      <w:pPr>
        <w:pStyle w:val="4"/>
        <w:ind w:right="440"/>
        <w:jc w:val="center"/>
        <w:rPr>
          <w:rStyle w:val="30"/>
          <w:rFonts w:ascii="黑体" w:hAnsi="黑体" w:eastAsia="黑体"/>
          <w:b w:val="0"/>
          <w:bCs/>
        </w:rPr>
      </w:pPr>
      <w:bookmarkStart w:id="18" w:name="_Toc15396602"/>
      <w:bookmarkStart w:id="19" w:name="_Toc15377204"/>
      <w:r>
        <w:rPr>
          <w:rFonts w:hint="eastAsia" w:ascii="黑体" w:hAnsi="黑体" w:eastAsia="黑体"/>
          <w:b w:val="0"/>
        </w:rPr>
        <w:t>第二部分 2022年度</w:t>
      </w:r>
      <w:r>
        <w:rPr>
          <w:rStyle w:val="30"/>
          <w:rFonts w:hint="eastAsia" w:ascii="黑体" w:hAnsi="黑体" w:eastAsia="黑体"/>
          <w:b w:val="0"/>
          <w:bCs/>
        </w:rPr>
        <w:t>部门决算情况说明</w:t>
      </w:r>
      <w:bookmarkEnd w:id="18"/>
      <w:bookmarkEnd w:id="19"/>
    </w:p>
    <w:p/>
    <w:p>
      <w:pPr>
        <w:pStyle w:val="29"/>
        <w:numPr>
          <w:ilvl w:val="0"/>
          <w:numId w:val="1"/>
        </w:numPr>
        <w:spacing w:line="600" w:lineRule="exact"/>
        <w:ind w:firstLineChars="0"/>
        <w:outlineLvl w:val="1"/>
        <w:rPr>
          <w:rStyle w:val="31"/>
          <w:rFonts w:ascii="黑体" w:hAnsi="黑体" w:eastAsia="黑体"/>
          <w:b w:val="0"/>
        </w:rPr>
      </w:pPr>
      <w:bookmarkStart w:id="20" w:name="_Toc15377205"/>
      <w:bookmarkStart w:id="21" w:name="_Toc15396603"/>
      <w:r>
        <w:rPr>
          <w:rFonts w:hint="eastAsia" w:ascii="黑体" w:hAnsi="黑体" w:eastAsia="黑体"/>
          <w:sz w:val="32"/>
          <w:szCs w:val="32"/>
        </w:rPr>
        <w:t>收</w:t>
      </w:r>
      <w:r>
        <w:rPr>
          <w:rStyle w:val="31"/>
          <w:rFonts w:hint="eastAsia" w:ascii="黑体" w:hAnsi="黑体" w:eastAsia="黑体"/>
          <w:b w:val="0"/>
        </w:rPr>
        <w:t>入支出决算总体情况说明</w:t>
      </w:r>
      <w:bookmarkEnd w:id="20"/>
      <w:bookmarkEnd w:id="21"/>
    </w:p>
    <w:p>
      <w:pPr>
        <w:spacing w:line="600" w:lineRule="exact"/>
        <w:ind w:firstLine="640" w:firstLineChars="200"/>
        <w:rPr>
          <w:rFonts w:ascii="仿宋" w:hAnsi="仿宋" w:eastAsia="仿宋"/>
          <w:sz w:val="32"/>
          <w:szCs w:val="32"/>
        </w:rPr>
      </w:pPr>
      <w:r>
        <w:rPr>
          <w:rFonts w:hint="eastAsia" w:ascii="仿宋" w:hAnsi="仿宋" w:eastAsia="仿宋"/>
          <w:sz w:val="32"/>
          <w:szCs w:val="32"/>
        </w:rPr>
        <w:t>2022年度收</w:t>
      </w:r>
      <w:r>
        <w:rPr>
          <w:rFonts w:hint="eastAsia" w:ascii="仿宋" w:hAnsi="仿宋" w:eastAsia="仿宋"/>
          <w:sz w:val="32"/>
          <w:szCs w:val="32"/>
          <w:lang w:val="en-US" w:eastAsia="zh-CN"/>
        </w:rPr>
        <w:t>入</w:t>
      </w:r>
      <w:r>
        <w:rPr>
          <w:rFonts w:hint="eastAsia" w:ascii="仿宋" w:hAnsi="仿宋" w:eastAsia="仿宋"/>
          <w:sz w:val="32"/>
          <w:szCs w:val="32"/>
        </w:rPr>
        <w:t>总计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万元。与2021年相比，收</w:t>
      </w:r>
      <w:r>
        <w:rPr>
          <w:rFonts w:hint="eastAsia" w:ascii="仿宋" w:hAnsi="仿宋" w:eastAsia="仿宋"/>
          <w:sz w:val="32"/>
          <w:szCs w:val="32"/>
          <w:lang w:val="en-US" w:eastAsia="zh-CN"/>
        </w:rPr>
        <w:t>入</w:t>
      </w:r>
      <w:r>
        <w:rPr>
          <w:rFonts w:hint="eastAsia" w:ascii="仿宋" w:hAnsi="仿宋" w:eastAsia="仿宋"/>
          <w:sz w:val="32"/>
          <w:szCs w:val="32"/>
        </w:rPr>
        <w:t>总计各增加</w:t>
      </w:r>
      <w:r>
        <w:rPr>
          <w:rFonts w:hint="eastAsia" w:ascii="仿宋" w:hAnsi="仿宋" w:eastAsia="仿宋"/>
          <w:sz w:val="32"/>
          <w:szCs w:val="32"/>
          <w:lang w:val="en-US" w:eastAsia="zh-CN"/>
        </w:rPr>
        <w:t>141.5</w:t>
      </w:r>
      <w:r>
        <w:rPr>
          <w:rFonts w:hint="eastAsia" w:ascii="仿宋" w:hAnsi="仿宋" w:eastAsia="仿宋"/>
          <w:sz w:val="32"/>
          <w:szCs w:val="32"/>
        </w:rPr>
        <w:t>万元，增长</w:t>
      </w:r>
      <w:r>
        <w:rPr>
          <w:rFonts w:hint="eastAsia" w:ascii="仿宋" w:hAnsi="仿宋" w:eastAsia="仿宋"/>
          <w:sz w:val="32"/>
          <w:szCs w:val="32"/>
          <w:lang w:val="en-US" w:eastAsia="zh-CN"/>
        </w:rPr>
        <w:t>38.90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w:t>
      </w:r>
      <w:r>
        <w:rPr>
          <w:rFonts w:hint="eastAsia" w:ascii="仿宋" w:hAnsi="仿宋" w:eastAsia="仿宋"/>
          <w:sz w:val="32"/>
          <w:szCs w:val="32"/>
        </w:rPr>
        <w:t>新增项目</w:t>
      </w:r>
      <w:r>
        <w:rPr>
          <w:rFonts w:hint="eastAsia" w:ascii="仿宋" w:hAnsi="仿宋" w:eastAsia="仿宋"/>
          <w:sz w:val="32"/>
          <w:szCs w:val="32"/>
          <w:lang w:eastAsia="zh-CN"/>
        </w:rPr>
        <w:t>：</w:t>
      </w:r>
      <w:r>
        <w:rPr>
          <w:rFonts w:hint="eastAsia" w:ascii="仿宋" w:hAnsi="仿宋" w:eastAsia="仿宋"/>
          <w:sz w:val="32"/>
          <w:szCs w:val="32"/>
        </w:rPr>
        <w:t>电子交易平台建设、工程异地远程评标建设项目、公共资源交易标准化规范化建设项目。</w:t>
      </w:r>
    </w:p>
    <w:p>
      <w:pPr>
        <w:spacing w:line="600" w:lineRule="exact"/>
        <w:ind w:firstLine="640" w:firstLineChars="200"/>
        <w:rPr>
          <w:rFonts w:ascii="仿宋_GB2312" w:eastAsia="仿宋_GB2312"/>
          <w:sz w:val="32"/>
          <w:szCs w:val="32"/>
        </w:rPr>
      </w:pPr>
      <w:r>
        <w:rPr>
          <w:rFonts w:hint="eastAsia" w:ascii="仿宋" w:hAnsi="仿宋" w:eastAsia="仿宋"/>
          <w:sz w:val="32"/>
          <w:szCs w:val="32"/>
        </w:rPr>
        <w:t>2022年度支</w:t>
      </w:r>
      <w:r>
        <w:rPr>
          <w:rFonts w:hint="eastAsia" w:ascii="仿宋" w:hAnsi="仿宋" w:eastAsia="仿宋"/>
          <w:sz w:val="32"/>
          <w:szCs w:val="32"/>
          <w:lang w:val="en-US" w:eastAsia="zh-CN"/>
        </w:rPr>
        <w:t>出</w:t>
      </w:r>
      <w:r>
        <w:rPr>
          <w:rFonts w:hint="eastAsia" w:ascii="仿宋" w:hAnsi="仿宋" w:eastAsia="仿宋"/>
          <w:sz w:val="32"/>
          <w:szCs w:val="32"/>
        </w:rPr>
        <w:t>总计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万元。与2021年相比，支</w:t>
      </w:r>
      <w:r>
        <w:rPr>
          <w:rFonts w:hint="eastAsia" w:ascii="仿宋" w:hAnsi="仿宋" w:eastAsia="仿宋"/>
          <w:sz w:val="32"/>
          <w:szCs w:val="32"/>
          <w:lang w:val="en-US" w:eastAsia="zh-CN"/>
        </w:rPr>
        <w:t>出</w:t>
      </w:r>
      <w:r>
        <w:rPr>
          <w:rFonts w:hint="eastAsia" w:ascii="仿宋" w:hAnsi="仿宋" w:eastAsia="仿宋"/>
          <w:sz w:val="32"/>
          <w:szCs w:val="32"/>
        </w:rPr>
        <w:t>总计各增加</w:t>
      </w:r>
      <w:r>
        <w:rPr>
          <w:rFonts w:hint="eastAsia" w:ascii="仿宋" w:hAnsi="仿宋" w:eastAsia="仿宋"/>
          <w:sz w:val="32"/>
          <w:szCs w:val="32"/>
          <w:lang w:val="en-US" w:eastAsia="zh-CN"/>
        </w:rPr>
        <w:t>141.5</w:t>
      </w:r>
      <w:r>
        <w:rPr>
          <w:rFonts w:hint="eastAsia" w:ascii="仿宋" w:hAnsi="仿宋" w:eastAsia="仿宋"/>
          <w:sz w:val="32"/>
          <w:szCs w:val="32"/>
        </w:rPr>
        <w:t>万元，增长</w:t>
      </w:r>
      <w:r>
        <w:rPr>
          <w:rFonts w:hint="eastAsia" w:ascii="仿宋" w:hAnsi="仿宋" w:eastAsia="仿宋"/>
          <w:sz w:val="32"/>
          <w:szCs w:val="32"/>
          <w:lang w:val="en-US" w:eastAsia="zh-CN"/>
        </w:rPr>
        <w:t>38.90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w:t>
      </w:r>
      <w:r>
        <w:rPr>
          <w:rFonts w:hint="eastAsia" w:ascii="仿宋" w:hAnsi="仿宋" w:eastAsia="仿宋"/>
          <w:sz w:val="32"/>
          <w:szCs w:val="32"/>
        </w:rPr>
        <w:t>新增项目</w:t>
      </w:r>
      <w:r>
        <w:rPr>
          <w:rFonts w:hint="eastAsia" w:ascii="仿宋" w:hAnsi="仿宋" w:eastAsia="仿宋"/>
          <w:sz w:val="32"/>
          <w:szCs w:val="32"/>
          <w:lang w:eastAsia="zh-CN"/>
        </w:rPr>
        <w:t>：</w:t>
      </w:r>
      <w:r>
        <w:rPr>
          <w:rFonts w:hint="eastAsia" w:ascii="仿宋" w:hAnsi="仿宋" w:eastAsia="仿宋"/>
          <w:sz w:val="32"/>
          <w:szCs w:val="32"/>
        </w:rPr>
        <w:t>电子交易平台建设、工程异地远程评标建设项目、公共资源交易标准化规范化建设项目。</w:t>
      </w:r>
    </w:p>
    <w:p>
      <w:pPr>
        <w:pStyle w:val="29"/>
        <w:numPr>
          <w:ilvl w:val="0"/>
          <w:numId w:val="1"/>
        </w:numPr>
        <w:spacing w:line="600" w:lineRule="exact"/>
        <w:ind w:firstLineChars="0"/>
        <w:outlineLvl w:val="1"/>
        <w:rPr>
          <w:rStyle w:val="31"/>
          <w:rFonts w:ascii="黑体" w:hAnsi="黑体" w:eastAsia="黑体"/>
          <w:b w:val="0"/>
        </w:rPr>
      </w:pPr>
      <w:bookmarkStart w:id="22" w:name="_Toc15377206"/>
      <w:bookmarkStart w:id="23" w:name="_Toc15396604"/>
      <w:r>
        <w:rPr>
          <w:rFonts w:hint="eastAsia" w:ascii="黑体" w:hAnsi="黑体" w:eastAsia="黑体"/>
          <w:sz w:val="32"/>
          <w:szCs w:val="32"/>
        </w:rPr>
        <w:t>收</w:t>
      </w:r>
      <w:r>
        <w:rPr>
          <w:rStyle w:val="31"/>
          <w:rFonts w:hint="eastAsia" w:ascii="黑体" w:hAnsi="黑体" w:eastAsia="黑体"/>
          <w:b w:val="0"/>
        </w:rPr>
        <w:t>入决算情况说明</w:t>
      </w:r>
      <w:bookmarkEnd w:id="22"/>
      <w:bookmarkEnd w:id="23"/>
    </w:p>
    <w:p>
      <w:pPr>
        <w:spacing w:line="600" w:lineRule="exact"/>
        <w:ind w:firstLine="640" w:firstLineChars="200"/>
        <w:outlineLvl w:val="1"/>
        <w:rPr>
          <w:rFonts w:ascii="仿宋_GB2312" w:eastAsia="仿宋_GB2312"/>
          <w:sz w:val="32"/>
          <w:szCs w:val="32"/>
        </w:rPr>
      </w:pPr>
      <w:r>
        <w:rPr>
          <w:rFonts w:ascii="仿宋" w:hAnsi="仿宋" w:eastAsia="仿宋"/>
          <w:sz w:val="32"/>
          <w:szCs w:val="32"/>
        </w:rPr>
        <w:t>20</w:t>
      </w:r>
      <w:r>
        <w:rPr>
          <w:rFonts w:hint="eastAsia" w:ascii="仿宋" w:hAnsi="仿宋" w:eastAsia="仿宋"/>
          <w:sz w:val="32"/>
          <w:szCs w:val="32"/>
        </w:rPr>
        <w:t>22年本年收入合计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万元，其中：一般公共预算财政拨款收入</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pStyle w:val="29"/>
        <w:numPr>
          <w:ilvl w:val="0"/>
          <w:numId w:val="1"/>
        </w:numPr>
        <w:spacing w:line="600" w:lineRule="exact"/>
        <w:ind w:firstLineChars="0"/>
        <w:outlineLvl w:val="1"/>
        <w:rPr>
          <w:rStyle w:val="31"/>
          <w:rFonts w:ascii="黑体" w:hAnsi="黑体" w:eastAsia="黑体"/>
          <w:b w:val="0"/>
        </w:rPr>
      </w:pPr>
      <w:bookmarkStart w:id="24" w:name="_Toc15396605"/>
      <w:bookmarkStart w:id="25" w:name="_Toc15377207"/>
      <w:r>
        <w:rPr>
          <w:rFonts w:hint="eastAsia" w:ascii="黑体" w:hAnsi="黑体" w:eastAsia="黑体"/>
          <w:sz w:val="32"/>
          <w:szCs w:val="32"/>
        </w:rPr>
        <w:t>支</w:t>
      </w:r>
      <w:r>
        <w:rPr>
          <w:rStyle w:val="31"/>
          <w:rFonts w:hint="eastAsia" w:ascii="黑体" w:hAnsi="黑体" w:eastAsia="黑体"/>
          <w:b w:val="0"/>
        </w:rPr>
        <w:t>出决算情况说明</w:t>
      </w:r>
      <w:bookmarkEnd w:id="24"/>
      <w:bookmarkEnd w:id="25"/>
    </w:p>
    <w:p>
      <w:pPr>
        <w:spacing w:line="600" w:lineRule="exact"/>
        <w:ind w:firstLine="640" w:firstLineChars="200"/>
        <w:outlineLvl w:val="1"/>
        <w:rPr>
          <w:rFonts w:ascii="仿宋_GB2312" w:eastAsia="仿宋_GB2312"/>
          <w:sz w:val="32"/>
          <w:szCs w:val="32"/>
        </w:rPr>
      </w:pPr>
      <w:r>
        <w:rPr>
          <w:rFonts w:ascii="仿宋" w:hAnsi="仿宋" w:eastAsia="仿宋"/>
          <w:sz w:val="32"/>
          <w:szCs w:val="32"/>
        </w:rPr>
        <w:t>20</w:t>
      </w:r>
      <w:r>
        <w:rPr>
          <w:rFonts w:hint="eastAsia" w:ascii="仿宋" w:hAnsi="仿宋" w:eastAsia="仿宋"/>
          <w:sz w:val="32"/>
          <w:szCs w:val="32"/>
        </w:rPr>
        <w:t>22年本年支出合计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万元，其中：基本支出</w:t>
      </w:r>
      <w:r>
        <w:rPr>
          <w:rFonts w:hint="eastAsia" w:ascii="方正仿宋简体" w:hAnsi="方正仿宋简体" w:eastAsia="方正仿宋简体" w:cs="方正仿宋简体"/>
          <w:color w:val="auto"/>
          <w:sz w:val="32"/>
          <w:szCs w:val="32"/>
          <w:lang w:val="en-US" w:eastAsia="zh-CN"/>
        </w:rPr>
        <w:t>283.07</w:t>
      </w:r>
      <w:r>
        <w:rPr>
          <w:rFonts w:hint="eastAsia" w:ascii="仿宋" w:hAnsi="仿宋" w:eastAsia="仿宋"/>
          <w:sz w:val="32"/>
          <w:szCs w:val="32"/>
        </w:rPr>
        <w:t>万元，占</w:t>
      </w:r>
      <w:r>
        <w:rPr>
          <w:rFonts w:hint="eastAsia" w:ascii="方正仿宋简体" w:hAnsi="方正仿宋简体" w:eastAsia="方正仿宋简体" w:cs="方正仿宋简体"/>
          <w:color w:val="auto"/>
          <w:sz w:val="32"/>
          <w:szCs w:val="32"/>
          <w:lang w:val="en-US" w:eastAsia="zh-CN"/>
        </w:rPr>
        <w:t>56.02</w:t>
      </w:r>
      <w:r>
        <w:rPr>
          <w:rFonts w:ascii="仿宋" w:hAnsi="仿宋" w:eastAsia="仿宋"/>
          <w:sz w:val="32"/>
          <w:szCs w:val="32"/>
        </w:rPr>
        <w:t>%</w:t>
      </w:r>
      <w:r>
        <w:rPr>
          <w:rFonts w:hint="eastAsia" w:ascii="仿宋" w:hAnsi="仿宋" w:eastAsia="仿宋"/>
          <w:sz w:val="32"/>
          <w:szCs w:val="32"/>
        </w:rPr>
        <w:t>；项目支出</w:t>
      </w:r>
      <w:r>
        <w:rPr>
          <w:rFonts w:hint="eastAsia" w:ascii="方正仿宋简体" w:hAnsi="方正仿宋简体" w:eastAsia="方正仿宋简体" w:cs="方正仿宋简体"/>
          <w:color w:val="auto"/>
          <w:sz w:val="32"/>
          <w:szCs w:val="32"/>
          <w:lang w:val="en-US" w:eastAsia="zh-CN"/>
        </w:rPr>
        <w:t>222.2</w:t>
      </w:r>
      <w:r>
        <w:rPr>
          <w:rFonts w:hint="eastAsia" w:ascii="仿宋" w:hAnsi="仿宋" w:eastAsia="仿宋"/>
          <w:sz w:val="32"/>
          <w:szCs w:val="32"/>
        </w:rPr>
        <w:t>万元，占</w:t>
      </w:r>
      <w:r>
        <w:rPr>
          <w:rFonts w:hint="eastAsia" w:ascii="方正仿宋简体" w:hAnsi="方正仿宋简体" w:eastAsia="方正仿宋简体" w:cs="方正仿宋简体"/>
          <w:color w:val="auto"/>
          <w:sz w:val="32"/>
          <w:szCs w:val="32"/>
          <w:lang w:val="en-US" w:eastAsia="zh-CN"/>
        </w:rPr>
        <w:t>43.98</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1"/>
        <w:rPr>
          <w:rStyle w:val="31"/>
          <w:rFonts w:ascii="黑体" w:hAnsi="黑体" w:eastAsia="黑体"/>
          <w:b w:val="0"/>
        </w:rPr>
      </w:pPr>
      <w:bookmarkStart w:id="26" w:name="_Toc15377208"/>
      <w:bookmarkStart w:id="27" w:name="_Toc15396606"/>
      <w:r>
        <w:rPr>
          <w:rFonts w:hint="eastAsia" w:ascii="黑体" w:hAnsi="黑体" w:eastAsia="黑体"/>
          <w:sz w:val="32"/>
          <w:szCs w:val="32"/>
        </w:rPr>
        <w:t>四、财</w:t>
      </w:r>
      <w:r>
        <w:rPr>
          <w:rStyle w:val="31"/>
          <w:rFonts w:hint="eastAsia" w:ascii="黑体" w:hAnsi="黑体" w:eastAsia="黑体"/>
          <w:b w:val="0"/>
        </w:rPr>
        <w:t>政拨款收入支出决算总体情况说明</w:t>
      </w:r>
      <w:bookmarkEnd w:id="26"/>
      <w:bookmarkEnd w:id="27"/>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22年财政拨款</w:t>
      </w:r>
      <w:r>
        <w:rPr>
          <w:rFonts w:hint="eastAsia" w:ascii="仿宋" w:hAnsi="仿宋" w:eastAsia="仿宋"/>
          <w:sz w:val="32"/>
          <w:szCs w:val="32"/>
          <w:lang w:val="en-US" w:eastAsia="zh-CN"/>
        </w:rPr>
        <w:t>收入</w:t>
      </w:r>
      <w:r>
        <w:rPr>
          <w:rFonts w:hint="eastAsia" w:ascii="仿宋" w:hAnsi="仿宋" w:eastAsia="仿宋"/>
          <w:sz w:val="32"/>
          <w:szCs w:val="32"/>
        </w:rPr>
        <w:t>总计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万元。与2021年相比，</w:t>
      </w:r>
      <w:r>
        <w:rPr>
          <w:rFonts w:hint="eastAsia" w:ascii="仿宋" w:hAnsi="仿宋" w:eastAsia="仿宋"/>
          <w:sz w:val="32"/>
          <w:szCs w:val="32"/>
          <w:lang w:val="en-US" w:eastAsia="zh-CN"/>
        </w:rPr>
        <w:t>财政拨款收入</w:t>
      </w:r>
      <w:r>
        <w:rPr>
          <w:rFonts w:hint="eastAsia" w:ascii="仿宋" w:hAnsi="仿宋" w:eastAsia="仿宋"/>
          <w:sz w:val="32"/>
          <w:szCs w:val="32"/>
        </w:rPr>
        <w:t>总计增加</w:t>
      </w:r>
      <w:r>
        <w:rPr>
          <w:rFonts w:hint="eastAsia" w:ascii="仿宋" w:hAnsi="仿宋" w:eastAsia="仿宋"/>
          <w:sz w:val="32"/>
          <w:szCs w:val="32"/>
          <w:lang w:val="en-US" w:eastAsia="zh-CN"/>
        </w:rPr>
        <w:t>141.5</w:t>
      </w:r>
      <w:r>
        <w:rPr>
          <w:rFonts w:hint="eastAsia" w:ascii="仿宋" w:hAnsi="仿宋" w:eastAsia="仿宋"/>
          <w:sz w:val="32"/>
          <w:szCs w:val="32"/>
        </w:rPr>
        <w:t>万元，增长</w:t>
      </w:r>
      <w:r>
        <w:rPr>
          <w:rFonts w:hint="eastAsia" w:ascii="仿宋" w:hAnsi="仿宋" w:eastAsia="仿宋"/>
          <w:sz w:val="32"/>
          <w:szCs w:val="32"/>
          <w:lang w:val="en-US" w:eastAsia="zh-CN"/>
        </w:rPr>
        <w:t>38.90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w:t>
      </w:r>
      <w:r>
        <w:rPr>
          <w:rFonts w:hint="eastAsia" w:ascii="仿宋" w:hAnsi="仿宋" w:eastAsia="仿宋"/>
          <w:sz w:val="32"/>
          <w:szCs w:val="32"/>
        </w:rPr>
        <w:t>新增项目</w:t>
      </w:r>
      <w:r>
        <w:rPr>
          <w:rFonts w:hint="eastAsia" w:ascii="仿宋" w:hAnsi="仿宋" w:eastAsia="仿宋"/>
          <w:sz w:val="32"/>
          <w:szCs w:val="32"/>
          <w:lang w:eastAsia="zh-CN"/>
        </w:rPr>
        <w:t>：</w:t>
      </w:r>
      <w:r>
        <w:rPr>
          <w:rFonts w:hint="eastAsia" w:ascii="仿宋" w:hAnsi="仿宋" w:eastAsia="仿宋"/>
          <w:sz w:val="32"/>
          <w:szCs w:val="32"/>
        </w:rPr>
        <w:t>电子交易平台建设、工程异地远程评标建设项目、公共资源交易标准化规范化建设项目。</w:t>
      </w:r>
    </w:p>
    <w:p>
      <w:pPr>
        <w:pStyle w:val="3"/>
        <w:ind w:firstLine="640" w:firstLineChars="200"/>
      </w:pPr>
      <w:r>
        <w:rPr>
          <w:rFonts w:ascii="仿宋" w:hAnsi="仿宋" w:eastAsia="仿宋"/>
          <w:sz w:val="32"/>
          <w:szCs w:val="32"/>
        </w:rPr>
        <w:t>20</w:t>
      </w:r>
      <w:r>
        <w:rPr>
          <w:rFonts w:hint="eastAsia" w:ascii="仿宋" w:hAnsi="仿宋" w:eastAsia="仿宋"/>
          <w:sz w:val="32"/>
          <w:szCs w:val="32"/>
        </w:rPr>
        <w:t>22年财政拨款</w:t>
      </w:r>
      <w:r>
        <w:rPr>
          <w:rFonts w:hint="eastAsia" w:ascii="仿宋" w:hAnsi="仿宋" w:eastAsia="仿宋"/>
          <w:sz w:val="32"/>
          <w:szCs w:val="32"/>
          <w:lang w:val="en-US" w:eastAsia="zh-CN"/>
        </w:rPr>
        <w:t>支出</w:t>
      </w:r>
      <w:r>
        <w:rPr>
          <w:rFonts w:hint="eastAsia" w:ascii="仿宋" w:hAnsi="仿宋" w:eastAsia="仿宋"/>
          <w:sz w:val="32"/>
          <w:szCs w:val="32"/>
        </w:rPr>
        <w:t>总计</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万元。与2021年相比，</w:t>
      </w:r>
      <w:r>
        <w:rPr>
          <w:rFonts w:hint="eastAsia" w:ascii="仿宋" w:hAnsi="仿宋" w:eastAsia="仿宋"/>
          <w:sz w:val="32"/>
          <w:szCs w:val="32"/>
          <w:lang w:val="en-US" w:eastAsia="zh-CN"/>
        </w:rPr>
        <w:t>财政拨款支出</w:t>
      </w:r>
      <w:r>
        <w:rPr>
          <w:rFonts w:hint="eastAsia" w:ascii="仿宋" w:hAnsi="仿宋" w:eastAsia="仿宋"/>
          <w:sz w:val="32"/>
          <w:szCs w:val="32"/>
        </w:rPr>
        <w:t>总计增加</w:t>
      </w:r>
      <w:r>
        <w:rPr>
          <w:rFonts w:hint="eastAsia" w:ascii="仿宋" w:hAnsi="仿宋" w:eastAsia="仿宋"/>
          <w:sz w:val="32"/>
          <w:szCs w:val="32"/>
          <w:lang w:val="en-US" w:eastAsia="zh-CN"/>
        </w:rPr>
        <w:t>141.5</w:t>
      </w:r>
      <w:r>
        <w:rPr>
          <w:rFonts w:hint="eastAsia" w:ascii="仿宋" w:hAnsi="仿宋" w:eastAsia="仿宋"/>
          <w:sz w:val="32"/>
          <w:szCs w:val="32"/>
        </w:rPr>
        <w:t>万元，增长</w:t>
      </w:r>
      <w:r>
        <w:rPr>
          <w:rFonts w:hint="eastAsia" w:ascii="仿宋" w:hAnsi="仿宋" w:eastAsia="仿宋"/>
          <w:sz w:val="32"/>
          <w:szCs w:val="32"/>
          <w:lang w:val="en-US" w:eastAsia="zh-CN"/>
        </w:rPr>
        <w:t>38.90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w:t>
      </w:r>
      <w:r>
        <w:rPr>
          <w:rFonts w:hint="eastAsia" w:ascii="仿宋" w:hAnsi="仿宋" w:eastAsia="仿宋"/>
          <w:sz w:val="32"/>
          <w:szCs w:val="32"/>
        </w:rPr>
        <w:t>新增项目</w:t>
      </w:r>
      <w:r>
        <w:rPr>
          <w:rFonts w:hint="eastAsia" w:ascii="仿宋" w:hAnsi="仿宋" w:eastAsia="仿宋"/>
          <w:sz w:val="32"/>
          <w:szCs w:val="32"/>
          <w:lang w:eastAsia="zh-CN"/>
        </w:rPr>
        <w:t>：</w:t>
      </w:r>
      <w:r>
        <w:rPr>
          <w:rFonts w:hint="eastAsia" w:ascii="仿宋" w:hAnsi="仿宋" w:eastAsia="仿宋"/>
          <w:sz w:val="32"/>
          <w:szCs w:val="32"/>
        </w:rPr>
        <w:t>电子交易平台建设、工程异地远程评标建设项目、公共资源交易标准化规范化建设项目。</w:t>
      </w:r>
    </w:p>
    <w:p>
      <w:pPr>
        <w:spacing w:line="600" w:lineRule="exact"/>
        <w:ind w:firstLine="640" w:firstLineChars="200"/>
        <w:outlineLvl w:val="1"/>
        <w:rPr>
          <w:rStyle w:val="31"/>
          <w:rFonts w:ascii="黑体" w:hAnsi="黑体" w:eastAsia="黑体"/>
          <w:b w:val="0"/>
        </w:rPr>
      </w:pPr>
      <w:bookmarkStart w:id="28" w:name="_Toc15377209"/>
      <w:bookmarkStart w:id="29" w:name="_Toc15396607"/>
      <w:r>
        <w:rPr>
          <w:rFonts w:hint="eastAsia" w:ascii="黑体" w:hAnsi="黑体" w:eastAsia="黑体"/>
          <w:sz w:val="32"/>
          <w:szCs w:val="32"/>
        </w:rPr>
        <w:t>五、</w:t>
      </w:r>
      <w:r>
        <w:rPr>
          <w:rFonts w:hint="eastAsia" w:ascii="黑体" w:hAnsi="黑体" w:eastAsia="黑体"/>
          <w:b/>
          <w:sz w:val="32"/>
          <w:szCs w:val="32"/>
        </w:rPr>
        <w:t>一</w:t>
      </w:r>
      <w:r>
        <w:rPr>
          <w:rStyle w:val="31"/>
          <w:rFonts w:hint="eastAsia" w:ascii="黑体" w:hAnsi="黑体" w:eastAsia="黑体"/>
          <w:b w:val="0"/>
        </w:rPr>
        <w:t>般公共预算财政拨款支出决算情况说明</w:t>
      </w:r>
      <w:bookmarkEnd w:id="28"/>
      <w:bookmarkEnd w:id="29"/>
    </w:p>
    <w:p>
      <w:pPr>
        <w:spacing w:line="600" w:lineRule="exact"/>
        <w:ind w:firstLine="643" w:firstLineChars="200"/>
        <w:outlineLvl w:val="2"/>
        <w:rPr>
          <w:rFonts w:ascii="仿宋" w:hAnsi="仿宋" w:eastAsia="仿宋"/>
          <w:b/>
          <w:sz w:val="32"/>
          <w:szCs w:val="32"/>
        </w:rPr>
      </w:pPr>
      <w:bookmarkStart w:id="30" w:name="_Toc15377210"/>
      <w:r>
        <w:rPr>
          <w:rFonts w:hint="eastAsia" w:ascii="仿宋" w:hAnsi="仿宋" w:eastAsia="仿宋"/>
          <w:b/>
          <w:sz w:val="32"/>
          <w:szCs w:val="32"/>
        </w:rPr>
        <w:t>（一）一般公共预算财政拨款支出决算总体情况</w:t>
      </w:r>
      <w:bookmarkEnd w:id="30"/>
    </w:p>
    <w:p>
      <w:pPr>
        <w:pStyle w:val="3"/>
        <w:ind w:firstLine="640" w:firstLineChars="200"/>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万元，占本年支出合计的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21年相比，一般公共预算财政拨款支出增加</w:t>
      </w:r>
      <w:r>
        <w:rPr>
          <w:rFonts w:hint="eastAsia" w:ascii="仿宋" w:hAnsi="仿宋" w:eastAsia="仿宋"/>
          <w:sz w:val="32"/>
          <w:szCs w:val="32"/>
          <w:lang w:val="en-US" w:eastAsia="zh-CN"/>
        </w:rPr>
        <w:t>141.5</w:t>
      </w:r>
      <w:r>
        <w:rPr>
          <w:rFonts w:hint="eastAsia" w:ascii="仿宋" w:hAnsi="仿宋" w:eastAsia="仿宋"/>
          <w:sz w:val="32"/>
          <w:szCs w:val="32"/>
        </w:rPr>
        <w:t>万万元，增长</w:t>
      </w:r>
      <w:r>
        <w:rPr>
          <w:rFonts w:hint="eastAsia" w:ascii="仿宋" w:hAnsi="仿宋" w:eastAsia="仿宋"/>
          <w:sz w:val="32"/>
          <w:szCs w:val="32"/>
          <w:lang w:val="en-US" w:eastAsia="zh-CN"/>
        </w:rPr>
        <w:t>38.90</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项目支出增加，</w:t>
      </w:r>
      <w:r>
        <w:rPr>
          <w:rFonts w:hint="eastAsia" w:ascii="仿宋" w:hAnsi="仿宋" w:eastAsia="仿宋"/>
          <w:sz w:val="32"/>
          <w:szCs w:val="32"/>
        </w:rPr>
        <w:t>新增项目</w:t>
      </w:r>
      <w:r>
        <w:rPr>
          <w:rFonts w:hint="eastAsia" w:ascii="仿宋" w:hAnsi="仿宋" w:eastAsia="仿宋"/>
          <w:sz w:val="32"/>
          <w:szCs w:val="32"/>
          <w:lang w:eastAsia="zh-CN"/>
        </w:rPr>
        <w:t>：</w:t>
      </w:r>
      <w:r>
        <w:rPr>
          <w:rFonts w:hint="eastAsia" w:ascii="仿宋" w:hAnsi="仿宋" w:eastAsia="仿宋"/>
          <w:sz w:val="32"/>
          <w:szCs w:val="32"/>
        </w:rPr>
        <w:t>电子交易平台建设、工程异地远程评标建设项目、公共资源交易标准化规范化建设项目。</w:t>
      </w:r>
    </w:p>
    <w:p>
      <w:pPr>
        <w:spacing w:line="600" w:lineRule="exact"/>
        <w:ind w:firstLine="643" w:firstLineChars="200"/>
        <w:outlineLvl w:val="2"/>
        <w:rPr>
          <w:rFonts w:ascii="仿宋" w:hAnsi="仿宋" w:eastAsia="仿宋"/>
          <w:b/>
          <w:sz w:val="32"/>
          <w:szCs w:val="32"/>
        </w:rPr>
      </w:pPr>
      <w:bookmarkStart w:id="31" w:name="_Toc15377211"/>
      <w:r>
        <w:rPr>
          <w:rFonts w:hint="eastAsia" w:ascii="仿宋" w:hAnsi="仿宋" w:eastAsia="仿宋"/>
          <w:b/>
          <w:sz w:val="32"/>
          <w:szCs w:val="32"/>
        </w:rPr>
        <w:t>（二）一般公共预算财政拨款支出决算结构情况</w:t>
      </w:r>
      <w:bookmarkEnd w:id="31"/>
    </w:p>
    <w:p>
      <w:pPr>
        <w:spacing w:line="600" w:lineRule="exact"/>
        <w:ind w:firstLine="640"/>
        <w:rPr>
          <w:rFonts w:hint="eastAsia" w:eastAsia="仿宋"/>
          <w:i/>
          <w:color w:val="000000"/>
          <w:sz w:val="32"/>
          <w:szCs w:val="32"/>
          <w:lang w:eastAsia="zh-CN"/>
        </w:rPr>
      </w:pPr>
      <w:r>
        <w:rPr>
          <w:rFonts w:ascii="仿宋" w:hAnsi="仿宋" w:eastAsia="仿宋"/>
          <w:sz w:val="32"/>
          <w:szCs w:val="32"/>
        </w:rPr>
        <w:t>20</w:t>
      </w:r>
      <w:r>
        <w:rPr>
          <w:rFonts w:hint="eastAsia" w:ascii="仿宋" w:hAnsi="仿宋" w:eastAsia="仿宋"/>
          <w:sz w:val="32"/>
          <w:szCs w:val="32"/>
        </w:rPr>
        <w:t>22年一般公共预算财政拨款支出</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w:t>
      </w:r>
      <w:r>
        <w:rPr>
          <w:rFonts w:hint="eastAsia" w:ascii="仿宋" w:hAnsi="仿宋" w:eastAsia="仿宋"/>
          <w:b/>
          <w:bCs/>
          <w:sz w:val="32"/>
          <w:szCs w:val="32"/>
        </w:rPr>
        <w:t>支出</w:t>
      </w:r>
      <w:r>
        <w:rPr>
          <w:rFonts w:hint="eastAsia" w:ascii="方正仿宋简体" w:hAnsi="Times New Roman" w:eastAsia="方正仿宋简体" w:cs="Times New Roman"/>
          <w:color w:val="auto"/>
          <w:sz w:val="32"/>
          <w:szCs w:val="32"/>
          <w:lang w:val="en-US" w:eastAsia="zh-CN"/>
        </w:rPr>
        <w:t>458.25</w:t>
      </w:r>
      <w:r>
        <w:rPr>
          <w:rFonts w:hint="eastAsia" w:ascii="仿宋" w:hAnsi="仿宋" w:eastAsia="仿宋"/>
          <w:sz w:val="32"/>
          <w:szCs w:val="32"/>
        </w:rPr>
        <w:t>万元，占</w:t>
      </w:r>
      <w:r>
        <w:rPr>
          <w:rFonts w:hint="eastAsia" w:ascii="方正仿宋简体" w:hAnsi="Times New Roman" w:eastAsia="方正仿宋简体" w:cs="Times New Roman"/>
          <w:color w:val="auto"/>
          <w:sz w:val="32"/>
          <w:szCs w:val="32"/>
          <w:lang w:val="en-US" w:eastAsia="zh-CN"/>
        </w:rPr>
        <w:t>90.69</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方正仿宋简体" w:hAnsi="Times New Roman" w:eastAsia="方正仿宋简体" w:cs="Times New Roman"/>
          <w:color w:val="auto"/>
          <w:sz w:val="32"/>
          <w:szCs w:val="32"/>
          <w:lang w:val="en-US" w:eastAsia="zh-CN"/>
        </w:rPr>
        <w:t>19.1</w:t>
      </w:r>
      <w:r>
        <w:rPr>
          <w:rFonts w:hint="eastAsia" w:ascii="仿宋" w:hAnsi="仿宋" w:eastAsia="仿宋"/>
          <w:sz w:val="32"/>
          <w:szCs w:val="32"/>
        </w:rPr>
        <w:t>万元，占</w:t>
      </w:r>
      <w:r>
        <w:rPr>
          <w:rFonts w:hint="eastAsia" w:ascii="方正仿宋简体" w:hAnsi="Times New Roman" w:eastAsia="方正仿宋简体" w:cs="Times New Roman"/>
          <w:color w:val="auto"/>
          <w:sz w:val="32"/>
          <w:szCs w:val="32"/>
          <w:lang w:val="en-US" w:eastAsia="zh-CN"/>
        </w:rPr>
        <w:t>3.78</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方正仿宋简体" w:hAnsi="Times New Roman" w:eastAsia="方正仿宋简体" w:cs="Times New Roman"/>
          <w:color w:val="auto"/>
          <w:sz w:val="32"/>
          <w:szCs w:val="32"/>
          <w:lang w:val="en-US" w:eastAsia="zh-CN"/>
        </w:rPr>
        <w:t>9</w:t>
      </w:r>
      <w:r>
        <w:rPr>
          <w:rFonts w:hint="eastAsia" w:ascii="方正仿宋简体" w:eastAsia="方正仿宋简体" w:cs="Times New Roman"/>
          <w:color w:val="auto"/>
          <w:sz w:val="32"/>
          <w:szCs w:val="32"/>
          <w:lang w:val="en-US" w:eastAsia="zh-CN"/>
        </w:rPr>
        <w:t>.</w:t>
      </w:r>
      <w:r>
        <w:rPr>
          <w:rFonts w:hint="eastAsia" w:ascii="方正仿宋简体" w:hAnsi="Times New Roman" w:eastAsia="方正仿宋简体" w:cs="Times New Roman"/>
          <w:color w:val="auto"/>
          <w:sz w:val="32"/>
          <w:szCs w:val="32"/>
          <w:lang w:val="en-US" w:eastAsia="zh-CN"/>
        </w:rPr>
        <w:t>9</w:t>
      </w:r>
      <w:r>
        <w:rPr>
          <w:rFonts w:hint="eastAsia" w:ascii="仿宋" w:hAnsi="仿宋" w:eastAsia="仿宋"/>
          <w:sz w:val="32"/>
          <w:szCs w:val="32"/>
        </w:rPr>
        <w:t>万元，占</w:t>
      </w:r>
      <w:r>
        <w:rPr>
          <w:rFonts w:hint="eastAsia" w:ascii="方正仿宋简体" w:hAnsi="Times New Roman" w:eastAsia="方正仿宋简体" w:cs="Times New Roman"/>
          <w:color w:val="auto"/>
          <w:sz w:val="32"/>
          <w:szCs w:val="32"/>
          <w:lang w:val="en-US" w:eastAsia="zh-CN"/>
        </w:rPr>
        <w:t>1.96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方正仿宋简体" w:hAnsi="Times New Roman" w:eastAsia="方正仿宋简体" w:cs="Times New Roman"/>
          <w:color w:val="auto"/>
          <w:sz w:val="32"/>
          <w:szCs w:val="32"/>
          <w:lang w:val="en-US" w:eastAsia="zh-CN"/>
        </w:rPr>
        <w:t>18.02</w:t>
      </w:r>
      <w:r>
        <w:rPr>
          <w:rFonts w:hint="eastAsia" w:ascii="仿宋" w:hAnsi="仿宋" w:eastAsia="仿宋"/>
          <w:sz w:val="32"/>
          <w:szCs w:val="32"/>
        </w:rPr>
        <w:t>万元，占</w:t>
      </w:r>
      <w:r>
        <w:rPr>
          <w:rFonts w:hint="eastAsia" w:ascii="方正仿宋简体" w:hAnsi="Times New Roman" w:eastAsia="方正仿宋简体" w:cs="Times New Roman"/>
          <w:color w:val="auto"/>
          <w:sz w:val="32"/>
          <w:szCs w:val="32"/>
          <w:lang w:val="en-US" w:eastAsia="zh-CN"/>
        </w:rPr>
        <w:t>3.57</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2"/>
        <w:rPr>
          <w:rFonts w:ascii="仿宋" w:hAnsi="仿宋" w:eastAsia="仿宋"/>
          <w:b/>
          <w:sz w:val="32"/>
          <w:szCs w:val="32"/>
        </w:rPr>
      </w:pPr>
      <w:bookmarkStart w:id="32" w:name="_Toc15377212"/>
      <w:r>
        <w:rPr>
          <w:rFonts w:hint="eastAsia" w:ascii="仿宋" w:hAnsi="仿宋" w:eastAsia="仿宋"/>
          <w:b/>
          <w:sz w:val="32"/>
          <w:szCs w:val="32"/>
        </w:rPr>
        <w:t>（三）一般公共预算财政拨款支出决算具体情况</w:t>
      </w:r>
      <w:bookmarkEnd w:id="32"/>
    </w:p>
    <w:p>
      <w:pPr>
        <w:spacing w:line="600" w:lineRule="exact"/>
        <w:ind w:firstLine="643" w:firstLineChars="200"/>
        <w:outlineLvl w:val="2"/>
        <w:rPr>
          <w:rFonts w:ascii="仿宋" w:hAnsi="仿宋" w:eastAsia="仿宋"/>
          <w:sz w:val="32"/>
          <w:szCs w:val="32"/>
        </w:rPr>
      </w:pPr>
      <w:bookmarkStart w:id="33" w:name="_Toc15377213"/>
      <w:bookmarkStart w:id="34" w:name="_Toc15377444"/>
      <w:bookmarkStart w:id="35" w:name="_Toc15378460"/>
      <w:r>
        <w:rPr>
          <w:rFonts w:hint="eastAsia" w:ascii="仿宋" w:hAnsi="仿宋" w:eastAsia="仿宋"/>
          <w:b/>
          <w:sz w:val="32"/>
          <w:szCs w:val="32"/>
        </w:rPr>
        <w:t>2022年一般公共预算支出决算数为</w:t>
      </w:r>
      <w:r>
        <w:rPr>
          <w:rFonts w:hint="eastAsia" w:ascii="方正仿宋简体" w:hAnsi="方正仿宋简体" w:eastAsia="方正仿宋简体" w:cs="方正仿宋简体"/>
          <w:color w:val="auto"/>
          <w:sz w:val="32"/>
          <w:szCs w:val="32"/>
          <w:lang w:val="en-US" w:eastAsia="zh-CN"/>
        </w:rPr>
        <w:t>505.28</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3"/>
      <w:bookmarkEnd w:id="34"/>
      <w:bookmarkEnd w:id="35"/>
    </w:p>
    <w:p>
      <w:pPr>
        <w:spacing w:line="600" w:lineRule="exact"/>
        <w:ind w:firstLine="643" w:firstLineChars="200"/>
        <w:rPr>
          <w:rFonts w:ascii="仿宋" w:hAnsi="仿宋" w:eastAsia="仿宋"/>
          <w:b/>
          <w:sz w:val="32"/>
          <w:szCs w:val="32"/>
        </w:rPr>
      </w:pPr>
      <w:r>
        <w:rPr>
          <w:rStyle w:val="18"/>
          <w:rFonts w:ascii="仿宋" w:hAnsi="仿宋" w:eastAsia="仿宋"/>
          <w:bCs/>
          <w:sz w:val="32"/>
          <w:szCs w:val="32"/>
        </w:rPr>
        <w:t>1.</w:t>
      </w:r>
      <w:r>
        <w:rPr>
          <w:rStyle w:val="18"/>
          <w:rFonts w:hint="eastAsia" w:ascii="仿宋" w:hAnsi="仿宋" w:eastAsia="仿宋"/>
          <w:bCs/>
          <w:sz w:val="32"/>
          <w:szCs w:val="32"/>
        </w:rPr>
        <w:t>一般公共服务</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Fonts w:hint="eastAsia" w:ascii="方正仿宋简体" w:hAnsi="Times New Roman" w:eastAsia="方正仿宋简体" w:cs="Times New Roman"/>
          <w:color w:val="auto"/>
          <w:sz w:val="32"/>
          <w:szCs w:val="32"/>
          <w:lang w:val="en-US" w:eastAsia="zh-CN"/>
        </w:rPr>
        <w:t>458.25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Fonts w:ascii="仿宋" w:hAnsi="仿宋" w:eastAsia="仿宋"/>
          <w:b/>
          <w:sz w:val="32"/>
          <w:szCs w:val="32"/>
        </w:rPr>
      </w:pPr>
      <w:r>
        <w:rPr>
          <w:rStyle w:val="18"/>
          <w:rFonts w:hint="eastAsia" w:ascii="仿宋" w:hAnsi="仿宋" w:eastAsia="仿宋"/>
          <w:bCs/>
          <w:sz w:val="32"/>
          <w:szCs w:val="32"/>
          <w:lang w:val="en-US" w:eastAsia="zh-CN"/>
        </w:rPr>
        <w:t>2</w:t>
      </w:r>
      <w:r>
        <w:rPr>
          <w:rStyle w:val="18"/>
          <w:rFonts w:ascii="仿宋" w:hAnsi="仿宋" w:eastAsia="仿宋"/>
          <w:bCs/>
          <w:sz w:val="32"/>
          <w:szCs w:val="32"/>
        </w:rPr>
        <w:t>.</w:t>
      </w:r>
      <w:r>
        <w:rPr>
          <w:rStyle w:val="18"/>
          <w:rFonts w:hint="eastAsia" w:ascii="仿宋" w:hAnsi="仿宋" w:eastAsia="仿宋"/>
          <w:bCs/>
          <w:sz w:val="32"/>
          <w:szCs w:val="32"/>
        </w:rPr>
        <w:t>社会保障和就业</w:t>
      </w:r>
      <w:r>
        <w:rPr>
          <w:rStyle w:val="18"/>
          <w:rFonts w:ascii="仿宋" w:hAnsi="仿宋" w:eastAsia="仿宋"/>
          <w:bCs/>
          <w:sz w:val="32"/>
          <w:szCs w:val="32"/>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Fonts w:hint="eastAsia" w:ascii="方正仿宋简体" w:hAnsi="Times New Roman" w:eastAsia="方正仿宋简体" w:cs="Times New Roman"/>
          <w:color w:val="auto"/>
          <w:sz w:val="32"/>
          <w:szCs w:val="32"/>
          <w:lang w:val="en-US" w:eastAsia="zh-CN"/>
        </w:rPr>
        <w:t>19.1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spacing w:line="600" w:lineRule="exact"/>
        <w:ind w:firstLine="643" w:firstLineChars="200"/>
        <w:rPr>
          <w:rStyle w:val="18"/>
          <w:rFonts w:hint="eastAsia" w:ascii="仿宋" w:hAnsi="仿宋" w:eastAsia="仿宋"/>
          <w:b w:val="0"/>
          <w:bCs/>
          <w:sz w:val="32"/>
          <w:szCs w:val="32"/>
        </w:rPr>
      </w:pPr>
      <w:r>
        <w:rPr>
          <w:rStyle w:val="18"/>
          <w:rFonts w:hint="eastAsia" w:ascii="仿宋" w:hAnsi="仿宋" w:eastAsia="仿宋"/>
          <w:bCs/>
          <w:sz w:val="32"/>
          <w:szCs w:val="32"/>
          <w:lang w:val="en-US" w:eastAsia="zh-CN"/>
        </w:rPr>
        <w:t>3</w:t>
      </w:r>
      <w:r>
        <w:rPr>
          <w:rStyle w:val="18"/>
          <w:rFonts w:ascii="仿宋" w:hAnsi="仿宋" w:eastAsia="仿宋"/>
          <w:bCs/>
          <w:sz w:val="32"/>
          <w:szCs w:val="32"/>
        </w:rPr>
        <w:t>.</w:t>
      </w:r>
      <w:r>
        <w:rPr>
          <w:rFonts w:hint="eastAsia" w:ascii="仿宋" w:hAnsi="仿宋" w:eastAsia="仿宋"/>
          <w:b/>
          <w:bCs/>
          <w:sz w:val="32"/>
          <w:szCs w:val="32"/>
        </w:rPr>
        <w:t>卫生健康</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方正仿宋简体" w:hAnsi="Times New Roman" w:eastAsia="方正仿宋简体" w:cs="Times New Roman"/>
          <w:color w:val="auto"/>
          <w:sz w:val="32"/>
          <w:szCs w:val="32"/>
          <w:lang w:val="en-US" w:eastAsia="zh-CN"/>
        </w:rPr>
        <w:t>9</w:t>
      </w:r>
      <w:r>
        <w:rPr>
          <w:rFonts w:hint="eastAsia" w:ascii="方正仿宋简体" w:eastAsia="方正仿宋简体" w:cs="Times New Roman"/>
          <w:color w:val="auto"/>
          <w:sz w:val="32"/>
          <w:szCs w:val="32"/>
          <w:lang w:val="en-US" w:eastAsia="zh-CN"/>
        </w:rPr>
        <w:t>.</w:t>
      </w:r>
      <w:r>
        <w:rPr>
          <w:rFonts w:hint="eastAsia" w:ascii="方正仿宋简体" w:hAnsi="Times New Roman" w:eastAsia="方正仿宋简体" w:cs="Times New Roman"/>
          <w:color w:val="auto"/>
          <w:sz w:val="32"/>
          <w:szCs w:val="32"/>
          <w:lang w:val="en-US" w:eastAsia="zh-CN"/>
        </w:rPr>
        <w:t>9</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pStyle w:val="3"/>
        <w:ind w:firstLine="643" w:firstLineChars="200"/>
      </w:pPr>
      <w:r>
        <w:rPr>
          <w:rStyle w:val="18"/>
          <w:rFonts w:hint="eastAsia" w:ascii="仿宋" w:hAnsi="仿宋" w:eastAsia="仿宋"/>
          <w:bCs/>
          <w:sz w:val="32"/>
          <w:szCs w:val="32"/>
          <w:lang w:val="en-US" w:eastAsia="zh-CN"/>
        </w:rPr>
        <w:t>4</w:t>
      </w:r>
      <w:r>
        <w:rPr>
          <w:rStyle w:val="18"/>
          <w:rFonts w:ascii="仿宋" w:hAnsi="仿宋" w:eastAsia="仿宋"/>
          <w:bCs/>
          <w:sz w:val="32"/>
          <w:szCs w:val="32"/>
        </w:rPr>
        <w:t>.</w:t>
      </w:r>
      <w:r>
        <w:rPr>
          <w:rFonts w:hint="eastAsia" w:ascii="仿宋" w:hAnsi="仿宋" w:eastAsia="仿宋"/>
          <w:b/>
          <w:bCs/>
          <w:sz w:val="32"/>
          <w:szCs w:val="32"/>
        </w:rPr>
        <w:t>住房保障支出</w:t>
      </w:r>
      <w:r>
        <w:rPr>
          <w:rStyle w:val="18"/>
          <w:rFonts w:ascii="仿宋" w:hAnsi="仿宋" w:eastAsia="仿宋"/>
          <w:bCs/>
          <w:sz w:val="32"/>
          <w:szCs w:val="32"/>
        </w:rPr>
        <w:t>:</w:t>
      </w:r>
      <w:r>
        <w:rPr>
          <w:rStyle w:val="18"/>
          <w:rFonts w:hint="eastAsia" w:ascii="仿宋" w:hAnsi="仿宋" w:eastAsia="仿宋"/>
          <w:b w:val="0"/>
          <w:bCs/>
          <w:sz w:val="32"/>
          <w:szCs w:val="32"/>
        </w:rPr>
        <w:t>支出决算为</w:t>
      </w:r>
      <w:r>
        <w:rPr>
          <w:rFonts w:hint="eastAsia" w:ascii="方正仿宋简体" w:hAnsi="Times New Roman" w:eastAsia="方正仿宋简体" w:cs="Times New Roman"/>
          <w:color w:val="auto"/>
          <w:sz w:val="32"/>
          <w:szCs w:val="32"/>
          <w:lang w:val="en-US" w:eastAsia="zh-CN"/>
        </w:rPr>
        <w:t>18.02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pPr>
        <w:tabs>
          <w:tab w:val="right" w:pos="8306"/>
        </w:tabs>
        <w:spacing w:line="600" w:lineRule="exact"/>
        <w:ind w:firstLine="640"/>
        <w:outlineLvl w:val="1"/>
        <w:rPr>
          <w:rStyle w:val="31"/>
        </w:rPr>
      </w:pPr>
      <w:bookmarkStart w:id="36" w:name="_Toc15377214"/>
      <w:bookmarkStart w:id="37"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1"/>
          <w:rFonts w:hint="eastAsia" w:ascii="黑体" w:hAnsi="黑体" w:eastAsia="黑体"/>
          <w:b w:val="0"/>
        </w:rPr>
        <w:t>般公共预算财政拨款基本支出决算情况说明</w:t>
      </w:r>
      <w:bookmarkEnd w:id="36"/>
      <w:bookmarkEnd w:id="37"/>
      <w:r>
        <w:rPr>
          <w:rStyle w:val="31"/>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22年一般公共预算财政拨款基本支出</w:t>
      </w:r>
      <w:r>
        <w:rPr>
          <w:rFonts w:hint="eastAsia" w:ascii="方正仿宋简体" w:hAnsi="方正仿宋简体" w:eastAsia="方正仿宋简体" w:cs="方正仿宋简体"/>
          <w:color w:val="auto"/>
          <w:sz w:val="32"/>
          <w:szCs w:val="32"/>
          <w:lang w:val="en-US" w:eastAsia="zh-CN"/>
        </w:rPr>
        <w:t>283.0</w:t>
      </w:r>
      <w:r>
        <w:rPr>
          <w:rFonts w:hint="eastAsia" w:ascii="仿宋" w:hAnsi="仿宋" w:eastAsia="仿宋"/>
          <w:sz w:val="32"/>
          <w:szCs w:val="32"/>
        </w:rPr>
        <w:t>万元，其中：</w:t>
      </w:r>
    </w:p>
    <w:p>
      <w:pPr>
        <w:spacing w:line="600" w:lineRule="exact"/>
        <w:ind w:firstLine="645"/>
        <w:rPr>
          <w:rFonts w:hint="eastAsia" w:ascii="仿宋" w:hAnsi="仿宋" w:eastAsia="仿宋"/>
          <w:b/>
          <w:sz w:val="32"/>
          <w:szCs w:val="32"/>
          <w:lang w:eastAsia="zh-CN"/>
        </w:rPr>
      </w:pPr>
      <w:r>
        <w:rPr>
          <w:rFonts w:hint="eastAsia" w:ascii="仿宋" w:hAnsi="仿宋" w:eastAsia="仿宋"/>
          <w:sz w:val="32"/>
          <w:szCs w:val="32"/>
        </w:rPr>
        <w:t>人员经费</w:t>
      </w:r>
      <w:r>
        <w:rPr>
          <w:rFonts w:hint="eastAsia" w:ascii="方正仿宋简体" w:hAnsi="方正仿宋简体" w:eastAsia="方正仿宋简体" w:cs="方正仿宋简体"/>
          <w:color w:val="auto"/>
          <w:sz w:val="32"/>
          <w:szCs w:val="32"/>
          <w:lang w:val="en-US" w:eastAsia="zh-CN"/>
        </w:rPr>
        <w:t>262.5</w:t>
      </w:r>
      <w:r>
        <w:rPr>
          <w:rFonts w:hint="eastAsia" w:ascii="仿宋" w:hAnsi="仿宋" w:eastAsia="仿宋"/>
          <w:sz w:val="32"/>
          <w:szCs w:val="32"/>
        </w:rPr>
        <w:t>万元，主要包括：基本工资、津贴补贴、奖金、绩效工资、机关事业单位基本养老保险缴费、职业年金缴费、其他社会保障缴费、其他工资福利支出、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方正仿宋简体" w:hAnsi="方正仿宋简体" w:eastAsia="方正仿宋简体" w:cs="方正仿宋简体"/>
          <w:color w:val="auto"/>
          <w:sz w:val="32"/>
          <w:szCs w:val="32"/>
          <w:lang w:val="en-US" w:eastAsia="zh-CN"/>
        </w:rPr>
        <w:t>20.57</w:t>
      </w:r>
      <w:r>
        <w:rPr>
          <w:rFonts w:hint="eastAsia" w:ascii="仿宋" w:hAnsi="仿宋" w:eastAsia="仿宋"/>
          <w:sz w:val="32"/>
          <w:szCs w:val="32"/>
        </w:rPr>
        <w:t>万元，主要包括：办公费、印刷费、水费、电费、邮电费、差旅费、培训费、公务接待费、工会经费、福利费、其他交通费、其他商品和服务支出、办公设备购置、专用设备购置、信息网络及软件购置更新、其他资本性支出等</w:t>
      </w:r>
      <w:r>
        <w:rPr>
          <w:rFonts w:hint="eastAsia" w:ascii="仿宋" w:hAnsi="仿宋" w:eastAsia="仿宋"/>
          <w:sz w:val="32"/>
          <w:szCs w:val="32"/>
          <w:lang w:eastAsia="zh-CN"/>
        </w:rPr>
        <w:t>。</w:t>
      </w:r>
    </w:p>
    <w:p>
      <w:pPr>
        <w:spacing w:line="600" w:lineRule="exact"/>
        <w:ind w:firstLine="640"/>
        <w:outlineLvl w:val="1"/>
        <w:rPr>
          <w:rFonts w:eastAsia="仿宋" w:asciiTheme="majorHAnsi" w:hAnsiTheme="majorHAnsi" w:cstheme="majorBidi"/>
          <w:b/>
          <w:color w:val="000000"/>
          <w:sz w:val="32"/>
          <w:szCs w:val="32"/>
        </w:rPr>
      </w:pPr>
      <w:bookmarkStart w:id="38" w:name="_Toc15377215"/>
      <w:bookmarkStart w:id="39" w:name="_Toc15396609"/>
      <w:r>
        <w:rPr>
          <w:rFonts w:hint="eastAsia" w:ascii="黑体" w:eastAsia="黑体"/>
          <w:sz w:val="32"/>
          <w:szCs w:val="32"/>
        </w:rPr>
        <w:t>七、</w:t>
      </w:r>
      <w:r>
        <w:rPr>
          <w:rStyle w:val="31"/>
          <w:rFonts w:hint="eastAsia" w:ascii="黑体" w:hAnsi="黑体" w:eastAsia="黑体"/>
          <w:b w:val="0"/>
        </w:rPr>
        <w:t>财政拨款</w:t>
      </w:r>
      <w:r>
        <w:rPr>
          <w:rStyle w:val="31"/>
          <w:rFonts w:hint="eastAsia" w:ascii="黑体" w:hAnsi="黑体" w:eastAsia="黑体"/>
        </w:rPr>
        <w:t>“</w:t>
      </w:r>
      <w:r>
        <w:rPr>
          <w:rStyle w:val="31"/>
          <w:rFonts w:hint="eastAsia" w:ascii="黑体" w:hAnsi="黑体" w:eastAsia="黑体"/>
          <w:b w:val="0"/>
        </w:rPr>
        <w:t>三公”经费支出决算情况说明</w:t>
      </w:r>
      <w:bookmarkEnd w:id="38"/>
      <w:bookmarkEnd w:id="39"/>
    </w:p>
    <w:p>
      <w:pPr>
        <w:spacing w:line="600" w:lineRule="exact"/>
        <w:ind w:firstLine="640"/>
        <w:outlineLvl w:val="2"/>
        <w:rPr>
          <w:rFonts w:ascii="仿宋" w:hAnsi="仿宋" w:eastAsia="仿宋"/>
          <w:b/>
          <w:sz w:val="32"/>
          <w:szCs w:val="32"/>
        </w:rPr>
      </w:pPr>
      <w:bookmarkStart w:id="40" w:name="_Toc15377216"/>
      <w:r>
        <w:rPr>
          <w:rFonts w:hint="eastAsia" w:ascii="仿宋" w:hAnsi="仿宋" w:eastAsia="仿宋"/>
          <w:b/>
          <w:sz w:val="32"/>
          <w:szCs w:val="32"/>
        </w:rPr>
        <w:t>（一）“三公”经费财政拨款支出决算总体情况说明</w:t>
      </w:r>
      <w:bookmarkEnd w:id="40"/>
    </w:p>
    <w:p>
      <w:pPr>
        <w:spacing w:line="600" w:lineRule="exact"/>
        <w:ind w:firstLine="640"/>
        <w:rPr>
          <w:rFonts w:eastAsia="仿宋"/>
          <w:b/>
          <w:color w:val="FF0000"/>
          <w:sz w:val="32"/>
          <w:szCs w:val="32"/>
        </w:rPr>
      </w:pPr>
      <w:r>
        <w:rPr>
          <w:rFonts w:ascii="仿宋" w:hAnsi="仿宋" w:eastAsia="仿宋"/>
          <w:sz w:val="32"/>
          <w:szCs w:val="32"/>
        </w:rPr>
        <w:t>20</w:t>
      </w:r>
      <w:r>
        <w:rPr>
          <w:rFonts w:hint="eastAsia" w:ascii="仿宋" w:hAnsi="仿宋" w:eastAsia="仿宋"/>
          <w:sz w:val="32"/>
          <w:szCs w:val="32"/>
        </w:rPr>
        <w:t>22年“三公”经费财政拨款支出决算为</w:t>
      </w:r>
      <w:r>
        <w:rPr>
          <w:rFonts w:hint="eastAsia" w:ascii="仿宋" w:hAnsi="仿宋" w:eastAsia="仿宋"/>
          <w:sz w:val="32"/>
          <w:szCs w:val="32"/>
          <w:lang w:val="en-US" w:eastAsia="zh-CN"/>
        </w:rPr>
        <w:t>0.17</w:t>
      </w:r>
      <w:r>
        <w:rPr>
          <w:rFonts w:hint="eastAsia" w:ascii="仿宋" w:hAnsi="仿宋" w:eastAsia="仿宋"/>
          <w:sz w:val="32"/>
          <w:szCs w:val="32"/>
        </w:rPr>
        <w:t>万元，完成预算</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，较上年增加</w:t>
      </w:r>
      <w:r>
        <w:rPr>
          <w:rFonts w:hint="eastAsia" w:ascii="仿宋" w:hAnsi="仿宋" w:eastAsia="仿宋"/>
          <w:sz w:val="32"/>
          <w:szCs w:val="32"/>
          <w:lang w:val="en-US" w:eastAsia="zh-CN"/>
        </w:rPr>
        <w:t>0.09</w:t>
      </w:r>
      <w:r>
        <w:rPr>
          <w:rFonts w:hint="eastAsia" w:ascii="仿宋" w:hAnsi="仿宋" w:eastAsia="仿宋"/>
          <w:sz w:val="32"/>
          <w:szCs w:val="32"/>
        </w:rPr>
        <w:t>万元，增长</w:t>
      </w:r>
      <w:r>
        <w:rPr>
          <w:rFonts w:hint="eastAsia" w:ascii="仿宋" w:hAnsi="仿宋" w:eastAsia="仿宋"/>
          <w:sz w:val="32"/>
          <w:szCs w:val="32"/>
          <w:lang w:val="en-US" w:eastAsia="zh-CN"/>
        </w:rPr>
        <w:t>102.98</w:t>
      </w:r>
      <w:r>
        <w:rPr>
          <w:rFonts w:hint="eastAsia" w:ascii="仿宋" w:hAnsi="仿宋" w:eastAsia="仿宋"/>
          <w:sz w:val="32"/>
          <w:szCs w:val="32"/>
        </w:rPr>
        <w:t>%。决算数与预算数持平</w:t>
      </w:r>
      <w:r>
        <w:rPr>
          <w:rFonts w:hint="eastAsia" w:ascii="仿宋" w:hAnsi="仿宋" w:eastAsia="仿宋"/>
          <w:sz w:val="32"/>
          <w:szCs w:val="32"/>
          <w:lang w:eastAsia="zh-CN"/>
        </w:rPr>
        <w:t>，</w:t>
      </w:r>
      <w:r>
        <w:rPr>
          <w:rFonts w:hint="eastAsia" w:ascii="仿宋" w:hAnsi="仿宋" w:eastAsia="仿宋"/>
          <w:sz w:val="32"/>
          <w:szCs w:val="32"/>
          <w:lang w:val="en-US" w:eastAsia="zh-CN"/>
        </w:rPr>
        <w:t>增加的</w:t>
      </w:r>
      <w:r>
        <w:rPr>
          <w:rFonts w:hint="eastAsia" w:ascii="仿宋" w:hAnsi="仿宋" w:eastAsia="仿宋"/>
          <w:sz w:val="32"/>
          <w:szCs w:val="32"/>
        </w:rPr>
        <w:t>主要原因是</w:t>
      </w:r>
      <w:r>
        <w:rPr>
          <w:rFonts w:hint="eastAsia" w:ascii="仿宋" w:hAnsi="仿宋" w:eastAsia="仿宋"/>
          <w:sz w:val="32"/>
          <w:szCs w:val="32"/>
          <w:lang w:val="en-US" w:eastAsia="zh-CN"/>
        </w:rPr>
        <w:t>与上年基数小且今年公共资源交易领域</w:t>
      </w:r>
      <w:r>
        <w:rPr>
          <w:rFonts w:hint="eastAsia" w:ascii="仿宋" w:hAnsi="仿宋" w:eastAsia="仿宋"/>
          <w:sz w:val="32"/>
          <w:szCs w:val="32"/>
        </w:rPr>
        <w:t>业务</w:t>
      </w:r>
      <w:r>
        <w:rPr>
          <w:rFonts w:hint="eastAsia" w:ascii="仿宋" w:hAnsi="仿宋" w:eastAsia="仿宋"/>
          <w:sz w:val="32"/>
          <w:szCs w:val="32"/>
          <w:lang w:val="en-US" w:eastAsia="zh-CN"/>
        </w:rPr>
        <w:t>交流需求较大，</w:t>
      </w:r>
      <w:r>
        <w:rPr>
          <w:rFonts w:hint="eastAsia" w:ascii="仿宋" w:hAnsi="仿宋" w:eastAsia="仿宋"/>
          <w:sz w:val="32"/>
          <w:szCs w:val="32"/>
        </w:rPr>
        <w:t>接待批次增加，接待人数增加，</w:t>
      </w:r>
      <w:r>
        <w:rPr>
          <w:rFonts w:hint="eastAsia" w:ascii="仿宋" w:hAnsi="仿宋" w:eastAsia="仿宋"/>
          <w:sz w:val="32"/>
          <w:szCs w:val="32"/>
          <w:lang w:val="en-US" w:eastAsia="zh-CN"/>
        </w:rPr>
        <w:t>总支出在</w:t>
      </w:r>
      <w:r>
        <w:rPr>
          <w:rFonts w:hint="eastAsia" w:ascii="仿宋" w:hAnsi="仿宋" w:eastAsia="仿宋"/>
          <w:sz w:val="32"/>
          <w:szCs w:val="32"/>
        </w:rPr>
        <w:t>预算</w:t>
      </w:r>
      <w:r>
        <w:rPr>
          <w:rFonts w:hint="eastAsia" w:ascii="仿宋" w:hAnsi="仿宋" w:eastAsia="仿宋"/>
          <w:sz w:val="32"/>
          <w:szCs w:val="32"/>
          <w:lang w:val="en-US" w:eastAsia="zh-CN"/>
        </w:rPr>
        <w:t>内</w:t>
      </w:r>
      <w:r>
        <w:rPr>
          <w:rFonts w:hint="eastAsia" w:ascii="仿宋" w:hAnsi="仿宋" w:eastAsia="仿宋"/>
          <w:sz w:val="32"/>
          <w:szCs w:val="32"/>
        </w:rPr>
        <w:t>。</w:t>
      </w:r>
    </w:p>
    <w:p>
      <w:pPr>
        <w:spacing w:line="600" w:lineRule="exact"/>
        <w:ind w:firstLine="640"/>
        <w:outlineLvl w:val="2"/>
        <w:rPr>
          <w:rFonts w:ascii="仿宋" w:hAnsi="仿宋" w:eastAsia="仿宋"/>
          <w:b/>
          <w:sz w:val="32"/>
          <w:szCs w:val="32"/>
        </w:rPr>
      </w:pPr>
      <w:bookmarkStart w:id="41" w:name="_Toc15377217"/>
      <w:r>
        <w:rPr>
          <w:rFonts w:hint="eastAsia" w:ascii="仿宋" w:hAnsi="仿宋" w:eastAsia="仿宋"/>
          <w:b/>
          <w:sz w:val="32"/>
          <w:szCs w:val="32"/>
        </w:rPr>
        <w:t>（二）“三公”经费财政拨款支出决算具体情况说明</w:t>
      </w:r>
      <w:bookmarkEnd w:id="41"/>
    </w:p>
    <w:p>
      <w:pPr>
        <w:spacing w:line="600" w:lineRule="exact"/>
        <w:ind w:firstLine="640"/>
        <w:rPr>
          <w:rFonts w:eastAsia="仿宋"/>
          <w:i/>
          <w:color w:val="000000"/>
          <w:sz w:val="32"/>
          <w:szCs w:val="32"/>
        </w:rPr>
      </w:pPr>
      <w:r>
        <w:rPr>
          <w:rFonts w:ascii="仿宋" w:hAnsi="仿宋" w:eastAsia="仿宋"/>
          <w:sz w:val="32"/>
          <w:szCs w:val="32"/>
        </w:rPr>
        <w:t>20</w:t>
      </w:r>
      <w:r>
        <w:rPr>
          <w:rFonts w:hint="eastAsia" w:ascii="仿宋" w:hAnsi="仿宋" w:eastAsia="仿宋"/>
          <w:sz w:val="32"/>
          <w:szCs w:val="32"/>
        </w:rPr>
        <w:t>22年“三公”经费财政拨款支出决算中，因公出国（境）费支出决算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0.17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rPr>
        <w:t>。</w:t>
      </w:r>
    </w:p>
    <w:p>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rPr>
          <w:rFonts w:eastAsia="仿宋"/>
          <w:color w:val="000000"/>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0" w:firstLineChars="20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0.17</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0.09</w:t>
      </w:r>
      <w:r>
        <w:rPr>
          <w:rFonts w:hint="eastAsia" w:ascii="仿宋_GB2312" w:eastAsia="仿宋_GB2312"/>
          <w:sz w:val="32"/>
          <w:szCs w:val="32"/>
        </w:rPr>
        <w:t>万元，增长</w:t>
      </w:r>
      <w:r>
        <w:rPr>
          <w:rFonts w:hint="eastAsia" w:ascii="仿宋_GB2312" w:eastAsia="仿宋_GB2312"/>
          <w:sz w:val="32"/>
          <w:szCs w:val="32"/>
          <w:lang w:val="en-US" w:eastAsia="zh-CN"/>
        </w:rPr>
        <w:t>102.98</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val="en-US" w:eastAsia="zh-CN"/>
        </w:rPr>
        <w:t>与上年基数小且今年公共资源交易领域</w:t>
      </w:r>
      <w:r>
        <w:rPr>
          <w:rFonts w:hint="eastAsia" w:ascii="仿宋" w:hAnsi="仿宋" w:eastAsia="仿宋"/>
          <w:sz w:val="32"/>
          <w:szCs w:val="32"/>
        </w:rPr>
        <w:t>业务</w:t>
      </w:r>
      <w:r>
        <w:rPr>
          <w:rFonts w:hint="eastAsia" w:ascii="仿宋" w:hAnsi="仿宋" w:eastAsia="仿宋"/>
          <w:sz w:val="32"/>
          <w:szCs w:val="32"/>
          <w:lang w:val="en-US" w:eastAsia="zh-CN"/>
        </w:rPr>
        <w:t>交流需求较大，</w:t>
      </w:r>
      <w:r>
        <w:rPr>
          <w:rFonts w:hint="eastAsia" w:ascii="仿宋" w:hAnsi="仿宋" w:eastAsia="仿宋"/>
          <w:sz w:val="32"/>
          <w:szCs w:val="32"/>
        </w:rPr>
        <w:t>接待批次增加，接待人数增加，</w:t>
      </w:r>
      <w:r>
        <w:rPr>
          <w:rFonts w:hint="eastAsia" w:ascii="仿宋" w:hAnsi="仿宋" w:eastAsia="仿宋"/>
          <w:sz w:val="32"/>
          <w:szCs w:val="32"/>
          <w:lang w:val="en-US" w:eastAsia="zh-CN"/>
        </w:rPr>
        <w:t>总支出在</w:t>
      </w:r>
      <w:r>
        <w:rPr>
          <w:rFonts w:hint="eastAsia" w:ascii="仿宋" w:hAnsi="仿宋" w:eastAsia="仿宋"/>
          <w:sz w:val="32"/>
          <w:szCs w:val="32"/>
        </w:rPr>
        <w:t>预算</w:t>
      </w:r>
      <w:r>
        <w:rPr>
          <w:rFonts w:hint="eastAsia" w:ascii="仿宋" w:hAnsi="仿宋" w:eastAsia="仿宋"/>
          <w:sz w:val="32"/>
          <w:szCs w:val="32"/>
          <w:lang w:val="en-US" w:eastAsia="zh-CN"/>
        </w:rPr>
        <w:t>内</w:t>
      </w:r>
      <w:r>
        <w:rPr>
          <w:rFonts w:hint="eastAsia" w:ascii="仿宋" w:hAnsi="仿宋" w:eastAsia="仿宋"/>
          <w:sz w:val="32"/>
          <w:szCs w:val="32"/>
        </w:rPr>
        <w:t>。</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0.17</w:t>
      </w:r>
      <w:r>
        <w:rPr>
          <w:rFonts w:hint="eastAsia" w:ascii="仿宋_GB2312" w:eastAsia="仿宋_GB2312"/>
          <w:sz w:val="32"/>
          <w:szCs w:val="32"/>
        </w:rPr>
        <w:t>万元，</w:t>
      </w:r>
      <w:r>
        <w:rPr>
          <w:rFonts w:hint="eastAsia" w:ascii="仿宋_GB2312" w:eastAsia="仿宋_GB2312"/>
          <w:sz w:val="32"/>
          <w:szCs w:val="32"/>
          <w:highlight w:val="none"/>
        </w:rPr>
        <w:t>主要用于用餐费</w:t>
      </w:r>
      <w:r>
        <w:rPr>
          <w:rFonts w:hint="eastAsia" w:ascii="仿宋_GB2312" w:eastAsia="仿宋_GB2312"/>
          <w:sz w:val="32"/>
          <w:szCs w:val="32"/>
        </w:rPr>
        <w:t>。国内公务接待</w:t>
      </w:r>
      <w:r>
        <w:rPr>
          <w:rFonts w:hint="eastAsia" w:ascii="仿宋_GB2312" w:eastAsia="仿宋_GB2312"/>
          <w:sz w:val="32"/>
          <w:szCs w:val="32"/>
          <w:lang w:val="en-US" w:eastAsia="zh-CN"/>
        </w:rPr>
        <w:t>4</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人次，共计支出</w:t>
      </w:r>
      <w:r>
        <w:rPr>
          <w:rFonts w:hint="eastAsia" w:ascii="仿宋_GB2312" w:eastAsia="仿宋_GB2312"/>
          <w:sz w:val="32"/>
          <w:szCs w:val="32"/>
          <w:lang w:val="en-US" w:eastAsia="zh-CN"/>
        </w:rPr>
        <w:t>0.17</w:t>
      </w:r>
      <w:r>
        <w:rPr>
          <w:rFonts w:hint="eastAsia" w:ascii="仿宋_GB2312" w:eastAsia="仿宋_GB2312"/>
          <w:sz w:val="32"/>
          <w:szCs w:val="32"/>
        </w:rPr>
        <w:t>万元，具体内容包括：</w:t>
      </w:r>
      <w:r>
        <w:rPr>
          <w:rFonts w:hint="eastAsia" w:ascii="仿宋_GB2312" w:eastAsia="仿宋_GB2312"/>
          <w:sz w:val="32"/>
          <w:szCs w:val="32"/>
          <w:lang w:val="en-US" w:eastAsia="zh-CN"/>
        </w:rPr>
        <w:t>资阳市财政局检查1次，安岳县交易中心业务交流1次，资阳市大数据管理局检查1次，雁江区交易中心业务交流1次</w:t>
      </w:r>
      <w:r>
        <w:rPr>
          <w:rFonts w:hint="eastAsia" w:ascii="仿宋_GB2312" w:eastAsia="仿宋_GB2312"/>
          <w:sz w:val="32"/>
          <w:szCs w:val="32"/>
        </w:rPr>
        <w:t>。</w:t>
      </w:r>
    </w:p>
    <w:p>
      <w:pPr>
        <w:spacing w:line="600" w:lineRule="exact"/>
        <w:ind w:firstLine="643" w:firstLineChars="200"/>
        <w:rPr>
          <w:rFonts w:ascii="黑体" w:eastAsia="黑体"/>
          <w:sz w:val="32"/>
          <w:szCs w:val="32"/>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bookmarkStart w:id="42" w:name="_Toc15396610"/>
      <w:bookmarkStart w:id="43" w:name="_Toc15377218"/>
    </w:p>
    <w:p>
      <w:pPr>
        <w:spacing w:line="600" w:lineRule="exact"/>
        <w:ind w:firstLine="640"/>
        <w:outlineLvl w:val="1"/>
        <w:rPr>
          <w:rStyle w:val="31"/>
          <w:rFonts w:ascii="黑体" w:hAnsi="黑体" w:eastAsia="黑体"/>
        </w:rPr>
      </w:pPr>
      <w:r>
        <w:rPr>
          <w:rFonts w:hint="eastAsia" w:ascii="黑体" w:eastAsia="黑体"/>
          <w:sz w:val="32"/>
          <w:szCs w:val="32"/>
        </w:rPr>
        <w:t>八、</w:t>
      </w:r>
      <w:r>
        <w:rPr>
          <w:rStyle w:val="31"/>
          <w:rFonts w:hint="eastAsia" w:ascii="黑体" w:hAnsi="黑体" w:eastAsia="黑体"/>
          <w:b w:val="0"/>
        </w:rPr>
        <w:t>政府性基金预算支出决算情况说明</w:t>
      </w:r>
      <w:bookmarkEnd w:id="42"/>
      <w:bookmarkEnd w:id="43"/>
    </w:p>
    <w:p>
      <w:pPr>
        <w:spacing w:line="600" w:lineRule="exact"/>
        <w:ind w:firstLine="640"/>
        <w:rPr>
          <w:rFonts w:eastAsia="仿宋_GB2312"/>
          <w:color w:val="000000"/>
          <w:sz w:val="32"/>
          <w:szCs w:val="32"/>
        </w:rPr>
      </w:pPr>
      <w:r>
        <w:rPr>
          <w:rFonts w:ascii="仿宋_GB2312" w:eastAsia="仿宋_GB2312"/>
          <w:sz w:val="32"/>
          <w:szCs w:val="32"/>
        </w:rPr>
        <w:t>20</w:t>
      </w:r>
      <w:r>
        <w:rPr>
          <w:rFonts w:hint="eastAsia" w:ascii="仿宋_GB2312" w:eastAsia="仿宋_GB2312"/>
          <w:sz w:val="32"/>
          <w:szCs w:val="32"/>
        </w:rPr>
        <w:t>22年政府性基金预算财政拨款支出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1"/>
          <w:rFonts w:ascii="黑体" w:hAnsi="黑体" w:eastAsia="黑体"/>
          <w:b w:val="0"/>
        </w:rPr>
      </w:pPr>
      <w:bookmarkStart w:id="44" w:name="_Toc15396611"/>
      <w:bookmarkStart w:id="45" w:name="_Toc15377219"/>
      <w:r>
        <w:rPr>
          <w:rStyle w:val="31"/>
          <w:rFonts w:hint="eastAsia" w:ascii="黑体" w:hAnsi="黑体" w:eastAsia="黑体"/>
          <w:b w:val="0"/>
        </w:rPr>
        <w:t>国有资本经营预算支出决算情况说明</w:t>
      </w:r>
      <w:bookmarkEnd w:id="44"/>
      <w:bookmarkEnd w:id="45"/>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22年国有资本经营预算财政拨款支出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numPr>
          <w:ilvl w:val="0"/>
          <w:numId w:val="2"/>
        </w:numPr>
        <w:spacing w:line="600" w:lineRule="exact"/>
        <w:ind w:firstLine="640"/>
        <w:outlineLvl w:val="1"/>
        <w:rPr>
          <w:rStyle w:val="31"/>
          <w:rFonts w:ascii="黑体" w:hAnsi="黑体" w:eastAsia="黑体"/>
          <w:b w:val="0"/>
        </w:rPr>
      </w:pPr>
      <w:bookmarkStart w:id="46" w:name="_Toc15377221"/>
      <w:bookmarkStart w:id="47" w:name="_Toc15396612"/>
      <w:r>
        <w:rPr>
          <w:rStyle w:val="31"/>
          <w:rFonts w:hint="eastAsia" w:ascii="黑体" w:hAnsi="黑体" w:eastAsia="黑体"/>
          <w:b w:val="0"/>
        </w:rPr>
        <w:t>其他重要事项的情况说明</w:t>
      </w:r>
      <w:bookmarkEnd w:id="46"/>
      <w:bookmarkEnd w:id="47"/>
    </w:p>
    <w:p>
      <w:pPr>
        <w:spacing w:line="600" w:lineRule="exact"/>
        <w:ind w:firstLine="643" w:firstLineChars="200"/>
        <w:outlineLvl w:val="2"/>
        <w:rPr>
          <w:rFonts w:ascii="仿宋" w:hAnsi="仿宋" w:eastAsia="仿宋"/>
          <w:sz w:val="32"/>
          <w:szCs w:val="32"/>
        </w:rPr>
      </w:pPr>
      <w:bookmarkStart w:id="48" w:name="_Toc15377222"/>
      <w:r>
        <w:rPr>
          <w:rFonts w:hint="eastAsia" w:ascii="仿宋" w:hAnsi="仿宋" w:eastAsia="仿宋"/>
          <w:b/>
          <w:sz w:val="32"/>
          <w:szCs w:val="32"/>
        </w:rPr>
        <w:t>（一）机关运行经费支出情况</w:t>
      </w:r>
      <w:bookmarkEnd w:id="48"/>
    </w:p>
    <w:p>
      <w:pPr>
        <w:spacing w:line="600" w:lineRule="exact"/>
        <w:ind w:firstLine="640" w:firstLineChars="200"/>
        <w:rPr>
          <w:rFonts w:ascii="仿宋" w:hAnsi="仿宋" w:eastAsia="仿宋"/>
          <w:b/>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乐至县政府政务服务和公共资源交易服务中心</w:t>
      </w:r>
      <w:r>
        <w:rPr>
          <w:rFonts w:hint="eastAsia" w:ascii="仿宋_GB2312" w:eastAsia="仿宋_GB2312"/>
          <w:sz w:val="32"/>
          <w:szCs w:val="32"/>
        </w:rPr>
        <w:t>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9" w:name="_Toc15377223"/>
      <w:r>
        <w:rPr>
          <w:rFonts w:hint="eastAsia" w:ascii="仿宋" w:hAnsi="仿宋" w:eastAsia="仿宋"/>
          <w:b/>
          <w:sz w:val="32"/>
          <w:szCs w:val="32"/>
        </w:rPr>
        <w:t>（二）政府采购支出情况</w:t>
      </w:r>
      <w:bookmarkEnd w:id="49"/>
    </w:p>
    <w:p>
      <w:pPr>
        <w:spacing w:line="600" w:lineRule="exact"/>
        <w:ind w:firstLine="640" w:firstLineChars="200"/>
        <w:rPr>
          <w:rFonts w:eastAsia="仿宋"/>
          <w:color w:val="000000"/>
          <w:sz w:val="32"/>
          <w:szCs w:val="32"/>
        </w:rPr>
      </w:pPr>
      <w:r>
        <w:rPr>
          <w:rFonts w:ascii="仿宋_GB2312" w:eastAsia="仿宋_GB2312"/>
          <w:sz w:val="32"/>
          <w:szCs w:val="32"/>
        </w:rPr>
        <w:t>20</w:t>
      </w:r>
      <w:r>
        <w:rPr>
          <w:rFonts w:hint="eastAsia" w:ascii="仿宋_GB2312" w:eastAsia="仿宋_GB2312"/>
          <w:sz w:val="32"/>
          <w:szCs w:val="32"/>
        </w:rPr>
        <w:t>22年，</w:t>
      </w:r>
      <w:r>
        <w:rPr>
          <w:rFonts w:hint="eastAsia" w:ascii="仿宋_GB2312" w:eastAsia="仿宋_GB2312"/>
          <w:sz w:val="32"/>
          <w:szCs w:val="32"/>
          <w:lang w:val="en-US" w:eastAsia="zh-CN"/>
        </w:rPr>
        <w:t>乐至县政府政务服务和公共资源交易服务中心</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bookmarkStart w:id="50" w:name="_Toc15377224"/>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（三）国有资产占有使用情况</w:t>
      </w:r>
      <w:bookmarkEnd w:id="50"/>
    </w:p>
    <w:p>
      <w:pPr>
        <w:autoSpaceDE w:val="0"/>
        <w:autoSpaceDN w:val="0"/>
        <w:adjustRightInd w:val="0"/>
        <w:spacing w:line="600" w:lineRule="exact"/>
        <w:ind w:firstLine="640" w:firstLineChars="200"/>
        <w:jc w:val="left"/>
        <w:outlineLvl w:val="2"/>
        <w:rPr>
          <w:rFonts w:eastAsia="仿宋"/>
          <w:i/>
          <w:color w:val="000000"/>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乐至县政府政务服务和公共资源交易服务中心</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0辆。</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widowControl/>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根据预算绩效管理要求，本部门在2022年度预算编制阶段，组织对</w:t>
      </w:r>
      <w:r>
        <w:rPr>
          <w:rFonts w:hint="eastAsia" w:ascii="仿宋_GB2312" w:hAnsi="仿宋_GB2312" w:eastAsia="仿宋_GB2312" w:cs="仿宋_GB2312"/>
          <w:sz w:val="32"/>
          <w:szCs w:val="32"/>
          <w:lang w:val="en-US" w:eastAsia="zh-CN"/>
        </w:rPr>
        <w:t>政府采购评审专家劳务费</w:t>
      </w:r>
      <w:r>
        <w:rPr>
          <w:rFonts w:hint="eastAsia" w:ascii="仿宋_GB2312" w:hAnsi="仿宋_GB2312" w:eastAsia="仿宋_GB2312" w:cs="仿宋_GB2312"/>
          <w:sz w:val="32"/>
          <w:szCs w:val="32"/>
        </w:rPr>
        <w:t>等</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个项目开展绩效监控。</w:t>
      </w:r>
    </w:p>
    <w:p>
      <w:pPr>
        <w:spacing w:line="580" w:lineRule="exact"/>
        <w:ind w:firstLine="640" w:firstLineChars="200"/>
        <w:rPr>
          <w:rFonts w:hint="eastAsia" w:eastAsia="仿宋_GB2312"/>
          <w:iCs/>
          <w:sz w:val="32"/>
          <w:szCs w:val="32"/>
          <w:highlight w:val="yellow"/>
          <w:lang w:eastAsia="zh-CN"/>
        </w:rPr>
      </w:pPr>
      <w:r>
        <w:rPr>
          <w:rFonts w:hint="eastAsia" w:ascii="仿宋_GB2312" w:hAnsi="仿宋_GB2312" w:eastAsia="仿宋_GB2312" w:cs="仿宋_GB2312"/>
          <w:sz w:val="32"/>
          <w:szCs w:val="32"/>
        </w:rPr>
        <w:t>组织对2022年度一般公共预算、政府性基金预算、国有资本经营预算、社会保险基金预算以及资本资产、债券资金等全面开展绩效自评，形成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val="en-US" w:eastAsia="zh-CN"/>
        </w:rPr>
        <w:t>乐至县政府政务服务和公共资源交易服务中心</w:t>
      </w:r>
      <w:r>
        <w:rPr>
          <w:rFonts w:hint="eastAsia" w:ascii="仿宋_GB2312" w:hAnsi="仿宋_GB2312" w:eastAsia="仿宋_GB2312" w:cs="仿宋_GB2312"/>
          <w:sz w:val="32"/>
          <w:szCs w:val="32"/>
        </w:rPr>
        <w:t>整体绩效自评报告、</w:t>
      </w:r>
      <w:r>
        <w:rPr>
          <w:rFonts w:hint="eastAsia" w:ascii="仿宋_GB2312" w:hAnsi="仿宋_GB2312" w:eastAsia="仿宋_GB2312" w:cs="仿宋_GB2312"/>
          <w:sz w:val="32"/>
          <w:szCs w:val="32"/>
          <w:lang w:val="en-US" w:eastAsia="zh-CN"/>
        </w:rPr>
        <w:t>政府采购评审专家劳务费</w:t>
      </w:r>
      <w:r>
        <w:rPr>
          <w:rFonts w:hint="eastAsia" w:ascii="仿宋_GB2312" w:hAnsi="仿宋_GB2312" w:eastAsia="仿宋_GB2312" w:cs="仿宋_GB2312"/>
          <w:sz w:val="32"/>
          <w:szCs w:val="32"/>
        </w:rPr>
        <w:t>等专项预算项目绩效自评报告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其中整体绩效自评得分为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分，绩效自评综述：</w:t>
      </w:r>
      <w:r>
        <w:rPr>
          <w:rFonts w:hint="eastAsia" w:eastAsia="方正仿宋简体"/>
          <w:color w:val="auto"/>
          <w:sz w:val="32"/>
          <w:szCs w:val="32"/>
        </w:rPr>
        <w:t>整体效果</w:t>
      </w:r>
      <w:r>
        <w:rPr>
          <w:rFonts w:hint="eastAsia" w:eastAsia="方正仿宋简体"/>
          <w:color w:val="auto"/>
          <w:sz w:val="32"/>
          <w:szCs w:val="32"/>
          <w:lang w:val="en-US" w:eastAsia="zh-CN"/>
        </w:rPr>
        <w:t>优秀</w:t>
      </w:r>
      <w:r>
        <w:rPr>
          <w:rFonts w:hint="eastAsia" w:eastAsia="方正仿宋简体"/>
          <w:color w:val="auto"/>
          <w:sz w:val="32"/>
          <w:szCs w:val="32"/>
        </w:rPr>
        <w:t>、部门目标实现程度</w:t>
      </w:r>
      <w:r>
        <w:rPr>
          <w:rFonts w:hint="eastAsia" w:eastAsia="方正仿宋简体"/>
          <w:color w:val="auto"/>
          <w:sz w:val="32"/>
          <w:szCs w:val="32"/>
          <w:lang w:val="en-US" w:eastAsia="zh-CN"/>
        </w:rPr>
        <w:t>均基本达成</w:t>
      </w:r>
      <w:r>
        <w:rPr>
          <w:rFonts w:hint="eastAsia" w:eastAsia="方正仿宋简体"/>
          <w:color w:val="auto"/>
          <w:sz w:val="32"/>
          <w:szCs w:val="32"/>
        </w:rPr>
        <w:t>、社会满意度</w:t>
      </w:r>
      <w:r>
        <w:rPr>
          <w:rFonts w:hint="eastAsia" w:eastAsia="方正仿宋简体"/>
          <w:color w:val="auto"/>
          <w:sz w:val="32"/>
          <w:szCs w:val="32"/>
          <w:lang w:val="en-US" w:eastAsia="zh-CN"/>
        </w:rPr>
        <w:t>良好</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2022年政府采购评审专家劳务费</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分，绩效自评综述：</w:t>
      </w:r>
      <w:r>
        <w:rPr>
          <w:rFonts w:hint="eastAsia" w:ascii="仿宋" w:hAnsi="仿宋" w:eastAsia="仿宋"/>
          <w:color w:val="000000"/>
          <w:sz w:val="32"/>
          <w:szCs w:val="32"/>
          <w:lang w:val="en-US" w:eastAsia="zh-CN"/>
        </w:rPr>
        <w:t>2022年评审专家劳务费，按照评审项目开展情况及时据实发放评标费用，均按要求达成既定目标</w:t>
      </w:r>
      <w:r>
        <w:rPr>
          <w:rFonts w:hint="eastAsia" w:ascii="仿宋_GB2312" w:hAnsi="仿宋_GB2312" w:eastAsia="仿宋_GB2312" w:cs="仿宋_GB2312"/>
          <w:sz w:val="32"/>
          <w:szCs w:val="32"/>
          <w:lang w:eastAsia="zh-CN"/>
        </w:rPr>
        <w:t>；工程建设招投标异地远程评标设施设备经费</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分，绩效自评综述：</w:t>
      </w:r>
      <w:r>
        <w:rPr>
          <w:rFonts w:hint="eastAsia" w:ascii="方正仿宋简体" w:eastAsia="方正仿宋简体"/>
          <w:sz w:val="32"/>
          <w:szCs w:val="32"/>
        </w:rPr>
        <w:t>通过项目的实施，全面保障乐至县</w:t>
      </w:r>
      <w:r>
        <w:rPr>
          <w:rFonts w:hint="eastAsia" w:ascii="方正仿宋简体" w:eastAsia="方正仿宋简体"/>
          <w:sz w:val="32"/>
          <w:szCs w:val="32"/>
          <w:lang w:val="en-US" w:eastAsia="zh-CN"/>
        </w:rPr>
        <w:t>公共资源交易活动</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eastAsia="方正仿宋简体"/>
          <w:sz w:val="32"/>
          <w:szCs w:val="32"/>
          <w:lang w:val="en-US" w:eastAsia="zh-CN"/>
        </w:rPr>
        <w:t>专项网络稳定畅通，资金结算及时，网络维护准时、高效</w:t>
      </w:r>
      <w:r>
        <w:rPr>
          <w:rFonts w:hint="eastAsia" w:ascii="仿宋_GB2312" w:hAnsi="仿宋_GB2312" w:eastAsia="仿宋_GB2312" w:cs="仿宋_GB2312"/>
          <w:sz w:val="32"/>
          <w:szCs w:val="32"/>
          <w:lang w:eastAsia="zh-CN"/>
        </w:rPr>
        <w:t>；乐至县标准化规范化创建“示范交易中心”</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96</w:t>
      </w:r>
      <w:r>
        <w:rPr>
          <w:rFonts w:hint="eastAsia" w:ascii="仿宋_GB2312" w:hAnsi="仿宋_GB2312" w:eastAsia="仿宋_GB2312" w:cs="仿宋_GB2312"/>
          <w:sz w:val="32"/>
          <w:szCs w:val="32"/>
        </w:rPr>
        <w:t>分，绩效自评综述：</w:t>
      </w:r>
      <w:r>
        <w:rPr>
          <w:rFonts w:hint="eastAsia" w:ascii="方正仿宋简体" w:eastAsia="方正仿宋简体"/>
          <w:sz w:val="32"/>
          <w:szCs w:val="32"/>
        </w:rPr>
        <w:t>绩效目标设置</w:t>
      </w:r>
      <w:r>
        <w:rPr>
          <w:rFonts w:hint="eastAsia" w:ascii="方正仿宋简体" w:eastAsia="方正仿宋简体"/>
          <w:sz w:val="32"/>
          <w:szCs w:val="32"/>
          <w:lang w:val="en-US" w:eastAsia="zh-CN"/>
        </w:rPr>
        <w:t>合理</w:t>
      </w:r>
      <w:r>
        <w:rPr>
          <w:rFonts w:hint="eastAsia" w:ascii="方正仿宋简体" w:eastAsia="方正仿宋简体"/>
          <w:sz w:val="32"/>
          <w:szCs w:val="32"/>
        </w:rPr>
        <w:t>，评估内容包括</w:t>
      </w:r>
      <w:r>
        <w:rPr>
          <w:rFonts w:hint="eastAsia" w:ascii="方正仿宋简体" w:eastAsia="方正仿宋简体"/>
          <w:sz w:val="32"/>
          <w:szCs w:val="32"/>
          <w:lang w:val="en-US" w:eastAsia="zh-CN"/>
        </w:rPr>
        <w:t>可量化</w:t>
      </w:r>
      <w:r>
        <w:rPr>
          <w:rFonts w:hint="eastAsia" w:ascii="方正仿宋简体" w:eastAsia="方正仿宋简体"/>
          <w:sz w:val="32"/>
          <w:szCs w:val="32"/>
        </w:rPr>
        <w:t>可考核，</w:t>
      </w:r>
      <w:r>
        <w:rPr>
          <w:rFonts w:hint="eastAsia" w:ascii="方正仿宋简体" w:eastAsia="方正仿宋简体"/>
          <w:sz w:val="32"/>
          <w:szCs w:val="32"/>
          <w:lang w:val="en-US" w:eastAsia="zh-CN"/>
        </w:rPr>
        <w:t>与</w:t>
      </w:r>
      <w:r>
        <w:rPr>
          <w:rFonts w:hint="eastAsia" w:ascii="方正仿宋简体" w:eastAsia="方正仿宋简体"/>
          <w:sz w:val="32"/>
          <w:szCs w:val="32"/>
        </w:rPr>
        <w:t>部门的长期规划目标、年度工作目标一致，满意度</w:t>
      </w:r>
      <w:r>
        <w:rPr>
          <w:rFonts w:hint="eastAsia" w:ascii="方正仿宋简体" w:eastAsia="方正仿宋简体"/>
          <w:sz w:val="32"/>
          <w:szCs w:val="32"/>
          <w:lang w:val="en-US" w:eastAsia="zh-CN"/>
        </w:rPr>
        <w:t>提升</w:t>
      </w:r>
      <w:r>
        <w:rPr>
          <w:rFonts w:hint="eastAsia" w:ascii="仿宋_GB2312" w:hAnsi="仿宋_GB2312" w:eastAsia="仿宋_GB2312" w:cs="仿宋_GB2312"/>
          <w:sz w:val="32"/>
          <w:szCs w:val="32"/>
          <w:lang w:eastAsia="zh-CN"/>
        </w:rPr>
        <w:t>；乐至县公共资源交易电子平台建设</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97</w:t>
      </w:r>
      <w:r>
        <w:rPr>
          <w:rFonts w:hint="eastAsia" w:ascii="仿宋_GB2312" w:hAnsi="仿宋_GB2312" w:eastAsia="仿宋_GB2312" w:cs="仿宋_GB2312"/>
          <w:sz w:val="32"/>
          <w:szCs w:val="32"/>
        </w:rPr>
        <w:t>分，绩效自评综述：</w:t>
      </w:r>
      <w:r>
        <w:rPr>
          <w:rFonts w:hint="eastAsia" w:ascii="方正仿宋简体" w:eastAsia="方正仿宋简体"/>
          <w:sz w:val="32"/>
          <w:szCs w:val="32"/>
        </w:rPr>
        <w:t>通过项目的实施，全面保障</w:t>
      </w:r>
      <w:r>
        <w:rPr>
          <w:rFonts w:hint="eastAsia" w:ascii="仿宋_GB2312" w:hAnsi="仿宋_GB2312" w:eastAsia="仿宋_GB2312" w:cs="仿宋_GB2312"/>
          <w:sz w:val="32"/>
          <w:szCs w:val="32"/>
        </w:rPr>
        <w:t>公共资源电子交易系统</w:t>
      </w:r>
      <w:r>
        <w:rPr>
          <w:rFonts w:hint="eastAsia" w:ascii="仿宋_GB2312" w:hAnsi="仿宋_GB2312" w:eastAsia="仿宋_GB2312" w:cs="仿宋_GB2312"/>
          <w:sz w:val="32"/>
          <w:szCs w:val="32"/>
          <w:lang w:val="en-US" w:eastAsia="zh-CN"/>
        </w:rPr>
        <w:t>建设</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ascii="方正仿宋简体" w:hAnsi="方正仿宋简体" w:eastAsia="方正仿宋简体" w:cs="方正仿宋简体"/>
          <w:b w:val="0"/>
          <w:bCs w:val="0"/>
          <w:sz w:val="32"/>
          <w:szCs w:val="32"/>
          <w:lang w:val="en-US" w:eastAsia="zh-CN"/>
        </w:rPr>
        <w:t>平台硬件设施建设顺利并启用</w:t>
      </w:r>
      <w:r>
        <w:rPr>
          <w:rFonts w:hint="eastAsia" w:ascii="仿宋_GB2312" w:hAnsi="仿宋_GB2312" w:eastAsia="仿宋_GB2312" w:cs="仿宋_GB2312"/>
          <w:sz w:val="32"/>
          <w:szCs w:val="32"/>
          <w:lang w:eastAsia="zh-CN"/>
        </w:rPr>
        <w:t>；乐至县政府政务服务和公共资源交易服务中心专项网络费</w:t>
      </w:r>
      <w:r>
        <w:rPr>
          <w:rFonts w:hint="eastAsia" w:ascii="仿宋_GB2312" w:hAnsi="仿宋_GB2312" w:eastAsia="仿宋_GB2312" w:cs="仿宋_GB2312"/>
          <w:sz w:val="32"/>
          <w:szCs w:val="32"/>
        </w:rPr>
        <w:t>项目绩效自评得分为</w:t>
      </w:r>
      <w:r>
        <w:rPr>
          <w:rFonts w:hint="eastAsia" w:ascii="仿宋_GB2312" w:hAnsi="仿宋_GB2312" w:eastAsia="仿宋_GB2312" w:cs="仿宋_GB2312"/>
          <w:sz w:val="32"/>
          <w:szCs w:val="32"/>
          <w:lang w:val="en-US" w:eastAsia="zh-CN"/>
        </w:rPr>
        <w:t>98</w:t>
      </w:r>
      <w:r>
        <w:rPr>
          <w:rFonts w:hint="eastAsia" w:ascii="仿宋_GB2312" w:hAnsi="仿宋_GB2312" w:eastAsia="仿宋_GB2312" w:cs="仿宋_GB2312"/>
          <w:sz w:val="32"/>
          <w:szCs w:val="32"/>
        </w:rPr>
        <w:t>分，绩效自评综述：</w:t>
      </w:r>
      <w:r>
        <w:rPr>
          <w:rFonts w:hint="eastAsia" w:ascii="方正仿宋简体" w:eastAsia="方正仿宋简体"/>
          <w:sz w:val="32"/>
          <w:szCs w:val="32"/>
        </w:rPr>
        <w:t>通过项目的实施，全面保障乐至县</w:t>
      </w:r>
      <w:r>
        <w:rPr>
          <w:rFonts w:hint="eastAsia" w:ascii="方正仿宋简体" w:eastAsia="方正仿宋简体"/>
          <w:sz w:val="32"/>
          <w:szCs w:val="32"/>
          <w:lang w:val="en-US" w:eastAsia="zh-CN"/>
        </w:rPr>
        <w:t>公共资源交易活动</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eastAsia="方正仿宋简体"/>
          <w:sz w:val="32"/>
          <w:szCs w:val="32"/>
          <w:lang w:val="en-US" w:eastAsia="zh-CN"/>
        </w:rPr>
        <w:t>专项网络使用稳定畅通，资金结算及时，网络维护准时、高效</w:t>
      </w:r>
      <w:r>
        <w:rPr>
          <w:rFonts w:hint="eastAsia" w:ascii="仿宋_GB2312" w:hAnsi="仿宋_GB2312" w:eastAsia="仿宋_GB2312" w:cs="仿宋_GB2312"/>
          <w:sz w:val="32"/>
          <w:szCs w:val="32"/>
        </w:rPr>
        <w:t>。绩效自评报告详见附件</w:t>
      </w:r>
      <w:bookmarkStart w:id="51" w:name="_Hlk113349417"/>
      <w:r>
        <w:rPr>
          <w:rFonts w:hint="eastAsia" w:ascii="仿宋_GB2312" w:hAnsi="仿宋_GB2312" w:eastAsia="仿宋_GB2312" w:cs="仿宋_GB2312"/>
          <w:sz w:val="32"/>
          <w:szCs w:val="32"/>
          <w:lang w:eastAsia="zh-CN"/>
        </w:rPr>
        <w:t>。</w:t>
      </w:r>
    </w:p>
    <w:bookmarkEnd w:id="51"/>
    <w:p>
      <w:pPr>
        <w:widowControl/>
        <w:ind w:firstLine="643" w:firstLineChars="200"/>
        <w:jc w:val="left"/>
        <w:rPr>
          <w:rFonts w:ascii="仿宋_GB2312" w:eastAsia="仿宋_GB2312"/>
          <w:b/>
          <w:sz w:val="32"/>
          <w:szCs w:val="32"/>
        </w:rPr>
      </w:pPr>
      <w:r>
        <w:rPr>
          <w:rFonts w:ascii="仿宋_GB2312" w:eastAsia="仿宋_GB2312"/>
          <w:b/>
          <w:sz w:val="32"/>
          <w:szCs w:val="32"/>
        </w:rPr>
        <w:br w:type="page"/>
      </w:r>
    </w:p>
    <w:p>
      <w:pPr>
        <w:numPr>
          <w:ilvl w:val="0"/>
          <w:numId w:val="3"/>
        </w:numPr>
        <w:spacing w:line="600" w:lineRule="exact"/>
        <w:ind w:firstLine="660" w:firstLineChars="150"/>
        <w:jc w:val="center"/>
        <w:outlineLvl w:val="0"/>
        <w:rPr>
          <w:rStyle w:val="30"/>
          <w:rFonts w:ascii="黑体" w:hAnsi="黑体" w:eastAsia="黑体"/>
          <w:b w:val="0"/>
        </w:rPr>
      </w:pPr>
      <w:bookmarkStart w:id="52" w:name="_Toc15377225"/>
      <w:bookmarkStart w:id="53" w:name="_Toc15396613"/>
      <w:r>
        <w:rPr>
          <w:rFonts w:hint="eastAsia" w:ascii="黑体" w:hAnsi="黑体" w:eastAsia="黑体"/>
          <w:sz w:val="44"/>
          <w:szCs w:val="44"/>
        </w:rPr>
        <w:t>名</w:t>
      </w:r>
      <w:r>
        <w:rPr>
          <w:rStyle w:val="30"/>
          <w:rFonts w:hint="eastAsia" w:ascii="黑体" w:hAnsi="黑体" w:eastAsia="黑体"/>
          <w:b w:val="0"/>
        </w:rPr>
        <w:t>词解释</w:t>
      </w:r>
      <w:bookmarkEnd w:id="52"/>
      <w:bookmarkEnd w:id="53"/>
    </w:p>
    <w:p>
      <w:pPr>
        <w:spacing w:line="600" w:lineRule="exact"/>
        <w:jc w:val="left"/>
        <w:rPr>
          <w:rFonts w:ascii="宋体"/>
          <w:b/>
          <w:sz w:val="44"/>
          <w:szCs w:val="44"/>
        </w:rPr>
      </w:pP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pPr>
        <w:pStyle w:val="28"/>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r>
        <w:rPr>
          <w:rFonts w:ascii="仿宋_GB2312" w:eastAsia="仿宋_GB2312"/>
          <w:color w:val="auto"/>
          <w:sz w:val="32"/>
          <w:szCs w:val="32"/>
        </w:rPr>
        <w:t xml:space="preserve"> </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28"/>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一般公共服务：指</w:t>
      </w:r>
      <w:r>
        <w:rPr>
          <w:rFonts w:hint="eastAsia" w:ascii="仿宋_GB2312" w:eastAsia="仿宋_GB2312"/>
          <w:sz w:val="32"/>
          <w:szCs w:val="32"/>
          <w:lang w:val="en-US" w:eastAsia="zh-CN"/>
        </w:rPr>
        <w:t>职工报酬、商品和服务等</w:t>
      </w: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社会保障和就业：指</w:t>
      </w:r>
      <w:r>
        <w:rPr>
          <w:rFonts w:hint="eastAsia" w:ascii="仿宋_GB2312" w:eastAsia="仿宋_GB2312"/>
          <w:sz w:val="32"/>
          <w:szCs w:val="32"/>
          <w:lang w:val="en-US" w:eastAsia="zh-CN"/>
        </w:rPr>
        <w:t>养老保险、失业保险、职业年金</w:t>
      </w:r>
      <w:r>
        <w:rPr>
          <w:rFonts w:hint="eastAsia" w:ascii="仿宋_GB2312" w:eastAsia="仿宋_GB2312"/>
          <w:sz w:val="32"/>
          <w:szCs w:val="32"/>
        </w:rPr>
        <w:t>。</w:t>
      </w:r>
    </w:p>
    <w:p>
      <w:pPr>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1</w:t>
      </w:r>
      <w:r>
        <w:rPr>
          <w:rFonts w:ascii="仿宋_GB2312" w:eastAsia="仿宋_GB2312"/>
          <w:sz w:val="32"/>
          <w:szCs w:val="32"/>
        </w:rPr>
        <w:t>.</w:t>
      </w:r>
      <w:r>
        <w:rPr>
          <w:rFonts w:hint="eastAsia" w:ascii="仿宋_GB2312" w:eastAsia="仿宋_GB2312"/>
          <w:sz w:val="32"/>
          <w:szCs w:val="32"/>
        </w:rPr>
        <w:t>卫生健康：指</w:t>
      </w:r>
      <w:r>
        <w:rPr>
          <w:rFonts w:hint="eastAsia" w:ascii="仿宋_GB2312" w:eastAsia="仿宋_GB2312"/>
          <w:sz w:val="32"/>
          <w:szCs w:val="32"/>
          <w:lang w:val="en-US" w:eastAsia="zh-CN"/>
        </w:rPr>
        <w:t>医疗（生育保险）</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12</w:t>
      </w:r>
      <w:r>
        <w:rPr>
          <w:rFonts w:ascii="仿宋_GB2312" w:eastAsia="仿宋_GB2312"/>
          <w:sz w:val="32"/>
          <w:szCs w:val="32"/>
        </w:rPr>
        <w:t>.</w:t>
      </w:r>
      <w:r>
        <w:rPr>
          <w:rFonts w:hint="eastAsia" w:ascii="仿宋_GB2312" w:eastAsia="仿宋_GB2312"/>
          <w:sz w:val="32"/>
          <w:szCs w:val="32"/>
        </w:rPr>
        <w:t>住房保障：指</w:t>
      </w:r>
      <w:r>
        <w:rPr>
          <w:rFonts w:hint="eastAsia" w:ascii="仿宋_GB2312" w:eastAsia="仿宋_GB2312"/>
          <w:sz w:val="32"/>
          <w:szCs w:val="32"/>
          <w:lang w:val="en-US" w:eastAsia="zh-CN"/>
        </w:rPr>
        <w:t>住房公积金</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lang w:val="en-US" w:eastAsia="zh-CN"/>
        </w:rPr>
        <w:t>13</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14</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lang w:val="en-US" w:eastAsia="zh-CN"/>
        </w:rPr>
        <w:t>15</w:t>
      </w:r>
      <w:r>
        <w:rPr>
          <w:rFonts w:ascii="仿宋_GB2312" w:eastAsia="仿宋_GB2312"/>
          <w:sz w:val="32"/>
          <w:szCs w:val="32"/>
        </w:rPr>
        <w:t>.</w:t>
      </w:r>
      <w:r>
        <w:rPr>
          <w:rFonts w:hint="eastAsia" w:ascii="仿宋_GB2312" w:eastAsia="仿宋_GB2312"/>
          <w:sz w:val="32"/>
          <w:szCs w:val="32"/>
        </w:rPr>
        <w:t>经营支出：指事业单位在专业业务活动及其辅助活动之外开展非独立核算经营活动发生的支出。</w:t>
      </w:r>
    </w:p>
    <w:p>
      <w:pPr>
        <w:pStyle w:val="28"/>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16</w:t>
      </w:r>
      <w:r>
        <w:rPr>
          <w:rFonts w:ascii="仿宋_GB2312" w:eastAsia="仿宋_GB2312"/>
          <w:color w:val="auto"/>
          <w:sz w:val="32"/>
          <w:szCs w:val="32"/>
        </w:rPr>
        <w:t>.</w:t>
      </w:r>
      <w:r>
        <w:rPr>
          <w:rFonts w:hint="eastAsia" w:ascii="仿宋_GB2312" w:eastAsia="仿宋_GB2312"/>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17</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eastAsia="仿宋"/>
          <w:i/>
          <w:color w:val="000000"/>
          <w:sz w:val="32"/>
          <w:szCs w:val="32"/>
          <w:highlight w:val="yellow"/>
        </w:rPr>
      </w:pPr>
      <w:bookmarkStart w:id="54" w:name="_Toc15377226"/>
    </w:p>
    <w:p>
      <w:pPr>
        <w:spacing w:line="600" w:lineRule="exact"/>
        <w:jc w:val="center"/>
        <w:outlineLvl w:val="0"/>
        <w:rPr>
          <w:rStyle w:val="30"/>
          <w:rFonts w:ascii="黑体" w:hAnsi="黑体" w:eastAsia="黑体"/>
          <w:b w:val="0"/>
        </w:rPr>
      </w:pPr>
      <w:r>
        <w:rPr>
          <w:rFonts w:ascii="宋体"/>
          <w:b/>
          <w:sz w:val="44"/>
          <w:szCs w:val="44"/>
        </w:rPr>
        <w:br w:type="page"/>
      </w:r>
      <w:bookmarkStart w:id="55" w:name="_Toc15396614"/>
      <w:r>
        <w:rPr>
          <w:rFonts w:hint="eastAsia" w:ascii="黑体" w:hAnsi="黑体" w:eastAsia="黑体"/>
          <w:sz w:val="44"/>
          <w:szCs w:val="44"/>
        </w:rPr>
        <w:t>第</w:t>
      </w:r>
      <w:r>
        <w:rPr>
          <w:rStyle w:val="30"/>
          <w:rFonts w:hint="eastAsia" w:ascii="黑体" w:hAnsi="黑体" w:eastAsia="黑体"/>
          <w:b w:val="0"/>
        </w:rPr>
        <w:t>四部分 附件</w:t>
      </w:r>
      <w:bookmarkEnd w:id="55"/>
    </w:p>
    <w:p>
      <w:pPr>
        <w:spacing w:line="572" w:lineRule="exact"/>
        <w:jc w:val="left"/>
        <w:outlineLvl w:val="0"/>
        <w:rPr>
          <w:rFonts w:ascii="黑体" w:hAnsi="黑体" w:eastAsia="黑体" w:cs="黑体"/>
          <w:sz w:val="32"/>
          <w:szCs w:val="32"/>
        </w:rPr>
      </w:pPr>
      <w:r>
        <w:rPr>
          <w:rFonts w:hint="eastAsia" w:ascii="黑体" w:hAnsi="黑体" w:eastAsia="黑体" w:cs="黑体"/>
          <w:sz w:val="32"/>
          <w:szCs w:val="32"/>
        </w:rPr>
        <w:t>附件</w:t>
      </w:r>
    </w:p>
    <w:p>
      <w:pPr>
        <w:spacing w:line="580" w:lineRule="exact"/>
        <w:jc w:val="center"/>
        <w:rPr>
          <w:rFonts w:hint="eastAsia" w:eastAsia="方正小标宋简体"/>
          <w:color w:val="auto"/>
          <w:w w:val="85"/>
          <w:sz w:val="44"/>
          <w:szCs w:val="44"/>
          <w:lang w:val="en-US" w:eastAsia="zh-CN"/>
        </w:rPr>
      </w:pPr>
      <w:r>
        <w:rPr>
          <w:rFonts w:hint="eastAsia" w:eastAsia="方正小标宋简体"/>
          <w:color w:val="auto"/>
          <w:w w:val="85"/>
          <w:sz w:val="44"/>
          <w:szCs w:val="44"/>
          <w:lang w:val="en-US" w:eastAsia="zh-CN"/>
        </w:rPr>
        <w:t>乐至县政府政务服务和公共资源交易服务中心</w:t>
      </w:r>
    </w:p>
    <w:p>
      <w:pPr>
        <w:spacing w:line="580" w:lineRule="exact"/>
        <w:jc w:val="center"/>
        <w:rPr>
          <w:rFonts w:hint="eastAsia" w:eastAsia="方正小标宋简体"/>
          <w:color w:val="auto"/>
          <w:sz w:val="44"/>
          <w:szCs w:val="44"/>
          <w:lang w:val="en-US" w:eastAsia="zh-CN"/>
        </w:rPr>
      </w:pPr>
      <w:r>
        <w:rPr>
          <w:rFonts w:eastAsia="方正小标宋简体"/>
          <w:color w:val="auto"/>
          <w:w w:val="85"/>
          <w:sz w:val="44"/>
          <w:szCs w:val="44"/>
        </w:rPr>
        <w:t>202</w:t>
      </w:r>
      <w:r>
        <w:rPr>
          <w:rFonts w:hint="eastAsia" w:eastAsia="方正小标宋简体"/>
          <w:color w:val="auto"/>
          <w:w w:val="85"/>
          <w:sz w:val="44"/>
          <w:szCs w:val="44"/>
          <w:lang w:val="en-US" w:eastAsia="zh-CN"/>
        </w:rPr>
        <w:t>2</w:t>
      </w:r>
      <w:r>
        <w:rPr>
          <w:rFonts w:hint="eastAsia" w:eastAsia="方正小标宋简体"/>
          <w:color w:val="auto"/>
          <w:w w:val="85"/>
          <w:sz w:val="44"/>
          <w:szCs w:val="44"/>
        </w:rPr>
        <w:t>年</w:t>
      </w:r>
      <w:r>
        <w:rPr>
          <w:rFonts w:hint="eastAsia" w:eastAsia="方正小标宋简体"/>
          <w:color w:val="auto"/>
          <w:sz w:val="44"/>
          <w:szCs w:val="44"/>
        </w:rPr>
        <w:t>部门整体支出绩效</w:t>
      </w:r>
      <w:r>
        <w:rPr>
          <w:rFonts w:hint="eastAsia" w:eastAsia="方正小标宋简体"/>
          <w:color w:val="auto"/>
          <w:sz w:val="44"/>
          <w:szCs w:val="44"/>
          <w:lang w:val="en-US" w:eastAsia="zh-CN"/>
        </w:rPr>
        <w:t>报告</w:t>
      </w:r>
    </w:p>
    <w:p>
      <w:pPr>
        <w:spacing w:line="580" w:lineRule="exact"/>
        <w:ind w:firstLine="640" w:firstLineChars="200"/>
        <w:rPr>
          <w:rFonts w:eastAsia="方正仿宋简体"/>
          <w:color w:val="auto"/>
          <w:sz w:val="32"/>
          <w:szCs w:val="32"/>
        </w:rPr>
      </w:pPr>
    </w:p>
    <w:p>
      <w:pPr>
        <w:spacing w:line="580" w:lineRule="exact"/>
        <w:jc w:val="center"/>
        <w:rPr>
          <w:rFonts w:hint="eastAsia" w:eastAsia="方正黑体简体"/>
          <w:color w:val="auto"/>
          <w:sz w:val="32"/>
          <w:szCs w:val="32"/>
        </w:rPr>
      </w:pPr>
      <w:r>
        <w:rPr>
          <w:rFonts w:hint="eastAsia" w:eastAsia="方正黑体简体"/>
          <w:color w:val="auto"/>
          <w:sz w:val="32"/>
          <w:szCs w:val="32"/>
        </w:rPr>
        <w:t>前</w:t>
      </w:r>
      <w:r>
        <w:rPr>
          <w:rFonts w:eastAsia="方正黑体简体"/>
          <w:color w:val="auto"/>
          <w:sz w:val="32"/>
          <w:szCs w:val="32"/>
        </w:rPr>
        <w:t xml:space="preserve">    </w:t>
      </w:r>
      <w:r>
        <w:rPr>
          <w:rFonts w:hint="eastAsia" w:eastAsia="方正黑体简体"/>
          <w:color w:val="auto"/>
          <w:sz w:val="32"/>
          <w:szCs w:val="32"/>
        </w:rPr>
        <w:t>言</w:t>
      </w:r>
    </w:p>
    <w:p>
      <w:pPr>
        <w:spacing w:line="580" w:lineRule="exact"/>
        <w:ind w:firstLine="640" w:firstLineChars="200"/>
        <w:jc w:val="left"/>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w w:val="100"/>
          <w:sz w:val="32"/>
          <w:szCs w:val="32"/>
          <w:lang w:val="en-US" w:eastAsia="zh-CN"/>
        </w:rPr>
        <w:t>乐至县政府政务服务和公共资源交易服务中心</w:t>
      </w:r>
      <w:r>
        <w:rPr>
          <w:rFonts w:hint="eastAsia" w:ascii="方正仿宋简体" w:hAnsi="方正仿宋简体" w:eastAsia="方正仿宋简体" w:cs="方正仿宋简体"/>
          <w:color w:val="auto"/>
          <w:w w:val="100"/>
          <w:sz w:val="32"/>
          <w:szCs w:val="32"/>
        </w:rPr>
        <w:t>交易中心</w:t>
      </w:r>
      <w:r>
        <w:rPr>
          <w:rFonts w:hint="eastAsia" w:ascii="方正仿宋简体" w:hAnsi="方正仿宋简体" w:eastAsia="方正仿宋简体" w:cs="方正仿宋简体"/>
          <w:color w:val="auto"/>
          <w:sz w:val="32"/>
          <w:szCs w:val="32"/>
        </w:rPr>
        <w:t>支出</w:t>
      </w:r>
      <w:r>
        <w:rPr>
          <w:rFonts w:hint="eastAsia" w:ascii="方正仿宋简体" w:hAnsi="方正仿宋简体" w:eastAsia="方正仿宋简体" w:cs="方正仿宋简体"/>
          <w:color w:val="auto"/>
          <w:sz w:val="32"/>
          <w:szCs w:val="32"/>
          <w:lang w:val="en-US" w:eastAsia="zh-CN"/>
        </w:rPr>
        <w:t>505.28</w:t>
      </w:r>
      <w:r>
        <w:rPr>
          <w:rFonts w:hint="eastAsia" w:ascii="方正仿宋简体" w:hAnsi="方正仿宋简体" w:eastAsia="方正仿宋简体" w:cs="方正仿宋简体"/>
          <w:color w:val="auto"/>
          <w:sz w:val="32"/>
          <w:szCs w:val="32"/>
          <w:lang w:eastAsia="zh-CN"/>
        </w:rPr>
        <w:t>万</w:t>
      </w:r>
      <w:r>
        <w:rPr>
          <w:rFonts w:hint="eastAsia" w:ascii="方正仿宋简体" w:hAnsi="方正仿宋简体" w:eastAsia="方正仿宋简体" w:cs="方正仿宋简体"/>
          <w:color w:val="auto"/>
          <w:sz w:val="32"/>
          <w:szCs w:val="32"/>
        </w:rPr>
        <w:t>元。</w:t>
      </w:r>
    </w:p>
    <w:p>
      <w:pPr>
        <w:spacing w:line="580" w:lineRule="exact"/>
        <w:ind w:firstLine="640" w:firstLineChars="200"/>
        <w:jc w:val="left"/>
        <w:rPr>
          <w:rFonts w:hint="eastAsia"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按支出性质分类：其中：基本支出</w:t>
      </w:r>
      <w:r>
        <w:rPr>
          <w:rFonts w:hint="eastAsia" w:ascii="方正仿宋简体" w:hAnsi="方正仿宋简体" w:eastAsia="方正仿宋简体" w:cs="方正仿宋简体"/>
          <w:color w:val="auto"/>
          <w:sz w:val="32"/>
          <w:szCs w:val="32"/>
          <w:lang w:val="en-US" w:eastAsia="zh-CN"/>
        </w:rPr>
        <w:t>283.07</w:t>
      </w:r>
      <w:r>
        <w:rPr>
          <w:rFonts w:hint="eastAsia" w:ascii="方正仿宋简体" w:hAnsi="方正仿宋简体" w:eastAsia="方正仿宋简体" w:cs="方正仿宋简体"/>
          <w:color w:val="auto"/>
          <w:sz w:val="32"/>
          <w:szCs w:val="32"/>
        </w:rPr>
        <w:t>万元，占总支出的</w:t>
      </w:r>
      <w:r>
        <w:rPr>
          <w:rFonts w:hint="eastAsia" w:ascii="方正仿宋简体" w:hAnsi="方正仿宋简体" w:eastAsia="方正仿宋简体" w:cs="方正仿宋简体"/>
          <w:color w:val="auto"/>
          <w:sz w:val="32"/>
          <w:szCs w:val="32"/>
          <w:lang w:val="en-US" w:eastAsia="zh-CN"/>
        </w:rPr>
        <w:t>56.02</w:t>
      </w:r>
      <w:r>
        <w:rPr>
          <w:rFonts w:hint="eastAsia" w:ascii="方正仿宋简体" w:hAnsi="方正仿宋简体" w:eastAsia="方正仿宋简体" w:cs="方正仿宋简体"/>
          <w:color w:val="auto"/>
          <w:sz w:val="32"/>
          <w:szCs w:val="32"/>
        </w:rPr>
        <w:t>%。其中：人员支出</w:t>
      </w:r>
      <w:r>
        <w:rPr>
          <w:rFonts w:hint="eastAsia" w:ascii="方正仿宋简体" w:hAnsi="方正仿宋简体" w:eastAsia="方正仿宋简体" w:cs="方正仿宋简体"/>
          <w:color w:val="auto"/>
          <w:sz w:val="32"/>
          <w:szCs w:val="32"/>
          <w:lang w:val="en-US" w:eastAsia="zh-CN"/>
        </w:rPr>
        <w:t>262.5</w:t>
      </w:r>
      <w:r>
        <w:rPr>
          <w:rFonts w:hint="eastAsia" w:ascii="方正仿宋简体" w:hAnsi="方正仿宋简体" w:eastAsia="方正仿宋简体" w:cs="方正仿宋简体"/>
          <w:color w:val="auto"/>
          <w:sz w:val="32"/>
          <w:szCs w:val="32"/>
        </w:rPr>
        <w:t>万元，占基本支出总额的</w:t>
      </w:r>
      <w:r>
        <w:rPr>
          <w:rFonts w:hint="eastAsia" w:ascii="方正仿宋简体" w:hAnsi="方正仿宋简体" w:eastAsia="方正仿宋简体" w:cs="方正仿宋简体"/>
          <w:color w:val="auto"/>
          <w:sz w:val="32"/>
          <w:szCs w:val="32"/>
          <w:lang w:val="en-US" w:eastAsia="zh-CN"/>
        </w:rPr>
        <w:t>92.73</w:t>
      </w:r>
      <w:r>
        <w:rPr>
          <w:rFonts w:hint="eastAsia" w:ascii="方正仿宋简体" w:hAnsi="方正仿宋简体" w:eastAsia="方正仿宋简体" w:cs="方正仿宋简体"/>
          <w:color w:val="auto"/>
          <w:sz w:val="32"/>
          <w:szCs w:val="32"/>
        </w:rPr>
        <w:t>%；日常公用支出</w:t>
      </w:r>
      <w:r>
        <w:rPr>
          <w:rFonts w:hint="eastAsia" w:ascii="方正仿宋简体" w:hAnsi="方正仿宋简体" w:eastAsia="方正仿宋简体" w:cs="方正仿宋简体"/>
          <w:color w:val="auto"/>
          <w:sz w:val="32"/>
          <w:szCs w:val="32"/>
          <w:lang w:val="en-US" w:eastAsia="zh-CN"/>
        </w:rPr>
        <w:t>20.57</w:t>
      </w:r>
      <w:r>
        <w:rPr>
          <w:rFonts w:hint="eastAsia" w:ascii="方正仿宋简体" w:hAnsi="方正仿宋简体" w:eastAsia="方正仿宋简体" w:cs="方正仿宋简体"/>
          <w:color w:val="auto"/>
          <w:sz w:val="32"/>
          <w:szCs w:val="32"/>
        </w:rPr>
        <w:t>万元，占基本支出总额的</w:t>
      </w:r>
      <w:r>
        <w:rPr>
          <w:rFonts w:hint="eastAsia" w:ascii="方正仿宋简体" w:hAnsi="方正仿宋简体" w:eastAsia="方正仿宋简体" w:cs="方正仿宋简体"/>
          <w:color w:val="auto"/>
          <w:sz w:val="32"/>
          <w:szCs w:val="32"/>
          <w:lang w:val="en-US" w:eastAsia="zh-CN"/>
        </w:rPr>
        <w:t>7.27</w:t>
      </w:r>
      <w:r>
        <w:rPr>
          <w:rFonts w:hint="eastAsia" w:ascii="方正仿宋简体" w:hAnsi="方正仿宋简体" w:eastAsia="方正仿宋简体" w:cs="方正仿宋简体"/>
          <w:color w:val="auto"/>
          <w:sz w:val="32"/>
          <w:szCs w:val="32"/>
        </w:rPr>
        <w:t>%。</w:t>
      </w:r>
    </w:p>
    <w:p>
      <w:pPr>
        <w:spacing w:line="580" w:lineRule="exact"/>
        <w:ind w:firstLine="640" w:firstLineChars="200"/>
        <w:jc w:val="left"/>
        <w:rPr>
          <w:rFonts w:hint="default" w:eastAsia="方正仿宋简体"/>
          <w:color w:val="auto"/>
          <w:w w:val="100"/>
          <w:sz w:val="32"/>
          <w:szCs w:val="32"/>
          <w:lang w:val="en-US"/>
        </w:rPr>
      </w:pPr>
      <w:r>
        <w:rPr>
          <w:rFonts w:hint="eastAsia" w:ascii="方正仿宋简体" w:hAnsi="方正仿宋简体" w:eastAsia="方正仿宋简体" w:cs="方正仿宋简体"/>
          <w:color w:val="auto"/>
          <w:sz w:val="32"/>
          <w:szCs w:val="32"/>
        </w:rPr>
        <w:t>项目支出</w:t>
      </w:r>
      <w:r>
        <w:rPr>
          <w:rFonts w:hint="eastAsia" w:ascii="方正仿宋简体" w:hAnsi="方正仿宋简体" w:eastAsia="方正仿宋简体" w:cs="方正仿宋简体"/>
          <w:color w:val="auto"/>
          <w:sz w:val="32"/>
          <w:szCs w:val="32"/>
          <w:lang w:val="en-US" w:eastAsia="zh-CN"/>
        </w:rPr>
        <w:t>222.2</w:t>
      </w:r>
      <w:r>
        <w:rPr>
          <w:rFonts w:hint="eastAsia" w:ascii="方正仿宋简体" w:hAnsi="方正仿宋简体" w:eastAsia="方正仿宋简体" w:cs="方正仿宋简体"/>
          <w:color w:val="auto"/>
          <w:sz w:val="32"/>
          <w:szCs w:val="32"/>
        </w:rPr>
        <w:t>万元，占总支出的</w:t>
      </w:r>
      <w:r>
        <w:rPr>
          <w:rFonts w:hint="eastAsia" w:ascii="方正仿宋简体" w:hAnsi="方正仿宋简体" w:eastAsia="方正仿宋简体" w:cs="方正仿宋简体"/>
          <w:color w:val="auto"/>
          <w:sz w:val="32"/>
          <w:szCs w:val="32"/>
          <w:lang w:val="en-US" w:eastAsia="zh-CN"/>
        </w:rPr>
        <w:t>43.98</w:t>
      </w:r>
      <w:r>
        <w:rPr>
          <w:rFonts w:hint="eastAsia" w:ascii="方正仿宋简体" w:hAnsi="方正仿宋简体" w:eastAsia="方正仿宋简体" w:cs="方正仿宋简体"/>
          <w:color w:val="auto"/>
          <w:sz w:val="32"/>
          <w:szCs w:val="32"/>
        </w:rPr>
        <w:t>%。</w:t>
      </w:r>
      <w:r>
        <w:rPr>
          <w:rFonts w:hint="eastAsia" w:ascii="方正仿宋简体" w:hAnsi="方正仿宋简体" w:eastAsia="方正仿宋简体" w:cs="方正仿宋简体"/>
          <w:color w:val="auto"/>
          <w:w w:val="100"/>
          <w:sz w:val="32"/>
          <w:szCs w:val="32"/>
          <w:lang w:val="en-US" w:eastAsia="zh-CN"/>
        </w:rPr>
        <w:t>分为7个项目：其中乐至县公共资源交易服务中心业务业务用房建设费用80万元整；乐至县标准化、规范化创建“示范交易中心”58万元；乐至县公共资源交易电子平台建设40万元；2022年政府采购评审专家劳务费16.26万元；工程建设招投标异地远程评标设施设备经费7万元；乐至县政府政务服务和公共资源交易服务中心专项网络费10.07万元；乐至县政府政务服务和公共资源交易服务中心2021年专项办公费</w:t>
      </w:r>
      <w:r>
        <w:rPr>
          <w:rFonts w:hint="eastAsia" w:ascii="方正仿宋简体" w:hAnsi="方正仿宋简体" w:eastAsia="方正仿宋简体" w:cs="方正仿宋简体"/>
          <w:b w:val="0"/>
          <w:bCs/>
          <w:color w:val="auto"/>
          <w:sz w:val="32"/>
          <w:szCs w:val="32"/>
          <w:lang w:val="en-US" w:eastAsia="zh-CN"/>
        </w:rPr>
        <w:t>10.86万</w:t>
      </w:r>
      <w:r>
        <w:rPr>
          <w:rFonts w:hint="eastAsia" w:ascii="方正仿宋简体" w:hAnsi="方正仿宋简体" w:eastAsia="方正仿宋简体" w:cs="方正仿宋简体"/>
          <w:color w:val="auto"/>
          <w:w w:val="100"/>
          <w:sz w:val="32"/>
          <w:szCs w:val="32"/>
          <w:lang w:val="en-US" w:eastAsia="zh-CN"/>
        </w:rPr>
        <w:t>元。</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一、部门（单位）概况</w:t>
      </w:r>
    </w:p>
    <w:p>
      <w:pPr>
        <w:spacing w:line="580" w:lineRule="exact"/>
        <w:ind w:firstLine="640" w:firstLineChars="200"/>
        <w:rPr>
          <w:rFonts w:hint="eastAsia" w:ascii="方正黑体简体" w:eastAsia="方正黑体简体"/>
          <w:color w:val="auto"/>
          <w:sz w:val="32"/>
          <w:szCs w:val="32"/>
          <w:lang w:eastAsia="zh-CN"/>
        </w:rPr>
      </w:pPr>
      <w:r>
        <w:rPr>
          <w:rFonts w:hint="eastAsia" w:ascii="方正黑体简体" w:eastAsia="方正黑体简体"/>
          <w:color w:val="auto"/>
          <w:sz w:val="32"/>
          <w:szCs w:val="32"/>
          <w:lang w:eastAsia="zh-CN"/>
        </w:rPr>
        <w:t>（一）机构组成</w:t>
      </w:r>
    </w:p>
    <w:p>
      <w:pPr>
        <w:spacing w:line="590" w:lineRule="exact"/>
        <w:ind w:firstLine="640" w:firstLineChars="200"/>
        <w:rPr>
          <w:rFonts w:hint="eastAsia" w:ascii="方正仿宋简体" w:eastAsia="方正仿宋简体"/>
          <w:color w:val="auto"/>
          <w:sz w:val="32"/>
          <w:szCs w:val="32"/>
          <w:lang w:val="en-US" w:eastAsia="zh-CN"/>
        </w:rPr>
      </w:pPr>
      <w:r>
        <w:rPr>
          <w:rFonts w:hint="eastAsia" w:ascii="方正仿宋简体" w:eastAsia="方正仿宋简体"/>
          <w:color w:val="auto"/>
          <w:sz w:val="32"/>
          <w:szCs w:val="32"/>
          <w:lang w:val="en-US" w:eastAsia="zh-CN"/>
        </w:rPr>
        <w:t>按照《中共乐至县委机构编制委员会关于同意县公共资源交易服务中心设置内设机构的批复》（乐编发〔2020〕15号）文件规定，</w:t>
      </w:r>
      <w:r>
        <w:rPr>
          <w:rFonts w:hint="eastAsia" w:ascii="宋体" w:hAnsi="宋体" w:eastAsia="方正仿宋简体"/>
          <w:color w:val="auto"/>
          <w:sz w:val="33"/>
          <w:szCs w:val="33"/>
        </w:rPr>
        <w:t>乐至县政府政务服务和公共资源交易服务中心挂乐至县政府采购中心牌子</w:t>
      </w:r>
      <w:r>
        <w:rPr>
          <w:rFonts w:hint="eastAsia" w:ascii="宋体" w:hAnsi="宋体" w:eastAsia="方正仿宋简体"/>
          <w:color w:val="auto"/>
          <w:sz w:val="33"/>
          <w:szCs w:val="33"/>
          <w:lang w:eastAsia="zh-CN"/>
        </w:rPr>
        <w:t>。</w:t>
      </w:r>
      <w:r>
        <w:rPr>
          <w:rFonts w:hint="eastAsia" w:ascii="方正仿宋简体" w:eastAsia="方正仿宋简体"/>
          <w:color w:val="auto"/>
          <w:sz w:val="32"/>
          <w:szCs w:val="32"/>
          <w:lang w:val="en-US" w:eastAsia="zh-CN"/>
        </w:rPr>
        <w:t>中心设置办公室、监督服务股、交易受理股、工程交易股、政府采购股、国资交易股、政务热线股、网络信息股8个内设机构。</w:t>
      </w:r>
    </w:p>
    <w:p>
      <w:pPr>
        <w:spacing w:line="580" w:lineRule="exact"/>
        <w:ind w:firstLine="640" w:firstLineChars="200"/>
        <w:rPr>
          <w:rFonts w:hint="eastAsia" w:ascii="方正黑体简体" w:eastAsia="方正黑体简体"/>
          <w:color w:val="auto"/>
          <w:sz w:val="32"/>
          <w:szCs w:val="32"/>
          <w:lang w:eastAsia="zh-CN"/>
        </w:rPr>
      </w:pPr>
      <w:r>
        <w:rPr>
          <w:rFonts w:hint="eastAsia" w:ascii="方正黑体简体" w:eastAsia="方正黑体简体"/>
          <w:color w:val="auto"/>
          <w:sz w:val="32"/>
          <w:szCs w:val="32"/>
          <w:lang w:eastAsia="zh-CN"/>
        </w:rPr>
        <w:t>（二）机构职能</w:t>
      </w:r>
    </w:p>
    <w:p>
      <w:pPr>
        <w:spacing w:line="580" w:lineRule="exact"/>
        <w:ind w:firstLine="640" w:firstLineChars="200"/>
        <w:rPr>
          <w:rFonts w:eastAsia="方正楷体简体"/>
          <w:b/>
          <w:color w:val="auto"/>
          <w:sz w:val="32"/>
          <w:szCs w:val="32"/>
        </w:rPr>
      </w:pPr>
      <w:r>
        <w:rPr>
          <w:rFonts w:hint="eastAsia" w:ascii="方正仿宋简体" w:eastAsia="方正仿宋简体"/>
          <w:color w:val="auto"/>
          <w:sz w:val="32"/>
          <w:szCs w:val="32"/>
          <w:lang w:val="en-US" w:eastAsia="zh-CN"/>
        </w:rPr>
        <w:t>按照《中共乐至县委机构编制委员会关于同意县公共资源交易服务中心设置内设机构的批复》（乐编发〔2020〕15号）文件规定，中心主要职责为：1.贯彻执行政务服务和公共资源交易相关法律、法规和政策，拟订县级政务服务和公共资源交易规章制度、工作流程等并组织实施。2.为县级政务服务和公共资源交易活动提供场所、设施、信息及现场服务管理；负责中心信息技术及数据平台建设和管理工作；协助相关部门开展中介机构库建设和管理工作。3.对派驻县政府政务服务和公共资源交易服务中心大厅的单位窗口及工作人员进行综合服务；对公共资源交易项目进场交易机构及工作人员进行组织服务。4.参与研究入驻县政府政务服务和公共资源交易服务中心大厅的部门（单位）及审批服务事项的调整工作。5.审查进场交易的公共资源项目相关手续，审核各参与方的主体资格；负责国家投资工程建设项目的招投标、政府集中采购和国有土地、矿业权等出让的招拍挂、国有资产或特许经营权等转让的现场管理和服务工作。6.负责县本级政府集中采购相关工作，接受县级各政府采购单位委托，代理执行政府采购工作。7.建立公共资源交易从业者现场行为公开制度，开展信用信息记录、评价和发布工作。8.负责公共资源交易涉及的保证金收退等财务管理工作。9.承担12345政务服务热线工作，负责制定政务服务热线管理制度，负责政务服务热线转办、催办、回访、审结、归档等工作。10.指导乡镇（街道）便民服务大厅标准化建设和规范化运行工作，参与相关业务的调研和培训工作。11.完成主管部门交办的其他工作。</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（三）人员概况</w:t>
      </w:r>
    </w:p>
    <w:p>
      <w:pPr>
        <w:spacing w:line="590" w:lineRule="exact"/>
        <w:ind w:firstLine="640" w:firstLineChars="200"/>
        <w:rPr>
          <w:rFonts w:hint="default" w:ascii="方正仿宋简体" w:hAnsi="Times New Roman" w:eastAsia="方正仿宋简体" w:cs="Times New Roman"/>
          <w:color w:val="auto"/>
          <w:sz w:val="32"/>
          <w:szCs w:val="32"/>
          <w:lang w:val="en-US" w:eastAsia="zh-CN"/>
        </w:rPr>
      </w:pPr>
      <w:r>
        <w:rPr>
          <w:rFonts w:hint="eastAsia" w:ascii="方正仿宋简体" w:hAnsi="Times New Roman" w:eastAsia="方正仿宋简体" w:cs="Times New Roman"/>
          <w:color w:val="auto"/>
          <w:sz w:val="32"/>
          <w:szCs w:val="32"/>
          <w:lang w:val="en-US" w:eastAsia="zh-CN"/>
        </w:rPr>
        <w:t>乐至县政府政务务和公共资源交易服务中心事业编制20名，设主任1名，副主任2名，中层职数8名。中心现有人员19名，其中2022年3月调入1人，11月新增2人。现有主任1名，副主任1名（兼任办公室主任），另有中层干部7名。</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二、部门财政资金收支情况</w:t>
      </w:r>
    </w:p>
    <w:p>
      <w:pPr>
        <w:spacing w:line="590" w:lineRule="exact"/>
        <w:ind w:firstLine="643" w:firstLineChars="200"/>
        <w:rPr>
          <w:rFonts w:hint="eastAsia" w:eastAsia="方正楷体简体"/>
          <w:b/>
          <w:color w:val="auto"/>
          <w:sz w:val="32"/>
          <w:szCs w:val="32"/>
        </w:rPr>
      </w:pPr>
      <w:r>
        <w:rPr>
          <w:rFonts w:hint="eastAsia" w:eastAsia="方正楷体简体"/>
          <w:b/>
          <w:color w:val="auto"/>
          <w:sz w:val="32"/>
          <w:szCs w:val="32"/>
        </w:rPr>
        <w:t>（一）部门财政资金收入情况</w:t>
      </w:r>
    </w:p>
    <w:p>
      <w:pPr>
        <w:spacing w:line="590" w:lineRule="exact"/>
        <w:ind w:firstLine="640" w:firstLineChars="200"/>
        <w:rPr>
          <w:rFonts w:eastAsia="方正楷体简体"/>
          <w:b/>
          <w:color w:val="auto"/>
          <w:sz w:val="32"/>
          <w:szCs w:val="32"/>
        </w:rPr>
      </w:pPr>
      <w:r>
        <w:rPr>
          <w:rFonts w:hint="eastAsia" w:ascii="方正仿宋简体" w:eastAsia="方正仿宋简体"/>
          <w:color w:val="auto"/>
          <w:sz w:val="32"/>
          <w:szCs w:val="32"/>
          <w:lang w:eastAsia="zh-CN"/>
        </w:rPr>
        <w:t>20</w:t>
      </w:r>
      <w:r>
        <w:rPr>
          <w:rFonts w:hint="eastAsia" w:ascii="方正仿宋简体" w:eastAsia="方正仿宋简体"/>
          <w:color w:val="auto"/>
          <w:sz w:val="32"/>
          <w:szCs w:val="32"/>
          <w:lang w:val="en-US" w:eastAsia="zh-CN"/>
        </w:rPr>
        <w:t>22</w:t>
      </w:r>
      <w:r>
        <w:rPr>
          <w:rFonts w:hint="eastAsia" w:ascii="方正仿宋简体" w:eastAsia="方正仿宋简体"/>
          <w:color w:val="auto"/>
          <w:sz w:val="32"/>
          <w:szCs w:val="32"/>
          <w:lang w:eastAsia="zh-CN"/>
        </w:rPr>
        <w:t>年本年收入合计</w:t>
      </w:r>
      <w:r>
        <w:rPr>
          <w:rFonts w:hint="eastAsia" w:ascii="方正仿宋简体" w:hAnsi="方正仿宋简体" w:eastAsia="方正仿宋简体" w:cs="方正仿宋简体"/>
          <w:color w:val="auto"/>
          <w:sz w:val="32"/>
          <w:szCs w:val="32"/>
          <w:lang w:val="en-US" w:eastAsia="zh-CN"/>
        </w:rPr>
        <w:t>505.28</w:t>
      </w:r>
      <w:r>
        <w:rPr>
          <w:rFonts w:hint="eastAsia" w:ascii="方正仿宋简体" w:eastAsia="方正仿宋简体"/>
          <w:color w:val="auto"/>
          <w:sz w:val="32"/>
          <w:szCs w:val="32"/>
          <w:lang w:val="en-US" w:eastAsia="zh-CN"/>
        </w:rPr>
        <w:t>万</w:t>
      </w:r>
      <w:r>
        <w:rPr>
          <w:rFonts w:hint="eastAsia" w:ascii="方正仿宋简体" w:eastAsia="方正仿宋简体"/>
          <w:color w:val="auto"/>
          <w:sz w:val="32"/>
          <w:szCs w:val="32"/>
          <w:lang w:eastAsia="zh-CN"/>
        </w:rPr>
        <w:t>元，其中：</w:t>
      </w:r>
      <w:r>
        <w:rPr>
          <w:rFonts w:hint="default" w:ascii="方正仿宋简体" w:eastAsia="方正仿宋简体"/>
          <w:color w:val="auto"/>
          <w:sz w:val="32"/>
          <w:szCs w:val="32"/>
          <w:lang w:val="en-US" w:eastAsia="zh-CN"/>
        </w:rPr>
        <w:t>一般公共服务</w:t>
      </w:r>
      <w:r>
        <w:rPr>
          <w:rFonts w:hint="eastAsia" w:ascii="方正仿宋简体" w:eastAsia="方正仿宋简体"/>
          <w:color w:val="auto"/>
          <w:sz w:val="32"/>
          <w:szCs w:val="32"/>
          <w:lang w:eastAsia="zh-CN"/>
        </w:rPr>
        <w:t>收入</w:t>
      </w:r>
      <w:r>
        <w:rPr>
          <w:rFonts w:hint="eastAsia" w:ascii="方正仿宋简体" w:hAnsi="方正仿宋简体" w:eastAsia="方正仿宋简体" w:cs="方正仿宋简体"/>
          <w:color w:val="auto"/>
          <w:sz w:val="32"/>
          <w:szCs w:val="32"/>
          <w:lang w:val="en-US" w:eastAsia="zh-CN"/>
        </w:rPr>
        <w:t>505.28</w:t>
      </w:r>
      <w:r>
        <w:rPr>
          <w:rFonts w:hint="eastAsia" w:ascii="方正仿宋简体" w:eastAsia="方正仿宋简体"/>
          <w:color w:val="auto"/>
          <w:sz w:val="32"/>
          <w:szCs w:val="32"/>
          <w:lang w:val="en-US" w:eastAsia="zh-CN"/>
        </w:rPr>
        <w:t>万</w:t>
      </w:r>
      <w:r>
        <w:rPr>
          <w:rFonts w:hint="eastAsia" w:ascii="方正仿宋简体" w:eastAsia="方正仿宋简体"/>
          <w:color w:val="auto"/>
          <w:sz w:val="32"/>
          <w:szCs w:val="32"/>
          <w:lang w:eastAsia="zh-CN"/>
        </w:rPr>
        <w:t>元，占</w:t>
      </w:r>
      <w:r>
        <w:rPr>
          <w:rFonts w:hint="eastAsia" w:ascii="方正仿宋简体" w:eastAsia="方正仿宋简体"/>
          <w:color w:val="auto"/>
          <w:sz w:val="32"/>
          <w:szCs w:val="32"/>
          <w:lang w:val="en-US" w:eastAsia="zh-CN"/>
        </w:rPr>
        <w:t>100</w:t>
      </w:r>
      <w:r>
        <w:rPr>
          <w:rFonts w:hint="eastAsia" w:ascii="方正仿宋简体" w:eastAsia="方正仿宋简体"/>
          <w:color w:val="auto"/>
          <w:sz w:val="32"/>
          <w:szCs w:val="32"/>
          <w:lang w:eastAsia="zh-CN"/>
        </w:rPr>
        <w:t>%；政府性基金预算财政拨款收入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%；国有资本经营预算财政拨款收入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%；事业收入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%；经营收入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%；附属单位上缴收入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%；其他收入</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万元，占</w:t>
      </w:r>
      <w:r>
        <w:rPr>
          <w:rFonts w:hint="eastAsia" w:ascii="方正仿宋简体" w:eastAsia="方正仿宋简体"/>
          <w:color w:val="auto"/>
          <w:sz w:val="32"/>
          <w:szCs w:val="32"/>
          <w:lang w:val="en-US" w:eastAsia="zh-CN"/>
        </w:rPr>
        <w:t>0</w:t>
      </w:r>
      <w:r>
        <w:rPr>
          <w:rFonts w:hint="eastAsia" w:ascii="方正仿宋简体" w:eastAsia="方正仿宋简体"/>
          <w:color w:val="auto"/>
          <w:sz w:val="32"/>
          <w:szCs w:val="32"/>
          <w:lang w:eastAsia="zh-CN"/>
        </w:rPr>
        <w:t>%。</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（二）部门财政资金支出情况</w:t>
      </w:r>
    </w:p>
    <w:p>
      <w:pPr>
        <w:spacing w:line="590" w:lineRule="exact"/>
        <w:ind w:firstLine="640" w:firstLineChars="200"/>
        <w:rPr>
          <w:rFonts w:hint="eastAsia" w:ascii="方正仿宋简体" w:hAnsi="Times New Roman" w:eastAsia="方正仿宋简体" w:cs="Times New Roman"/>
          <w:color w:val="auto"/>
          <w:sz w:val="32"/>
          <w:szCs w:val="32"/>
          <w:lang w:eastAsia="zh-CN"/>
        </w:rPr>
      </w:pPr>
      <w:r>
        <w:rPr>
          <w:rFonts w:hint="eastAsia" w:ascii="方正仿宋简体" w:hAnsi="Times New Roman" w:eastAsia="方正仿宋简体" w:cs="Times New Roman"/>
          <w:color w:val="auto"/>
          <w:sz w:val="32"/>
          <w:szCs w:val="32"/>
          <w:lang w:eastAsia="zh-CN"/>
        </w:rPr>
        <w:t>20</w:t>
      </w:r>
      <w:r>
        <w:rPr>
          <w:rFonts w:hint="eastAsia" w:ascii="方正仿宋简体" w:hAnsi="Times New Roman" w:eastAsia="方正仿宋简体" w:cs="Times New Roman"/>
          <w:color w:val="auto"/>
          <w:sz w:val="32"/>
          <w:szCs w:val="32"/>
          <w:lang w:val="en-US" w:eastAsia="zh-CN"/>
        </w:rPr>
        <w:t>22</w:t>
      </w:r>
      <w:r>
        <w:rPr>
          <w:rFonts w:hint="eastAsia" w:ascii="方正仿宋简体" w:hAnsi="Times New Roman" w:eastAsia="方正仿宋简体" w:cs="Times New Roman"/>
          <w:color w:val="auto"/>
          <w:sz w:val="32"/>
          <w:szCs w:val="32"/>
          <w:lang w:eastAsia="zh-CN"/>
        </w:rPr>
        <w:t>年一般公共预算财政拨款支出</w:t>
      </w:r>
      <w:r>
        <w:rPr>
          <w:rFonts w:hint="eastAsia" w:ascii="方正仿宋简体" w:hAnsi="方正仿宋简体" w:eastAsia="方正仿宋简体" w:cs="方正仿宋简体"/>
          <w:color w:val="auto"/>
          <w:sz w:val="32"/>
          <w:szCs w:val="32"/>
          <w:lang w:val="en-US" w:eastAsia="zh-CN"/>
        </w:rPr>
        <w:t>505.28</w:t>
      </w:r>
      <w:r>
        <w:rPr>
          <w:rFonts w:hint="eastAsia" w:ascii="方正仿宋简体" w:hAnsi="Times New Roman" w:eastAsia="方正仿宋简体" w:cs="Times New Roman"/>
          <w:color w:val="auto"/>
          <w:sz w:val="32"/>
          <w:szCs w:val="32"/>
          <w:lang w:eastAsia="zh-CN"/>
        </w:rPr>
        <w:t>万元，主要用于以下方面:一般公共服务（类）支出</w:t>
      </w:r>
      <w:r>
        <w:rPr>
          <w:rFonts w:hint="eastAsia" w:ascii="方正仿宋简体" w:hAnsi="Times New Roman" w:eastAsia="方正仿宋简体" w:cs="Times New Roman"/>
          <w:color w:val="auto"/>
          <w:sz w:val="32"/>
          <w:szCs w:val="32"/>
          <w:lang w:val="en-US" w:eastAsia="zh-CN"/>
        </w:rPr>
        <w:t>458.25</w:t>
      </w:r>
      <w:r>
        <w:rPr>
          <w:rFonts w:hint="eastAsia" w:ascii="方正仿宋简体" w:hAnsi="Times New Roman" w:eastAsia="方正仿宋简体" w:cs="Times New Roman"/>
          <w:color w:val="auto"/>
          <w:sz w:val="32"/>
          <w:szCs w:val="32"/>
          <w:lang w:eastAsia="zh-CN"/>
        </w:rPr>
        <w:t>万元，占</w:t>
      </w:r>
      <w:r>
        <w:rPr>
          <w:rFonts w:hint="eastAsia" w:ascii="方正仿宋简体" w:hAnsi="Times New Roman" w:eastAsia="方正仿宋简体" w:cs="Times New Roman"/>
          <w:color w:val="auto"/>
          <w:sz w:val="32"/>
          <w:szCs w:val="32"/>
          <w:lang w:val="en-US" w:eastAsia="zh-CN"/>
        </w:rPr>
        <w:t>90.69</w:t>
      </w:r>
      <w:r>
        <w:rPr>
          <w:rFonts w:hint="eastAsia" w:ascii="方正仿宋简体" w:hAnsi="Times New Roman" w:eastAsia="方正仿宋简体" w:cs="Times New Roman"/>
          <w:color w:val="auto"/>
          <w:sz w:val="32"/>
          <w:szCs w:val="32"/>
          <w:lang w:eastAsia="zh-CN"/>
        </w:rPr>
        <w:t>%；社会保障和就业（类）支出</w:t>
      </w:r>
      <w:r>
        <w:rPr>
          <w:rFonts w:hint="eastAsia" w:ascii="方正仿宋简体" w:hAnsi="Times New Roman" w:eastAsia="方正仿宋简体" w:cs="Times New Roman"/>
          <w:color w:val="auto"/>
          <w:sz w:val="32"/>
          <w:szCs w:val="32"/>
          <w:lang w:val="en-US" w:eastAsia="zh-CN"/>
        </w:rPr>
        <w:t>19.10</w:t>
      </w:r>
      <w:r>
        <w:rPr>
          <w:rFonts w:hint="eastAsia" w:ascii="方正仿宋简体" w:hAnsi="Times New Roman" w:eastAsia="方正仿宋简体" w:cs="Times New Roman"/>
          <w:color w:val="auto"/>
          <w:sz w:val="32"/>
          <w:szCs w:val="32"/>
          <w:lang w:eastAsia="zh-CN"/>
        </w:rPr>
        <w:t>万元，占</w:t>
      </w:r>
      <w:r>
        <w:rPr>
          <w:rFonts w:hint="eastAsia" w:ascii="方正仿宋简体" w:hAnsi="Times New Roman" w:eastAsia="方正仿宋简体" w:cs="Times New Roman"/>
          <w:color w:val="auto"/>
          <w:sz w:val="32"/>
          <w:szCs w:val="32"/>
          <w:lang w:val="en-US" w:eastAsia="zh-CN"/>
        </w:rPr>
        <w:t>3.78</w:t>
      </w:r>
      <w:r>
        <w:rPr>
          <w:rFonts w:hint="eastAsia" w:ascii="方正仿宋简体" w:hAnsi="Times New Roman" w:eastAsia="方正仿宋简体" w:cs="Times New Roman"/>
          <w:color w:val="auto"/>
          <w:sz w:val="32"/>
          <w:szCs w:val="32"/>
          <w:lang w:eastAsia="zh-CN"/>
        </w:rPr>
        <w:t>%；医疗卫生支出</w:t>
      </w:r>
      <w:r>
        <w:rPr>
          <w:rFonts w:hint="eastAsia" w:ascii="方正仿宋简体" w:hAnsi="Times New Roman" w:eastAsia="方正仿宋简体" w:cs="Times New Roman"/>
          <w:color w:val="auto"/>
          <w:sz w:val="32"/>
          <w:szCs w:val="32"/>
          <w:lang w:val="en-US" w:eastAsia="zh-CN"/>
        </w:rPr>
        <w:t>99</w:t>
      </w:r>
      <w:r>
        <w:rPr>
          <w:rFonts w:hint="eastAsia" w:ascii="方正仿宋简体" w:hAnsi="Times New Roman" w:eastAsia="方正仿宋简体" w:cs="Times New Roman"/>
          <w:color w:val="auto"/>
          <w:sz w:val="32"/>
          <w:szCs w:val="32"/>
          <w:lang w:eastAsia="zh-CN"/>
        </w:rPr>
        <w:t>万元，占</w:t>
      </w:r>
      <w:r>
        <w:rPr>
          <w:rFonts w:hint="eastAsia" w:ascii="方正仿宋简体" w:hAnsi="Times New Roman" w:eastAsia="方正仿宋简体" w:cs="Times New Roman"/>
          <w:color w:val="auto"/>
          <w:sz w:val="32"/>
          <w:szCs w:val="32"/>
          <w:lang w:val="en-US" w:eastAsia="zh-CN"/>
        </w:rPr>
        <w:t>1.96</w:t>
      </w:r>
      <w:r>
        <w:rPr>
          <w:rFonts w:hint="eastAsia" w:ascii="方正仿宋简体" w:hAnsi="Times New Roman" w:eastAsia="方正仿宋简体" w:cs="Times New Roman"/>
          <w:color w:val="auto"/>
          <w:sz w:val="32"/>
          <w:szCs w:val="32"/>
          <w:lang w:eastAsia="zh-CN"/>
        </w:rPr>
        <w:t>%；</w:t>
      </w:r>
      <w:r>
        <w:rPr>
          <w:rFonts w:hint="eastAsia" w:ascii="方正仿宋简体" w:hAnsi="Times New Roman" w:eastAsia="方正仿宋简体" w:cs="Times New Roman"/>
          <w:color w:val="auto"/>
          <w:sz w:val="32"/>
          <w:szCs w:val="32"/>
          <w:lang w:val="en-US" w:eastAsia="zh-CN"/>
        </w:rPr>
        <w:t>住房保障支出18.02万元，占3.57%</w:t>
      </w:r>
      <w:r>
        <w:rPr>
          <w:rFonts w:hint="eastAsia" w:ascii="方正仿宋简体" w:hAnsi="Times New Roman" w:eastAsia="方正仿宋简体" w:cs="Times New Roman"/>
          <w:color w:val="auto"/>
          <w:sz w:val="32"/>
          <w:szCs w:val="32"/>
          <w:lang w:eastAsia="zh-CN"/>
        </w:rPr>
        <w:t>。</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三、评价工作开展情况</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（一）自评工作组织领导</w:t>
      </w:r>
    </w:p>
    <w:p>
      <w:pPr>
        <w:spacing w:line="590" w:lineRule="exact"/>
        <w:ind w:firstLine="640" w:firstLineChars="200"/>
        <w:rPr>
          <w:rFonts w:hint="eastAsia" w:ascii="方正仿宋简体" w:eastAsia="方正仿宋简体"/>
          <w:color w:val="auto"/>
          <w:sz w:val="32"/>
          <w:szCs w:val="32"/>
          <w:lang w:val="en-US" w:eastAsia="zh-CN"/>
        </w:rPr>
      </w:pPr>
      <w:r>
        <w:rPr>
          <w:rFonts w:hint="eastAsia" w:ascii="方正仿宋简体" w:eastAsia="方正仿宋简体"/>
          <w:color w:val="auto"/>
          <w:sz w:val="32"/>
          <w:szCs w:val="32"/>
        </w:rPr>
        <w:t>我中心严格按照县级部门预算编制通知和有关要求</w:t>
      </w:r>
      <w:r>
        <w:rPr>
          <w:rFonts w:hint="eastAsia" w:ascii="方正仿宋简体" w:eastAsia="方正仿宋简体"/>
          <w:color w:val="auto"/>
          <w:sz w:val="32"/>
          <w:szCs w:val="32"/>
          <w:lang w:eastAsia="zh-CN"/>
        </w:rPr>
        <w:t>，</w:t>
      </w:r>
      <w:r>
        <w:rPr>
          <w:rFonts w:hint="eastAsia" w:ascii="方正仿宋简体" w:eastAsia="方正仿宋简体"/>
          <w:color w:val="auto"/>
          <w:sz w:val="32"/>
          <w:szCs w:val="32"/>
        </w:rPr>
        <w:t>遵循人员经费按标准、公用经费按定额、专项经费按项目、勤俭节约、讲求绩效的原则</w:t>
      </w:r>
      <w:r>
        <w:rPr>
          <w:rFonts w:hint="eastAsia" w:ascii="方正仿宋简体" w:eastAsia="方正仿宋简体"/>
          <w:color w:val="auto"/>
          <w:sz w:val="32"/>
          <w:szCs w:val="32"/>
          <w:lang w:eastAsia="zh-CN"/>
        </w:rPr>
        <w:t>，</w:t>
      </w:r>
      <w:r>
        <w:rPr>
          <w:rFonts w:hint="eastAsia" w:ascii="方正仿宋简体" w:eastAsia="方正仿宋简体"/>
          <w:color w:val="auto"/>
          <w:sz w:val="32"/>
          <w:szCs w:val="32"/>
          <w:lang w:val="en-US" w:eastAsia="zh-CN"/>
        </w:rPr>
        <w:t>成立自评工作小组，成员如下：</w:t>
      </w:r>
    </w:p>
    <w:p>
      <w:pPr>
        <w:spacing w:line="590" w:lineRule="exact"/>
        <w:ind w:firstLine="640" w:firstLineChars="200"/>
        <w:rPr>
          <w:rFonts w:hint="default" w:ascii="方正仿宋简体" w:eastAsia="方正仿宋简体"/>
          <w:color w:val="auto"/>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color w:val="auto"/>
          <w:sz w:val="32"/>
          <w:szCs w:val="32"/>
        </w:rPr>
      </w:pPr>
      <w:r>
        <w:rPr>
          <w:rFonts w:hint="eastAsia" w:eastAsia="方正楷体简体"/>
          <w:b/>
          <w:color w:val="auto"/>
          <w:sz w:val="32"/>
          <w:szCs w:val="32"/>
        </w:rPr>
        <w:t>（二）自评方式、方法、重点等</w:t>
      </w:r>
    </w:p>
    <w:p>
      <w:pPr>
        <w:spacing w:line="590" w:lineRule="exact"/>
        <w:ind w:firstLine="640" w:firstLineChars="200"/>
        <w:rPr>
          <w:rFonts w:ascii="方正仿宋简体" w:eastAsia="方正仿宋简体"/>
          <w:color w:val="auto"/>
          <w:sz w:val="32"/>
          <w:szCs w:val="32"/>
          <w:shd w:val="clear" w:color="auto" w:fill="FFFFFF"/>
        </w:rPr>
      </w:pPr>
      <w:r>
        <w:rPr>
          <w:rFonts w:hint="eastAsia" w:ascii="方正仿宋简体" w:eastAsia="方正仿宋简体"/>
          <w:color w:val="auto"/>
          <w:sz w:val="32"/>
          <w:szCs w:val="32"/>
        </w:rPr>
        <w:t>我中心严格执行“三公经费”预算，</w:t>
      </w:r>
      <w:r>
        <w:rPr>
          <w:rFonts w:hint="eastAsia" w:ascii="方正仿宋简体" w:eastAsia="方正仿宋简体"/>
          <w:color w:val="auto"/>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ascii="方正仿宋简体" w:eastAsia="方正仿宋简体"/>
          <w:color w:val="auto"/>
          <w:sz w:val="32"/>
          <w:szCs w:val="32"/>
        </w:rPr>
      </w:pPr>
      <w:r>
        <w:rPr>
          <w:rFonts w:hint="eastAsia" w:ascii="方正仿宋简体" w:eastAsia="方正仿宋简体"/>
          <w:color w:val="auto"/>
          <w:sz w:val="32"/>
          <w:szCs w:val="32"/>
        </w:rPr>
        <w:t>我中心政府采购实施计划编制，保证了实施计划与政府采购预算的一致性</w:t>
      </w:r>
      <w:r>
        <w:rPr>
          <w:rFonts w:hint="eastAsia" w:ascii="方正仿宋简体" w:eastAsia="方正仿宋简体"/>
          <w:color w:val="auto"/>
          <w:sz w:val="32"/>
          <w:szCs w:val="32"/>
          <w:lang w:eastAsia="zh-CN"/>
        </w:rPr>
        <w:t>，</w:t>
      </w:r>
      <w:r>
        <w:rPr>
          <w:rFonts w:hint="eastAsia" w:ascii="方正仿宋简体" w:eastAsia="方正仿宋简体"/>
          <w:color w:val="auto"/>
          <w:sz w:val="32"/>
          <w:szCs w:val="32"/>
        </w:rPr>
        <w:t>执行的实施计划与备案的实施计划的一致性。</w:t>
      </w:r>
    </w:p>
    <w:p>
      <w:pPr>
        <w:spacing w:line="590" w:lineRule="exact"/>
        <w:ind w:firstLine="640" w:firstLineChars="200"/>
        <w:rPr>
          <w:rFonts w:ascii="方正仿宋简体" w:eastAsia="方正仿宋简体"/>
          <w:color w:val="auto"/>
          <w:sz w:val="32"/>
          <w:szCs w:val="32"/>
        </w:rPr>
      </w:pPr>
      <w:r>
        <w:rPr>
          <w:rFonts w:hint="eastAsia" w:ascii="方正仿宋简体" w:eastAsia="方正仿宋简体"/>
          <w:color w:val="auto"/>
          <w:sz w:val="32"/>
          <w:szCs w:val="32"/>
        </w:rPr>
        <w:t>我中心将单位所有国有资产录入资产信息系统，严格按照上级要求开展资产清查工作，确保上报数据真实、准确、全面。</w:t>
      </w:r>
    </w:p>
    <w:p>
      <w:pPr>
        <w:spacing w:line="590" w:lineRule="exact"/>
        <w:ind w:firstLine="640" w:firstLineChars="200"/>
        <w:rPr>
          <w:rFonts w:ascii="方正仿宋简体" w:eastAsia="方正仿宋简体"/>
          <w:color w:val="auto"/>
          <w:sz w:val="32"/>
          <w:szCs w:val="32"/>
        </w:rPr>
      </w:pPr>
      <w:r>
        <w:rPr>
          <w:rFonts w:hint="eastAsia" w:ascii="方正仿宋简体" w:eastAsia="方正仿宋简体"/>
          <w:color w:val="auto"/>
          <w:sz w:val="32"/>
          <w:szCs w:val="32"/>
        </w:rPr>
        <w:t>我中心在财政部门批复后五日内向社会公开本部门预、决算编制情况及执行情况。</w:t>
      </w:r>
    </w:p>
    <w:p>
      <w:pPr>
        <w:spacing w:line="590" w:lineRule="exact"/>
        <w:ind w:firstLine="640" w:firstLineChars="200"/>
        <w:rPr>
          <w:rFonts w:ascii="方正仿宋简体" w:eastAsia="方正仿宋简体"/>
          <w:color w:val="auto"/>
          <w:sz w:val="32"/>
          <w:szCs w:val="32"/>
        </w:rPr>
      </w:pPr>
      <w:r>
        <w:rPr>
          <w:rFonts w:hint="eastAsia" w:ascii="方正仿宋简体" w:eastAsia="方正仿宋简体"/>
          <w:color w:val="auto"/>
          <w:sz w:val="32"/>
          <w:szCs w:val="32"/>
        </w:rPr>
        <w:t>我中心依法接受财政监督，严格按要求开展自查自纠，并及时上报自查自纠相关材料。</w:t>
      </w:r>
    </w:p>
    <w:p>
      <w:pPr>
        <w:spacing w:line="590" w:lineRule="exact"/>
        <w:ind w:firstLine="640" w:firstLineChars="200"/>
        <w:rPr>
          <w:rFonts w:hint="eastAsia" w:ascii="方正仿宋简体" w:eastAsia="方正仿宋简体"/>
          <w:color w:val="auto"/>
          <w:sz w:val="32"/>
          <w:szCs w:val="32"/>
        </w:rPr>
      </w:pPr>
      <w:r>
        <w:rPr>
          <w:rFonts w:hint="eastAsia" w:ascii="方正仿宋简体" w:eastAsia="方正仿宋简体"/>
          <w:color w:val="auto"/>
          <w:sz w:val="32"/>
          <w:szCs w:val="32"/>
        </w:rPr>
        <w:t>我中心已建立了完善的内控制度，并严格遵照执行各项规章制度。</w:t>
      </w:r>
    </w:p>
    <w:p>
      <w:pPr>
        <w:spacing w:line="590" w:lineRule="exact"/>
        <w:ind w:firstLine="640" w:firstLineChars="200"/>
        <w:rPr>
          <w:rFonts w:hint="eastAsia" w:eastAsia="方正楷体简体"/>
          <w:b/>
          <w:color w:val="auto"/>
          <w:sz w:val="32"/>
          <w:szCs w:val="32"/>
        </w:rPr>
      </w:pPr>
      <w:r>
        <w:rPr>
          <w:rFonts w:hint="eastAsia" w:ascii="方正仿宋简体" w:eastAsia="方正仿宋简体"/>
          <w:color w:val="auto"/>
          <w:sz w:val="32"/>
          <w:szCs w:val="32"/>
          <w:lang w:val="en-US" w:eastAsia="zh-CN"/>
        </w:rPr>
        <w:t>我中心采用报告审批制度完成自评工作。</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四、评价结论</w:t>
      </w:r>
    </w:p>
    <w:p>
      <w:pPr>
        <w:spacing w:line="590" w:lineRule="exact"/>
        <w:ind w:firstLine="636" w:firstLineChars="199"/>
        <w:jc w:val="left"/>
        <w:rPr>
          <w:rFonts w:hint="eastAsia" w:eastAsia="方正仿宋简体"/>
          <w:color w:val="auto"/>
          <w:sz w:val="32"/>
          <w:szCs w:val="32"/>
        </w:rPr>
      </w:pPr>
      <w:r>
        <w:rPr>
          <w:rFonts w:hint="eastAsia" w:eastAsia="方正仿宋简体"/>
          <w:color w:val="auto"/>
          <w:sz w:val="32"/>
          <w:szCs w:val="32"/>
        </w:rPr>
        <w:t>依据《乐至县财政支出绩效评价管理办法》规定</w:t>
      </w:r>
      <w:r>
        <w:rPr>
          <w:rFonts w:hint="eastAsia" w:eastAsia="方正仿宋简体"/>
          <w:color w:val="auto"/>
          <w:sz w:val="32"/>
          <w:szCs w:val="32"/>
          <w:lang w:eastAsia="zh-CN"/>
        </w:rPr>
        <w:t>，</w:t>
      </w:r>
      <w:r>
        <w:rPr>
          <w:rFonts w:hint="eastAsia" w:eastAsia="方正仿宋简体"/>
          <w:color w:val="auto"/>
          <w:sz w:val="32"/>
          <w:szCs w:val="32"/>
          <w:lang w:val="en-US" w:eastAsia="zh-CN"/>
        </w:rPr>
        <w:t>我中心开展自评考核工作，</w:t>
      </w:r>
      <w:r>
        <w:rPr>
          <w:rFonts w:hint="eastAsia" w:eastAsia="方正仿宋简体"/>
          <w:color w:val="auto"/>
          <w:sz w:val="32"/>
          <w:szCs w:val="32"/>
        </w:rPr>
        <w:t>确定绩效等级</w:t>
      </w:r>
      <w:r>
        <w:rPr>
          <w:rFonts w:hint="eastAsia" w:eastAsia="方正仿宋简体"/>
          <w:color w:val="auto"/>
          <w:sz w:val="32"/>
          <w:szCs w:val="32"/>
          <w:lang w:val="en-US" w:eastAsia="zh-CN"/>
        </w:rPr>
        <w:t>为优</w:t>
      </w:r>
      <w:r>
        <w:rPr>
          <w:rFonts w:hint="eastAsia" w:eastAsia="方正仿宋简体"/>
          <w:color w:val="auto"/>
          <w:sz w:val="32"/>
          <w:szCs w:val="32"/>
        </w:rPr>
        <w:t>。</w:t>
      </w:r>
    </w:p>
    <w:p>
      <w:pPr>
        <w:spacing w:line="590" w:lineRule="exact"/>
        <w:ind w:firstLine="636" w:firstLineChars="199"/>
        <w:jc w:val="left"/>
        <w:rPr>
          <w:rFonts w:ascii="方正仿宋简体" w:eastAsia="方正仿宋简体"/>
          <w:color w:val="auto"/>
          <w:sz w:val="32"/>
          <w:szCs w:val="32"/>
        </w:rPr>
      </w:pPr>
      <w:r>
        <w:rPr>
          <w:rFonts w:hint="eastAsia" w:ascii="方正仿宋简体" w:eastAsia="方正仿宋简体"/>
          <w:color w:val="auto"/>
          <w:sz w:val="32"/>
          <w:szCs w:val="32"/>
        </w:rPr>
        <w:t>1．履职尽责，严格执行上级各部门各项规定，以法规来规范程序、以法规来约束权力，认真执行政府采购程序，优化政府采购内部流转程序，提高采购效率，充分保障政府采购的透明度和高效性，圆满完成了各项工作。</w:t>
      </w:r>
    </w:p>
    <w:p>
      <w:pPr>
        <w:spacing w:line="590" w:lineRule="exact"/>
        <w:ind w:firstLine="640" w:firstLineChars="200"/>
        <w:rPr>
          <w:rFonts w:eastAsia="方正仿宋简体"/>
          <w:color w:val="auto"/>
          <w:sz w:val="32"/>
          <w:szCs w:val="32"/>
        </w:rPr>
      </w:pPr>
      <w:r>
        <w:rPr>
          <w:rFonts w:hint="eastAsia" w:ascii="方正仿宋简体" w:eastAsia="方正仿宋简体"/>
          <w:color w:val="auto"/>
          <w:sz w:val="32"/>
          <w:szCs w:val="32"/>
        </w:rPr>
        <w:t>2．密切联系群众，“零距离”诚心服务</w:t>
      </w:r>
      <w:r>
        <w:rPr>
          <w:rFonts w:hint="eastAsia" w:ascii="方正仿宋简体" w:eastAsia="方正仿宋简体"/>
          <w:color w:val="auto"/>
          <w:sz w:val="32"/>
          <w:szCs w:val="32"/>
          <w:lang w:val="en-US" w:eastAsia="zh-CN"/>
        </w:rPr>
        <w:t>各方交易主体</w:t>
      </w:r>
      <w:r>
        <w:rPr>
          <w:rFonts w:hint="eastAsia" w:ascii="方正仿宋简体" w:eastAsia="方正仿宋简体"/>
          <w:color w:val="auto"/>
          <w:sz w:val="32"/>
          <w:szCs w:val="32"/>
        </w:rPr>
        <w:t>。中心要求工作人员做到：对前来办事</w:t>
      </w:r>
      <w:r>
        <w:rPr>
          <w:rFonts w:hint="eastAsia" w:ascii="方正仿宋简体" w:eastAsia="方正仿宋简体"/>
          <w:color w:val="auto"/>
          <w:sz w:val="32"/>
          <w:szCs w:val="32"/>
          <w:lang w:eastAsia="zh-CN"/>
        </w:rPr>
        <w:t>的</w:t>
      </w:r>
      <w:r>
        <w:rPr>
          <w:rFonts w:hint="eastAsia" w:ascii="方正仿宋简体" w:eastAsia="方正仿宋简体"/>
          <w:color w:val="auto"/>
          <w:sz w:val="32"/>
          <w:szCs w:val="32"/>
        </w:rPr>
        <w:t>热情接待，增强服务的主动性、针对性</w:t>
      </w:r>
      <w:r>
        <w:rPr>
          <w:rFonts w:hint="eastAsia" w:ascii="方正仿宋简体" w:eastAsia="方正仿宋简体"/>
          <w:color w:val="auto"/>
          <w:sz w:val="32"/>
          <w:szCs w:val="32"/>
          <w:lang w:eastAsia="zh-CN"/>
        </w:rPr>
        <w:t>。</w:t>
      </w:r>
      <w:r>
        <w:rPr>
          <w:rFonts w:hint="eastAsia" w:ascii="方正仿宋简体" w:eastAsia="方正仿宋简体"/>
          <w:color w:val="auto"/>
          <w:sz w:val="32"/>
          <w:szCs w:val="32"/>
        </w:rPr>
        <w:t>在日常工作中，严格执行“首问负责制、限时办结制、服务承诺制”等制度，主动接受招标人、投标人的监督，对咨询、意见、建议、误解等，认真倾听，和颜悦色，耐心细致地做好解释工作，以优质、高效的服务，赢得了群众一致好评。</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五、绩效分析</w:t>
      </w:r>
    </w:p>
    <w:p>
      <w:pPr>
        <w:spacing w:line="580" w:lineRule="exact"/>
        <w:ind w:firstLine="643" w:firstLineChars="200"/>
        <w:rPr>
          <w:rFonts w:eastAsia="方正楷体简体"/>
          <w:b/>
          <w:color w:val="auto"/>
          <w:sz w:val="32"/>
          <w:szCs w:val="32"/>
        </w:rPr>
      </w:pPr>
      <w:r>
        <w:rPr>
          <w:rFonts w:hint="eastAsia" w:eastAsia="方正楷体简体"/>
          <w:b/>
          <w:color w:val="auto"/>
          <w:sz w:val="32"/>
          <w:szCs w:val="32"/>
        </w:rPr>
        <w:t>（一）指标分析</w:t>
      </w:r>
    </w:p>
    <w:p>
      <w:pPr>
        <w:spacing w:line="580" w:lineRule="exact"/>
        <w:ind w:firstLine="640" w:firstLineChars="200"/>
        <w:rPr>
          <w:rFonts w:hint="default" w:eastAsia="方正仿宋简体"/>
          <w:color w:val="auto"/>
          <w:sz w:val="32"/>
          <w:szCs w:val="32"/>
          <w:lang w:val="en-US" w:eastAsia="zh-CN"/>
        </w:rPr>
      </w:pPr>
      <w:r>
        <w:rPr>
          <w:rFonts w:hint="eastAsia" w:eastAsia="方正仿宋简体"/>
          <w:color w:val="auto"/>
          <w:sz w:val="32"/>
          <w:szCs w:val="32"/>
          <w:lang w:eastAsia="zh-CN"/>
        </w:rPr>
        <w:t>实际产出——职责履行——质量达标率自评扣</w:t>
      </w:r>
      <w:r>
        <w:rPr>
          <w:rFonts w:hint="eastAsia" w:eastAsia="方正仿宋简体"/>
          <w:color w:val="auto"/>
          <w:sz w:val="32"/>
          <w:szCs w:val="32"/>
          <w:lang w:val="en-US" w:eastAsia="zh-CN"/>
        </w:rPr>
        <w:t>2分。原因是受社会大环境影响，乐至县政府政务服务和公共资源交易服务中心实际完成政府采购项目数量及工程交易项目数量与年初预计数有差距。</w:t>
      </w:r>
    </w:p>
    <w:p>
      <w:pPr>
        <w:spacing w:line="580" w:lineRule="exact"/>
        <w:ind w:firstLine="643" w:firstLineChars="200"/>
        <w:rPr>
          <w:rFonts w:eastAsia="方正楷体简体"/>
          <w:b/>
          <w:color w:val="auto"/>
          <w:sz w:val="32"/>
          <w:szCs w:val="32"/>
        </w:rPr>
      </w:pPr>
      <w:r>
        <w:rPr>
          <w:rFonts w:hint="eastAsia" w:eastAsia="方正楷体简体"/>
          <w:b/>
          <w:color w:val="auto"/>
          <w:sz w:val="32"/>
          <w:szCs w:val="32"/>
        </w:rPr>
        <w:t>（二）综合绩效分析</w:t>
      </w:r>
    </w:p>
    <w:p>
      <w:pPr>
        <w:spacing w:line="580" w:lineRule="exact"/>
        <w:ind w:firstLine="640" w:firstLineChars="200"/>
        <w:rPr>
          <w:rFonts w:hint="eastAsia" w:ascii="方正仿宋简体" w:hAnsi="Times New Roman" w:eastAsia="方正仿宋简体" w:cs="Times New Roman"/>
          <w:b w:val="0"/>
          <w:bCs/>
          <w:color w:val="auto"/>
          <w:sz w:val="32"/>
          <w:szCs w:val="32"/>
          <w:highlight w:val="none"/>
        </w:rPr>
      </w:pPr>
      <w:r>
        <w:rPr>
          <w:rFonts w:hint="eastAsia" w:ascii="方正仿宋简体" w:hAnsi="Times New Roman" w:eastAsia="方正仿宋简体" w:cs="Times New Roman"/>
          <w:b w:val="0"/>
          <w:bCs/>
          <w:color w:val="auto"/>
          <w:sz w:val="32"/>
          <w:szCs w:val="32"/>
          <w:highlight w:val="none"/>
        </w:rPr>
        <w:t>1</w:t>
      </w:r>
      <w:r>
        <w:rPr>
          <w:rFonts w:hint="eastAsia" w:ascii="方正仿宋简体" w:hAnsi="Times New Roman" w:eastAsia="方正仿宋简体" w:cs="Times New Roman"/>
          <w:b w:val="0"/>
          <w:bCs/>
          <w:color w:val="auto"/>
          <w:sz w:val="32"/>
          <w:szCs w:val="32"/>
          <w:highlight w:val="none"/>
          <w:lang w:eastAsia="zh-CN"/>
        </w:rPr>
        <w:t>.</w:t>
      </w:r>
      <w:r>
        <w:rPr>
          <w:rFonts w:hint="eastAsia" w:ascii="方正仿宋简体" w:hAnsi="Times New Roman" w:eastAsia="方正仿宋简体" w:cs="Times New Roman"/>
          <w:b/>
          <w:bCs w:val="0"/>
          <w:color w:val="auto"/>
          <w:sz w:val="32"/>
          <w:szCs w:val="32"/>
          <w:highlight w:val="none"/>
        </w:rPr>
        <w:t>社会效益和经济效益显著</w:t>
      </w:r>
      <w:r>
        <w:rPr>
          <w:rFonts w:hint="eastAsia" w:ascii="方正仿宋简体" w:hAnsi="Times New Roman" w:eastAsia="方正仿宋简体" w:cs="Times New Roman"/>
          <w:b w:val="0"/>
          <w:bCs/>
          <w:color w:val="auto"/>
          <w:sz w:val="32"/>
          <w:szCs w:val="32"/>
          <w:highlight w:val="none"/>
        </w:rPr>
        <w:t>。截止2022年12月，共完成各类项目167个，预算金额398552</w:t>
      </w:r>
      <w:r>
        <w:rPr>
          <w:rFonts w:hint="eastAsia" w:ascii="方正仿宋简体" w:hAnsi="Times New Roman" w:eastAsia="方正仿宋简体" w:cs="Times New Roman"/>
          <w:b w:val="0"/>
          <w:bCs/>
          <w:color w:val="auto"/>
          <w:sz w:val="32"/>
          <w:szCs w:val="32"/>
          <w:highlight w:val="none"/>
          <w:lang w:val="en-US" w:eastAsia="zh-CN"/>
        </w:rPr>
        <w:t>万</w:t>
      </w:r>
      <w:r>
        <w:rPr>
          <w:rFonts w:hint="eastAsia" w:ascii="方正仿宋简体" w:hAnsi="Times New Roman" w:eastAsia="方正仿宋简体" w:cs="Times New Roman"/>
          <w:b w:val="0"/>
          <w:bCs/>
          <w:color w:val="auto"/>
          <w:sz w:val="32"/>
          <w:szCs w:val="32"/>
          <w:highlight w:val="none"/>
        </w:rPr>
        <w:t>元，成交金额379532</w:t>
      </w:r>
      <w:r>
        <w:rPr>
          <w:rFonts w:hint="eastAsia" w:ascii="方正仿宋简体" w:hAnsi="Times New Roman" w:eastAsia="方正仿宋简体" w:cs="Times New Roman"/>
          <w:b w:val="0"/>
          <w:bCs/>
          <w:color w:val="auto"/>
          <w:sz w:val="32"/>
          <w:szCs w:val="32"/>
          <w:highlight w:val="none"/>
          <w:lang w:val="en-US" w:eastAsia="zh-CN"/>
        </w:rPr>
        <w:t>万</w:t>
      </w:r>
      <w:r>
        <w:rPr>
          <w:rFonts w:hint="eastAsia" w:ascii="方正仿宋简体" w:hAnsi="Times New Roman" w:eastAsia="方正仿宋简体" w:cs="Times New Roman"/>
          <w:b w:val="0"/>
          <w:bCs/>
          <w:color w:val="auto"/>
          <w:sz w:val="32"/>
          <w:szCs w:val="32"/>
          <w:highlight w:val="none"/>
        </w:rPr>
        <w:t>元，节约资金1902</w:t>
      </w:r>
      <w:r>
        <w:rPr>
          <w:rFonts w:hint="eastAsia" w:ascii="方正仿宋简体" w:hAnsi="Times New Roman" w:eastAsia="方正仿宋简体" w:cs="Times New Roman"/>
          <w:b w:val="0"/>
          <w:bCs/>
          <w:color w:val="auto"/>
          <w:sz w:val="32"/>
          <w:szCs w:val="32"/>
          <w:highlight w:val="none"/>
          <w:lang w:val="en-US" w:eastAsia="zh-CN"/>
        </w:rPr>
        <w:t>0万</w:t>
      </w:r>
      <w:r>
        <w:rPr>
          <w:rFonts w:hint="eastAsia" w:ascii="方正仿宋简体" w:hAnsi="Times New Roman" w:eastAsia="方正仿宋简体" w:cs="Times New Roman"/>
          <w:b w:val="0"/>
          <w:bCs/>
          <w:color w:val="auto"/>
          <w:sz w:val="32"/>
          <w:szCs w:val="32"/>
          <w:highlight w:val="none"/>
        </w:rPr>
        <w:t>元，资金节约率4.77%。其中政府采购项目41个，预算金额13675.07万元，成交金额11513.86万元，节约资金2161.21万元，资金节约率15.8%；网上竞价项目59个，预算金额277.97万元，成交金额246.32万元，节约资金31.65万元，资金节约率11.39%。工程建设项目67个，招标控制价384599.72万元，中标金额367772.51万元，节约资金16827.21万元，资金节约率4.38%。</w:t>
      </w:r>
    </w:p>
    <w:p>
      <w:pPr>
        <w:spacing w:line="580" w:lineRule="exact"/>
        <w:ind w:firstLine="640" w:firstLineChars="200"/>
        <w:rPr>
          <w:rFonts w:hint="eastAsia" w:ascii="方正仿宋简体" w:hAnsi="Times New Roman" w:eastAsia="方正仿宋简体" w:cs="Times New Roman"/>
          <w:b w:val="0"/>
          <w:bCs/>
          <w:color w:val="auto"/>
          <w:sz w:val="32"/>
          <w:szCs w:val="32"/>
          <w:highlight w:val="none"/>
        </w:rPr>
      </w:pPr>
      <w:r>
        <w:rPr>
          <w:rFonts w:hint="eastAsia" w:ascii="方正仿宋简体" w:hAnsi="Times New Roman" w:eastAsia="方正仿宋简体" w:cs="Times New Roman"/>
          <w:b w:val="0"/>
          <w:bCs/>
          <w:color w:val="auto"/>
          <w:sz w:val="32"/>
          <w:szCs w:val="32"/>
          <w:highlight w:val="none"/>
        </w:rPr>
        <w:t>2</w:t>
      </w:r>
      <w:r>
        <w:rPr>
          <w:rFonts w:hint="eastAsia" w:ascii="方正仿宋简体" w:hAnsi="Times New Roman" w:eastAsia="方正仿宋简体" w:cs="Times New Roman"/>
          <w:b w:val="0"/>
          <w:bCs/>
          <w:color w:val="auto"/>
          <w:sz w:val="32"/>
          <w:szCs w:val="32"/>
          <w:highlight w:val="none"/>
          <w:lang w:eastAsia="zh-CN"/>
        </w:rPr>
        <w:t>.</w:t>
      </w:r>
      <w:r>
        <w:rPr>
          <w:rFonts w:hint="eastAsia" w:ascii="方正仿宋简体" w:hAnsi="Times New Roman" w:eastAsia="方正仿宋简体" w:cs="Times New Roman"/>
          <w:b/>
          <w:bCs w:val="0"/>
          <w:color w:val="auto"/>
          <w:sz w:val="32"/>
          <w:szCs w:val="32"/>
          <w:highlight w:val="none"/>
        </w:rPr>
        <w:t>省级“示范交易中心”建设任务圆满完成。</w:t>
      </w:r>
      <w:r>
        <w:rPr>
          <w:rFonts w:hint="eastAsia" w:ascii="方正仿宋简体" w:hAnsi="Times New Roman" w:eastAsia="方正仿宋简体" w:cs="Times New Roman"/>
          <w:b w:val="0"/>
          <w:bCs/>
          <w:color w:val="auto"/>
          <w:sz w:val="32"/>
          <w:szCs w:val="32"/>
          <w:highlight w:val="none"/>
        </w:rPr>
        <w:t>树立高位求进、好中创优的思想，围绕省级标准化规范化交易中心建设目标要求，高标准谋划、高效率推进、高质量打造，不断优化工作机制，加强制度建设，强化队伍建设，完善软硬件设施，打造智慧化服务，全力补齐短板弱项，努力提升交易服务质效，交易服务环境、交易服务规范、交易服务能力完成提档升级，实现华丽转身，2022年1月成功通过</w:t>
      </w:r>
      <w:r>
        <w:rPr>
          <w:rFonts w:hint="eastAsia" w:ascii="方正仿宋简体" w:hAnsi="Times New Roman" w:eastAsia="方正仿宋简体" w:cs="Times New Roman"/>
          <w:b w:val="0"/>
          <w:bCs/>
          <w:color w:val="auto"/>
          <w:sz w:val="32"/>
          <w:szCs w:val="32"/>
          <w:highlight w:val="none"/>
          <w:lang w:val="en-US" w:eastAsia="zh-CN"/>
        </w:rPr>
        <w:t>全省</w:t>
      </w:r>
      <w:r>
        <w:rPr>
          <w:rFonts w:hint="eastAsia" w:ascii="方正仿宋简体" w:hAnsi="Times New Roman" w:eastAsia="方正仿宋简体" w:cs="Times New Roman"/>
          <w:b w:val="0"/>
          <w:bCs/>
          <w:color w:val="auto"/>
          <w:sz w:val="32"/>
          <w:szCs w:val="32"/>
          <w:highlight w:val="none"/>
        </w:rPr>
        <w:t>公共资源交易服务标准化规范化建设评估验收，获省级“示范交易中心”授牌。</w:t>
      </w:r>
    </w:p>
    <w:p>
      <w:pPr>
        <w:spacing w:line="580" w:lineRule="exact"/>
        <w:ind w:firstLine="640" w:firstLineChars="200"/>
        <w:rPr>
          <w:rFonts w:hint="eastAsia" w:ascii="方正仿宋简体" w:hAnsi="Times New Roman" w:eastAsia="方正仿宋简体" w:cs="Times New Roman"/>
          <w:b w:val="0"/>
          <w:bCs/>
          <w:color w:val="auto"/>
          <w:sz w:val="32"/>
          <w:szCs w:val="32"/>
          <w:highlight w:val="none"/>
        </w:rPr>
      </w:pPr>
      <w:r>
        <w:rPr>
          <w:rFonts w:hint="eastAsia" w:ascii="方正仿宋简体" w:hAnsi="Times New Roman" w:eastAsia="方正仿宋简体" w:cs="Times New Roman"/>
          <w:b w:val="0"/>
          <w:bCs/>
          <w:color w:val="auto"/>
          <w:sz w:val="32"/>
          <w:szCs w:val="32"/>
          <w:highlight w:val="none"/>
        </w:rPr>
        <w:t>3</w:t>
      </w:r>
      <w:r>
        <w:rPr>
          <w:rFonts w:hint="eastAsia" w:ascii="方正仿宋简体" w:hAnsi="Times New Roman" w:eastAsia="方正仿宋简体" w:cs="Times New Roman"/>
          <w:b w:val="0"/>
          <w:bCs/>
          <w:color w:val="auto"/>
          <w:sz w:val="32"/>
          <w:szCs w:val="32"/>
          <w:highlight w:val="none"/>
          <w:lang w:val="en-US" w:eastAsia="zh-CN"/>
        </w:rPr>
        <w:t>.</w:t>
      </w:r>
      <w:r>
        <w:rPr>
          <w:rFonts w:hint="eastAsia" w:ascii="方正仿宋简体" w:hAnsi="Times New Roman" w:eastAsia="方正仿宋简体" w:cs="Times New Roman"/>
          <w:b/>
          <w:bCs w:val="0"/>
          <w:color w:val="auto"/>
          <w:sz w:val="32"/>
          <w:szCs w:val="32"/>
          <w:highlight w:val="none"/>
        </w:rPr>
        <w:t>招投标领域问题治理成效明显。</w:t>
      </w:r>
      <w:r>
        <w:rPr>
          <w:rFonts w:hint="eastAsia" w:ascii="方正仿宋简体" w:hAnsi="Times New Roman" w:eastAsia="方正仿宋简体" w:cs="Times New Roman"/>
          <w:b w:val="0"/>
          <w:bCs/>
          <w:color w:val="auto"/>
          <w:sz w:val="32"/>
          <w:szCs w:val="32"/>
          <w:highlight w:val="none"/>
        </w:rPr>
        <w:t>常态化开展不见面开标，重点推进异地远程评标，强化事前事中事后监督，有效隔离招标人、代理机构、投标人、评标专家的相互交叉，减少人为干扰因素，有效破解“熟面孔”“老关系”“私下勾兑”等顽瘴痼疾。截止2022年12月，共开展工程建设项目67个，其中不见面开标63个，开展异地远程评标3场次，其中作为评标主场2次，副场1次，未发生不廉洁行为。</w:t>
      </w:r>
    </w:p>
    <w:p>
      <w:pPr>
        <w:spacing w:line="580" w:lineRule="exact"/>
        <w:ind w:firstLine="643" w:firstLineChars="200"/>
        <w:rPr>
          <w:rFonts w:hint="eastAsia" w:eastAsia="方正仿宋简体"/>
          <w:b/>
          <w:color w:val="auto"/>
          <w:sz w:val="32"/>
          <w:szCs w:val="32"/>
        </w:rPr>
      </w:pPr>
      <w:r>
        <w:rPr>
          <w:rFonts w:hint="eastAsia" w:eastAsia="方正仿宋简体"/>
          <w:b/>
          <w:color w:val="auto"/>
          <w:sz w:val="32"/>
          <w:szCs w:val="32"/>
          <w:lang w:eastAsia="zh-CN"/>
        </w:rPr>
        <w:t>（</w:t>
      </w:r>
      <w:r>
        <w:rPr>
          <w:rFonts w:hint="eastAsia" w:eastAsia="方正仿宋简体"/>
          <w:b/>
          <w:color w:val="auto"/>
          <w:sz w:val="32"/>
          <w:szCs w:val="32"/>
          <w:lang w:val="en-US" w:eastAsia="zh-CN"/>
        </w:rPr>
        <w:t>三</w:t>
      </w:r>
      <w:r>
        <w:rPr>
          <w:rFonts w:hint="eastAsia" w:eastAsia="方正仿宋简体"/>
          <w:b/>
          <w:color w:val="auto"/>
          <w:sz w:val="32"/>
          <w:szCs w:val="32"/>
          <w:lang w:eastAsia="zh-CN"/>
        </w:rPr>
        <w:t>）</w:t>
      </w:r>
      <w:r>
        <w:rPr>
          <w:rFonts w:hint="eastAsia" w:eastAsia="方正仿宋简体"/>
          <w:b/>
          <w:color w:val="auto"/>
          <w:sz w:val="32"/>
          <w:szCs w:val="32"/>
        </w:rPr>
        <w:t>部门职能实现程度。</w:t>
      </w:r>
    </w:p>
    <w:p>
      <w:pPr>
        <w:spacing w:line="580" w:lineRule="exact"/>
        <w:ind w:firstLine="640" w:firstLineChars="200"/>
        <w:rPr>
          <w:rFonts w:eastAsia="方正仿宋简体"/>
          <w:color w:val="auto"/>
          <w:sz w:val="32"/>
          <w:szCs w:val="32"/>
        </w:rPr>
      </w:pPr>
      <w:r>
        <w:rPr>
          <w:rFonts w:hint="eastAsia" w:eastAsia="方正仿宋简体"/>
          <w:color w:val="auto"/>
          <w:sz w:val="32"/>
          <w:szCs w:val="32"/>
          <w:lang w:val="en-US" w:eastAsia="zh-CN"/>
        </w:rPr>
        <w:t>我中心</w:t>
      </w:r>
      <w:r>
        <w:rPr>
          <w:rFonts w:hint="eastAsia" w:eastAsia="方正仿宋简体"/>
          <w:color w:val="auto"/>
          <w:sz w:val="32"/>
          <w:szCs w:val="32"/>
        </w:rPr>
        <w:t>工作的整体效果</w:t>
      </w:r>
      <w:r>
        <w:rPr>
          <w:rFonts w:hint="eastAsia" w:eastAsia="方正仿宋简体"/>
          <w:color w:val="auto"/>
          <w:sz w:val="32"/>
          <w:szCs w:val="32"/>
          <w:lang w:val="en-US" w:eastAsia="zh-CN"/>
        </w:rPr>
        <w:t>优秀</w:t>
      </w:r>
      <w:r>
        <w:rPr>
          <w:rFonts w:hint="eastAsia" w:eastAsia="方正仿宋简体"/>
          <w:color w:val="auto"/>
          <w:sz w:val="32"/>
          <w:szCs w:val="32"/>
        </w:rPr>
        <w:t>、部门目标实现程度</w:t>
      </w:r>
      <w:r>
        <w:rPr>
          <w:rFonts w:hint="eastAsia" w:eastAsia="方正仿宋简体"/>
          <w:color w:val="auto"/>
          <w:sz w:val="32"/>
          <w:szCs w:val="32"/>
          <w:lang w:val="en-US" w:eastAsia="zh-CN"/>
        </w:rPr>
        <w:t>均基本达成</w:t>
      </w:r>
      <w:r>
        <w:rPr>
          <w:rFonts w:hint="eastAsia" w:eastAsia="方正仿宋简体"/>
          <w:color w:val="auto"/>
          <w:sz w:val="32"/>
          <w:szCs w:val="32"/>
        </w:rPr>
        <w:t>、社会满意度</w:t>
      </w:r>
      <w:r>
        <w:rPr>
          <w:rFonts w:hint="eastAsia" w:eastAsia="方正仿宋简体"/>
          <w:color w:val="auto"/>
          <w:sz w:val="32"/>
          <w:szCs w:val="32"/>
          <w:lang w:val="en-US" w:eastAsia="zh-CN"/>
        </w:rPr>
        <w:t>良好</w:t>
      </w:r>
      <w:r>
        <w:rPr>
          <w:rFonts w:hint="eastAsia" w:eastAsia="方正仿宋简体"/>
          <w:color w:val="auto"/>
          <w:sz w:val="32"/>
          <w:szCs w:val="32"/>
        </w:rPr>
        <w:t>。</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六、问题分析</w:t>
      </w:r>
    </w:p>
    <w:p>
      <w:pPr>
        <w:spacing w:line="590" w:lineRule="exact"/>
        <w:ind w:firstLine="630"/>
        <w:jc w:val="left"/>
        <w:rPr>
          <w:rFonts w:hint="default" w:ascii="方正仿宋简体" w:eastAsia="方正仿宋简体"/>
          <w:color w:val="auto"/>
          <w:sz w:val="32"/>
          <w:szCs w:val="32"/>
          <w:lang w:val="en-US" w:eastAsia="zh-CN"/>
        </w:rPr>
      </w:pPr>
      <w:r>
        <w:rPr>
          <w:rFonts w:hint="eastAsia" w:ascii="方正仿宋简体" w:eastAsia="方正仿宋简体"/>
          <w:color w:val="auto"/>
          <w:sz w:val="32"/>
          <w:szCs w:val="32"/>
        </w:rPr>
        <w:t>预算申报不够科学，</w:t>
      </w:r>
      <w:r>
        <w:rPr>
          <w:rFonts w:ascii="方正仿宋简体" w:eastAsia="方正仿宋简体"/>
          <w:color w:val="auto"/>
          <w:sz w:val="32"/>
          <w:szCs w:val="32"/>
        </w:rPr>
        <w:t> </w:t>
      </w:r>
      <w:r>
        <w:rPr>
          <w:rFonts w:hint="eastAsia" w:ascii="方正仿宋简体" w:eastAsia="方正仿宋简体"/>
          <w:color w:val="auto"/>
          <w:sz w:val="32"/>
          <w:szCs w:val="32"/>
        </w:rPr>
        <w:t>预算执行还不够严谨，预算编制不够细化，对绩效管理工作还停留在表面的理解和认</w:t>
      </w:r>
      <w:r>
        <w:rPr>
          <w:rFonts w:hint="eastAsia" w:ascii="方正仿宋简体" w:eastAsia="方正仿宋简体"/>
          <w:color w:val="auto"/>
          <w:sz w:val="32"/>
          <w:szCs w:val="32"/>
          <w:lang w:val="en-US" w:eastAsia="zh-CN"/>
        </w:rPr>
        <w:t>知</w:t>
      </w:r>
      <w:r>
        <w:rPr>
          <w:rFonts w:hint="eastAsia" w:ascii="方正仿宋简体" w:eastAsia="方正仿宋简体"/>
          <w:color w:val="auto"/>
          <w:sz w:val="32"/>
          <w:szCs w:val="32"/>
        </w:rPr>
        <w:t>，并没有真正意义上将绩效管理工作贯穿到全年工作开展的过程中去。</w:t>
      </w:r>
      <w:r>
        <w:rPr>
          <w:rFonts w:hint="eastAsia" w:ascii="方正仿宋简体" w:eastAsia="方正仿宋简体"/>
          <w:color w:val="auto"/>
          <w:sz w:val="32"/>
          <w:szCs w:val="32"/>
          <w:lang w:val="en-US" w:eastAsia="zh-CN"/>
        </w:rPr>
        <w:t>对资金预算前瞻性不够，过度依赖调资增资。</w:t>
      </w:r>
    </w:p>
    <w:p>
      <w:pPr>
        <w:spacing w:line="580" w:lineRule="exact"/>
        <w:ind w:firstLine="640" w:firstLineChars="200"/>
        <w:rPr>
          <w:rFonts w:eastAsia="方正黑体简体"/>
          <w:color w:val="auto"/>
          <w:sz w:val="32"/>
          <w:szCs w:val="32"/>
        </w:rPr>
      </w:pPr>
      <w:r>
        <w:rPr>
          <w:rFonts w:hint="eastAsia" w:eastAsia="方正黑体简体"/>
          <w:color w:val="auto"/>
          <w:sz w:val="32"/>
          <w:szCs w:val="32"/>
        </w:rPr>
        <w:t>七、建议</w:t>
      </w:r>
    </w:p>
    <w:p>
      <w:pPr>
        <w:spacing w:line="580" w:lineRule="exact"/>
        <w:ind w:firstLine="640" w:firstLineChars="200"/>
        <w:rPr>
          <w:rFonts w:hint="eastAsia" w:eastAsia="方正仿宋简体"/>
          <w:color w:val="auto"/>
          <w:sz w:val="32"/>
          <w:szCs w:val="32"/>
          <w:lang w:val="en-US" w:eastAsia="zh-CN"/>
        </w:rPr>
      </w:pPr>
      <w:r>
        <w:rPr>
          <w:rFonts w:hint="eastAsia" w:eastAsia="方正仿宋简体"/>
          <w:color w:val="auto"/>
          <w:sz w:val="32"/>
          <w:szCs w:val="32"/>
          <w:lang w:val="en-US" w:eastAsia="zh-CN"/>
        </w:rPr>
        <w:t>一是加强组织领导，完善管理制度。二是持续推进业务人员素质培训，提高财务人员的专业性</w:t>
      </w:r>
      <w:r>
        <w:rPr>
          <w:rFonts w:hint="eastAsia" w:eastAsia="方正仿宋简体"/>
          <w:color w:val="auto"/>
          <w:sz w:val="32"/>
          <w:szCs w:val="32"/>
        </w:rPr>
        <w:t>。</w:t>
      </w:r>
      <w:r>
        <w:rPr>
          <w:rFonts w:hint="eastAsia" w:eastAsia="方正仿宋简体"/>
          <w:color w:val="auto"/>
          <w:sz w:val="32"/>
          <w:szCs w:val="32"/>
          <w:lang w:val="en-US" w:eastAsia="zh-CN"/>
        </w:rPr>
        <w:t>三是</w:t>
      </w:r>
      <w:r>
        <w:rPr>
          <w:rFonts w:hint="eastAsia" w:ascii="方正仿宋简体" w:eastAsia="方正仿宋简体"/>
          <w:color w:val="auto"/>
          <w:sz w:val="32"/>
          <w:szCs w:val="32"/>
        </w:rPr>
        <w:t>认真学习贯彻预算法，优化预算编制工作，结合内部控制工作，加强绩效管理工作，将预算做的更完整、科学。</w:t>
      </w:r>
    </w:p>
    <w:p>
      <w:pPr>
        <w:spacing w:line="620" w:lineRule="exact"/>
        <w:jc w:val="left"/>
        <w:rPr>
          <w:rFonts w:eastAsia="方正黑体简体"/>
          <w:color w:val="auto"/>
          <w:kern w:val="0"/>
          <w:sz w:val="32"/>
          <w:szCs w:val="32"/>
        </w:rPr>
        <w:sectPr>
          <w:footerReference r:id="rId6" w:type="default"/>
          <w:pgSz w:w="11907" w:h="16840"/>
          <w:pgMar w:top="2098" w:right="1474" w:bottom="1928" w:left="1588" w:header="851" w:footer="992" w:gutter="0"/>
          <w:pgNumType w:start="1"/>
          <w:cols w:space="720" w:num="1"/>
          <w:docGrid w:type="lines" w:linePitch="312" w:charSpace="0"/>
        </w:sectPr>
      </w:pPr>
    </w:p>
    <w:p>
      <w:pPr>
        <w:spacing w:line="580" w:lineRule="exact"/>
        <w:rPr>
          <w:rFonts w:eastAsia="方正仿宋简体"/>
          <w:color w:val="auto"/>
          <w:sz w:val="32"/>
          <w:szCs w:val="32"/>
        </w:rPr>
      </w:pPr>
      <w:r>
        <w:rPr>
          <w:rFonts w:hint="eastAsia" w:eastAsia="方正仿宋简体"/>
          <w:color w:val="auto"/>
          <w:sz w:val="32"/>
          <w:szCs w:val="32"/>
        </w:rPr>
        <w:t>附件：</w:t>
      </w:r>
      <w:r>
        <w:rPr>
          <w:rFonts w:eastAsia="方正仿宋简体"/>
          <w:color w:val="auto"/>
          <w:sz w:val="32"/>
          <w:szCs w:val="32"/>
        </w:rPr>
        <w:t>1.202</w:t>
      </w:r>
      <w:r>
        <w:rPr>
          <w:rFonts w:hint="eastAsia" w:eastAsia="方正仿宋简体"/>
          <w:color w:val="auto"/>
          <w:sz w:val="32"/>
          <w:szCs w:val="32"/>
        </w:rPr>
        <w:t>2年度乐至县部门整体支出绩效自评计分表</w:t>
      </w:r>
    </w:p>
    <w:p>
      <w:pPr>
        <w:spacing w:line="580" w:lineRule="exact"/>
        <w:ind w:firstLine="960" w:firstLineChars="300"/>
        <w:rPr>
          <w:color w:val="auto"/>
          <w:w w:val="90"/>
        </w:rPr>
      </w:pPr>
      <w:r>
        <w:rPr>
          <w:rFonts w:eastAsia="方正仿宋简体"/>
          <w:color w:val="auto"/>
          <w:sz w:val="32"/>
          <w:szCs w:val="32"/>
        </w:rPr>
        <w:t>2.</w:t>
      </w:r>
      <w:r>
        <w:rPr>
          <w:rFonts w:eastAsia="方正仿宋简体"/>
          <w:color w:val="auto"/>
          <w:w w:val="90"/>
          <w:sz w:val="32"/>
          <w:szCs w:val="32"/>
        </w:rPr>
        <w:t>202</w:t>
      </w:r>
      <w:r>
        <w:rPr>
          <w:rFonts w:hint="eastAsia" w:eastAsia="方正仿宋简体"/>
          <w:color w:val="auto"/>
          <w:w w:val="90"/>
          <w:sz w:val="32"/>
          <w:szCs w:val="32"/>
        </w:rPr>
        <w:t>2年度乐至县部门整体支出绩效目标完成情况表</w:t>
      </w:r>
    </w:p>
    <w:p>
      <w:pPr>
        <w:widowControl/>
        <w:jc w:val="left"/>
        <w:rPr>
          <w:rFonts w:ascii="??????" w:hAnsi="宋体" w:eastAsia="Times New Roman" w:cs="宋体"/>
          <w:color w:val="auto"/>
          <w:kern w:val="0"/>
          <w:sz w:val="33"/>
          <w:szCs w:val="33"/>
        </w:rPr>
      </w:pPr>
    </w:p>
    <w:p>
      <w:pPr>
        <w:spacing w:line="580" w:lineRule="exact"/>
        <w:ind w:firstLine="1920" w:firstLineChars="600"/>
        <w:rPr>
          <w:rFonts w:hint="eastAsia" w:ascii="Times New Roman" w:hAnsi="Times New Roman" w:eastAsia="方正仿宋简体" w:cs="Times New Roman"/>
          <w:color w:val="auto"/>
          <w:sz w:val="32"/>
          <w:szCs w:val="32"/>
          <w:lang w:val="en-US" w:eastAsia="zh-CN"/>
        </w:rPr>
      </w:pPr>
      <w:r>
        <w:rPr>
          <w:rFonts w:hint="eastAsia" w:ascii="Times New Roman" w:hAnsi="Times New Roman" w:eastAsia="方正仿宋简体" w:cs="Times New Roman"/>
          <w:color w:val="auto"/>
          <w:sz w:val="32"/>
          <w:szCs w:val="32"/>
          <w:lang w:val="en-US" w:eastAsia="zh-CN"/>
        </w:rPr>
        <w:t>乐至县政府政务服务和公共资源交易服务中心</w:t>
      </w:r>
    </w:p>
    <w:p>
      <w:pPr>
        <w:spacing w:line="580" w:lineRule="exact"/>
        <w:ind w:firstLine="4160" w:firstLineChars="1300"/>
        <w:rPr>
          <w:rFonts w:hint="default" w:ascii="Times New Roman" w:hAnsi="Times New Roman" w:eastAsia="方正仿宋简体" w:cs="Times New Roman"/>
          <w:color w:val="auto"/>
          <w:sz w:val="32"/>
          <w:szCs w:val="32"/>
          <w:lang w:val="en-US" w:eastAsia="zh-CN"/>
        </w:rPr>
        <w:sectPr>
          <w:pgSz w:w="11907" w:h="16840"/>
          <w:pgMar w:top="2098" w:right="1474" w:bottom="1928" w:left="1588" w:header="851" w:footer="992" w:gutter="0"/>
          <w:cols w:space="720" w:num="1"/>
          <w:docGrid w:type="lines" w:linePitch="312" w:charSpace="0"/>
        </w:sectPr>
      </w:pPr>
      <w:r>
        <w:rPr>
          <w:rFonts w:hint="eastAsia" w:ascii="Times New Roman" w:hAnsi="Times New Roman" w:eastAsia="方正仿宋简体" w:cs="Times New Roman"/>
          <w:color w:val="auto"/>
          <w:sz w:val="32"/>
          <w:szCs w:val="32"/>
          <w:lang w:val="en-US" w:eastAsia="zh-CN"/>
        </w:rPr>
        <w:t>2023年11月8日</w:t>
      </w:r>
    </w:p>
    <w:p>
      <w:pPr>
        <w:spacing w:line="620" w:lineRule="exact"/>
        <w:jc w:val="left"/>
        <w:rPr>
          <w:rFonts w:eastAsia="方正黑体简体"/>
          <w:bCs/>
          <w:color w:val="auto"/>
          <w:kern w:val="0"/>
          <w:sz w:val="32"/>
          <w:szCs w:val="32"/>
        </w:rPr>
      </w:pPr>
      <w:r>
        <w:rPr>
          <w:rFonts w:hint="eastAsia" w:eastAsia="方正黑体简体"/>
          <w:bCs/>
          <w:color w:val="auto"/>
          <w:kern w:val="0"/>
          <w:sz w:val="32"/>
          <w:szCs w:val="32"/>
        </w:rPr>
        <w:t>附件</w:t>
      </w:r>
      <w:r>
        <w:rPr>
          <w:rFonts w:eastAsia="方正黑体简体"/>
          <w:bCs/>
          <w:color w:val="auto"/>
          <w:kern w:val="0"/>
          <w:sz w:val="32"/>
          <w:szCs w:val="32"/>
        </w:rPr>
        <w:t>1</w:t>
      </w:r>
    </w:p>
    <w:p>
      <w:pPr>
        <w:spacing w:line="620" w:lineRule="exact"/>
        <w:jc w:val="center"/>
        <w:rPr>
          <w:rFonts w:eastAsia="方正小标宋简体"/>
          <w:color w:val="auto"/>
          <w:w w:val="90"/>
          <w:kern w:val="0"/>
          <w:sz w:val="44"/>
          <w:szCs w:val="44"/>
        </w:rPr>
      </w:pPr>
      <w:r>
        <w:rPr>
          <w:rFonts w:eastAsia="方正小标宋简体"/>
          <w:bCs/>
          <w:color w:val="auto"/>
          <w:w w:val="90"/>
          <w:kern w:val="0"/>
          <w:sz w:val="44"/>
          <w:szCs w:val="44"/>
        </w:rPr>
        <w:t>202</w:t>
      </w:r>
      <w:r>
        <w:rPr>
          <w:rFonts w:hint="eastAsia" w:eastAsia="方正小标宋简体"/>
          <w:bCs/>
          <w:color w:val="auto"/>
          <w:w w:val="90"/>
          <w:kern w:val="0"/>
          <w:sz w:val="44"/>
          <w:szCs w:val="44"/>
        </w:rPr>
        <w:t>2年度乐至县部门整体支出绩效自评计分表</w:t>
      </w:r>
    </w:p>
    <w:p>
      <w:pPr>
        <w:spacing w:line="620" w:lineRule="exact"/>
        <w:rPr>
          <w:color w:val="auto"/>
          <w:kern w:val="0"/>
          <w:sz w:val="24"/>
        </w:rPr>
      </w:pPr>
      <w:r>
        <w:rPr>
          <w:rFonts w:hint="eastAsia"/>
          <w:color w:val="auto"/>
          <w:kern w:val="0"/>
          <w:sz w:val="18"/>
          <w:szCs w:val="18"/>
        </w:rPr>
        <w:t>单位名称：</w:t>
      </w:r>
      <w:r>
        <w:rPr>
          <w:rFonts w:hint="eastAsia"/>
          <w:color w:val="auto"/>
          <w:kern w:val="0"/>
          <w:sz w:val="18"/>
          <w:szCs w:val="18"/>
          <w:lang w:val="en-US" w:eastAsia="zh-CN"/>
        </w:rPr>
        <w:t xml:space="preserve">乐至县政府政务服务和公共资源交易服务中心   </w:t>
      </w:r>
      <w:r>
        <w:rPr>
          <w:color w:val="auto"/>
          <w:kern w:val="0"/>
          <w:sz w:val="18"/>
          <w:szCs w:val="18"/>
        </w:rPr>
        <w:t xml:space="preserve"> </w:t>
      </w:r>
      <w:r>
        <w:rPr>
          <w:rFonts w:hint="eastAsia"/>
          <w:color w:val="auto"/>
          <w:kern w:val="0"/>
          <w:sz w:val="18"/>
          <w:szCs w:val="18"/>
        </w:rPr>
        <w:t>预算单位编码：</w:t>
      </w:r>
      <w:r>
        <w:rPr>
          <w:rFonts w:hint="eastAsia"/>
          <w:color w:val="auto"/>
          <w:kern w:val="0"/>
          <w:sz w:val="18"/>
          <w:szCs w:val="18"/>
          <w:lang w:val="en-US" w:eastAsia="zh-CN"/>
        </w:rPr>
        <w:t>143001</w:t>
      </w:r>
      <w:r>
        <w:rPr>
          <w:color w:val="auto"/>
          <w:kern w:val="0"/>
          <w:sz w:val="18"/>
          <w:szCs w:val="18"/>
        </w:rPr>
        <w:t xml:space="preserve">      </w:t>
      </w:r>
      <w:r>
        <w:rPr>
          <w:rFonts w:hint="eastAsia"/>
          <w:color w:val="auto"/>
          <w:kern w:val="0"/>
          <w:sz w:val="18"/>
          <w:szCs w:val="18"/>
        </w:rPr>
        <w:t>自评等级：</w:t>
      </w:r>
      <w:r>
        <w:rPr>
          <w:rFonts w:hint="eastAsia"/>
          <w:color w:val="auto"/>
          <w:kern w:val="0"/>
          <w:sz w:val="18"/>
          <w:szCs w:val="18"/>
          <w:lang w:val="en-US" w:eastAsia="zh-CN"/>
        </w:rPr>
        <w:t>优</w:t>
      </w:r>
    </w:p>
    <w:tbl>
      <w:tblPr>
        <w:tblStyle w:val="16"/>
        <w:tblW w:w="5329" w:type="pct"/>
        <w:jc w:val="center"/>
        <w:tblLayout w:type="autofit"/>
        <w:tblCellMar>
          <w:top w:w="0" w:type="dxa"/>
          <w:left w:w="28" w:type="dxa"/>
          <w:bottom w:w="0" w:type="dxa"/>
          <w:right w:w="28" w:type="dxa"/>
        </w:tblCellMar>
      </w:tblPr>
      <w:tblGrid>
        <w:gridCol w:w="1474"/>
        <w:gridCol w:w="476"/>
        <w:gridCol w:w="740"/>
        <w:gridCol w:w="2167"/>
        <w:gridCol w:w="2845"/>
        <w:gridCol w:w="648"/>
        <w:gridCol w:w="1137"/>
      </w:tblGrid>
      <w:tr>
        <w:tblPrEx>
          <w:tblCellMar>
            <w:top w:w="0" w:type="dxa"/>
            <w:left w:w="28" w:type="dxa"/>
            <w:bottom w:w="0" w:type="dxa"/>
            <w:right w:w="28" w:type="dxa"/>
          </w:tblCellMar>
        </w:tblPrEx>
        <w:trPr>
          <w:trHeight w:val="518" w:hRule="atLeast"/>
          <w:tblHeader/>
          <w:jc w:val="center"/>
        </w:trPr>
        <w:tc>
          <w:tcPr>
            <w:tcW w:w="777" w:type="pct"/>
            <w:tcBorders>
              <w:top w:val="single" w:color="auto" w:sz="12" w:space="0"/>
              <w:left w:val="single" w:color="auto" w:sz="12" w:space="0"/>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一级指标</w:t>
            </w:r>
          </w:p>
        </w:tc>
        <w:tc>
          <w:tcPr>
            <w:tcW w:w="27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二级指标</w:t>
            </w:r>
          </w:p>
        </w:tc>
        <w:tc>
          <w:tcPr>
            <w:tcW w:w="438"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三级指标</w:t>
            </w:r>
          </w:p>
        </w:tc>
        <w:tc>
          <w:tcPr>
            <w:tcW w:w="1180"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指标解释</w:t>
            </w:r>
          </w:p>
        </w:tc>
        <w:tc>
          <w:tcPr>
            <w:tcW w:w="1537"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指标说明</w:t>
            </w:r>
            <w:r>
              <w:rPr>
                <w:rFonts w:eastAsia="方正黑体简体"/>
                <w:color w:val="auto"/>
                <w:szCs w:val="21"/>
              </w:rPr>
              <w:t>(</w:t>
            </w:r>
            <w:r>
              <w:rPr>
                <w:rFonts w:hint="eastAsia" w:eastAsia="方正黑体简体"/>
                <w:color w:val="auto"/>
                <w:szCs w:val="21"/>
              </w:rPr>
              <w:t>评价计分标准）</w:t>
            </w:r>
          </w:p>
        </w:tc>
        <w:tc>
          <w:tcPr>
            <w:tcW w:w="379" w:type="pct"/>
            <w:tcBorders>
              <w:top w:val="single" w:color="auto" w:sz="12" w:space="0"/>
              <w:left w:val="nil"/>
              <w:bottom w:val="single" w:color="auto" w:sz="4" w:space="0"/>
              <w:right w:val="single" w:color="auto" w:sz="4"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自评</w:t>
            </w:r>
          </w:p>
          <w:p>
            <w:pPr>
              <w:spacing w:line="240" w:lineRule="exact"/>
              <w:jc w:val="center"/>
              <w:rPr>
                <w:rFonts w:eastAsia="方正黑体简体"/>
                <w:color w:val="auto"/>
                <w:szCs w:val="21"/>
              </w:rPr>
            </w:pPr>
            <w:r>
              <w:rPr>
                <w:rFonts w:hint="eastAsia" w:eastAsia="方正黑体简体"/>
                <w:color w:val="auto"/>
                <w:szCs w:val="21"/>
              </w:rPr>
              <w:t>分数</w:t>
            </w:r>
          </w:p>
        </w:tc>
        <w:tc>
          <w:tcPr>
            <w:tcW w:w="410" w:type="pct"/>
            <w:tcBorders>
              <w:top w:val="single" w:color="auto" w:sz="12" w:space="0"/>
              <w:left w:val="nil"/>
              <w:bottom w:val="single" w:color="auto" w:sz="4" w:space="0"/>
              <w:right w:val="single" w:color="auto" w:sz="12" w:space="0"/>
            </w:tcBorders>
            <w:noWrap w:val="0"/>
            <w:vAlign w:val="center"/>
          </w:tcPr>
          <w:p>
            <w:pPr>
              <w:spacing w:line="240" w:lineRule="exact"/>
              <w:jc w:val="center"/>
              <w:rPr>
                <w:rFonts w:eastAsia="方正黑体简体"/>
                <w:color w:val="auto"/>
                <w:szCs w:val="21"/>
              </w:rPr>
            </w:pPr>
            <w:r>
              <w:rPr>
                <w:rFonts w:hint="eastAsia" w:eastAsia="方正黑体简体"/>
                <w:color w:val="auto"/>
                <w:szCs w:val="21"/>
              </w:rPr>
              <w:t>自评</w:t>
            </w:r>
          </w:p>
          <w:p>
            <w:pPr>
              <w:spacing w:line="240" w:lineRule="exact"/>
              <w:jc w:val="center"/>
              <w:rPr>
                <w:rFonts w:eastAsia="方正黑体简体"/>
                <w:color w:val="auto"/>
                <w:szCs w:val="21"/>
              </w:rPr>
            </w:pPr>
            <w:r>
              <w:rPr>
                <w:rFonts w:hint="eastAsia" w:eastAsia="方正黑体简体"/>
                <w:color w:val="auto"/>
                <w:szCs w:val="21"/>
              </w:rPr>
              <w:t>依据及说明</w:t>
            </w:r>
          </w:p>
        </w:tc>
      </w:tr>
      <w:tr>
        <w:tblPrEx>
          <w:tblCellMar>
            <w:top w:w="0" w:type="dxa"/>
            <w:left w:w="28" w:type="dxa"/>
            <w:bottom w:w="0" w:type="dxa"/>
            <w:right w:w="28" w:type="dxa"/>
          </w:tblCellMar>
        </w:tblPrEx>
        <w:trPr>
          <w:trHeight w:val="1330" w:hRule="atLeast"/>
          <w:jc w:val="center"/>
        </w:trPr>
        <w:tc>
          <w:tcPr>
            <w:tcW w:w="777" w:type="pct"/>
            <w:vMerge w:val="restart"/>
            <w:tcBorders>
              <w:top w:val="nil"/>
              <w:left w:val="single" w:color="auto" w:sz="12" w:space="0"/>
              <w:bottom w:val="single" w:color="000000" w:sz="4" w:space="0"/>
              <w:right w:val="single" w:color="auto" w:sz="4" w:space="0"/>
            </w:tcBorders>
            <w:noWrap/>
            <w:vAlign w:val="center"/>
          </w:tcPr>
          <w:p>
            <w:pPr>
              <w:spacing w:line="240" w:lineRule="exact"/>
              <w:jc w:val="center"/>
              <w:rPr>
                <w:color w:val="auto"/>
                <w:szCs w:val="21"/>
              </w:rPr>
            </w:pPr>
            <w:r>
              <w:rPr>
                <w:rFonts w:hint="eastAsia"/>
                <w:color w:val="auto"/>
                <w:szCs w:val="21"/>
              </w:rPr>
              <w:t>投入（</w:t>
            </w:r>
            <w:r>
              <w:rPr>
                <w:color w:val="auto"/>
                <w:szCs w:val="21"/>
              </w:rPr>
              <w:t>20</w:t>
            </w:r>
            <w:r>
              <w:rPr>
                <w:rFonts w:hint="eastAsia"/>
                <w:color w:val="auto"/>
                <w:szCs w:val="21"/>
              </w:rPr>
              <w:t>分）</w:t>
            </w:r>
          </w:p>
        </w:tc>
        <w:tc>
          <w:tcPr>
            <w:tcW w:w="279"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目标设定（</w:t>
            </w:r>
            <w:r>
              <w:rPr>
                <w:color w:val="auto"/>
                <w:szCs w:val="21"/>
              </w:rPr>
              <w:t>5</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绩效目标合理性（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部门（单位）所设立的整体绩效目标依据是否充分，是否符合客观实际，用以反映和考核部门（单位）整体绩效目标与部门履职、年度工作任务的相符性情况。</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①是否符合国家法律法规、国民经济和社会发展总体规划；</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②是否符合部门“三定”方案确定的职责；（</w:t>
            </w:r>
            <w:r>
              <w:rPr>
                <w:color w:val="auto"/>
                <w:szCs w:val="21"/>
              </w:rPr>
              <w:t>0.5</w:t>
            </w:r>
            <w:r>
              <w:rPr>
                <w:rFonts w:hint="eastAsia"/>
                <w:color w:val="auto"/>
                <w:szCs w:val="21"/>
              </w:rPr>
              <w:t>分）</w:t>
            </w:r>
          </w:p>
          <w:p>
            <w:pPr>
              <w:spacing w:line="240" w:lineRule="exact"/>
              <w:rPr>
                <w:color w:val="auto"/>
                <w:szCs w:val="21"/>
              </w:rPr>
            </w:pPr>
            <w:r>
              <w:rPr>
                <w:rFonts w:hint="eastAsia"/>
                <w:color w:val="auto"/>
                <w:szCs w:val="21"/>
              </w:rPr>
              <w:t>③是否符合部门制定的中长期实施规划。（</w:t>
            </w:r>
            <w:r>
              <w:rPr>
                <w:color w:val="auto"/>
                <w:szCs w:val="21"/>
              </w:rPr>
              <w:t>0.5</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447" w:hRule="atLeast"/>
          <w:jc w:val="center"/>
        </w:trPr>
        <w:tc>
          <w:tcPr>
            <w:tcW w:w="777"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绩效指标明确性（</w:t>
            </w:r>
            <w:r>
              <w:rPr>
                <w:color w:val="auto"/>
                <w:szCs w:val="21"/>
              </w:rPr>
              <w:t>3</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部门（单位）依据整体绩效目标所设定的绩效指标是否清晰、细化、可衡量，用以反映和考核部门（单位）整体绩效目标的明细化情况。</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①是否将部门整体的绩效目标细化分解为具体的工作任务；（</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②是否通过清晰、可衡量的指标值予以体现</w:t>
            </w:r>
            <w:r>
              <w:rPr>
                <w:color w:val="auto"/>
                <w:szCs w:val="21"/>
              </w:rPr>
              <w:t>;(0.5</w:t>
            </w:r>
            <w:r>
              <w:rPr>
                <w:rFonts w:hint="eastAsia"/>
                <w:color w:val="auto"/>
                <w:szCs w:val="21"/>
              </w:rPr>
              <w:t>分）</w:t>
            </w:r>
            <w:r>
              <w:rPr>
                <w:color w:val="auto"/>
                <w:szCs w:val="21"/>
              </w:rPr>
              <w:t xml:space="preserve">    </w:t>
            </w:r>
            <w:r>
              <w:rPr>
                <w:rFonts w:hint="eastAsia"/>
                <w:color w:val="auto"/>
                <w:szCs w:val="21"/>
              </w:rPr>
              <w:t>③是否与部门年度的任务数或计划数相对应；（</w:t>
            </w:r>
            <w:r>
              <w:rPr>
                <w:color w:val="auto"/>
                <w:szCs w:val="21"/>
              </w:rPr>
              <w:t>0.5</w:t>
            </w:r>
            <w:r>
              <w:rPr>
                <w:rFonts w:hint="eastAsia"/>
                <w:color w:val="auto"/>
                <w:szCs w:val="21"/>
              </w:rPr>
              <w:t>分）</w:t>
            </w:r>
          </w:p>
          <w:p>
            <w:pPr>
              <w:spacing w:line="240" w:lineRule="exact"/>
              <w:rPr>
                <w:color w:val="auto"/>
                <w:szCs w:val="21"/>
              </w:rPr>
            </w:pPr>
            <w:r>
              <w:rPr>
                <w:rFonts w:hint="eastAsia"/>
                <w:color w:val="auto"/>
                <w:szCs w:val="21"/>
              </w:rPr>
              <w:t>④是否与本年度部门预算资金相匹配。（</w:t>
            </w:r>
            <w:r>
              <w:rPr>
                <w:color w:val="auto"/>
                <w:szCs w:val="21"/>
              </w:rPr>
              <w:t>1</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3</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200" w:hRule="atLeast"/>
          <w:jc w:val="center"/>
        </w:trPr>
        <w:tc>
          <w:tcPr>
            <w:tcW w:w="777"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9" w:type="pct"/>
            <w:vMerge w:val="restart"/>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r>
              <w:rPr>
                <w:rFonts w:hint="eastAsia"/>
                <w:color w:val="auto"/>
                <w:szCs w:val="21"/>
              </w:rPr>
              <w:t>预算配置（</w:t>
            </w:r>
            <w:r>
              <w:rPr>
                <w:color w:val="auto"/>
                <w:szCs w:val="21"/>
              </w:rPr>
              <w:t>15</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在职人员控制率（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部门（单位）本年度实际在职人员数与编制数的比率，用以反映和考核部门（单位）对人员成本的控制程度。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在职人员控制率</w:t>
            </w:r>
            <w:r>
              <w:rPr>
                <w:color w:val="auto"/>
                <w:szCs w:val="21"/>
              </w:rPr>
              <w:t>=</w:t>
            </w:r>
            <w:r>
              <w:rPr>
                <w:rFonts w:hint="eastAsia"/>
                <w:color w:val="auto"/>
                <w:szCs w:val="21"/>
              </w:rPr>
              <w:t>（在职人员数</w:t>
            </w:r>
            <w:r>
              <w:rPr>
                <w:color w:val="auto"/>
                <w:szCs w:val="21"/>
              </w:rPr>
              <w:t>/</w:t>
            </w:r>
            <w:r>
              <w:rPr>
                <w:rFonts w:hint="eastAsia"/>
                <w:color w:val="auto"/>
                <w:szCs w:val="21"/>
              </w:rPr>
              <w:t>编制数）×</w:t>
            </w:r>
            <w:r>
              <w:rPr>
                <w:color w:val="auto"/>
                <w:szCs w:val="21"/>
              </w:rPr>
              <w:t>100%</w:t>
            </w:r>
            <w:r>
              <w:rPr>
                <w:rFonts w:hint="eastAsia"/>
                <w:color w:val="auto"/>
                <w:szCs w:val="21"/>
              </w:rPr>
              <w:t>。（小于或等于</w:t>
            </w:r>
            <w:r>
              <w:rPr>
                <w:color w:val="auto"/>
                <w:szCs w:val="21"/>
              </w:rPr>
              <w:t>1</w:t>
            </w:r>
            <w:r>
              <w:rPr>
                <w:rFonts w:hint="eastAsia"/>
                <w:color w:val="auto"/>
                <w:szCs w:val="21"/>
              </w:rPr>
              <w:t>计</w:t>
            </w:r>
            <w:r>
              <w:rPr>
                <w:color w:val="auto"/>
                <w:szCs w:val="21"/>
              </w:rPr>
              <w:t>5</w:t>
            </w:r>
            <w:r>
              <w:rPr>
                <w:rFonts w:hint="eastAsia"/>
                <w:color w:val="auto"/>
                <w:szCs w:val="21"/>
              </w:rPr>
              <w:t>分，否则按比例计分）</w:t>
            </w:r>
          </w:p>
          <w:p>
            <w:pPr>
              <w:spacing w:line="240" w:lineRule="exact"/>
              <w:rPr>
                <w:color w:val="auto"/>
                <w:szCs w:val="21"/>
              </w:rPr>
            </w:pPr>
            <w:r>
              <w:rPr>
                <w:rFonts w:hint="eastAsia"/>
                <w:color w:val="auto"/>
                <w:szCs w:val="21"/>
              </w:rPr>
              <w:t>在职人员数：部门（单位）实际在职人数，以财政部确定的部门决算编制口径为准。</w:t>
            </w:r>
          </w:p>
          <w:p>
            <w:pPr>
              <w:spacing w:line="240" w:lineRule="exact"/>
              <w:rPr>
                <w:color w:val="auto"/>
                <w:szCs w:val="21"/>
              </w:rPr>
            </w:pPr>
            <w:r>
              <w:rPr>
                <w:rFonts w:hint="eastAsia"/>
                <w:color w:val="auto"/>
                <w:szCs w:val="21"/>
              </w:rPr>
              <w:t>编制数：机构编制部门核定批复的部门（单位）的人员编制数。</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259" w:hRule="atLeast"/>
          <w:jc w:val="center"/>
        </w:trPr>
        <w:tc>
          <w:tcPr>
            <w:tcW w:w="777"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“三公经费”变动率（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部门（单位）本年度“三公经费”预算数与上年度“三公经费”预算数的变动比率，用以反映和考核部门（单位）对控制重点行政成本的努力程度。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“三公经费”变动率</w:t>
            </w:r>
            <w:r>
              <w:rPr>
                <w:color w:val="auto"/>
                <w:szCs w:val="21"/>
              </w:rPr>
              <w:t>=[</w:t>
            </w:r>
            <w:r>
              <w:rPr>
                <w:rFonts w:hint="eastAsia"/>
                <w:color w:val="auto"/>
                <w:szCs w:val="21"/>
              </w:rPr>
              <w:t>（本年度“三公经费”总额</w:t>
            </w:r>
            <w:r>
              <w:rPr>
                <w:color w:val="auto"/>
                <w:szCs w:val="21"/>
              </w:rPr>
              <w:t>-</w:t>
            </w:r>
            <w:r>
              <w:rPr>
                <w:rFonts w:hint="eastAsia"/>
                <w:color w:val="auto"/>
                <w:szCs w:val="21"/>
              </w:rPr>
              <w:t>上年度“三公经费”总额）</w:t>
            </w:r>
            <w:r>
              <w:rPr>
                <w:color w:val="auto"/>
                <w:szCs w:val="21"/>
              </w:rPr>
              <w:t>/</w:t>
            </w:r>
            <w:r>
              <w:rPr>
                <w:rFonts w:hint="eastAsia"/>
                <w:color w:val="auto"/>
                <w:szCs w:val="21"/>
              </w:rPr>
              <w:t>上年度“三公经费”总额</w:t>
            </w:r>
            <w:r>
              <w:rPr>
                <w:color w:val="auto"/>
                <w:szCs w:val="21"/>
              </w:rPr>
              <w:t>]</w:t>
            </w:r>
            <w:r>
              <w:rPr>
                <w:rFonts w:hint="eastAsia"/>
                <w:color w:val="auto"/>
                <w:szCs w:val="21"/>
              </w:rPr>
              <w:t>×</w:t>
            </w:r>
            <w:r>
              <w:rPr>
                <w:color w:val="auto"/>
                <w:szCs w:val="21"/>
              </w:rPr>
              <w:t>100%</w:t>
            </w:r>
            <w:r>
              <w:rPr>
                <w:rFonts w:hint="eastAsia"/>
                <w:color w:val="auto"/>
                <w:szCs w:val="21"/>
              </w:rPr>
              <w:t>。（下降的计</w:t>
            </w:r>
            <w:r>
              <w:rPr>
                <w:color w:val="auto"/>
                <w:szCs w:val="21"/>
              </w:rPr>
              <w:t>5</w:t>
            </w:r>
            <w:r>
              <w:rPr>
                <w:rFonts w:hint="eastAsia"/>
                <w:color w:val="auto"/>
                <w:szCs w:val="21"/>
              </w:rPr>
              <w:t>分，增加的按比例扣减）</w:t>
            </w:r>
          </w:p>
          <w:p>
            <w:pPr>
              <w:spacing w:line="240" w:lineRule="exact"/>
              <w:rPr>
                <w:color w:val="auto"/>
                <w:szCs w:val="21"/>
              </w:rPr>
            </w:pPr>
            <w:r>
              <w:rPr>
                <w:rFonts w:hint="eastAsia"/>
                <w:color w:val="auto"/>
                <w:szCs w:val="21"/>
              </w:rPr>
              <w:t>“三公经费”：年度预算安排的因公出国（境）费、公务车辆购置及运行费和公务招待费。</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534" w:hRule="atLeast"/>
          <w:jc w:val="center"/>
        </w:trPr>
        <w:tc>
          <w:tcPr>
            <w:tcW w:w="777" w:type="pct"/>
            <w:vMerge w:val="continue"/>
            <w:tcBorders>
              <w:top w:val="nil"/>
              <w:left w:val="single" w:color="auto" w:sz="12" w:space="0"/>
              <w:bottom w:val="single" w:color="000000"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000000"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重点支出安排率（</w:t>
            </w:r>
            <w:r>
              <w:rPr>
                <w:color w:val="auto"/>
                <w:szCs w:val="21"/>
              </w:rPr>
              <w:t>5</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部门（单位）本年度预算安排的重点项目支出与部门项目总支出的比率，用以反映和考核部门（单位）对履行主要职责或完成重点任务的保障程度。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重点支出安排率</w:t>
            </w:r>
            <w:r>
              <w:rPr>
                <w:color w:val="auto"/>
                <w:szCs w:val="21"/>
              </w:rPr>
              <w:t>=</w:t>
            </w:r>
            <w:r>
              <w:rPr>
                <w:rFonts w:hint="eastAsia"/>
                <w:color w:val="auto"/>
                <w:szCs w:val="21"/>
              </w:rPr>
              <w:t>（重点项目支出</w:t>
            </w:r>
            <w:r>
              <w:rPr>
                <w:color w:val="auto"/>
                <w:szCs w:val="21"/>
              </w:rPr>
              <w:t>/</w:t>
            </w:r>
            <w:r>
              <w:rPr>
                <w:rFonts w:hint="eastAsia"/>
                <w:color w:val="auto"/>
                <w:szCs w:val="21"/>
              </w:rPr>
              <w:t>项目总支出）×</w:t>
            </w:r>
            <w:r>
              <w:rPr>
                <w:color w:val="auto"/>
                <w:szCs w:val="21"/>
              </w:rPr>
              <w:t>100%</w:t>
            </w:r>
            <w:r>
              <w:rPr>
                <w:rFonts w:hint="eastAsia"/>
                <w:color w:val="auto"/>
                <w:szCs w:val="21"/>
              </w:rPr>
              <w:t>。（实际得分</w:t>
            </w:r>
            <w:r>
              <w:rPr>
                <w:color w:val="auto"/>
                <w:szCs w:val="21"/>
              </w:rPr>
              <w:t>=</w:t>
            </w:r>
            <w:r>
              <w:rPr>
                <w:rFonts w:hint="eastAsia"/>
                <w:color w:val="auto"/>
                <w:szCs w:val="21"/>
              </w:rPr>
              <w:t>支出安排率</w:t>
            </w:r>
            <w:r>
              <w:rPr>
                <w:color w:val="auto"/>
                <w:szCs w:val="21"/>
              </w:rPr>
              <w:t>*5</w:t>
            </w:r>
            <w:r>
              <w:rPr>
                <w:rFonts w:hint="eastAsia"/>
                <w:color w:val="auto"/>
                <w:szCs w:val="21"/>
              </w:rPr>
              <w:t>分）</w:t>
            </w:r>
          </w:p>
          <w:p>
            <w:pPr>
              <w:spacing w:line="240" w:lineRule="exact"/>
              <w:rPr>
                <w:color w:val="auto"/>
                <w:szCs w:val="21"/>
              </w:rPr>
            </w:pPr>
            <w:r>
              <w:rPr>
                <w:rFonts w:hint="eastAsia"/>
                <w:color w:val="auto"/>
                <w:szCs w:val="21"/>
              </w:rPr>
              <w:t>重点项目支出：部门（单位）年度预算安排的，与本部门履职和发展密切相关、具有明显社会和经济影响、党委政府关心或社会比较关注的项目支出总额。</w:t>
            </w:r>
          </w:p>
          <w:p>
            <w:pPr>
              <w:spacing w:line="240" w:lineRule="exact"/>
              <w:rPr>
                <w:color w:val="auto"/>
                <w:szCs w:val="21"/>
              </w:rPr>
            </w:pPr>
            <w:r>
              <w:rPr>
                <w:rFonts w:hint="eastAsia"/>
                <w:color w:val="auto"/>
                <w:szCs w:val="21"/>
              </w:rPr>
              <w:t>项目总支出：部门（单位）年度预算安排的项目支出总额。</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330" w:hRule="atLeast"/>
          <w:jc w:val="center"/>
        </w:trPr>
        <w:tc>
          <w:tcPr>
            <w:tcW w:w="777" w:type="pct"/>
            <w:vMerge w:val="restart"/>
            <w:tcBorders>
              <w:top w:val="nil"/>
              <w:left w:val="single" w:color="auto" w:sz="12" w:space="0"/>
              <w:right w:val="single" w:color="auto" w:sz="4" w:space="0"/>
            </w:tcBorders>
            <w:noWrap/>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9" w:type="pct"/>
            <w:vMerge w:val="restart"/>
            <w:tcBorders>
              <w:top w:val="nil"/>
              <w:left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预算执行（</w:t>
            </w:r>
            <w:r>
              <w:rPr>
                <w:color w:val="auto"/>
                <w:szCs w:val="21"/>
              </w:rPr>
              <w:t>20</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预算完成率（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部门（单位）本年度预算完成数与预算数的比率，用以反映和考核部门（单位）预算完成程度。</w:t>
            </w:r>
          </w:p>
        </w:tc>
        <w:tc>
          <w:tcPr>
            <w:tcW w:w="1537"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预算完成率</w:t>
            </w:r>
            <w:r>
              <w:rPr>
                <w:color w:val="auto"/>
                <w:szCs w:val="21"/>
              </w:rPr>
              <w:t>=</w:t>
            </w:r>
            <w:r>
              <w:rPr>
                <w:rFonts w:hint="eastAsia"/>
                <w:color w:val="auto"/>
                <w:szCs w:val="21"/>
              </w:rPr>
              <w:t>（预算完成数</w:t>
            </w:r>
            <w:r>
              <w:rPr>
                <w:color w:val="auto"/>
                <w:szCs w:val="21"/>
              </w:rPr>
              <w:t>/</w:t>
            </w:r>
            <w:r>
              <w:rPr>
                <w:rFonts w:hint="eastAsia"/>
                <w:color w:val="auto"/>
                <w:szCs w:val="21"/>
              </w:rPr>
              <w:t>预算数）×</w:t>
            </w:r>
            <w:r>
              <w:rPr>
                <w:color w:val="auto"/>
                <w:szCs w:val="21"/>
              </w:rPr>
              <w:t>100%</w:t>
            </w:r>
            <w:r>
              <w:rPr>
                <w:rFonts w:hint="eastAsia"/>
                <w:color w:val="auto"/>
                <w:szCs w:val="21"/>
              </w:rPr>
              <w:t>。（完成年初预算计</w:t>
            </w:r>
            <w:r>
              <w:rPr>
                <w:color w:val="auto"/>
                <w:szCs w:val="21"/>
              </w:rPr>
              <w:t>4</w:t>
            </w:r>
            <w:r>
              <w:rPr>
                <w:rFonts w:hint="eastAsia"/>
                <w:color w:val="auto"/>
                <w:szCs w:val="21"/>
              </w:rPr>
              <w:t>分，未完成年初按比例扣减）</w:t>
            </w:r>
          </w:p>
          <w:p>
            <w:pPr>
              <w:spacing w:line="260" w:lineRule="exact"/>
              <w:rPr>
                <w:color w:val="auto"/>
                <w:szCs w:val="21"/>
              </w:rPr>
            </w:pPr>
            <w:r>
              <w:rPr>
                <w:rFonts w:hint="eastAsia"/>
                <w:color w:val="auto"/>
                <w:szCs w:val="21"/>
              </w:rPr>
              <w:t>预算完成数：部门（单位）本年度实际完成的预算数。</w:t>
            </w:r>
          </w:p>
          <w:p>
            <w:pPr>
              <w:spacing w:line="260" w:lineRule="exact"/>
              <w:rPr>
                <w:color w:val="auto"/>
                <w:szCs w:val="21"/>
              </w:rPr>
            </w:pPr>
            <w:r>
              <w:rPr>
                <w:rFonts w:hint="eastAsia"/>
                <w:color w:val="auto"/>
                <w:szCs w:val="21"/>
              </w:rPr>
              <w:t>预算数：财政部门批复的本年度部门（单位）预算数。</w:t>
            </w:r>
          </w:p>
        </w:tc>
        <w:tc>
          <w:tcPr>
            <w:tcW w:w="379" w:type="pct"/>
            <w:tcBorders>
              <w:top w:val="nil"/>
              <w:left w:val="nil"/>
              <w:bottom w:val="single" w:color="auto" w:sz="4" w:space="0"/>
              <w:right w:val="single" w:color="auto" w:sz="4" w:space="0"/>
            </w:tcBorders>
            <w:noWrap/>
            <w:vAlign w:val="center"/>
          </w:tcPr>
          <w:p>
            <w:pPr>
              <w:spacing w:line="260" w:lineRule="exact"/>
              <w:jc w:val="center"/>
              <w:rPr>
                <w:rFonts w:hint="default" w:eastAsia="宋体"/>
                <w:color w:val="auto"/>
                <w:szCs w:val="21"/>
                <w:lang w:val="en-US" w:eastAsia="zh-CN"/>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spacing w:line="260" w:lineRule="exact"/>
              <w:jc w:val="center"/>
              <w:rPr>
                <w:color w:val="auto"/>
                <w:szCs w:val="21"/>
              </w:rPr>
            </w:pPr>
          </w:p>
        </w:tc>
      </w:tr>
      <w:tr>
        <w:tblPrEx>
          <w:tblCellMar>
            <w:top w:w="0" w:type="dxa"/>
            <w:left w:w="28" w:type="dxa"/>
            <w:bottom w:w="0" w:type="dxa"/>
            <w:right w:w="28" w:type="dxa"/>
          </w:tblCellMar>
        </w:tblPrEx>
        <w:trPr>
          <w:trHeight w:val="1459" w:hRule="atLeast"/>
          <w:jc w:val="center"/>
        </w:trPr>
        <w:tc>
          <w:tcPr>
            <w:tcW w:w="777" w:type="pct"/>
            <w:vMerge w:val="continue"/>
            <w:tcBorders>
              <w:left w:val="single" w:color="auto" w:sz="12" w:space="0"/>
              <w:right w:val="single" w:color="auto" w:sz="4" w:space="0"/>
            </w:tcBorders>
            <w:noWrap w:val="0"/>
            <w:vAlign w:val="center"/>
          </w:tcPr>
          <w:p>
            <w:pPr>
              <w:spacing w:line="260" w:lineRule="exact"/>
              <w:jc w:val="center"/>
              <w:rPr>
                <w:color w:val="auto"/>
                <w:szCs w:val="21"/>
              </w:rPr>
            </w:pPr>
          </w:p>
        </w:tc>
        <w:tc>
          <w:tcPr>
            <w:tcW w:w="279" w:type="pct"/>
            <w:vMerge w:val="continue"/>
            <w:tcBorders>
              <w:left w:val="single" w:color="auto" w:sz="4" w:space="0"/>
              <w:right w:val="single" w:color="auto" w:sz="4" w:space="0"/>
            </w:tcBorders>
            <w:noWrap w:val="0"/>
            <w:vAlign w:val="center"/>
          </w:tcPr>
          <w:p>
            <w:pPr>
              <w:spacing w:line="26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预算调整率（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部门（单位）本年度预算调整数与预算数的比率，用以反映和考核部门（单位）预算的调整程度。</w:t>
            </w:r>
          </w:p>
        </w:tc>
        <w:tc>
          <w:tcPr>
            <w:tcW w:w="1537"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预算调整率</w:t>
            </w:r>
            <w:r>
              <w:rPr>
                <w:color w:val="auto"/>
                <w:szCs w:val="21"/>
              </w:rPr>
              <w:t>=</w:t>
            </w:r>
            <w:r>
              <w:rPr>
                <w:rFonts w:hint="eastAsia"/>
                <w:color w:val="auto"/>
                <w:szCs w:val="21"/>
              </w:rPr>
              <w:t>（预算调整数</w:t>
            </w:r>
            <w:r>
              <w:rPr>
                <w:color w:val="auto"/>
                <w:szCs w:val="21"/>
              </w:rPr>
              <w:t>/</w:t>
            </w:r>
            <w:r>
              <w:rPr>
                <w:rFonts w:hint="eastAsia"/>
                <w:color w:val="auto"/>
                <w:szCs w:val="21"/>
              </w:rPr>
              <w:t>预算数）×</w:t>
            </w:r>
            <w:r>
              <w:rPr>
                <w:color w:val="auto"/>
                <w:szCs w:val="21"/>
              </w:rPr>
              <w:t>100%</w:t>
            </w:r>
            <w:r>
              <w:rPr>
                <w:rFonts w:hint="eastAsia"/>
                <w:color w:val="auto"/>
                <w:szCs w:val="21"/>
              </w:rPr>
              <w:t>。（未调整的计</w:t>
            </w:r>
            <w:r>
              <w:rPr>
                <w:color w:val="auto"/>
                <w:szCs w:val="21"/>
              </w:rPr>
              <w:t>2</w:t>
            </w:r>
            <w:r>
              <w:rPr>
                <w:rFonts w:hint="eastAsia"/>
                <w:color w:val="auto"/>
                <w:szCs w:val="21"/>
              </w:rPr>
              <w:t>分，调整了的除特殊原因外按比例扣减）</w:t>
            </w:r>
          </w:p>
          <w:p>
            <w:pPr>
              <w:spacing w:line="260" w:lineRule="exact"/>
              <w:rPr>
                <w:color w:val="auto"/>
                <w:szCs w:val="21"/>
              </w:rPr>
            </w:pPr>
            <w:r>
              <w:rPr>
                <w:rFonts w:hint="eastAsia"/>
                <w:color w:val="auto"/>
                <w:szCs w:val="21"/>
              </w:rPr>
              <w:t>预算调整数：部门（单位）在本年度内涉及预算的追加、追减或结构调整的资金总和（因落实国家政策、发生不可抗力、上级部门或本级党委政府临时交办而产生的调整除外）。</w:t>
            </w:r>
          </w:p>
        </w:tc>
        <w:tc>
          <w:tcPr>
            <w:tcW w:w="379" w:type="pct"/>
            <w:tcBorders>
              <w:top w:val="nil"/>
              <w:left w:val="nil"/>
              <w:bottom w:val="single" w:color="auto" w:sz="4" w:space="0"/>
              <w:right w:val="single" w:color="auto" w:sz="4" w:space="0"/>
            </w:tcBorders>
            <w:noWrap/>
            <w:vAlign w:val="center"/>
          </w:tcPr>
          <w:p>
            <w:pPr>
              <w:spacing w:line="26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60" w:lineRule="exact"/>
              <w:jc w:val="center"/>
              <w:rPr>
                <w:color w:val="auto"/>
                <w:szCs w:val="21"/>
              </w:rPr>
            </w:pPr>
          </w:p>
        </w:tc>
      </w:tr>
      <w:tr>
        <w:tblPrEx>
          <w:tblCellMar>
            <w:top w:w="0" w:type="dxa"/>
            <w:left w:w="28" w:type="dxa"/>
            <w:bottom w:w="0" w:type="dxa"/>
            <w:right w:w="28" w:type="dxa"/>
          </w:tblCellMar>
        </w:tblPrEx>
        <w:trPr>
          <w:trHeight w:val="1800" w:hRule="atLeast"/>
          <w:jc w:val="center"/>
        </w:trPr>
        <w:tc>
          <w:tcPr>
            <w:tcW w:w="777" w:type="pct"/>
            <w:vMerge w:val="continue"/>
            <w:tcBorders>
              <w:left w:val="single" w:color="auto" w:sz="12" w:space="0"/>
              <w:right w:val="single" w:color="auto" w:sz="4" w:space="0"/>
            </w:tcBorders>
            <w:noWrap w:val="0"/>
            <w:vAlign w:val="center"/>
          </w:tcPr>
          <w:p>
            <w:pPr>
              <w:spacing w:line="260" w:lineRule="exact"/>
              <w:jc w:val="center"/>
              <w:rPr>
                <w:color w:val="auto"/>
                <w:szCs w:val="21"/>
              </w:rPr>
            </w:pPr>
          </w:p>
        </w:tc>
        <w:tc>
          <w:tcPr>
            <w:tcW w:w="279" w:type="pct"/>
            <w:vMerge w:val="continue"/>
            <w:tcBorders>
              <w:left w:val="single" w:color="auto" w:sz="4" w:space="0"/>
              <w:right w:val="single" w:color="auto" w:sz="4" w:space="0"/>
            </w:tcBorders>
            <w:noWrap w:val="0"/>
            <w:vAlign w:val="center"/>
          </w:tcPr>
          <w:p>
            <w:pPr>
              <w:spacing w:line="26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支付进度率（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部门（单位）实际支付进度与既定支付进度的比率，用以反映和考核部门（单位）预算执行的及时性和均衡性程度。</w:t>
            </w:r>
          </w:p>
        </w:tc>
        <w:tc>
          <w:tcPr>
            <w:tcW w:w="1537"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支付进度率</w:t>
            </w:r>
            <w:r>
              <w:rPr>
                <w:color w:val="auto"/>
                <w:szCs w:val="21"/>
              </w:rPr>
              <w:t>=</w:t>
            </w:r>
            <w:r>
              <w:rPr>
                <w:rFonts w:hint="eastAsia"/>
                <w:color w:val="auto"/>
                <w:szCs w:val="21"/>
              </w:rPr>
              <w:t>（实际支付进度</w:t>
            </w:r>
            <w:r>
              <w:rPr>
                <w:color w:val="auto"/>
                <w:szCs w:val="21"/>
              </w:rPr>
              <w:t>/</w:t>
            </w:r>
            <w:r>
              <w:rPr>
                <w:rFonts w:hint="eastAsia"/>
                <w:color w:val="auto"/>
                <w:szCs w:val="21"/>
              </w:rPr>
              <w:t>既定支付进度）×</w:t>
            </w:r>
            <w:r>
              <w:rPr>
                <w:color w:val="auto"/>
                <w:szCs w:val="21"/>
              </w:rPr>
              <w:t>100%</w:t>
            </w:r>
            <w:r>
              <w:rPr>
                <w:rFonts w:hint="eastAsia"/>
                <w:color w:val="auto"/>
                <w:szCs w:val="21"/>
              </w:rPr>
              <w:t>。完成年终进度的计</w:t>
            </w:r>
            <w:r>
              <w:rPr>
                <w:color w:val="auto"/>
                <w:szCs w:val="21"/>
              </w:rPr>
              <w:t>1</w:t>
            </w:r>
            <w:r>
              <w:rPr>
                <w:rFonts w:hint="eastAsia"/>
                <w:color w:val="auto"/>
                <w:szCs w:val="21"/>
              </w:rPr>
              <w:t>分，按季度完成预算进度的计</w:t>
            </w:r>
            <w:r>
              <w:rPr>
                <w:color w:val="auto"/>
                <w:szCs w:val="21"/>
              </w:rPr>
              <w:t>1</w:t>
            </w:r>
            <w:r>
              <w:rPr>
                <w:rFonts w:hint="eastAsia"/>
                <w:color w:val="auto"/>
                <w:szCs w:val="21"/>
              </w:rPr>
              <w:t>分。</w:t>
            </w:r>
          </w:p>
          <w:p>
            <w:pPr>
              <w:spacing w:line="260" w:lineRule="exact"/>
              <w:rPr>
                <w:color w:val="auto"/>
                <w:szCs w:val="21"/>
              </w:rPr>
            </w:pPr>
            <w:r>
              <w:rPr>
                <w:rFonts w:hint="eastAsia"/>
                <w:color w:val="auto"/>
                <w:szCs w:val="21"/>
              </w:rPr>
              <w:t>实际支付进度：部门（单位）在某一时点的支出预算执行总数与年度支出预算数的比率。</w:t>
            </w:r>
          </w:p>
          <w:p>
            <w:pPr>
              <w:spacing w:line="260" w:lineRule="exact"/>
              <w:rPr>
                <w:color w:val="auto"/>
                <w:szCs w:val="21"/>
              </w:rPr>
            </w:pPr>
            <w:r>
              <w:rPr>
                <w:rFonts w:hint="eastAsia"/>
                <w:color w:val="auto"/>
                <w:szCs w:val="21"/>
              </w:rPr>
              <w:t>既定支付进度：由部门（单位）在申报部门整体绩效目标时，参照序时支付进度、前三年支付进度、同级部门平均支付进度水平等确定的，在某一时点应达到的支付进度（比率）。</w:t>
            </w:r>
          </w:p>
        </w:tc>
        <w:tc>
          <w:tcPr>
            <w:tcW w:w="379" w:type="pct"/>
            <w:tcBorders>
              <w:top w:val="nil"/>
              <w:left w:val="nil"/>
              <w:bottom w:val="single" w:color="auto" w:sz="4" w:space="0"/>
              <w:right w:val="single" w:color="auto" w:sz="4" w:space="0"/>
            </w:tcBorders>
            <w:noWrap/>
            <w:vAlign w:val="center"/>
          </w:tcPr>
          <w:p>
            <w:pPr>
              <w:spacing w:line="26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60" w:lineRule="exact"/>
              <w:jc w:val="center"/>
              <w:rPr>
                <w:color w:val="auto"/>
                <w:szCs w:val="21"/>
              </w:rPr>
            </w:pPr>
          </w:p>
        </w:tc>
      </w:tr>
      <w:tr>
        <w:tblPrEx>
          <w:tblCellMar>
            <w:top w:w="0" w:type="dxa"/>
            <w:left w:w="28" w:type="dxa"/>
            <w:bottom w:w="0" w:type="dxa"/>
            <w:right w:w="28" w:type="dxa"/>
          </w:tblCellMar>
        </w:tblPrEx>
        <w:trPr>
          <w:trHeight w:val="1035" w:hRule="atLeast"/>
          <w:jc w:val="center"/>
        </w:trPr>
        <w:tc>
          <w:tcPr>
            <w:tcW w:w="777" w:type="pct"/>
            <w:vMerge w:val="continue"/>
            <w:tcBorders>
              <w:left w:val="single" w:color="auto" w:sz="12" w:space="0"/>
              <w:right w:val="single" w:color="auto" w:sz="4" w:space="0"/>
            </w:tcBorders>
            <w:noWrap w:val="0"/>
            <w:vAlign w:val="center"/>
          </w:tcPr>
          <w:p>
            <w:pPr>
              <w:spacing w:line="260" w:lineRule="exact"/>
              <w:jc w:val="center"/>
              <w:rPr>
                <w:color w:val="auto"/>
                <w:szCs w:val="21"/>
              </w:rPr>
            </w:pPr>
          </w:p>
        </w:tc>
        <w:tc>
          <w:tcPr>
            <w:tcW w:w="279" w:type="pct"/>
            <w:vMerge w:val="continue"/>
            <w:tcBorders>
              <w:left w:val="single" w:color="auto" w:sz="4" w:space="0"/>
              <w:right w:val="single" w:color="auto" w:sz="4" w:space="0"/>
            </w:tcBorders>
            <w:noWrap w:val="0"/>
            <w:vAlign w:val="center"/>
          </w:tcPr>
          <w:p>
            <w:pPr>
              <w:spacing w:line="26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结转结余率（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部门（单位）本年度结转结余总额与支出预算数的比率，用以反映和考核部门（单位）对本年度结转结余资金的实际控制程度。</w:t>
            </w:r>
          </w:p>
        </w:tc>
        <w:tc>
          <w:tcPr>
            <w:tcW w:w="1537"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结转结余率</w:t>
            </w:r>
            <w:r>
              <w:rPr>
                <w:color w:val="auto"/>
                <w:szCs w:val="21"/>
              </w:rPr>
              <w:t>=</w:t>
            </w:r>
            <w:r>
              <w:rPr>
                <w:rFonts w:hint="eastAsia"/>
                <w:color w:val="auto"/>
                <w:szCs w:val="21"/>
              </w:rPr>
              <w:t>结转结余总额</w:t>
            </w:r>
            <w:r>
              <w:rPr>
                <w:color w:val="auto"/>
                <w:szCs w:val="21"/>
              </w:rPr>
              <w:t>/</w:t>
            </w:r>
            <w:r>
              <w:rPr>
                <w:rFonts w:hint="eastAsia"/>
                <w:color w:val="auto"/>
                <w:szCs w:val="21"/>
              </w:rPr>
              <w:t>支出预算数×</w:t>
            </w:r>
            <w:r>
              <w:rPr>
                <w:color w:val="auto"/>
                <w:szCs w:val="21"/>
              </w:rPr>
              <w:t>100%</w:t>
            </w:r>
            <w:r>
              <w:rPr>
                <w:rFonts w:hint="eastAsia"/>
                <w:color w:val="auto"/>
                <w:szCs w:val="21"/>
              </w:rPr>
              <w:t>。低于</w:t>
            </w:r>
            <w:r>
              <w:rPr>
                <w:color w:val="auto"/>
                <w:szCs w:val="21"/>
              </w:rPr>
              <w:t>5%</w:t>
            </w:r>
            <w:r>
              <w:rPr>
                <w:rFonts w:hint="eastAsia"/>
                <w:color w:val="auto"/>
                <w:szCs w:val="21"/>
              </w:rPr>
              <w:t>的计</w:t>
            </w:r>
            <w:r>
              <w:rPr>
                <w:color w:val="auto"/>
                <w:szCs w:val="21"/>
              </w:rPr>
              <w:t>1</w:t>
            </w:r>
            <w:r>
              <w:rPr>
                <w:rFonts w:hint="eastAsia"/>
                <w:color w:val="auto"/>
                <w:szCs w:val="21"/>
              </w:rPr>
              <w:t>分，每超过</w:t>
            </w:r>
            <w:r>
              <w:rPr>
                <w:color w:val="auto"/>
                <w:szCs w:val="21"/>
              </w:rPr>
              <w:t>5</w:t>
            </w:r>
            <w:r>
              <w:rPr>
                <w:rFonts w:hint="eastAsia"/>
                <w:color w:val="auto"/>
                <w:szCs w:val="21"/>
              </w:rPr>
              <w:t>个百分点扣</w:t>
            </w:r>
            <w:r>
              <w:rPr>
                <w:color w:val="auto"/>
                <w:szCs w:val="21"/>
              </w:rPr>
              <w:t>1</w:t>
            </w:r>
            <w:r>
              <w:rPr>
                <w:rFonts w:hint="eastAsia"/>
                <w:color w:val="auto"/>
                <w:szCs w:val="21"/>
              </w:rPr>
              <w:t>分，扣完为止。</w:t>
            </w:r>
          </w:p>
          <w:p>
            <w:pPr>
              <w:spacing w:line="260" w:lineRule="exact"/>
              <w:rPr>
                <w:color w:val="auto"/>
                <w:szCs w:val="21"/>
              </w:rPr>
            </w:pPr>
            <w:r>
              <w:rPr>
                <w:rFonts w:hint="eastAsia"/>
                <w:color w:val="auto"/>
                <w:szCs w:val="21"/>
              </w:rPr>
              <w:t>结转结余总额：部门（单位）本年度的结转资金与结余资金之和（以决算数为准）。</w:t>
            </w:r>
          </w:p>
        </w:tc>
        <w:tc>
          <w:tcPr>
            <w:tcW w:w="379" w:type="pct"/>
            <w:tcBorders>
              <w:top w:val="nil"/>
              <w:left w:val="nil"/>
              <w:bottom w:val="single" w:color="auto" w:sz="4" w:space="0"/>
              <w:right w:val="single" w:color="auto" w:sz="4" w:space="0"/>
            </w:tcBorders>
            <w:noWrap/>
            <w:vAlign w:val="center"/>
          </w:tcPr>
          <w:p>
            <w:pPr>
              <w:spacing w:line="26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60" w:lineRule="exact"/>
              <w:jc w:val="center"/>
              <w:rPr>
                <w:color w:val="auto"/>
                <w:szCs w:val="21"/>
              </w:rPr>
            </w:pPr>
          </w:p>
        </w:tc>
      </w:tr>
      <w:tr>
        <w:tblPrEx>
          <w:tblCellMar>
            <w:top w:w="0" w:type="dxa"/>
            <w:left w:w="28" w:type="dxa"/>
            <w:bottom w:w="0" w:type="dxa"/>
            <w:right w:w="28" w:type="dxa"/>
          </w:tblCellMar>
        </w:tblPrEx>
        <w:trPr>
          <w:trHeight w:val="1247" w:hRule="atLeast"/>
          <w:jc w:val="center"/>
        </w:trPr>
        <w:tc>
          <w:tcPr>
            <w:tcW w:w="777" w:type="pct"/>
            <w:vMerge w:val="continue"/>
            <w:tcBorders>
              <w:left w:val="single" w:color="auto" w:sz="12" w:space="0"/>
              <w:bottom w:val="single" w:color="000000" w:sz="4" w:space="0"/>
              <w:right w:val="single" w:color="auto" w:sz="4" w:space="0"/>
            </w:tcBorders>
            <w:noWrap w:val="0"/>
            <w:vAlign w:val="center"/>
          </w:tcPr>
          <w:p>
            <w:pPr>
              <w:spacing w:line="260" w:lineRule="exact"/>
              <w:jc w:val="center"/>
              <w:rPr>
                <w:color w:val="auto"/>
                <w:szCs w:val="21"/>
              </w:rPr>
            </w:pPr>
          </w:p>
        </w:tc>
        <w:tc>
          <w:tcPr>
            <w:tcW w:w="279" w:type="pct"/>
            <w:vMerge w:val="continue"/>
            <w:tcBorders>
              <w:left w:val="single" w:color="auto" w:sz="4" w:space="0"/>
              <w:bottom w:val="single" w:color="000000" w:sz="4" w:space="0"/>
              <w:right w:val="single" w:color="auto" w:sz="4" w:space="0"/>
            </w:tcBorders>
            <w:noWrap w:val="0"/>
            <w:vAlign w:val="center"/>
          </w:tcPr>
          <w:p>
            <w:pPr>
              <w:spacing w:line="26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结转结余变动率（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部门（单位）本年度结转结余资金总额与上年度结转结余资金总额的变动比率，用以反映和考核部门（单位）对控制结转结余资金的努力程度。</w:t>
            </w:r>
          </w:p>
        </w:tc>
        <w:tc>
          <w:tcPr>
            <w:tcW w:w="1537" w:type="pct"/>
            <w:tcBorders>
              <w:top w:val="nil"/>
              <w:left w:val="nil"/>
              <w:bottom w:val="single" w:color="auto" w:sz="4" w:space="0"/>
              <w:right w:val="single" w:color="auto" w:sz="4" w:space="0"/>
            </w:tcBorders>
            <w:noWrap w:val="0"/>
            <w:vAlign w:val="center"/>
          </w:tcPr>
          <w:p>
            <w:pPr>
              <w:spacing w:line="260" w:lineRule="exact"/>
              <w:rPr>
                <w:color w:val="auto"/>
                <w:szCs w:val="21"/>
              </w:rPr>
            </w:pPr>
            <w:r>
              <w:rPr>
                <w:rFonts w:hint="eastAsia"/>
                <w:color w:val="auto"/>
                <w:szCs w:val="21"/>
              </w:rPr>
              <w:t>结转结余变动率</w:t>
            </w:r>
            <w:r>
              <w:rPr>
                <w:color w:val="auto"/>
                <w:szCs w:val="21"/>
              </w:rPr>
              <w:t>=[</w:t>
            </w:r>
            <w:r>
              <w:rPr>
                <w:rFonts w:hint="eastAsia"/>
                <w:color w:val="auto"/>
                <w:szCs w:val="21"/>
              </w:rPr>
              <w:t>（本年度累计结转结余资金总额</w:t>
            </w:r>
            <w:r>
              <w:rPr>
                <w:color w:val="auto"/>
                <w:szCs w:val="21"/>
              </w:rPr>
              <w:t>-</w:t>
            </w:r>
            <w:r>
              <w:rPr>
                <w:rFonts w:hint="eastAsia"/>
                <w:color w:val="auto"/>
                <w:szCs w:val="21"/>
              </w:rPr>
              <w:t>上年度累计结转结余资金总额）</w:t>
            </w:r>
            <w:r>
              <w:rPr>
                <w:color w:val="auto"/>
                <w:szCs w:val="21"/>
              </w:rPr>
              <w:t>/</w:t>
            </w:r>
            <w:r>
              <w:rPr>
                <w:rFonts w:hint="eastAsia"/>
                <w:color w:val="auto"/>
                <w:szCs w:val="21"/>
              </w:rPr>
              <w:t>上年度累计结转结余资金总额</w:t>
            </w:r>
            <w:r>
              <w:rPr>
                <w:color w:val="auto"/>
                <w:szCs w:val="21"/>
              </w:rPr>
              <w:t>]</w:t>
            </w:r>
            <w:r>
              <w:rPr>
                <w:rFonts w:hint="eastAsia"/>
                <w:color w:val="auto"/>
                <w:szCs w:val="21"/>
              </w:rPr>
              <w:t>×</w:t>
            </w:r>
            <w:r>
              <w:rPr>
                <w:color w:val="auto"/>
                <w:szCs w:val="21"/>
              </w:rPr>
              <w:t>100%</w:t>
            </w:r>
            <w:r>
              <w:rPr>
                <w:rFonts w:hint="eastAsia"/>
                <w:color w:val="auto"/>
                <w:szCs w:val="21"/>
              </w:rPr>
              <w:t>。（低于</w:t>
            </w:r>
            <w:r>
              <w:rPr>
                <w:color w:val="auto"/>
                <w:szCs w:val="21"/>
              </w:rPr>
              <w:t>15%</w:t>
            </w:r>
            <w:r>
              <w:rPr>
                <w:rFonts w:hint="eastAsia"/>
                <w:color w:val="auto"/>
                <w:szCs w:val="21"/>
              </w:rPr>
              <w:t>的计</w:t>
            </w:r>
            <w:r>
              <w:rPr>
                <w:color w:val="auto"/>
                <w:szCs w:val="21"/>
              </w:rPr>
              <w:t>2</w:t>
            </w:r>
            <w:r>
              <w:rPr>
                <w:rFonts w:hint="eastAsia"/>
                <w:color w:val="auto"/>
                <w:szCs w:val="21"/>
              </w:rPr>
              <w:t>分，每超过</w:t>
            </w:r>
            <w:r>
              <w:rPr>
                <w:color w:val="auto"/>
                <w:szCs w:val="21"/>
              </w:rPr>
              <w:t>5</w:t>
            </w:r>
            <w:r>
              <w:rPr>
                <w:rFonts w:hint="eastAsia"/>
                <w:color w:val="auto"/>
                <w:szCs w:val="21"/>
              </w:rPr>
              <w:t>个百分点扣</w:t>
            </w:r>
            <w:r>
              <w:rPr>
                <w:color w:val="auto"/>
                <w:szCs w:val="21"/>
              </w:rPr>
              <w:t>1</w:t>
            </w:r>
            <w:r>
              <w:rPr>
                <w:rFonts w:hint="eastAsia"/>
                <w:color w:val="auto"/>
                <w:szCs w:val="21"/>
              </w:rPr>
              <w:t>分，扣完为止）</w:t>
            </w:r>
          </w:p>
        </w:tc>
        <w:tc>
          <w:tcPr>
            <w:tcW w:w="379" w:type="pct"/>
            <w:tcBorders>
              <w:top w:val="nil"/>
              <w:left w:val="nil"/>
              <w:bottom w:val="single" w:color="auto" w:sz="4" w:space="0"/>
              <w:right w:val="single" w:color="auto" w:sz="4" w:space="0"/>
            </w:tcBorders>
            <w:noWrap/>
            <w:vAlign w:val="center"/>
          </w:tcPr>
          <w:p>
            <w:pPr>
              <w:spacing w:line="26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60" w:lineRule="exact"/>
              <w:jc w:val="center"/>
              <w:rPr>
                <w:color w:val="auto"/>
                <w:szCs w:val="21"/>
              </w:rPr>
            </w:pPr>
          </w:p>
        </w:tc>
      </w:tr>
      <w:tr>
        <w:tblPrEx>
          <w:tblCellMar>
            <w:top w:w="0" w:type="dxa"/>
            <w:left w:w="28" w:type="dxa"/>
            <w:bottom w:w="0" w:type="dxa"/>
            <w:right w:w="28" w:type="dxa"/>
          </w:tblCellMar>
        </w:tblPrEx>
        <w:trPr>
          <w:trHeight w:val="1153" w:hRule="atLeast"/>
          <w:jc w:val="center"/>
        </w:trPr>
        <w:tc>
          <w:tcPr>
            <w:tcW w:w="777" w:type="pct"/>
            <w:vMerge w:val="restart"/>
            <w:tcBorders>
              <w:top w:val="nil"/>
              <w:left w:val="single" w:color="auto" w:sz="12" w:space="0"/>
              <w:right w:val="single" w:color="auto" w:sz="4" w:space="0"/>
            </w:tcBorders>
            <w:noWrap w:val="0"/>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9" w:type="pct"/>
            <w:vMerge w:val="restart"/>
            <w:tcBorders>
              <w:top w:val="nil"/>
              <w:left w:val="single" w:color="auto" w:sz="4" w:space="0"/>
              <w:right w:val="single" w:color="auto" w:sz="4" w:space="0"/>
            </w:tcBorders>
            <w:noWrap w:val="0"/>
            <w:vAlign w:val="center"/>
          </w:tcPr>
          <w:p>
            <w:pPr>
              <w:spacing w:line="260" w:lineRule="exact"/>
              <w:jc w:val="center"/>
              <w:rPr>
                <w:color w:val="auto"/>
                <w:szCs w:val="21"/>
              </w:rPr>
            </w:pPr>
            <w:r>
              <w:rPr>
                <w:rFonts w:hint="eastAsia"/>
                <w:color w:val="auto"/>
                <w:szCs w:val="21"/>
              </w:rPr>
              <w:t>预算执行（</w:t>
            </w:r>
            <w:r>
              <w:rPr>
                <w:color w:val="auto"/>
                <w:szCs w:val="21"/>
              </w:rPr>
              <w:t>20</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公用经费控制率（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部门（单位）本年度实际支出的公用经费总额与预算安排的公用经费总额的比率，用以反映和考核部门（单位）对机构运转成本的实际控制程度。</w:t>
            </w:r>
          </w:p>
        </w:tc>
        <w:tc>
          <w:tcPr>
            <w:tcW w:w="1537"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公用经费控制率</w:t>
            </w:r>
            <w:r>
              <w:rPr>
                <w:color w:val="auto"/>
                <w:szCs w:val="21"/>
              </w:rPr>
              <w:t>=</w:t>
            </w:r>
            <w:r>
              <w:rPr>
                <w:rFonts w:hint="eastAsia"/>
                <w:color w:val="auto"/>
                <w:szCs w:val="21"/>
              </w:rPr>
              <w:t>（实际支出公用经费总额</w:t>
            </w:r>
            <w:r>
              <w:rPr>
                <w:color w:val="auto"/>
                <w:szCs w:val="21"/>
              </w:rPr>
              <w:t>/</w:t>
            </w:r>
            <w:r>
              <w:rPr>
                <w:rFonts w:hint="eastAsia"/>
                <w:color w:val="auto"/>
                <w:szCs w:val="21"/>
              </w:rPr>
              <w:t>预算安排公用经费总额）×</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分，每超过</w:t>
            </w:r>
            <w:r>
              <w:rPr>
                <w:color w:val="auto"/>
                <w:szCs w:val="21"/>
              </w:rPr>
              <w:t>1</w:t>
            </w:r>
            <w:r>
              <w:rPr>
                <w:rFonts w:hint="eastAsia"/>
                <w:color w:val="auto"/>
                <w:szCs w:val="21"/>
              </w:rPr>
              <w:t>个百分点扣</w:t>
            </w:r>
            <w:r>
              <w:rPr>
                <w:color w:val="auto"/>
                <w:szCs w:val="21"/>
              </w:rPr>
              <w:t>0.1</w:t>
            </w:r>
            <w:r>
              <w:rPr>
                <w:rFonts w:hint="eastAsia"/>
                <w:color w:val="auto"/>
                <w:szCs w:val="21"/>
              </w:rPr>
              <w:t>分，扣完为止）</w:t>
            </w:r>
          </w:p>
        </w:tc>
        <w:tc>
          <w:tcPr>
            <w:tcW w:w="379" w:type="pct"/>
            <w:tcBorders>
              <w:top w:val="nil"/>
              <w:left w:val="nil"/>
              <w:bottom w:val="single" w:color="auto" w:sz="4" w:space="0"/>
              <w:right w:val="single" w:color="auto" w:sz="4" w:space="0"/>
            </w:tcBorders>
            <w:noWrap/>
            <w:vAlign w:val="center"/>
          </w:tcPr>
          <w:p>
            <w:pPr>
              <w:spacing w:line="28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80" w:lineRule="exact"/>
              <w:jc w:val="center"/>
              <w:rPr>
                <w:color w:val="auto"/>
                <w:szCs w:val="21"/>
              </w:rPr>
            </w:pPr>
          </w:p>
        </w:tc>
      </w:tr>
      <w:tr>
        <w:tblPrEx>
          <w:tblCellMar>
            <w:top w:w="0" w:type="dxa"/>
            <w:left w:w="28" w:type="dxa"/>
            <w:bottom w:w="0" w:type="dxa"/>
            <w:right w:w="28" w:type="dxa"/>
          </w:tblCellMar>
        </w:tblPrEx>
        <w:trPr>
          <w:trHeight w:val="1172" w:hRule="atLeast"/>
          <w:jc w:val="center"/>
        </w:trPr>
        <w:tc>
          <w:tcPr>
            <w:tcW w:w="777" w:type="pct"/>
            <w:vMerge w:val="continue"/>
            <w:tcBorders>
              <w:left w:val="single" w:color="auto" w:sz="12" w:space="0"/>
              <w:right w:val="single" w:color="auto" w:sz="4" w:space="0"/>
            </w:tcBorders>
            <w:noWrap w:val="0"/>
            <w:vAlign w:val="center"/>
          </w:tcPr>
          <w:p>
            <w:pPr>
              <w:spacing w:line="280" w:lineRule="exact"/>
              <w:jc w:val="center"/>
              <w:rPr>
                <w:color w:val="auto"/>
                <w:szCs w:val="21"/>
              </w:rPr>
            </w:pPr>
          </w:p>
        </w:tc>
        <w:tc>
          <w:tcPr>
            <w:tcW w:w="279" w:type="pct"/>
            <w:vMerge w:val="continue"/>
            <w:tcBorders>
              <w:left w:val="single" w:color="auto" w:sz="4" w:space="0"/>
              <w:right w:val="single" w:color="auto" w:sz="4" w:space="0"/>
            </w:tcBorders>
            <w:noWrap w:val="0"/>
            <w:vAlign w:val="center"/>
          </w:tcPr>
          <w:p>
            <w:pPr>
              <w:spacing w:line="28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“三公经费”控制率（</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部门（单位）本年度“三公经费”实际支出数与预算安排数的比率，用以反映和考核部门（单位）对“三公经费”的实际控制程度。</w:t>
            </w:r>
          </w:p>
        </w:tc>
        <w:tc>
          <w:tcPr>
            <w:tcW w:w="1537"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“三公经费”控制率</w:t>
            </w:r>
            <w:r>
              <w:rPr>
                <w:color w:val="auto"/>
                <w:szCs w:val="21"/>
              </w:rPr>
              <w:t>=</w:t>
            </w:r>
            <w:r>
              <w:rPr>
                <w:rFonts w:hint="eastAsia"/>
                <w:color w:val="auto"/>
                <w:szCs w:val="21"/>
              </w:rPr>
              <w:t>（“三公经费”实际支出数</w:t>
            </w:r>
            <w:r>
              <w:rPr>
                <w:color w:val="auto"/>
                <w:szCs w:val="21"/>
              </w:rPr>
              <w:t>/</w:t>
            </w:r>
            <w:r>
              <w:rPr>
                <w:rFonts w:hint="eastAsia"/>
                <w:color w:val="auto"/>
                <w:szCs w:val="21"/>
              </w:rPr>
              <w:t>“三公经费”预算安排数）×</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分，每超过</w:t>
            </w:r>
            <w:r>
              <w:rPr>
                <w:color w:val="auto"/>
                <w:szCs w:val="21"/>
              </w:rPr>
              <w:t>1</w:t>
            </w:r>
            <w:r>
              <w:rPr>
                <w:rFonts w:hint="eastAsia"/>
                <w:color w:val="auto"/>
                <w:szCs w:val="21"/>
              </w:rPr>
              <w:t>个百分点扣</w:t>
            </w:r>
            <w:r>
              <w:rPr>
                <w:color w:val="auto"/>
                <w:szCs w:val="21"/>
              </w:rPr>
              <w:t>0.5</w:t>
            </w:r>
            <w:r>
              <w:rPr>
                <w:rFonts w:hint="eastAsia"/>
                <w:color w:val="auto"/>
                <w:szCs w:val="21"/>
              </w:rPr>
              <w:t>分，扣完为止）</w:t>
            </w:r>
          </w:p>
        </w:tc>
        <w:tc>
          <w:tcPr>
            <w:tcW w:w="379" w:type="pct"/>
            <w:tcBorders>
              <w:top w:val="nil"/>
              <w:left w:val="nil"/>
              <w:bottom w:val="single" w:color="auto" w:sz="4" w:space="0"/>
              <w:right w:val="single" w:color="auto" w:sz="4" w:space="0"/>
            </w:tcBorders>
            <w:noWrap/>
            <w:vAlign w:val="center"/>
          </w:tcPr>
          <w:p>
            <w:pPr>
              <w:spacing w:line="28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80" w:lineRule="exact"/>
              <w:jc w:val="center"/>
              <w:rPr>
                <w:color w:val="auto"/>
                <w:szCs w:val="21"/>
              </w:rPr>
            </w:pPr>
          </w:p>
        </w:tc>
      </w:tr>
      <w:tr>
        <w:tblPrEx>
          <w:tblCellMar>
            <w:top w:w="0" w:type="dxa"/>
            <w:left w:w="28" w:type="dxa"/>
            <w:bottom w:w="0" w:type="dxa"/>
            <w:right w:w="28" w:type="dxa"/>
          </w:tblCellMar>
        </w:tblPrEx>
        <w:trPr>
          <w:trHeight w:val="1500" w:hRule="atLeast"/>
          <w:jc w:val="center"/>
        </w:trPr>
        <w:tc>
          <w:tcPr>
            <w:tcW w:w="777" w:type="pct"/>
            <w:vMerge w:val="continue"/>
            <w:tcBorders>
              <w:left w:val="single" w:color="auto" w:sz="12" w:space="0"/>
              <w:right w:val="single" w:color="auto" w:sz="4" w:space="0"/>
            </w:tcBorders>
            <w:noWrap w:val="0"/>
            <w:vAlign w:val="center"/>
          </w:tcPr>
          <w:p>
            <w:pPr>
              <w:spacing w:line="280" w:lineRule="exact"/>
              <w:jc w:val="center"/>
              <w:rPr>
                <w:color w:val="auto"/>
                <w:szCs w:val="21"/>
              </w:rPr>
            </w:pPr>
          </w:p>
        </w:tc>
        <w:tc>
          <w:tcPr>
            <w:tcW w:w="279" w:type="pct"/>
            <w:vMerge w:val="continue"/>
            <w:tcBorders>
              <w:left w:val="single" w:color="auto" w:sz="4" w:space="0"/>
              <w:bottom w:val="single" w:color="000000" w:sz="4" w:space="0"/>
              <w:right w:val="single" w:color="auto" w:sz="4" w:space="0"/>
            </w:tcBorders>
            <w:noWrap w:val="0"/>
            <w:vAlign w:val="center"/>
          </w:tcPr>
          <w:p>
            <w:pPr>
              <w:spacing w:line="28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政府采购执行率（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部门（单位）本年度实际政府采购金额与年初政府采购预算的比率，用以反映和考核部门（单位）政府采购预算执行情况。</w:t>
            </w:r>
          </w:p>
        </w:tc>
        <w:tc>
          <w:tcPr>
            <w:tcW w:w="1537"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政府采购执行率</w:t>
            </w:r>
            <w:r>
              <w:rPr>
                <w:color w:val="auto"/>
                <w:szCs w:val="21"/>
              </w:rPr>
              <w:t>=</w:t>
            </w:r>
            <w:r>
              <w:rPr>
                <w:rFonts w:hint="eastAsia"/>
                <w:color w:val="auto"/>
                <w:szCs w:val="21"/>
              </w:rPr>
              <w:t>（实际政府采购金额</w:t>
            </w:r>
            <w:r>
              <w:rPr>
                <w:color w:val="auto"/>
                <w:szCs w:val="21"/>
              </w:rPr>
              <w:t>/</w:t>
            </w:r>
            <w:r>
              <w:rPr>
                <w:rFonts w:hint="eastAsia"/>
                <w:color w:val="auto"/>
                <w:szCs w:val="21"/>
              </w:rPr>
              <w:t>政府采购预算数）×</w:t>
            </w:r>
            <w:r>
              <w:rPr>
                <w:color w:val="auto"/>
                <w:szCs w:val="21"/>
              </w:rPr>
              <w:t>100%</w:t>
            </w:r>
            <w:r>
              <w:rPr>
                <w:rFonts w:hint="eastAsia"/>
                <w:color w:val="auto"/>
                <w:szCs w:val="21"/>
              </w:rPr>
              <w:t>。（为</w:t>
            </w:r>
            <w:r>
              <w:rPr>
                <w:color w:val="auto"/>
                <w:szCs w:val="21"/>
              </w:rPr>
              <w:t>100%</w:t>
            </w:r>
            <w:r>
              <w:rPr>
                <w:rFonts w:hint="eastAsia"/>
                <w:color w:val="auto"/>
                <w:szCs w:val="21"/>
              </w:rPr>
              <w:t>的计</w:t>
            </w:r>
            <w:r>
              <w:rPr>
                <w:color w:val="auto"/>
                <w:szCs w:val="21"/>
              </w:rPr>
              <w:t>2</w:t>
            </w:r>
            <w:r>
              <w:rPr>
                <w:rFonts w:hint="eastAsia"/>
                <w:color w:val="auto"/>
                <w:szCs w:val="21"/>
              </w:rPr>
              <w:t>分，每低于</w:t>
            </w:r>
            <w:r>
              <w:rPr>
                <w:color w:val="auto"/>
                <w:szCs w:val="21"/>
              </w:rPr>
              <w:t>1</w:t>
            </w:r>
            <w:r>
              <w:rPr>
                <w:rFonts w:hint="eastAsia"/>
                <w:color w:val="auto"/>
                <w:szCs w:val="21"/>
              </w:rPr>
              <w:t>个百分点扣</w:t>
            </w:r>
            <w:r>
              <w:rPr>
                <w:color w:val="auto"/>
                <w:szCs w:val="21"/>
              </w:rPr>
              <w:t>0.5</w:t>
            </w:r>
            <w:r>
              <w:rPr>
                <w:rFonts w:hint="eastAsia"/>
                <w:color w:val="auto"/>
                <w:szCs w:val="21"/>
              </w:rPr>
              <w:t>分，扣完为止）</w:t>
            </w:r>
          </w:p>
          <w:p>
            <w:pPr>
              <w:spacing w:line="280" w:lineRule="exact"/>
              <w:rPr>
                <w:color w:val="auto"/>
                <w:szCs w:val="21"/>
              </w:rPr>
            </w:pPr>
            <w:r>
              <w:rPr>
                <w:rFonts w:hint="eastAsia"/>
                <w:color w:val="auto"/>
                <w:szCs w:val="21"/>
              </w:rPr>
              <w:t>政府采购预算：采购机关根据事业发展计划和行政任务编制的、并经过规定程序批准的年度政府采购计划。</w:t>
            </w:r>
          </w:p>
        </w:tc>
        <w:tc>
          <w:tcPr>
            <w:tcW w:w="379" w:type="pct"/>
            <w:tcBorders>
              <w:top w:val="nil"/>
              <w:left w:val="nil"/>
              <w:bottom w:val="single" w:color="auto" w:sz="4" w:space="0"/>
              <w:right w:val="single" w:color="auto" w:sz="4" w:space="0"/>
            </w:tcBorders>
            <w:noWrap/>
            <w:vAlign w:val="center"/>
          </w:tcPr>
          <w:p>
            <w:pPr>
              <w:spacing w:line="280" w:lineRule="exact"/>
              <w:jc w:val="center"/>
              <w:rPr>
                <w:rFonts w:hint="eastAsia" w:eastAsia="宋体"/>
                <w:color w:val="auto"/>
                <w:szCs w:val="21"/>
                <w:lang w:val="en-US" w:eastAsia="zh-CN"/>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spacing w:line="280" w:lineRule="exact"/>
              <w:jc w:val="center"/>
              <w:rPr>
                <w:color w:val="auto"/>
                <w:szCs w:val="21"/>
              </w:rPr>
            </w:pPr>
          </w:p>
        </w:tc>
      </w:tr>
      <w:tr>
        <w:tblPrEx>
          <w:tblCellMar>
            <w:top w:w="0" w:type="dxa"/>
            <w:left w:w="28" w:type="dxa"/>
            <w:bottom w:w="0" w:type="dxa"/>
            <w:right w:w="28" w:type="dxa"/>
          </w:tblCellMar>
        </w:tblPrEx>
        <w:trPr>
          <w:trHeight w:val="1635" w:hRule="atLeast"/>
          <w:jc w:val="center"/>
        </w:trPr>
        <w:tc>
          <w:tcPr>
            <w:tcW w:w="777" w:type="pct"/>
            <w:vMerge w:val="continue"/>
            <w:tcBorders>
              <w:left w:val="single" w:color="auto" w:sz="12" w:space="0"/>
              <w:right w:val="single" w:color="auto" w:sz="4" w:space="0"/>
            </w:tcBorders>
            <w:noWrap w:val="0"/>
            <w:vAlign w:val="center"/>
          </w:tcPr>
          <w:p>
            <w:pPr>
              <w:spacing w:line="280" w:lineRule="exact"/>
              <w:jc w:val="center"/>
              <w:rPr>
                <w:color w:val="auto"/>
                <w:szCs w:val="21"/>
              </w:rPr>
            </w:pPr>
          </w:p>
        </w:tc>
        <w:tc>
          <w:tcPr>
            <w:tcW w:w="279" w:type="pct"/>
            <w:vMerge w:val="restart"/>
            <w:tcBorders>
              <w:top w:val="nil"/>
              <w:left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预算管理（</w:t>
            </w:r>
            <w:r>
              <w:rPr>
                <w:color w:val="auto"/>
                <w:szCs w:val="21"/>
              </w:rPr>
              <w:t>5</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管理制度健全性（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部门（单位）为加强预算管理、规范财务行为而制定的管理制度是否健全完整，用以反映和考核部门（单位）预算管理制度对完成主要职责或促进事业发展的保障情况。</w:t>
            </w:r>
          </w:p>
        </w:tc>
        <w:tc>
          <w:tcPr>
            <w:tcW w:w="1537"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①是否已制定或具有预算资金管理办法、内部财务管理制度、会计核算制度等管理制度；（</w:t>
            </w:r>
            <w:r>
              <w:rPr>
                <w:color w:val="auto"/>
                <w:szCs w:val="21"/>
              </w:rPr>
              <w:t>1</w:t>
            </w:r>
            <w:r>
              <w:rPr>
                <w:rFonts w:hint="eastAsia"/>
                <w:color w:val="auto"/>
                <w:szCs w:val="21"/>
              </w:rPr>
              <w:t>分）</w:t>
            </w:r>
          </w:p>
          <w:p>
            <w:pPr>
              <w:spacing w:line="280" w:lineRule="exact"/>
              <w:rPr>
                <w:color w:val="auto"/>
                <w:szCs w:val="21"/>
              </w:rPr>
            </w:pPr>
            <w:r>
              <w:rPr>
                <w:rFonts w:hint="eastAsia"/>
                <w:color w:val="auto"/>
                <w:szCs w:val="21"/>
              </w:rPr>
              <w:t>②相关管理制度是否合法、合规、完整；（</w:t>
            </w:r>
            <w:r>
              <w:rPr>
                <w:color w:val="auto"/>
                <w:szCs w:val="21"/>
              </w:rPr>
              <w:t>0.5</w:t>
            </w:r>
            <w:r>
              <w:rPr>
                <w:rFonts w:hint="eastAsia"/>
                <w:color w:val="auto"/>
                <w:szCs w:val="21"/>
              </w:rPr>
              <w:t>分）</w:t>
            </w:r>
          </w:p>
          <w:p>
            <w:pPr>
              <w:spacing w:line="280" w:lineRule="exact"/>
              <w:rPr>
                <w:color w:val="auto"/>
                <w:szCs w:val="21"/>
              </w:rPr>
            </w:pPr>
            <w:r>
              <w:rPr>
                <w:rFonts w:hint="eastAsia"/>
                <w:color w:val="auto"/>
                <w:szCs w:val="21"/>
              </w:rPr>
              <w:t>③相关管理制度是否得到有效执行。（</w:t>
            </w:r>
            <w:r>
              <w:rPr>
                <w:color w:val="auto"/>
                <w:szCs w:val="21"/>
              </w:rPr>
              <w:t>0.5</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28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280" w:lineRule="exact"/>
              <w:jc w:val="center"/>
              <w:rPr>
                <w:color w:val="auto"/>
                <w:szCs w:val="21"/>
              </w:rPr>
            </w:pPr>
          </w:p>
        </w:tc>
      </w:tr>
      <w:tr>
        <w:tblPrEx>
          <w:tblCellMar>
            <w:top w:w="0" w:type="dxa"/>
            <w:left w:w="28" w:type="dxa"/>
            <w:bottom w:w="0" w:type="dxa"/>
            <w:right w:w="28" w:type="dxa"/>
          </w:tblCellMar>
        </w:tblPrEx>
        <w:trPr>
          <w:trHeight w:val="2334" w:hRule="atLeast"/>
          <w:jc w:val="center"/>
        </w:trPr>
        <w:tc>
          <w:tcPr>
            <w:tcW w:w="777" w:type="pct"/>
            <w:vMerge w:val="continue"/>
            <w:tcBorders>
              <w:left w:val="single" w:color="auto" w:sz="12" w:space="0"/>
              <w:bottom w:val="single" w:color="000000" w:sz="4" w:space="0"/>
              <w:right w:val="single" w:color="auto" w:sz="4" w:space="0"/>
            </w:tcBorders>
            <w:noWrap w:val="0"/>
            <w:vAlign w:val="center"/>
          </w:tcPr>
          <w:p>
            <w:pPr>
              <w:spacing w:line="280" w:lineRule="exact"/>
              <w:jc w:val="center"/>
              <w:rPr>
                <w:color w:val="auto"/>
                <w:szCs w:val="21"/>
              </w:rPr>
            </w:pPr>
          </w:p>
        </w:tc>
        <w:tc>
          <w:tcPr>
            <w:tcW w:w="279" w:type="pct"/>
            <w:vMerge w:val="continue"/>
            <w:tcBorders>
              <w:left w:val="single" w:color="auto" w:sz="4" w:space="0"/>
              <w:bottom w:val="single" w:color="auto" w:sz="4" w:space="0"/>
              <w:right w:val="single" w:color="auto" w:sz="4" w:space="0"/>
            </w:tcBorders>
            <w:noWrap w:val="0"/>
            <w:vAlign w:val="center"/>
          </w:tcPr>
          <w:p>
            <w:pPr>
              <w:spacing w:line="28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资金使用合规性（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部门（单位）使用预算资金是否符合相关的预算财务管理制度的规定，用以反映和考核部门（单位）预算资金的规范运行情况。</w:t>
            </w:r>
          </w:p>
        </w:tc>
        <w:tc>
          <w:tcPr>
            <w:tcW w:w="1537" w:type="pct"/>
            <w:tcBorders>
              <w:top w:val="nil"/>
              <w:left w:val="nil"/>
              <w:bottom w:val="single" w:color="auto" w:sz="4" w:space="0"/>
              <w:right w:val="single" w:color="auto" w:sz="4" w:space="0"/>
            </w:tcBorders>
            <w:noWrap w:val="0"/>
            <w:vAlign w:val="center"/>
          </w:tcPr>
          <w:p>
            <w:pPr>
              <w:spacing w:line="280" w:lineRule="exact"/>
              <w:rPr>
                <w:color w:val="auto"/>
                <w:szCs w:val="21"/>
              </w:rPr>
            </w:pPr>
            <w:r>
              <w:rPr>
                <w:rFonts w:hint="eastAsia"/>
                <w:color w:val="auto"/>
                <w:szCs w:val="21"/>
              </w:rPr>
              <w:t>①是否符合国家财经法规和财务管理制度规定以及有关专项资金管理办法的规定；（</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②资金的拨付是否有完整的审批程序和手续；（</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③项目的重大开支是否经过评估论证；（</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④是否符合部门预算批复的用途；（</w:t>
            </w:r>
            <w:r>
              <w:rPr>
                <w:color w:val="auto"/>
                <w:szCs w:val="21"/>
              </w:rPr>
              <w:t>0.2</w:t>
            </w:r>
            <w:r>
              <w:rPr>
                <w:rFonts w:hint="eastAsia"/>
                <w:color w:val="auto"/>
                <w:szCs w:val="21"/>
              </w:rPr>
              <w:t>分）</w:t>
            </w:r>
          </w:p>
          <w:p>
            <w:pPr>
              <w:spacing w:line="280" w:lineRule="exact"/>
              <w:rPr>
                <w:color w:val="auto"/>
                <w:szCs w:val="21"/>
              </w:rPr>
            </w:pPr>
            <w:r>
              <w:rPr>
                <w:rFonts w:hint="eastAsia"/>
                <w:color w:val="auto"/>
                <w:szCs w:val="21"/>
              </w:rPr>
              <w:t>⑤是否存在截留、挤占、挪用、虚列支出等情况。（</w:t>
            </w:r>
            <w:r>
              <w:rPr>
                <w:color w:val="auto"/>
                <w:szCs w:val="21"/>
              </w:rPr>
              <w:t>0.2</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280" w:lineRule="exact"/>
              <w:jc w:val="center"/>
              <w:rPr>
                <w:rFonts w:hint="eastAsia" w:eastAsia="宋体"/>
                <w:color w:val="auto"/>
                <w:szCs w:val="21"/>
                <w:lang w:val="en-US" w:eastAsia="zh-CN"/>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spacing w:line="280" w:lineRule="exact"/>
              <w:jc w:val="center"/>
              <w:rPr>
                <w:color w:val="auto"/>
                <w:szCs w:val="21"/>
              </w:rPr>
            </w:pPr>
          </w:p>
        </w:tc>
      </w:tr>
      <w:tr>
        <w:tblPrEx>
          <w:tblCellMar>
            <w:top w:w="0" w:type="dxa"/>
            <w:left w:w="28" w:type="dxa"/>
            <w:bottom w:w="0" w:type="dxa"/>
            <w:right w:w="28" w:type="dxa"/>
          </w:tblCellMar>
        </w:tblPrEx>
        <w:trPr>
          <w:trHeight w:val="1644" w:hRule="atLeast"/>
          <w:jc w:val="center"/>
        </w:trPr>
        <w:tc>
          <w:tcPr>
            <w:tcW w:w="777" w:type="pct"/>
            <w:vMerge w:val="restart"/>
            <w:tcBorders>
              <w:top w:val="nil"/>
              <w:left w:val="single" w:color="auto" w:sz="12" w:space="0"/>
              <w:right w:val="single" w:color="auto" w:sz="4" w:space="0"/>
            </w:tcBorders>
            <w:noWrap w:val="0"/>
            <w:vAlign w:val="center"/>
          </w:tcPr>
          <w:p>
            <w:pPr>
              <w:spacing w:line="260" w:lineRule="exact"/>
              <w:jc w:val="center"/>
              <w:rPr>
                <w:color w:val="auto"/>
                <w:szCs w:val="21"/>
              </w:rPr>
            </w:pPr>
            <w:r>
              <w:rPr>
                <w:rFonts w:hint="eastAsia"/>
                <w:color w:val="auto"/>
                <w:szCs w:val="21"/>
              </w:rPr>
              <w:t>过程（</w:t>
            </w:r>
            <w:r>
              <w:rPr>
                <w:color w:val="auto"/>
                <w:szCs w:val="21"/>
              </w:rPr>
              <w:t>30</w:t>
            </w:r>
            <w:r>
              <w:rPr>
                <w:rFonts w:hint="eastAsia"/>
                <w:color w:val="auto"/>
                <w:szCs w:val="21"/>
              </w:rPr>
              <w:t>分）</w:t>
            </w:r>
          </w:p>
        </w:tc>
        <w:tc>
          <w:tcPr>
            <w:tcW w:w="279" w:type="pct"/>
            <w:vMerge w:val="restart"/>
            <w:tcBorders>
              <w:top w:val="nil"/>
              <w:left w:val="single" w:color="auto" w:sz="4" w:space="0"/>
              <w:right w:val="single" w:color="auto" w:sz="4" w:space="0"/>
            </w:tcBorders>
            <w:noWrap w:val="0"/>
            <w:vAlign w:val="center"/>
          </w:tcPr>
          <w:p>
            <w:pPr>
              <w:spacing w:line="280" w:lineRule="exact"/>
              <w:jc w:val="center"/>
              <w:rPr>
                <w:color w:val="auto"/>
                <w:szCs w:val="21"/>
              </w:rPr>
            </w:pPr>
            <w:r>
              <w:rPr>
                <w:rFonts w:hint="eastAsia"/>
                <w:color w:val="auto"/>
                <w:szCs w:val="21"/>
              </w:rPr>
              <w:t>预算管理（</w:t>
            </w:r>
            <w:r>
              <w:rPr>
                <w:color w:val="auto"/>
                <w:szCs w:val="21"/>
              </w:rPr>
              <w:t>5</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预决算信息公开性（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部门（单位）是否按照政府信息公开有关规定公开相关预决算信息，用以反映和考核部门（单位）预决算管理的公开透明情况。</w:t>
            </w:r>
          </w:p>
        </w:tc>
        <w:tc>
          <w:tcPr>
            <w:tcW w:w="1537"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①是否按规定内容公开预决算信息；（</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②是否按规定时限公开预决算信息。（</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预决算信息是指与部门预算、执行、决算、监督、绩效等管理相关的信息。</w:t>
            </w:r>
          </w:p>
        </w:tc>
        <w:tc>
          <w:tcPr>
            <w:tcW w:w="379" w:type="pct"/>
            <w:tcBorders>
              <w:top w:val="nil"/>
              <w:left w:val="nil"/>
              <w:bottom w:val="single" w:color="auto" w:sz="4" w:space="0"/>
              <w:right w:val="single" w:color="auto" w:sz="4" w:space="0"/>
            </w:tcBorders>
            <w:noWrap/>
            <w:vAlign w:val="center"/>
          </w:tcPr>
          <w:p>
            <w:pPr>
              <w:spacing w:line="350" w:lineRule="exact"/>
              <w:jc w:val="center"/>
              <w:rPr>
                <w:rFonts w:hint="eastAsia" w:eastAsia="宋体"/>
                <w:color w:val="auto"/>
                <w:szCs w:val="21"/>
                <w:lang w:val="en-US" w:eastAsia="zh-CN"/>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spacing w:line="350" w:lineRule="exact"/>
              <w:jc w:val="center"/>
              <w:rPr>
                <w:color w:val="auto"/>
                <w:szCs w:val="21"/>
              </w:rPr>
            </w:pPr>
          </w:p>
        </w:tc>
      </w:tr>
      <w:tr>
        <w:tblPrEx>
          <w:tblCellMar>
            <w:top w:w="0" w:type="dxa"/>
            <w:left w:w="28" w:type="dxa"/>
            <w:bottom w:w="0" w:type="dxa"/>
            <w:right w:w="28" w:type="dxa"/>
          </w:tblCellMar>
        </w:tblPrEx>
        <w:trPr>
          <w:trHeight w:val="453" w:hRule="atLeast"/>
          <w:jc w:val="center"/>
        </w:trPr>
        <w:tc>
          <w:tcPr>
            <w:tcW w:w="777" w:type="pct"/>
            <w:vMerge w:val="continue"/>
            <w:tcBorders>
              <w:left w:val="single" w:color="auto" w:sz="12" w:space="0"/>
              <w:right w:val="single" w:color="auto" w:sz="4" w:space="0"/>
            </w:tcBorders>
            <w:noWrap w:val="0"/>
            <w:vAlign w:val="center"/>
          </w:tcPr>
          <w:p>
            <w:pPr>
              <w:spacing w:line="350" w:lineRule="exact"/>
              <w:jc w:val="center"/>
              <w:rPr>
                <w:color w:val="auto"/>
                <w:szCs w:val="21"/>
              </w:rPr>
            </w:pPr>
          </w:p>
        </w:tc>
        <w:tc>
          <w:tcPr>
            <w:tcW w:w="279" w:type="pct"/>
            <w:vMerge w:val="continue"/>
            <w:tcBorders>
              <w:left w:val="single" w:color="auto" w:sz="4" w:space="0"/>
              <w:bottom w:val="single" w:color="auto" w:sz="4" w:space="0"/>
              <w:right w:val="single" w:color="auto" w:sz="4" w:space="0"/>
            </w:tcBorders>
            <w:noWrap w:val="0"/>
            <w:vAlign w:val="center"/>
          </w:tcPr>
          <w:p>
            <w:pPr>
              <w:spacing w:line="35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基础信息完善性（</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部门（单位）基础信息是否完善，用以反映和考核基础信息对预算管理工作的支撑情况。</w:t>
            </w:r>
          </w:p>
        </w:tc>
        <w:tc>
          <w:tcPr>
            <w:tcW w:w="1537"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①基础数据信息和会计信息资料是否真实；（</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②基础数据信息和会计信息资料是否完整；（</w:t>
            </w:r>
            <w:r>
              <w:rPr>
                <w:color w:val="auto"/>
                <w:szCs w:val="21"/>
              </w:rPr>
              <w:t>0.3</w:t>
            </w:r>
            <w:r>
              <w:rPr>
                <w:rFonts w:hint="eastAsia"/>
                <w:color w:val="auto"/>
                <w:szCs w:val="21"/>
              </w:rPr>
              <w:t>分）</w:t>
            </w:r>
          </w:p>
          <w:p>
            <w:pPr>
              <w:spacing w:line="350" w:lineRule="exact"/>
              <w:rPr>
                <w:color w:val="auto"/>
                <w:szCs w:val="21"/>
              </w:rPr>
            </w:pPr>
            <w:r>
              <w:rPr>
                <w:rFonts w:hint="eastAsia"/>
                <w:color w:val="auto"/>
                <w:szCs w:val="21"/>
              </w:rPr>
              <w:t>③基础数据信息和会计信息资料是否准确。（</w:t>
            </w:r>
            <w:r>
              <w:rPr>
                <w:color w:val="auto"/>
                <w:szCs w:val="21"/>
              </w:rPr>
              <w:t>0.3</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350" w:lineRule="exact"/>
              <w:jc w:val="center"/>
              <w:rPr>
                <w:rFonts w:hint="eastAsia" w:eastAsia="宋体"/>
                <w:color w:val="auto"/>
                <w:szCs w:val="21"/>
                <w:lang w:val="en-US" w:eastAsia="zh-CN"/>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spacing w:line="350" w:lineRule="exact"/>
              <w:jc w:val="center"/>
              <w:rPr>
                <w:color w:val="auto"/>
                <w:szCs w:val="21"/>
              </w:rPr>
            </w:pPr>
          </w:p>
        </w:tc>
      </w:tr>
      <w:tr>
        <w:tblPrEx>
          <w:tblCellMar>
            <w:top w:w="0" w:type="dxa"/>
            <w:left w:w="28" w:type="dxa"/>
            <w:bottom w:w="0" w:type="dxa"/>
            <w:right w:w="28" w:type="dxa"/>
          </w:tblCellMar>
        </w:tblPrEx>
        <w:trPr>
          <w:trHeight w:val="1012" w:hRule="atLeast"/>
          <w:jc w:val="center"/>
        </w:trPr>
        <w:tc>
          <w:tcPr>
            <w:tcW w:w="777" w:type="pct"/>
            <w:vMerge w:val="continue"/>
            <w:tcBorders>
              <w:left w:val="single" w:color="auto" w:sz="12" w:space="0"/>
              <w:right w:val="single" w:color="auto" w:sz="4" w:space="0"/>
            </w:tcBorders>
            <w:noWrap w:val="0"/>
            <w:vAlign w:val="center"/>
          </w:tcPr>
          <w:p>
            <w:pPr>
              <w:spacing w:line="350" w:lineRule="exact"/>
              <w:jc w:val="center"/>
              <w:rPr>
                <w:color w:val="auto"/>
                <w:szCs w:val="21"/>
              </w:rPr>
            </w:pPr>
          </w:p>
        </w:tc>
        <w:tc>
          <w:tcPr>
            <w:tcW w:w="279" w:type="pct"/>
            <w:vMerge w:val="restart"/>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资产管理（</w:t>
            </w:r>
            <w:r>
              <w:rPr>
                <w:color w:val="auto"/>
                <w:szCs w:val="21"/>
              </w:rPr>
              <w:t>5</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管理制度健全性（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部门（单位）为加强资产管理、规范资产管理行为而制定的管理制度是否健全完整，用以反映和考核部门（单位）资产管理制度对完成主要职责或促进社会发展的保障情况。</w:t>
            </w:r>
          </w:p>
        </w:tc>
        <w:tc>
          <w:tcPr>
            <w:tcW w:w="1537"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①是否已制定或具有资产管理制度；（</w:t>
            </w:r>
            <w:r>
              <w:rPr>
                <w:color w:val="auto"/>
                <w:szCs w:val="21"/>
              </w:rPr>
              <w:t>1</w:t>
            </w:r>
            <w:r>
              <w:rPr>
                <w:rFonts w:hint="eastAsia"/>
                <w:color w:val="auto"/>
                <w:szCs w:val="21"/>
              </w:rPr>
              <w:t>分）</w:t>
            </w:r>
          </w:p>
          <w:p>
            <w:pPr>
              <w:spacing w:line="350" w:lineRule="exact"/>
              <w:rPr>
                <w:color w:val="auto"/>
                <w:szCs w:val="21"/>
              </w:rPr>
            </w:pPr>
            <w:r>
              <w:rPr>
                <w:rFonts w:hint="eastAsia"/>
                <w:color w:val="auto"/>
                <w:szCs w:val="21"/>
              </w:rPr>
              <w:t>②相关资金管理制度是否合法、合规、完整；（</w:t>
            </w:r>
            <w:r>
              <w:rPr>
                <w:color w:val="auto"/>
                <w:szCs w:val="21"/>
              </w:rPr>
              <w:t>0.5</w:t>
            </w:r>
            <w:r>
              <w:rPr>
                <w:rFonts w:hint="eastAsia"/>
                <w:color w:val="auto"/>
                <w:szCs w:val="21"/>
              </w:rPr>
              <w:t>分）</w:t>
            </w:r>
          </w:p>
          <w:p>
            <w:pPr>
              <w:spacing w:line="350" w:lineRule="exact"/>
              <w:rPr>
                <w:color w:val="auto"/>
                <w:szCs w:val="21"/>
              </w:rPr>
            </w:pPr>
            <w:r>
              <w:rPr>
                <w:rFonts w:hint="eastAsia"/>
                <w:color w:val="auto"/>
                <w:szCs w:val="21"/>
              </w:rPr>
              <w:t>③相关资产管理制度是否得到有效执行。（</w:t>
            </w:r>
            <w:r>
              <w:rPr>
                <w:color w:val="auto"/>
                <w:szCs w:val="21"/>
              </w:rPr>
              <w:t>0.5</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35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350" w:lineRule="exact"/>
              <w:jc w:val="center"/>
              <w:rPr>
                <w:color w:val="auto"/>
                <w:szCs w:val="21"/>
              </w:rPr>
            </w:pPr>
          </w:p>
        </w:tc>
      </w:tr>
      <w:tr>
        <w:tblPrEx>
          <w:tblCellMar>
            <w:top w:w="0" w:type="dxa"/>
            <w:left w:w="28" w:type="dxa"/>
            <w:bottom w:w="0" w:type="dxa"/>
            <w:right w:w="28" w:type="dxa"/>
          </w:tblCellMar>
        </w:tblPrEx>
        <w:trPr>
          <w:trHeight w:val="660" w:hRule="atLeast"/>
          <w:jc w:val="center"/>
        </w:trPr>
        <w:tc>
          <w:tcPr>
            <w:tcW w:w="777" w:type="pct"/>
            <w:vMerge w:val="continue"/>
            <w:tcBorders>
              <w:left w:val="single" w:color="auto" w:sz="12" w:space="0"/>
              <w:right w:val="single" w:color="auto" w:sz="4" w:space="0"/>
            </w:tcBorders>
            <w:noWrap w:val="0"/>
            <w:vAlign w:val="center"/>
          </w:tcPr>
          <w:p>
            <w:pPr>
              <w:spacing w:line="35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资产管理安全性（</w:t>
            </w:r>
            <w:r>
              <w:rPr>
                <w:color w:val="auto"/>
                <w:szCs w:val="21"/>
              </w:rPr>
              <w:t>2</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部门（单位）的资产是否保存完整、使用合规、配置合理、处置规范、收入及时足额上缴，用以反映和考核部门（单位）资产安全运行情况。</w:t>
            </w:r>
          </w:p>
        </w:tc>
        <w:tc>
          <w:tcPr>
            <w:tcW w:w="1537"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①资产保存是否完整；（</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②资产配置是否合理；（</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③资产处置是否规范；（</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④资产账务管理是否合规，是否帐实相符；（</w:t>
            </w:r>
            <w:r>
              <w:rPr>
                <w:color w:val="auto"/>
                <w:szCs w:val="21"/>
              </w:rPr>
              <w:t>0.4</w:t>
            </w:r>
            <w:r>
              <w:rPr>
                <w:rFonts w:hint="eastAsia"/>
                <w:color w:val="auto"/>
                <w:szCs w:val="21"/>
              </w:rPr>
              <w:t>分）</w:t>
            </w:r>
          </w:p>
          <w:p>
            <w:pPr>
              <w:spacing w:line="350" w:lineRule="exact"/>
              <w:rPr>
                <w:color w:val="auto"/>
                <w:szCs w:val="21"/>
              </w:rPr>
            </w:pPr>
            <w:r>
              <w:rPr>
                <w:rFonts w:hint="eastAsia"/>
                <w:color w:val="auto"/>
                <w:szCs w:val="21"/>
              </w:rPr>
              <w:t>⑤资产是否有偿使用及处置收入及时足额上缴。（</w:t>
            </w:r>
            <w:r>
              <w:rPr>
                <w:color w:val="auto"/>
                <w:szCs w:val="21"/>
              </w:rPr>
              <w:t>0.4</w:t>
            </w:r>
            <w:r>
              <w:rPr>
                <w:rFonts w:hint="eastAsia"/>
                <w:color w:val="auto"/>
                <w:szCs w:val="21"/>
              </w:rPr>
              <w:t>分）</w:t>
            </w:r>
          </w:p>
        </w:tc>
        <w:tc>
          <w:tcPr>
            <w:tcW w:w="379" w:type="pct"/>
            <w:tcBorders>
              <w:top w:val="nil"/>
              <w:left w:val="nil"/>
              <w:bottom w:val="single" w:color="auto" w:sz="4" w:space="0"/>
              <w:right w:val="single" w:color="auto" w:sz="4" w:space="0"/>
            </w:tcBorders>
            <w:noWrap/>
            <w:vAlign w:val="center"/>
          </w:tcPr>
          <w:p>
            <w:pPr>
              <w:spacing w:line="350" w:lineRule="exact"/>
              <w:jc w:val="center"/>
              <w:rPr>
                <w:rFonts w:hint="eastAsia" w:eastAsia="宋体"/>
                <w:color w:val="auto"/>
                <w:szCs w:val="21"/>
                <w:lang w:val="en-US" w:eastAsia="zh-CN"/>
              </w:rPr>
            </w:pPr>
            <w:r>
              <w:rPr>
                <w:rFonts w:hint="eastAsia"/>
                <w:color w:val="auto"/>
                <w:szCs w:val="21"/>
                <w:lang w:val="en-US" w:eastAsia="zh-CN"/>
              </w:rPr>
              <w:t>2</w:t>
            </w:r>
          </w:p>
        </w:tc>
        <w:tc>
          <w:tcPr>
            <w:tcW w:w="410" w:type="pct"/>
            <w:tcBorders>
              <w:top w:val="nil"/>
              <w:left w:val="nil"/>
              <w:bottom w:val="single" w:color="auto" w:sz="4" w:space="0"/>
              <w:right w:val="single" w:color="auto" w:sz="12" w:space="0"/>
            </w:tcBorders>
            <w:noWrap/>
            <w:vAlign w:val="center"/>
          </w:tcPr>
          <w:p>
            <w:pPr>
              <w:spacing w:line="350" w:lineRule="exact"/>
              <w:jc w:val="center"/>
              <w:rPr>
                <w:color w:val="auto"/>
                <w:szCs w:val="21"/>
              </w:rPr>
            </w:pPr>
          </w:p>
        </w:tc>
      </w:tr>
      <w:tr>
        <w:tblPrEx>
          <w:tblCellMar>
            <w:top w:w="0" w:type="dxa"/>
            <w:left w:w="28" w:type="dxa"/>
            <w:bottom w:w="0" w:type="dxa"/>
            <w:right w:w="28" w:type="dxa"/>
          </w:tblCellMar>
        </w:tblPrEx>
        <w:trPr>
          <w:trHeight w:val="1326" w:hRule="atLeast"/>
          <w:jc w:val="center"/>
        </w:trPr>
        <w:tc>
          <w:tcPr>
            <w:tcW w:w="777" w:type="pct"/>
            <w:vMerge w:val="continue"/>
            <w:tcBorders>
              <w:left w:val="single" w:color="auto" w:sz="12" w:space="0"/>
              <w:bottom w:val="single" w:color="000000" w:sz="4" w:space="0"/>
              <w:right w:val="single" w:color="auto" w:sz="4" w:space="0"/>
            </w:tcBorders>
            <w:noWrap w:val="0"/>
            <w:vAlign w:val="center"/>
          </w:tcPr>
          <w:p>
            <w:pPr>
              <w:spacing w:line="35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35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350" w:lineRule="exact"/>
              <w:jc w:val="center"/>
              <w:rPr>
                <w:color w:val="auto"/>
                <w:szCs w:val="21"/>
              </w:rPr>
            </w:pPr>
            <w:r>
              <w:rPr>
                <w:rFonts w:hint="eastAsia"/>
                <w:color w:val="auto"/>
                <w:szCs w:val="21"/>
              </w:rPr>
              <w:t>固定资产利用率（</w:t>
            </w:r>
            <w:r>
              <w:rPr>
                <w:color w:val="auto"/>
                <w:szCs w:val="21"/>
              </w:rPr>
              <w:t>1</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部门（单位）实际在用固定资产总额与所有固定资产总额的比率，用以反映和考核部门（单位）固定资产使用效率程度。</w:t>
            </w:r>
          </w:p>
        </w:tc>
        <w:tc>
          <w:tcPr>
            <w:tcW w:w="1537" w:type="pct"/>
            <w:tcBorders>
              <w:top w:val="nil"/>
              <w:left w:val="nil"/>
              <w:bottom w:val="single" w:color="auto" w:sz="4" w:space="0"/>
              <w:right w:val="single" w:color="auto" w:sz="4" w:space="0"/>
            </w:tcBorders>
            <w:noWrap w:val="0"/>
            <w:vAlign w:val="center"/>
          </w:tcPr>
          <w:p>
            <w:pPr>
              <w:spacing w:line="350" w:lineRule="exact"/>
              <w:rPr>
                <w:color w:val="auto"/>
                <w:szCs w:val="21"/>
              </w:rPr>
            </w:pPr>
            <w:r>
              <w:rPr>
                <w:rFonts w:hint="eastAsia"/>
                <w:color w:val="auto"/>
                <w:szCs w:val="21"/>
              </w:rPr>
              <w:t>固定资产利用率</w:t>
            </w:r>
            <w:r>
              <w:rPr>
                <w:color w:val="auto"/>
                <w:szCs w:val="21"/>
              </w:rPr>
              <w:t>=</w:t>
            </w:r>
            <w:r>
              <w:rPr>
                <w:rFonts w:hint="eastAsia"/>
                <w:color w:val="auto"/>
                <w:szCs w:val="21"/>
              </w:rPr>
              <w:t>（实际在用固定资产总额</w:t>
            </w:r>
            <w:r>
              <w:rPr>
                <w:color w:val="auto"/>
                <w:szCs w:val="21"/>
              </w:rPr>
              <w:t>/</w:t>
            </w:r>
            <w:r>
              <w:rPr>
                <w:rFonts w:hint="eastAsia"/>
                <w:color w:val="auto"/>
                <w:szCs w:val="21"/>
              </w:rPr>
              <w:t>所有固定资产总额）×</w:t>
            </w:r>
            <w:r>
              <w:rPr>
                <w:color w:val="auto"/>
                <w:szCs w:val="21"/>
              </w:rPr>
              <w:t>100%</w:t>
            </w:r>
            <w:r>
              <w:rPr>
                <w:rFonts w:hint="eastAsia"/>
                <w:color w:val="auto"/>
                <w:szCs w:val="21"/>
              </w:rPr>
              <w:t>。（利用率为</w:t>
            </w:r>
            <w:r>
              <w:rPr>
                <w:color w:val="auto"/>
                <w:szCs w:val="21"/>
              </w:rPr>
              <w:t>100%</w:t>
            </w:r>
            <w:r>
              <w:rPr>
                <w:rFonts w:hint="eastAsia"/>
                <w:color w:val="auto"/>
                <w:szCs w:val="21"/>
              </w:rPr>
              <w:t>的计</w:t>
            </w:r>
            <w:r>
              <w:rPr>
                <w:color w:val="auto"/>
                <w:szCs w:val="21"/>
              </w:rPr>
              <w:t>1</w:t>
            </w:r>
            <w:r>
              <w:rPr>
                <w:rFonts w:hint="eastAsia"/>
                <w:color w:val="auto"/>
                <w:szCs w:val="21"/>
              </w:rPr>
              <w:t>分，每降</w:t>
            </w:r>
            <w:r>
              <w:rPr>
                <w:color w:val="auto"/>
                <w:szCs w:val="21"/>
              </w:rPr>
              <w:t>1</w:t>
            </w:r>
            <w:r>
              <w:rPr>
                <w:rFonts w:hint="eastAsia"/>
                <w:color w:val="auto"/>
                <w:szCs w:val="21"/>
              </w:rPr>
              <w:t>个百分点扣</w:t>
            </w:r>
            <w:r>
              <w:rPr>
                <w:color w:val="auto"/>
                <w:szCs w:val="21"/>
              </w:rPr>
              <w:t>0.1</w:t>
            </w:r>
            <w:r>
              <w:rPr>
                <w:rFonts w:hint="eastAsia"/>
                <w:color w:val="auto"/>
                <w:szCs w:val="21"/>
              </w:rPr>
              <w:t>分，扣完为止）</w:t>
            </w:r>
          </w:p>
        </w:tc>
        <w:tc>
          <w:tcPr>
            <w:tcW w:w="379" w:type="pct"/>
            <w:tcBorders>
              <w:top w:val="nil"/>
              <w:left w:val="nil"/>
              <w:bottom w:val="single" w:color="auto" w:sz="4" w:space="0"/>
              <w:right w:val="single" w:color="auto" w:sz="4" w:space="0"/>
            </w:tcBorders>
            <w:noWrap/>
            <w:vAlign w:val="center"/>
          </w:tcPr>
          <w:p>
            <w:pPr>
              <w:spacing w:line="350" w:lineRule="exact"/>
              <w:jc w:val="center"/>
              <w:rPr>
                <w:rFonts w:hint="eastAsia" w:eastAsia="宋体"/>
                <w:color w:val="auto"/>
                <w:szCs w:val="21"/>
                <w:lang w:val="en-US" w:eastAsia="zh-CN"/>
              </w:rPr>
            </w:pPr>
            <w:r>
              <w:rPr>
                <w:rFonts w:hint="eastAsia"/>
                <w:color w:val="auto"/>
                <w:szCs w:val="21"/>
                <w:lang w:val="en-US" w:eastAsia="zh-CN"/>
              </w:rPr>
              <w:t>1</w:t>
            </w:r>
          </w:p>
        </w:tc>
        <w:tc>
          <w:tcPr>
            <w:tcW w:w="410" w:type="pct"/>
            <w:tcBorders>
              <w:top w:val="nil"/>
              <w:left w:val="nil"/>
              <w:bottom w:val="single" w:color="auto" w:sz="4" w:space="0"/>
              <w:right w:val="single" w:color="auto" w:sz="12" w:space="0"/>
            </w:tcBorders>
            <w:noWrap/>
            <w:vAlign w:val="center"/>
          </w:tcPr>
          <w:p>
            <w:pPr>
              <w:spacing w:line="350" w:lineRule="exact"/>
              <w:jc w:val="center"/>
              <w:rPr>
                <w:color w:val="auto"/>
                <w:szCs w:val="21"/>
              </w:rPr>
            </w:pPr>
          </w:p>
        </w:tc>
      </w:tr>
      <w:tr>
        <w:tblPrEx>
          <w:tblCellMar>
            <w:top w:w="0" w:type="dxa"/>
            <w:left w:w="28" w:type="dxa"/>
            <w:bottom w:w="0" w:type="dxa"/>
            <w:right w:w="28" w:type="dxa"/>
          </w:tblCellMar>
        </w:tblPrEx>
        <w:trPr>
          <w:trHeight w:val="621" w:hRule="atLeast"/>
          <w:jc w:val="center"/>
        </w:trPr>
        <w:tc>
          <w:tcPr>
            <w:tcW w:w="777" w:type="pct"/>
            <w:vMerge w:val="restart"/>
            <w:tcBorders>
              <w:top w:val="nil"/>
              <w:left w:val="single" w:color="auto" w:sz="12" w:space="0"/>
              <w:bottom w:val="single" w:color="auto" w:sz="4" w:space="0"/>
              <w:right w:val="single" w:color="auto" w:sz="4" w:space="0"/>
            </w:tcBorders>
            <w:noWrap/>
            <w:vAlign w:val="center"/>
          </w:tcPr>
          <w:p>
            <w:pPr>
              <w:spacing w:line="240" w:lineRule="exact"/>
              <w:jc w:val="center"/>
              <w:rPr>
                <w:color w:val="auto"/>
                <w:szCs w:val="21"/>
              </w:rPr>
            </w:pPr>
            <w:r>
              <w:rPr>
                <w:rFonts w:hint="eastAsia"/>
                <w:color w:val="auto"/>
                <w:szCs w:val="21"/>
              </w:rPr>
              <w:t>产</w:t>
            </w:r>
            <w:r>
              <w:rPr>
                <w:color w:val="auto"/>
                <w:szCs w:val="21"/>
              </w:rPr>
              <w:t xml:space="preserve"> </w:t>
            </w:r>
            <w:r>
              <w:rPr>
                <w:rFonts w:hint="eastAsia"/>
                <w:color w:val="auto"/>
                <w:szCs w:val="21"/>
              </w:rPr>
              <w:t>出（</w:t>
            </w:r>
            <w:r>
              <w:rPr>
                <w:color w:val="auto"/>
                <w:szCs w:val="21"/>
              </w:rPr>
              <w:t>30</w:t>
            </w:r>
            <w:r>
              <w:rPr>
                <w:rFonts w:hint="eastAsia"/>
                <w:color w:val="auto"/>
                <w:szCs w:val="21"/>
              </w:rPr>
              <w:t>分）</w:t>
            </w:r>
          </w:p>
        </w:tc>
        <w:tc>
          <w:tcPr>
            <w:tcW w:w="279" w:type="pct"/>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职责履行（</w:t>
            </w:r>
            <w:r>
              <w:rPr>
                <w:color w:val="auto"/>
                <w:szCs w:val="21"/>
              </w:rPr>
              <w:t>30</w:t>
            </w:r>
            <w:r>
              <w:rPr>
                <w:rFonts w:hint="eastAsia"/>
                <w:color w:val="auto"/>
                <w:szCs w:val="21"/>
              </w:rPr>
              <w:t>分）</w:t>
            </w: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实际完成率（</w:t>
            </w:r>
            <w:r>
              <w:rPr>
                <w:color w:val="auto"/>
                <w:szCs w:val="21"/>
              </w:rPr>
              <w:t>8</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部门（单位）履行职责而实际完成工作数与计划工作数的比率，用以反映和考核部门（单位）履职工作任务目标的实现程度。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实际完成率</w:t>
            </w:r>
            <w:r>
              <w:rPr>
                <w:color w:val="auto"/>
                <w:szCs w:val="21"/>
              </w:rPr>
              <w:t>=</w:t>
            </w:r>
            <w:r>
              <w:rPr>
                <w:rFonts w:hint="eastAsia"/>
                <w:color w:val="auto"/>
                <w:szCs w:val="21"/>
              </w:rPr>
              <w:t>（实际完成工作数</w:t>
            </w:r>
            <w:r>
              <w:rPr>
                <w:color w:val="auto"/>
                <w:szCs w:val="21"/>
              </w:rPr>
              <w:t>/</w:t>
            </w:r>
            <w:r>
              <w:rPr>
                <w:rFonts w:hint="eastAsia"/>
                <w:color w:val="auto"/>
                <w:szCs w:val="21"/>
              </w:rPr>
              <w:t>计划工作数）×</w:t>
            </w:r>
            <w:r>
              <w:rPr>
                <w:color w:val="auto"/>
                <w:szCs w:val="21"/>
              </w:rPr>
              <w:t>100%</w:t>
            </w:r>
            <w:r>
              <w:rPr>
                <w:rFonts w:hint="eastAsia"/>
                <w:color w:val="auto"/>
                <w:szCs w:val="21"/>
              </w:rPr>
              <w:t>。（实际得分</w:t>
            </w:r>
            <w:r>
              <w:rPr>
                <w:color w:val="auto"/>
                <w:szCs w:val="21"/>
              </w:rPr>
              <w:t>=</w:t>
            </w:r>
            <w:r>
              <w:rPr>
                <w:rFonts w:hint="eastAsia"/>
                <w:color w:val="auto"/>
                <w:szCs w:val="21"/>
              </w:rPr>
              <w:t>实际工作完成率</w:t>
            </w:r>
            <w:r>
              <w:rPr>
                <w:color w:val="auto"/>
                <w:szCs w:val="21"/>
              </w:rPr>
              <w:t>*8</w:t>
            </w:r>
            <w:r>
              <w:rPr>
                <w:rFonts w:hint="eastAsia"/>
                <w:color w:val="auto"/>
                <w:szCs w:val="21"/>
              </w:rPr>
              <w:t>分）</w:t>
            </w:r>
          </w:p>
          <w:p>
            <w:pPr>
              <w:spacing w:line="240" w:lineRule="exact"/>
              <w:rPr>
                <w:color w:val="auto"/>
                <w:szCs w:val="21"/>
              </w:rPr>
            </w:pPr>
            <w:r>
              <w:rPr>
                <w:rFonts w:hint="eastAsia"/>
                <w:color w:val="auto"/>
                <w:szCs w:val="21"/>
              </w:rPr>
              <w:t>实际完成工作数：一定时期（年度或规划期）内部门（单位）实际完成工作任务的数量。</w:t>
            </w:r>
          </w:p>
          <w:p>
            <w:pPr>
              <w:spacing w:line="240" w:lineRule="exact"/>
              <w:rPr>
                <w:color w:val="auto"/>
                <w:szCs w:val="21"/>
              </w:rPr>
            </w:pPr>
            <w:r>
              <w:rPr>
                <w:rFonts w:hint="eastAsia"/>
                <w:color w:val="auto"/>
                <w:szCs w:val="21"/>
              </w:rPr>
              <w:t>计划工作数：部门（单位）整体绩效目标确定的一定时期（年度或规划期）内预计完成工作任务的数量。</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8</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359" w:hRule="atLeast"/>
          <w:jc w:val="center"/>
        </w:trPr>
        <w:tc>
          <w:tcPr>
            <w:tcW w:w="777"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完成及时率（</w:t>
            </w:r>
            <w:r>
              <w:rPr>
                <w:color w:val="auto"/>
                <w:szCs w:val="21"/>
              </w:rPr>
              <w:t>4</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部门（单位）在规定时限内及时完成的实际工作数与计划工作数的比率</w:t>
            </w:r>
            <w:r>
              <w:rPr>
                <w:color w:val="auto"/>
                <w:szCs w:val="21"/>
              </w:rPr>
              <w:t>,</w:t>
            </w:r>
            <w:r>
              <w:rPr>
                <w:rFonts w:hint="eastAsia"/>
                <w:color w:val="auto"/>
                <w:szCs w:val="21"/>
              </w:rPr>
              <w:t>用以反映和考核部门履职时效目标的实现程度。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完成及时率</w:t>
            </w:r>
            <w:r>
              <w:rPr>
                <w:color w:val="auto"/>
                <w:szCs w:val="21"/>
              </w:rPr>
              <w:t>=</w:t>
            </w:r>
            <w:r>
              <w:rPr>
                <w:rFonts w:hint="eastAsia"/>
                <w:color w:val="auto"/>
                <w:szCs w:val="21"/>
              </w:rPr>
              <w:t>（及时完成实际工作数</w:t>
            </w:r>
            <w:r>
              <w:rPr>
                <w:color w:val="auto"/>
                <w:szCs w:val="21"/>
              </w:rPr>
              <w:t>/</w:t>
            </w:r>
            <w:r>
              <w:rPr>
                <w:rFonts w:hint="eastAsia"/>
                <w:color w:val="auto"/>
                <w:szCs w:val="21"/>
              </w:rPr>
              <w:t>计划工作数）×</w:t>
            </w:r>
            <w:r>
              <w:rPr>
                <w:color w:val="auto"/>
                <w:szCs w:val="21"/>
              </w:rPr>
              <w:t>100%</w:t>
            </w:r>
            <w:r>
              <w:rPr>
                <w:rFonts w:hint="eastAsia"/>
                <w:color w:val="auto"/>
                <w:szCs w:val="21"/>
              </w:rPr>
              <w:t>。（</w:t>
            </w:r>
            <w:r>
              <w:rPr>
                <w:color w:val="auto"/>
                <w:szCs w:val="21"/>
              </w:rPr>
              <w:t>1--4</w:t>
            </w:r>
            <w:r>
              <w:rPr>
                <w:rFonts w:hint="eastAsia"/>
                <w:color w:val="auto"/>
                <w:szCs w:val="21"/>
              </w:rPr>
              <w:t>季度各得</w:t>
            </w:r>
            <w:r>
              <w:rPr>
                <w:color w:val="auto"/>
                <w:szCs w:val="21"/>
              </w:rPr>
              <w:t>1</w:t>
            </w:r>
            <w:r>
              <w:rPr>
                <w:rFonts w:hint="eastAsia"/>
                <w:color w:val="auto"/>
                <w:szCs w:val="21"/>
              </w:rPr>
              <w:t>分）</w:t>
            </w:r>
          </w:p>
          <w:p>
            <w:pPr>
              <w:spacing w:line="240" w:lineRule="exact"/>
              <w:rPr>
                <w:color w:val="auto"/>
                <w:szCs w:val="21"/>
              </w:rPr>
            </w:pPr>
            <w:r>
              <w:rPr>
                <w:rFonts w:hint="eastAsia"/>
                <w:color w:val="auto"/>
                <w:szCs w:val="21"/>
              </w:rPr>
              <w:t>及时完成实际工作数：部门（单位）按照整体绩效目标确定的时限实际完成的工作任务数量。</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4</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778" w:hRule="atLeast"/>
          <w:jc w:val="center"/>
        </w:trPr>
        <w:tc>
          <w:tcPr>
            <w:tcW w:w="777"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质量达标率（</w:t>
            </w:r>
            <w:r>
              <w:rPr>
                <w:color w:val="auto"/>
                <w:szCs w:val="21"/>
              </w:rPr>
              <w:t>8</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达到质量标准（绩效标准值）的实际工作数与计划工作数的比率</w:t>
            </w:r>
            <w:r>
              <w:rPr>
                <w:color w:val="auto"/>
                <w:szCs w:val="21"/>
              </w:rPr>
              <w:t>,</w:t>
            </w:r>
            <w:r>
              <w:rPr>
                <w:rFonts w:hint="eastAsia"/>
                <w:color w:val="auto"/>
                <w:szCs w:val="21"/>
              </w:rPr>
              <w:t>用以反映和考核部门履职质量目标的实现程度。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质量达标率</w:t>
            </w:r>
            <w:r>
              <w:rPr>
                <w:color w:val="auto"/>
                <w:szCs w:val="21"/>
              </w:rPr>
              <w:t>=</w:t>
            </w:r>
            <w:r>
              <w:rPr>
                <w:rFonts w:hint="eastAsia"/>
                <w:color w:val="auto"/>
                <w:szCs w:val="21"/>
              </w:rPr>
              <w:t>（质量达标实际工作数</w:t>
            </w:r>
            <w:r>
              <w:rPr>
                <w:color w:val="auto"/>
                <w:szCs w:val="21"/>
              </w:rPr>
              <w:t>/</w:t>
            </w:r>
            <w:r>
              <w:rPr>
                <w:rFonts w:hint="eastAsia"/>
                <w:color w:val="auto"/>
                <w:szCs w:val="21"/>
              </w:rPr>
              <w:t>计划工作数）×</w:t>
            </w:r>
            <w:r>
              <w:rPr>
                <w:color w:val="auto"/>
                <w:szCs w:val="21"/>
              </w:rPr>
              <w:t>100%</w:t>
            </w:r>
            <w:r>
              <w:rPr>
                <w:rFonts w:hint="eastAsia"/>
                <w:color w:val="auto"/>
                <w:szCs w:val="21"/>
              </w:rPr>
              <w:t>。（实际得分</w:t>
            </w:r>
            <w:r>
              <w:rPr>
                <w:color w:val="auto"/>
                <w:szCs w:val="21"/>
              </w:rPr>
              <w:t>=</w:t>
            </w:r>
            <w:r>
              <w:rPr>
                <w:rFonts w:hint="eastAsia"/>
                <w:color w:val="auto"/>
                <w:szCs w:val="21"/>
              </w:rPr>
              <w:t>达标率</w:t>
            </w:r>
            <w:r>
              <w:rPr>
                <w:color w:val="auto"/>
                <w:szCs w:val="21"/>
              </w:rPr>
              <w:t>*8</w:t>
            </w:r>
            <w:r>
              <w:rPr>
                <w:rFonts w:hint="eastAsia"/>
                <w:color w:val="auto"/>
                <w:szCs w:val="21"/>
              </w:rPr>
              <w:t>分）</w:t>
            </w:r>
          </w:p>
          <w:p>
            <w:pPr>
              <w:spacing w:line="240" w:lineRule="exact"/>
              <w:rPr>
                <w:color w:val="auto"/>
                <w:szCs w:val="21"/>
              </w:rPr>
            </w:pPr>
            <w:r>
              <w:rPr>
                <w:rFonts w:hint="eastAsia"/>
                <w:color w:val="auto"/>
                <w:szCs w:val="21"/>
              </w:rPr>
              <w:t>质量达标实际工作数：一定时期（年度或规划期）内部门（单位）实际完成工作数中达到部门绩效目标要求（绩效标准值）的工作任务数量。</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6</w:t>
            </w:r>
          </w:p>
        </w:tc>
        <w:tc>
          <w:tcPr>
            <w:tcW w:w="410" w:type="pct"/>
            <w:tcBorders>
              <w:top w:val="nil"/>
              <w:left w:val="nil"/>
              <w:bottom w:val="single" w:color="auto" w:sz="4" w:space="0"/>
              <w:right w:val="single" w:color="auto" w:sz="12" w:space="0"/>
            </w:tcBorders>
            <w:noWrap/>
            <w:vAlign w:val="center"/>
          </w:tcPr>
          <w:p>
            <w:pPr>
              <w:spacing w:line="240" w:lineRule="exact"/>
              <w:jc w:val="left"/>
              <w:rPr>
                <w:rFonts w:hint="default" w:eastAsia="宋体"/>
                <w:color w:val="auto"/>
                <w:sz w:val="18"/>
                <w:szCs w:val="18"/>
                <w:lang w:val="en-US" w:eastAsia="zh-CN"/>
              </w:rPr>
            </w:pPr>
            <w:r>
              <w:rPr>
                <w:rFonts w:hint="eastAsia"/>
                <w:color w:val="auto"/>
                <w:sz w:val="18"/>
                <w:szCs w:val="18"/>
                <w:lang w:val="en-US" w:eastAsia="zh-CN"/>
              </w:rPr>
              <w:t>受大环境</w:t>
            </w:r>
            <w:r>
              <w:rPr>
                <w:rFonts w:hint="eastAsia"/>
                <w:color w:val="auto"/>
                <w:sz w:val="18"/>
                <w:szCs w:val="18"/>
                <w:lang w:val="en-US" w:eastAsia="zh-CN"/>
              </w:rPr>
              <w:br w:type="textWrapping"/>
            </w:r>
            <w:r>
              <w:rPr>
                <w:rFonts w:hint="eastAsia"/>
                <w:color w:val="auto"/>
                <w:sz w:val="18"/>
                <w:szCs w:val="18"/>
                <w:lang w:val="en-US" w:eastAsia="zh-CN"/>
              </w:rPr>
              <w:t>影响完成项目</w:t>
            </w:r>
            <w:r>
              <w:rPr>
                <w:rFonts w:hint="eastAsia"/>
                <w:color w:val="auto"/>
                <w:sz w:val="18"/>
                <w:szCs w:val="18"/>
                <w:lang w:val="en-US" w:eastAsia="zh-CN"/>
              </w:rPr>
              <w:br w:type="textWrapping"/>
            </w:r>
            <w:r>
              <w:rPr>
                <w:rFonts w:hint="eastAsia"/>
                <w:color w:val="auto"/>
                <w:sz w:val="18"/>
                <w:szCs w:val="18"/>
                <w:lang w:val="en-US" w:eastAsia="zh-CN"/>
              </w:rPr>
              <w:t>数量与年初</w:t>
            </w:r>
            <w:r>
              <w:rPr>
                <w:rFonts w:hint="eastAsia"/>
                <w:color w:val="auto"/>
                <w:sz w:val="18"/>
                <w:szCs w:val="18"/>
                <w:lang w:val="en-US" w:eastAsia="zh-CN"/>
              </w:rPr>
              <w:br w:type="textWrapping"/>
            </w:r>
            <w:r>
              <w:rPr>
                <w:rFonts w:hint="eastAsia"/>
                <w:color w:val="auto"/>
                <w:sz w:val="18"/>
                <w:szCs w:val="18"/>
                <w:lang w:val="en-US" w:eastAsia="zh-CN"/>
              </w:rPr>
              <w:t>目标有差距</w:t>
            </w:r>
          </w:p>
        </w:tc>
      </w:tr>
      <w:tr>
        <w:tblPrEx>
          <w:tblCellMar>
            <w:top w:w="0" w:type="dxa"/>
            <w:left w:w="28" w:type="dxa"/>
            <w:bottom w:w="0" w:type="dxa"/>
            <w:right w:w="28" w:type="dxa"/>
          </w:tblCellMar>
        </w:tblPrEx>
        <w:trPr>
          <w:trHeight w:val="1464" w:hRule="atLeast"/>
          <w:jc w:val="center"/>
        </w:trPr>
        <w:tc>
          <w:tcPr>
            <w:tcW w:w="777" w:type="pct"/>
            <w:vMerge w:val="continue"/>
            <w:tcBorders>
              <w:top w:val="nil"/>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nil"/>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重点工作办结率（</w:t>
            </w:r>
            <w:r>
              <w:rPr>
                <w:color w:val="auto"/>
                <w:szCs w:val="21"/>
              </w:rPr>
              <w:t>10</w:t>
            </w:r>
            <w:r>
              <w:rPr>
                <w:rFonts w:hint="eastAsia"/>
                <w:color w:val="auto"/>
                <w:szCs w:val="21"/>
              </w:rPr>
              <w:t>分）</w:t>
            </w:r>
          </w:p>
        </w:tc>
        <w:tc>
          <w:tcPr>
            <w:tcW w:w="1180"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部门（单位）年度重点工作实际完成数与交办或下达数的比率，用以反映部门（单位）对重点工作的办理落实程度。</w:t>
            </w:r>
          </w:p>
        </w:tc>
        <w:tc>
          <w:tcPr>
            <w:tcW w:w="1537" w:type="pct"/>
            <w:tcBorders>
              <w:top w:val="nil"/>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重点工作办结率</w:t>
            </w:r>
            <w:r>
              <w:rPr>
                <w:color w:val="auto"/>
                <w:szCs w:val="21"/>
              </w:rPr>
              <w:t>=</w:t>
            </w:r>
            <w:r>
              <w:rPr>
                <w:rFonts w:hint="eastAsia"/>
                <w:color w:val="auto"/>
                <w:szCs w:val="21"/>
              </w:rPr>
              <w:t>（重点工作实际完成数</w:t>
            </w:r>
            <w:r>
              <w:rPr>
                <w:color w:val="auto"/>
                <w:szCs w:val="21"/>
              </w:rPr>
              <w:t>/</w:t>
            </w:r>
            <w:r>
              <w:rPr>
                <w:rFonts w:hint="eastAsia"/>
                <w:color w:val="auto"/>
                <w:szCs w:val="21"/>
              </w:rPr>
              <w:t>交办或下达数）×</w:t>
            </w:r>
            <w:r>
              <w:rPr>
                <w:color w:val="auto"/>
                <w:szCs w:val="21"/>
              </w:rPr>
              <w:t>100%</w:t>
            </w:r>
            <w:r>
              <w:rPr>
                <w:rFonts w:hint="eastAsia"/>
                <w:color w:val="auto"/>
                <w:szCs w:val="21"/>
              </w:rPr>
              <w:t>。（实际得分</w:t>
            </w:r>
            <w:r>
              <w:rPr>
                <w:color w:val="auto"/>
                <w:szCs w:val="21"/>
              </w:rPr>
              <w:t>=</w:t>
            </w:r>
            <w:r>
              <w:rPr>
                <w:rFonts w:hint="eastAsia"/>
                <w:color w:val="auto"/>
                <w:szCs w:val="21"/>
              </w:rPr>
              <w:t>办结率</w:t>
            </w:r>
            <w:r>
              <w:rPr>
                <w:color w:val="auto"/>
                <w:szCs w:val="21"/>
              </w:rPr>
              <w:t>*10</w:t>
            </w:r>
            <w:r>
              <w:rPr>
                <w:rFonts w:hint="eastAsia"/>
                <w:color w:val="auto"/>
                <w:szCs w:val="21"/>
              </w:rPr>
              <w:t>分）</w:t>
            </w:r>
          </w:p>
          <w:p>
            <w:pPr>
              <w:spacing w:line="240" w:lineRule="exact"/>
              <w:rPr>
                <w:color w:val="auto"/>
                <w:szCs w:val="21"/>
              </w:rPr>
            </w:pPr>
            <w:r>
              <w:rPr>
                <w:rFonts w:hint="eastAsia"/>
                <w:color w:val="auto"/>
                <w:szCs w:val="21"/>
              </w:rPr>
              <w:t>重点工作是指党委、政府、人大、相关部门交办或下达的工作任务。</w:t>
            </w:r>
          </w:p>
        </w:tc>
        <w:tc>
          <w:tcPr>
            <w:tcW w:w="379" w:type="pct"/>
            <w:tcBorders>
              <w:top w:val="nil"/>
              <w:left w:val="nil"/>
              <w:bottom w:val="single" w:color="auto" w:sz="4" w:space="0"/>
              <w:right w:val="single" w:color="auto" w:sz="4" w:space="0"/>
            </w:tcBorders>
            <w:noWrap/>
            <w:vAlign w:val="center"/>
          </w:tcPr>
          <w:p>
            <w:pPr>
              <w:spacing w:line="240" w:lineRule="exact"/>
              <w:jc w:val="center"/>
              <w:rPr>
                <w:rFonts w:hint="default" w:eastAsia="宋体"/>
                <w:color w:val="auto"/>
                <w:szCs w:val="21"/>
                <w:lang w:val="en-US" w:eastAsia="zh-CN"/>
              </w:rPr>
            </w:pPr>
            <w:r>
              <w:rPr>
                <w:rFonts w:hint="eastAsia"/>
                <w:color w:val="auto"/>
                <w:szCs w:val="21"/>
                <w:lang w:val="en-US" w:eastAsia="zh-CN"/>
              </w:rPr>
              <w:t>10</w:t>
            </w:r>
          </w:p>
        </w:tc>
        <w:tc>
          <w:tcPr>
            <w:tcW w:w="410" w:type="pct"/>
            <w:tcBorders>
              <w:top w:val="nil"/>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776" w:hRule="atLeast"/>
          <w:jc w:val="center"/>
        </w:trPr>
        <w:tc>
          <w:tcPr>
            <w:tcW w:w="777" w:type="pct"/>
            <w:vMerge w:val="restart"/>
            <w:tcBorders>
              <w:top w:val="single" w:color="auto" w:sz="4" w:space="0"/>
              <w:left w:val="single" w:color="auto" w:sz="12" w:space="0"/>
              <w:bottom w:val="single" w:color="auto" w:sz="4" w:space="0"/>
              <w:right w:val="single" w:color="auto" w:sz="4" w:space="0"/>
            </w:tcBorders>
            <w:noWrap/>
            <w:vAlign w:val="center"/>
          </w:tcPr>
          <w:p>
            <w:pPr>
              <w:spacing w:line="240" w:lineRule="exact"/>
              <w:jc w:val="center"/>
              <w:rPr>
                <w:color w:val="auto"/>
                <w:szCs w:val="21"/>
              </w:rPr>
            </w:pPr>
            <w:r>
              <w:rPr>
                <w:rFonts w:hint="eastAsia"/>
                <w:color w:val="auto"/>
                <w:szCs w:val="21"/>
              </w:rPr>
              <w:t>效</w:t>
            </w:r>
            <w:r>
              <w:rPr>
                <w:color w:val="auto"/>
                <w:szCs w:val="21"/>
              </w:rPr>
              <w:t xml:space="preserve"> </w:t>
            </w:r>
            <w:r>
              <w:rPr>
                <w:rFonts w:hint="eastAsia"/>
                <w:color w:val="auto"/>
                <w:szCs w:val="21"/>
              </w:rPr>
              <w:t>果（</w:t>
            </w:r>
            <w:r>
              <w:rPr>
                <w:color w:val="auto"/>
                <w:szCs w:val="21"/>
              </w:rPr>
              <w:t>20</w:t>
            </w:r>
            <w:r>
              <w:rPr>
                <w:rFonts w:hint="eastAsia"/>
                <w:color w:val="auto"/>
                <w:szCs w:val="21"/>
              </w:rPr>
              <w:t>分）</w:t>
            </w:r>
          </w:p>
        </w:tc>
        <w:tc>
          <w:tcPr>
            <w:tcW w:w="279"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履职效益（</w:t>
            </w:r>
            <w:r>
              <w:rPr>
                <w:color w:val="auto"/>
                <w:szCs w:val="21"/>
              </w:rPr>
              <w:t>20</w:t>
            </w:r>
            <w:r>
              <w:rPr>
                <w:rFonts w:hint="eastAsia"/>
                <w:color w:val="auto"/>
                <w:szCs w:val="21"/>
              </w:rPr>
              <w:t>分）</w:t>
            </w:r>
          </w:p>
        </w:tc>
        <w:tc>
          <w:tcPr>
            <w:tcW w:w="438"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经济效益（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部门（单位）履行职责对经济发展所带来的直接或间接影响。</w:t>
            </w:r>
          </w:p>
        </w:tc>
        <w:tc>
          <w:tcPr>
            <w:tcW w:w="1537" w:type="pct"/>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此三项指标为部门整体支出绩效评价指标的共性要素，各单位按照部门整体支出绩效目标实现程度为依据。（按经济效益实现程度</w:t>
            </w:r>
            <w:r>
              <w:rPr>
                <w:color w:val="auto"/>
                <w:szCs w:val="21"/>
              </w:rPr>
              <w:t>*5</w:t>
            </w:r>
            <w:r>
              <w:rPr>
                <w:rFonts w:hint="eastAsia"/>
                <w:color w:val="auto"/>
                <w:szCs w:val="21"/>
              </w:rPr>
              <w:t>、社会效益实现程度</w:t>
            </w:r>
            <w:r>
              <w:rPr>
                <w:color w:val="auto"/>
                <w:szCs w:val="21"/>
              </w:rPr>
              <w:t>*5</w:t>
            </w:r>
            <w:r>
              <w:rPr>
                <w:rFonts w:hint="eastAsia"/>
                <w:color w:val="auto"/>
                <w:szCs w:val="21"/>
              </w:rPr>
              <w:t>、生态效益实现程度</w:t>
            </w:r>
            <w:r>
              <w:rPr>
                <w:color w:val="auto"/>
                <w:szCs w:val="21"/>
              </w:rPr>
              <w:t>*5</w:t>
            </w:r>
            <w:r>
              <w:rPr>
                <w:rFonts w:hint="eastAsia"/>
                <w:color w:val="auto"/>
                <w:szCs w:val="21"/>
              </w:rPr>
              <w:t>计算实际得分）</w:t>
            </w:r>
          </w:p>
        </w:tc>
        <w:tc>
          <w:tcPr>
            <w:tcW w:w="37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876" w:hRule="atLeast"/>
          <w:jc w:val="center"/>
        </w:trPr>
        <w:tc>
          <w:tcPr>
            <w:tcW w:w="777"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社会效益（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部门（单位）履行职责对社会发展所带来的直接或间接影响。</w:t>
            </w:r>
          </w:p>
        </w:tc>
        <w:tc>
          <w:tcPr>
            <w:tcW w:w="1537"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p>
        </w:tc>
        <w:tc>
          <w:tcPr>
            <w:tcW w:w="37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777" w:hRule="atLeast"/>
          <w:jc w:val="center"/>
        </w:trPr>
        <w:tc>
          <w:tcPr>
            <w:tcW w:w="777"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生态效益（</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部门（单位）履行职责对生态环境所带来的直接或间接影响。</w:t>
            </w:r>
          </w:p>
        </w:tc>
        <w:tc>
          <w:tcPr>
            <w:tcW w:w="1537"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rPr>
                <w:color w:val="auto"/>
                <w:szCs w:val="21"/>
              </w:rPr>
            </w:pPr>
          </w:p>
        </w:tc>
        <w:tc>
          <w:tcPr>
            <w:tcW w:w="37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1323" w:hRule="atLeast"/>
          <w:jc w:val="center"/>
        </w:trPr>
        <w:tc>
          <w:tcPr>
            <w:tcW w:w="777" w:type="pct"/>
            <w:vMerge w:val="continue"/>
            <w:tcBorders>
              <w:top w:val="single" w:color="auto" w:sz="4" w:space="0"/>
              <w:left w:val="single" w:color="auto" w:sz="12" w:space="0"/>
              <w:bottom w:val="single" w:color="auto" w:sz="4" w:space="0"/>
              <w:right w:val="single" w:color="auto" w:sz="4" w:space="0"/>
            </w:tcBorders>
            <w:noWrap w:val="0"/>
            <w:vAlign w:val="center"/>
          </w:tcPr>
          <w:p>
            <w:pPr>
              <w:spacing w:line="240" w:lineRule="exact"/>
              <w:jc w:val="center"/>
              <w:rPr>
                <w:color w:val="auto"/>
                <w:szCs w:val="21"/>
              </w:rPr>
            </w:pPr>
          </w:p>
        </w:tc>
        <w:tc>
          <w:tcPr>
            <w:tcW w:w="279" w:type="pct"/>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color w:val="auto"/>
                <w:szCs w:val="21"/>
              </w:rPr>
            </w:pPr>
          </w:p>
        </w:tc>
        <w:tc>
          <w:tcPr>
            <w:tcW w:w="438" w:type="pct"/>
            <w:tcBorders>
              <w:top w:val="single" w:color="auto" w:sz="4" w:space="0"/>
              <w:left w:val="nil"/>
              <w:bottom w:val="single" w:color="auto" w:sz="4" w:space="0"/>
              <w:right w:val="single" w:color="auto" w:sz="4" w:space="0"/>
            </w:tcBorders>
            <w:noWrap w:val="0"/>
            <w:vAlign w:val="center"/>
          </w:tcPr>
          <w:p>
            <w:pPr>
              <w:spacing w:line="240" w:lineRule="exact"/>
              <w:jc w:val="center"/>
              <w:rPr>
                <w:color w:val="auto"/>
                <w:szCs w:val="21"/>
              </w:rPr>
            </w:pPr>
            <w:r>
              <w:rPr>
                <w:rFonts w:hint="eastAsia"/>
                <w:color w:val="auto"/>
                <w:szCs w:val="21"/>
              </w:rPr>
              <w:t>社会公众或服务对象满意度（</w:t>
            </w:r>
            <w:r>
              <w:rPr>
                <w:color w:val="auto"/>
                <w:szCs w:val="21"/>
              </w:rPr>
              <w:t>5</w:t>
            </w:r>
            <w:r>
              <w:rPr>
                <w:rFonts w:hint="eastAsia"/>
                <w:color w:val="auto"/>
                <w:szCs w:val="21"/>
              </w:rPr>
              <w:t>分）</w:t>
            </w:r>
          </w:p>
        </w:tc>
        <w:tc>
          <w:tcPr>
            <w:tcW w:w="1180"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社会公众或部门（单位）的服务对象对部门履职效果的满意程度。</w:t>
            </w:r>
          </w:p>
        </w:tc>
        <w:tc>
          <w:tcPr>
            <w:tcW w:w="1537" w:type="pct"/>
            <w:tcBorders>
              <w:top w:val="single" w:color="auto" w:sz="4" w:space="0"/>
              <w:left w:val="nil"/>
              <w:bottom w:val="single" w:color="auto" w:sz="4" w:space="0"/>
              <w:right w:val="single" w:color="auto" w:sz="4" w:space="0"/>
            </w:tcBorders>
            <w:noWrap w:val="0"/>
            <w:vAlign w:val="center"/>
          </w:tcPr>
          <w:p>
            <w:pPr>
              <w:spacing w:line="240" w:lineRule="exact"/>
              <w:rPr>
                <w:color w:val="auto"/>
                <w:szCs w:val="21"/>
              </w:rPr>
            </w:pPr>
            <w:r>
              <w:rPr>
                <w:rFonts w:hint="eastAsia"/>
                <w:color w:val="auto"/>
                <w:szCs w:val="21"/>
              </w:rPr>
              <w:t>社会公众或服务对象是指部门（单位）履行职责而影响到的部门、群体或个人。一般采取社会调查的方式。（按收到的服务对象的满意率计算得分）</w:t>
            </w:r>
          </w:p>
        </w:tc>
        <w:tc>
          <w:tcPr>
            <w:tcW w:w="379" w:type="pct"/>
            <w:tcBorders>
              <w:top w:val="single" w:color="auto" w:sz="4" w:space="0"/>
              <w:left w:val="nil"/>
              <w:bottom w:val="single" w:color="auto" w:sz="4" w:space="0"/>
              <w:right w:val="single" w:color="auto" w:sz="4" w:space="0"/>
            </w:tcBorders>
            <w:noWrap/>
            <w:vAlign w:val="center"/>
          </w:tcPr>
          <w:p>
            <w:pPr>
              <w:spacing w:line="240" w:lineRule="exact"/>
              <w:jc w:val="center"/>
              <w:rPr>
                <w:rFonts w:hint="eastAsia" w:eastAsia="宋体"/>
                <w:color w:val="auto"/>
                <w:szCs w:val="21"/>
                <w:lang w:val="en-US" w:eastAsia="zh-CN"/>
              </w:rPr>
            </w:pPr>
            <w:r>
              <w:rPr>
                <w:rFonts w:hint="eastAsia"/>
                <w:color w:val="auto"/>
                <w:szCs w:val="21"/>
                <w:lang w:val="en-US" w:eastAsia="zh-CN"/>
              </w:rPr>
              <w:t>5</w:t>
            </w:r>
          </w:p>
        </w:tc>
        <w:tc>
          <w:tcPr>
            <w:tcW w:w="410" w:type="pct"/>
            <w:tcBorders>
              <w:top w:val="single" w:color="auto" w:sz="4" w:space="0"/>
              <w:left w:val="nil"/>
              <w:bottom w:val="single" w:color="auto" w:sz="4" w:space="0"/>
              <w:right w:val="single" w:color="auto" w:sz="12" w:space="0"/>
            </w:tcBorders>
            <w:noWrap/>
            <w:vAlign w:val="center"/>
          </w:tcPr>
          <w:p>
            <w:pPr>
              <w:spacing w:line="240" w:lineRule="exact"/>
              <w:jc w:val="center"/>
              <w:rPr>
                <w:color w:val="auto"/>
                <w:szCs w:val="21"/>
              </w:rPr>
            </w:pPr>
          </w:p>
        </w:tc>
      </w:tr>
      <w:tr>
        <w:tblPrEx>
          <w:tblCellMar>
            <w:top w:w="0" w:type="dxa"/>
            <w:left w:w="28" w:type="dxa"/>
            <w:bottom w:w="0" w:type="dxa"/>
            <w:right w:w="28" w:type="dxa"/>
          </w:tblCellMar>
        </w:tblPrEx>
        <w:trPr>
          <w:trHeight w:val="584" w:hRule="atLeast"/>
          <w:jc w:val="center"/>
        </w:trPr>
        <w:tc>
          <w:tcPr>
            <w:tcW w:w="4211" w:type="pct"/>
            <w:gridSpan w:val="5"/>
            <w:tcBorders>
              <w:top w:val="single" w:color="auto" w:sz="4" w:space="0"/>
              <w:left w:val="single" w:color="auto" w:sz="12" w:space="0"/>
              <w:bottom w:val="single" w:color="auto" w:sz="12" w:space="0"/>
              <w:right w:val="single" w:color="auto" w:sz="4" w:space="0"/>
            </w:tcBorders>
            <w:noWrap w:val="0"/>
            <w:vAlign w:val="center"/>
          </w:tcPr>
          <w:p>
            <w:pPr>
              <w:spacing w:line="240" w:lineRule="exact"/>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379" w:type="pct"/>
            <w:tcBorders>
              <w:top w:val="single" w:color="auto" w:sz="4" w:space="0"/>
              <w:left w:val="nil"/>
              <w:bottom w:val="single" w:color="auto" w:sz="12" w:space="0"/>
              <w:right w:val="single" w:color="auto" w:sz="4" w:space="0"/>
            </w:tcBorders>
            <w:noWrap/>
            <w:vAlign w:val="center"/>
          </w:tcPr>
          <w:p>
            <w:pPr>
              <w:spacing w:line="240" w:lineRule="exact"/>
              <w:jc w:val="center"/>
              <w:rPr>
                <w:rFonts w:hint="default" w:eastAsia="宋体"/>
                <w:color w:val="auto"/>
                <w:szCs w:val="21"/>
                <w:lang w:val="en-US" w:eastAsia="zh-CN"/>
              </w:rPr>
            </w:pPr>
            <w:r>
              <w:rPr>
                <w:rFonts w:hint="eastAsia"/>
                <w:color w:val="auto"/>
                <w:szCs w:val="21"/>
                <w:lang w:val="en-US" w:eastAsia="zh-CN"/>
              </w:rPr>
              <w:t>98</w:t>
            </w:r>
          </w:p>
        </w:tc>
        <w:tc>
          <w:tcPr>
            <w:tcW w:w="410" w:type="pct"/>
            <w:tcBorders>
              <w:top w:val="single" w:color="auto" w:sz="4" w:space="0"/>
              <w:left w:val="nil"/>
              <w:bottom w:val="single" w:color="auto" w:sz="12" w:space="0"/>
              <w:right w:val="single" w:color="auto" w:sz="12" w:space="0"/>
            </w:tcBorders>
            <w:noWrap/>
            <w:vAlign w:val="center"/>
          </w:tcPr>
          <w:p>
            <w:pPr>
              <w:spacing w:line="240" w:lineRule="exact"/>
              <w:jc w:val="center"/>
              <w:rPr>
                <w:color w:val="auto"/>
                <w:szCs w:val="21"/>
              </w:rPr>
            </w:pPr>
          </w:p>
        </w:tc>
      </w:tr>
    </w:tbl>
    <w:p>
      <w:pPr>
        <w:pStyle w:val="3"/>
        <w:spacing w:line="20" w:lineRule="exact"/>
        <w:rPr>
          <w:rFonts w:ascii="宋体"/>
          <w:color w:val="auto"/>
        </w:rPr>
      </w:pPr>
    </w:p>
    <w:p>
      <w:pPr>
        <w:spacing w:line="620" w:lineRule="exact"/>
        <w:jc w:val="left"/>
        <w:rPr>
          <w:rFonts w:eastAsia="方正黑体简体"/>
          <w:color w:val="auto"/>
          <w:kern w:val="0"/>
          <w:sz w:val="32"/>
          <w:szCs w:val="32"/>
        </w:rPr>
        <w:sectPr>
          <w:pgSz w:w="11907" w:h="16840"/>
          <w:pgMar w:top="2098" w:right="1474" w:bottom="1928" w:left="1588" w:header="851" w:footer="992" w:gutter="0"/>
          <w:cols w:space="720" w:num="1"/>
          <w:docGrid w:type="lines" w:linePitch="312" w:charSpace="0"/>
        </w:sectPr>
      </w:pPr>
    </w:p>
    <w:p>
      <w:pPr>
        <w:spacing w:line="580" w:lineRule="exact"/>
        <w:ind w:firstLine="640" w:firstLineChars="200"/>
        <w:rPr>
          <w:rFonts w:hint="eastAsia" w:eastAsia="方正仿宋简体"/>
          <w:color w:val="auto"/>
          <w:sz w:val="32"/>
          <w:szCs w:val="32"/>
        </w:rPr>
      </w:pPr>
    </w:p>
    <w:p>
      <w:pPr>
        <w:spacing w:line="620" w:lineRule="exact"/>
        <w:jc w:val="left"/>
        <w:rPr>
          <w:rFonts w:eastAsia="方正黑体简体"/>
          <w:color w:val="auto"/>
          <w:kern w:val="0"/>
          <w:sz w:val="32"/>
          <w:szCs w:val="32"/>
        </w:rPr>
      </w:pPr>
      <w:r>
        <w:rPr>
          <w:rFonts w:hint="eastAsia" w:eastAsia="方正黑体简体"/>
          <w:color w:val="auto"/>
          <w:kern w:val="0"/>
          <w:sz w:val="32"/>
          <w:szCs w:val="32"/>
        </w:rPr>
        <w:t>附件</w:t>
      </w:r>
      <w:r>
        <w:rPr>
          <w:rFonts w:eastAsia="方正黑体简体"/>
          <w:color w:val="auto"/>
          <w:kern w:val="0"/>
          <w:sz w:val="32"/>
          <w:szCs w:val="32"/>
        </w:rPr>
        <w:t>2</w:t>
      </w:r>
    </w:p>
    <w:p>
      <w:pPr>
        <w:spacing w:line="620" w:lineRule="exact"/>
        <w:jc w:val="center"/>
        <w:rPr>
          <w:rFonts w:eastAsia="方正小标宋简体"/>
          <w:color w:val="auto"/>
          <w:w w:val="90"/>
          <w:kern w:val="0"/>
          <w:sz w:val="44"/>
          <w:szCs w:val="44"/>
        </w:rPr>
      </w:pPr>
      <w:r>
        <w:rPr>
          <w:rFonts w:eastAsia="方正小标宋简体"/>
          <w:color w:val="auto"/>
          <w:w w:val="90"/>
          <w:kern w:val="0"/>
          <w:sz w:val="44"/>
          <w:szCs w:val="44"/>
        </w:rPr>
        <w:t>202</w:t>
      </w:r>
      <w:r>
        <w:rPr>
          <w:rFonts w:hint="eastAsia" w:eastAsia="方正小标宋简体"/>
          <w:color w:val="auto"/>
          <w:w w:val="90"/>
          <w:kern w:val="0"/>
          <w:sz w:val="44"/>
          <w:szCs w:val="44"/>
        </w:rPr>
        <w:t>2年度乐至县部门整体支出绩效目标完成情况表</w:t>
      </w:r>
    </w:p>
    <w:p>
      <w:pPr>
        <w:pStyle w:val="3"/>
        <w:rPr>
          <w:rFonts w:ascii="宋体"/>
          <w:color w:val="auto"/>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588"/>
        <w:gridCol w:w="1009"/>
        <w:gridCol w:w="746"/>
        <w:gridCol w:w="2581"/>
        <w:gridCol w:w="1030"/>
        <w:gridCol w:w="1296"/>
        <w:gridCol w:w="16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0" w:type="auto"/>
            <w:tcBorders>
              <w:top w:val="single" w:color="auto" w:sz="12" w:space="0"/>
            </w:tcBorders>
            <w:noWrap/>
            <w:vAlign w:val="center"/>
          </w:tcPr>
          <w:p>
            <w:pPr>
              <w:widowControl/>
              <w:spacing w:line="290" w:lineRule="exact"/>
              <w:jc w:val="center"/>
              <w:rPr>
                <w:color w:val="auto"/>
                <w:kern w:val="0"/>
                <w:szCs w:val="21"/>
              </w:rPr>
            </w:pPr>
            <w:r>
              <w:rPr>
                <w:rFonts w:hint="eastAsia"/>
                <w:color w:val="auto"/>
                <w:kern w:val="0"/>
                <w:szCs w:val="21"/>
              </w:rPr>
              <w:t>部门（单位）名称</w:t>
            </w:r>
          </w:p>
        </w:tc>
        <w:tc>
          <w:tcPr>
            <w:tcW w:w="0" w:type="auto"/>
            <w:gridSpan w:val="4"/>
            <w:tcBorders>
              <w:top w:val="single" w:color="auto" w:sz="12" w:space="0"/>
            </w:tcBorders>
            <w:noWrap/>
            <w:vAlign w:val="center"/>
          </w:tcPr>
          <w:p>
            <w:pPr>
              <w:widowControl/>
              <w:spacing w:line="290" w:lineRule="exact"/>
              <w:jc w:val="center"/>
              <w:rPr>
                <w:color w:val="auto"/>
                <w:kern w:val="0"/>
                <w:szCs w:val="21"/>
              </w:rPr>
            </w:pPr>
            <w:r>
              <w:rPr>
                <w:rFonts w:hint="eastAsia"/>
                <w:color w:val="auto"/>
                <w:kern w:val="0"/>
                <w:szCs w:val="21"/>
                <w:lang w:val="en-US" w:eastAsia="zh-CN"/>
              </w:rPr>
              <w:t>乐至县政府政务服务和公共资源交易服务中心</w:t>
            </w:r>
            <w:r>
              <w:rPr>
                <w:rFonts w:hint="eastAsia"/>
                <w:color w:val="auto"/>
                <w:kern w:val="0"/>
                <w:szCs w:val="21"/>
              </w:rPr>
              <w:t>　</w:t>
            </w:r>
          </w:p>
        </w:tc>
        <w:tc>
          <w:tcPr>
            <w:tcW w:w="0" w:type="auto"/>
            <w:tcBorders>
              <w:top w:val="single" w:color="auto" w:sz="12" w:space="0"/>
            </w:tcBorders>
            <w:noWrap/>
            <w:vAlign w:val="center"/>
          </w:tcPr>
          <w:p>
            <w:pPr>
              <w:widowControl/>
              <w:spacing w:line="290" w:lineRule="exact"/>
              <w:jc w:val="center"/>
              <w:rPr>
                <w:color w:val="auto"/>
                <w:kern w:val="0"/>
                <w:szCs w:val="21"/>
              </w:rPr>
            </w:pPr>
            <w:r>
              <w:rPr>
                <w:rFonts w:hint="eastAsia"/>
                <w:color w:val="auto"/>
                <w:kern w:val="0"/>
                <w:szCs w:val="21"/>
              </w:rPr>
              <w:t>预算单位编码</w:t>
            </w:r>
          </w:p>
        </w:tc>
        <w:tc>
          <w:tcPr>
            <w:tcW w:w="0" w:type="auto"/>
            <w:tcBorders>
              <w:top w:val="single" w:color="auto" w:sz="12" w:space="0"/>
            </w:tcBorders>
            <w:noWrap/>
            <w:vAlign w:val="center"/>
          </w:tcPr>
          <w:p>
            <w:pPr>
              <w:widowControl/>
              <w:spacing w:line="290" w:lineRule="exact"/>
              <w:jc w:val="left"/>
              <w:rPr>
                <w:color w:val="auto"/>
                <w:kern w:val="0"/>
                <w:szCs w:val="21"/>
              </w:rPr>
            </w:pPr>
            <w:r>
              <w:rPr>
                <w:rFonts w:hint="eastAsia"/>
                <w:color w:val="auto"/>
                <w:kern w:val="0"/>
                <w:szCs w:val="21"/>
              </w:rPr>
              <w:t>　</w:t>
            </w:r>
            <w:r>
              <w:rPr>
                <w:rFonts w:hint="eastAsia"/>
                <w:color w:val="auto"/>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0" w:type="auto"/>
            <w:vMerge w:val="restart"/>
            <w:noWrap/>
            <w:vAlign w:val="center"/>
          </w:tcPr>
          <w:p>
            <w:pPr>
              <w:widowControl/>
              <w:spacing w:line="290" w:lineRule="exact"/>
              <w:jc w:val="center"/>
              <w:rPr>
                <w:color w:val="auto"/>
                <w:kern w:val="0"/>
                <w:szCs w:val="21"/>
              </w:rPr>
            </w:pPr>
            <w:r>
              <w:rPr>
                <w:rFonts w:hint="eastAsia"/>
                <w:color w:val="auto"/>
                <w:kern w:val="0"/>
                <w:szCs w:val="21"/>
              </w:rPr>
              <w:t>预算执行情况</w:t>
            </w:r>
          </w:p>
        </w:tc>
        <w:tc>
          <w:tcPr>
            <w:tcW w:w="0" w:type="auto"/>
            <w:noWrap/>
            <w:vAlign w:val="center"/>
          </w:tcPr>
          <w:p>
            <w:pPr>
              <w:widowControl/>
              <w:spacing w:line="290" w:lineRule="exact"/>
              <w:jc w:val="center"/>
              <w:rPr>
                <w:color w:val="auto"/>
                <w:kern w:val="0"/>
                <w:szCs w:val="21"/>
              </w:rPr>
            </w:pPr>
            <w:r>
              <w:rPr>
                <w:rFonts w:hint="eastAsia"/>
                <w:color w:val="auto"/>
                <w:kern w:val="0"/>
                <w:szCs w:val="21"/>
              </w:rPr>
              <w:t>项目</w:t>
            </w:r>
          </w:p>
        </w:tc>
        <w:tc>
          <w:tcPr>
            <w:tcW w:w="0" w:type="auto"/>
            <w:noWrap/>
            <w:vAlign w:val="center"/>
          </w:tcPr>
          <w:p>
            <w:pPr>
              <w:widowControl/>
              <w:spacing w:line="290" w:lineRule="exact"/>
              <w:jc w:val="center"/>
              <w:rPr>
                <w:color w:val="auto"/>
                <w:kern w:val="0"/>
                <w:szCs w:val="21"/>
              </w:rPr>
            </w:pPr>
            <w:r>
              <w:rPr>
                <w:rFonts w:hint="eastAsia"/>
                <w:color w:val="auto"/>
                <w:kern w:val="0"/>
                <w:szCs w:val="21"/>
              </w:rPr>
              <w:t>预算额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widowControl/>
              <w:spacing w:line="290" w:lineRule="exact"/>
              <w:jc w:val="center"/>
              <w:rPr>
                <w:color w:val="auto"/>
                <w:kern w:val="0"/>
                <w:szCs w:val="21"/>
              </w:rPr>
            </w:pPr>
            <w:r>
              <w:rPr>
                <w:rFonts w:hint="eastAsia"/>
                <w:color w:val="auto"/>
                <w:kern w:val="0"/>
                <w:szCs w:val="21"/>
              </w:rPr>
              <w:t>执行额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widowControl/>
              <w:spacing w:line="290" w:lineRule="exact"/>
              <w:jc w:val="center"/>
              <w:rPr>
                <w:color w:val="auto"/>
                <w:kern w:val="0"/>
                <w:szCs w:val="21"/>
              </w:rPr>
            </w:pPr>
            <w:r>
              <w:rPr>
                <w:rFonts w:hint="eastAsia"/>
                <w:color w:val="auto"/>
                <w:kern w:val="0"/>
                <w:szCs w:val="21"/>
              </w:rPr>
              <w:t>当年结转结余额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widowControl/>
              <w:spacing w:line="290" w:lineRule="exact"/>
              <w:jc w:val="center"/>
              <w:rPr>
                <w:color w:val="auto"/>
                <w:kern w:val="0"/>
                <w:szCs w:val="21"/>
              </w:rPr>
            </w:pPr>
            <w:r>
              <w:rPr>
                <w:rFonts w:hint="eastAsia"/>
                <w:color w:val="auto"/>
                <w:kern w:val="0"/>
                <w:szCs w:val="21"/>
              </w:rPr>
              <w:t>结转结余率</w:t>
            </w:r>
            <w:r>
              <w:rPr>
                <w:color w:val="auto"/>
                <w:kern w:val="0"/>
                <w:szCs w:val="21"/>
              </w:rPr>
              <w:t>%</w:t>
            </w:r>
          </w:p>
        </w:tc>
        <w:tc>
          <w:tcPr>
            <w:tcW w:w="0" w:type="auto"/>
            <w:noWrap/>
            <w:vAlign w:val="center"/>
          </w:tcPr>
          <w:p>
            <w:pPr>
              <w:widowControl/>
              <w:spacing w:line="290" w:lineRule="exact"/>
              <w:jc w:val="center"/>
              <w:rPr>
                <w:color w:val="auto"/>
                <w:kern w:val="0"/>
                <w:szCs w:val="21"/>
              </w:rPr>
            </w:pPr>
            <w:r>
              <w:rPr>
                <w:rFonts w:hint="eastAsia"/>
                <w:color w:val="auto"/>
                <w:kern w:val="0"/>
                <w:szCs w:val="21"/>
              </w:rPr>
              <w:t>结转结余变动率</w:t>
            </w:r>
            <w:r>
              <w:rPr>
                <w:color w:val="auto"/>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合计</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658.61</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　505.28</w:t>
            </w:r>
          </w:p>
        </w:tc>
        <w:tc>
          <w:tcPr>
            <w:tcW w:w="0" w:type="auto"/>
            <w:noWrap/>
            <w:vAlign w:val="center"/>
          </w:tcPr>
          <w:p>
            <w:pPr>
              <w:widowControl/>
              <w:spacing w:line="290" w:lineRule="exact"/>
              <w:jc w:val="left"/>
              <w:rPr>
                <w:rFonts w:hint="default" w:eastAsia="宋体"/>
                <w:color w:val="auto"/>
                <w:kern w:val="0"/>
                <w:sz w:val="18"/>
                <w:szCs w:val="18"/>
                <w:highlight w:val="none"/>
                <w:lang w:val="en-US" w:eastAsia="zh-CN" w:bidi="ar-SA"/>
              </w:rPr>
            </w:pPr>
            <w:r>
              <w:rPr>
                <w:rFonts w:hint="eastAsia"/>
                <w:color w:val="auto"/>
                <w:kern w:val="0"/>
                <w:sz w:val="18"/>
                <w:szCs w:val="18"/>
                <w:highlight w:val="none"/>
              </w:rPr>
              <w:t>　</w:t>
            </w:r>
            <w:r>
              <w:rPr>
                <w:rFonts w:hint="eastAsia" w:eastAsia="宋体"/>
                <w:color w:val="auto"/>
                <w:kern w:val="0"/>
                <w:sz w:val="18"/>
                <w:szCs w:val="18"/>
                <w:highlight w:val="none"/>
                <w:lang w:val="en-US" w:eastAsia="zh-CN"/>
              </w:rPr>
              <w:t>153.335</w:t>
            </w:r>
          </w:p>
        </w:tc>
        <w:tc>
          <w:tcPr>
            <w:tcW w:w="0" w:type="auto"/>
            <w:noWrap/>
            <w:vAlign w:val="center"/>
          </w:tcPr>
          <w:p>
            <w:pPr>
              <w:widowControl/>
              <w:spacing w:line="290" w:lineRule="exact"/>
              <w:jc w:val="left"/>
              <w:rPr>
                <w:rFonts w:hint="default" w:eastAsia="宋体"/>
                <w:color w:val="auto"/>
                <w:kern w:val="0"/>
                <w:sz w:val="21"/>
                <w:szCs w:val="21"/>
                <w:highlight w:val="none"/>
                <w:lang w:val="en-US" w:eastAsia="zh-CN" w:bidi="ar-SA"/>
              </w:rPr>
            </w:pPr>
            <w:r>
              <w:rPr>
                <w:rFonts w:hint="eastAsia"/>
                <w:color w:val="auto"/>
                <w:kern w:val="0"/>
                <w:szCs w:val="21"/>
                <w:highlight w:val="none"/>
              </w:rPr>
              <w:t>　</w:t>
            </w:r>
            <w:r>
              <w:rPr>
                <w:rFonts w:hint="eastAsia"/>
                <w:color w:val="auto"/>
                <w:kern w:val="0"/>
                <w:szCs w:val="21"/>
                <w:highlight w:val="none"/>
                <w:lang w:val="en-US" w:eastAsia="zh-CN"/>
              </w:rPr>
              <w:t>23.28</w:t>
            </w:r>
          </w:p>
        </w:tc>
        <w:tc>
          <w:tcPr>
            <w:tcW w:w="0" w:type="auto"/>
            <w:noWrap/>
            <w:vAlign w:val="center"/>
          </w:tcPr>
          <w:p>
            <w:pPr>
              <w:widowControl/>
              <w:spacing w:line="290" w:lineRule="exact"/>
              <w:jc w:val="left"/>
              <w:rPr>
                <w:rFonts w:hint="default" w:eastAsia="宋体"/>
                <w:color w:val="auto"/>
                <w:kern w:val="0"/>
                <w:sz w:val="21"/>
                <w:szCs w:val="21"/>
                <w:highlight w:val="none"/>
                <w:lang w:val="en-US" w:eastAsia="zh-CN" w:bidi="ar-SA"/>
              </w:rPr>
            </w:pPr>
            <w:r>
              <w:rPr>
                <w:rFonts w:hint="eastAsia" w:eastAsia="宋体"/>
                <w:color w:val="auto"/>
                <w:kern w:val="0"/>
                <w:szCs w:val="21"/>
                <w:highlight w:val="none"/>
                <w:lang w:val="en-US" w:eastAsia="zh-CN"/>
              </w:rPr>
              <w:t>8.76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基本支出</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　283.07</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　283.07</w:t>
            </w:r>
          </w:p>
        </w:tc>
        <w:tc>
          <w:tcPr>
            <w:tcW w:w="0" w:type="auto"/>
            <w:noWrap/>
            <w:vAlign w:val="center"/>
          </w:tcPr>
          <w:p>
            <w:pPr>
              <w:widowControl/>
              <w:spacing w:line="290" w:lineRule="exact"/>
              <w:jc w:val="left"/>
              <w:rPr>
                <w:rFonts w:hint="eastAsia" w:eastAsia="宋体"/>
                <w:color w:val="auto"/>
                <w:kern w:val="0"/>
                <w:sz w:val="18"/>
                <w:szCs w:val="18"/>
                <w:highlight w:val="none"/>
                <w:lang w:val="en-US" w:eastAsia="zh-CN" w:bidi="ar-SA"/>
              </w:rPr>
            </w:pPr>
            <w:r>
              <w:rPr>
                <w:rFonts w:hint="eastAsia"/>
                <w:color w:val="auto"/>
                <w:kern w:val="0"/>
                <w:sz w:val="18"/>
                <w:szCs w:val="18"/>
                <w:highlight w:val="none"/>
              </w:rPr>
              <w:t>　</w:t>
            </w:r>
          </w:p>
        </w:tc>
        <w:tc>
          <w:tcPr>
            <w:tcW w:w="0" w:type="auto"/>
            <w:noWrap/>
            <w:vAlign w:val="center"/>
          </w:tcPr>
          <w:p>
            <w:pPr>
              <w:widowControl/>
              <w:spacing w:line="290" w:lineRule="exact"/>
              <w:jc w:val="left"/>
              <w:rPr>
                <w:rFonts w:hint="eastAsia" w:eastAsia="宋体"/>
                <w:color w:val="auto"/>
                <w:kern w:val="0"/>
                <w:sz w:val="21"/>
                <w:szCs w:val="21"/>
                <w:highlight w:val="none"/>
                <w:lang w:val="en-US" w:eastAsia="zh-CN" w:bidi="ar-SA"/>
              </w:rPr>
            </w:pPr>
            <w:r>
              <w:rPr>
                <w:rFonts w:hint="eastAsia"/>
                <w:color w:val="auto"/>
                <w:kern w:val="0"/>
                <w:szCs w:val="21"/>
                <w:highlight w:val="none"/>
              </w:rPr>
              <w:t>　</w:t>
            </w:r>
            <w:r>
              <w:rPr>
                <w:rFonts w:hint="eastAsia"/>
                <w:color w:val="auto"/>
                <w:kern w:val="0"/>
                <w:szCs w:val="21"/>
                <w:highlight w:val="none"/>
                <w:lang w:val="en-US" w:eastAsia="zh-CN"/>
              </w:rPr>
              <w:t>0</w:t>
            </w:r>
          </w:p>
        </w:tc>
        <w:tc>
          <w:tcPr>
            <w:tcW w:w="0" w:type="auto"/>
            <w:noWrap/>
            <w:vAlign w:val="center"/>
          </w:tcPr>
          <w:p>
            <w:pPr>
              <w:widowControl/>
              <w:spacing w:line="290" w:lineRule="exact"/>
              <w:jc w:val="left"/>
              <w:rPr>
                <w:rFonts w:hint="default" w:eastAsia="宋体"/>
                <w:color w:val="auto"/>
                <w:kern w:val="0"/>
                <w:sz w:val="21"/>
                <w:szCs w:val="21"/>
                <w:highlight w:val="none"/>
                <w:lang w:val="en-US" w:eastAsia="zh-CN" w:bidi="ar-SA"/>
              </w:rPr>
            </w:pPr>
            <w:r>
              <w:rPr>
                <w:rFonts w:hint="eastAsia" w:eastAsia="宋体"/>
                <w:color w:val="auto"/>
                <w:kern w:val="0"/>
                <w:szCs w:val="21"/>
                <w:highlight w:val="none"/>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政策和项目支出</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　375.54</w:t>
            </w:r>
          </w:p>
        </w:tc>
        <w:tc>
          <w:tcPr>
            <w:tcW w:w="0" w:type="auto"/>
            <w:noWrap/>
            <w:vAlign w:val="center"/>
          </w:tcPr>
          <w:p>
            <w:pPr>
              <w:widowControl/>
              <w:spacing w:line="290" w:lineRule="exact"/>
              <w:jc w:val="left"/>
              <w:rPr>
                <w:rFonts w:hint="default"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rPr>
              <w:t>　222.21</w:t>
            </w:r>
          </w:p>
        </w:tc>
        <w:tc>
          <w:tcPr>
            <w:tcW w:w="0" w:type="auto"/>
            <w:noWrap/>
            <w:vAlign w:val="center"/>
          </w:tcPr>
          <w:p>
            <w:pPr>
              <w:widowControl/>
              <w:spacing w:line="290" w:lineRule="exact"/>
              <w:jc w:val="left"/>
              <w:rPr>
                <w:rFonts w:hint="default" w:eastAsia="宋体"/>
                <w:color w:val="auto"/>
                <w:kern w:val="0"/>
                <w:sz w:val="18"/>
                <w:szCs w:val="18"/>
                <w:highlight w:val="none"/>
                <w:lang w:val="en-US" w:eastAsia="zh-CN" w:bidi="ar-SA"/>
              </w:rPr>
            </w:pPr>
            <w:r>
              <w:rPr>
                <w:rFonts w:hint="eastAsia" w:eastAsia="宋体"/>
                <w:color w:val="auto"/>
                <w:kern w:val="0"/>
                <w:sz w:val="18"/>
                <w:szCs w:val="18"/>
                <w:highlight w:val="none"/>
                <w:lang w:val="en-US" w:eastAsia="zh-CN"/>
              </w:rPr>
              <w:t>153.33</w:t>
            </w:r>
          </w:p>
        </w:tc>
        <w:tc>
          <w:tcPr>
            <w:tcW w:w="0" w:type="auto"/>
            <w:noWrap/>
            <w:vAlign w:val="center"/>
          </w:tcPr>
          <w:p>
            <w:pPr>
              <w:widowControl/>
              <w:spacing w:line="290" w:lineRule="exact"/>
              <w:jc w:val="left"/>
              <w:rPr>
                <w:rFonts w:hint="default" w:eastAsia="宋体"/>
                <w:color w:val="auto"/>
                <w:kern w:val="0"/>
                <w:sz w:val="21"/>
                <w:szCs w:val="21"/>
                <w:highlight w:val="none"/>
                <w:lang w:val="en-US" w:eastAsia="zh-CN" w:bidi="ar-SA"/>
              </w:rPr>
            </w:pPr>
            <w:r>
              <w:rPr>
                <w:rFonts w:hint="eastAsia"/>
                <w:color w:val="auto"/>
                <w:kern w:val="0"/>
                <w:szCs w:val="21"/>
                <w:highlight w:val="none"/>
              </w:rPr>
              <w:t>　</w:t>
            </w:r>
            <w:r>
              <w:rPr>
                <w:rFonts w:hint="eastAsia"/>
                <w:color w:val="auto"/>
                <w:kern w:val="0"/>
                <w:szCs w:val="21"/>
                <w:highlight w:val="none"/>
                <w:lang w:val="en-US" w:eastAsia="zh-CN"/>
              </w:rPr>
              <w:t>40.83%</w:t>
            </w:r>
          </w:p>
        </w:tc>
        <w:tc>
          <w:tcPr>
            <w:tcW w:w="0" w:type="auto"/>
            <w:noWrap/>
            <w:vAlign w:val="center"/>
          </w:tcPr>
          <w:p>
            <w:pPr>
              <w:widowControl/>
              <w:spacing w:line="290" w:lineRule="exact"/>
              <w:jc w:val="left"/>
              <w:rPr>
                <w:rFonts w:hint="eastAsia" w:eastAsia="宋体"/>
                <w:color w:val="auto"/>
                <w:kern w:val="0"/>
                <w:sz w:val="21"/>
                <w:szCs w:val="21"/>
                <w:highlight w:val="none"/>
                <w:lang w:val="en-US" w:eastAsia="zh-CN" w:bidi="ar-SA"/>
              </w:rPr>
            </w:pPr>
            <w:r>
              <w:rPr>
                <w:rFonts w:hint="eastAsia" w:eastAsia="宋体"/>
                <w:color w:val="auto"/>
                <w:kern w:val="0"/>
                <w:szCs w:val="21"/>
                <w:highlight w:val="none"/>
                <w:lang w:val="en-US" w:eastAsia="zh-CN"/>
              </w:rPr>
              <w:t>8.76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0" w:type="auto"/>
            <w:vMerge w:val="restart"/>
            <w:noWrap/>
            <w:vAlign w:val="center"/>
          </w:tcPr>
          <w:p>
            <w:pPr>
              <w:widowControl/>
              <w:spacing w:line="290" w:lineRule="exact"/>
              <w:jc w:val="center"/>
              <w:rPr>
                <w:color w:val="auto"/>
                <w:kern w:val="0"/>
                <w:szCs w:val="21"/>
              </w:rPr>
            </w:pPr>
            <w:r>
              <w:rPr>
                <w:rFonts w:hint="eastAsia"/>
                <w:color w:val="auto"/>
                <w:kern w:val="0"/>
                <w:szCs w:val="21"/>
              </w:rPr>
              <w:t>预算</w:t>
            </w:r>
          </w:p>
          <w:p>
            <w:pPr>
              <w:widowControl/>
              <w:spacing w:line="290" w:lineRule="exact"/>
              <w:jc w:val="center"/>
              <w:rPr>
                <w:color w:val="auto"/>
                <w:kern w:val="0"/>
                <w:szCs w:val="21"/>
              </w:rPr>
            </w:pPr>
            <w:r>
              <w:rPr>
                <w:rFonts w:hint="eastAsia"/>
                <w:color w:val="auto"/>
                <w:kern w:val="0"/>
                <w:szCs w:val="21"/>
              </w:rPr>
              <w:t>结构</w:t>
            </w:r>
          </w:p>
        </w:tc>
        <w:tc>
          <w:tcPr>
            <w:tcW w:w="0" w:type="auto"/>
            <w:noWrap/>
            <w:vAlign w:val="center"/>
          </w:tcPr>
          <w:p>
            <w:pPr>
              <w:widowControl/>
              <w:spacing w:line="290" w:lineRule="exact"/>
              <w:jc w:val="center"/>
              <w:rPr>
                <w:color w:val="auto"/>
                <w:kern w:val="0"/>
                <w:szCs w:val="21"/>
              </w:rPr>
            </w:pPr>
            <w:r>
              <w:rPr>
                <w:rFonts w:hint="eastAsia"/>
                <w:color w:val="auto"/>
                <w:kern w:val="0"/>
                <w:szCs w:val="21"/>
              </w:rPr>
              <w:t>项目</w:t>
            </w:r>
          </w:p>
        </w:tc>
        <w:tc>
          <w:tcPr>
            <w:tcW w:w="0" w:type="auto"/>
            <w:noWrap/>
            <w:vAlign w:val="center"/>
          </w:tcPr>
          <w:p>
            <w:pPr>
              <w:widowControl/>
              <w:spacing w:line="290" w:lineRule="exact"/>
              <w:jc w:val="center"/>
              <w:rPr>
                <w:color w:val="auto"/>
                <w:kern w:val="0"/>
                <w:szCs w:val="21"/>
              </w:rPr>
            </w:pPr>
            <w:r>
              <w:rPr>
                <w:rFonts w:hint="eastAsia"/>
                <w:color w:val="auto"/>
                <w:kern w:val="0"/>
                <w:szCs w:val="21"/>
              </w:rPr>
              <w:t>合计</w:t>
            </w:r>
          </w:p>
        </w:tc>
        <w:tc>
          <w:tcPr>
            <w:tcW w:w="0" w:type="auto"/>
            <w:noWrap/>
            <w:vAlign w:val="center"/>
          </w:tcPr>
          <w:p>
            <w:pPr>
              <w:widowControl/>
              <w:spacing w:line="290" w:lineRule="exact"/>
              <w:jc w:val="center"/>
              <w:rPr>
                <w:color w:val="auto"/>
                <w:kern w:val="0"/>
                <w:szCs w:val="21"/>
              </w:rPr>
            </w:pPr>
            <w:r>
              <w:rPr>
                <w:rFonts w:hint="eastAsia"/>
                <w:color w:val="auto"/>
                <w:kern w:val="0"/>
                <w:szCs w:val="21"/>
              </w:rPr>
              <w:t>一般公共预算安排</w:t>
            </w:r>
          </w:p>
        </w:tc>
        <w:tc>
          <w:tcPr>
            <w:tcW w:w="0" w:type="auto"/>
            <w:noWrap/>
            <w:vAlign w:val="center"/>
          </w:tcPr>
          <w:p>
            <w:pPr>
              <w:widowControl/>
              <w:spacing w:line="290" w:lineRule="exact"/>
              <w:jc w:val="center"/>
              <w:rPr>
                <w:color w:val="auto"/>
                <w:kern w:val="0"/>
                <w:szCs w:val="21"/>
              </w:rPr>
            </w:pPr>
            <w:r>
              <w:rPr>
                <w:rFonts w:hint="eastAsia"/>
                <w:color w:val="auto"/>
                <w:kern w:val="0"/>
                <w:szCs w:val="21"/>
              </w:rPr>
              <w:t>政府性基金预算安排</w:t>
            </w:r>
          </w:p>
        </w:tc>
        <w:tc>
          <w:tcPr>
            <w:tcW w:w="0" w:type="auto"/>
            <w:noWrap/>
            <w:vAlign w:val="center"/>
          </w:tcPr>
          <w:p>
            <w:pPr>
              <w:widowControl/>
              <w:spacing w:line="290" w:lineRule="exact"/>
              <w:jc w:val="center"/>
              <w:rPr>
                <w:color w:val="auto"/>
                <w:kern w:val="0"/>
                <w:szCs w:val="21"/>
              </w:rPr>
            </w:pPr>
            <w:r>
              <w:rPr>
                <w:rFonts w:hint="eastAsia"/>
                <w:color w:val="auto"/>
                <w:kern w:val="0"/>
                <w:szCs w:val="21"/>
              </w:rPr>
              <w:t>国有资本经营预算安排</w:t>
            </w:r>
          </w:p>
        </w:tc>
        <w:tc>
          <w:tcPr>
            <w:tcW w:w="0" w:type="auto"/>
            <w:noWrap/>
            <w:vAlign w:val="center"/>
          </w:tcPr>
          <w:p>
            <w:pPr>
              <w:widowControl/>
              <w:spacing w:line="290" w:lineRule="exact"/>
              <w:jc w:val="center"/>
              <w:rPr>
                <w:color w:val="auto"/>
                <w:kern w:val="0"/>
                <w:szCs w:val="21"/>
              </w:rPr>
            </w:pPr>
            <w:r>
              <w:rPr>
                <w:rFonts w:hint="eastAsia"/>
                <w:color w:val="auto"/>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预算额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highlight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638</w:t>
            </w:r>
            <w:r>
              <w:rPr>
                <w:rFonts w:hint="eastAsia"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04.</w:t>
            </w:r>
          </w:p>
        </w:tc>
        <w:tc>
          <w:tcPr>
            <w:tcW w:w="0" w:type="auto"/>
            <w:noWrap/>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highlight w:val="none"/>
                <w:lang w:val="en-US" w:eastAsia="zh-CN" w:bidi="ar-SA"/>
              </w:rPr>
            </w:pPr>
            <w:r>
              <w:rPr>
                <w:rFonts w:hint="default" w:ascii="Times New Roman" w:hAnsi="Times New Roman" w:eastAsia="宋体" w:cs="Times New Roman"/>
                <w:i w:val="0"/>
                <w:iCs w:val="0"/>
                <w:color w:val="auto"/>
                <w:kern w:val="0"/>
                <w:sz w:val="20"/>
                <w:szCs w:val="20"/>
                <w:u w:val="none"/>
                <w:lang w:val="en-US" w:eastAsia="zh-CN" w:bidi="ar"/>
              </w:rPr>
              <w:t>638</w:t>
            </w:r>
            <w:r>
              <w:rPr>
                <w:rFonts w:hint="eastAsia" w:ascii="Times New Roman" w:hAnsi="Times New Roman" w:eastAsia="宋体" w:cs="Times New Roman"/>
                <w:i w:val="0"/>
                <w:iCs w:val="0"/>
                <w:color w:val="auto"/>
                <w:kern w:val="0"/>
                <w:sz w:val="20"/>
                <w:szCs w:val="20"/>
                <w:u w:val="none"/>
                <w:lang w:val="en-US" w:eastAsia="zh-CN" w:bidi="ar"/>
              </w:rPr>
              <w:t>.</w:t>
            </w:r>
            <w:r>
              <w:rPr>
                <w:rFonts w:hint="default" w:ascii="Times New Roman" w:hAnsi="Times New Roman" w:eastAsia="宋体" w:cs="Times New Roman"/>
                <w:i w:val="0"/>
                <w:iCs w:val="0"/>
                <w:color w:val="auto"/>
                <w:kern w:val="0"/>
                <w:sz w:val="20"/>
                <w:szCs w:val="20"/>
                <w:u w:val="none"/>
                <w:lang w:val="en-US" w:eastAsia="zh-CN" w:bidi="ar"/>
              </w:rPr>
              <w:t>04</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执行额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highlight w:val="none"/>
                <w:lang w:val="en-US" w:eastAsia="zh-CN" w:bidi="ar-SA"/>
              </w:rPr>
            </w:pPr>
            <w:r>
              <w:rPr>
                <w:rFonts w:hint="eastAsia" w:ascii="宋体" w:hAnsi="宋体" w:eastAsia="宋体" w:cs="宋体"/>
                <w:i w:val="0"/>
                <w:iCs w:val="0"/>
                <w:color w:val="auto"/>
                <w:kern w:val="0"/>
                <w:sz w:val="20"/>
                <w:szCs w:val="20"/>
                <w:u w:val="none"/>
                <w:lang w:val="en-US" w:eastAsia="zh-CN" w:bidi="ar"/>
              </w:rPr>
              <w:t>505.28</w:t>
            </w:r>
          </w:p>
        </w:tc>
        <w:tc>
          <w:tcPr>
            <w:tcW w:w="0" w:type="auto"/>
            <w:noWrap/>
            <w:vAlign w:val="center"/>
          </w:tcPr>
          <w:p>
            <w:pPr>
              <w:keepNext w:val="0"/>
              <w:keepLines w:val="0"/>
              <w:widowControl/>
              <w:suppressLineNumbers w:val="0"/>
              <w:jc w:val="left"/>
              <w:textAlignment w:val="center"/>
              <w:rPr>
                <w:rFonts w:hint="eastAsia" w:ascii="Times New Roman" w:hAnsi="Times New Roman" w:eastAsia="宋体" w:cs="Times New Roman"/>
                <w:color w:val="auto"/>
                <w:kern w:val="0"/>
                <w:sz w:val="20"/>
                <w:szCs w:val="20"/>
                <w:highlight w:val="none"/>
                <w:lang w:val="en-US" w:eastAsia="zh-CN" w:bidi="ar-SA"/>
              </w:rPr>
            </w:pPr>
            <w:r>
              <w:rPr>
                <w:rFonts w:hint="eastAsia" w:ascii="宋体" w:hAnsi="宋体" w:eastAsia="宋体" w:cs="宋体"/>
                <w:i w:val="0"/>
                <w:iCs w:val="0"/>
                <w:color w:val="auto"/>
                <w:kern w:val="0"/>
                <w:sz w:val="20"/>
                <w:szCs w:val="20"/>
                <w:u w:val="none"/>
                <w:lang w:val="en-US" w:eastAsia="zh-CN" w:bidi="ar"/>
              </w:rPr>
              <w:t>505.28</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spacing w:val="-20"/>
                <w:kern w:val="0"/>
                <w:szCs w:val="21"/>
              </w:rPr>
            </w:pPr>
            <w:r>
              <w:rPr>
                <w:rFonts w:hint="eastAsia"/>
                <w:color w:val="auto"/>
                <w:spacing w:val="-20"/>
                <w:kern w:val="0"/>
                <w:szCs w:val="21"/>
              </w:rPr>
              <w:t>当年结转结余额</w:t>
            </w:r>
            <w:r>
              <w:rPr>
                <w:color w:val="auto"/>
                <w:kern w:val="0"/>
                <w:szCs w:val="21"/>
              </w:rPr>
              <w:t>(</w:t>
            </w:r>
            <w:r>
              <w:rPr>
                <w:rFonts w:hint="eastAsia"/>
                <w:color w:val="auto"/>
                <w:kern w:val="0"/>
                <w:szCs w:val="21"/>
              </w:rPr>
              <w:t>万元</w:t>
            </w:r>
            <w:r>
              <w:rPr>
                <w:color w:val="auto"/>
                <w:kern w:val="0"/>
                <w:szCs w:val="21"/>
              </w:rPr>
              <w:t>)</w:t>
            </w:r>
          </w:p>
        </w:tc>
        <w:tc>
          <w:tcPr>
            <w:tcW w:w="0" w:type="auto"/>
            <w:noWrap/>
            <w:vAlign w:val="center"/>
          </w:tcPr>
          <w:p>
            <w:pPr>
              <w:keepNext w:val="0"/>
              <w:keepLines w:val="0"/>
              <w:widowControl/>
              <w:suppressLineNumbers w:val="0"/>
              <w:jc w:val="left"/>
              <w:textAlignment w:val="center"/>
              <w:rPr>
                <w:color w:val="auto"/>
                <w:kern w:val="0"/>
                <w:sz w:val="21"/>
                <w:szCs w:val="21"/>
                <w:lang w:val="en-US" w:eastAsia="zh-CN" w:bidi="ar-SA"/>
              </w:rPr>
            </w:pPr>
            <w:r>
              <w:rPr>
                <w:rFonts w:hint="eastAsia" w:ascii="宋体" w:hAnsi="宋体" w:eastAsia="宋体" w:cs="宋体"/>
                <w:i w:val="0"/>
                <w:iCs w:val="0"/>
                <w:color w:val="auto"/>
                <w:kern w:val="0"/>
                <w:sz w:val="18"/>
                <w:szCs w:val="18"/>
                <w:u w:val="none"/>
                <w:lang w:val="en-US" w:eastAsia="zh-CN" w:bidi="ar"/>
              </w:rPr>
              <w:t>153.33</w:t>
            </w:r>
          </w:p>
        </w:tc>
        <w:tc>
          <w:tcPr>
            <w:tcW w:w="0" w:type="auto"/>
            <w:noWrap/>
            <w:vAlign w:val="center"/>
          </w:tcPr>
          <w:p>
            <w:pPr>
              <w:keepNext w:val="0"/>
              <w:keepLines w:val="0"/>
              <w:widowControl/>
              <w:suppressLineNumbers w:val="0"/>
              <w:jc w:val="left"/>
              <w:textAlignment w:val="center"/>
              <w:rPr>
                <w:color w:val="auto"/>
                <w:kern w:val="0"/>
                <w:sz w:val="21"/>
                <w:szCs w:val="21"/>
                <w:lang w:val="en-US" w:eastAsia="zh-CN" w:bidi="ar-SA"/>
              </w:rPr>
            </w:pPr>
            <w:r>
              <w:rPr>
                <w:rFonts w:hint="eastAsia" w:ascii="宋体" w:hAnsi="宋体" w:eastAsia="宋体" w:cs="宋体"/>
                <w:i w:val="0"/>
                <w:iCs w:val="0"/>
                <w:color w:val="auto"/>
                <w:kern w:val="0"/>
                <w:sz w:val="18"/>
                <w:szCs w:val="18"/>
                <w:u w:val="none"/>
                <w:lang w:val="en-US" w:eastAsia="zh-CN" w:bidi="ar"/>
              </w:rPr>
              <w:t>153.33</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结转结余率</w:t>
            </w:r>
            <w:r>
              <w:rPr>
                <w:color w:val="auto"/>
                <w:kern w:val="0"/>
                <w:szCs w:val="21"/>
              </w:rPr>
              <w:t>%</w:t>
            </w:r>
          </w:p>
        </w:tc>
        <w:tc>
          <w:tcPr>
            <w:tcW w:w="0" w:type="auto"/>
            <w:noWrap/>
            <w:vAlign w:val="center"/>
          </w:tcPr>
          <w:p>
            <w:pPr>
              <w:keepNext w:val="0"/>
              <w:keepLines w:val="0"/>
              <w:widowControl/>
              <w:suppressLineNumbers w:val="0"/>
              <w:jc w:val="left"/>
              <w:textAlignment w:val="center"/>
              <w:rPr>
                <w:color w:val="auto"/>
                <w:kern w:val="0"/>
                <w:sz w:val="21"/>
                <w:szCs w:val="21"/>
                <w:lang w:val="en-US" w:eastAsia="zh-CN" w:bidi="ar-SA"/>
              </w:rPr>
            </w:pPr>
            <w:r>
              <w:rPr>
                <w:rFonts w:hint="eastAsia"/>
                <w:color w:val="auto"/>
                <w:kern w:val="0"/>
                <w:szCs w:val="21"/>
                <w:highlight w:val="none"/>
                <w:lang w:val="en-US" w:eastAsia="zh-CN"/>
              </w:rPr>
              <w:t>23.28</w:t>
            </w:r>
          </w:p>
        </w:tc>
        <w:tc>
          <w:tcPr>
            <w:tcW w:w="0" w:type="auto"/>
            <w:noWrap/>
            <w:vAlign w:val="center"/>
          </w:tcPr>
          <w:p>
            <w:pPr>
              <w:keepNext w:val="0"/>
              <w:keepLines w:val="0"/>
              <w:widowControl/>
              <w:suppressLineNumbers w:val="0"/>
              <w:jc w:val="left"/>
              <w:textAlignment w:val="center"/>
              <w:rPr>
                <w:color w:val="auto"/>
                <w:kern w:val="0"/>
                <w:sz w:val="21"/>
                <w:szCs w:val="21"/>
                <w:lang w:val="en-US" w:eastAsia="zh-CN" w:bidi="ar-SA"/>
              </w:rPr>
            </w:pPr>
            <w:r>
              <w:rPr>
                <w:rFonts w:hint="eastAsia"/>
                <w:color w:val="auto"/>
                <w:kern w:val="0"/>
                <w:szCs w:val="21"/>
                <w:highlight w:val="none"/>
                <w:lang w:val="en-US" w:eastAsia="zh-CN"/>
              </w:rPr>
              <w:t>23.28</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0" w:type="auto"/>
            <w:vMerge w:val="continue"/>
            <w:noWrap w:val="0"/>
            <w:vAlign w:val="center"/>
          </w:tcPr>
          <w:p>
            <w:pPr>
              <w:widowControl/>
              <w:spacing w:line="290" w:lineRule="exact"/>
              <w:jc w:val="left"/>
              <w:rPr>
                <w:color w:val="auto"/>
                <w:kern w:val="0"/>
                <w:szCs w:val="21"/>
              </w:rPr>
            </w:pPr>
          </w:p>
        </w:tc>
        <w:tc>
          <w:tcPr>
            <w:tcW w:w="0" w:type="auto"/>
            <w:noWrap/>
            <w:vAlign w:val="center"/>
          </w:tcPr>
          <w:p>
            <w:pPr>
              <w:widowControl/>
              <w:spacing w:line="290" w:lineRule="exact"/>
              <w:jc w:val="center"/>
              <w:rPr>
                <w:color w:val="auto"/>
                <w:kern w:val="0"/>
                <w:szCs w:val="21"/>
              </w:rPr>
            </w:pPr>
            <w:r>
              <w:rPr>
                <w:rFonts w:hint="eastAsia"/>
                <w:color w:val="auto"/>
                <w:kern w:val="0"/>
                <w:szCs w:val="21"/>
              </w:rPr>
              <w:t>结转结余变动率</w:t>
            </w:r>
            <w:r>
              <w:rPr>
                <w:color w:val="auto"/>
                <w:kern w:val="0"/>
                <w:szCs w:val="21"/>
              </w:rPr>
              <w:t>%</w:t>
            </w:r>
          </w:p>
        </w:tc>
        <w:tc>
          <w:tcPr>
            <w:tcW w:w="0" w:type="auto"/>
            <w:noWrap/>
            <w:vAlign w:val="center"/>
          </w:tcPr>
          <w:p>
            <w:pPr>
              <w:keepNext w:val="0"/>
              <w:keepLines w:val="0"/>
              <w:widowControl/>
              <w:suppressLineNumbers w:val="0"/>
              <w:jc w:val="left"/>
              <w:textAlignment w:val="center"/>
              <w:rPr>
                <w:rFonts w:hint="eastAsia" w:eastAsia="宋体"/>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8.76</w:t>
            </w:r>
          </w:p>
        </w:tc>
        <w:tc>
          <w:tcPr>
            <w:tcW w:w="0" w:type="auto"/>
            <w:noWrap/>
            <w:vAlign w:val="center"/>
          </w:tcPr>
          <w:p>
            <w:pPr>
              <w:keepNext w:val="0"/>
              <w:keepLines w:val="0"/>
              <w:widowControl/>
              <w:suppressLineNumbers w:val="0"/>
              <w:jc w:val="left"/>
              <w:textAlignment w:val="center"/>
              <w:rPr>
                <w:rFonts w:hint="eastAsia" w:eastAsia="宋体"/>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8.76</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c>
          <w:tcPr>
            <w:tcW w:w="0" w:type="auto"/>
            <w:noWrap/>
            <w:vAlign w:val="center"/>
          </w:tcPr>
          <w:p>
            <w:pPr>
              <w:widowControl/>
              <w:spacing w:line="290" w:lineRule="exact"/>
              <w:jc w:val="left"/>
              <w:rPr>
                <w:color w:val="auto"/>
                <w:kern w:val="0"/>
                <w:szCs w:val="21"/>
              </w:rPr>
            </w:pP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0" w:type="auto"/>
            <w:vMerge w:val="restart"/>
            <w:noWrap/>
            <w:vAlign w:val="center"/>
          </w:tcPr>
          <w:p>
            <w:pPr>
              <w:widowControl/>
              <w:spacing w:line="400" w:lineRule="exact"/>
              <w:jc w:val="center"/>
              <w:rPr>
                <w:color w:val="auto"/>
                <w:kern w:val="0"/>
                <w:szCs w:val="21"/>
              </w:rPr>
            </w:pPr>
            <w:r>
              <w:rPr>
                <w:rFonts w:hint="eastAsia"/>
                <w:color w:val="auto"/>
                <w:kern w:val="0"/>
                <w:szCs w:val="21"/>
              </w:rPr>
              <w:t>年度总体目标</w:t>
            </w:r>
          </w:p>
        </w:tc>
        <w:tc>
          <w:tcPr>
            <w:tcW w:w="0" w:type="auto"/>
            <w:gridSpan w:val="2"/>
            <w:noWrap/>
            <w:vAlign w:val="center"/>
          </w:tcPr>
          <w:p>
            <w:pPr>
              <w:widowControl/>
              <w:spacing w:line="400" w:lineRule="exact"/>
              <w:jc w:val="center"/>
              <w:rPr>
                <w:color w:val="auto"/>
                <w:kern w:val="0"/>
                <w:szCs w:val="21"/>
              </w:rPr>
            </w:pPr>
            <w:r>
              <w:rPr>
                <w:rFonts w:hint="eastAsia"/>
                <w:color w:val="auto"/>
                <w:kern w:val="0"/>
                <w:szCs w:val="21"/>
              </w:rPr>
              <w:t>预算总体目标</w:t>
            </w:r>
          </w:p>
        </w:tc>
        <w:tc>
          <w:tcPr>
            <w:tcW w:w="0" w:type="auto"/>
            <w:gridSpan w:val="2"/>
            <w:noWrap/>
            <w:vAlign w:val="center"/>
          </w:tcPr>
          <w:p>
            <w:pPr>
              <w:widowControl/>
              <w:spacing w:line="400" w:lineRule="exact"/>
              <w:jc w:val="center"/>
              <w:rPr>
                <w:color w:val="auto"/>
                <w:kern w:val="0"/>
                <w:szCs w:val="21"/>
              </w:rPr>
            </w:pPr>
            <w:r>
              <w:rPr>
                <w:rFonts w:hint="eastAsia"/>
                <w:color w:val="auto"/>
                <w:kern w:val="0"/>
                <w:szCs w:val="21"/>
              </w:rPr>
              <w:t>预算总体目标执行结果</w:t>
            </w:r>
          </w:p>
        </w:tc>
        <w:tc>
          <w:tcPr>
            <w:tcW w:w="0" w:type="auto"/>
            <w:gridSpan w:val="2"/>
            <w:noWrap/>
            <w:vAlign w:val="center"/>
          </w:tcPr>
          <w:p>
            <w:pPr>
              <w:widowControl/>
              <w:spacing w:line="400" w:lineRule="exact"/>
              <w:jc w:val="center"/>
              <w:rPr>
                <w:color w:val="auto"/>
                <w:kern w:val="0"/>
                <w:szCs w:val="21"/>
              </w:rPr>
            </w:pPr>
            <w:r>
              <w:rPr>
                <w:rFonts w:hint="eastAsia"/>
                <w:color w:val="auto"/>
                <w:kern w:val="0"/>
                <w:szCs w:val="21"/>
              </w:rPr>
              <w:t>预算总体目标与预算总体目标</w:t>
            </w:r>
          </w:p>
          <w:p>
            <w:pPr>
              <w:widowControl/>
              <w:spacing w:line="400" w:lineRule="exact"/>
              <w:jc w:val="center"/>
              <w:rPr>
                <w:color w:val="auto"/>
                <w:kern w:val="0"/>
                <w:szCs w:val="21"/>
              </w:rPr>
            </w:pPr>
            <w:r>
              <w:rPr>
                <w:rFonts w:hint="eastAsia"/>
                <w:color w:val="auto"/>
                <w:kern w:val="0"/>
                <w:szCs w:val="21"/>
              </w:rPr>
              <w:t>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400" w:lineRule="exact"/>
              <w:jc w:val="left"/>
              <w:rPr>
                <w:color w:val="auto"/>
                <w:kern w:val="0"/>
                <w:szCs w:val="21"/>
              </w:rPr>
            </w:pPr>
          </w:p>
        </w:tc>
        <w:tc>
          <w:tcPr>
            <w:tcW w:w="0" w:type="auto"/>
            <w:gridSpan w:val="2"/>
            <w:noWrap/>
            <w:vAlign w:val="center"/>
          </w:tcPr>
          <w:p>
            <w:pPr>
              <w:widowControl/>
              <w:spacing w:line="400" w:lineRule="exact"/>
              <w:jc w:val="left"/>
              <w:rPr>
                <w:color w:val="auto"/>
                <w:kern w:val="0"/>
                <w:sz w:val="21"/>
                <w:szCs w:val="21"/>
                <w:lang w:val="en-US" w:eastAsia="zh-CN" w:bidi="ar-SA"/>
              </w:rPr>
            </w:pPr>
            <w:r>
              <w:rPr>
                <w:rFonts w:hint="eastAsia"/>
                <w:color w:val="auto"/>
                <w:kern w:val="0"/>
                <w:szCs w:val="21"/>
                <w:lang w:val="en-US" w:eastAsia="zh-CN"/>
              </w:rPr>
              <w:t>完成全县本年度政府采购集中采购项目。</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lang w:val="en-US" w:eastAsia="zh-CN"/>
              </w:rPr>
              <w:t>完成全县本年度政府采购集中采购项目。</w:t>
            </w:r>
            <w:r>
              <w:rPr>
                <w:rFonts w:hint="eastAsia"/>
                <w:color w:val="auto"/>
                <w:kern w:val="0"/>
                <w:szCs w:val="21"/>
              </w:rPr>
              <w:t>　</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lang w:val="en-US" w:eastAsia="zh-CN"/>
              </w:rPr>
              <w:t>无偏差</w:t>
            </w: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0" w:type="auto"/>
            <w:vMerge w:val="continue"/>
            <w:noWrap w:val="0"/>
            <w:vAlign w:val="center"/>
          </w:tcPr>
          <w:p>
            <w:pPr>
              <w:widowControl/>
              <w:spacing w:line="400" w:lineRule="exact"/>
              <w:jc w:val="left"/>
              <w:rPr>
                <w:color w:val="auto"/>
                <w:kern w:val="0"/>
                <w:szCs w:val="21"/>
              </w:rPr>
            </w:pPr>
          </w:p>
        </w:tc>
        <w:tc>
          <w:tcPr>
            <w:tcW w:w="0" w:type="auto"/>
            <w:gridSpan w:val="2"/>
            <w:noWrap/>
            <w:vAlign w:val="center"/>
          </w:tcPr>
          <w:p>
            <w:pPr>
              <w:widowControl/>
              <w:spacing w:line="400" w:lineRule="exact"/>
              <w:jc w:val="left"/>
              <w:rPr>
                <w:color w:val="auto"/>
                <w:kern w:val="0"/>
                <w:sz w:val="21"/>
                <w:szCs w:val="21"/>
                <w:lang w:val="en-US" w:eastAsia="zh-CN" w:bidi="ar-SA"/>
              </w:rPr>
            </w:pPr>
            <w:r>
              <w:rPr>
                <w:rFonts w:hint="eastAsia"/>
                <w:color w:val="auto"/>
                <w:kern w:val="0"/>
                <w:szCs w:val="21"/>
                <w:lang w:val="en-US" w:eastAsia="zh-CN"/>
              </w:rPr>
              <w:t>完成乐至县工程建设招投标项目预约场地，开评标工作。</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rPr>
              <w:t>　</w:t>
            </w:r>
            <w:r>
              <w:rPr>
                <w:rFonts w:hint="eastAsia"/>
                <w:color w:val="auto"/>
                <w:kern w:val="0"/>
                <w:szCs w:val="21"/>
                <w:lang w:val="en-US" w:eastAsia="zh-CN"/>
              </w:rPr>
              <w:t>完成乐至县工程建设招投标项目预约场地，开评标工作。</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lang w:val="en-US" w:eastAsia="zh-CN"/>
              </w:rPr>
              <w:t>无偏差</w:t>
            </w: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0" w:type="auto"/>
            <w:vMerge w:val="continue"/>
            <w:noWrap w:val="0"/>
            <w:vAlign w:val="center"/>
          </w:tcPr>
          <w:p>
            <w:pPr>
              <w:widowControl/>
              <w:spacing w:line="400" w:lineRule="exact"/>
              <w:jc w:val="left"/>
              <w:rPr>
                <w:color w:val="auto"/>
                <w:kern w:val="0"/>
                <w:szCs w:val="21"/>
              </w:rPr>
            </w:pPr>
          </w:p>
        </w:tc>
        <w:tc>
          <w:tcPr>
            <w:tcW w:w="0" w:type="auto"/>
            <w:gridSpan w:val="2"/>
            <w:noWrap/>
            <w:vAlign w:val="center"/>
          </w:tcPr>
          <w:p>
            <w:pPr>
              <w:widowControl/>
              <w:spacing w:line="400" w:lineRule="exact"/>
              <w:jc w:val="left"/>
              <w:rPr>
                <w:color w:val="auto"/>
                <w:kern w:val="0"/>
                <w:sz w:val="21"/>
                <w:szCs w:val="21"/>
                <w:lang w:val="en-US" w:eastAsia="zh-CN" w:bidi="ar-SA"/>
              </w:rPr>
            </w:pPr>
            <w:r>
              <w:rPr>
                <w:rFonts w:hint="eastAsia"/>
                <w:color w:val="auto"/>
                <w:kern w:val="0"/>
                <w:szCs w:val="21"/>
                <w:lang w:val="en-US" w:eastAsia="zh-CN"/>
              </w:rPr>
              <w:t>单位正常运转，全面完成各项工作任务。</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lang w:val="en-US" w:eastAsia="zh-CN"/>
              </w:rPr>
              <w:t>单位正常运转，全面完成各项工作任务。</w:t>
            </w:r>
            <w:r>
              <w:rPr>
                <w:rFonts w:hint="eastAsia"/>
                <w:color w:val="auto"/>
                <w:kern w:val="0"/>
                <w:szCs w:val="21"/>
              </w:rPr>
              <w:t>　</w:t>
            </w:r>
          </w:p>
        </w:tc>
        <w:tc>
          <w:tcPr>
            <w:tcW w:w="0" w:type="auto"/>
            <w:gridSpan w:val="2"/>
            <w:noWrap/>
            <w:vAlign w:val="center"/>
          </w:tcPr>
          <w:p>
            <w:pPr>
              <w:widowControl/>
              <w:spacing w:line="400" w:lineRule="exact"/>
              <w:jc w:val="center"/>
              <w:rPr>
                <w:color w:val="auto"/>
                <w:kern w:val="0"/>
                <w:sz w:val="21"/>
                <w:szCs w:val="21"/>
                <w:lang w:val="en-US" w:eastAsia="zh-CN" w:bidi="ar-SA"/>
              </w:rPr>
            </w:pPr>
            <w:r>
              <w:rPr>
                <w:rFonts w:hint="eastAsia"/>
                <w:color w:val="auto"/>
                <w:kern w:val="0"/>
                <w:szCs w:val="21"/>
                <w:lang w:val="en-US" w:eastAsia="zh-CN"/>
              </w:rPr>
              <w:t>无偏差</w:t>
            </w:r>
            <w:r>
              <w:rPr>
                <w:rFonts w:hint="eastAsia"/>
                <w:color w:val="auto"/>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年度绩效指标</w:t>
            </w:r>
          </w:p>
        </w:tc>
        <w:tc>
          <w:tcPr>
            <w:tcW w:w="0" w:type="auto"/>
            <w:noWrap/>
            <w:vAlign w:val="center"/>
          </w:tcPr>
          <w:p>
            <w:pPr>
              <w:widowControl/>
              <w:spacing w:line="230" w:lineRule="exact"/>
              <w:jc w:val="center"/>
              <w:rPr>
                <w:color w:val="auto"/>
                <w:kern w:val="0"/>
                <w:szCs w:val="21"/>
              </w:rPr>
            </w:pPr>
            <w:r>
              <w:rPr>
                <w:rFonts w:hint="eastAsia"/>
                <w:color w:val="auto"/>
                <w:kern w:val="0"/>
                <w:szCs w:val="21"/>
              </w:rPr>
              <w:t>一级指标</w:t>
            </w:r>
          </w:p>
        </w:tc>
        <w:tc>
          <w:tcPr>
            <w:tcW w:w="0" w:type="auto"/>
            <w:noWrap/>
            <w:vAlign w:val="center"/>
          </w:tcPr>
          <w:p>
            <w:pPr>
              <w:widowControl/>
              <w:spacing w:line="230" w:lineRule="exact"/>
              <w:jc w:val="center"/>
              <w:rPr>
                <w:color w:val="auto"/>
                <w:kern w:val="0"/>
                <w:szCs w:val="21"/>
              </w:rPr>
            </w:pPr>
            <w:r>
              <w:rPr>
                <w:rFonts w:hint="eastAsia"/>
                <w:color w:val="auto"/>
                <w:kern w:val="0"/>
                <w:szCs w:val="21"/>
              </w:rPr>
              <w:t>二级指标</w:t>
            </w:r>
          </w:p>
        </w:tc>
        <w:tc>
          <w:tcPr>
            <w:tcW w:w="0" w:type="auto"/>
            <w:noWrap/>
            <w:vAlign w:val="center"/>
          </w:tcPr>
          <w:p>
            <w:pPr>
              <w:widowControl/>
              <w:spacing w:line="230" w:lineRule="exact"/>
              <w:jc w:val="center"/>
              <w:rPr>
                <w:color w:val="auto"/>
                <w:kern w:val="0"/>
                <w:szCs w:val="21"/>
              </w:rPr>
            </w:pPr>
            <w:r>
              <w:rPr>
                <w:rFonts w:hint="eastAsia"/>
                <w:color w:val="auto"/>
                <w:kern w:val="0"/>
                <w:szCs w:val="21"/>
              </w:rPr>
              <w:t>三级指标</w:t>
            </w:r>
          </w:p>
        </w:tc>
        <w:tc>
          <w:tcPr>
            <w:tcW w:w="0" w:type="auto"/>
            <w:noWrap/>
            <w:vAlign w:val="center"/>
          </w:tcPr>
          <w:p>
            <w:pPr>
              <w:widowControl/>
              <w:spacing w:line="230" w:lineRule="exact"/>
              <w:jc w:val="center"/>
              <w:rPr>
                <w:color w:val="auto"/>
                <w:kern w:val="0"/>
                <w:szCs w:val="21"/>
              </w:rPr>
            </w:pPr>
            <w:r>
              <w:rPr>
                <w:rFonts w:hint="eastAsia"/>
                <w:color w:val="auto"/>
                <w:kern w:val="0"/>
                <w:szCs w:val="21"/>
              </w:rPr>
              <w:t>预算指标值</w:t>
            </w:r>
            <w:r>
              <w:rPr>
                <w:color w:val="auto"/>
                <w:kern w:val="0"/>
                <w:szCs w:val="21"/>
              </w:rPr>
              <w:t>(</w:t>
            </w:r>
            <w:r>
              <w:rPr>
                <w:rFonts w:hint="eastAsia"/>
                <w:color w:val="auto"/>
                <w:kern w:val="0"/>
                <w:szCs w:val="21"/>
              </w:rPr>
              <w:t>包含数字及文字描述</w:t>
            </w:r>
            <w:r>
              <w:rPr>
                <w:color w:val="auto"/>
                <w:kern w:val="0"/>
                <w:szCs w:val="21"/>
              </w:rPr>
              <w:t>)</w:t>
            </w:r>
          </w:p>
        </w:tc>
        <w:tc>
          <w:tcPr>
            <w:tcW w:w="0" w:type="auto"/>
            <w:noWrap/>
            <w:vAlign w:val="center"/>
          </w:tcPr>
          <w:p>
            <w:pPr>
              <w:widowControl/>
              <w:spacing w:line="230" w:lineRule="exact"/>
              <w:jc w:val="center"/>
              <w:rPr>
                <w:color w:val="auto"/>
                <w:kern w:val="0"/>
                <w:szCs w:val="21"/>
              </w:rPr>
            </w:pPr>
            <w:r>
              <w:rPr>
                <w:rFonts w:hint="eastAsia"/>
                <w:color w:val="auto"/>
                <w:kern w:val="0"/>
                <w:szCs w:val="21"/>
              </w:rPr>
              <w:t>预算指标值执行结果</w:t>
            </w:r>
            <w:r>
              <w:rPr>
                <w:color w:val="auto"/>
                <w:kern w:val="0"/>
                <w:szCs w:val="21"/>
              </w:rPr>
              <w:t>(</w:t>
            </w:r>
            <w:r>
              <w:rPr>
                <w:rFonts w:hint="eastAsia"/>
                <w:color w:val="auto"/>
                <w:kern w:val="0"/>
                <w:szCs w:val="21"/>
              </w:rPr>
              <w:t>包含数字及文字描述</w:t>
            </w:r>
            <w:r>
              <w:rPr>
                <w:color w:val="auto"/>
                <w:kern w:val="0"/>
                <w:szCs w:val="21"/>
              </w:rPr>
              <w:t>)</w:t>
            </w:r>
          </w:p>
        </w:tc>
        <w:tc>
          <w:tcPr>
            <w:tcW w:w="0" w:type="auto"/>
            <w:noWrap/>
            <w:vAlign w:val="center"/>
          </w:tcPr>
          <w:p>
            <w:pPr>
              <w:widowControl/>
              <w:spacing w:line="230" w:lineRule="exact"/>
              <w:jc w:val="center"/>
              <w:rPr>
                <w:color w:val="auto"/>
                <w:kern w:val="0"/>
                <w:szCs w:val="21"/>
              </w:rPr>
            </w:pPr>
            <w:r>
              <w:rPr>
                <w:rFonts w:hint="eastAsia"/>
                <w:color w:val="auto"/>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完成</w:t>
            </w:r>
          </w:p>
          <w:p>
            <w:pPr>
              <w:widowControl/>
              <w:spacing w:line="230" w:lineRule="exact"/>
              <w:jc w:val="center"/>
              <w:rPr>
                <w:color w:val="auto"/>
                <w:kern w:val="0"/>
                <w:szCs w:val="21"/>
              </w:rPr>
            </w:pPr>
            <w:r>
              <w:rPr>
                <w:rFonts w:hint="eastAsia"/>
                <w:color w:val="auto"/>
                <w:kern w:val="0"/>
                <w:szCs w:val="21"/>
              </w:rPr>
              <w:t>指标</w:t>
            </w: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数量</w:t>
            </w:r>
          </w:p>
          <w:p>
            <w:pPr>
              <w:widowControl/>
              <w:spacing w:line="230" w:lineRule="exact"/>
              <w:jc w:val="center"/>
              <w:rPr>
                <w:color w:val="auto"/>
                <w:kern w:val="0"/>
                <w:szCs w:val="21"/>
              </w:rPr>
            </w:pPr>
            <w:r>
              <w:rPr>
                <w:rFonts w:hint="eastAsia"/>
                <w:color w:val="auto"/>
                <w:kern w:val="0"/>
                <w:szCs w:val="21"/>
              </w:rPr>
              <w:t>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全年完成政府采购项目数量</w:t>
            </w:r>
          </w:p>
        </w:tc>
        <w:tc>
          <w:tcPr>
            <w:tcW w:w="0" w:type="auto"/>
            <w:noWrap/>
            <w:vAlign w:val="center"/>
          </w:tcPr>
          <w:p>
            <w:pPr>
              <w:widowControl/>
              <w:spacing w:line="230" w:lineRule="exact"/>
              <w:jc w:val="center"/>
              <w:rPr>
                <w:rFonts w:hint="default"/>
                <w:color w:val="auto"/>
                <w:kern w:val="0"/>
                <w:sz w:val="21"/>
                <w:szCs w:val="21"/>
                <w:lang w:val="en-US" w:eastAsia="zh-CN" w:bidi="ar-SA"/>
              </w:rPr>
            </w:pPr>
            <w:r>
              <w:rPr>
                <w:rFonts w:hint="eastAsia"/>
                <w:color w:val="auto"/>
                <w:kern w:val="0"/>
                <w:szCs w:val="21"/>
                <w:lang w:val="en-US" w:eastAsia="zh-CN"/>
              </w:rPr>
              <w:t>≥80</w:t>
            </w:r>
          </w:p>
        </w:tc>
        <w:tc>
          <w:tcPr>
            <w:tcW w:w="0" w:type="auto"/>
            <w:noWrap/>
            <w:vAlign w:val="center"/>
          </w:tcPr>
          <w:p>
            <w:pPr>
              <w:widowControl/>
              <w:spacing w:line="230" w:lineRule="exact"/>
              <w:jc w:val="center"/>
              <w:rPr>
                <w:rFonts w:hint="default" w:eastAsia="宋体"/>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rFonts w:hint="default" w:eastAsia="宋体"/>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全年完成工程建设购项目数量</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≥50</w:t>
            </w:r>
          </w:p>
        </w:tc>
        <w:tc>
          <w:tcPr>
            <w:tcW w:w="0" w:type="auto"/>
            <w:noWrap/>
            <w:vAlign w:val="center"/>
          </w:tcPr>
          <w:p>
            <w:pPr>
              <w:widowControl/>
              <w:spacing w:line="230" w:lineRule="exact"/>
              <w:jc w:val="center"/>
              <w:rPr>
                <w:rFonts w:hint="default"/>
                <w:color w:val="auto"/>
                <w:kern w:val="0"/>
                <w:sz w:val="21"/>
                <w:szCs w:val="21"/>
                <w:lang w:val="en-US" w:eastAsia="zh-CN" w:bidi="ar-SA"/>
              </w:rPr>
            </w:pPr>
            <w:r>
              <w:rPr>
                <w:rFonts w:hint="eastAsia"/>
                <w:color w:val="auto"/>
                <w:kern w:val="0"/>
                <w:szCs w:val="21"/>
                <w:lang w:val="en-US" w:eastAsia="zh-CN"/>
              </w:rPr>
              <w:t>67</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center"/>
              <w:rPr>
                <w:color w:val="auto"/>
                <w:kern w:val="0"/>
                <w:szCs w:val="21"/>
              </w:rPr>
            </w:pPr>
            <w:r>
              <w:rPr>
                <w:rFonts w:hint="eastAsia"/>
                <w:color w:val="auto"/>
                <w:kern w:val="0"/>
                <w:szCs w:val="21"/>
              </w:rPr>
              <w:t>质量</w:t>
            </w:r>
          </w:p>
          <w:p>
            <w:pPr>
              <w:widowControl/>
              <w:spacing w:line="230" w:lineRule="exact"/>
              <w:jc w:val="center"/>
              <w:rPr>
                <w:color w:val="auto"/>
                <w:kern w:val="0"/>
                <w:szCs w:val="21"/>
              </w:rPr>
            </w:pPr>
            <w:r>
              <w:rPr>
                <w:rFonts w:hint="eastAsia"/>
                <w:color w:val="auto"/>
                <w:kern w:val="0"/>
                <w:szCs w:val="21"/>
              </w:rPr>
              <w:t>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单位正常运转，全面完成各项工作任务。</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p>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p>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center"/>
              <w:rPr>
                <w:color w:val="auto"/>
                <w:kern w:val="0"/>
                <w:szCs w:val="21"/>
              </w:rPr>
            </w:pPr>
            <w:r>
              <w:rPr>
                <w:rFonts w:hint="eastAsia"/>
                <w:color w:val="auto"/>
                <w:kern w:val="0"/>
                <w:szCs w:val="21"/>
              </w:rPr>
              <w:t>时效</w:t>
            </w:r>
          </w:p>
          <w:p>
            <w:pPr>
              <w:widowControl/>
              <w:spacing w:line="230" w:lineRule="exact"/>
              <w:jc w:val="center"/>
              <w:rPr>
                <w:color w:val="auto"/>
                <w:kern w:val="0"/>
                <w:szCs w:val="21"/>
              </w:rPr>
            </w:pPr>
            <w:r>
              <w:rPr>
                <w:rFonts w:hint="eastAsia"/>
                <w:color w:val="auto"/>
                <w:kern w:val="0"/>
                <w:szCs w:val="21"/>
              </w:rPr>
              <w:t>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按时完成基本支出进度</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r>
              <w:rPr>
                <w:rFonts w:hint="eastAsia"/>
                <w:color w:val="auto"/>
                <w:kern w:val="0"/>
                <w:szCs w:val="21"/>
                <w:lang w:val="en-US" w:eastAsia="zh-CN"/>
              </w:rPr>
              <w:t>100%</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r>
              <w:rPr>
                <w:rFonts w:hint="eastAsia"/>
                <w:color w:val="auto"/>
                <w:kern w:val="0"/>
                <w:szCs w:val="21"/>
                <w:lang w:val="en-US" w:eastAsia="zh-CN"/>
              </w:rPr>
              <w:t>100%</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成本</w:t>
            </w:r>
          </w:p>
          <w:p>
            <w:pPr>
              <w:widowControl/>
              <w:spacing w:line="230" w:lineRule="exact"/>
              <w:jc w:val="center"/>
              <w:rPr>
                <w:color w:val="auto"/>
                <w:kern w:val="0"/>
                <w:szCs w:val="21"/>
              </w:rPr>
            </w:pPr>
            <w:r>
              <w:rPr>
                <w:rFonts w:hint="eastAsia"/>
                <w:color w:val="auto"/>
                <w:kern w:val="0"/>
                <w:szCs w:val="21"/>
              </w:rPr>
              <w:t>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根据预算核定指标，严格执行财经制度，按规定程序和标准执行，完成基本支出预算。</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加强监管，完成项目支出预算。</w:t>
            </w:r>
            <w:r>
              <w:rPr>
                <w:rFonts w:hint="eastAsia"/>
                <w:color w:val="auto"/>
                <w:kern w:val="0"/>
                <w:szCs w:val="21"/>
              </w:rPr>
              <w:t>　</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p>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color w:val="auto"/>
                <w:kern w:val="0"/>
                <w:szCs w:val="21"/>
              </w:rPr>
            </w:pPr>
          </w:p>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100%</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效益</w:t>
            </w:r>
          </w:p>
          <w:p>
            <w:pPr>
              <w:widowControl/>
              <w:spacing w:line="230" w:lineRule="exact"/>
              <w:jc w:val="center"/>
              <w:rPr>
                <w:color w:val="auto"/>
                <w:kern w:val="0"/>
                <w:szCs w:val="21"/>
              </w:rPr>
            </w:pPr>
            <w:r>
              <w:rPr>
                <w:rFonts w:hint="eastAsia"/>
                <w:color w:val="auto"/>
                <w:kern w:val="0"/>
                <w:szCs w:val="21"/>
              </w:rPr>
              <w:t>指标</w:t>
            </w: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经济效益指标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提高财政资金使用效益，政府采购项目资金节约率。</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rFonts w:hint="default" w:eastAsia="宋体"/>
                <w:color w:val="auto"/>
                <w:kern w:val="0"/>
                <w:szCs w:val="21"/>
                <w:lang w:val="en-US" w:eastAsia="zh-CN"/>
              </w:rPr>
            </w:pPr>
            <w:r>
              <w:rPr>
                <w:rFonts w:hint="eastAsia"/>
                <w:color w:val="auto"/>
                <w:kern w:val="0"/>
                <w:szCs w:val="21"/>
                <w:lang w:val="en-US" w:eastAsia="zh-CN"/>
              </w:rPr>
              <w:t>≥10%</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rFonts w:hint="default" w:eastAsia="宋体"/>
                <w:color w:val="auto"/>
                <w:kern w:val="0"/>
                <w:szCs w:val="21"/>
                <w:lang w:val="en-US" w:eastAsia="zh-CN"/>
              </w:rPr>
            </w:pPr>
            <w:r>
              <w:rPr>
                <w:rFonts w:hint="eastAsia"/>
                <w:color w:val="auto"/>
                <w:kern w:val="0"/>
                <w:szCs w:val="21"/>
                <w:lang w:val="en-US" w:eastAsia="zh-CN"/>
              </w:rPr>
              <w:t>15.8%</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提高财政资金使用效益，工程建设项目资金节约率。</w:t>
            </w: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rFonts w:hint="default" w:eastAsia="宋体"/>
                <w:color w:val="auto"/>
                <w:kern w:val="0"/>
                <w:szCs w:val="21"/>
                <w:lang w:val="en-US" w:eastAsia="zh-CN"/>
              </w:rPr>
            </w:pPr>
            <w:r>
              <w:rPr>
                <w:rFonts w:hint="eastAsia"/>
                <w:color w:val="auto"/>
                <w:kern w:val="0"/>
                <w:szCs w:val="21"/>
                <w:lang w:val="en-US" w:eastAsia="zh-CN"/>
              </w:rPr>
              <w:t>≥4%</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rFonts w:hint="eastAsia"/>
                <w:color w:val="auto"/>
                <w:kern w:val="0"/>
                <w:szCs w:val="21"/>
              </w:rPr>
            </w:pPr>
          </w:p>
          <w:p>
            <w:pPr>
              <w:widowControl/>
              <w:spacing w:line="230" w:lineRule="exact"/>
              <w:jc w:val="center"/>
              <w:rPr>
                <w:rFonts w:hint="default" w:eastAsia="宋体"/>
                <w:color w:val="auto"/>
                <w:kern w:val="0"/>
                <w:szCs w:val="21"/>
                <w:lang w:val="en-US" w:eastAsia="zh-CN"/>
              </w:rPr>
            </w:pPr>
            <w:r>
              <w:rPr>
                <w:rFonts w:hint="eastAsia"/>
                <w:color w:val="auto"/>
                <w:kern w:val="0"/>
                <w:szCs w:val="21"/>
                <w:lang w:val="en-US" w:eastAsia="zh-CN"/>
              </w:rPr>
              <w:t>4.38%</w:t>
            </w:r>
          </w:p>
          <w:p>
            <w:pPr>
              <w:widowControl/>
              <w:spacing w:line="230" w:lineRule="exact"/>
              <w:jc w:val="center"/>
              <w:rPr>
                <w:color w:val="auto"/>
                <w:kern w:val="0"/>
                <w:sz w:val="21"/>
                <w:szCs w:val="21"/>
                <w:lang w:val="en-US" w:eastAsia="zh-CN" w:bidi="ar-SA"/>
              </w:rPr>
            </w:pP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center"/>
              <w:rPr>
                <w:color w:val="auto"/>
                <w:kern w:val="0"/>
                <w:szCs w:val="21"/>
              </w:rPr>
            </w:pPr>
            <w:r>
              <w:rPr>
                <w:rFonts w:hint="eastAsia"/>
                <w:color w:val="auto"/>
                <w:kern w:val="0"/>
                <w:szCs w:val="21"/>
              </w:rPr>
              <w:t>社会效益指标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改善基础设施，提高单位形象，提高社会满意度。</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改善提高</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改善提高</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满意度</w:t>
            </w:r>
          </w:p>
          <w:p>
            <w:pPr>
              <w:widowControl/>
              <w:spacing w:line="230" w:lineRule="exact"/>
              <w:jc w:val="center"/>
              <w:rPr>
                <w:color w:val="auto"/>
                <w:kern w:val="0"/>
                <w:szCs w:val="21"/>
              </w:rPr>
            </w:pPr>
            <w:r>
              <w:rPr>
                <w:rFonts w:hint="eastAsia"/>
                <w:color w:val="auto"/>
                <w:kern w:val="0"/>
                <w:szCs w:val="21"/>
              </w:rPr>
              <w:t>指标</w:t>
            </w:r>
          </w:p>
        </w:tc>
        <w:tc>
          <w:tcPr>
            <w:tcW w:w="0" w:type="auto"/>
            <w:vMerge w:val="restart"/>
            <w:noWrap/>
            <w:vAlign w:val="center"/>
          </w:tcPr>
          <w:p>
            <w:pPr>
              <w:widowControl/>
              <w:spacing w:line="230" w:lineRule="exact"/>
              <w:jc w:val="center"/>
              <w:rPr>
                <w:color w:val="auto"/>
                <w:kern w:val="0"/>
                <w:szCs w:val="21"/>
              </w:rPr>
            </w:pPr>
            <w:r>
              <w:rPr>
                <w:rFonts w:hint="eastAsia"/>
                <w:color w:val="auto"/>
                <w:kern w:val="0"/>
                <w:szCs w:val="21"/>
              </w:rPr>
              <w:t>满意度指标</w:t>
            </w: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本单位职工满意度</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96%</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采购人满意度</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vMerge w:val="continue"/>
            <w:noWrap w:val="0"/>
            <w:vAlign w:val="center"/>
          </w:tcPr>
          <w:p>
            <w:pPr>
              <w:widowControl/>
              <w:spacing w:line="230" w:lineRule="exact"/>
              <w:jc w:val="left"/>
              <w:rPr>
                <w:color w:val="auto"/>
                <w:kern w:val="0"/>
                <w:szCs w:val="21"/>
              </w:rPr>
            </w:pPr>
          </w:p>
        </w:tc>
        <w:tc>
          <w:tcPr>
            <w:tcW w:w="0" w:type="auto"/>
            <w:noWrap/>
            <w:vAlign w:val="center"/>
          </w:tcPr>
          <w:p>
            <w:pPr>
              <w:widowControl/>
              <w:spacing w:line="230" w:lineRule="exact"/>
              <w:jc w:val="left"/>
              <w:rPr>
                <w:color w:val="auto"/>
                <w:kern w:val="0"/>
                <w:sz w:val="21"/>
                <w:szCs w:val="21"/>
                <w:lang w:val="en-US" w:eastAsia="zh-CN" w:bidi="ar-SA"/>
              </w:rPr>
            </w:pPr>
            <w:r>
              <w:rPr>
                <w:rFonts w:hint="eastAsia"/>
                <w:color w:val="auto"/>
                <w:kern w:val="0"/>
                <w:szCs w:val="21"/>
                <w:lang w:val="en-US" w:eastAsia="zh-CN"/>
              </w:rPr>
              <w:t>供应商满意度</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noWrap/>
            <w:vAlign w:val="center"/>
          </w:tcPr>
          <w:p>
            <w:pPr>
              <w:widowControl/>
              <w:spacing w:line="23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4" w:hRule="atLeast"/>
          <w:jc w:val="center"/>
        </w:trPr>
        <w:tc>
          <w:tcPr>
            <w:tcW w:w="0" w:type="auto"/>
            <w:vMerge w:val="continue"/>
            <w:tcBorders>
              <w:bottom w:val="single" w:color="auto" w:sz="12" w:space="0"/>
            </w:tcBorders>
            <w:noWrap w:val="0"/>
            <w:vAlign w:val="center"/>
          </w:tcPr>
          <w:p>
            <w:pPr>
              <w:widowControl/>
              <w:spacing w:line="240" w:lineRule="exact"/>
              <w:jc w:val="left"/>
              <w:rPr>
                <w:color w:val="auto"/>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auto"/>
                <w:kern w:val="0"/>
                <w:szCs w:val="21"/>
              </w:rPr>
            </w:pPr>
          </w:p>
        </w:tc>
        <w:tc>
          <w:tcPr>
            <w:tcW w:w="0" w:type="auto"/>
            <w:vMerge w:val="continue"/>
            <w:tcBorders>
              <w:bottom w:val="single" w:color="auto" w:sz="12" w:space="0"/>
            </w:tcBorders>
            <w:noWrap/>
            <w:vAlign w:val="center"/>
          </w:tcPr>
          <w:p>
            <w:pPr>
              <w:widowControl/>
              <w:spacing w:line="240" w:lineRule="exact"/>
              <w:jc w:val="left"/>
              <w:rPr>
                <w:color w:val="auto"/>
                <w:kern w:val="0"/>
                <w:szCs w:val="21"/>
              </w:rPr>
            </w:pPr>
          </w:p>
        </w:tc>
        <w:tc>
          <w:tcPr>
            <w:tcW w:w="0" w:type="auto"/>
            <w:tcBorders>
              <w:bottom w:val="single" w:color="auto" w:sz="12" w:space="0"/>
            </w:tcBorders>
            <w:noWrap/>
            <w:vAlign w:val="center"/>
          </w:tcPr>
          <w:p>
            <w:pPr>
              <w:widowControl/>
              <w:spacing w:line="240" w:lineRule="exact"/>
              <w:jc w:val="left"/>
              <w:rPr>
                <w:color w:val="auto"/>
                <w:kern w:val="0"/>
                <w:sz w:val="21"/>
                <w:szCs w:val="21"/>
                <w:lang w:val="en-US" w:eastAsia="zh-CN" w:bidi="ar-SA"/>
              </w:rPr>
            </w:pPr>
            <w:r>
              <w:rPr>
                <w:rFonts w:hint="eastAsia"/>
                <w:color w:val="auto"/>
                <w:kern w:val="0"/>
                <w:szCs w:val="21"/>
                <w:lang w:val="en-US" w:eastAsia="zh-CN"/>
              </w:rPr>
              <w:t>评审专家满意度</w:t>
            </w:r>
          </w:p>
        </w:tc>
        <w:tc>
          <w:tcPr>
            <w:tcW w:w="0" w:type="auto"/>
            <w:tcBorders>
              <w:bottom w:val="single" w:color="auto" w:sz="12" w:space="0"/>
            </w:tcBorders>
            <w:noWrap/>
            <w:vAlign w:val="center"/>
          </w:tcPr>
          <w:p>
            <w:pPr>
              <w:widowControl/>
              <w:spacing w:line="24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tcBorders>
              <w:bottom w:val="single" w:color="auto" w:sz="12" w:space="0"/>
            </w:tcBorders>
            <w:noWrap/>
            <w:vAlign w:val="center"/>
          </w:tcPr>
          <w:p>
            <w:pPr>
              <w:widowControl/>
              <w:spacing w:line="240" w:lineRule="exact"/>
              <w:jc w:val="center"/>
              <w:rPr>
                <w:color w:val="auto"/>
                <w:kern w:val="0"/>
                <w:sz w:val="21"/>
                <w:szCs w:val="21"/>
                <w:lang w:val="en-US" w:eastAsia="zh-CN" w:bidi="ar-SA"/>
              </w:rPr>
            </w:pPr>
            <w:r>
              <w:rPr>
                <w:rFonts w:hint="eastAsia"/>
                <w:color w:val="auto"/>
                <w:kern w:val="0"/>
                <w:szCs w:val="21"/>
                <w:lang w:val="en-US" w:eastAsia="zh-CN"/>
              </w:rPr>
              <w:t>95%</w:t>
            </w:r>
          </w:p>
        </w:tc>
        <w:tc>
          <w:tcPr>
            <w:tcW w:w="0" w:type="auto"/>
            <w:tcBorders>
              <w:bottom w:val="single" w:color="auto" w:sz="12" w:space="0"/>
            </w:tcBorders>
            <w:noWrap/>
            <w:vAlign w:val="center"/>
          </w:tcPr>
          <w:p>
            <w:pPr>
              <w:widowControl/>
              <w:spacing w:line="240" w:lineRule="exact"/>
              <w:jc w:val="center"/>
              <w:rPr>
                <w:color w:val="auto"/>
                <w:kern w:val="0"/>
                <w:sz w:val="21"/>
                <w:szCs w:val="21"/>
                <w:lang w:val="en-US" w:eastAsia="zh-CN" w:bidi="ar-SA"/>
              </w:rPr>
            </w:pPr>
            <w:r>
              <w:rPr>
                <w:rFonts w:hint="eastAsia" w:eastAsia="宋体"/>
                <w:color w:val="auto"/>
                <w:kern w:val="0"/>
                <w:szCs w:val="21"/>
                <w:lang w:val="en-US" w:eastAsia="zh-CN"/>
              </w:rPr>
              <w:t>无偏差</w:t>
            </w:r>
          </w:p>
        </w:tc>
      </w:tr>
    </w:tbl>
    <w:p>
      <w:pPr>
        <w:spacing w:line="620" w:lineRule="exact"/>
        <w:jc w:val="left"/>
        <w:rPr>
          <w:rFonts w:ascii="??????" w:hAnsi="宋体" w:eastAsia="Times New Roman"/>
          <w:color w:val="auto"/>
          <w:kern w:val="0"/>
          <w:sz w:val="33"/>
          <w:szCs w:val="33"/>
        </w:rPr>
        <w:sectPr>
          <w:pgSz w:w="11907" w:h="16840"/>
          <w:pgMar w:top="2098" w:right="1474" w:bottom="1928" w:left="1588" w:header="851" w:footer="992" w:gutter="0"/>
          <w:cols w:space="720" w:num="1"/>
          <w:docGrid w:type="lines" w:linePitch="312" w:charSpace="0"/>
        </w:sectPr>
      </w:pPr>
    </w:p>
    <w:p>
      <w:pPr>
        <w:spacing w:line="580" w:lineRule="exact"/>
        <w:jc w:val="center"/>
        <w:rPr>
          <w:rFonts w:hint="eastAsia" w:eastAsia="方正小标宋简体"/>
          <w:w w:val="85"/>
          <w:sz w:val="44"/>
          <w:szCs w:val="44"/>
          <w:lang w:val="en-US" w:eastAsia="zh-CN"/>
        </w:rPr>
      </w:pPr>
      <w:r>
        <w:rPr>
          <w:rFonts w:hint="eastAsia" w:eastAsia="方正小标宋简体"/>
          <w:w w:val="85"/>
          <w:sz w:val="44"/>
          <w:szCs w:val="44"/>
          <w:lang w:val="en-US" w:eastAsia="zh-CN"/>
        </w:rPr>
        <w:t>乐至县政府政务服务和公共资源交易服务中心</w:t>
      </w:r>
    </w:p>
    <w:p>
      <w:pPr>
        <w:spacing w:line="580" w:lineRule="exact"/>
        <w:jc w:val="center"/>
        <w:rPr>
          <w:rFonts w:eastAsia="方正小标宋简体"/>
          <w:sz w:val="44"/>
          <w:szCs w:val="44"/>
        </w:rPr>
      </w:pPr>
      <w:r>
        <w:rPr>
          <w:rFonts w:eastAsia="方正小标宋简体"/>
          <w:w w:val="85"/>
          <w:sz w:val="44"/>
          <w:szCs w:val="44"/>
        </w:rPr>
        <w:t>202</w:t>
      </w:r>
      <w:r>
        <w:rPr>
          <w:rFonts w:hint="eastAsia" w:eastAsia="方正小标宋简体"/>
          <w:w w:val="85"/>
          <w:sz w:val="44"/>
          <w:szCs w:val="44"/>
          <w:lang w:val="en-US" w:eastAsia="zh-CN"/>
        </w:rPr>
        <w:t>2</w:t>
      </w:r>
      <w:r>
        <w:rPr>
          <w:rFonts w:hint="eastAsia" w:eastAsia="方正小标宋简体"/>
          <w:w w:val="85"/>
          <w:sz w:val="44"/>
          <w:szCs w:val="44"/>
        </w:rPr>
        <w:t>年</w:t>
      </w:r>
      <w:r>
        <w:rPr>
          <w:rFonts w:hint="eastAsia" w:eastAsia="方正小标宋简体"/>
          <w:sz w:val="44"/>
          <w:szCs w:val="44"/>
        </w:rPr>
        <w:t>项目支出绩效自评报告</w:t>
      </w:r>
    </w:p>
    <w:p>
      <w:pPr>
        <w:spacing w:line="580" w:lineRule="exact"/>
        <w:jc w:val="center"/>
        <w:rPr>
          <w:rFonts w:eastAsia="方正小标宋简体"/>
          <w:sz w:val="44"/>
          <w:szCs w:val="44"/>
        </w:rPr>
      </w:pP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2022年政府采购评审专家劳务费</w:t>
      </w:r>
      <w:r>
        <w:rPr>
          <w:rFonts w:hint="eastAsia" w:eastAsia="方正楷体简体"/>
          <w:b/>
          <w:sz w:val="32"/>
          <w:szCs w:val="32"/>
        </w:rPr>
        <w:t>项目）</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前言</w:t>
      </w:r>
    </w:p>
    <w:p>
      <w:pPr>
        <w:spacing w:line="580" w:lineRule="exact"/>
        <w:ind w:firstLine="640" w:firstLineChars="200"/>
        <w:jc w:val="left"/>
        <w:rPr>
          <w:rFonts w:hint="default" w:ascii="方正仿宋简体" w:hAnsi="方正仿宋简体" w:eastAsia="方正仿宋简体" w:cs="方正仿宋简体"/>
          <w:sz w:val="32"/>
          <w:szCs w:val="32"/>
          <w:lang w:val="en-US" w:eastAsia="zh-CN"/>
        </w:rPr>
      </w:pPr>
      <w:r>
        <w:rPr>
          <w:rFonts w:hint="eastAsia" w:ascii="方正仿宋简体" w:hAnsi="方正仿宋简体" w:eastAsia="方正仿宋简体" w:cs="方正仿宋简体"/>
          <w:w w:val="100"/>
          <w:sz w:val="32"/>
          <w:szCs w:val="32"/>
          <w:lang w:val="en-US" w:eastAsia="zh-CN"/>
        </w:rPr>
        <w:t>乐至县政府政务服务和公共资源交易服务中心</w:t>
      </w:r>
      <w:r>
        <w:rPr>
          <w:rFonts w:hint="eastAsia" w:ascii="方正仿宋简体" w:hAnsi="方正仿宋简体" w:eastAsia="方正仿宋简体" w:cs="方正仿宋简体"/>
          <w:w w:val="85"/>
          <w:sz w:val="32"/>
          <w:szCs w:val="32"/>
          <w:lang w:val="en-US" w:eastAsia="zh-CN"/>
        </w:rPr>
        <w:t>2022年专家评审劳务费年初预算20万元，2022年支出16.26万元。</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ascii="方正仿宋简体" w:hAnsi="方正仿宋简体" w:eastAsia="方正仿宋简体" w:cs="方正仿宋简体"/>
          <w:b w:val="0"/>
          <w:bCs/>
          <w:sz w:val="32"/>
          <w:szCs w:val="32"/>
        </w:rPr>
      </w:pPr>
      <w:r>
        <w:rPr>
          <w:rFonts w:hint="eastAsia" w:ascii="方正仿宋简体" w:hAnsi="方正仿宋简体" w:eastAsia="方正仿宋简体" w:cs="方正仿宋简体"/>
          <w:b w:val="0"/>
          <w:bCs/>
          <w:sz w:val="32"/>
          <w:szCs w:val="32"/>
        </w:rPr>
        <w:t>根据《中华人民共和国政府采购法》《中华人民共和国政府采购法实施条例》《政府采购评审专家管理办法》及省市县相关法律法规，县政府政务服务和公共资源交易服务中心、政府采购中心做为集中采购代理机构，规定承担专家参与评审活动的劳务费、往返交通费等费用，根据资财国资〔2014〕53号文件规定，严格按照规定执行专家评审及食宿费用支出，规范政府采购评审专家费用管理，确保政府采购项目正常运行，最大限度节约财政性资金。</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eastAsia" w:ascii="方正仿宋简体" w:hAnsi="方正仿宋简体" w:eastAsia="方正仿宋简体" w:cs="方正仿宋简体"/>
          <w:b w:val="0"/>
          <w:bCs/>
          <w:sz w:val="32"/>
          <w:szCs w:val="32"/>
          <w:lang w:val="en-US" w:eastAsia="zh-CN"/>
        </w:rPr>
      </w:pPr>
      <w:r>
        <w:rPr>
          <w:rFonts w:hint="eastAsia" w:eastAsia="方正仿宋简体"/>
          <w:sz w:val="32"/>
          <w:szCs w:val="32"/>
          <w:lang w:val="en-US" w:eastAsia="zh-CN"/>
        </w:rPr>
        <w:t>2022年县级财政年初预算专家评审劳务费</w:t>
      </w:r>
      <w:r>
        <w:rPr>
          <w:rFonts w:hint="eastAsia" w:ascii="方正仿宋简体" w:hAnsi="方正仿宋简体" w:eastAsia="方正仿宋简体" w:cs="方正仿宋简体"/>
          <w:b w:val="0"/>
          <w:bCs/>
          <w:sz w:val="32"/>
          <w:szCs w:val="32"/>
          <w:lang w:val="en-US" w:eastAsia="zh-CN"/>
        </w:rPr>
        <w:t>20万元整，2022年支出16.26万元。</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80" w:lineRule="exact"/>
        <w:ind w:firstLine="640" w:firstLineChars="200"/>
        <w:rPr>
          <w:rFonts w:hint="default"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2022年，完成41个政府采购项目，使用评审专家劳务费16.26万元。</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严格按照请示文件内容，合理合规使用年初预算项目经费。</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eastAsia" w:ascii="方正仿宋简体" w:eastAsia="方正仿宋简体"/>
          <w:sz w:val="32"/>
          <w:szCs w:val="32"/>
        </w:rPr>
      </w:pPr>
      <w:r>
        <w:rPr>
          <w:rFonts w:hint="eastAsia" w:ascii="方正仿宋简体" w:eastAsia="方正仿宋简体"/>
          <w:sz w:val="32"/>
          <w:szCs w:val="32"/>
          <w:lang w:val="en-US" w:eastAsia="zh-CN"/>
        </w:rPr>
        <w:t>2022年</w:t>
      </w:r>
      <w:r>
        <w:rPr>
          <w:rFonts w:hint="eastAsia" w:ascii="方正仿宋简体" w:eastAsia="方正仿宋简体"/>
          <w:sz w:val="32"/>
          <w:szCs w:val="32"/>
        </w:rPr>
        <w:t>组织开展41个政府采购评审活动。县政府政务服务和公共资源交易服务中心根据资财国资〔2014〕53号文件规定，严格按照规定执行专家评审</w:t>
      </w:r>
      <w:r>
        <w:rPr>
          <w:rFonts w:hint="eastAsia" w:ascii="方正仿宋简体" w:eastAsia="方正仿宋简体"/>
          <w:sz w:val="32"/>
          <w:szCs w:val="32"/>
          <w:lang w:val="en-US" w:eastAsia="zh-CN"/>
        </w:rPr>
        <w:t>费、</w:t>
      </w:r>
      <w:r>
        <w:rPr>
          <w:rFonts w:hint="eastAsia" w:ascii="方正仿宋简体" w:eastAsia="方正仿宋简体"/>
          <w:sz w:val="32"/>
          <w:szCs w:val="32"/>
        </w:rPr>
        <w:t>食宿费</w:t>
      </w:r>
      <w:r>
        <w:rPr>
          <w:rFonts w:hint="eastAsia" w:ascii="方正仿宋简体" w:eastAsia="方正仿宋简体"/>
          <w:sz w:val="32"/>
          <w:szCs w:val="32"/>
          <w:lang w:val="en-US" w:eastAsia="zh-CN"/>
        </w:rPr>
        <w:t>和交通费</w:t>
      </w:r>
      <w:r>
        <w:rPr>
          <w:rFonts w:hint="eastAsia" w:ascii="方正仿宋简体" w:eastAsia="方正仿宋简体"/>
          <w:sz w:val="32"/>
          <w:szCs w:val="32"/>
        </w:rPr>
        <w:t>用支出，规范政府采购评审专家费用管理，确保政府采购项目正常运行，使用评审专家劳务费</w:t>
      </w:r>
      <w:r>
        <w:rPr>
          <w:rFonts w:hint="eastAsia" w:ascii="方正仿宋简体" w:hAnsi="方正仿宋简体" w:eastAsia="方正仿宋简体" w:cs="方正仿宋简体"/>
          <w:b w:val="0"/>
          <w:bCs/>
          <w:sz w:val="32"/>
          <w:szCs w:val="32"/>
          <w:lang w:val="en-US" w:eastAsia="zh-CN"/>
        </w:rPr>
        <w:t>16.26万元</w:t>
      </w:r>
      <w:r>
        <w:rPr>
          <w:rFonts w:hint="eastAsia" w:ascii="方正仿宋简体" w:eastAsia="方正仿宋简体"/>
          <w:sz w:val="32"/>
          <w:szCs w:val="32"/>
          <w:lang w:eastAsia="zh-CN"/>
        </w:rPr>
        <w:t>，</w:t>
      </w:r>
      <w:r>
        <w:rPr>
          <w:rFonts w:hint="eastAsia" w:ascii="方正仿宋简体" w:eastAsia="方正仿宋简体"/>
          <w:sz w:val="32"/>
          <w:szCs w:val="32"/>
        </w:rPr>
        <w:t>最大限度节约财政性资金。</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90" w:lineRule="exact"/>
        <w:ind w:firstLine="640" w:firstLineChars="200"/>
        <w:rPr>
          <w:rFonts w:hint="eastAsia" w:ascii="方正仿宋简体" w:eastAsia="方正仿宋简体"/>
          <w:sz w:val="32"/>
          <w:szCs w:val="32"/>
          <w:lang w:val="en-US" w:eastAsia="zh-CN"/>
        </w:rPr>
      </w:pPr>
      <w:r>
        <w:rPr>
          <w:rFonts w:hint="eastAsia" w:ascii="方正仿宋简体" w:eastAsia="方正仿宋简体"/>
          <w:sz w:val="32"/>
          <w:szCs w:val="32"/>
        </w:rPr>
        <w:t>我中心严格按照县级部门预算编制通知和有关要求</w:t>
      </w:r>
      <w:r>
        <w:rPr>
          <w:rFonts w:hint="eastAsia" w:ascii="方正仿宋简体" w:eastAsia="方正仿宋简体"/>
          <w:sz w:val="32"/>
          <w:szCs w:val="32"/>
          <w:lang w:eastAsia="zh-CN"/>
        </w:rPr>
        <w:t>，</w:t>
      </w:r>
      <w:r>
        <w:rPr>
          <w:rFonts w:hint="eastAsia" w:ascii="方正仿宋简体" w:eastAsia="方正仿宋简体"/>
          <w:sz w:val="32"/>
          <w:szCs w:val="32"/>
        </w:rPr>
        <w:t>遵循人员经费按标准、公用经费按定额、专项经费按项目、勤俭节约、讲求绩效的原则</w:t>
      </w:r>
      <w:r>
        <w:rPr>
          <w:rFonts w:hint="eastAsia" w:ascii="方正仿宋简体" w:eastAsia="方正仿宋简体"/>
          <w:sz w:val="32"/>
          <w:szCs w:val="32"/>
          <w:lang w:eastAsia="zh-CN"/>
        </w:rPr>
        <w:t>，</w:t>
      </w:r>
      <w:r>
        <w:rPr>
          <w:rFonts w:hint="eastAsia" w:ascii="方正仿宋简体" w:eastAsia="方正仿宋简体"/>
          <w:sz w:val="32"/>
          <w:szCs w:val="32"/>
          <w:lang w:val="en-US" w:eastAsia="zh-CN"/>
        </w:rPr>
        <w:t>成立自评工作小组，成员如下：</w:t>
      </w:r>
    </w:p>
    <w:p>
      <w:pPr>
        <w:spacing w:line="590" w:lineRule="exact"/>
        <w:ind w:firstLine="640" w:firstLineChars="200"/>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我中心严格执行“三公经费”预算，</w:t>
      </w:r>
      <w:r>
        <w:rPr>
          <w:rFonts w:hint="eastAsia" w:ascii="方正仿宋简体" w:eastAsia="方正仿宋简体"/>
          <w:color w:val="000000"/>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hint="eastAsia" w:eastAsia="方正楷体简体"/>
          <w:b/>
          <w:sz w:val="32"/>
          <w:szCs w:val="32"/>
        </w:rPr>
      </w:pPr>
      <w:r>
        <w:rPr>
          <w:rFonts w:hint="eastAsia" w:ascii="方正仿宋简体" w:eastAsia="方正仿宋简体"/>
          <w:sz w:val="32"/>
          <w:szCs w:val="32"/>
          <w:lang w:val="en-US" w:eastAsia="zh-CN"/>
        </w:rPr>
        <w:t>我中心采用报告审批制度完成自评工作。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《乐至县财政支出绩效评价管理办法》规定确定绩效等级优。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2022年评审专家劳务费，按照评审项目开展情况及时据实发放评标费用，均按要求达成既定目标。</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spacing w:line="580" w:lineRule="exact"/>
        <w:ind w:firstLine="640" w:firstLineChars="200"/>
        <w:rPr>
          <w:rFonts w:hint="default"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一是依据法律法规及上级文件要求,对于应该立项支出的经费及时成立项目，独立核算；二是认真核算资金需求，立足于业务开展情况，前瞻性的预测资金需求，做到资金需求报告科学化、合理化；三是主动向上级主管单位和县政府报告项目运转、资金使用情况。</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widowControl/>
        <w:spacing w:line="590" w:lineRule="exact"/>
        <w:ind w:firstLine="640" w:firstLineChars="200"/>
        <w:jc w:val="left"/>
        <w:rPr>
          <w:rFonts w:eastAsia="方正仿宋简体"/>
          <w:sz w:val="32"/>
          <w:szCs w:val="32"/>
        </w:rPr>
      </w:pPr>
      <w:r>
        <w:rPr>
          <w:rFonts w:hint="eastAsia" w:ascii="方正仿宋简体" w:eastAsia="方正仿宋简体"/>
          <w:sz w:val="32"/>
          <w:szCs w:val="32"/>
          <w:lang w:eastAsia="zh-CN"/>
        </w:rPr>
        <w:t>对绩效评价工作尚不熟练</w:t>
      </w:r>
      <w:r>
        <w:rPr>
          <w:rFonts w:hint="eastAsia" w:ascii="方正仿宋简体" w:eastAsia="方正仿宋简体"/>
          <w:sz w:val="32"/>
          <w:szCs w:val="32"/>
          <w:lang w:val="en-US" w:eastAsia="zh-CN"/>
        </w:rPr>
        <w:t>，需学习并提高业务水平</w:t>
      </w:r>
      <w:r>
        <w:rPr>
          <w:rFonts w:hint="eastAsia" w:ascii="方正仿宋简体" w:eastAsia="方正仿宋简体"/>
          <w:sz w:val="32"/>
          <w:szCs w:val="32"/>
        </w:rPr>
        <w:t>。</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建议财政开展有关绩效评价工作的专业培训。</w:t>
      </w:r>
    </w:p>
    <w:p>
      <w:pPr>
        <w:spacing w:line="580" w:lineRule="exact"/>
        <w:ind w:firstLine="640" w:firstLineChars="200"/>
        <w:rPr>
          <w:rFonts w:hint="default" w:ascii="方正仿宋简体" w:eastAsia="方正仿宋简体"/>
          <w:sz w:val="32"/>
          <w:szCs w:val="32"/>
          <w:lang w:val="en-US" w:eastAsia="zh-CN"/>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580" w:lineRule="exact"/>
        <w:ind w:firstLine="1600" w:firstLineChars="5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乐至县政府政务服务和公共资源交易服务中心</w:t>
      </w:r>
    </w:p>
    <w:p>
      <w:pPr>
        <w:spacing w:line="580" w:lineRule="exact"/>
        <w:ind w:firstLine="4160" w:firstLineChars="13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2023年11月8日</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 w:hAnsi="宋体" w:eastAsia="Times New Roman"/>
          <w:sz w:val="33"/>
          <w:szCs w:val="33"/>
        </w:rPr>
        <w:sectPr>
          <w:footerReference r:id="rId7" w:type="default"/>
          <w:footerReference r:id="rId8" w:type="even"/>
          <w:pgSz w:w="11907" w:h="16840"/>
          <w:pgMar w:top="2098" w:right="1474" w:bottom="1928" w:left="1588" w:header="851" w:footer="992" w:gutter="0"/>
          <w:cols w:space="720" w:num="1"/>
          <w:docGrid w:type="lines" w:linePitch="312" w:charSpace="0"/>
        </w:sectPr>
      </w:pPr>
    </w:p>
    <w:p>
      <w:pPr>
        <w:spacing w:line="620" w:lineRule="exact"/>
        <w:jc w:val="left"/>
        <w:rPr>
          <w:rFonts w:hint="eastAsia" w:eastAsia="方正黑体简体"/>
          <w:bCs/>
          <w:color w:val="auto"/>
          <w:kern w:val="0"/>
          <w:sz w:val="32"/>
          <w:szCs w:val="32"/>
          <w:lang w:eastAsia="zh-CN"/>
        </w:rPr>
      </w:pPr>
      <w:r>
        <w:rPr>
          <w:rFonts w:hint="eastAsia" w:eastAsia="方正黑体简体"/>
          <w:bCs/>
          <w:color w:val="auto"/>
          <w:kern w:val="0"/>
          <w:sz w:val="32"/>
          <w:szCs w:val="32"/>
        </w:rPr>
        <w:t>附件</w:t>
      </w:r>
      <w:r>
        <w:rPr>
          <w:rFonts w:hint="eastAsia" w:eastAsia="方正黑体简体"/>
          <w:bCs/>
          <w:color w:val="auto"/>
          <w:kern w:val="0"/>
          <w:sz w:val="32"/>
          <w:szCs w:val="32"/>
          <w:lang w:val="en-US" w:eastAsia="zh-CN"/>
        </w:rPr>
        <w:t>2</w:t>
      </w:r>
    </w:p>
    <w:p>
      <w:pPr>
        <w:spacing w:line="620" w:lineRule="exact"/>
        <w:jc w:val="center"/>
        <w:rPr>
          <w:rFonts w:eastAsia="方正小标宋简体"/>
          <w:bCs/>
          <w:color w:val="auto"/>
          <w:kern w:val="0"/>
          <w:sz w:val="44"/>
          <w:szCs w:val="44"/>
        </w:rPr>
      </w:pPr>
      <w:r>
        <w:rPr>
          <w:rFonts w:eastAsia="方正小标宋简体"/>
          <w:bCs/>
          <w:color w:val="auto"/>
          <w:kern w:val="0"/>
          <w:sz w:val="44"/>
          <w:szCs w:val="44"/>
        </w:rPr>
        <w:t>202</w:t>
      </w:r>
      <w:r>
        <w:rPr>
          <w:rFonts w:hint="eastAsia" w:eastAsia="方正小标宋简体"/>
          <w:bCs/>
          <w:color w:val="auto"/>
          <w:kern w:val="0"/>
          <w:sz w:val="44"/>
          <w:szCs w:val="44"/>
        </w:rPr>
        <w:t>2年度乐至县项目支出绩效自评计分表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cs="宋体"/>
          <w:color w:val="000000"/>
          <w:kern w:val="0"/>
          <w:sz w:val="24"/>
          <w:lang w:val="en-US" w:eastAsia="zh-CN"/>
        </w:rPr>
        <w:t>2022年政府采购评审专家劳务费</w:t>
      </w:r>
      <w:r>
        <w:rPr>
          <w:rFonts w:hint="eastAsia" w:eastAsia="方正楷体简体"/>
          <w:b/>
          <w:bCs/>
          <w:kern w:val="0"/>
          <w:sz w:val="32"/>
          <w:szCs w:val="32"/>
        </w:rPr>
        <w:t>）</w:t>
      </w:r>
    </w:p>
    <w:p>
      <w:pPr>
        <w:spacing w:line="620" w:lineRule="exact"/>
        <w:rPr>
          <w:sz w:val="28"/>
          <w:szCs w:val="28"/>
        </w:rPr>
      </w:pPr>
      <w:r>
        <w:rPr>
          <w:rFonts w:hint="eastAsia"/>
          <w:bCs/>
          <w:kern w:val="0"/>
          <w:sz w:val="20"/>
          <w:szCs w:val="20"/>
        </w:rPr>
        <w:t>预算单位名称：</w:t>
      </w:r>
      <w:r>
        <w:rPr>
          <w:rFonts w:hint="eastAsia"/>
          <w:bCs/>
          <w:kern w:val="0"/>
          <w:sz w:val="20"/>
          <w:szCs w:val="20"/>
          <w:lang w:val="en-US" w:eastAsia="zh-CN"/>
        </w:rPr>
        <w:t xml:space="preserve">乐至县政府政务服务和公共资源交易服务中心 </w:t>
      </w:r>
      <w:r>
        <w:rPr>
          <w:rFonts w:hint="eastAsia"/>
          <w:bCs/>
          <w:kern w:val="0"/>
          <w:sz w:val="20"/>
          <w:szCs w:val="20"/>
        </w:rPr>
        <w:t>预算单位编码：</w:t>
      </w:r>
      <w:r>
        <w:rPr>
          <w:rFonts w:hint="eastAsia"/>
          <w:bCs/>
          <w:kern w:val="0"/>
          <w:sz w:val="20"/>
          <w:szCs w:val="20"/>
          <w:lang w:val="en-US" w:eastAsia="zh-CN"/>
        </w:rPr>
        <w:t>143001</w:t>
      </w:r>
      <w:r>
        <w:rPr>
          <w:rFonts w:hint="eastAsia"/>
          <w:bCs/>
          <w:kern w:val="0"/>
          <w:sz w:val="20"/>
          <w:szCs w:val="20"/>
        </w:rPr>
        <w:t>自评等级：</w:t>
      </w:r>
      <w:r>
        <w:rPr>
          <w:rFonts w:hint="eastAsia"/>
          <w:bCs/>
          <w:kern w:val="0"/>
          <w:sz w:val="20"/>
          <w:szCs w:val="20"/>
          <w:lang w:val="en-US"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2"/>
        <w:gridCol w:w="702"/>
        <w:gridCol w:w="850"/>
        <w:gridCol w:w="1699"/>
        <w:gridCol w:w="3545"/>
        <w:gridCol w:w="706"/>
        <w:gridCol w:w="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widowControl/>
              <w:spacing w:line="26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widowControl/>
              <w:spacing w:line="240" w:lineRule="exact"/>
              <w:jc w:val="left"/>
              <w:rPr>
                <w:rFonts w:hint="eastAsia" w:eastAsia="宋体"/>
                <w:kern w:val="0"/>
                <w:sz w:val="21"/>
                <w:szCs w:val="21"/>
                <w:lang w:val="en-US" w:eastAsia="zh-CN" w:bidi="ar-SA"/>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98</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3"/>
        <w:spacing w:after="0" w:line="240" w:lineRule="exact"/>
        <w:rPr>
          <w:rFonts w:ascii="宋体"/>
        </w:rPr>
      </w:pP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454"/>
        <w:gridCol w:w="1831"/>
        <w:gridCol w:w="1351"/>
        <w:gridCol w:w="882"/>
        <w:gridCol w:w="2150"/>
        <w:gridCol w:w="984"/>
        <w:gridCol w:w="12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000000"/>
                <w:kern w:val="0"/>
                <w:sz w:val="24"/>
                <w:lang w:val="en-US" w:eastAsia="zh-CN"/>
              </w:rPr>
              <w:t>2022年度</w:t>
            </w:r>
            <w:r>
              <w:rPr>
                <w:rFonts w:hint="eastAsia" w:ascii="Times New Roman" w:hAnsi="Times New Roman" w:eastAsia="宋体" w:cs="宋体"/>
                <w:color w:val="000000"/>
                <w:kern w:val="0"/>
                <w:sz w:val="24"/>
                <w:lang w:val="en-US" w:eastAsia="zh-CN"/>
              </w:rPr>
              <w:t>评审专家劳务费项目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w:t>
            </w:r>
          </w:p>
        </w:tc>
        <w:tc>
          <w:tcPr>
            <w:tcW w:w="0" w:type="auto"/>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t>□</w:t>
            </w:r>
          </w:p>
        </w:tc>
        <w:tc>
          <w:tcPr>
            <w:tcW w:w="0" w:type="auto"/>
            <w:gridSpan w:val="2"/>
            <w:noWrap/>
            <w:vAlign w:val="center"/>
          </w:tcPr>
          <w:p>
            <w:pPr>
              <w:spacing w:line="240" w:lineRule="exact"/>
              <w:jc w:val="center"/>
              <w:rPr>
                <w:szCs w:val="21"/>
              </w:rPr>
            </w:pPr>
            <w:r>
              <w:rPr>
                <w:rFonts w:hint="eastAsia"/>
                <w:color w:val="000000"/>
                <w:kern w:val="0"/>
                <w:szCs w:val="21"/>
              </w:rPr>
              <w:sym w:font="Wingdings 2" w:char="0052"/>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pPr>
              <w:widowControl/>
              <w:spacing w:line="240" w:lineRule="exact"/>
              <w:jc w:val="center"/>
              <w:rPr>
                <w:color w:val="000000"/>
                <w:kern w:val="0"/>
                <w:szCs w:val="21"/>
              </w:rPr>
            </w:pPr>
            <w:r>
              <w:rPr>
                <w:rFonts w:hint="eastAsia"/>
                <w:color w:val="000000"/>
                <w:kern w:val="0"/>
                <w:szCs w:val="21"/>
                <w:lang w:val="en-US" w:eastAsia="zh-CN"/>
              </w:rPr>
              <w:t>乐至县政府政务服务和公共资源交易服务中心</w:t>
            </w:r>
            <w:r>
              <w:rPr>
                <w:rFonts w:hint="eastAsia"/>
                <w:color w:val="000000"/>
                <w:kern w:val="0"/>
                <w:szCs w:val="21"/>
              </w:rPr>
              <w:t>　</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left"/>
              <w:rPr>
                <w:rFonts w:hint="default" w:eastAsia="宋体"/>
                <w:color w:val="000000"/>
                <w:kern w:val="0"/>
                <w:sz w:val="21"/>
                <w:szCs w:val="21"/>
                <w:lang w:val="en-US" w:eastAsia="zh-CN" w:bidi="ar-SA"/>
              </w:rPr>
            </w:pPr>
            <w:r>
              <w:rPr>
                <w:rFonts w:hint="eastAsia" w:eastAsia="宋体"/>
                <w:color w:val="000000"/>
                <w:kern w:val="0"/>
                <w:szCs w:val="21"/>
                <w:lang w:val="en-US" w:eastAsia="zh-CN"/>
              </w:rPr>
              <w:t>20</w:t>
            </w:r>
          </w:p>
        </w:tc>
        <w:tc>
          <w:tcPr>
            <w:tcW w:w="0" w:type="auto"/>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16.26</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1337"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20</w:t>
            </w:r>
          </w:p>
        </w:tc>
        <w:tc>
          <w:tcPr>
            <w:tcW w:w="65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16.26</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337"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eastAsia="宋体"/>
                <w:color w:val="000000"/>
                <w:kern w:val="0"/>
                <w:szCs w:val="21"/>
                <w:lang w:val="en-US" w:eastAsia="zh-CN"/>
              </w:rPr>
              <w:t>20</w:t>
            </w:r>
          </w:p>
        </w:tc>
        <w:tc>
          <w:tcPr>
            <w:tcW w:w="65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16.26</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337"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eastAsia="宋体"/>
                <w:color w:val="000000"/>
                <w:kern w:val="0"/>
                <w:szCs w:val="21"/>
                <w:lang w:val="en-US" w:eastAsia="zh-CN"/>
              </w:rPr>
              <w:t>20</w:t>
            </w:r>
          </w:p>
        </w:tc>
        <w:tc>
          <w:tcPr>
            <w:tcW w:w="653"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16.26</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w:t>
            </w:r>
            <w:r>
              <w:rPr>
                <w:rFonts w:hint="eastAsia" w:ascii="Times New Roman" w:hAnsi="Times New Roman" w:eastAsia="宋体" w:cs="Times New Roman"/>
                <w:kern w:val="0"/>
                <w:sz w:val="21"/>
                <w:szCs w:val="21"/>
                <w:lang w:val="en-US" w:eastAsia="zh-CN"/>
              </w:rPr>
              <w:t>标1:严格按照规定执行专家评审及食宿费用支出，规范政府采购评审专家费用管理，确保政府采购项目正常运行，最大限度节约财政性资金</w:t>
            </w:r>
          </w:p>
        </w:tc>
        <w:tc>
          <w:tcPr>
            <w:tcW w:w="0" w:type="auto"/>
            <w:gridSpan w:val="2"/>
            <w:noWrap/>
            <w:vAlign w:val="center"/>
          </w:tcPr>
          <w:p>
            <w:pPr>
              <w:widowControl/>
              <w:spacing w:line="240" w:lineRule="exact"/>
              <w:jc w:val="center"/>
              <w:rPr>
                <w:color w:val="000000"/>
                <w:kern w:val="0"/>
                <w:szCs w:val="21"/>
              </w:rPr>
            </w:pPr>
            <w:r>
              <w:rPr>
                <w:rFonts w:hint="eastAsia" w:ascii="Times New Roman" w:hAnsi="Times New Roman" w:eastAsia="宋体" w:cs="Times New Roman"/>
                <w:kern w:val="0"/>
                <w:sz w:val="21"/>
                <w:szCs w:val="21"/>
                <w:lang w:val="en-US" w:eastAsia="zh-CN"/>
              </w:rPr>
              <w:t>严格按照规定执行专家评审及食宿费用支出，规范政府采购评审专家费用管理，确保政府采购项目正常运行，最大限度节约财政性资金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由于疫情封控的原因，总体采购项目数量和评审专家人次比预计的少。</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2:</w:t>
            </w:r>
            <w:r>
              <w:rPr>
                <w:rFonts w:hint="eastAsia" w:eastAsia="宋体"/>
                <w:kern w:val="0"/>
                <w:sz w:val="21"/>
                <w:szCs w:val="21"/>
                <w:lang w:val="en-US" w:eastAsia="zh-CN"/>
              </w:rPr>
              <w:t>为前往中心办事的各方交易主体提供更加优质的服务</w:t>
            </w:r>
            <w:r>
              <w:rPr>
                <w:rFonts w:eastAsia="宋体"/>
                <w:kern w:val="0"/>
                <w:sz w:val="21"/>
                <w:szCs w:val="21"/>
              </w:rPr>
              <w:t xml:space="preserve">  </w:t>
            </w:r>
          </w:p>
        </w:tc>
        <w:tc>
          <w:tcPr>
            <w:tcW w:w="0" w:type="auto"/>
            <w:gridSpan w:val="2"/>
            <w:noWrap/>
            <w:vAlign w:val="center"/>
          </w:tcPr>
          <w:p>
            <w:pPr>
              <w:widowControl/>
              <w:spacing w:line="240" w:lineRule="exact"/>
              <w:jc w:val="center"/>
              <w:rPr>
                <w:color w:val="000000"/>
                <w:kern w:val="0"/>
                <w:szCs w:val="21"/>
              </w:rPr>
            </w:pPr>
            <w:r>
              <w:rPr>
                <w:rFonts w:hint="eastAsia" w:eastAsia="宋体"/>
                <w:kern w:val="0"/>
                <w:sz w:val="21"/>
                <w:szCs w:val="21"/>
                <w:lang w:val="en-US" w:eastAsia="zh-CN"/>
              </w:rPr>
              <w:t>为前往中心办事的各方交易主体提供更加优质的服务</w:t>
            </w: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各方交易主体满意度均大于90%</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gridSpan w:val="2"/>
            <w:noWrap/>
            <w:vAlign w:val="center"/>
          </w:tcPr>
          <w:p>
            <w:pPr>
              <w:widowControl/>
              <w:spacing w:line="240" w:lineRule="exact"/>
              <w:jc w:val="left"/>
              <w:rPr>
                <w:color w:val="000000"/>
                <w:kern w:val="0"/>
                <w:szCs w:val="21"/>
              </w:rPr>
            </w:pPr>
            <w:r>
              <w:rPr>
                <w:rFonts w:hint="eastAsia"/>
                <w:color w:val="000000"/>
                <w:kern w:val="0"/>
                <w:szCs w:val="21"/>
              </w:rPr>
              <w:t>目标</w:t>
            </w:r>
            <w:r>
              <w:rPr>
                <w:color w:val="000000"/>
                <w:kern w:val="0"/>
                <w:szCs w:val="21"/>
              </w:rPr>
              <w:t>3:</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0" w:type="auto"/>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0" w:type="auto"/>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完成政府采购项目数</w:t>
            </w:r>
            <w:r>
              <w:rPr>
                <w:rFonts w:hint="eastAsia"/>
                <w:color w:val="000000"/>
                <w:kern w:val="0"/>
                <w:szCs w:val="21"/>
                <w:lang w:val="en-US" w:eastAsia="zh-CN"/>
              </w:rPr>
              <w:t>大于等于130个</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全年完成100个政府采购项目</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疫情原因导致本年度项目数量减少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规范政府采购专项资金使用管理</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规范政府采购专项资金使用管理</w:t>
            </w:r>
            <w:r>
              <w:rPr>
                <w:rFonts w:hint="eastAsia"/>
                <w:color w:val="000000"/>
                <w:kern w:val="0"/>
                <w:szCs w:val="21"/>
                <w:lang w:val="en-US" w:eastAsia="zh-CN"/>
              </w:rPr>
              <w:t>优</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参加政府采购专家数</w:t>
            </w:r>
            <w:r>
              <w:rPr>
                <w:rFonts w:hint="eastAsia"/>
                <w:color w:val="000000"/>
                <w:kern w:val="0"/>
                <w:szCs w:val="21"/>
                <w:lang w:val="en-US" w:eastAsia="zh-CN"/>
              </w:rPr>
              <w:t>大于等于320人次</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参加政府采购专家数</w:t>
            </w:r>
            <w:r>
              <w:rPr>
                <w:rFonts w:hint="eastAsia"/>
                <w:color w:val="000000"/>
                <w:kern w:val="0"/>
                <w:szCs w:val="21"/>
                <w:lang w:val="en-US" w:eastAsia="zh-CN"/>
              </w:rPr>
              <w:t>280人次</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由于疫情原因项目减量，参加评审的专家人次减少</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项目按期完成</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项目按期完成</w:t>
            </w:r>
            <w:r>
              <w:rPr>
                <w:rFonts w:hint="eastAsia"/>
                <w:color w:val="000000"/>
                <w:kern w:val="0"/>
                <w:szCs w:val="21"/>
                <w:lang w:val="en-US" w:eastAsia="zh-CN"/>
              </w:rPr>
              <w:t>得好</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财政资金使用率</w:t>
            </w:r>
            <w:r>
              <w:rPr>
                <w:rFonts w:hint="eastAsia"/>
                <w:color w:val="000000"/>
                <w:kern w:val="0"/>
                <w:szCs w:val="21"/>
                <w:lang w:val="en-US" w:eastAsia="zh-CN"/>
              </w:rPr>
              <w:t>100%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财政资金使用率</w:t>
            </w:r>
            <w:r>
              <w:rPr>
                <w:rFonts w:hint="eastAsia"/>
                <w:color w:val="000000"/>
                <w:kern w:val="0"/>
                <w:szCs w:val="21"/>
                <w:lang w:val="en-US" w:eastAsia="zh-CN"/>
              </w:rPr>
              <w:t>100%</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聘请政府采购评标专家费用</w:t>
            </w:r>
            <w:r>
              <w:rPr>
                <w:rFonts w:hint="eastAsia"/>
                <w:color w:val="000000"/>
                <w:kern w:val="0"/>
                <w:szCs w:val="21"/>
                <w:lang w:val="en-US" w:eastAsia="zh-CN"/>
              </w:rPr>
              <w:t>小于等于20万元</w:t>
            </w:r>
          </w:p>
        </w:tc>
        <w:tc>
          <w:tcPr>
            <w:tcW w:w="0" w:type="auto"/>
            <w:noWrap/>
            <w:vAlign w:val="center"/>
          </w:tcPr>
          <w:p>
            <w:pPr>
              <w:widowControl/>
              <w:spacing w:line="240" w:lineRule="exact"/>
              <w:jc w:val="left"/>
              <w:rPr>
                <w:rFonts w:hint="default"/>
                <w:color w:val="000000"/>
                <w:kern w:val="0"/>
                <w:szCs w:val="21"/>
                <w:lang w:val="en-US"/>
              </w:rPr>
            </w:pPr>
            <w:r>
              <w:rPr>
                <w:rFonts w:hint="eastAsia"/>
                <w:color w:val="000000"/>
                <w:kern w:val="0"/>
                <w:szCs w:val="21"/>
              </w:rPr>
              <w:t>　政府采购评标专家费用</w:t>
            </w:r>
            <w:r>
              <w:rPr>
                <w:rFonts w:hint="eastAsia"/>
                <w:color w:val="000000"/>
                <w:kern w:val="0"/>
                <w:szCs w:val="21"/>
                <w:lang w:val="en-US" w:eastAsia="zh-CN"/>
              </w:rPr>
              <w:t>162610元</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0"/>
            <w:vAlign w:val="center"/>
          </w:tcPr>
          <w:p>
            <w:pPr>
              <w:spacing w:line="240" w:lineRule="exact"/>
              <w:jc w:val="center"/>
              <w:rPr>
                <w:color w:val="000000"/>
                <w:kern w:val="0"/>
                <w:szCs w:val="21"/>
              </w:rPr>
            </w:pPr>
            <w:r>
              <w:rPr>
                <w:rFonts w:hint="eastAsia"/>
                <w:color w:val="000000"/>
                <w:kern w:val="0"/>
                <w:szCs w:val="21"/>
              </w:rPr>
              <w:t>年度绩效指标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效益</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经济效益指标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社会效益指标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推进政府采购项目</w:t>
            </w:r>
          </w:p>
        </w:tc>
        <w:tc>
          <w:tcPr>
            <w:tcW w:w="0" w:type="auto"/>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推进政府采购项目</w:t>
            </w:r>
            <w:r>
              <w:rPr>
                <w:rFonts w:hint="eastAsia"/>
                <w:color w:val="000000"/>
                <w:kern w:val="0"/>
                <w:szCs w:val="21"/>
                <w:lang w:val="en-US" w:eastAsia="zh-CN"/>
              </w:rPr>
              <w:t>优</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生态效益指标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0" w:type="auto"/>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0" w:type="auto"/>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供应商满意度</w:t>
            </w:r>
            <w:r>
              <w:rPr>
                <w:rFonts w:hint="eastAsia"/>
                <w:color w:val="000000"/>
                <w:kern w:val="0"/>
                <w:szCs w:val="21"/>
                <w:lang w:val="en-US" w:eastAsia="zh-CN"/>
              </w:rPr>
              <w:t>大于等于90%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供应商满意度</w:t>
            </w:r>
            <w:r>
              <w:rPr>
                <w:rFonts w:hint="eastAsia"/>
                <w:color w:val="000000"/>
                <w:kern w:val="0"/>
                <w:szCs w:val="21"/>
                <w:lang w:val="en-US" w:eastAsia="zh-CN"/>
              </w:rPr>
              <w:t>92%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采购人满意度</w:t>
            </w:r>
            <w:r>
              <w:rPr>
                <w:rFonts w:hint="eastAsia"/>
                <w:color w:val="000000"/>
                <w:kern w:val="0"/>
                <w:szCs w:val="21"/>
                <w:lang w:val="en-US" w:eastAsia="zh-CN"/>
              </w:rPr>
              <w:t>大于等于90%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采购人满意度</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vMerge w:val="continue"/>
            <w:noWrap w:val="0"/>
            <w:vAlign w:val="center"/>
          </w:tcPr>
          <w:p>
            <w:pPr>
              <w:widowControl/>
              <w:spacing w:line="240" w:lineRule="exact"/>
              <w:jc w:val="left"/>
              <w:rPr>
                <w:color w:val="000000"/>
                <w:kern w:val="0"/>
                <w:szCs w:val="21"/>
              </w:rPr>
            </w:pPr>
          </w:p>
        </w:tc>
        <w:tc>
          <w:tcPr>
            <w:tcW w:w="0" w:type="auto"/>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专家满意度</w:t>
            </w:r>
            <w:r>
              <w:rPr>
                <w:rFonts w:hint="eastAsia"/>
                <w:color w:val="000000"/>
                <w:kern w:val="0"/>
                <w:szCs w:val="21"/>
                <w:lang w:val="en-US" w:eastAsia="zh-CN"/>
              </w:rPr>
              <w:t>大于等于90%</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专家满意度</w:t>
            </w:r>
            <w:r>
              <w:rPr>
                <w:rFonts w:hint="eastAsia"/>
                <w:color w:val="000000"/>
                <w:kern w:val="0"/>
                <w:szCs w:val="21"/>
                <w:lang w:val="en-US" w:eastAsia="zh-CN"/>
              </w:rPr>
              <w:t>95%</w:t>
            </w:r>
          </w:p>
        </w:tc>
        <w:tc>
          <w:tcPr>
            <w:tcW w:w="0" w:type="auto"/>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vMerge w:val="continue"/>
            <w:tcBorders>
              <w:bottom w:val="single" w:color="auto" w:sz="12" w:space="0"/>
            </w:tcBorders>
            <w:noWrap w:val="0"/>
            <w:vAlign w:val="center"/>
          </w:tcPr>
          <w:p>
            <w:pPr>
              <w:widowControl/>
              <w:spacing w:line="240" w:lineRule="exact"/>
              <w:jc w:val="left"/>
              <w:rPr>
                <w:color w:val="000000"/>
                <w:kern w:val="0"/>
                <w:szCs w:val="21"/>
              </w:rPr>
            </w:pP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0" w:type="auto"/>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580" w:lineRule="exact"/>
        <w:jc w:val="center"/>
        <w:rPr>
          <w:rFonts w:hint="eastAsia" w:eastAsia="方正小标宋简体"/>
          <w:w w:val="85"/>
          <w:sz w:val="44"/>
          <w:szCs w:val="44"/>
          <w:lang w:val="en-US" w:eastAsia="zh-CN"/>
        </w:rPr>
      </w:pPr>
      <w:r>
        <w:rPr>
          <w:rFonts w:hint="eastAsia" w:eastAsia="方正小标宋简体"/>
          <w:w w:val="85"/>
          <w:sz w:val="44"/>
          <w:szCs w:val="44"/>
          <w:lang w:val="en-US" w:eastAsia="zh-CN"/>
        </w:rPr>
        <w:t>乐至县政府政务服务和公共资源交易服务中心</w:t>
      </w:r>
    </w:p>
    <w:p>
      <w:pPr>
        <w:spacing w:line="580" w:lineRule="exact"/>
        <w:jc w:val="center"/>
        <w:rPr>
          <w:rFonts w:eastAsia="方正小标宋简体"/>
          <w:sz w:val="44"/>
          <w:szCs w:val="44"/>
        </w:rPr>
      </w:pPr>
      <w:r>
        <w:rPr>
          <w:rFonts w:eastAsia="方正小标宋简体"/>
          <w:w w:val="85"/>
          <w:sz w:val="44"/>
          <w:szCs w:val="44"/>
        </w:rPr>
        <w:t>202</w:t>
      </w:r>
      <w:r>
        <w:rPr>
          <w:rFonts w:hint="eastAsia" w:eastAsia="方正小标宋简体"/>
          <w:w w:val="85"/>
          <w:sz w:val="44"/>
          <w:szCs w:val="44"/>
          <w:lang w:val="en-US" w:eastAsia="zh-CN"/>
        </w:rPr>
        <w:t>2</w:t>
      </w:r>
      <w:r>
        <w:rPr>
          <w:rFonts w:hint="eastAsia" w:eastAsia="方正小标宋简体"/>
          <w:w w:val="85"/>
          <w:sz w:val="44"/>
          <w:szCs w:val="44"/>
        </w:rPr>
        <w:t>年</w:t>
      </w:r>
      <w:r>
        <w:rPr>
          <w:rFonts w:hint="eastAsia" w:eastAsia="方正小标宋简体"/>
          <w:sz w:val="44"/>
          <w:szCs w:val="44"/>
        </w:rPr>
        <w:t>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工程建设招投标异地远程评标设施设备经费</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ind w:firstLine="643" w:firstLineChars="200"/>
        <w:rPr>
          <w:rFonts w:hint="eastAsia" w:ascii="Times New Roman" w:hAnsi="Times New Roman" w:eastAsia="方正楷体简体" w:cs="Times New Roman"/>
          <w:b/>
          <w:sz w:val="32"/>
          <w:szCs w:val="32"/>
          <w:lang w:val="en-US" w:eastAsia="zh-CN"/>
        </w:rPr>
      </w:pPr>
      <w:r>
        <w:rPr>
          <w:rFonts w:hint="eastAsia" w:ascii="Times New Roman" w:hAnsi="Times New Roman" w:eastAsia="方正楷体简体" w:cs="Times New Roman"/>
          <w:b/>
          <w:sz w:val="32"/>
          <w:szCs w:val="32"/>
          <w:lang w:val="en-US" w:eastAsia="zh-CN"/>
        </w:rPr>
        <w:t xml:space="preserve">（一）项目基本情况 </w:t>
      </w:r>
    </w:p>
    <w:p>
      <w:pPr>
        <w:numPr>
          <w:ilvl w:val="0"/>
          <w:numId w:val="0"/>
        </w:num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根据《资阳市人民政府办公室关于印发资阳市创建一流营商环境 2021年行动方案的通知》（资府办发〔2021〕17号）文件精神，我县需于2021年底实现工程建设招投标项目</w:t>
      </w:r>
      <w:r>
        <w:rPr>
          <w:rFonts w:hint="eastAsia" w:ascii="仿宋_GB2312" w:hAnsi="仿宋_GB2312" w:eastAsia="仿宋_GB2312" w:cs="仿宋_GB2312"/>
          <w:sz w:val="32"/>
          <w:szCs w:val="32"/>
          <w:lang w:eastAsia="zh-CN"/>
        </w:rPr>
        <w:t>远程异地</w:t>
      </w:r>
      <w:r>
        <w:rPr>
          <w:rFonts w:hint="eastAsia" w:ascii="仿宋_GB2312" w:hAnsi="仿宋_GB2312" w:eastAsia="仿宋_GB2312" w:cs="仿宋_GB2312"/>
          <w:sz w:val="32"/>
          <w:szCs w:val="32"/>
        </w:rPr>
        <w:t>评标功能，目前我县公共资源交易电子平台已建成，实现政府采购、工程建设招投标全流程电子化，仅剩工程建设招投标项目</w:t>
      </w:r>
      <w:r>
        <w:rPr>
          <w:rFonts w:hint="eastAsia" w:ascii="仿宋_GB2312" w:hAnsi="仿宋_GB2312" w:eastAsia="仿宋_GB2312" w:cs="仿宋_GB2312"/>
          <w:sz w:val="32"/>
          <w:szCs w:val="32"/>
          <w:lang w:eastAsia="zh-CN"/>
        </w:rPr>
        <w:t>远程异地</w:t>
      </w:r>
      <w:r>
        <w:rPr>
          <w:rFonts w:hint="eastAsia" w:ascii="仿宋_GB2312" w:hAnsi="仿宋_GB2312" w:eastAsia="仿宋_GB2312" w:cs="仿宋_GB2312"/>
          <w:sz w:val="32"/>
          <w:szCs w:val="32"/>
        </w:rPr>
        <w:t>评标尚未实现，为进一步优化营商环境，加快推进工程建设招投标项目</w:t>
      </w:r>
      <w:r>
        <w:rPr>
          <w:rFonts w:hint="eastAsia" w:ascii="仿宋_GB2312" w:hAnsi="仿宋_GB2312" w:eastAsia="仿宋_GB2312" w:cs="仿宋_GB2312"/>
          <w:sz w:val="32"/>
          <w:szCs w:val="32"/>
          <w:lang w:eastAsia="zh-CN"/>
        </w:rPr>
        <w:t>远程异地</w:t>
      </w:r>
      <w:r>
        <w:rPr>
          <w:rFonts w:hint="eastAsia" w:ascii="仿宋_GB2312" w:hAnsi="仿宋_GB2312" w:eastAsia="仿宋_GB2312" w:cs="仿宋_GB2312"/>
          <w:sz w:val="32"/>
          <w:szCs w:val="32"/>
        </w:rPr>
        <w:t>评标，按照《乐至县营商环境建设工作领导小组会议纪要》2021第2期文件要求，</w:t>
      </w:r>
      <w:r>
        <w:rPr>
          <w:rFonts w:hint="eastAsia" w:ascii="仿宋_GB2312" w:hAnsi="仿宋_GB2312" w:eastAsia="仿宋_GB2312" w:cs="仿宋_GB2312"/>
          <w:sz w:val="32"/>
          <w:szCs w:val="32"/>
          <w:lang w:eastAsia="zh-CN"/>
        </w:rPr>
        <w:t>且雁江区和安岳县也已经实现远程异地评标，</w:t>
      </w:r>
      <w:r>
        <w:rPr>
          <w:rFonts w:hint="eastAsia" w:ascii="仿宋_GB2312" w:hAnsi="仿宋_GB2312" w:eastAsia="仿宋_GB2312" w:cs="仿宋_GB2312"/>
          <w:sz w:val="32"/>
          <w:szCs w:val="32"/>
        </w:rPr>
        <w:t>我中心急需建设工程远程异地评标系统和电子刻录系统。</w:t>
      </w:r>
    </w:p>
    <w:p>
      <w:pPr>
        <w:spacing w:line="600" w:lineRule="exact"/>
        <w:ind w:firstLine="640" w:firstLineChars="200"/>
        <w:jc w:val="left"/>
        <w:rPr>
          <w:rFonts w:hint="eastAsia" w:ascii="方正仿宋简体" w:hAnsi="方正仿宋简体" w:eastAsia="方正仿宋简体"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rPr>
        <w:t>2021年乐至县政府政务服务和公共资源交易服务中心</w:t>
      </w:r>
      <w:r>
        <w:rPr>
          <w:rFonts w:hint="eastAsia" w:ascii="方正仿宋简体" w:hAnsi="方正仿宋简体" w:eastAsia="方正仿宋简体" w:cs="方正仿宋简体"/>
          <w:b w:val="0"/>
          <w:bCs w:val="0"/>
          <w:sz w:val="32"/>
          <w:szCs w:val="32"/>
          <w:lang w:val="en-US" w:eastAsia="zh-CN"/>
        </w:rPr>
        <w:t>工程建设招投标异地远程评标设备设施</w:t>
      </w:r>
      <w:r>
        <w:rPr>
          <w:rFonts w:hint="eastAsia" w:ascii="方正仿宋简体" w:hAnsi="方正仿宋简体" w:eastAsia="方正仿宋简体" w:cs="方正仿宋简体"/>
          <w:b w:val="0"/>
          <w:bCs w:val="0"/>
          <w:sz w:val="32"/>
          <w:szCs w:val="32"/>
        </w:rPr>
        <w:t>项目</w:t>
      </w:r>
      <w:r>
        <w:rPr>
          <w:rFonts w:hint="eastAsia" w:ascii="方正仿宋简体" w:hAnsi="方正仿宋简体" w:eastAsia="方正仿宋简体" w:cs="方正仿宋简体"/>
          <w:b w:val="0"/>
          <w:bCs w:val="0"/>
          <w:sz w:val="32"/>
          <w:szCs w:val="32"/>
          <w:lang w:val="en-US" w:eastAsia="zh-CN"/>
        </w:rPr>
        <w:t>是2021年12月由</w:t>
      </w:r>
      <w:r>
        <w:rPr>
          <w:rFonts w:hint="eastAsia" w:ascii="方正仿宋简体" w:hAnsi="方正仿宋简体" w:eastAsia="方正仿宋简体" w:cs="方正仿宋简体"/>
          <w:b w:val="0"/>
          <w:bCs w:val="0"/>
          <w:sz w:val="32"/>
          <w:szCs w:val="32"/>
        </w:rPr>
        <w:t>乐至县政府政务服务和公共资源交易服务中心</w:t>
      </w:r>
      <w:r>
        <w:rPr>
          <w:rFonts w:hint="eastAsia" w:ascii="方正仿宋简体" w:hAnsi="方正仿宋简体" w:eastAsia="方正仿宋简体" w:cs="方正仿宋简体"/>
          <w:b w:val="0"/>
          <w:bCs w:val="0"/>
          <w:sz w:val="32"/>
          <w:szCs w:val="32"/>
          <w:lang w:val="en-US" w:eastAsia="zh-CN"/>
        </w:rPr>
        <w:t>发起的，</w:t>
      </w:r>
      <w:r>
        <w:rPr>
          <w:rFonts w:hint="eastAsia" w:ascii="方正仿宋简体" w:hAnsi="方正仿宋简体" w:eastAsia="方正仿宋简体" w:cs="方正仿宋简体"/>
          <w:b w:val="0"/>
          <w:bCs w:val="0"/>
          <w:sz w:val="32"/>
          <w:szCs w:val="32"/>
        </w:rPr>
        <w:t>乐至县政府政务服务和公共资源交易服务中心</w:t>
      </w:r>
      <w:r>
        <w:rPr>
          <w:rFonts w:hint="eastAsia" w:ascii="方正仿宋简体" w:hAnsi="方正仿宋简体" w:eastAsia="方正仿宋简体" w:cs="方正仿宋简体"/>
          <w:b w:val="0"/>
          <w:bCs w:val="0"/>
          <w:color w:val="000000"/>
          <w:sz w:val="32"/>
          <w:szCs w:val="32"/>
        </w:rPr>
        <w:t>关于实施工程建设招投标异地远程评标设备设施的请示</w:t>
      </w:r>
      <w:r>
        <w:rPr>
          <w:rFonts w:hint="eastAsia" w:ascii="方正仿宋简体" w:hAnsi="方正仿宋简体" w:eastAsia="方正仿宋简体" w:cs="方正仿宋简体"/>
          <w:b w:val="0"/>
          <w:bCs w:val="0"/>
          <w:color w:val="000000"/>
          <w:sz w:val="32"/>
          <w:szCs w:val="32"/>
          <w:lang w:eastAsia="zh-CN"/>
        </w:rPr>
        <w:t>（</w:t>
      </w:r>
      <w:r>
        <w:rPr>
          <w:rFonts w:hint="eastAsia" w:ascii="方正仿宋简体" w:hAnsi="方正仿宋简体" w:eastAsia="方正仿宋简体" w:cs="方正仿宋简体"/>
          <w:b w:val="0"/>
          <w:bCs w:val="0"/>
          <w:sz w:val="32"/>
          <w:szCs w:val="32"/>
        </w:rPr>
        <w:t>乐</w:t>
      </w:r>
      <w:r>
        <w:rPr>
          <w:rFonts w:hint="eastAsia" w:ascii="方正仿宋简体" w:hAnsi="方正仿宋简体" w:eastAsia="方正仿宋简体" w:cs="方正仿宋简体"/>
          <w:b w:val="0"/>
          <w:bCs w:val="0"/>
          <w:sz w:val="32"/>
          <w:szCs w:val="32"/>
          <w:lang w:val="en-US" w:eastAsia="zh-CN"/>
        </w:rPr>
        <w:t>政公</w:t>
      </w:r>
      <w:r>
        <w:rPr>
          <w:rFonts w:hint="eastAsia" w:ascii="方正仿宋简体" w:hAnsi="方正仿宋简体" w:eastAsia="方正仿宋简体" w:cs="方正仿宋简体"/>
          <w:b w:val="0"/>
          <w:bCs w:val="0"/>
          <w:sz w:val="32"/>
          <w:szCs w:val="32"/>
        </w:rPr>
        <w:t>〔202</w:t>
      </w:r>
      <w:r>
        <w:rPr>
          <w:rFonts w:hint="eastAsia" w:ascii="方正仿宋简体" w:hAnsi="方正仿宋简体" w:eastAsia="方正仿宋简体" w:cs="方正仿宋简体"/>
          <w:b w:val="0"/>
          <w:bCs w:val="0"/>
          <w:sz w:val="32"/>
          <w:szCs w:val="32"/>
          <w:lang w:val="en-US" w:eastAsia="zh-CN"/>
        </w:rPr>
        <w:t>1</w:t>
      </w:r>
      <w:r>
        <w:rPr>
          <w:rFonts w:hint="eastAsia" w:ascii="方正仿宋简体" w:hAnsi="方正仿宋简体" w:eastAsia="方正仿宋简体" w:cs="方正仿宋简体"/>
          <w:b w:val="0"/>
          <w:bCs w:val="0"/>
          <w:sz w:val="32"/>
          <w:szCs w:val="32"/>
        </w:rPr>
        <w:t>〕</w:t>
      </w:r>
      <w:r>
        <w:rPr>
          <w:rFonts w:hint="eastAsia" w:ascii="方正仿宋简体" w:hAnsi="方正仿宋简体" w:eastAsia="方正仿宋简体" w:cs="方正仿宋简体"/>
          <w:b w:val="0"/>
          <w:bCs w:val="0"/>
          <w:sz w:val="32"/>
          <w:szCs w:val="32"/>
          <w:lang w:val="en-US" w:eastAsia="zh-CN"/>
        </w:rPr>
        <w:t>16</w:t>
      </w:r>
      <w:r>
        <w:rPr>
          <w:rFonts w:hint="eastAsia" w:ascii="方正仿宋简体" w:hAnsi="方正仿宋简体" w:eastAsia="方正仿宋简体" w:cs="方正仿宋简体"/>
          <w:b w:val="0"/>
          <w:bCs w:val="0"/>
          <w:sz w:val="32"/>
          <w:szCs w:val="32"/>
        </w:rPr>
        <w:t xml:space="preserve"> 号</w:t>
      </w:r>
      <w:r>
        <w:rPr>
          <w:rFonts w:hint="eastAsia" w:ascii="方正仿宋简体" w:hAnsi="方正仿宋简体" w:eastAsia="方正仿宋简体" w:cs="方正仿宋简体"/>
          <w:b w:val="0"/>
          <w:bCs w:val="0"/>
          <w:sz w:val="32"/>
          <w:szCs w:val="32"/>
          <w:lang w:eastAsia="zh-CN"/>
        </w:rPr>
        <w:t>）</w:t>
      </w:r>
      <w:r>
        <w:rPr>
          <w:rFonts w:hint="eastAsia" w:ascii="方正仿宋简体" w:hAnsi="方正仿宋简体" w:eastAsia="方正仿宋简体" w:cs="方正仿宋简体"/>
          <w:b w:val="0"/>
          <w:bCs w:val="0"/>
          <w:sz w:val="32"/>
          <w:szCs w:val="32"/>
          <w:lang w:val="en-US" w:eastAsia="zh-CN"/>
        </w:rPr>
        <w:t>文件，申请招投标项目异地远程评标设施设备经费 49.74 万元，财政审批金额46万元，执行金额42.96万元。</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lang w:val="en-US" w:eastAsia="zh-CN"/>
        </w:rPr>
        <w:t>2022年县级财政预算金额</w:t>
      </w:r>
      <w:r>
        <w:rPr>
          <w:rFonts w:hint="eastAsia" w:ascii="方正仿宋简体" w:hAnsi="方正仿宋简体" w:eastAsia="方正仿宋简体" w:cs="方正仿宋简体"/>
          <w:b w:val="0"/>
          <w:bCs w:val="0"/>
          <w:sz w:val="32"/>
          <w:szCs w:val="32"/>
          <w:lang w:val="en-US" w:eastAsia="zh-CN"/>
        </w:rPr>
        <w:t>7万元，已支付自动刻录系统7万元</w:t>
      </w:r>
      <w:r>
        <w:rPr>
          <w:rFonts w:hint="eastAsia" w:ascii="仿宋_GB2312" w:hAnsi="仿宋_GB2312" w:eastAsia="仿宋_GB2312" w:cs="仿宋_GB2312"/>
          <w:sz w:val="32"/>
          <w:szCs w:val="32"/>
          <w:lang w:val="en-US" w:eastAsia="zh-CN"/>
        </w:rPr>
        <w:t>。</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2022年支付7万元，欠拨36.96万元。</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tabs>
          <w:tab w:val="left" w:pos="2835"/>
          <w:tab w:val="left" w:pos="3900"/>
          <w:tab w:val="center" w:pos="4422"/>
        </w:tabs>
        <w:adjustRightInd w:val="0"/>
        <w:snapToGrid w:val="0"/>
        <w:spacing w:line="600" w:lineRule="exact"/>
        <w:ind w:firstLine="640" w:firstLineChars="200"/>
        <w:rPr>
          <w:rFonts w:hint="default"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bidi="ar"/>
        </w:rPr>
        <w:t>202</w:t>
      </w:r>
      <w:r>
        <w:rPr>
          <w:rFonts w:hint="eastAsia" w:ascii="仿宋_GB2312" w:hAnsi="仿宋_GB2312" w:eastAsia="仿宋_GB2312" w:cs="仿宋_GB2312"/>
          <w:color w:val="333333"/>
          <w:kern w:val="0"/>
          <w:sz w:val="32"/>
          <w:szCs w:val="32"/>
          <w:lang w:val="en-US" w:eastAsia="zh-CN" w:bidi="ar"/>
        </w:rPr>
        <w:t>1</w:t>
      </w:r>
      <w:r>
        <w:rPr>
          <w:rFonts w:hint="eastAsia" w:ascii="仿宋_GB2312" w:hAnsi="仿宋_GB2312" w:eastAsia="仿宋_GB2312" w:cs="仿宋_GB2312"/>
          <w:color w:val="333333"/>
          <w:kern w:val="0"/>
          <w:sz w:val="32"/>
          <w:szCs w:val="32"/>
          <w:lang w:bidi="ar"/>
        </w:rPr>
        <w:t>年底前，完成工程远程异地评标系统有关硬件设施和网络环境等配套建设以及与</w:t>
      </w:r>
      <w:r>
        <w:rPr>
          <w:rFonts w:hint="eastAsia" w:ascii="仿宋_GB2312" w:hAnsi="仿宋_GB2312" w:eastAsia="仿宋_GB2312" w:cs="仿宋_GB2312"/>
          <w:color w:val="333333"/>
          <w:kern w:val="0"/>
          <w:sz w:val="32"/>
          <w:szCs w:val="32"/>
          <w:lang w:val="en-US" w:eastAsia="zh-CN" w:bidi="ar"/>
        </w:rPr>
        <w:t>建设网</w:t>
      </w:r>
      <w:r>
        <w:rPr>
          <w:rFonts w:hint="eastAsia" w:ascii="仿宋_GB2312" w:hAnsi="仿宋_GB2312" w:eastAsia="仿宋_GB2312" w:cs="仿宋_GB2312"/>
          <w:color w:val="333333"/>
          <w:kern w:val="0"/>
          <w:sz w:val="32"/>
          <w:szCs w:val="32"/>
          <w:lang w:bidi="ar"/>
        </w:rPr>
        <w:t>实现对接等工作，</w:t>
      </w:r>
      <w:r>
        <w:rPr>
          <w:rFonts w:hint="eastAsia" w:ascii="仿宋_GB2312" w:hAnsi="仿宋_GB2312" w:eastAsia="仿宋_GB2312" w:cs="仿宋_GB2312"/>
          <w:color w:val="333333"/>
          <w:kern w:val="0"/>
          <w:sz w:val="32"/>
          <w:szCs w:val="32"/>
          <w:lang w:val="en-US" w:eastAsia="zh-CN" w:bidi="ar"/>
        </w:rPr>
        <w:t>建成</w:t>
      </w:r>
      <w:r>
        <w:rPr>
          <w:rFonts w:hint="eastAsia" w:ascii="仿宋_GB2312" w:hAnsi="仿宋_GB2312" w:eastAsia="仿宋_GB2312" w:cs="仿宋_GB2312"/>
          <w:color w:val="333333"/>
          <w:kern w:val="0"/>
          <w:sz w:val="32"/>
          <w:szCs w:val="32"/>
          <w:lang w:bidi="ar"/>
        </w:rPr>
        <w:t>工程远程异地评标系统</w:t>
      </w:r>
      <w:r>
        <w:rPr>
          <w:rFonts w:hint="eastAsia" w:ascii="仿宋_GB2312" w:hAnsi="仿宋_GB2312" w:eastAsia="仿宋_GB2312" w:cs="仿宋_GB2312"/>
          <w:color w:val="333333"/>
          <w:kern w:val="0"/>
          <w:sz w:val="32"/>
          <w:szCs w:val="32"/>
          <w:lang w:eastAsia="zh-CN" w:bidi="ar"/>
        </w:rPr>
        <w:t>。</w:t>
      </w:r>
      <w:r>
        <w:rPr>
          <w:rFonts w:hint="eastAsia" w:ascii="仿宋_GB2312" w:hAnsi="仿宋_GB2312" w:eastAsia="仿宋_GB2312" w:cs="仿宋_GB2312"/>
          <w:color w:val="333333"/>
          <w:kern w:val="0"/>
          <w:sz w:val="32"/>
          <w:szCs w:val="32"/>
          <w:lang w:val="en-US" w:eastAsia="zh-CN" w:bidi="ar"/>
        </w:rPr>
        <w:t>2022年2月采购安装全自动刻录系统，实现开评标过程实时自动刻录。</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90" w:lineRule="exact"/>
        <w:ind w:firstLine="640" w:firstLineChars="200"/>
        <w:rPr>
          <w:rFonts w:hint="eastAsia" w:ascii="方正仿宋简体" w:eastAsia="方正仿宋简体"/>
          <w:sz w:val="32"/>
          <w:szCs w:val="32"/>
          <w:lang w:val="en-US" w:eastAsia="zh-CN"/>
        </w:rPr>
      </w:pPr>
      <w:r>
        <w:rPr>
          <w:rFonts w:hint="eastAsia" w:ascii="方正仿宋简体" w:eastAsia="方正仿宋简体"/>
          <w:sz w:val="32"/>
          <w:szCs w:val="32"/>
        </w:rPr>
        <w:t>我中心严格按照县级部门预算编制通知和有关要求</w:t>
      </w:r>
      <w:r>
        <w:rPr>
          <w:rFonts w:hint="eastAsia" w:ascii="方正仿宋简体" w:eastAsia="方正仿宋简体"/>
          <w:sz w:val="32"/>
          <w:szCs w:val="32"/>
          <w:lang w:eastAsia="zh-CN"/>
        </w:rPr>
        <w:t>，</w:t>
      </w:r>
      <w:r>
        <w:rPr>
          <w:rFonts w:hint="eastAsia" w:ascii="方正仿宋简体" w:eastAsia="方正仿宋简体"/>
          <w:sz w:val="32"/>
          <w:szCs w:val="32"/>
        </w:rPr>
        <w:t>遵循人员经费按标准、公用经费按定额、专项经费按项目、勤俭节约、讲求绩效的原则</w:t>
      </w:r>
      <w:r>
        <w:rPr>
          <w:rFonts w:hint="eastAsia" w:ascii="方正仿宋简体" w:eastAsia="方正仿宋简体"/>
          <w:sz w:val="32"/>
          <w:szCs w:val="32"/>
          <w:lang w:eastAsia="zh-CN"/>
        </w:rPr>
        <w:t>，</w:t>
      </w:r>
      <w:r>
        <w:rPr>
          <w:rFonts w:hint="eastAsia" w:ascii="方正仿宋简体" w:eastAsia="方正仿宋简体"/>
          <w:sz w:val="32"/>
          <w:szCs w:val="32"/>
          <w:lang w:val="en-US" w:eastAsia="zh-CN"/>
        </w:rPr>
        <w:t>成立自评工作小组，成员如下：</w:t>
      </w:r>
    </w:p>
    <w:p>
      <w:pPr>
        <w:spacing w:line="590" w:lineRule="exact"/>
        <w:ind w:firstLine="640" w:firstLineChars="200"/>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我中心严格执行“三公经费”预算，</w:t>
      </w:r>
      <w:r>
        <w:rPr>
          <w:rFonts w:hint="eastAsia" w:ascii="方正仿宋简体" w:eastAsia="方正仿宋简体"/>
          <w:color w:val="000000"/>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hint="eastAsia" w:eastAsia="方正楷体简体"/>
          <w:b/>
          <w:sz w:val="32"/>
          <w:szCs w:val="32"/>
        </w:rPr>
      </w:pPr>
      <w:r>
        <w:rPr>
          <w:rFonts w:hint="eastAsia" w:ascii="方正仿宋简体" w:eastAsia="方正仿宋简体"/>
          <w:sz w:val="32"/>
          <w:szCs w:val="32"/>
          <w:lang w:val="en-US" w:eastAsia="zh-CN"/>
        </w:rPr>
        <w:t>我中心采用报告审批制度完成自评工作。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《乐至县财政支出绩效评价管理办法》规定确定绩效等级优。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default" w:ascii="方正仿宋简体" w:eastAsia="方正仿宋简体"/>
          <w:sz w:val="32"/>
          <w:szCs w:val="32"/>
          <w:lang w:val="en-US"/>
        </w:rPr>
      </w:pPr>
      <w:r>
        <w:rPr>
          <w:rFonts w:hint="eastAsia" w:ascii="方正仿宋简体" w:eastAsia="方正仿宋简体"/>
          <w:sz w:val="32"/>
          <w:szCs w:val="32"/>
        </w:rPr>
        <w:t>通过项目的实施，全面保障乐至县</w:t>
      </w:r>
      <w:r>
        <w:rPr>
          <w:rFonts w:hint="eastAsia" w:ascii="方正仿宋简体" w:eastAsia="方正仿宋简体"/>
          <w:sz w:val="32"/>
          <w:szCs w:val="32"/>
          <w:lang w:val="en-US" w:eastAsia="zh-CN"/>
        </w:rPr>
        <w:t>公共资源交易活动</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eastAsia="方正仿宋简体"/>
          <w:sz w:val="32"/>
          <w:szCs w:val="32"/>
          <w:lang w:val="en-US" w:eastAsia="zh-CN"/>
        </w:rPr>
        <w:t>专项网络稳定畅通，资金结算及时，网络维护准时、高效。</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tabs>
          <w:tab w:val="left" w:pos="2835"/>
          <w:tab w:val="left" w:pos="3900"/>
          <w:tab w:val="center" w:pos="4422"/>
        </w:tabs>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一是加强组织领导。</w:t>
      </w:r>
      <w:r>
        <w:rPr>
          <w:rFonts w:hint="eastAsia" w:ascii="仿宋_GB2312" w:hAnsi="仿宋_GB2312" w:eastAsia="仿宋_GB2312" w:cs="仿宋_GB2312"/>
          <w:sz w:val="32"/>
          <w:szCs w:val="32"/>
        </w:rPr>
        <w:t>成立由县政府分管领导任组长，县行政审批局局长任副组长，县政府办、县发改局、县财政局、县自然资源局、县国有资产监督和金融工作局等有关单位分管领导为成员的专项工作领导小组，负责工程建设招投标异地远程评标设备设施工作的开展和有关工作的组织协调。日常工作由县政府政务服务和公共资源交易服务中心牵头，县级有关部门协调配合，具体负责全县电子交易系统建设工作的部署和实施；</w:t>
      </w:r>
      <w:r>
        <w:rPr>
          <w:rFonts w:hint="eastAsia" w:ascii="仿宋_GB2312" w:hAnsi="仿宋_GB2312" w:eastAsia="仿宋_GB2312" w:cs="仿宋_GB2312"/>
          <w:b/>
          <w:sz w:val="32"/>
          <w:szCs w:val="32"/>
        </w:rPr>
        <w:t>二是明确责任分工。</w:t>
      </w:r>
      <w:r>
        <w:rPr>
          <w:rFonts w:hint="eastAsia" w:ascii="仿宋_GB2312" w:hAnsi="仿宋_GB2312" w:eastAsia="仿宋_GB2312" w:cs="仿宋_GB2312"/>
          <w:color w:val="333333"/>
          <w:kern w:val="0"/>
          <w:sz w:val="32"/>
          <w:szCs w:val="32"/>
          <w:lang w:bidi="ar"/>
        </w:rPr>
        <w:t>县</w:t>
      </w:r>
      <w:r>
        <w:rPr>
          <w:rFonts w:hint="eastAsia" w:ascii="仿宋_GB2312" w:hAnsi="仿宋_GB2312" w:eastAsia="仿宋_GB2312" w:cs="仿宋_GB2312"/>
          <w:sz w:val="32"/>
          <w:szCs w:val="32"/>
        </w:rPr>
        <w:t>级相关部门要细化工作责任、明确完成时限，加快推动我县工程建设招投标异地远程评标设备设施</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建设工作。县政府政务服务和公共资源交易服务中心负责工程建设招投标异地远程评标设备设施的建设、运行和维护，发改、财政、自然资源、国有资产监督等有关部门要加强对工程建设招投标异地远程评标设备设施开发和建设工作的支持和指导，参与工程建设招投标异地远程评标设备设施系统调试。县政府督查室负责对我县公共资源工程建设招投标异地远程评标设备设施建设推进情况进行督促检查并通报有关情况。</w:t>
      </w:r>
      <w:r>
        <w:rPr>
          <w:rFonts w:hint="eastAsia" w:ascii="仿宋_GB2312" w:hAnsi="仿宋_GB2312" w:eastAsia="仿宋_GB2312" w:cs="仿宋_GB2312"/>
          <w:b/>
          <w:color w:val="333333"/>
          <w:kern w:val="0"/>
          <w:sz w:val="32"/>
          <w:szCs w:val="32"/>
          <w:lang w:bidi="ar"/>
        </w:rPr>
        <w:t>三是健全管理制度。</w:t>
      </w:r>
      <w:r>
        <w:rPr>
          <w:rFonts w:hint="eastAsia" w:ascii="仿宋_GB2312" w:hAnsi="仿宋_GB2312" w:eastAsia="仿宋_GB2312" w:cs="仿宋_GB2312"/>
          <w:sz w:val="32"/>
          <w:szCs w:val="32"/>
        </w:rPr>
        <w:t>县级有关部门要采取多种方式，加强对有关人员的教育和培训，提高应用电子化平台开展工作的能力和水平。要结合工作实际，逐步建立和完善电子交易系统建设和运行的有关制度，加强责任考核，充分发挥电子化平台的作用。</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eastAsia" w:ascii="方正仿宋简体" w:hAnsi="方正仿宋简体" w:eastAsia="方正仿宋简体" w:cs="方正仿宋简体"/>
          <w:b w:val="0"/>
          <w:bCs/>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pStyle w:val="2"/>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hint="eastAsia"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pStyle w:val="2"/>
      </w:pPr>
    </w:p>
    <w:p>
      <w:pPr>
        <w:spacing w:line="580" w:lineRule="exact"/>
        <w:ind w:firstLine="1600" w:firstLineChars="5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乐至县政府政务服务和公共资源交易服务中心</w:t>
      </w:r>
    </w:p>
    <w:p>
      <w:pPr>
        <w:spacing w:line="580" w:lineRule="exact"/>
        <w:ind w:firstLine="4160" w:firstLineChars="1300"/>
        <w:rPr>
          <w:rFonts w:ascii="宋体" w:hAnsi="宋体" w:eastAsia="方正仿宋简体"/>
          <w:b/>
          <w:sz w:val="32"/>
          <w:szCs w:val="32"/>
        </w:rPr>
      </w:pPr>
      <w:r>
        <w:rPr>
          <w:rFonts w:hint="eastAsia" w:ascii="Times New Roman" w:hAnsi="Times New Roman" w:eastAsia="方正仿宋简体" w:cs="Times New Roman"/>
          <w:sz w:val="32"/>
          <w:szCs w:val="32"/>
          <w:lang w:val="en-US" w:eastAsia="zh-CN"/>
        </w:rPr>
        <w:t>2023年11月8日</w:t>
      </w: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ascii="Times New Roman" w:hAnsi="Times New Roman" w:eastAsia="方正楷体简体" w:cs="Times New Roman"/>
          <w:b/>
          <w:bCs/>
          <w:kern w:val="0"/>
          <w:sz w:val="32"/>
          <w:szCs w:val="32"/>
        </w:rPr>
        <w:t>工程建设招投标异地远程评标设施设备经费</w:t>
      </w:r>
      <w:r>
        <w:rPr>
          <w:rFonts w:hint="eastAsia" w:eastAsia="方正楷体简体"/>
          <w:b/>
          <w:bCs/>
          <w:kern w:val="0"/>
          <w:sz w:val="32"/>
          <w:szCs w:val="32"/>
        </w:rPr>
        <w:t>）</w:t>
      </w:r>
    </w:p>
    <w:p>
      <w:pPr>
        <w:spacing w:line="620" w:lineRule="exact"/>
        <w:rPr>
          <w:rFonts w:hint="eastAsia" w:eastAsia="宋体"/>
          <w:sz w:val="18"/>
          <w:szCs w:val="18"/>
          <w:lang w:val="en-US" w:eastAsia="zh-CN"/>
        </w:rPr>
      </w:pPr>
      <w:r>
        <w:rPr>
          <w:rFonts w:hint="eastAsia"/>
          <w:bCs/>
          <w:kern w:val="0"/>
          <w:sz w:val="18"/>
          <w:szCs w:val="18"/>
        </w:rPr>
        <w:t>预算单位名称：</w:t>
      </w:r>
      <w:r>
        <w:rPr>
          <w:rFonts w:hint="eastAsia"/>
          <w:bCs/>
          <w:kern w:val="0"/>
          <w:sz w:val="18"/>
          <w:szCs w:val="18"/>
          <w:lang w:val="en-US" w:eastAsia="zh-CN"/>
        </w:rPr>
        <w:t>乐至县政府政务服务和公共资源交易服务中心</w:t>
      </w:r>
      <w:r>
        <w:rPr>
          <w:bCs/>
          <w:kern w:val="0"/>
          <w:sz w:val="18"/>
          <w:szCs w:val="18"/>
        </w:rPr>
        <w:t xml:space="preserve">  </w:t>
      </w:r>
      <w:r>
        <w:rPr>
          <w:rFonts w:hint="eastAsia"/>
          <w:bCs/>
          <w:kern w:val="0"/>
          <w:sz w:val="18"/>
          <w:szCs w:val="18"/>
        </w:rPr>
        <w:t>预算单位编码：</w:t>
      </w:r>
      <w:r>
        <w:rPr>
          <w:rFonts w:hint="eastAsia"/>
          <w:bCs/>
          <w:kern w:val="0"/>
          <w:sz w:val="18"/>
          <w:szCs w:val="18"/>
          <w:lang w:val="en-US" w:eastAsia="zh-CN"/>
        </w:rPr>
        <w:t>143001</w:t>
      </w:r>
      <w:r>
        <w:rPr>
          <w:rFonts w:hint="eastAsia"/>
          <w:bCs/>
          <w:kern w:val="0"/>
          <w:sz w:val="18"/>
          <w:szCs w:val="18"/>
        </w:rPr>
        <w:t>自评等级：</w:t>
      </w:r>
      <w:r>
        <w:rPr>
          <w:rFonts w:hint="eastAsia"/>
          <w:bCs/>
          <w:kern w:val="0"/>
          <w:sz w:val="18"/>
          <w:szCs w:val="18"/>
          <w:lang w:val="en-US"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2"/>
        <w:gridCol w:w="702"/>
        <w:gridCol w:w="850"/>
        <w:gridCol w:w="1699"/>
        <w:gridCol w:w="3545"/>
        <w:gridCol w:w="706"/>
        <w:gridCol w:w="8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6"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1"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1"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1"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6"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2"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1"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7"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1"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7"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1"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1"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2"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1" w:type="pct"/>
            <w:vMerge w:val="continue"/>
            <w:noWrap w:val="0"/>
            <w:vAlign w:val="center"/>
          </w:tcPr>
          <w:p>
            <w:pPr>
              <w:widowControl/>
              <w:spacing w:line="240" w:lineRule="exact"/>
              <w:jc w:val="left"/>
              <w:rPr>
                <w:kern w:val="0"/>
                <w:szCs w:val="21"/>
              </w:rPr>
            </w:pPr>
          </w:p>
        </w:tc>
        <w:tc>
          <w:tcPr>
            <w:tcW w:w="387"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1"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6"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1"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7"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7"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96</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footerReference r:id="rId9" w:type="default"/>
          <w:footerReference r:id="rId10"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3"/>
        <w:spacing w:after="0" w:line="240" w:lineRule="exact"/>
        <w:rPr>
          <w:rFonts w:ascii="宋体"/>
        </w:rPr>
      </w:pPr>
    </w:p>
    <w:tbl>
      <w:tblPr>
        <w:tblStyle w:val="16"/>
        <w:tblW w:w="964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3"/>
        <w:gridCol w:w="1040"/>
        <w:gridCol w:w="648"/>
        <w:gridCol w:w="1317"/>
        <w:gridCol w:w="1169"/>
        <w:gridCol w:w="2010"/>
        <w:gridCol w:w="256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753"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000000"/>
                <w:kern w:val="0"/>
                <w:szCs w:val="21"/>
                <w:highlight w:val="none"/>
                <w:lang w:bidi="ar"/>
              </w:rPr>
              <w:t>工程建设招投标异地远程评标设施设备经费</w:t>
            </w:r>
            <w:r>
              <w:rPr>
                <w:rFonts w:hint="eastAsia" w:ascii="Times New Roman" w:hAnsi="Times New Roman" w:eastAsia="宋体" w:cs="Times New Roman"/>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648"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648" w:type="dxa"/>
            <w:noWrap/>
            <w:vAlign w:val="center"/>
          </w:tcPr>
          <w:p>
            <w:pPr>
              <w:spacing w:line="240" w:lineRule="exact"/>
              <w:jc w:val="center"/>
              <w:rPr>
                <w:szCs w:val="21"/>
              </w:rPr>
            </w:pPr>
            <w:r>
              <w:rPr>
                <w:rFonts w:hint="eastAsia"/>
                <w:color w:val="000000"/>
                <w:kern w:val="0"/>
                <w:szCs w:val="21"/>
              </w:rPr>
              <w:t>□</w:t>
            </w:r>
          </w:p>
        </w:tc>
        <w:tc>
          <w:tcPr>
            <w:tcW w:w="2486"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sym w:font="Wingdings 2" w:char="0052"/>
            </w:r>
          </w:p>
        </w:tc>
        <w:tc>
          <w:tcPr>
            <w:tcW w:w="4579"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174" w:type="dxa"/>
            <w:gridSpan w:val="4"/>
            <w:noWrap/>
            <w:vAlign w:val="center"/>
          </w:tcPr>
          <w:p>
            <w:pPr>
              <w:widowControl/>
              <w:spacing w:line="240" w:lineRule="exact"/>
              <w:jc w:val="center"/>
              <w:rPr>
                <w:color w:val="000000"/>
                <w:kern w:val="0"/>
                <w:szCs w:val="21"/>
              </w:rPr>
            </w:pPr>
            <w:r>
              <w:rPr>
                <w:rFonts w:hint="eastAsia" w:ascii="宋体" w:hAnsi="宋体" w:cs="宋体"/>
                <w:color w:val="000000"/>
                <w:kern w:val="0"/>
                <w:sz w:val="22"/>
                <w:szCs w:val="22"/>
                <w:lang w:val="en-US" w:eastAsia="zh-CN"/>
              </w:rPr>
              <w:t>乐至县政府政务服务和公共资源交易服务中心</w:t>
            </w:r>
            <w:r>
              <w:rPr>
                <w:rFonts w:hint="eastAsia"/>
                <w:color w:val="000000"/>
                <w:kern w:val="0"/>
                <w:szCs w:val="21"/>
              </w:rPr>
              <w:t>　</w:t>
            </w:r>
          </w:p>
        </w:tc>
        <w:tc>
          <w:tcPr>
            <w:tcW w:w="2010"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5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93"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48"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317"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69"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2010"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569"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64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42.96</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70</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35.96</w:t>
            </w:r>
          </w:p>
        </w:tc>
        <w:tc>
          <w:tcPr>
            <w:tcW w:w="201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83.71</w:t>
            </w:r>
          </w:p>
        </w:tc>
        <w:tc>
          <w:tcPr>
            <w:tcW w:w="25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648"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42.96</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70</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35.96</w:t>
            </w:r>
          </w:p>
        </w:tc>
        <w:tc>
          <w:tcPr>
            <w:tcW w:w="201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83.71</w:t>
            </w:r>
          </w:p>
        </w:tc>
        <w:tc>
          <w:tcPr>
            <w:tcW w:w="25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64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31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93"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648"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317"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169"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2010"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569"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64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eastAsia="宋体"/>
                <w:color w:val="000000"/>
                <w:kern w:val="0"/>
                <w:szCs w:val="21"/>
                <w:lang w:val="en-US" w:eastAsia="zh-CN"/>
              </w:rPr>
              <w:t>42.96</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42.96</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64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70</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70</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64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35.96</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35.96</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64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83.71</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83.71</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648"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w:t>
            </w:r>
          </w:p>
        </w:tc>
        <w:tc>
          <w:tcPr>
            <w:tcW w:w="1317"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93"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68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建成工程建设异地远程评标系统</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100%</w:t>
            </w:r>
            <w:r>
              <w:rPr>
                <w:rFonts w:hint="eastAsia"/>
                <w:color w:val="000000"/>
                <w:kern w:val="0"/>
                <w:szCs w:val="21"/>
              </w:rPr>
              <w:t>　</w:t>
            </w:r>
          </w:p>
        </w:tc>
        <w:tc>
          <w:tcPr>
            <w:tcW w:w="4579" w:type="dxa"/>
            <w:gridSpan w:val="2"/>
            <w:noWrap/>
            <w:vAlign w:val="center"/>
          </w:tcPr>
          <w:p>
            <w:pPr>
              <w:widowControl/>
              <w:spacing w:line="240" w:lineRule="exact"/>
              <w:jc w:val="center"/>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建成一套全自动刻录系统</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100%</w:t>
            </w:r>
            <w:r>
              <w:rPr>
                <w:rFonts w:hint="eastAsia"/>
                <w:color w:val="000000"/>
                <w:kern w:val="0"/>
                <w:szCs w:val="21"/>
              </w:rPr>
              <w:t>　　</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spacing w:line="240" w:lineRule="exact"/>
              <w:jc w:val="left"/>
              <w:rPr>
                <w:color w:val="000000"/>
                <w:kern w:val="0"/>
                <w:szCs w:val="21"/>
              </w:rPr>
            </w:pP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688"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486"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4579"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93"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040"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648"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317"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169"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2010"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569"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648"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317" w:type="dxa"/>
            <w:noWrap/>
            <w:vAlign w:val="center"/>
          </w:tcPr>
          <w:p>
            <w:pPr>
              <w:widowControl/>
              <w:spacing w:line="240" w:lineRule="exact"/>
              <w:jc w:val="left"/>
              <w:rPr>
                <w:color w:val="000000"/>
                <w:kern w:val="0"/>
                <w:szCs w:val="21"/>
              </w:rPr>
            </w:pPr>
            <w:r>
              <w:rPr>
                <w:rFonts w:hint="eastAsia"/>
                <w:color w:val="000000"/>
                <w:kern w:val="0"/>
                <w:szCs w:val="21"/>
                <w:lang w:val="en-US" w:eastAsia="zh-CN"/>
              </w:rPr>
              <w:t>购置</w:t>
            </w:r>
            <w:r>
              <w:rPr>
                <w:rFonts w:hint="eastAsia"/>
                <w:color w:val="000000"/>
                <w:kern w:val="0"/>
                <w:szCs w:val="21"/>
              </w:rPr>
              <w:t>自动刻录系统</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1套</w:t>
            </w:r>
          </w:p>
        </w:tc>
        <w:tc>
          <w:tcPr>
            <w:tcW w:w="201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1套</w:t>
            </w:r>
          </w:p>
        </w:tc>
        <w:tc>
          <w:tcPr>
            <w:tcW w:w="25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continue"/>
            <w:noWrap w:val="0"/>
            <w:vAlign w:val="center"/>
          </w:tcPr>
          <w:p>
            <w:pPr>
              <w:widowControl/>
              <w:spacing w:line="240" w:lineRule="exact"/>
              <w:jc w:val="left"/>
              <w:rPr>
                <w:color w:val="000000"/>
                <w:kern w:val="0"/>
                <w:szCs w:val="21"/>
              </w:rPr>
            </w:pPr>
          </w:p>
        </w:tc>
        <w:tc>
          <w:tcPr>
            <w:tcW w:w="1317" w:type="dxa"/>
            <w:noWrap/>
            <w:vAlign w:val="center"/>
          </w:tcPr>
          <w:p>
            <w:pPr>
              <w:widowControl/>
              <w:spacing w:line="240" w:lineRule="exact"/>
              <w:jc w:val="left"/>
              <w:rPr>
                <w:color w:val="000000"/>
                <w:kern w:val="0"/>
                <w:szCs w:val="21"/>
              </w:rPr>
            </w:pPr>
            <w:r>
              <w:rPr>
                <w:rFonts w:hint="eastAsia"/>
                <w:color w:val="000000"/>
                <w:kern w:val="0"/>
                <w:szCs w:val="21"/>
                <w:lang w:val="en-US" w:eastAsia="zh-CN"/>
              </w:rPr>
              <w:t>建成工程建设异地远程评标系统</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1套</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1套</w:t>
            </w:r>
          </w:p>
        </w:tc>
        <w:tc>
          <w:tcPr>
            <w:tcW w:w="256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continue"/>
            <w:noWrap w:val="0"/>
            <w:vAlign w:val="center"/>
          </w:tcPr>
          <w:p>
            <w:pPr>
              <w:widowControl/>
              <w:spacing w:line="240" w:lineRule="exact"/>
              <w:jc w:val="left"/>
              <w:rPr>
                <w:color w:val="000000"/>
                <w:kern w:val="0"/>
                <w:szCs w:val="21"/>
              </w:rPr>
            </w:pPr>
          </w:p>
        </w:tc>
        <w:tc>
          <w:tcPr>
            <w:tcW w:w="1317"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restart"/>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异地远程评标系统</w:t>
            </w:r>
            <w:r>
              <w:rPr>
                <w:rFonts w:hint="eastAsia"/>
                <w:color w:val="000000"/>
                <w:kern w:val="0"/>
                <w:szCs w:val="21"/>
                <w:lang w:val="en-US" w:eastAsia="zh-CN"/>
              </w:rPr>
              <w:t>采购金额</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≤160000元</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152500元</w:t>
            </w:r>
          </w:p>
        </w:tc>
        <w:tc>
          <w:tcPr>
            <w:tcW w:w="2569"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continue"/>
            <w:noWrap w:val="0"/>
            <w:vAlign w:val="center"/>
          </w:tcPr>
          <w:p>
            <w:pPr>
              <w:widowControl/>
              <w:spacing w:line="240" w:lineRule="exact"/>
              <w:jc w:val="left"/>
              <w:rPr>
                <w:color w:val="000000"/>
                <w:kern w:val="0"/>
                <w:szCs w:val="21"/>
              </w:rPr>
            </w:pP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全自动刻录系统采购金额</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≤297000元</w:t>
            </w:r>
          </w:p>
        </w:tc>
        <w:tc>
          <w:tcPr>
            <w:tcW w:w="2010" w:type="dxa"/>
            <w:noWrap/>
            <w:vAlign w:val="center"/>
          </w:tcPr>
          <w:p>
            <w:pPr>
              <w:widowControl/>
              <w:spacing w:line="240" w:lineRule="exact"/>
              <w:jc w:val="left"/>
              <w:rPr>
                <w:color w:val="000000"/>
                <w:kern w:val="0"/>
                <w:szCs w:val="21"/>
              </w:rPr>
            </w:pPr>
            <w:r>
              <w:rPr>
                <w:rFonts w:hint="eastAsia"/>
                <w:color w:val="000000"/>
                <w:kern w:val="0"/>
                <w:szCs w:val="21"/>
                <w:lang w:val="en-US" w:eastAsia="zh-CN"/>
              </w:rPr>
              <w:t>287108元</w:t>
            </w:r>
          </w:p>
        </w:tc>
        <w:tc>
          <w:tcPr>
            <w:tcW w:w="2569" w:type="dxa"/>
            <w:noWrap/>
            <w:vAlign w:val="center"/>
          </w:tcPr>
          <w:p>
            <w:pPr>
              <w:widowControl/>
              <w:spacing w:line="240" w:lineRule="exact"/>
              <w:jc w:val="left"/>
              <w:rPr>
                <w:color w:val="000000"/>
                <w:kern w:val="0"/>
                <w:szCs w:val="21"/>
              </w:rPr>
            </w:pPr>
            <w:r>
              <w:rPr>
                <w:rFonts w:hint="eastAsia" w:eastAsia="宋体"/>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648"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317" w:type="dxa"/>
            <w:noWrap/>
            <w:vAlign w:val="center"/>
          </w:tcPr>
          <w:p>
            <w:pPr>
              <w:widowControl/>
              <w:spacing w:line="240" w:lineRule="exact"/>
              <w:jc w:val="left"/>
              <w:rPr>
                <w:color w:val="000000"/>
                <w:kern w:val="0"/>
                <w:szCs w:val="21"/>
              </w:rPr>
            </w:pPr>
            <w:r>
              <w:rPr>
                <w:rFonts w:hint="eastAsia"/>
                <w:color w:val="000000"/>
                <w:kern w:val="0"/>
                <w:szCs w:val="21"/>
                <w:lang w:val="en-US" w:eastAsia="zh-CN"/>
              </w:rPr>
              <w:t>采购人</w:t>
            </w:r>
            <w:r>
              <w:rPr>
                <w:rFonts w:hint="eastAsia"/>
                <w:color w:val="000000"/>
                <w:kern w:val="0"/>
                <w:szCs w:val="21"/>
              </w:rPr>
              <w:t>满意度</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≥95%</w:t>
            </w:r>
          </w:p>
        </w:tc>
        <w:tc>
          <w:tcPr>
            <w:tcW w:w="2010" w:type="dxa"/>
            <w:noWrap/>
            <w:vAlign w:val="center"/>
          </w:tcPr>
          <w:p>
            <w:pPr>
              <w:widowControl/>
              <w:spacing w:line="240" w:lineRule="exact"/>
              <w:jc w:val="left"/>
              <w:rPr>
                <w:color w:val="000000"/>
                <w:kern w:val="0"/>
                <w:szCs w:val="21"/>
              </w:rPr>
            </w:pPr>
            <w:r>
              <w:rPr>
                <w:rFonts w:hint="eastAsia"/>
                <w:color w:val="000000"/>
                <w:kern w:val="0"/>
                <w:szCs w:val="21"/>
                <w:lang w:val="en-US" w:eastAsia="zh-CN"/>
              </w:rPr>
              <w:t>≥95%</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continue"/>
            <w:noWrap w:val="0"/>
            <w:vAlign w:val="center"/>
          </w:tcPr>
          <w:p>
            <w:pPr>
              <w:widowControl/>
              <w:spacing w:line="240" w:lineRule="exact"/>
              <w:jc w:val="left"/>
              <w:rPr>
                <w:color w:val="000000"/>
                <w:kern w:val="0"/>
                <w:szCs w:val="21"/>
              </w:rPr>
            </w:pPr>
          </w:p>
        </w:tc>
        <w:tc>
          <w:tcPr>
            <w:tcW w:w="131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投标人满意度</w:t>
            </w:r>
          </w:p>
        </w:tc>
        <w:tc>
          <w:tcPr>
            <w:tcW w:w="116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≥95%</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≥95%</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noWrap w:val="0"/>
            <w:vAlign w:val="center"/>
          </w:tcPr>
          <w:p>
            <w:pPr>
              <w:widowControl/>
              <w:spacing w:line="240" w:lineRule="exact"/>
              <w:jc w:val="left"/>
              <w:rPr>
                <w:color w:val="000000"/>
                <w:kern w:val="0"/>
                <w:szCs w:val="21"/>
              </w:rPr>
            </w:pPr>
          </w:p>
        </w:tc>
        <w:tc>
          <w:tcPr>
            <w:tcW w:w="1040" w:type="dxa"/>
            <w:vMerge w:val="continue"/>
            <w:noWrap w:val="0"/>
            <w:vAlign w:val="center"/>
          </w:tcPr>
          <w:p>
            <w:pPr>
              <w:widowControl/>
              <w:spacing w:line="240" w:lineRule="exact"/>
              <w:jc w:val="left"/>
              <w:rPr>
                <w:color w:val="000000"/>
                <w:kern w:val="0"/>
                <w:szCs w:val="21"/>
              </w:rPr>
            </w:pPr>
          </w:p>
        </w:tc>
        <w:tc>
          <w:tcPr>
            <w:tcW w:w="648" w:type="dxa"/>
            <w:vMerge w:val="continue"/>
            <w:noWrap w:val="0"/>
            <w:vAlign w:val="center"/>
          </w:tcPr>
          <w:p>
            <w:pPr>
              <w:widowControl/>
              <w:spacing w:line="240" w:lineRule="exact"/>
              <w:jc w:val="left"/>
              <w:rPr>
                <w:color w:val="000000"/>
                <w:kern w:val="0"/>
                <w:szCs w:val="21"/>
              </w:rPr>
            </w:pPr>
          </w:p>
        </w:tc>
        <w:tc>
          <w:tcPr>
            <w:tcW w:w="1317"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169"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3"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1040"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648"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317"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16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01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569"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580" w:lineRule="exact"/>
        <w:jc w:val="center"/>
        <w:rPr>
          <w:rFonts w:hint="eastAsia" w:eastAsia="方正小标宋简体"/>
          <w:w w:val="85"/>
          <w:sz w:val="44"/>
          <w:szCs w:val="44"/>
          <w:lang w:val="en-US" w:eastAsia="zh-CN"/>
        </w:rPr>
      </w:pPr>
      <w:r>
        <w:rPr>
          <w:rFonts w:hint="eastAsia" w:eastAsia="方正小标宋简体"/>
          <w:w w:val="85"/>
          <w:sz w:val="44"/>
          <w:szCs w:val="44"/>
          <w:lang w:val="en-US" w:eastAsia="zh-CN"/>
        </w:rPr>
        <w:t>乐至县政府政务服务和公共资源交易服务中心</w:t>
      </w:r>
    </w:p>
    <w:p>
      <w:pPr>
        <w:spacing w:line="580" w:lineRule="exact"/>
        <w:jc w:val="center"/>
        <w:rPr>
          <w:rFonts w:eastAsia="方正小标宋简体"/>
          <w:sz w:val="44"/>
          <w:szCs w:val="44"/>
        </w:rPr>
      </w:pPr>
      <w:r>
        <w:rPr>
          <w:rFonts w:eastAsia="方正小标宋简体"/>
          <w:w w:val="85"/>
          <w:sz w:val="44"/>
          <w:szCs w:val="44"/>
        </w:rPr>
        <w:t>202</w:t>
      </w:r>
      <w:r>
        <w:rPr>
          <w:rFonts w:hint="eastAsia" w:eastAsia="方正小标宋简体"/>
          <w:w w:val="85"/>
          <w:sz w:val="44"/>
          <w:szCs w:val="44"/>
          <w:lang w:val="en-US" w:eastAsia="zh-CN"/>
        </w:rPr>
        <w:t>2</w:t>
      </w:r>
      <w:r>
        <w:rPr>
          <w:rFonts w:hint="eastAsia" w:eastAsia="方正小标宋简体"/>
          <w:w w:val="85"/>
          <w:sz w:val="44"/>
          <w:szCs w:val="44"/>
        </w:rPr>
        <w:t>年</w:t>
      </w:r>
      <w:r>
        <w:rPr>
          <w:rFonts w:hint="eastAsia" w:eastAsia="方正小标宋简体"/>
          <w:sz w:val="44"/>
          <w:szCs w:val="44"/>
        </w:rPr>
        <w:t>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乐至县标准化规范化创建“示范交易中心”</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adjustRightInd w:val="0"/>
        <w:snapToGrid w:val="0"/>
        <w:spacing w:line="520" w:lineRule="exact"/>
        <w:ind w:firstLine="640" w:firstLineChars="200"/>
        <w:rPr>
          <w:rFonts w:hint="default" w:ascii="方正仿宋简体" w:hAnsi="方正仿宋简体" w:eastAsia="仿宋_GB2312" w:cs="方正仿宋简体"/>
          <w:b w:val="0"/>
          <w:bCs w:val="0"/>
          <w:sz w:val="32"/>
          <w:szCs w:val="32"/>
          <w:lang w:val="en-US" w:eastAsia="zh-CN"/>
        </w:rPr>
      </w:pPr>
      <w:r>
        <w:rPr>
          <w:rFonts w:eastAsia="方正仿宋简体"/>
          <w:sz w:val="32"/>
          <w:szCs w:val="32"/>
        </w:rPr>
        <w:t>按照《四川省政府政务服务和公共资源交易服务中心关于印发&lt;深化公共资源交易服务标准化规范化建设“示范交易中心”创建活动工作方案&gt;的通知》（川政公〔2021〕10号）（详见附件1）及市委市政府要求，我县要于2021年底前与资阳市政务服务和公共资源交易服务中心同步完成省级“标准化、规范化”示范交易中心创建工作</w:t>
      </w:r>
      <w:r>
        <w:rPr>
          <w:rFonts w:hint="eastAsia" w:ascii="方正仿宋简体" w:hAnsi="方正仿宋简体" w:eastAsia="方正仿宋简体" w:cs="方正仿宋简体"/>
          <w:b w:val="0"/>
          <w:bCs w:val="0"/>
          <w:sz w:val="32"/>
          <w:szCs w:val="32"/>
          <w:lang w:val="en-US" w:eastAsia="zh-CN"/>
        </w:rPr>
        <w:t>。</w:t>
      </w:r>
      <w:r>
        <w:rPr>
          <w:rFonts w:eastAsia="方正仿宋简体"/>
          <w:sz w:val="32"/>
          <w:szCs w:val="32"/>
        </w:rPr>
        <w:t>我县公共资源交易服务中心需要建设标准化档案室1间、档案资料装订及销毁、添置自助查询机、电脑、制作标识标牌等。</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600" w:lineRule="exact"/>
        <w:ind w:firstLine="640" w:firstLineChars="200"/>
        <w:rPr>
          <w:rFonts w:eastAsia="仿宋"/>
          <w:bCs/>
          <w:sz w:val="32"/>
          <w:szCs w:val="32"/>
        </w:rPr>
      </w:pPr>
      <w:r>
        <w:rPr>
          <w:rFonts w:hint="eastAsia" w:eastAsia="仿宋"/>
          <w:bCs/>
          <w:sz w:val="32"/>
          <w:szCs w:val="32"/>
        </w:rPr>
        <w:t>坚持以习近平新时代中国特色社会主义思想为指导，深入贯彻落实</w:t>
      </w:r>
      <w:r>
        <w:rPr>
          <w:rFonts w:hint="eastAsia" w:eastAsia="仿宋"/>
          <w:sz w:val="30"/>
          <w:szCs w:val="30"/>
        </w:rPr>
        <w:t>党的</w:t>
      </w:r>
      <w:r>
        <w:rPr>
          <w:rFonts w:hint="eastAsia" w:eastAsia="仿宋"/>
          <w:sz w:val="30"/>
          <w:szCs w:val="30"/>
          <w:lang w:val="en-US" w:eastAsia="zh-CN"/>
        </w:rPr>
        <w:t>二十</w:t>
      </w:r>
      <w:r>
        <w:rPr>
          <w:rFonts w:hint="eastAsia" w:eastAsia="仿宋"/>
          <w:sz w:val="30"/>
          <w:szCs w:val="30"/>
        </w:rPr>
        <w:t>大、十九届二中、三中、四中、五中全会精神和省委省政府决策部署，以</w:t>
      </w:r>
      <w:r>
        <w:rPr>
          <w:rFonts w:hint="eastAsia" w:eastAsia="仿宋"/>
          <w:bCs/>
          <w:sz w:val="32"/>
          <w:szCs w:val="32"/>
        </w:rPr>
        <w:t>促进公共资源公平高效配置</w:t>
      </w:r>
      <w:r>
        <w:rPr>
          <w:rFonts w:hint="eastAsia" w:eastAsia="仿宋"/>
          <w:sz w:val="30"/>
          <w:szCs w:val="30"/>
        </w:rPr>
        <w:t>为目标，以贯彻</w:t>
      </w:r>
      <w:r>
        <w:rPr>
          <w:rFonts w:hint="eastAsia" w:eastAsia="仿宋"/>
          <w:bCs/>
          <w:sz w:val="32"/>
          <w:szCs w:val="32"/>
        </w:rPr>
        <w:t>落实《国务院办公厅转发国家发展改革委关于深化公共资源交易平台整合共享的指导意见》（国办函</w:t>
      </w:r>
      <w:r>
        <w:rPr>
          <w:rFonts w:hint="eastAsia" w:eastAsia="仿宋"/>
          <w:sz w:val="32"/>
          <w:szCs w:val="32"/>
        </w:rPr>
        <w:t>〔</w:t>
      </w:r>
      <w:r>
        <w:rPr>
          <w:rFonts w:eastAsia="仿宋"/>
          <w:sz w:val="32"/>
          <w:szCs w:val="32"/>
        </w:rPr>
        <w:t>2019</w:t>
      </w:r>
      <w:r>
        <w:rPr>
          <w:rFonts w:hint="eastAsia" w:eastAsia="仿宋"/>
          <w:sz w:val="32"/>
          <w:szCs w:val="32"/>
        </w:rPr>
        <w:t>〕</w:t>
      </w:r>
      <w:r>
        <w:rPr>
          <w:rFonts w:eastAsia="仿宋"/>
          <w:sz w:val="32"/>
          <w:szCs w:val="32"/>
        </w:rPr>
        <w:t>41</w:t>
      </w:r>
      <w:r>
        <w:rPr>
          <w:rFonts w:hint="eastAsia" w:eastAsia="仿宋"/>
          <w:sz w:val="32"/>
          <w:szCs w:val="32"/>
        </w:rPr>
        <w:t>号）和《中共中央国务院关于构建更加完善的要素市场化配置体制机制的意见》（中发〔</w:t>
      </w:r>
      <w:r>
        <w:rPr>
          <w:rFonts w:eastAsia="仿宋"/>
          <w:sz w:val="32"/>
          <w:szCs w:val="32"/>
        </w:rPr>
        <w:t>2020</w:t>
      </w:r>
      <w:r>
        <w:rPr>
          <w:rFonts w:hint="eastAsia" w:eastAsia="仿宋"/>
          <w:sz w:val="32"/>
          <w:szCs w:val="32"/>
        </w:rPr>
        <w:t>〕）</w:t>
      </w:r>
      <w:r>
        <w:rPr>
          <w:rFonts w:eastAsia="仿宋"/>
          <w:sz w:val="32"/>
          <w:szCs w:val="32"/>
        </w:rPr>
        <w:t>9</w:t>
      </w:r>
      <w:r>
        <w:rPr>
          <w:rFonts w:hint="eastAsia" w:eastAsia="仿宋"/>
          <w:sz w:val="32"/>
          <w:szCs w:val="32"/>
        </w:rPr>
        <w:t>号）为主线，持续深化</w:t>
      </w:r>
      <w:r>
        <w:rPr>
          <w:rFonts w:hint="eastAsia" w:eastAsia="仿宋"/>
          <w:bCs/>
          <w:sz w:val="32"/>
          <w:szCs w:val="32"/>
        </w:rPr>
        <w:t>公共资源交易服务标准化规范化建设</w:t>
      </w:r>
      <w:r>
        <w:rPr>
          <w:rFonts w:eastAsia="仿宋"/>
          <w:sz w:val="32"/>
          <w:szCs w:val="32"/>
        </w:rPr>
        <w:t>“</w:t>
      </w:r>
      <w:r>
        <w:rPr>
          <w:rFonts w:hint="eastAsia" w:eastAsia="仿宋"/>
          <w:sz w:val="32"/>
          <w:szCs w:val="32"/>
        </w:rPr>
        <w:t>示范交易中心</w:t>
      </w:r>
      <w:r>
        <w:rPr>
          <w:rFonts w:eastAsia="仿宋"/>
          <w:sz w:val="32"/>
          <w:szCs w:val="32"/>
        </w:rPr>
        <w:t>”</w:t>
      </w:r>
      <w:r>
        <w:rPr>
          <w:rFonts w:hint="eastAsia" w:eastAsia="仿宋"/>
          <w:sz w:val="32"/>
          <w:szCs w:val="32"/>
        </w:rPr>
        <w:t>创建活动，努力</w:t>
      </w:r>
      <w:r>
        <w:rPr>
          <w:rFonts w:hint="eastAsia" w:eastAsia="仿宋"/>
          <w:sz w:val="30"/>
          <w:szCs w:val="30"/>
        </w:rPr>
        <w:t>提升公共资源交易平台服务能力和服务质效，</w:t>
      </w:r>
      <w:r>
        <w:rPr>
          <w:rFonts w:hint="eastAsia" w:eastAsia="仿宋"/>
          <w:bCs/>
          <w:sz w:val="32"/>
          <w:szCs w:val="32"/>
        </w:rPr>
        <w:t>进一步增强各方交易主体的获得感和满意度，为治蜀兴川再上新台阶作出新贡献。</w:t>
      </w:r>
      <w:r>
        <w:rPr>
          <w:rFonts w:eastAsia="方正仿宋简体"/>
          <w:sz w:val="32"/>
          <w:szCs w:val="32"/>
        </w:rPr>
        <w:t>我县公共资源交易服务中心离“两化”标准尚有差距，为加快创建进度，通过评估验收，需要增加专项工作经费，购买相关设备与服务，提高服务能力与水平。</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lang w:val="en-US" w:eastAsia="zh-CN"/>
        </w:rPr>
        <w:t>县级财政预算金额79.94万元，2022年已拨付58万元用于支付两化建设档案室、档案资料装订、添置自助查询机、电脑、制作标识标牌等。</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2022年已使用项目资金</w:t>
      </w:r>
      <w:r>
        <w:rPr>
          <w:rFonts w:hint="eastAsia" w:ascii="仿宋_GB2312" w:hAnsi="仿宋_GB2312" w:eastAsia="仿宋_GB2312" w:cs="仿宋_GB2312"/>
          <w:sz w:val="32"/>
          <w:szCs w:val="32"/>
          <w:lang w:val="en-US" w:eastAsia="zh-CN"/>
        </w:rPr>
        <w:t>58万元</w:t>
      </w:r>
      <w:r>
        <w:rPr>
          <w:rFonts w:hint="eastAsia" w:ascii="方正仿宋简体" w:hAnsi="方正仿宋简体" w:eastAsia="方正仿宋简体" w:cs="方正仿宋简体"/>
          <w:b w:val="0"/>
          <w:bCs w:val="0"/>
          <w:sz w:val="32"/>
          <w:szCs w:val="32"/>
          <w:lang w:val="en-US" w:eastAsia="zh-CN"/>
        </w:rPr>
        <w:t>用于两化创建。</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tabs>
          <w:tab w:val="left" w:pos="2835"/>
          <w:tab w:val="left" w:pos="3900"/>
          <w:tab w:val="center" w:pos="4422"/>
        </w:tabs>
        <w:adjustRightInd w:val="0"/>
        <w:snapToGrid w:val="0"/>
        <w:spacing w:line="60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安排部署</w:t>
      </w:r>
      <w:r>
        <w:rPr>
          <w:rFonts w:hint="eastAsia" w:ascii="仿宋_GB2312" w:hAnsi="仿宋_GB2312" w:eastAsia="仿宋_GB2312" w:cs="仿宋_GB2312"/>
          <w:color w:val="333333"/>
          <w:kern w:val="0"/>
          <w:sz w:val="32"/>
          <w:szCs w:val="32"/>
          <w:lang w:eastAsia="zh-CN" w:bidi="ar"/>
        </w:rPr>
        <w:t>，</w:t>
      </w:r>
      <w:r>
        <w:rPr>
          <w:rFonts w:hint="eastAsia" w:ascii="仿宋_GB2312" w:hAnsi="仿宋_GB2312" w:eastAsia="仿宋_GB2312" w:cs="仿宋_GB2312"/>
          <w:color w:val="333333"/>
          <w:kern w:val="0"/>
          <w:sz w:val="32"/>
          <w:szCs w:val="32"/>
          <w:lang w:bidi="ar"/>
        </w:rPr>
        <w:t>召开进一步深化公共资源交易服务标准化规范化建设“示范交易中心”创建活动工作</w:t>
      </w:r>
      <w:r>
        <w:rPr>
          <w:rFonts w:hint="eastAsia" w:ascii="仿宋_GB2312" w:hAnsi="仿宋_GB2312" w:eastAsia="仿宋_GB2312" w:cs="仿宋_GB2312"/>
          <w:color w:val="333333"/>
          <w:kern w:val="0"/>
          <w:sz w:val="32"/>
          <w:szCs w:val="32"/>
          <w:lang w:val="en-US" w:eastAsia="zh-CN" w:bidi="ar"/>
        </w:rPr>
        <w:t>经验交流会</w:t>
      </w:r>
      <w:r>
        <w:rPr>
          <w:rFonts w:hint="eastAsia" w:ascii="仿宋_GB2312" w:hAnsi="仿宋_GB2312" w:eastAsia="仿宋_GB2312" w:cs="仿宋_GB2312"/>
          <w:color w:val="333333"/>
          <w:kern w:val="0"/>
          <w:sz w:val="32"/>
          <w:szCs w:val="32"/>
          <w:lang w:bidi="ar"/>
        </w:rPr>
        <w:t>。</w:t>
      </w:r>
      <w:r>
        <w:rPr>
          <w:rFonts w:hint="eastAsia" w:ascii="仿宋_GB2312" w:hAnsi="仿宋_GB2312" w:eastAsia="仿宋_GB2312" w:cs="仿宋_GB2312"/>
          <w:color w:val="333333"/>
          <w:kern w:val="0"/>
          <w:sz w:val="32"/>
          <w:szCs w:val="32"/>
          <w:lang w:val="en-US" w:eastAsia="zh-CN" w:bidi="ar"/>
        </w:rPr>
        <w:t>继续</w:t>
      </w:r>
      <w:r>
        <w:rPr>
          <w:rFonts w:hint="eastAsia" w:ascii="仿宋_GB2312" w:hAnsi="仿宋_GB2312" w:eastAsia="仿宋_GB2312" w:cs="仿宋_GB2312"/>
          <w:color w:val="333333"/>
          <w:kern w:val="0"/>
          <w:sz w:val="32"/>
          <w:szCs w:val="32"/>
          <w:lang w:bidi="ar"/>
        </w:rPr>
        <w:t>对标落实，交易中心逐条对照新标准，开展自查自评、问题整改、巩固提升</w:t>
      </w:r>
      <w:r>
        <w:rPr>
          <w:rFonts w:hint="eastAsia" w:ascii="仿宋_GB2312" w:hAnsi="仿宋_GB2312" w:eastAsia="仿宋_GB2312" w:cs="仿宋_GB2312"/>
          <w:color w:val="333333"/>
          <w:kern w:val="0"/>
          <w:sz w:val="32"/>
          <w:szCs w:val="32"/>
          <w:lang w:eastAsia="zh-CN" w:bidi="ar"/>
        </w:rPr>
        <w:t>，</w:t>
      </w:r>
      <w:r>
        <w:rPr>
          <w:rFonts w:hint="eastAsia" w:ascii="仿宋_GB2312" w:hAnsi="仿宋_GB2312" w:eastAsia="仿宋_GB2312" w:cs="仿宋_GB2312"/>
          <w:color w:val="333333"/>
          <w:kern w:val="0"/>
          <w:sz w:val="32"/>
          <w:szCs w:val="32"/>
          <w:lang w:val="en-US" w:eastAsia="zh-CN" w:bidi="ar"/>
        </w:rPr>
        <w:t>充分发挥示范交易中心作用</w:t>
      </w:r>
      <w:r>
        <w:rPr>
          <w:rFonts w:hint="eastAsia" w:ascii="仿宋_GB2312" w:hAnsi="仿宋_GB2312" w:eastAsia="仿宋_GB2312" w:cs="仿宋_GB2312"/>
          <w:color w:val="333333"/>
          <w:kern w:val="0"/>
          <w:sz w:val="32"/>
          <w:szCs w:val="32"/>
          <w:lang w:bidi="ar"/>
        </w:rPr>
        <w:t>。</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default" w:ascii="仿宋_GB2312" w:hAnsi="仿宋_GB2312" w:eastAsia="方正仿宋简体" w:cs="仿宋_GB2312"/>
          <w:color w:val="333333"/>
          <w:kern w:val="0"/>
          <w:sz w:val="32"/>
          <w:szCs w:val="32"/>
          <w:lang w:val="en-US" w:eastAsia="zh-CN" w:bidi="ar"/>
        </w:rPr>
      </w:pPr>
      <w:r>
        <w:rPr>
          <w:rFonts w:hint="eastAsia" w:eastAsia="方正仿宋简体"/>
          <w:sz w:val="32"/>
          <w:szCs w:val="32"/>
          <w:lang w:val="en-US" w:eastAsia="zh-CN"/>
        </w:rPr>
        <w:t>已</w:t>
      </w:r>
      <w:r>
        <w:rPr>
          <w:rFonts w:eastAsia="方正仿宋简体"/>
          <w:sz w:val="32"/>
          <w:szCs w:val="32"/>
        </w:rPr>
        <w:t>建设标准化档案室1间、档案资料装订及销毁、添置自助查询机、电脑、制作标识标牌等</w:t>
      </w:r>
      <w:r>
        <w:rPr>
          <w:rFonts w:hint="eastAsia" w:eastAsia="方正仿宋简体"/>
          <w:sz w:val="32"/>
          <w:szCs w:val="32"/>
          <w:lang w:eastAsia="zh-CN"/>
        </w:rPr>
        <w:t>。</w:t>
      </w:r>
      <w:r>
        <w:rPr>
          <w:rFonts w:hint="eastAsia" w:eastAsia="方正仿宋简体"/>
          <w:sz w:val="32"/>
          <w:szCs w:val="32"/>
          <w:lang w:val="en-US" w:eastAsia="zh-CN"/>
        </w:rPr>
        <w:t>2022年我县创建工作取得成效，获得省级“示范交易中心”荣誉。</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90" w:lineRule="exact"/>
        <w:ind w:firstLine="640" w:firstLineChars="200"/>
        <w:rPr>
          <w:rFonts w:hint="eastAsia" w:ascii="方正仿宋简体" w:eastAsia="方正仿宋简体"/>
          <w:sz w:val="32"/>
          <w:szCs w:val="32"/>
          <w:lang w:val="en-US" w:eastAsia="zh-CN"/>
        </w:rPr>
      </w:pPr>
      <w:r>
        <w:rPr>
          <w:rFonts w:hint="eastAsia" w:ascii="方正仿宋简体" w:eastAsia="方正仿宋简体"/>
          <w:sz w:val="32"/>
          <w:szCs w:val="32"/>
        </w:rPr>
        <w:t>我中心严格按照县级部门预算编制通知和有关要求</w:t>
      </w:r>
      <w:r>
        <w:rPr>
          <w:rFonts w:hint="eastAsia" w:ascii="方正仿宋简体" w:eastAsia="方正仿宋简体"/>
          <w:sz w:val="32"/>
          <w:szCs w:val="32"/>
          <w:lang w:eastAsia="zh-CN"/>
        </w:rPr>
        <w:t>，</w:t>
      </w:r>
      <w:r>
        <w:rPr>
          <w:rFonts w:hint="eastAsia" w:ascii="方正仿宋简体" w:eastAsia="方正仿宋简体"/>
          <w:sz w:val="32"/>
          <w:szCs w:val="32"/>
        </w:rPr>
        <w:t>遵循人员经费按标准、公用经费按定额、专项经费按项目、勤俭节约、讲求绩效的原则</w:t>
      </w:r>
      <w:r>
        <w:rPr>
          <w:rFonts w:hint="eastAsia" w:ascii="方正仿宋简体" w:eastAsia="方正仿宋简体"/>
          <w:sz w:val="32"/>
          <w:szCs w:val="32"/>
          <w:lang w:eastAsia="zh-CN"/>
        </w:rPr>
        <w:t>，</w:t>
      </w:r>
      <w:r>
        <w:rPr>
          <w:rFonts w:hint="eastAsia" w:ascii="方正仿宋简体" w:eastAsia="方正仿宋简体"/>
          <w:sz w:val="32"/>
          <w:szCs w:val="32"/>
          <w:lang w:val="en-US" w:eastAsia="zh-CN"/>
        </w:rPr>
        <w:t>成立自评工作小组，成员如下：</w:t>
      </w:r>
    </w:p>
    <w:p>
      <w:pPr>
        <w:spacing w:line="590" w:lineRule="exact"/>
        <w:ind w:firstLine="640" w:firstLineChars="200"/>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我中心严格执行“三公经费”预算，</w:t>
      </w:r>
      <w:r>
        <w:rPr>
          <w:rFonts w:hint="eastAsia" w:ascii="方正仿宋简体" w:eastAsia="方正仿宋简体"/>
          <w:color w:val="000000"/>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hint="eastAsia" w:eastAsia="方正楷体简体"/>
          <w:b/>
          <w:sz w:val="32"/>
          <w:szCs w:val="32"/>
        </w:rPr>
      </w:pPr>
      <w:r>
        <w:rPr>
          <w:rFonts w:hint="eastAsia" w:ascii="方正仿宋简体" w:eastAsia="方正仿宋简体"/>
          <w:sz w:val="32"/>
          <w:szCs w:val="32"/>
          <w:lang w:val="en-US" w:eastAsia="zh-CN"/>
        </w:rPr>
        <w:t>我中心采用报告审批制度完成自评工作。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《乐至县财政支出绩效评价管理办法》规定确定绩效等级优。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default" w:ascii="方正仿宋简体" w:eastAsia="方正仿宋简体"/>
          <w:sz w:val="32"/>
          <w:szCs w:val="32"/>
          <w:lang w:val="en-US"/>
        </w:rPr>
      </w:pPr>
      <w:r>
        <w:rPr>
          <w:rFonts w:hint="eastAsia" w:ascii="方正仿宋简体" w:eastAsia="方正仿宋简体"/>
          <w:sz w:val="32"/>
          <w:szCs w:val="32"/>
        </w:rPr>
        <w:t>绩效目标设置</w:t>
      </w:r>
      <w:r>
        <w:rPr>
          <w:rFonts w:hint="eastAsia" w:ascii="方正仿宋简体" w:eastAsia="方正仿宋简体"/>
          <w:sz w:val="32"/>
          <w:szCs w:val="32"/>
          <w:lang w:val="en-US" w:eastAsia="zh-CN"/>
        </w:rPr>
        <w:t>合理</w:t>
      </w:r>
      <w:r>
        <w:rPr>
          <w:rFonts w:hint="eastAsia" w:ascii="方正仿宋简体" w:eastAsia="方正仿宋简体"/>
          <w:sz w:val="32"/>
          <w:szCs w:val="32"/>
        </w:rPr>
        <w:t>，评估内容包括</w:t>
      </w:r>
      <w:r>
        <w:rPr>
          <w:rFonts w:hint="eastAsia" w:ascii="方正仿宋简体" w:eastAsia="方正仿宋简体"/>
          <w:sz w:val="32"/>
          <w:szCs w:val="32"/>
          <w:lang w:val="en-US" w:eastAsia="zh-CN"/>
        </w:rPr>
        <w:t>可量化</w:t>
      </w:r>
      <w:r>
        <w:rPr>
          <w:rFonts w:hint="eastAsia" w:ascii="方正仿宋简体" w:eastAsia="方正仿宋简体"/>
          <w:sz w:val="32"/>
          <w:szCs w:val="32"/>
        </w:rPr>
        <w:t>可考核，</w:t>
      </w:r>
      <w:r>
        <w:rPr>
          <w:rFonts w:hint="eastAsia" w:ascii="方正仿宋简体" w:eastAsia="方正仿宋简体"/>
          <w:sz w:val="32"/>
          <w:szCs w:val="32"/>
          <w:lang w:val="en-US" w:eastAsia="zh-CN"/>
        </w:rPr>
        <w:t>与</w:t>
      </w:r>
      <w:r>
        <w:rPr>
          <w:rFonts w:hint="eastAsia" w:ascii="方正仿宋简体" w:eastAsia="方正仿宋简体"/>
          <w:sz w:val="32"/>
          <w:szCs w:val="32"/>
        </w:rPr>
        <w:t>部门的长期规划目标、年度工作目标一致，满意度</w:t>
      </w:r>
      <w:r>
        <w:rPr>
          <w:rFonts w:hint="eastAsia" w:ascii="方正仿宋简体" w:eastAsia="方正仿宋简体"/>
          <w:sz w:val="32"/>
          <w:szCs w:val="32"/>
          <w:lang w:val="en-US" w:eastAsia="zh-CN"/>
        </w:rPr>
        <w:t>提升。</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tabs>
          <w:tab w:val="left" w:pos="2835"/>
          <w:tab w:val="left" w:pos="3900"/>
          <w:tab w:val="center" w:pos="4422"/>
        </w:tabs>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一是加强组织领导。</w:t>
      </w:r>
      <w:r>
        <w:rPr>
          <w:rFonts w:hint="eastAsia" w:ascii="仿宋_GB2312" w:hAnsi="仿宋_GB2312" w:eastAsia="仿宋_GB2312" w:cs="仿宋_GB2312"/>
          <w:sz w:val="32"/>
          <w:szCs w:val="32"/>
        </w:rPr>
        <w:t>成立由县政府分管领导任组长，县行政审批局局长任副组长，县政府办、县发改局、县财政局、县自然资源局、县国有资产监督和金融工作局等有关单位分管领导为成员的专项工作领导小组，负责全县</w:t>
      </w:r>
      <w:r>
        <w:rPr>
          <w:rFonts w:hint="eastAsia" w:ascii="仿宋_GB2312" w:hAnsi="仿宋_GB2312" w:eastAsia="仿宋_GB2312" w:cs="仿宋_GB2312"/>
          <w:sz w:val="32"/>
          <w:szCs w:val="32"/>
          <w:lang w:val="en-US" w:eastAsia="zh-CN"/>
        </w:rPr>
        <w:t>创建“标准化、规范化”示范交易中心</w:t>
      </w:r>
      <w:r>
        <w:rPr>
          <w:rFonts w:hint="eastAsia" w:ascii="仿宋_GB2312" w:hAnsi="仿宋_GB2312" w:eastAsia="仿宋_GB2312" w:cs="仿宋_GB2312"/>
          <w:sz w:val="32"/>
          <w:szCs w:val="32"/>
        </w:rPr>
        <w:t>建设工作的开展和有关工作的组织协调。日常工作由县政府政务服务和公共资源交易服务中心牵头，县级有关部门协调配合，具体负责创建“标准化、规范化”示范交易中心工作的部署和实施；</w:t>
      </w:r>
      <w:r>
        <w:rPr>
          <w:rFonts w:hint="eastAsia" w:ascii="仿宋_GB2312" w:hAnsi="仿宋_GB2312" w:eastAsia="仿宋_GB2312" w:cs="仿宋_GB2312"/>
          <w:b/>
          <w:sz w:val="32"/>
          <w:szCs w:val="32"/>
        </w:rPr>
        <w:t>二是明确责任分工。</w:t>
      </w:r>
      <w:r>
        <w:rPr>
          <w:rFonts w:hint="eastAsia" w:ascii="仿宋_GB2312" w:hAnsi="仿宋_GB2312" w:eastAsia="仿宋_GB2312" w:cs="仿宋_GB2312"/>
          <w:color w:val="333333"/>
          <w:kern w:val="0"/>
          <w:sz w:val="32"/>
          <w:szCs w:val="32"/>
          <w:lang w:bidi="ar"/>
        </w:rPr>
        <w:t>县</w:t>
      </w:r>
      <w:r>
        <w:rPr>
          <w:rFonts w:hint="eastAsia" w:ascii="仿宋_GB2312" w:hAnsi="仿宋_GB2312" w:eastAsia="仿宋_GB2312" w:cs="仿宋_GB2312"/>
          <w:sz w:val="32"/>
          <w:szCs w:val="32"/>
        </w:rPr>
        <w:t>级相关部门要细化工作责任、明确完成时限，加快推动创建“标准化、规范化”示范交易中心建设工作。县政府政务服务和公共资源交易服务中心负责电子交易系统的建设、运行和维护，发改、财政、自然资源、国有资产监督等有关部门要加强对创建“标准化、规范化”示范交易中心工作的支持和指导，参与电子交易系统调试。县政府督查室负责对我县创建“标准化、规范化”示范交易中心建设推进情况进行督促检查并通报有关情况。</w:t>
      </w:r>
      <w:r>
        <w:rPr>
          <w:rFonts w:hint="eastAsia" w:ascii="仿宋_GB2312" w:hAnsi="仿宋_GB2312" w:eastAsia="仿宋_GB2312" w:cs="仿宋_GB2312"/>
          <w:b/>
          <w:color w:val="333333"/>
          <w:kern w:val="0"/>
          <w:sz w:val="32"/>
          <w:szCs w:val="32"/>
          <w:lang w:bidi="ar"/>
        </w:rPr>
        <w:t>三是健全管理制度。</w:t>
      </w:r>
      <w:r>
        <w:rPr>
          <w:rFonts w:hint="eastAsia" w:ascii="仿宋_GB2312" w:hAnsi="仿宋_GB2312" w:eastAsia="仿宋_GB2312" w:cs="仿宋_GB2312"/>
          <w:sz w:val="32"/>
          <w:szCs w:val="32"/>
        </w:rPr>
        <w:t>县级有关部门采取多种方式，加强对有关人员的教育和培训，提高</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标准化、规范化”建设能力</w:t>
      </w:r>
      <w:r>
        <w:rPr>
          <w:rFonts w:hint="eastAsia" w:ascii="仿宋_GB2312" w:hAnsi="仿宋_GB2312" w:eastAsia="仿宋_GB2312" w:cs="仿宋_GB2312"/>
          <w:sz w:val="32"/>
          <w:szCs w:val="32"/>
        </w:rPr>
        <w:t>。结合工作实际，逐步建立和完善创建“标准化、规范化”示范交易中心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有关制度，加强责任考核，充分发挥</w:t>
      </w:r>
      <w:r>
        <w:rPr>
          <w:rFonts w:hint="eastAsia" w:ascii="仿宋_GB2312" w:hAnsi="仿宋_GB2312" w:eastAsia="仿宋_GB2312" w:cs="仿宋_GB2312"/>
          <w:sz w:val="32"/>
          <w:szCs w:val="32"/>
          <w:lang w:val="en-US" w:eastAsia="zh-CN"/>
        </w:rPr>
        <w:t>示范交易中心</w:t>
      </w:r>
      <w:r>
        <w:rPr>
          <w:rFonts w:hint="eastAsia" w:ascii="仿宋_GB2312" w:hAnsi="仿宋_GB2312" w:eastAsia="仿宋_GB2312" w:cs="仿宋_GB2312"/>
          <w:sz w:val="32"/>
          <w:szCs w:val="32"/>
        </w:rPr>
        <w:t>的作用。</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580" w:lineRule="exact"/>
        <w:ind w:firstLine="1600" w:firstLineChars="5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乐至县政府政务服务和公共资源交易服务中心</w:t>
      </w:r>
    </w:p>
    <w:p>
      <w:pPr>
        <w:spacing w:line="580" w:lineRule="exact"/>
        <w:ind w:firstLine="4160" w:firstLineChars="13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2023年11月8日</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11" w:type="default"/>
          <w:footerReference r:id="rId12"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（乐至县标准化规范化创建“示范交易中心”）</w:t>
      </w:r>
    </w:p>
    <w:p>
      <w:pPr>
        <w:spacing w:line="620" w:lineRule="exact"/>
        <w:rPr>
          <w:rFonts w:hint="eastAsia" w:eastAsia="宋体"/>
          <w:sz w:val="20"/>
          <w:szCs w:val="20"/>
          <w:lang w:val="en-US" w:eastAsia="zh-CN"/>
        </w:rPr>
      </w:pPr>
      <w:r>
        <w:rPr>
          <w:rFonts w:hint="eastAsia"/>
          <w:bCs/>
          <w:kern w:val="0"/>
          <w:sz w:val="20"/>
          <w:szCs w:val="20"/>
        </w:rPr>
        <w:t>预算单位名称：</w:t>
      </w:r>
      <w:r>
        <w:rPr>
          <w:rFonts w:hint="eastAsia"/>
          <w:bCs/>
          <w:kern w:val="0"/>
          <w:sz w:val="20"/>
          <w:szCs w:val="20"/>
          <w:lang w:val="en-US" w:eastAsia="zh-CN"/>
        </w:rPr>
        <w:t>乐至县政府政务服务和公共资源交易服务中心</w:t>
      </w:r>
      <w:r>
        <w:rPr>
          <w:bCs/>
          <w:kern w:val="0"/>
          <w:sz w:val="20"/>
          <w:szCs w:val="20"/>
        </w:rPr>
        <w:t xml:space="preserve">  </w:t>
      </w:r>
      <w:r>
        <w:rPr>
          <w:rFonts w:hint="eastAsia"/>
          <w:bCs/>
          <w:kern w:val="0"/>
          <w:sz w:val="20"/>
          <w:szCs w:val="20"/>
        </w:rPr>
        <w:t>预算单位编码：</w:t>
      </w:r>
      <w:r>
        <w:rPr>
          <w:rFonts w:hint="eastAsia"/>
          <w:bCs/>
          <w:kern w:val="0"/>
          <w:sz w:val="20"/>
          <w:szCs w:val="20"/>
          <w:lang w:val="en-US" w:eastAsia="zh-CN"/>
        </w:rPr>
        <w:t>143001</w:t>
      </w:r>
      <w:r>
        <w:rPr>
          <w:bCs/>
          <w:kern w:val="0"/>
          <w:sz w:val="20"/>
          <w:szCs w:val="20"/>
        </w:rPr>
        <w:t xml:space="preserve"> </w:t>
      </w:r>
      <w:r>
        <w:rPr>
          <w:rFonts w:hint="eastAsia"/>
          <w:bCs/>
          <w:kern w:val="0"/>
          <w:sz w:val="20"/>
          <w:szCs w:val="20"/>
        </w:rPr>
        <w:t>自评等级：</w:t>
      </w:r>
      <w:r>
        <w:rPr>
          <w:rFonts w:hint="eastAsia"/>
          <w:bCs/>
          <w:kern w:val="0"/>
          <w:sz w:val="20"/>
          <w:szCs w:val="20"/>
          <w:lang w:val="en-US"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center"/>
              <w:rPr>
                <w:rFonts w:hint="eastAsia" w:eastAsia="宋体"/>
                <w:kern w:val="0"/>
                <w:szCs w:val="21"/>
                <w:lang w:val="en-US" w:eastAsia="zh-CN"/>
              </w:rPr>
            </w:pPr>
            <w:r>
              <w:rPr>
                <w:rFonts w:hint="eastAsia" w:eastAsia="宋体"/>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96</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3"/>
        <w:spacing w:after="0" w:line="240" w:lineRule="exact"/>
        <w:rPr>
          <w:rFonts w:ascii="宋体"/>
        </w:rPr>
      </w:pPr>
    </w:p>
    <w:tbl>
      <w:tblPr>
        <w:tblStyle w:val="16"/>
        <w:tblW w:w="994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05"/>
        <w:gridCol w:w="1203"/>
        <w:gridCol w:w="728"/>
        <w:gridCol w:w="1005"/>
        <w:gridCol w:w="1796"/>
        <w:gridCol w:w="1847"/>
        <w:gridCol w:w="235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9" w:hRule="atLeast"/>
          <w:jc w:val="center"/>
        </w:trPr>
        <w:tc>
          <w:tcPr>
            <w:tcW w:w="1005"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938"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ascii="Times New Roman" w:hAnsi="Times New Roman" w:eastAsia="宋体" w:cs="Times New Roman"/>
                <w:color w:val="000000"/>
                <w:kern w:val="0"/>
                <w:szCs w:val="21"/>
                <w:lang w:val="en-US" w:eastAsia="zh-CN"/>
              </w:rPr>
              <w:t>乐至县标准化规范化创建“示范交易中心”</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9" w:hRule="atLeast"/>
          <w:jc w:val="center"/>
        </w:trPr>
        <w:tc>
          <w:tcPr>
            <w:tcW w:w="1005"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80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206"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728" w:type="dxa"/>
            <w:noWrap/>
            <w:vAlign w:val="center"/>
          </w:tcPr>
          <w:p>
            <w:pPr>
              <w:spacing w:line="240" w:lineRule="exact"/>
              <w:jc w:val="center"/>
              <w:rPr>
                <w:szCs w:val="21"/>
              </w:rPr>
            </w:pPr>
            <w:r>
              <w:rPr>
                <w:rFonts w:hint="eastAsia"/>
                <w:color w:val="000000"/>
                <w:kern w:val="0"/>
                <w:szCs w:val="21"/>
              </w:rPr>
              <w:t>□</w:t>
            </w:r>
          </w:p>
        </w:tc>
        <w:tc>
          <w:tcPr>
            <w:tcW w:w="2801"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sym w:font="Wingdings 2" w:char="0052"/>
            </w:r>
          </w:p>
        </w:tc>
        <w:tc>
          <w:tcPr>
            <w:tcW w:w="4206"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732" w:type="dxa"/>
            <w:gridSpan w:val="4"/>
            <w:noWrap/>
            <w:vAlign w:val="center"/>
          </w:tcPr>
          <w:p>
            <w:pPr>
              <w:widowControl/>
              <w:spacing w:line="240" w:lineRule="exact"/>
              <w:jc w:val="center"/>
              <w:rPr>
                <w:color w:val="000000"/>
                <w:kern w:val="0"/>
                <w:szCs w:val="21"/>
              </w:rPr>
            </w:pPr>
            <w:r>
              <w:rPr>
                <w:rFonts w:hint="eastAsia" w:ascii="宋体" w:hAnsi="宋体" w:cs="宋体"/>
                <w:color w:val="000000"/>
                <w:kern w:val="0"/>
                <w:sz w:val="22"/>
                <w:szCs w:val="22"/>
                <w:lang w:val="en-US" w:eastAsia="zh-CN"/>
              </w:rPr>
              <w:t>乐至县政府政务服务和公共资源交易服务中心</w:t>
            </w:r>
            <w:r>
              <w:rPr>
                <w:rFonts w:hint="eastAsia"/>
                <w:color w:val="000000"/>
                <w:kern w:val="0"/>
                <w:szCs w:val="21"/>
              </w:rPr>
              <w:t>　</w:t>
            </w:r>
          </w:p>
        </w:tc>
        <w:tc>
          <w:tcPr>
            <w:tcW w:w="1847"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1005"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005"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796"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847"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359"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28"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79.94</w:t>
            </w: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58</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21.94</w:t>
            </w:r>
          </w:p>
        </w:tc>
        <w:tc>
          <w:tcPr>
            <w:tcW w:w="18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27.45</w:t>
            </w:r>
          </w:p>
        </w:tc>
        <w:tc>
          <w:tcPr>
            <w:tcW w:w="235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3"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72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79.94</w:t>
            </w:r>
          </w:p>
        </w:tc>
        <w:tc>
          <w:tcPr>
            <w:tcW w:w="100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58</w:t>
            </w:r>
          </w:p>
        </w:tc>
        <w:tc>
          <w:tcPr>
            <w:tcW w:w="1796"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21.94</w:t>
            </w:r>
          </w:p>
        </w:tc>
        <w:tc>
          <w:tcPr>
            <w:tcW w:w="1847"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27.45</w:t>
            </w:r>
          </w:p>
        </w:tc>
        <w:tc>
          <w:tcPr>
            <w:tcW w:w="2359"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728"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00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1005"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005"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796"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847"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359"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72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79.94</w:t>
            </w:r>
          </w:p>
        </w:tc>
        <w:tc>
          <w:tcPr>
            <w:tcW w:w="100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58</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728"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79.94</w:t>
            </w:r>
          </w:p>
        </w:tc>
        <w:tc>
          <w:tcPr>
            <w:tcW w:w="100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58</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728"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lang w:val="en-US" w:eastAsia="zh-CN"/>
              </w:rPr>
              <w:t>21.94</w:t>
            </w:r>
          </w:p>
        </w:tc>
        <w:tc>
          <w:tcPr>
            <w:tcW w:w="100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21.94</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28"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27.45</w:t>
            </w:r>
          </w:p>
        </w:tc>
        <w:tc>
          <w:tcPr>
            <w:tcW w:w="100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27.45</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28"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w:t>
            </w:r>
          </w:p>
        </w:tc>
        <w:tc>
          <w:tcPr>
            <w:tcW w:w="1005"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w:t>
            </w:r>
          </w:p>
        </w:tc>
        <w:tc>
          <w:tcPr>
            <w:tcW w:w="179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1005"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93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80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206"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931" w:type="dxa"/>
            <w:gridSpan w:val="2"/>
            <w:noWrap/>
            <w:vAlign w:val="center"/>
          </w:tcPr>
          <w:p>
            <w:pPr>
              <w:widowControl/>
              <w:spacing w:line="240" w:lineRule="exact"/>
              <w:jc w:val="center"/>
              <w:rPr>
                <w:rFonts w:hint="eastAsia"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同步完成省级“标准化、规范化”示范交易中心创建工作。</w:t>
            </w:r>
          </w:p>
          <w:p>
            <w:pPr>
              <w:widowControl/>
              <w:spacing w:line="240" w:lineRule="exact"/>
              <w:jc w:val="left"/>
              <w:rPr>
                <w:rFonts w:hint="default" w:eastAsia="宋体"/>
                <w:color w:val="000000"/>
                <w:kern w:val="0"/>
                <w:szCs w:val="21"/>
                <w:lang w:val="en-US" w:eastAsia="zh-CN"/>
              </w:rPr>
            </w:pPr>
          </w:p>
        </w:tc>
        <w:tc>
          <w:tcPr>
            <w:tcW w:w="2801" w:type="dxa"/>
            <w:gridSpan w:val="2"/>
            <w:noWrap/>
            <w:vAlign w:val="center"/>
          </w:tcPr>
          <w:p>
            <w:pPr>
              <w:widowControl/>
              <w:spacing w:line="240" w:lineRule="exact"/>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rPr>
              <w:t>同步完成省级“标准化、规范化”示范交易中心创建工作。</w:t>
            </w:r>
            <w:r>
              <w:rPr>
                <w:rFonts w:hint="eastAsia" w:ascii="Times New Roman" w:hAnsi="Times New Roman" w:eastAsia="宋体" w:cs="Times New Roman"/>
                <w:color w:val="000000"/>
                <w:kern w:val="0"/>
                <w:szCs w:val="21"/>
                <w:lang w:val="en-US" w:eastAsia="zh-CN"/>
              </w:rPr>
              <w:t>被评为省级“示范交易中心”</w:t>
            </w:r>
          </w:p>
          <w:p>
            <w:pPr>
              <w:widowControl/>
              <w:spacing w:line="240" w:lineRule="exact"/>
              <w:jc w:val="left"/>
              <w:rPr>
                <w:rFonts w:hint="default"/>
                <w:color w:val="000000"/>
                <w:kern w:val="0"/>
                <w:szCs w:val="21"/>
                <w:lang w:val="en-US"/>
              </w:rPr>
            </w:pPr>
          </w:p>
        </w:tc>
        <w:tc>
          <w:tcPr>
            <w:tcW w:w="4206" w:type="dxa"/>
            <w:gridSpan w:val="2"/>
            <w:noWrap/>
            <w:vAlign w:val="center"/>
          </w:tcPr>
          <w:p>
            <w:pPr>
              <w:widowControl/>
              <w:spacing w:line="240" w:lineRule="exact"/>
              <w:jc w:val="center"/>
              <w:rPr>
                <w:rFonts w:hint="default" w:ascii="Times New Roman" w:hAnsi="Times New Roman" w:eastAsia="宋体" w:cs="Times New Roman"/>
                <w:color w:val="000000"/>
                <w:kern w:val="0"/>
                <w:szCs w:val="21"/>
                <w:lang w:val="en-US" w:eastAsia="zh-CN"/>
              </w:rPr>
            </w:pPr>
            <w:r>
              <w:rPr>
                <w:rFonts w:hint="eastAsia" w:ascii="Times New Roman" w:hAnsi="Times New Roman" w:eastAsia="宋体" w:cs="Times New Roman"/>
                <w:color w:val="000000"/>
                <w:kern w:val="0"/>
                <w:szCs w:val="21"/>
                <w:lang w:val="en-US" w:eastAsia="zh-CN"/>
              </w:rPr>
              <w:t>被评为省级“示范交易中心”</w:t>
            </w:r>
          </w:p>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1005"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203"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005"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796"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847"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359"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728"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改建标准化档案室</w:t>
            </w:r>
          </w:p>
        </w:tc>
        <w:tc>
          <w:tcPr>
            <w:tcW w:w="1796"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default" w:ascii="Times New Roman" w:hAnsi="Times New Roman" w:eastAsia="宋体" w:cs="Times New Roman"/>
                <w:color w:val="000000"/>
                <w:kern w:val="0"/>
                <w:szCs w:val="21"/>
              </w:rPr>
              <w:t>1间</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r>
              <w:rPr>
                <w:rFonts w:hint="default" w:ascii="Times New Roman" w:hAnsi="Times New Roman" w:eastAsia="宋体" w:cs="Times New Roman"/>
                <w:color w:val="000000"/>
                <w:kern w:val="0"/>
                <w:szCs w:val="21"/>
              </w:rPr>
              <w:t>建设标准化档案室1间</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vMerge w:val="continue"/>
            <w:noWrap w:val="0"/>
            <w:vAlign w:val="center"/>
          </w:tcPr>
          <w:p>
            <w:pPr>
              <w:widowControl/>
              <w:spacing w:line="240" w:lineRule="exact"/>
              <w:jc w:val="left"/>
              <w:rPr>
                <w:color w:val="000000"/>
                <w:kern w:val="0"/>
                <w:szCs w:val="21"/>
              </w:rPr>
            </w:pP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业务档案整理装订</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2014-2020年业务档案</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2014-2020年业务档案</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vMerge w:val="continue"/>
            <w:noWrap w:val="0"/>
            <w:vAlign w:val="center"/>
          </w:tcPr>
          <w:p>
            <w:pPr>
              <w:widowControl/>
              <w:spacing w:line="240" w:lineRule="exact"/>
              <w:jc w:val="left"/>
              <w:rPr>
                <w:color w:val="000000"/>
                <w:kern w:val="0"/>
                <w:szCs w:val="21"/>
              </w:rPr>
            </w:pP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采购电脑</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10台</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10台</w:t>
            </w:r>
          </w:p>
        </w:tc>
        <w:tc>
          <w:tcPr>
            <w:tcW w:w="2359"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vMerge w:val="continue"/>
            <w:noWrap/>
            <w:vAlign w:val="center"/>
          </w:tcPr>
          <w:p>
            <w:pPr>
              <w:widowControl/>
              <w:spacing w:line="240" w:lineRule="exact"/>
              <w:jc w:val="center"/>
              <w:rPr>
                <w:color w:val="000000"/>
                <w:kern w:val="0"/>
                <w:szCs w:val="21"/>
              </w:rPr>
            </w:pP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设备提质</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1批</w:t>
            </w:r>
          </w:p>
        </w:tc>
        <w:tc>
          <w:tcPr>
            <w:tcW w:w="1847" w:type="dxa"/>
            <w:noWrap/>
            <w:vAlign w:val="center"/>
          </w:tcPr>
          <w:p>
            <w:pPr>
              <w:widowControl/>
              <w:spacing w:line="240" w:lineRule="exact"/>
              <w:jc w:val="left"/>
              <w:rPr>
                <w:color w:val="000000"/>
                <w:kern w:val="0"/>
                <w:szCs w:val="21"/>
              </w:rPr>
            </w:pPr>
            <w:r>
              <w:rPr>
                <w:rFonts w:hint="eastAsia"/>
                <w:color w:val="000000"/>
                <w:kern w:val="0"/>
                <w:szCs w:val="21"/>
                <w:lang w:val="en-US" w:eastAsia="zh-CN"/>
              </w:rPr>
              <w:t>1批</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时效</w:t>
            </w:r>
          </w:p>
          <w:p>
            <w:pPr>
              <w:widowControl/>
              <w:spacing w:line="240" w:lineRule="exact"/>
              <w:jc w:val="center"/>
              <w:rPr>
                <w:color w:val="000000"/>
                <w:kern w:val="0"/>
                <w:szCs w:val="21"/>
              </w:rPr>
            </w:pPr>
            <w:r>
              <w:rPr>
                <w:rFonts w:hint="eastAsia"/>
                <w:color w:val="000000"/>
                <w:kern w:val="0"/>
                <w:szCs w:val="21"/>
              </w:rPr>
              <w:t>指标</w:t>
            </w: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完成时间</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2021年12月之前</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2021年12月之前</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按期完成无偏差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00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总费用控制</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≤80万元</w:t>
            </w:r>
          </w:p>
        </w:tc>
        <w:tc>
          <w:tcPr>
            <w:tcW w:w="18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79.94137万元</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728"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005" w:type="dxa"/>
            <w:noWrap/>
            <w:vAlign w:val="center"/>
          </w:tcPr>
          <w:p>
            <w:pPr>
              <w:widowControl/>
              <w:spacing w:line="240" w:lineRule="exact"/>
              <w:jc w:val="left"/>
              <w:rPr>
                <w:color w:val="000000"/>
                <w:kern w:val="0"/>
                <w:szCs w:val="21"/>
              </w:rPr>
            </w:pPr>
            <w:r>
              <w:rPr>
                <w:rFonts w:hint="eastAsia"/>
                <w:color w:val="000000"/>
                <w:kern w:val="0"/>
                <w:szCs w:val="21"/>
              </w:rPr>
              <w:t>供应商满意度</w:t>
            </w:r>
          </w:p>
        </w:tc>
        <w:tc>
          <w:tcPr>
            <w:tcW w:w="179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90%</w:t>
            </w:r>
          </w:p>
        </w:tc>
        <w:tc>
          <w:tcPr>
            <w:tcW w:w="18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90%</w:t>
            </w:r>
          </w:p>
        </w:tc>
        <w:tc>
          <w:tcPr>
            <w:tcW w:w="2359"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1005" w:type="dxa"/>
            <w:vMerge w:val="continue"/>
            <w:noWrap w:val="0"/>
            <w:vAlign w:val="center"/>
          </w:tcPr>
          <w:p>
            <w:pPr>
              <w:widowControl/>
              <w:spacing w:line="240" w:lineRule="exact"/>
              <w:jc w:val="left"/>
              <w:rPr>
                <w:color w:val="000000"/>
                <w:kern w:val="0"/>
                <w:szCs w:val="21"/>
              </w:rPr>
            </w:pPr>
          </w:p>
        </w:tc>
        <w:tc>
          <w:tcPr>
            <w:tcW w:w="1203" w:type="dxa"/>
            <w:vMerge w:val="continue"/>
            <w:noWrap w:val="0"/>
            <w:vAlign w:val="center"/>
          </w:tcPr>
          <w:p>
            <w:pPr>
              <w:widowControl/>
              <w:spacing w:line="240" w:lineRule="exact"/>
              <w:jc w:val="left"/>
              <w:rPr>
                <w:color w:val="000000"/>
                <w:kern w:val="0"/>
                <w:szCs w:val="21"/>
              </w:rPr>
            </w:pPr>
          </w:p>
        </w:tc>
        <w:tc>
          <w:tcPr>
            <w:tcW w:w="728" w:type="dxa"/>
            <w:vMerge w:val="continue"/>
            <w:noWrap w:val="0"/>
            <w:vAlign w:val="center"/>
          </w:tcPr>
          <w:p>
            <w:pPr>
              <w:widowControl/>
              <w:spacing w:line="240" w:lineRule="exact"/>
              <w:jc w:val="left"/>
              <w:rPr>
                <w:color w:val="000000"/>
                <w:kern w:val="0"/>
                <w:szCs w:val="21"/>
              </w:rPr>
            </w:pPr>
          </w:p>
        </w:tc>
        <w:tc>
          <w:tcPr>
            <w:tcW w:w="1005" w:type="dxa"/>
            <w:noWrap/>
            <w:vAlign w:val="center"/>
          </w:tcPr>
          <w:p>
            <w:pPr>
              <w:widowControl/>
              <w:spacing w:line="240" w:lineRule="exact"/>
              <w:jc w:val="left"/>
              <w:rPr>
                <w:color w:val="000000"/>
                <w:kern w:val="0"/>
                <w:szCs w:val="21"/>
              </w:rPr>
            </w:pPr>
            <w:r>
              <w:rPr>
                <w:rFonts w:hint="eastAsia"/>
                <w:color w:val="000000"/>
                <w:kern w:val="0"/>
                <w:szCs w:val="21"/>
                <w:lang w:val="en-US" w:eastAsia="zh-CN"/>
              </w:rPr>
              <w:t>采购人</w:t>
            </w:r>
            <w:r>
              <w:rPr>
                <w:rFonts w:hint="eastAsia"/>
                <w:color w:val="000000"/>
                <w:kern w:val="0"/>
                <w:szCs w:val="21"/>
              </w:rPr>
              <w:t>满意度</w:t>
            </w:r>
          </w:p>
        </w:tc>
        <w:tc>
          <w:tcPr>
            <w:tcW w:w="1796"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90%</w:t>
            </w:r>
          </w:p>
        </w:tc>
        <w:tc>
          <w:tcPr>
            <w:tcW w:w="1847"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90%</w:t>
            </w:r>
          </w:p>
        </w:tc>
        <w:tc>
          <w:tcPr>
            <w:tcW w:w="2359"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无偏差</w:t>
            </w:r>
          </w:p>
        </w:tc>
      </w:tr>
    </w:tbl>
    <w:p>
      <w:pPr>
        <w:spacing w:line="580" w:lineRule="exact"/>
        <w:jc w:val="center"/>
        <w:rPr>
          <w:rFonts w:hint="eastAsia" w:eastAsia="方正小标宋简体"/>
          <w:w w:val="85"/>
          <w:sz w:val="44"/>
          <w:szCs w:val="44"/>
          <w:lang w:val="en-US" w:eastAsia="zh-CN"/>
        </w:rPr>
      </w:pPr>
      <w:r>
        <w:rPr>
          <w:rFonts w:hint="eastAsia" w:eastAsia="方正小标宋简体"/>
          <w:w w:val="85"/>
          <w:sz w:val="44"/>
          <w:szCs w:val="44"/>
          <w:lang w:val="en-US" w:eastAsia="zh-CN"/>
        </w:rPr>
        <w:t>乐至县政府政务服务和公共资源交易服务中心</w:t>
      </w:r>
    </w:p>
    <w:p>
      <w:pPr>
        <w:spacing w:line="580" w:lineRule="exact"/>
        <w:jc w:val="center"/>
        <w:rPr>
          <w:rFonts w:eastAsia="方正小标宋简体"/>
          <w:sz w:val="44"/>
          <w:szCs w:val="44"/>
        </w:rPr>
      </w:pPr>
      <w:r>
        <w:rPr>
          <w:rFonts w:eastAsia="方正小标宋简体"/>
          <w:w w:val="85"/>
          <w:sz w:val="44"/>
          <w:szCs w:val="44"/>
        </w:rPr>
        <w:t>202</w:t>
      </w:r>
      <w:r>
        <w:rPr>
          <w:rFonts w:hint="eastAsia" w:eastAsia="方正小标宋简体"/>
          <w:w w:val="85"/>
          <w:sz w:val="44"/>
          <w:szCs w:val="44"/>
          <w:lang w:val="en-US" w:eastAsia="zh-CN"/>
        </w:rPr>
        <w:t>2</w:t>
      </w:r>
      <w:r>
        <w:rPr>
          <w:rFonts w:hint="eastAsia" w:eastAsia="方正小标宋简体"/>
          <w:w w:val="85"/>
          <w:sz w:val="44"/>
          <w:szCs w:val="44"/>
        </w:rPr>
        <w:t>年</w:t>
      </w:r>
      <w:r>
        <w:rPr>
          <w:rFonts w:hint="eastAsia" w:eastAsia="方正小标宋简体"/>
          <w:sz w:val="44"/>
          <w:szCs w:val="44"/>
        </w:rPr>
        <w:t>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乐至县公共资源交易电子平台建设</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600" w:lineRule="exact"/>
        <w:ind w:firstLine="640" w:firstLineChars="200"/>
        <w:jc w:val="left"/>
        <w:rPr>
          <w:rFonts w:hint="default" w:ascii="方正仿宋简体" w:hAnsi="方正仿宋简体" w:eastAsia="仿宋_GB2312"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乐至县公共资源交易电子平台建设</w:t>
      </w:r>
      <w:r>
        <w:rPr>
          <w:rFonts w:hint="eastAsia" w:ascii="方正仿宋简体" w:hAnsi="方正仿宋简体" w:eastAsia="方正仿宋简体" w:cs="方正仿宋简体"/>
          <w:b w:val="0"/>
          <w:bCs w:val="0"/>
          <w:sz w:val="32"/>
          <w:szCs w:val="32"/>
        </w:rPr>
        <w:t>项目</w:t>
      </w:r>
      <w:r>
        <w:rPr>
          <w:rFonts w:hint="eastAsia" w:ascii="方正仿宋简体" w:hAnsi="方正仿宋简体" w:eastAsia="方正仿宋简体" w:cs="方正仿宋简体"/>
          <w:b w:val="0"/>
          <w:bCs w:val="0"/>
          <w:sz w:val="32"/>
          <w:szCs w:val="32"/>
          <w:lang w:val="en-US" w:eastAsia="zh-CN"/>
        </w:rPr>
        <w:t>是2020年11月由乐至县行政审批局发起的，</w:t>
      </w:r>
      <w:r>
        <w:rPr>
          <w:rFonts w:hint="eastAsia" w:ascii="方正仿宋简体" w:hAnsi="方正仿宋简体" w:eastAsia="方正仿宋简体" w:cs="方正仿宋简体"/>
          <w:b w:val="0"/>
          <w:bCs w:val="0"/>
          <w:color w:val="000000"/>
          <w:sz w:val="32"/>
          <w:szCs w:val="32"/>
        </w:rPr>
        <w:t>乐至县行政审批局关于实施公共资源电子交易系统建设的请示</w:t>
      </w:r>
      <w:r>
        <w:rPr>
          <w:rFonts w:hint="eastAsia" w:ascii="方正仿宋简体" w:hAnsi="方正仿宋简体" w:eastAsia="方正仿宋简体" w:cs="方正仿宋简体"/>
          <w:b w:val="0"/>
          <w:bCs w:val="0"/>
          <w:color w:val="000000"/>
          <w:sz w:val="32"/>
          <w:szCs w:val="32"/>
          <w:lang w:eastAsia="zh-CN"/>
        </w:rPr>
        <w:t>（</w:t>
      </w:r>
      <w:r>
        <w:rPr>
          <w:rFonts w:hint="eastAsia" w:ascii="方正仿宋简体" w:hAnsi="方正仿宋简体" w:eastAsia="方正仿宋简体" w:cs="方正仿宋简体"/>
          <w:b w:val="0"/>
          <w:bCs w:val="0"/>
          <w:sz w:val="32"/>
          <w:szCs w:val="32"/>
        </w:rPr>
        <w:t>乐行审〔2020〕17 号</w:t>
      </w:r>
      <w:r>
        <w:rPr>
          <w:rFonts w:hint="eastAsia" w:ascii="方正仿宋简体" w:hAnsi="方正仿宋简体" w:eastAsia="方正仿宋简体" w:cs="方正仿宋简体"/>
          <w:b w:val="0"/>
          <w:bCs w:val="0"/>
          <w:sz w:val="32"/>
          <w:szCs w:val="32"/>
          <w:lang w:eastAsia="zh-CN"/>
        </w:rPr>
        <w:t>），</w:t>
      </w:r>
      <w:r>
        <w:rPr>
          <w:rFonts w:hint="eastAsia" w:ascii="方正仿宋简体" w:hAnsi="方正仿宋简体" w:eastAsia="方正仿宋简体" w:cs="方正仿宋简体"/>
          <w:b w:val="0"/>
          <w:bCs w:val="0"/>
          <w:sz w:val="32"/>
          <w:szCs w:val="32"/>
          <w:lang w:val="en-US" w:eastAsia="zh-CN"/>
        </w:rPr>
        <w:t>申请资金90万元，用于平台硬件设施建设。实际合同价款89.88万元，2022年度已拨付40万。</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仿宋_GB2312"/>
          <w:sz w:val="32"/>
          <w:szCs w:val="32"/>
          <w:lang w:eastAsia="zh-CN"/>
        </w:rPr>
      </w:pPr>
      <w:r>
        <w:rPr>
          <w:rFonts w:hint="eastAsia" w:ascii="仿宋_GB2312" w:hAnsi="仿宋_GB2312" w:eastAsia="仿宋_GB2312" w:cs="仿宋_GB2312"/>
          <w:sz w:val="32"/>
          <w:szCs w:val="32"/>
        </w:rPr>
        <w:t>为加快推进我县公共资源电子交易系统建设工作，建设规则统一、公开透明、服务高效、监督规范的公共资源交易平台系统，实现公共资源交易从有形场所向电子化平台转变，推动异地远程评标和在线监督，提高公共资源配置的效率和效益，根据省市有关要求，结合我县公共资源交易工作实际，拟定了乐至县公共资源电子交易系统建设工作推进方案</w:t>
      </w:r>
      <w:r>
        <w:rPr>
          <w:rFonts w:hint="eastAsia" w:ascii="仿宋_GB2312" w:hAnsi="仿宋_GB2312" w:eastAsia="仿宋_GB2312" w:cs="仿宋_GB2312"/>
          <w:sz w:val="32"/>
          <w:szCs w:val="32"/>
          <w:lang w:eastAsia="zh-CN"/>
        </w:rPr>
        <w:t>。</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lang w:val="en-US" w:eastAsia="zh-CN"/>
        </w:rPr>
        <w:t>县级财政预算金额89.88万，用于公共资源交易电子</w:t>
      </w:r>
      <w:r>
        <w:rPr>
          <w:rFonts w:hint="eastAsia" w:ascii="仿宋_GB2312" w:hAnsi="仿宋_GB2312" w:eastAsia="仿宋_GB2312" w:cs="仿宋_GB2312"/>
          <w:sz w:val="32"/>
          <w:szCs w:val="32"/>
        </w:rPr>
        <w:t>平台硬件设施建设</w:t>
      </w:r>
      <w:r>
        <w:rPr>
          <w:rFonts w:hint="eastAsia" w:ascii="仿宋_GB2312" w:hAnsi="仿宋_GB2312" w:eastAsia="仿宋_GB2312" w:cs="仿宋_GB2312"/>
          <w:sz w:val="32"/>
          <w:szCs w:val="32"/>
          <w:lang w:val="en-US" w:eastAsia="zh-CN"/>
        </w:rPr>
        <w:t>。</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2022年使用项目资金支出</w:t>
      </w:r>
      <w:r>
        <w:rPr>
          <w:rFonts w:hint="eastAsia" w:ascii="方正仿宋简体" w:hAnsi="方正仿宋简体" w:eastAsia="方正仿宋简体" w:cs="方正仿宋简体"/>
          <w:b w:val="0"/>
          <w:bCs w:val="0"/>
          <w:sz w:val="32"/>
          <w:szCs w:val="32"/>
          <w:lang w:val="en-US" w:eastAsia="zh-CN"/>
        </w:rPr>
        <w:t>平台硬件设施建设</w:t>
      </w:r>
      <w:r>
        <w:rPr>
          <w:rFonts w:hint="eastAsia" w:eastAsia="方正仿宋简体"/>
          <w:sz w:val="32"/>
          <w:szCs w:val="32"/>
          <w:lang w:val="en-US" w:eastAsia="zh-CN"/>
        </w:rPr>
        <w:t>，共计支出40万元。</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tabs>
          <w:tab w:val="left" w:pos="2835"/>
          <w:tab w:val="left" w:pos="3900"/>
          <w:tab w:val="center" w:pos="4422"/>
        </w:tabs>
        <w:adjustRightInd w:val="0"/>
        <w:snapToGrid w:val="0"/>
        <w:spacing w:line="60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2020年12月底前，完成县级电子交易系统项目立项、招标采购、有关硬件设施和网络环境等配套建设以及与市公共资源交易平台实现对接等工作，电子交易系统试运行；2021年3月实现我县公共资源交易全过程电子化。</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根据项目内容，</w:t>
      </w:r>
      <w:r>
        <w:rPr>
          <w:rFonts w:hint="eastAsia" w:ascii="仿宋_GB2312" w:hAnsi="仿宋_GB2312" w:eastAsia="仿宋_GB2312" w:cs="仿宋_GB2312"/>
          <w:sz w:val="32"/>
          <w:szCs w:val="32"/>
        </w:rPr>
        <w:t>通过政府采购程序购置流媒体服务器、电脑、交换机、远程开评标视频终端、液晶拼接屏等设备（详见附件）。建设电子开标室4个，电子竞价室1个，电子评标室3个，远程评标室1个，综合监控室1个，监督室1个。</w:t>
      </w:r>
      <w:r>
        <w:rPr>
          <w:rFonts w:hint="eastAsia" w:ascii="仿宋_GB2312" w:hAnsi="仿宋_GB2312" w:eastAsia="仿宋_GB2312" w:cs="仿宋_GB2312"/>
          <w:sz w:val="32"/>
          <w:szCs w:val="32"/>
          <w:lang w:val="en-US" w:eastAsia="zh-CN"/>
        </w:rPr>
        <w:t>实际合同价款89.88万元。</w:t>
      </w:r>
    </w:p>
    <w:p>
      <w:pPr>
        <w:spacing w:line="580" w:lineRule="exact"/>
        <w:ind w:firstLine="640" w:firstLineChars="200"/>
        <w:rPr>
          <w:rFonts w:hint="default" w:ascii="仿宋_GB2312" w:hAnsi="仿宋_GB2312" w:eastAsia="仿宋_GB2312" w:cs="仿宋_GB2312"/>
          <w:color w:val="333333"/>
          <w:kern w:val="0"/>
          <w:sz w:val="32"/>
          <w:szCs w:val="32"/>
          <w:lang w:val="en-US" w:eastAsia="zh-CN" w:bidi="ar"/>
        </w:rPr>
      </w:pPr>
      <w:r>
        <w:rPr>
          <w:rFonts w:hint="eastAsia" w:ascii="仿宋_GB2312" w:hAnsi="仿宋_GB2312" w:eastAsia="仿宋_GB2312" w:cs="仿宋_GB2312"/>
          <w:color w:val="333333"/>
          <w:kern w:val="0"/>
          <w:sz w:val="32"/>
          <w:szCs w:val="32"/>
          <w:lang w:bidi="ar"/>
        </w:rPr>
        <w:t>2020年，基本建成我县公共资源电子交易系统，2020年12月试运行，2021年3月正式启用，实现全县“4+X”（即政府采购、工程建设项目招标投标、国土招拍挂、国有资产处置等全类别）公共资源交易在资阳市公共资源交易平台全程电子化开展；对接省、市公共资源交易服务平台，在统一的平台体系上实现信息和资源共享，为异地远程评标和全省实现交易信息网状互联互通、公共资源交易信息大数据建设打好基础。</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90" w:lineRule="exact"/>
        <w:ind w:firstLine="640" w:firstLineChars="200"/>
        <w:rPr>
          <w:rFonts w:hint="eastAsia" w:ascii="方正仿宋简体" w:eastAsia="方正仿宋简体"/>
          <w:sz w:val="32"/>
          <w:szCs w:val="32"/>
          <w:lang w:val="en-US" w:eastAsia="zh-CN"/>
        </w:rPr>
      </w:pPr>
      <w:r>
        <w:rPr>
          <w:rFonts w:hint="eastAsia" w:ascii="方正仿宋简体" w:eastAsia="方正仿宋简体"/>
          <w:sz w:val="32"/>
          <w:szCs w:val="32"/>
        </w:rPr>
        <w:t>我中心严格按照县级部门预算编制通知和有关要求</w:t>
      </w:r>
      <w:r>
        <w:rPr>
          <w:rFonts w:hint="eastAsia" w:ascii="方正仿宋简体" w:eastAsia="方正仿宋简体"/>
          <w:sz w:val="32"/>
          <w:szCs w:val="32"/>
          <w:lang w:eastAsia="zh-CN"/>
        </w:rPr>
        <w:t>，</w:t>
      </w:r>
      <w:r>
        <w:rPr>
          <w:rFonts w:hint="eastAsia" w:ascii="方正仿宋简体" w:eastAsia="方正仿宋简体"/>
          <w:sz w:val="32"/>
          <w:szCs w:val="32"/>
        </w:rPr>
        <w:t>遵循人员经费按标准、公用经费按定额、专项经费按项目、勤俭节约、讲求绩效的原则</w:t>
      </w:r>
      <w:r>
        <w:rPr>
          <w:rFonts w:hint="eastAsia" w:ascii="方正仿宋简体" w:eastAsia="方正仿宋简体"/>
          <w:sz w:val="32"/>
          <w:szCs w:val="32"/>
          <w:lang w:eastAsia="zh-CN"/>
        </w:rPr>
        <w:t>，</w:t>
      </w:r>
      <w:r>
        <w:rPr>
          <w:rFonts w:hint="eastAsia" w:ascii="方正仿宋简体" w:eastAsia="方正仿宋简体"/>
          <w:sz w:val="32"/>
          <w:szCs w:val="32"/>
          <w:lang w:val="en-US" w:eastAsia="zh-CN"/>
        </w:rPr>
        <w:t>成立自评工作小组，成员如下：</w:t>
      </w:r>
    </w:p>
    <w:p>
      <w:pPr>
        <w:spacing w:line="590" w:lineRule="exact"/>
        <w:ind w:firstLine="640" w:firstLineChars="200"/>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我中心严格执行“三公经费”预算，</w:t>
      </w:r>
      <w:r>
        <w:rPr>
          <w:rFonts w:hint="eastAsia" w:ascii="方正仿宋简体" w:eastAsia="方正仿宋简体"/>
          <w:color w:val="000000"/>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hint="eastAsia" w:eastAsia="方正楷体简体"/>
          <w:b/>
          <w:sz w:val="32"/>
          <w:szCs w:val="32"/>
        </w:rPr>
      </w:pPr>
      <w:r>
        <w:rPr>
          <w:rFonts w:hint="eastAsia" w:ascii="方正仿宋简体" w:eastAsia="方正仿宋简体"/>
          <w:sz w:val="32"/>
          <w:szCs w:val="32"/>
          <w:lang w:val="en-US" w:eastAsia="zh-CN"/>
        </w:rPr>
        <w:t>我中心采用报告审批制度完成自评工作。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《乐至县财政支出绩效评价管理办法》规定确定绩效等级优。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default" w:ascii="方正仿宋简体" w:eastAsia="方正仿宋简体"/>
          <w:sz w:val="32"/>
          <w:szCs w:val="32"/>
          <w:lang w:val="en-US"/>
        </w:rPr>
      </w:pPr>
      <w:r>
        <w:rPr>
          <w:rFonts w:hint="eastAsia" w:ascii="方正仿宋简体" w:eastAsia="方正仿宋简体"/>
          <w:sz w:val="32"/>
          <w:szCs w:val="32"/>
        </w:rPr>
        <w:t>通过项目的实施，全面保障</w:t>
      </w:r>
      <w:r>
        <w:rPr>
          <w:rFonts w:hint="eastAsia" w:ascii="仿宋_GB2312" w:hAnsi="仿宋_GB2312" w:eastAsia="仿宋_GB2312" w:cs="仿宋_GB2312"/>
          <w:sz w:val="32"/>
          <w:szCs w:val="32"/>
        </w:rPr>
        <w:t>公共资源电子交易系统</w:t>
      </w:r>
      <w:r>
        <w:rPr>
          <w:rFonts w:hint="eastAsia" w:ascii="仿宋_GB2312" w:hAnsi="仿宋_GB2312" w:eastAsia="仿宋_GB2312" w:cs="仿宋_GB2312"/>
          <w:sz w:val="32"/>
          <w:szCs w:val="32"/>
          <w:lang w:val="en-US" w:eastAsia="zh-CN"/>
        </w:rPr>
        <w:t>建设</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ascii="方正仿宋简体" w:hAnsi="方正仿宋简体" w:eastAsia="方正仿宋简体" w:cs="方正仿宋简体"/>
          <w:b w:val="0"/>
          <w:bCs w:val="0"/>
          <w:sz w:val="32"/>
          <w:szCs w:val="32"/>
          <w:lang w:val="en-US" w:eastAsia="zh-CN"/>
        </w:rPr>
        <w:t>平台硬件设施建设顺利并启用，</w:t>
      </w:r>
      <w:r>
        <w:rPr>
          <w:rFonts w:hint="eastAsia" w:eastAsia="方正仿宋简体"/>
          <w:sz w:val="32"/>
          <w:szCs w:val="32"/>
          <w:lang w:val="en-US" w:eastAsia="zh-CN"/>
        </w:rPr>
        <w:t>专项网络使用稳定畅通，资金结算及时，网络维护准时、高效。</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tabs>
          <w:tab w:val="left" w:pos="2835"/>
          <w:tab w:val="left" w:pos="3900"/>
          <w:tab w:val="center" w:pos="4422"/>
        </w:tabs>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一是加强组织领导。</w:t>
      </w:r>
      <w:r>
        <w:rPr>
          <w:rFonts w:hint="eastAsia" w:ascii="仿宋_GB2312" w:hAnsi="仿宋_GB2312" w:eastAsia="仿宋_GB2312" w:cs="仿宋_GB2312"/>
          <w:sz w:val="32"/>
          <w:szCs w:val="32"/>
        </w:rPr>
        <w:t>成立由县政府分管领导任组长，县行政审批局局长任副组长，县政府办、县发改局、县财政局、县自然资源局、县国有资产监督和金融工作局等有关单位分管领导为成员的专项工作领导小组，负责全县</w:t>
      </w:r>
      <w:r>
        <w:rPr>
          <w:rFonts w:hint="eastAsia" w:ascii="仿宋_GB2312" w:hAnsi="仿宋_GB2312" w:eastAsia="仿宋_GB2312" w:cs="仿宋_GB2312"/>
          <w:sz w:val="32"/>
          <w:szCs w:val="32"/>
          <w:lang w:val="en-US" w:eastAsia="zh-CN"/>
        </w:rPr>
        <w:t>电子交易系统</w:t>
      </w:r>
      <w:r>
        <w:rPr>
          <w:rFonts w:hint="eastAsia" w:ascii="仿宋_GB2312" w:hAnsi="仿宋_GB2312" w:eastAsia="仿宋_GB2312" w:cs="仿宋_GB2312"/>
          <w:sz w:val="32"/>
          <w:szCs w:val="32"/>
        </w:rPr>
        <w:t>平台硬件设施建设工作的开展和有关工作的组织协调。日常工作由县政府政务服务和公共资源交易服务中心牵头，县级有关部门协调配合，具体负责全县电子交易系统建设工作的部署和实施；</w:t>
      </w:r>
      <w:r>
        <w:rPr>
          <w:rFonts w:hint="eastAsia" w:ascii="仿宋_GB2312" w:hAnsi="仿宋_GB2312" w:eastAsia="仿宋_GB2312" w:cs="仿宋_GB2312"/>
          <w:b/>
          <w:sz w:val="32"/>
          <w:szCs w:val="32"/>
        </w:rPr>
        <w:t>二是明确责任分工。</w:t>
      </w:r>
      <w:r>
        <w:rPr>
          <w:rFonts w:hint="eastAsia" w:ascii="仿宋_GB2312" w:hAnsi="仿宋_GB2312" w:eastAsia="仿宋_GB2312" w:cs="仿宋_GB2312"/>
          <w:color w:val="333333"/>
          <w:kern w:val="0"/>
          <w:sz w:val="32"/>
          <w:szCs w:val="32"/>
          <w:lang w:bidi="ar"/>
        </w:rPr>
        <w:t>县</w:t>
      </w:r>
      <w:r>
        <w:rPr>
          <w:rFonts w:hint="eastAsia" w:ascii="仿宋_GB2312" w:hAnsi="仿宋_GB2312" w:eastAsia="仿宋_GB2312" w:cs="仿宋_GB2312"/>
          <w:sz w:val="32"/>
          <w:szCs w:val="32"/>
        </w:rPr>
        <w:t>级相关部门要细化工作责任、明确完成时限，加快推动我县公共资源电子交易系统建设工作。县政府政务服务和公共资源交易服务中心负责电子交易系统的建设、运行和维护，发改、财政、自然资源、国有资产监督等有关部门要加强对电子交易系统开发和建设工作的支持和指导，参与电子交易系统调试。县政府督查室负责对我县公共资源电子交易系统建设推进情况进行督促检查并通报有关情况。</w:t>
      </w:r>
      <w:r>
        <w:rPr>
          <w:rFonts w:hint="eastAsia" w:ascii="仿宋_GB2312" w:hAnsi="仿宋_GB2312" w:eastAsia="仿宋_GB2312" w:cs="仿宋_GB2312"/>
          <w:b/>
          <w:color w:val="333333"/>
          <w:kern w:val="0"/>
          <w:sz w:val="32"/>
          <w:szCs w:val="32"/>
          <w:lang w:bidi="ar"/>
        </w:rPr>
        <w:t>三是健全管理制度。</w:t>
      </w:r>
      <w:r>
        <w:rPr>
          <w:rFonts w:hint="eastAsia" w:ascii="仿宋_GB2312" w:hAnsi="仿宋_GB2312" w:eastAsia="仿宋_GB2312" w:cs="仿宋_GB2312"/>
          <w:sz w:val="32"/>
          <w:szCs w:val="32"/>
        </w:rPr>
        <w:t>县级有关部门采取多种方式，加强对有关人员的教育和培训，提高应用电子化平台开展工作的能力和水平。结合工作实际，逐步建立和完善电子交易系统建设和运行的有关制度，加强责任考核，充分发挥电子化平台的作用。</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580" w:lineRule="exact"/>
        <w:ind w:firstLine="1600" w:firstLineChars="5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乐至县政府政务服务和公共资源交易服务中心</w:t>
      </w:r>
    </w:p>
    <w:p>
      <w:pPr>
        <w:spacing w:line="580" w:lineRule="exact"/>
        <w:ind w:firstLine="4160" w:firstLineChars="13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2023年11月8日</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ascii="宋体" w:hAnsi="宋体" w:eastAsia="方正小标宋简体"/>
          <w:bCs/>
          <w:kern w:val="0"/>
          <w:sz w:val="40"/>
          <w:szCs w:val="40"/>
        </w:rPr>
        <w:sectPr>
          <w:footerReference r:id="rId13" w:type="default"/>
          <w:footerReference r:id="rId14" w:type="even"/>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val="en-US" w:eastAsia="zh-CN"/>
        </w:rPr>
        <w:t>乐至县公共资源交易电子平台建设</w:t>
      </w:r>
      <w:r>
        <w:rPr>
          <w:rFonts w:hint="eastAsia" w:eastAsia="方正楷体简体"/>
          <w:b/>
          <w:bCs/>
          <w:kern w:val="0"/>
          <w:sz w:val="32"/>
          <w:szCs w:val="32"/>
        </w:rPr>
        <w:t>）</w:t>
      </w:r>
    </w:p>
    <w:p>
      <w:pPr>
        <w:spacing w:line="620" w:lineRule="exact"/>
        <w:rPr>
          <w:rFonts w:hint="eastAsia" w:eastAsia="宋体"/>
          <w:sz w:val="18"/>
          <w:szCs w:val="18"/>
          <w:lang w:val="en-US" w:eastAsia="zh-CN"/>
        </w:rPr>
      </w:pPr>
      <w:r>
        <w:rPr>
          <w:rFonts w:hint="eastAsia"/>
          <w:bCs/>
          <w:kern w:val="0"/>
          <w:sz w:val="18"/>
          <w:szCs w:val="18"/>
        </w:rPr>
        <w:t>预算单位名称：</w:t>
      </w:r>
      <w:r>
        <w:rPr>
          <w:rFonts w:hint="eastAsia"/>
          <w:bCs/>
          <w:kern w:val="0"/>
          <w:sz w:val="18"/>
          <w:szCs w:val="18"/>
          <w:lang w:val="en-US" w:eastAsia="zh-CN"/>
        </w:rPr>
        <w:t>乐至县政府政务服务和公共资源交易服务中心</w:t>
      </w:r>
      <w:r>
        <w:rPr>
          <w:bCs/>
          <w:kern w:val="0"/>
          <w:sz w:val="18"/>
          <w:szCs w:val="18"/>
        </w:rPr>
        <w:t xml:space="preserve">  </w:t>
      </w:r>
      <w:r>
        <w:rPr>
          <w:rFonts w:hint="eastAsia"/>
          <w:bCs/>
          <w:kern w:val="0"/>
          <w:sz w:val="18"/>
          <w:szCs w:val="18"/>
        </w:rPr>
        <w:t>预算单位编码：</w:t>
      </w:r>
      <w:r>
        <w:rPr>
          <w:rFonts w:hint="eastAsia"/>
          <w:bCs/>
          <w:kern w:val="0"/>
          <w:sz w:val="18"/>
          <w:szCs w:val="18"/>
          <w:lang w:val="en-US" w:eastAsia="zh-CN"/>
        </w:rPr>
        <w:t>143001</w:t>
      </w:r>
      <w:r>
        <w:rPr>
          <w:bCs/>
          <w:kern w:val="0"/>
          <w:sz w:val="18"/>
          <w:szCs w:val="18"/>
        </w:rPr>
        <w:t xml:space="preserve"> </w:t>
      </w:r>
      <w:r>
        <w:rPr>
          <w:rFonts w:hint="eastAsia"/>
          <w:bCs/>
          <w:kern w:val="0"/>
          <w:sz w:val="18"/>
          <w:szCs w:val="18"/>
        </w:rPr>
        <w:t>自评等级：</w:t>
      </w:r>
      <w:r>
        <w:rPr>
          <w:rFonts w:hint="eastAsia"/>
          <w:bCs/>
          <w:kern w:val="0"/>
          <w:sz w:val="18"/>
          <w:szCs w:val="18"/>
          <w:lang w:val="en-US"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10</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97</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3"/>
        <w:spacing w:after="0" w:line="240" w:lineRule="exact"/>
        <w:rPr>
          <w:rFonts w:ascii="宋体"/>
        </w:rPr>
      </w:pPr>
    </w:p>
    <w:tbl>
      <w:tblPr>
        <w:tblStyle w:val="16"/>
        <w:tblW w:w="1064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91"/>
        <w:gridCol w:w="730"/>
        <w:gridCol w:w="845"/>
        <w:gridCol w:w="870"/>
        <w:gridCol w:w="1981"/>
        <w:gridCol w:w="3216"/>
        <w:gridCol w:w="21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9749"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auto"/>
                <w:kern w:val="0"/>
                <w:szCs w:val="21"/>
                <w:highlight w:val="none"/>
                <w:lang w:bidi="ar"/>
              </w:rPr>
              <w:t>乐至县公共资源交易电子平台建设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45"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845" w:type="dxa"/>
            <w:noWrap/>
            <w:vAlign w:val="center"/>
          </w:tcPr>
          <w:p>
            <w:pPr>
              <w:spacing w:line="240" w:lineRule="exact"/>
              <w:jc w:val="center"/>
              <w:rPr>
                <w:szCs w:val="21"/>
              </w:rPr>
            </w:pPr>
            <w:r>
              <w:rPr>
                <w:rFonts w:hint="eastAsia"/>
                <w:color w:val="000000"/>
                <w:kern w:val="0"/>
                <w:szCs w:val="21"/>
              </w:rPr>
              <w:t>□</w:t>
            </w:r>
          </w:p>
        </w:tc>
        <w:tc>
          <w:tcPr>
            <w:tcW w:w="2851"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sym w:font="Wingdings 2" w:char="0052"/>
            </w:r>
          </w:p>
        </w:tc>
        <w:tc>
          <w:tcPr>
            <w:tcW w:w="5323"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426" w:type="dxa"/>
            <w:gridSpan w:val="4"/>
            <w:noWrap/>
            <w:vAlign w:val="center"/>
          </w:tcPr>
          <w:p>
            <w:pPr>
              <w:widowControl/>
              <w:spacing w:line="240" w:lineRule="exact"/>
              <w:jc w:val="center"/>
              <w:rPr>
                <w:color w:val="000000"/>
                <w:kern w:val="0"/>
                <w:szCs w:val="21"/>
              </w:rPr>
            </w:pPr>
            <w:r>
              <w:rPr>
                <w:rFonts w:hint="eastAsia" w:ascii="宋体" w:hAnsi="宋体" w:cs="宋体"/>
                <w:color w:val="000000"/>
                <w:kern w:val="0"/>
                <w:sz w:val="22"/>
                <w:szCs w:val="22"/>
                <w:lang w:val="en-US" w:eastAsia="zh-CN"/>
              </w:rPr>
              <w:t>乐至县政府政务服务和公共资源交易服务中心</w:t>
            </w:r>
            <w:r>
              <w:rPr>
                <w:rFonts w:hint="eastAsia"/>
                <w:color w:val="000000"/>
                <w:kern w:val="0"/>
                <w:szCs w:val="21"/>
              </w:rPr>
              <w:t>　</w:t>
            </w:r>
          </w:p>
        </w:tc>
        <w:tc>
          <w:tcPr>
            <w:tcW w:w="3216"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10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45"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70"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981"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3216"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10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45"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89.88</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9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49.88</w:t>
            </w:r>
          </w:p>
        </w:tc>
        <w:tc>
          <w:tcPr>
            <w:tcW w:w="321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55.50</w:t>
            </w:r>
          </w:p>
        </w:tc>
        <w:tc>
          <w:tcPr>
            <w:tcW w:w="210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-44.50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3"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45"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89.88</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9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49.88</w:t>
            </w:r>
          </w:p>
        </w:tc>
        <w:tc>
          <w:tcPr>
            <w:tcW w:w="3216" w:type="dxa"/>
            <w:noWrap/>
            <w:vAlign w:val="center"/>
          </w:tcPr>
          <w:p>
            <w:pPr>
              <w:widowControl/>
              <w:spacing w:line="240" w:lineRule="exact"/>
              <w:jc w:val="center"/>
              <w:rPr>
                <w:rFonts w:hint="default" w:eastAsia="宋体"/>
                <w:color w:val="000000"/>
                <w:kern w:val="0"/>
                <w:szCs w:val="21"/>
                <w:lang w:val="en-US" w:eastAsia="zh-CN"/>
              </w:rPr>
            </w:pPr>
            <w:r>
              <w:rPr>
                <w:rFonts w:hint="eastAsia"/>
                <w:color w:val="000000"/>
                <w:kern w:val="0"/>
                <w:szCs w:val="21"/>
                <w:lang w:val="en-US" w:eastAsia="zh-CN"/>
              </w:rPr>
              <w:t>55.50</w:t>
            </w:r>
          </w:p>
        </w:tc>
        <w:tc>
          <w:tcPr>
            <w:tcW w:w="2107"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-44.50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45"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870"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45"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870"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981"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3216"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107"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89.88</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89.88</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40.00</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40.00</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45"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eastAsia="宋体"/>
                <w:color w:val="000000"/>
                <w:kern w:val="0"/>
                <w:sz w:val="21"/>
                <w:szCs w:val="21"/>
                <w:lang w:val="en-US" w:eastAsia="zh-CN" w:bidi="ar-SA"/>
              </w:rPr>
              <w:t>49.88</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49.88</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45"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lang w:val="en-US" w:eastAsia="zh-CN"/>
              </w:rPr>
              <w:t>55.50</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55.50</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45"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-44.50</w:t>
            </w:r>
          </w:p>
        </w:tc>
        <w:tc>
          <w:tcPr>
            <w:tcW w:w="87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-44.50</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575"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支付电子平台建设项目合同价款40万元</w:t>
            </w:r>
          </w:p>
        </w:tc>
        <w:tc>
          <w:tcPr>
            <w:tcW w:w="2851" w:type="dxa"/>
            <w:gridSpan w:val="2"/>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支付40万元合同价款</w:t>
            </w:r>
          </w:p>
        </w:tc>
        <w:tc>
          <w:tcPr>
            <w:tcW w:w="5323" w:type="dxa"/>
            <w:gridSpan w:val="2"/>
            <w:noWrap/>
            <w:vAlign w:val="center"/>
          </w:tcPr>
          <w:p>
            <w:pPr>
              <w:widowControl/>
              <w:spacing w:line="240" w:lineRule="exact"/>
              <w:jc w:val="center"/>
              <w:rPr>
                <w:color w:val="000000"/>
                <w:kern w:val="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left"/>
              <w:rPr>
                <w:color w:val="000000"/>
                <w:kern w:val="0"/>
                <w:szCs w:val="21"/>
              </w:rPr>
            </w:pP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left"/>
              <w:rPr>
                <w:color w:val="000000"/>
                <w:kern w:val="0"/>
                <w:szCs w:val="21"/>
              </w:rPr>
            </w:pP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1575" w:type="dxa"/>
            <w:gridSpan w:val="2"/>
            <w:noWrap/>
            <w:vAlign w:val="center"/>
          </w:tcPr>
          <w:p>
            <w:pPr>
              <w:widowControl/>
              <w:spacing w:line="240" w:lineRule="exact"/>
              <w:jc w:val="left"/>
              <w:rPr>
                <w:color w:val="000000"/>
                <w:kern w:val="0"/>
                <w:szCs w:val="21"/>
              </w:rPr>
            </w:pPr>
            <w:r>
              <w:rPr>
                <w:rFonts w:hint="eastAsia"/>
                <w:color w:val="000000"/>
                <w:kern w:val="0"/>
                <w:szCs w:val="21"/>
              </w:rPr>
              <w:t>　</w:t>
            </w:r>
          </w:p>
        </w:tc>
        <w:tc>
          <w:tcPr>
            <w:tcW w:w="2851"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c>
          <w:tcPr>
            <w:tcW w:w="5323" w:type="dxa"/>
            <w:gridSpan w:val="2"/>
            <w:noWrap/>
            <w:vAlign w:val="center"/>
          </w:tcPr>
          <w:p>
            <w:pPr>
              <w:widowControl/>
              <w:spacing w:line="240" w:lineRule="exact"/>
              <w:jc w:val="center"/>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91"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730"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45"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870"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981"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3216"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107"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45"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购置设备</w:t>
            </w:r>
          </w:p>
        </w:tc>
        <w:tc>
          <w:tcPr>
            <w:tcW w:w="198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ascii="Times New Roman" w:hAnsi="Times New Roman" w:eastAsia="宋体" w:cs="Times New Roman"/>
                <w:color w:val="000000"/>
                <w:kern w:val="0"/>
                <w:szCs w:val="21"/>
              </w:rPr>
              <w:t>购置流媒体服务器、电脑、交换机、远程开评标视频终端、液晶拼接屏等设备</w:t>
            </w:r>
            <w:r>
              <w:rPr>
                <w:rFonts w:hint="eastAsia" w:ascii="Times New Roman" w:hAnsi="Times New Roman" w:eastAsia="宋体" w:cs="Times New Roman"/>
                <w:color w:val="000000"/>
                <w:kern w:val="0"/>
                <w:szCs w:val="21"/>
                <w:lang w:val="en-US" w:eastAsia="zh-CN"/>
              </w:rPr>
              <w:t>一套</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ascii="Times New Roman" w:hAnsi="Times New Roman" w:eastAsia="宋体" w:cs="Times New Roman"/>
                <w:color w:val="000000"/>
                <w:kern w:val="0"/>
                <w:szCs w:val="21"/>
              </w:rPr>
              <w:t>购置流媒体服务器、电脑、交换机、远程开评标视频终端、液晶拼接屏等设备</w:t>
            </w:r>
            <w:r>
              <w:rPr>
                <w:rFonts w:hint="eastAsia" w:ascii="Times New Roman" w:hAnsi="Times New Roman" w:eastAsia="宋体" w:cs="Times New Roman"/>
                <w:color w:val="000000"/>
                <w:kern w:val="0"/>
                <w:szCs w:val="21"/>
                <w:lang w:val="en-US" w:eastAsia="zh-CN"/>
              </w:rPr>
              <w:t>一套</w:t>
            </w:r>
          </w:p>
        </w:tc>
        <w:tc>
          <w:tcPr>
            <w:tcW w:w="210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continue"/>
            <w:noWrap w:val="0"/>
            <w:vAlign w:val="center"/>
          </w:tcPr>
          <w:p>
            <w:pPr>
              <w:widowControl/>
              <w:spacing w:line="240" w:lineRule="exact"/>
              <w:jc w:val="left"/>
              <w:rPr>
                <w:color w:val="000000"/>
                <w:kern w:val="0"/>
                <w:szCs w:val="21"/>
              </w:rPr>
            </w:pPr>
          </w:p>
        </w:tc>
        <w:tc>
          <w:tcPr>
            <w:tcW w:w="845" w:type="dxa"/>
            <w:vMerge w:val="continue"/>
            <w:noWrap w:val="0"/>
            <w:vAlign w:val="center"/>
          </w:tcPr>
          <w:p>
            <w:pPr>
              <w:widowControl/>
              <w:spacing w:line="240" w:lineRule="exact"/>
              <w:jc w:val="left"/>
              <w:rPr>
                <w:color w:val="000000"/>
                <w:kern w:val="0"/>
                <w:szCs w:val="21"/>
              </w:rPr>
            </w:pPr>
          </w:p>
        </w:tc>
        <w:tc>
          <w:tcPr>
            <w:tcW w:w="87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拨付合同价款</w:t>
            </w:r>
          </w:p>
        </w:tc>
        <w:tc>
          <w:tcPr>
            <w:tcW w:w="1981" w:type="dxa"/>
            <w:noWrap/>
            <w:vAlign w:val="center"/>
          </w:tcPr>
          <w:p>
            <w:pPr>
              <w:widowControl/>
              <w:spacing w:line="240" w:lineRule="exact"/>
              <w:jc w:val="left"/>
              <w:rPr>
                <w:color w:val="000000"/>
                <w:kern w:val="0"/>
                <w:szCs w:val="21"/>
              </w:rPr>
            </w:pPr>
            <w:r>
              <w:rPr>
                <w:rFonts w:hint="eastAsia"/>
                <w:color w:val="000000"/>
                <w:kern w:val="0"/>
                <w:szCs w:val="21"/>
                <w:lang w:val="en-US" w:eastAsia="zh-CN"/>
              </w:rPr>
              <w:t>89.88万元</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支付40万元合同价款</w:t>
            </w:r>
          </w:p>
        </w:tc>
        <w:tc>
          <w:tcPr>
            <w:tcW w:w="2107" w:type="dxa"/>
            <w:noWrap/>
            <w:vAlign w:val="center"/>
          </w:tcPr>
          <w:p>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continue"/>
            <w:noWrap w:val="0"/>
            <w:vAlign w:val="center"/>
          </w:tcPr>
          <w:p>
            <w:pPr>
              <w:widowControl/>
              <w:spacing w:line="240" w:lineRule="exact"/>
              <w:jc w:val="left"/>
              <w:rPr>
                <w:color w:val="000000"/>
                <w:kern w:val="0"/>
                <w:szCs w:val="21"/>
              </w:rPr>
            </w:pPr>
          </w:p>
        </w:tc>
        <w:tc>
          <w:tcPr>
            <w:tcW w:w="845"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87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费用控制</w:t>
            </w:r>
          </w:p>
        </w:tc>
        <w:tc>
          <w:tcPr>
            <w:tcW w:w="19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90万以内</w:t>
            </w:r>
          </w:p>
        </w:tc>
        <w:tc>
          <w:tcPr>
            <w:tcW w:w="3216"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89.88万元</w:t>
            </w:r>
          </w:p>
        </w:tc>
        <w:tc>
          <w:tcPr>
            <w:tcW w:w="210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45"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87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1:</w:t>
            </w:r>
          </w:p>
        </w:tc>
        <w:tc>
          <w:tcPr>
            <w:tcW w:w="19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供应商满意度≥</w:t>
            </w:r>
            <w:r>
              <w:rPr>
                <w:rFonts w:hint="eastAsia"/>
                <w:color w:val="000000"/>
                <w:kern w:val="0"/>
                <w:szCs w:val="21"/>
                <w:lang w:val="en-US" w:eastAsia="zh-CN"/>
              </w:rPr>
              <w:t>95%</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供应商满意度</w:t>
            </w:r>
            <w:r>
              <w:rPr>
                <w:rFonts w:hint="eastAsia"/>
                <w:color w:val="000000"/>
                <w:kern w:val="0"/>
                <w:szCs w:val="21"/>
                <w:lang w:val="en-US" w:eastAsia="zh-CN"/>
              </w:rPr>
              <w:t>97%</w:t>
            </w:r>
          </w:p>
        </w:tc>
        <w:tc>
          <w:tcPr>
            <w:tcW w:w="210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continue"/>
            <w:noWrap w:val="0"/>
            <w:vAlign w:val="center"/>
          </w:tcPr>
          <w:p>
            <w:pPr>
              <w:widowControl/>
              <w:spacing w:line="240" w:lineRule="exact"/>
              <w:jc w:val="left"/>
              <w:rPr>
                <w:color w:val="000000"/>
                <w:kern w:val="0"/>
                <w:szCs w:val="21"/>
              </w:rPr>
            </w:pPr>
          </w:p>
        </w:tc>
        <w:tc>
          <w:tcPr>
            <w:tcW w:w="845" w:type="dxa"/>
            <w:vMerge w:val="continue"/>
            <w:noWrap w:val="0"/>
            <w:vAlign w:val="center"/>
          </w:tcPr>
          <w:p>
            <w:pPr>
              <w:widowControl/>
              <w:spacing w:line="240" w:lineRule="exact"/>
              <w:jc w:val="left"/>
              <w:rPr>
                <w:color w:val="000000"/>
                <w:kern w:val="0"/>
                <w:szCs w:val="21"/>
              </w:rPr>
            </w:pPr>
          </w:p>
        </w:tc>
        <w:tc>
          <w:tcPr>
            <w:tcW w:w="870" w:type="dxa"/>
            <w:noWrap/>
            <w:vAlign w:val="center"/>
          </w:tcPr>
          <w:p>
            <w:pPr>
              <w:widowControl/>
              <w:spacing w:line="240" w:lineRule="exact"/>
              <w:jc w:val="left"/>
              <w:rPr>
                <w:color w:val="000000"/>
                <w:kern w:val="0"/>
                <w:szCs w:val="21"/>
              </w:rPr>
            </w:pPr>
            <w:r>
              <w:rPr>
                <w:rFonts w:hint="eastAsia"/>
                <w:color w:val="000000"/>
                <w:kern w:val="0"/>
                <w:szCs w:val="21"/>
              </w:rPr>
              <w:t>指标</w:t>
            </w:r>
            <w:r>
              <w:rPr>
                <w:color w:val="000000"/>
                <w:kern w:val="0"/>
                <w:szCs w:val="21"/>
              </w:rPr>
              <w:t>2:</w:t>
            </w:r>
          </w:p>
        </w:tc>
        <w:tc>
          <w:tcPr>
            <w:tcW w:w="1981"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采购人</w:t>
            </w:r>
            <w:r>
              <w:rPr>
                <w:rFonts w:hint="eastAsia"/>
                <w:color w:val="000000"/>
                <w:kern w:val="0"/>
                <w:szCs w:val="21"/>
              </w:rPr>
              <w:t>满意度≥</w:t>
            </w:r>
            <w:r>
              <w:rPr>
                <w:rFonts w:hint="eastAsia"/>
                <w:color w:val="000000"/>
                <w:kern w:val="0"/>
                <w:szCs w:val="21"/>
                <w:lang w:val="en-US" w:eastAsia="zh-CN"/>
              </w:rPr>
              <w:t>95%</w:t>
            </w:r>
          </w:p>
        </w:tc>
        <w:tc>
          <w:tcPr>
            <w:tcW w:w="3216"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采购人</w:t>
            </w:r>
            <w:r>
              <w:rPr>
                <w:rFonts w:hint="eastAsia"/>
                <w:color w:val="000000"/>
                <w:kern w:val="0"/>
                <w:szCs w:val="21"/>
              </w:rPr>
              <w:t>满意度</w:t>
            </w:r>
            <w:r>
              <w:rPr>
                <w:rFonts w:hint="eastAsia"/>
                <w:color w:val="000000"/>
                <w:kern w:val="0"/>
                <w:szCs w:val="21"/>
                <w:lang w:val="en-US" w:eastAsia="zh-CN"/>
              </w:rPr>
              <w:t>97%</w:t>
            </w:r>
          </w:p>
        </w:tc>
        <w:tc>
          <w:tcPr>
            <w:tcW w:w="2107"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noWrap w:val="0"/>
            <w:vAlign w:val="center"/>
          </w:tcPr>
          <w:p>
            <w:pPr>
              <w:widowControl/>
              <w:spacing w:line="240" w:lineRule="exact"/>
              <w:jc w:val="left"/>
              <w:rPr>
                <w:color w:val="000000"/>
                <w:kern w:val="0"/>
                <w:szCs w:val="21"/>
              </w:rPr>
            </w:pPr>
          </w:p>
        </w:tc>
        <w:tc>
          <w:tcPr>
            <w:tcW w:w="730" w:type="dxa"/>
            <w:vMerge w:val="continue"/>
            <w:noWrap w:val="0"/>
            <w:vAlign w:val="center"/>
          </w:tcPr>
          <w:p>
            <w:pPr>
              <w:widowControl/>
              <w:spacing w:line="240" w:lineRule="exact"/>
              <w:jc w:val="left"/>
              <w:rPr>
                <w:color w:val="000000"/>
                <w:kern w:val="0"/>
                <w:szCs w:val="21"/>
              </w:rPr>
            </w:pPr>
          </w:p>
        </w:tc>
        <w:tc>
          <w:tcPr>
            <w:tcW w:w="845" w:type="dxa"/>
            <w:vMerge w:val="continue"/>
            <w:noWrap w:val="0"/>
            <w:vAlign w:val="center"/>
          </w:tcPr>
          <w:p>
            <w:pPr>
              <w:widowControl/>
              <w:spacing w:line="240" w:lineRule="exact"/>
              <w:jc w:val="left"/>
              <w:rPr>
                <w:color w:val="000000"/>
                <w:kern w:val="0"/>
                <w:szCs w:val="21"/>
              </w:rPr>
            </w:pPr>
          </w:p>
        </w:tc>
        <w:tc>
          <w:tcPr>
            <w:tcW w:w="870"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9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91"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730" w:type="dxa"/>
            <w:vMerge w:val="continue"/>
            <w:tcBorders>
              <w:bottom w:val="single" w:color="auto" w:sz="12" w:space="0"/>
            </w:tcBorders>
            <w:noWrap w:val="0"/>
            <w:vAlign w:val="center"/>
          </w:tcPr>
          <w:p>
            <w:pPr>
              <w:widowControl/>
              <w:spacing w:line="240" w:lineRule="exact"/>
              <w:jc w:val="left"/>
              <w:rPr>
                <w:color w:val="000000"/>
                <w:kern w:val="0"/>
                <w:szCs w:val="21"/>
              </w:rPr>
            </w:pPr>
          </w:p>
        </w:tc>
        <w:tc>
          <w:tcPr>
            <w:tcW w:w="845"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870"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1981"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3216"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c>
          <w:tcPr>
            <w:tcW w:w="2107" w:type="dxa"/>
            <w:tcBorders>
              <w:bottom w:val="single" w:color="auto" w:sz="12" w:space="0"/>
            </w:tcBorders>
            <w:noWrap/>
            <w:vAlign w:val="center"/>
          </w:tcPr>
          <w:p>
            <w:pPr>
              <w:widowControl/>
              <w:spacing w:line="240" w:lineRule="exact"/>
              <w:jc w:val="left"/>
              <w:rPr>
                <w:color w:val="000000"/>
                <w:kern w:val="0"/>
                <w:szCs w:val="21"/>
              </w:rPr>
            </w:pPr>
            <w:r>
              <w:rPr>
                <w:rFonts w:hint="eastAsia"/>
                <w:color w:val="000000"/>
                <w:kern w:val="0"/>
                <w:szCs w:val="21"/>
              </w:rPr>
              <w:t>　</w:t>
            </w:r>
          </w:p>
        </w:tc>
      </w:tr>
    </w:tbl>
    <w:p>
      <w:pPr>
        <w:spacing w:line="620" w:lineRule="exact"/>
        <w:jc w:val="left"/>
        <w:rPr>
          <w:rFonts w:ascii="宋体"/>
          <w:sz w:val="32"/>
          <w:szCs w:val="32"/>
        </w:rPr>
      </w:pPr>
    </w:p>
    <w:p>
      <w:pPr>
        <w:spacing w:line="580" w:lineRule="exact"/>
        <w:jc w:val="center"/>
        <w:rPr>
          <w:rFonts w:hint="eastAsia" w:eastAsia="方正小标宋简体"/>
          <w:w w:val="85"/>
          <w:sz w:val="44"/>
          <w:szCs w:val="44"/>
          <w:lang w:val="en-US" w:eastAsia="zh-CN"/>
        </w:rPr>
      </w:pPr>
      <w:r>
        <w:rPr>
          <w:rFonts w:hint="eastAsia" w:eastAsia="方正小标宋简体"/>
          <w:w w:val="85"/>
          <w:sz w:val="44"/>
          <w:szCs w:val="44"/>
          <w:lang w:val="en-US" w:eastAsia="zh-CN"/>
        </w:rPr>
        <w:t>乐至县政府政务服务和公共资源交易服务中心</w:t>
      </w:r>
    </w:p>
    <w:p>
      <w:pPr>
        <w:spacing w:line="580" w:lineRule="exact"/>
        <w:jc w:val="center"/>
        <w:rPr>
          <w:rFonts w:eastAsia="方正小标宋简体"/>
          <w:sz w:val="44"/>
          <w:szCs w:val="44"/>
        </w:rPr>
      </w:pPr>
      <w:r>
        <w:rPr>
          <w:rFonts w:eastAsia="方正小标宋简体"/>
          <w:w w:val="85"/>
          <w:sz w:val="44"/>
          <w:szCs w:val="44"/>
        </w:rPr>
        <w:t>202</w:t>
      </w:r>
      <w:r>
        <w:rPr>
          <w:rFonts w:hint="eastAsia" w:eastAsia="方正小标宋简体"/>
          <w:w w:val="85"/>
          <w:sz w:val="44"/>
          <w:szCs w:val="44"/>
          <w:lang w:val="en-US" w:eastAsia="zh-CN"/>
        </w:rPr>
        <w:t>2</w:t>
      </w:r>
      <w:r>
        <w:rPr>
          <w:rFonts w:hint="eastAsia" w:eastAsia="方正小标宋简体"/>
          <w:w w:val="85"/>
          <w:sz w:val="44"/>
          <w:szCs w:val="44"/>
        </w:rPr>
        <w:t>年</w:t>
      </w:r>
      <w:r>
        <w:rPr>
          <w:rFonts w:hint="eastAsia" w:eastAsia="方正小标宋简体"/>
          <w:sz w:val="44"/>
          <w:szCs w:val="44"/>
        </w:rPr>
        <w:t>项目支出绩效自评报告</w:t>
      </w:r>
    </w:p>
    <w:p>
      <w:pPr>
        <w:spacing w:line="580" w:lineRule="exact"/>
        <w:jc w:val="center"/>
        <w:rPr>
          <w:rFonts w:eastAsia="方正楷体简体"/>
          <w:b/>
          <w:sz w:val="32"/>
          <w:szCs w:val="32"/>
        </w:rPr>
      </w:pPr>
      <w:r>
        <w:rPr>
          <w:rFonts w:hint="eastAsia" w:eastAsia="方正楷体简体"/>
          <w:b/>
          <w:sz w:val="32"/>
          <w:szCs w:val="32"/>
        </w:rPr>
        <w:t>（</w:t>
      </w:r>
      <w:r>
        <w:rPr>
          <w:rFonts w:hint="eastAsia" w:eastAsia="方正楷体简体"/>
          <w:b/>
          <w:sz w:val="32"/>
          <w:szCs w:val="32"/>
          <w:lang w:val="en-US" w:eastAsia="zh-CN"/>
        </w:rPr>
        <w:t>乐至县政府政务服务和公共资源交易服务中心专项网络费</w:t>
      </w:r>
      <w:r>
        <w:rPr>
          <w:rFonts w:hint="eastAsia" w:eastAsia="方正楷体简体"/>
          <w:b/>
          <w:sz w:val="32"/>
          <w:szCs w:val="32"/>
        </w:rPr>
        <w:t>）</w:t>
      </w:r>
    </w:p>
    <w:p>
      <w:pPr>
        <w:spacing w:line="580" w:lineRule="exact"/>
        <w:ind w:firstLine="640" w:firstLineChars="200"/>
        <w:rPr>
          <w:rFonts w:eastAsia="方正仿宋简体"/>
          <w:sz w:val="32"/>
          <w:szCs w:val="32"/>
        </w:rPr>
      </w:pPr>
    </w:p>
    <w:p>
      <w:pPr>
        <w:spacing w:line="580" w:lineRule="exact"/>
        <w:jc w:val="center"/>
        <w:rPr>
          <w:rFonts w:eastAsia="方正黑体简体"/>
          <w:sz w:val="32"/>
          <w:szCs w:val="32"/>
        </w:rPr>
      </w:pPr>
      <w:r>
        <w:rPr>
          <w:rFonts w:hint="eastAsia" w:eastAsia="方正黑体简体"/>
          <w:sz w:val="32"/>
          <w:szCs w:val="32"/>
        </w:rPr>
        <w:t>前</w:t>
      </w:r>
      <w:r>
        <w:rPr>
          <w:rFonts w:eastAsia="方正黑体简体"/>
          <w:sz w:val="32"/>
          <w:szCs w:val="32"/>
        </w:rPr>
        <w:t xml:space="preserve">    </w:t>
      </w:r>
      <w:r>
        <w:rPr>
          <w:rFonts w:hint="eastAsia" w:eastAsia="方正黑体简体"/>
          <w:sz w:val="32"/>
          <w:szCs w:val="32"/>
        </w:rPr>
        <w:t>言</w:t>
      </w:r>
    </w:p>
    <w:p>
      <w:pPr>
        <w:spacing w:line="600" w:lineRule="exact"/>
        <w:ind w:firstLine="640" w:firstLineChars="200"/>
        <w:jc w:val="left"/>
        <w:rPr>
          <w:rFonts w:hint="default" w:ascii="方正仿宋简体" w:hAnsi="方正仿宋简体" w:eastAsia="仿宋_GB2312" w:cs="方正仿宋简体"/>
          <w:b w:val="0"/>
          <w:bCs w:val="0"/>
          <w:sz w:val="32"/>
          <w:szCs w:val="32"/>
          <w:lang w:val="en-US" w:eastAsia="zh-CN"/>
        </w:rPr>
      </w:pPr>
      <w:r>
        <w:rPr>
          <w:rFonts w:hint="eastAsia" w:ascii="方正仿宋简体" w:hAnsi="方正仿宋简体" w:eastAsia="方正仿宋简体" w:cs="方正仿宋简体"/>
          <w:b w:val="0"/>
          <w:bCs w:val="0"/>
          <w:sz w:val="32"/>
          <w:szCs w:val="32"/>
          <w:lang w:val="en-US" w:eastAsia="zh-CN"/>
        </w:rPr>
        <w:t>根据</w:t>
      </w:r>
      <w:r>
        <w:rPr>
          <w:rFonts w:hint="eastAsia" w:ascii="方正仿宋简体" w:hAnsi="方正仿宋简体" w:eastAsia="方正仿宋简体" w:cs="方正仿宋简体"/>
          <w:b w:val="0"/>
          <w:bCs w:val="0"/>
          <w:color w:val="000000"/>
          <w:sz w:val="32"/>
          <w:szCs w:val="32"/>
        </w:rPr>
        <w:t>乐至县行政审批局关于实施公共资源电子交易系统建设的请示</w:t>
      </w:r>
      <w:r>
        <w:rPr>
          <w:rFonts w:hint="eastAsia" w:ascii="方正仿宋简体" w:hAnsi="方正仿宋简体" w:eastAsia="方正仿宋简体" w:cs="方正仿宋简体"/>
          <w:b w:val="0"/>
          <w:bCs w:val="0"/>
          <w:color w:val="000000"/>
          <w:sz w:val="32"/>
          <w:szCs w:val="32"/>
          <w:lang w:eastAsia="zh-CN"/>
        </w:rPr>
        <w:t>（</w:t>
      </w:r>
      <w:r>
        <w:rPr>
          <w:rFonts w:hint="eastAsia" w:ascii="方正仿宋简体" w:hAnsi="方正仿宋简体" w:eastAsia="方正仿宋简体" w:cs="方正仿宋简体"/>
          <w:b w:val="0"/>
          <w:bCs w:val="0"/>
          <w:sz w:val="32"/>
          <w:szCs w:val="32"/>
        </w:rPr>
        <w:t>乐行审〔2020〕17 号</w:t>
      </w:r>
      <w:r>
        <w:rPr>
          <w:rFonts w:hint="eastAsia" w:ascii="方正仿宋简体" w:hAnsi="方正仿宋简体" w:eastAsia="方正仿宋简体" w:cs="方正仿宋简体"/>
          <w:b w:val="0"/>
          <w:bCs w:val="0"/>
          <w:sz w:val="32"/>
          <w:szCs w:val="32"/>
          <w:lang w:eastAsia="zh-CN"/>
        </w:rPr>
        <w:t>）</w:t>
      </w:r>
      <w:r>
        <w:rPr>
          <w:rFonts w:hint="eastAsia" w:ascii="方正仿宋简体" w:hAnsi="方正仿宋简体" w:eastAsia="方正仿宋简体" w:cs="方正仿宋简体"/>
          <w:b w:val="0"/>
          <w:bCs w:val="0"/>
          <w:sz w:val="32"/>
          <w:szCs w:val="32"/>
          <w:lang w:val="en-US" w:eastAsia="zh-CN"/>
        </w:rPr>
        <w:t>文件及县政府的批示精神，乐至县政府政务服务和公共资源交易服务中心</w:t>
      </w:r>
      <w:r>
        <w:rPr>
          <w:rFonts w:hint="eastAsia" w:ascii="方正仿宋简体" w:hAnsi="方正仿宋简体" w:eastAsia="方正仿宋简体" w:cs="方正仿宋简体"/>
          <w:b w:val="0"/>
          <w:bCs/>
          <w:sz w:val="32"/>
          <w:szCs w:val="32"/>
          <w:lang w:val="en-US" w:eastAsia="zh-CN"/>
        </w:rPr>
        <w:t>专项</w:t>
      </w:r>
      <w:r>
        <w:rPr>
          <w:rFonts w:hint="eastAsia" w:ascii="方正仿宋简体" w:hAnsi="方正仿宋简体" w:eastAsia="方正仿宋简体" w:cs="方正仿宋简体"/>
          <w:color w:val="333333"/>
          <w:kern w:val="0"/>
          <w:sz w:val="32"/>
          <w:szCs w:val="32"/>
          <w:lang w:bidi="ar"/>
        </w:rPr>
        <w:t>网络费</w:t>
      </w:r>
      <w:r>
        <w:rPr>
          <w:rFonts w:hint="eastAsia" w:ascii="仿宋_GB2312" w:hAnsi="仿宋_GB2312" w:eastAsia="仿宋_GB2312" w:cs="仿宋_GB2312"/>
          <w:color w:val="333333"/>
          <w:kern w:val="0"/>
          <w:sz w:val="32"/>
          <w:szCs w:val="32"/>
          <w:lang w:bidi="ar"/>
        </w:rPr>
        <w:t>为12万元/年</w:t>
      </w:r>
      <w:r>
        <w:rPr>
          <w:rFonts w:hint="eastAsia" w:ascii="仿宋_GB2312" w:hAnsi="仿宋_GB2312" w:eastAsia="仿宋_GB2312" w:cs="仿宋_GB2312"/>
          <w:color w:val="333333"/>
          <w:kern w:val="0"/>
          <w:sz w:val="32"/>
          <w:szCs w:val="32"/>
          <w:lang w:eastAsia="zh-CN" w:bidi="ar"/>
        </w:rPr>
        <w:t>，</w:t>
      </w:r>
      <w:r>
        <w:rPr>
          <w:rFonts w:hint="eastAsia" w:ascii="仿宋_GB2312" w:hAnsi="仿宋_GB2312" w:eastAsia="仿宋_GB2312" w:cs="仿宋_GB2312"/>
          <w:color w:val="333333"/>
          <w:kern w:val="0"/>
          <w:sz w:val="32"/>
          <w:szCs w:val="32"/>
          <w:lang w:val="en-US" w:eastAsia="zh-CN" w:bidi="ar"/>
        </w:rPr>
        <w:t>据实报销，用于保障全县公共资源电子交易平台的正常运转。</w:t>
      </w:r>
    </w:p>
    <w:p>
      <w:pPr>
        <w:spacing w:line="580" w:lineRule="exact"/>
        <w:ind w:firstLine="640" w:firstLineChars="200"/>
        <w:rPr>
          <w:rFonts w:eastAsia="方正黑体简体"/>
          <w:sz w:val="32"/>
          <w:szCs w:val="32"/>
        </w:rPr>
      </w:pPr>
      <w:r>
        <w:rPr>
          <w:rFonts w:hint="eastAsia" w:eastAsia="方正黑体简体"/>
          <w:sz w:val="32"/>
          <w:szCs w:val="32"/>
        </w:rPr>
        <w:t>一、项目基本情况</w:t>
      </w:r>
    </w:p>
    <w:p>
      <w:pPr>
        <w:spacing w:line="580" w:lineRule="exact"/>
        <w:ind w:firstLine="643" w:firstLineChars="200"/>
        <w:rPr>
          <w:rFonts w:eastAsia="方正楷体简体"/>
          <w:b/>
          <w:sz w:val="32"/>
          <w:szCs w:val="32"/>
        </w:rPr>
      </w:pPr>
      <w:r>
        <w:rPr>
          <w:rFonts w:hint="eastAsia" w:eastAsia="方正楷体简体"/>
          <w:b/>
          <w:sz w:val="32"/>
          <w:szCs w:val="32"/>
        </w:rPr>
        <w:t>（一）概况</w:t>
      </w:r>
    </w:p>
    <w:p>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pPr>
        <w:spacing w:line="580" w:lineRule="exact"/>
        <w:ind w:firstLine="640" w:firstLineChars="200"/>
        <w:rPr>
          <w:rFonts w:hint="eastAsia" w:eastAsia="仿宋_GB2312"/>
          <w:sz w:val="32"/>
          <w:szCs w:val="32"/>
          <w:lang w:eastAsia="zh-CN"/>
        </w:rPr>
      </w:pPr>
      <w:r>
        <w:rPr>
          <w:rFonts w:hint="eastAsia" w:ascii="仿宋_GB2312" w:hAnsi="仿宋_GB2312" w:eastAsia="仿宋_GB2312" w:cs="仿宋_GB2312"/>
          <w:sz w:val="32"/>
          <w:szCs w:val="32"/>
        </w:rPr>
        <w:t>为加快推进我县公共资源电子交易系统建设工作，建设规则统一、公开透明、服务高效、监督规范的公共资源交易平台系统，实现公共资源交易从有形场所向电子化平台转变，推动异地远程评标和在线监督，提高公共资源配置的效率和效益，根据省市有关要求，结合我县公共资源交易工作实际，拟定了乐至县公共资源电子交易系统建设工作推进方案</w:t>
      </w:r>
      <w:r>
        <w:rPr>
          <w:rFonts w:hint="eastAsia" w:ascii="仿宋_GB2312" w:hAnsi="仿宋_GB2312" w:eastAsia="仿宋_GB2312" w:cs="仿宋_GB2312"/>
          <w:sz w:val="32"/>
          <w:szCs w:val="32"/>
          <w:lang w:eastAsia="zh-CN"/>
        </w:rPr>
        <w:t>。</w:t>
      </w:r>
    </w:p>
    <w:p>
      <w:pPr>
        <w:spacing w:line="580" w:lineRule="exact"/>
        <w:ind w:firstLine="643" w:firstLineChars="200"/>
        <w:rPr>
          <w:rFonts w:hint="eastAsia" w:eastAsia="方正仿宋简体"/>
          <w:sz w:val="32"/>
          <w:szCs w:val="32"/>
        </w:rPr>
      </w:pPr>
      <w:r>
        <w:rPr>
          <w:rFonts w:eastAsia="方正仿宋简体"/>
          <w:b/>
          <w:sz w:val="32"/>
          <w:szCs w:val="32"/>
        </w:rPr>
        <w:t>2.</w:t>
      </w:r>
      <w:r>
        <w:rPr>
          <w:rFonts w:hint="eastAsia" w:eastAsia="方正仿宋简体"/>
          <w:sz w:val="32"/>
          <w:szCs w:val="32"/>
        </w:rPr>
        <w:t>预算资金来源及使用情况</w:t>
      </w:r>
    </w:p>
    <w:p>
      <w:pPr>
        <w:spacing w:line="580" w:lineRule="exact"/>
        <w:ind w:firstLine="640" w:firstLineChars="200"/>
        <w:rPr>
          <w:rFonts w:hint="default" w:eastAsia="仿宋_GB2312"/>
          <w:sz w:val="32"/>
          <w:szCs w:val="32"/>
          <w:lang w:val="en-US" w:eastAsia="zh-CN"/>
        </w:rPr>
      </w:pPr>
      <w:r>
        <w:rPr>
          <w:rFonts w:hint="eastAsia" w:ascii="仿宋_GB2312" w:hAnsi="仿宋_GB2312" w:eastAsia="仿宋_GB2312" w:cs="仿宋_GB2312"/>
          <w:sz w:val="32"/>
          <w:szCs w:val="32"/>
          <w:lang w:val="en-US" w:eastAsia="zh-CN"/>
        </w:rPr>
        <w:t>县级财政拨付预算金额</w:t>
      </w:r>
      <w:r>
        <w:rPr>
          <w:rFonts w:hint="eastAsia" w:ascii="仿宋_GB2312" w:hAnsi="仿宋_GB2312" w:eastAsia="仿宋_GB2312" w:cs="仿宋_GB2312"/>
          <w:sz w:val="32"/>
          <w:szCs w:val="32"/>
        </w:rPr>
        <w:t>网络宽带费为12万元/年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据实报销。</w:t>
      </w:r>
    </w:p>
    <w:p>
      <w:pPr>
        <w:spacing w:line="580" w:lineRule="exact"/>
        <w:ind w:firstLine="643" w:firstLineChars="200"/>
        <w:rPr>
          <w:rFonts w:hint="eastAsia" w:eastAsia="方正仿宋简体"/>
          <w:sz w:val="32"/>
          <w:szCs w:val="32"/>
        </w:rPr>
      </w:pPr>
      <w:r>
        <w:rPr>
          <w:rFonts w:eastAsia="方正仿宋简体"/>
          <w:b/>
          <w:sz w:val="32"/>
          <w:szCs w:val="32"/>
        </w:rPr>
        <w:t>3.</w:t>
      </w:r>
      <w:r>
        <w:rPr>
          <w:rFonts w:hint="eastAsia" w:eastAsia="方正仿宋简体"/>
          <w:sz w:val="32"/>
          <w:szCs w:val="32"/>
        </w:rPr>
        <w:t>实施情况</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2022年使用专项资金支出专项网络费，共计支出10.07元，据实报销。</w:t>
      </w:r>
    </w:p>
    <w:p>
      <w:pPr>
        <w:spacing w:line="580" w:lineRule="exact"/>
        <w:ind w:firstLine="643" w:firstLineChars="200"/>
        <w:rPr>
          <w:rFonts w:hint="eastAsia" w:eastAsia="方正仿宋简体"/>
          <w:sz w:val="32"/>
          <w:szCs w:val="32"/>
        </w:rPr>
      </w:pPr>
      <w:r>
        <w:rPr>
          <w:rFonts w:eastAsia="方正仿宋简体"/>
          <w:b/>
          <w:sz w:val="32"/>
          <w:szCs w:val="32"/>
        </w:rPr>
        <w:t>4.</w:t>
      </w:r>
      <w:r>
        <w:rPr>
          <w:rFonts w:hint="eastAsia" w:eastAsia="方正仿宋简体"/>
          <w:sz w:val="32"/>
          <w:szCs w:val="32"/>
        </w:rPr>
        <w:t>组织及管理</w:t>
      </w:r>
    </w:p>
    <w:p>
      <w:pPr>
        <w:tabs>
          <w:tab w:val="left" w:pos="2835"/>
          <w:tab w:val="left" w:pos="3900"/>
          <w:tab w:val="center" w:pos="4422"/>
        </w:tabs>
        <w:adjustRightInd w:val="0"/>
        <w:snapToGrid w:val="0"/>
        <w:spacing w:line="60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2020年12月底前，完成县级电子交易系统项目立项、招标采购、有关硬件设施和网络环境等配套建设以及与市公共资源交易平台实现对接等工作，电子交易系统试运行；2021年3月实现我县公共资源交易全过程电子化。</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自2021年3月起，专项网络费采用据实报销，控制预算金额在12万元/年内。</w:t>
      </w:r>
    </w:p>
    <w:p>
      <w:pPr>
        <w:spacing w:line="580" w:lineRule="exact"/>
        <w:ind w:firstLine="643" w:firstLineChars="200"/>
        <w:rPr>
          <w:rFonts w:eastAsia="方正楷体简体"/>
          <w:b/>
          <w:sz w:val="32"/>
          <w:szCs w:val="32"/>
        </w:rPr>
      </w:pPr>
      <w:r>
        <w:rPr>
          <w:rFonts w:hint="eastAsia" w:eastAsia="方正楷体简体"/>
          <w:b/>
          <w:sz w:val="32"/>
          <w:szCs w:val="32"/>
        </w:rPr>
        <w:t>（二）绩效目标</w:t>
      </w:r>
    </w:p>
    <w:p>
      <w:pPr>
        <w:spacing w:line="580" w:lineRule="exact"/>
        <w:ind w:firstLine="640" w:firstLineChars="200"/>
        <w:rPr>
          <w:rFonts w:hint="default" w:eastAsia="方正仿宋简体"/>
          <w:sz w:val="32"/>
          <w:szCs w:val="32"/>
          <w:lang w:val="en-US" w:eastAsia="zh-CN"/>
        </w:rPr>
      </w:pPr>
      <w:r>
        <w:rPr>
          <w:rFonts w:hint="eastAsia" w:eastAsia="方正仿宋简体"/>
          <w:sz w:val="32"/>
          <w:szCs w:val="32"/>
          <w:lang w:val="en-US" w:eastAsia="zh-CN"/>
        </w:rPr>
        <w:t>根据项目内容，专项网络使用稳定畅通，保障业务活动的顺畅开展。</w:t>
      </w:r>
    </w:p>
    <w:p>
      <w:pPr>
        <w:tabs>
          <w:tab w:val="left" w:pos="2835"/>
          <w:tab w:val="left" w:pos="3900"/>
          <w:tab w:val="center" w:pos="4422"/>
        </w:tabs>
        <w:adjustRightInd w:val="0"/>
        <w:snapToGrid w:val="0"/>
        <w:spacing w:line="60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1.专用网络接入区：全县电子交易在线监督系统、专家信息管理系统、远程异地评标信息管理系统应通过电子政务外网，采用逻辑隔离方式与全市公共资源交易电子公共服务系统对接。使用光纤接入方式的网络带宽不低于100Mbps。</w:t>
      </w:r>
    </w:p>
    <w:p>
      <w:pPr>
        <w:tabs>
          <w:tab w:val="left" w:pos="2835"/>
          <w:tab w:val="left" w:pos="3900"/>
          <w:tab w:val="center" w:pos="4422"/>
        </w:tabs>
        <w:adjustRightInd w:val="0"/>
        <w:snapToGrid w:val="0"/>
        <w:spacing w:line="60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2.互联网接入区：电子交易各类别交易专业系统应采用光纤方式接入全市公共资源交易电子公共服务系统，网络带宽不低于100Mbps，并配置相应安全设备。</w:t>
      </w:r>
    </w:p>
    <w:p>
      <w:pPr>
        <w:spacing w:line="580" w:lineRule="exact"/>
        <w:ind w:firstLine="640" w:firstLineChars="200"/>
        <w:rPr>
          <w:rFonts w:hint="eastAsia" w:ascii="仿宋_GB2312" w:hAnsi="仿宋_GB2312" w:eastAsia="仿宋_GB2312" w:cs="仿宋_GB2312"/>
          <w:color w:val="333333"/>
          <w:kern w:val="0"/>
          <w:sz w:val="32"/>
          <w:szCs w:val="32"/>
          <w:lang w:bidi="ar"/>
        </w:rPr>
      </w:pPr>
      <w:r>
        <w:rPr>
          <w:rFonts w:hint="eastAsia" w:ascii="仿宋_GB2312" w:hAnsi="仿宋_GB2312" w:eastAsia="仿宋_GB2312" w:cs="仿宋_GB2312"/>
          <w:color w:val="333333"/>
          <w:kern w:val="0"/>
          <w:sz w:val="32"/>
          <w:szCs w:val="32"/>
          <w:lang w:bidi="ar"/>
        </w:rPr>
        <w:t>3.银企专线接入区：提前与投标保证金账户开户银行对接，确保银行系统与交易平台之间信息交互方案确认。在系统上线前确保银行与交易平台间的信息交互接口能正常运行。</w:t>
      </w:r>
    </w:p>
    <w:p>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pPr>
        <w:spacing w:line="590" w:lineRule="exact"/>
        <w:ind w:firstLine="640" w:firstLineChars="200"/>
        <w:rPr>
          <w:rFonts w:hint="eastAsia" w:ascii="方正仿宋简体" w:eastAsia="方正仿宋简体"/>
          <w:sz w:val="32"/>
          <w:szCs w:val="32"/>
          <w:lang w:val="en-US" w:eastAsia="zh-CN"/>
        </w:rPr>
      </w:pPr>
      <w:r>
        <w:rPr>
          <w:rFonts w:hint="eastAsia" w:ascii="方正仿宋简体" w:eastAsia="方正仿宋简体"/>
          <w:sz w:val="32"/>
          <w:szCs w:val="32"/>
        </w:rPr>
        <w:t>我中心严格按照县级部门预算编制通知和有关要求</w:t>
      </w:r>
      <w:r>
        <w:rPr>
          <w:rFonts w:hint="eastAsia" w:ascii="方正仿宋简体" w:eastAsia="方正仿宋简体"/>
          <w:sz w:val="32"/>
          <w:szCs w:val="32"/>
          <w:lang w:eastAsia="zh-CN"/>
        </w:rPr>
        <w:t>，</w:t>
      </w:r>
      <w:r>
        <w:rPr>
          <w:rFonts w:hint="eastAsia" w:ascii="方正仿宋简体" w:eastAsia="方正仿宋简体"/>
          <w:sz w:val="32"/>
          <w:szCs w:val="32"/>
        </w:rPr>
        <w:t>遵循人员经费按标准、公用经费按定额、专项经费按项目、勤俭节约、讲求绩效的原则</w:t>
      </w:r>
      <w:r>
        <w:rPr>
          <w:rFonts w:hint="eastAsia" w:ascii="方正仿宋简体" w:eastAsia="方正仿宋简体"/>
          <w:sz w:val="32"/>
          <w:szCs w:val="32"/>
          <w:lang w:eastAsia="zh-CN"/>
        </w:rPr>
        <w:t>，</w:t>
      </w:r>
      <w:r>
        <w:rPr>
          <w:rFonts w:hint="eastAsia" w:ascii="方正仿宋简体" w:eastAsia="方正仿宋简体"/>
          <w:sz w:val="32"/>
          <w:szCs w:val="32"/>
          <w:lang w:val="en-US" w:eastAsia="zh-CN"/>
        </w:rPr>
        <w:t>成立自评工作小组，成员如下：</w:t>
      </w:r>
    </w:p>
    <w:p>
      <w:pPr>
        <w:spacing w:line="590" w:lineRule="exact"/>
        <w:ind w:firstLine="640" w:firstLineChars="200"/>
        <w:rPr>
          <w:rFonts w:hint="default" w:ascii="方正仿宋简体" w:eastAsia="方正仿宋简体"/>
          <w:sz w:val="32"/>
          <w:szCs w:val="32"/>
          <w:lang w:val="en-US" w:eastAsia="zh-CN"/>
        </w:rPr>
      </w:pPr>
      <w:r>
        <w:rPr>
          <w:rFonts w:hint="eastAsia" w:ascii="方正仿宋简体" w:eastAsia="方正仿宋简体"/>
          <w:sz w:val="32"/>
          <w:szCs w:val="32"/>
          <w:lang w:val="en-US" w:eastAsia="zh-CN"/>
        </w:rPr>
        <w:t>中心主任胡礼超任组长，副主任吕金桐、李先林任副组长，6名中层干部为组员。</w:t>
      </w:r>
    </w:p>
    <w:p>
      <w:pPr>
        <w:spacing w:line="580" w:lineRule="exact"/>
        <w:ind w:firstLine="643" w:firstLineChars="200"/>
        <w:rPr>
          <w:rFonts w:hint="eastAsia" w:eastAsia="方正楷体简体"/>
          <w:b/>
          <w:sz w:val="32"/>
          <w:szCs w:val="32"/>
        </w:rPr>
      </w:pPr>
      <w:r>
        <w:rPr>
          <w:rFonts w:hint="eastAsia" w:eastAsia="方正楷体简体"/>
          <w:b/>
          <w:sz w:val="32"/>
          <w:szCs w:val="32"/>
        </w:rPr>
        <w:t>（二）自评方式、方法、重点等</w:t>
      </w:r>
    </w:p>
    <w:p>
      <w:pPr>
        <w:spacing w:line="590" w:lineRule="exact"/>
        <w:ind w:firstLine="640" w:firstLineChars="200"/>
        <w:rPr>
          <w:rFonts w:hint="eastAsia" w:ascii="方正仿宋简体" w:eastAsia="方正仿宋简体"/>
          <w:sz w:val="32"/>
          <w:szCs w:val="32"/>
        </w:rPr>
      </w:pPr>
      <w:r>
        <w:rPr>
          <w:rFonts w:hint="eastAsia" w:ascii="方正仿宋简体" w:eastAsia="方正仿宋简体"/>
          <w:sz w:val="32"/>
          <w:szCs w:val="32"/>
        </w:rPr>
        <w:t>我中心严格执行“三公经费”预算，</w:t>
      </w:r>
      <w:r>
        <w:rPr>
          <w:rFonts w:hint="eastAsia" w:ascii="方正仿宋简体" w:eastAsia="方正仿宋简体"/>
          <w:color w:val="000000"/>
          <w:sz w:val="32"/>
          <w:szCs w:val="32"/>
          <w:shd w:val="clear" w:color="auto" w:fill="FFFFFF"/>
        </w:rPr>
        <w:t>对 “三公经费”支出严格管理，提出了三项强化措施：一是提高工作效能，增强行政成本意识，努力提高执行力，统筹计划，按时保质完成各项工作任务；二是控制公务接待费用，严格控制接待标准，认真执行“三单一函”制度；三是规范财务管理，“三公经费”支出实行计划管理，规范批报手续，实行“一支笔”审批和财务公开制度。</w:t>
      </w:r>
    </w:p>
    <w:p>
      <w:pPr>
        <w:spacing w:line="590" w:lineRule="exact"/>
        <w:ind w:firstLine="640" w:firstLineChars="200"/>
        <w:rPr>
          <w:rFonts w:hint="eastAsia" w:eastAsia="方正楷体简体"/>
          <w:b/>
          <w:sz w:val="32"/>
          <w:szCs w:val="32"/>
        </w:rPr>
      </w:pPr>
      <w:r>
        <w:rPr>
          <w:rFonts w:hint="eastAsia" w:ascii="方正仿宋简体" w:eastAsia="方正仿宋简体"/>
          <w:sz w:val="32"/>
          <w:szCs w:val="32"/>
          <w:lang w:val="en-US" w:eastAsia="zh-CN"/>
        </w:rPr>
        <w:t>我中心采用报告审批制度完成自评工作。</w:t>
      </w:r>
    </w:p>
    <w:p>
      <w:pPr>
        <w:spacing w:line="580" w:lineRule="exact"/>
        <w:ind w:firstLine="640" w:firstLineChars="200"/>
        <w:rPr>
          <w:rFonts w:eastAsia="方正黑体简体"/>
          <w:sz w:val="32"/>
          <w:szCs w:val="32"/>
        </w:rPr>
      </w:pPr>
      <w:r>
        <w:rPr>
          <w:rFonts w:hint="eastAsia" w:eastAsia="方正黑体简体"/>
          <w:sz w:val="32"/>
          <w:szCs w:val="32"/>
        </w:rPr>
        <w:t>三、评价结论</w:t>
      </w:r>
    </w:p>
    <w:p>
      <w:pPr>
        <w:spacing w:line="580" w:lineRule="exact"/>
        <w:ind w:firstLine="640" w:firstLineChars="2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《乐至县财政支出绩效评价管理办法》规定确定绩效等级优。</w:t>
      </w:r>
    </w:p>
    <w:p>
      <w:pPr>
        <w:spacing w:line="580" w:lineRule="exact"/>
        <w:ind w:firstLine="640" w:firstLineChars="200"/>
        <w:rPr>
          <w:rFonts w:eastAsia="方正黑体简体"/>
          <w:sz w:val="32"/>
          <w:szCs w:val="32"/>
        </w:rPr>
      </w:pPr>
      <w:r>
        <w:rPr>
          <w:rFonts w:hint="eastAsia" w:eastAsia="方正黑体简体"/>
          <w:sz w:val="32"/>
          <w:szCs w:val="32"/>
        </w:rPr>
        <w:t>四、绩效分析</w:t>
      </w:r>
    </w:p>
    <w:p>
      <w:pPr>
        <w:spacing w:line="580" w:lineRule="exact"/>
        <w:ind w:firstLine="640" w:firstLineChars="200"/>
        <w:rPr>
          <w:rFonts w:hint="default" w:ascii="方正仿宋简体" w:eastAsia="方正仿宋简体"/>
          <w:sz w:val="32"/>
          <w:szCs w:val="32"/>
          <w:lang w:val="en-US"/>
        </w:rPr>
      </w:pPr>
      <w:r>
        <w:rPr>
          <w:rFonts w:hint="eastAsia" w:ascii="方正仿宋简体" w:eastAsia="方正仿宋简体"/>
          <w:sz w:val="32"/>
          <w:szCs w:val="32"/>
        </w:rPr>
        <w:t>通过项目的实施，全面保障乐至县</w:t>
      </w:r>
      <w:r>
        <w:rPr>
          <w:rFonts w:hint="eastAsia" w:ascii="方正仿宋简体" w:eastAsia="方正仿宋简体"/>
          <w:sz w:val="32"/>
          <w:szCs w:val="32"/>
          <w:lang w:val="en-US" w:eastAsia="zh-CN"/>
        </w:rPr>
        <w:t>公共资源交易活动</w:t>
      </w:r>
      <w:r>
        <w:rPr>
          <w:rFonts w:hint="eastAsia" w:ascii="方正仿宋简体" w:eastAsia="方正仿宋简体"/>
          <w:sz w:val="32"/>
          <w:szCs w:val="32"/>
        </w:rPr>
        <w:t>顺利</w:t>
      </w:r>
      <w:r>
        <w:rPr>
          <w:rFonts w:hint="eastAsia" w:ascii="方正仿宋简体" w:eastAsia="方正仿宋简体"/>
          <w:sz w:val="32"/>
          <w:szCs w:val="32"/>
          <w:lang w:val="en-US" w:eastAsia="zh-CN"/>
        </w:rPr>
        <w:t>开展</w:t>
      </w:r>
      <w:r>
        <w:rPr>
          <w:rFonts w:hint="eastAsia" w:ascii="方正仿宋简体" w:eastAsia="方正仿宋简体"/>
          <w:sz w:val="32"/>
          <w:szCs w:val="32"/>
        </w:rPr>
        <w:t>。</w:t>
      </w:r>
      <w:r>
        <w:rPr>
          <w:rFonts w:hint="eastAsia" w:eastAsia="方正仿宋简体"/>
          <w:sz w:val="32"/>
          <w:szCs w:val="32"/>
          <w:lang w:val="en-US" w:eastAsia="zh-CN"/>
        </w:rPr>
        <w:t>专项网络使用稳定畅通，资金结算及时，网络维护准时、高效。</w:t>
      </w:r>
    </w:p>
    <w:p>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pPr>
        <w:spacing w:line="580" w:lineRule="exact"/>
        <w:ind w:firstLine="643" w:firstLineChars="200"/>
        <w:rPr>
          <w:rFonts w:hint="eastAsia" w:eastAsia="方正楷体简体"/>
          <w:b/>
          <w:sz w:val="32"/>
          <w:szCs w:val="32"/>
        </w:rPr>
      </w:pPr>
      <w:r>
        <w:rPr>
          <w:rFonts w:hint="eastAsia" w:eastAsia="方正楷体简体"/>
          <w:b/>
          <w:sz w:val="32"/>
          <w:szCs w:val="32"/>
        </w:rPr>
        <w:t>（一）主要经验及做法</w:t>
      </w:r>
    </w:p>
    <w:p>
      <w:pPr>
        <w:tabs>
          <w:tab w:val="left" w:pos="2835"/>
          <w:tab w:val="left" w:pos="3900"/>
          <w:tab w:val="center" w:pos="4422"/>
        </w:tabs>
        <w:adjustRightInd w:val="0"/>
        <w:snapToGrid w:val="0"/>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一是加强组织领导。</w:t>
      </w:r>
      <w:r>
        <w:rPr>
          <w:rFonts w:hint="eastAsia" w:ascii="仿宋_GB2312" w:hAnsi="仿宋_GB2312" w:eastAsia="仿宋_GB2312" w:cs="仿宋_GB2312"/>
          <w:sz w:val="32"/>
          <w:szCs w:val="32"/>
        </w:rPr>
        <w:t>成立由县政府分管领导任组长，县行政审批局局长任副组长，县政府办、县发改局、县财政局、县自然资源局、县国有资产监督和金融工作局等有关单位分管领导为成员的专项工作领导小组，负责全县公共资源电子交易系统建设工作的开展和有关工作的组织协调。日常工作由县政府政务服务和公共资源交易服务中心牵头，县级有关部门协调配合，具体负责全县电子交易系统建设工作的部署和实施；</w:t>
      </w:r>
      <w:r>
        <w:rPr>
          <w:rFonts w:hint="eastAsia" w:ascii="仿宋_GB2312" w:hAnsi="仿宋_GB2312" w:eastAsia="仿宋_GB2312" w:cs="仿宋_GB2312"/>
          <w:b/>
          <w:sz w:val="32"/>
          <w:szCs w:val="32"/>
        </w:rPr>
        <w:t>二是明确责任分工。</w:t>
      </w:r>
      <w:r>
        <w:rPr>
          <w:rFonts w:hint="eastAsia" w:ascii="仿宋_GB2312" w:hAnsi="仿宋_GB2312" w:eastAsia="仿宋_GB2312" w:cs="仿宋_GB2312"/>
          <w:color w:val="333333"/>
          <w:kern w:val="0"/>
          <w:sz w:val="32"/>
          <w:szCs w:val="32"/>
          <w:lang w:bidi="ar"/>
        </w:rPr>
        <w:t>县</w:t>
      </w:r>
      <w:r>
        <w:rPr>
          <w:rFonts w:hint="eastAsia" w:ascii="仿宋_GB2312" w:hAnsi="仿宋_GB2312" w:eastAsia="仿宋_GB2312" w:cs="仿宋_GB2312"/>
          <w:sz w:val="32"/>
          <w:szCs w:val="32"/>
        </w:rPr>
        <w:t>级相关部门要细化工作责任、明确完成时限，加快推动我县公共资源电子交易系统建设工作。县政府政务服务和公共资源交易服务中心负责电子交易系统的建设、运行和维护，发改、财政、自然资源、国有资产监督等有关部门要加强对电子交易系统开发和建设工作的支持和指导，参与电子交易系统调试。县政府督查室负责对我县公共资源电子交易系统建设推进情况进行督促检查并通报有关情况。</w:t>
      </w:r>
      <w:r>
        <w:rPr>
          <w:rFonts w:hint="eastAsia" w:ascii="仿宋_GB2312" w:hAnsi="仿宋_GB2312" w:eastAsia="仿宋_GB2312" w:cs="仿宋_GB2312"/>
          <w:b/>
          <w:color w:val="333333"/>
          <w:kern w:val="0"/>
          <w:sz w:val="32"/>
          <w:szCs w:val="32"/>
          <w:lang w:bidi="ar"/>
        </w:rPr>
        <w:t>三是健全管理制度。</w:t>
      </w:r>
      <w:r>
        <w:rPr>
          <w:rFonts w:hint="eastAsia" w:ascii="仿宋_GB2312" w:hAnsi="仿宋_GB2312" w:eastAsia="仿宋_GB2312" w:cs="仿宋_GB2312"/>
          <w:sz w:val="32"/>
          <w:szCs w:val="32"/>
        </w:rPr>
        <w:t>县级有关部门采取多种方式，加强对有关人员的教育和培训，提高应用电子化平台开展工作的能力和水平。结合工作实际，逐步建立和完善电子交易系统建设和运行的有关制度，加强责任考核，充分发挥电子化平台的作用。</w:t>
      </w:r>
    </w:p>
    <w:p>
      <w:pPr>
        <w:spacing w:line="580" w:lineRule="exact"/>
        <w:ind w:firstLine="643" w:firstLineChars="200"/>
        <w:rPr>
          <w:rFonts w:hint="eastAsia" w:eastAsia="方正楷体简体"/>
          <w:b/>
          <w:sz w:val="32"/>
          <w:szCs w:val="32"/>
        </w:rPr>
      </w:pPr>
      <w:r>
        <w:rPr>
          <w:rFonts w:hint="eastAsia" w:eastAsia="方正楷体简体"/>
          <w:b/>
          <w:sz w:val="32"/>
          <w:szCs w:val="32"/>
        </w:rPr>
        <w:t>（二）存在的问题</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3" w:firstLineChars="200"/>
        <w:rPr>
          <w:rFonts w:eastAsia="方正楷体简体"/>
          <w:b/>
          <w:sz w:val="32"/>
          <w:szCs w:val="32"/>
        </w:rPr>
      </w:pPr>
      <w:r>
        <w:rPr>
          <w:rFonts w:hint="eastAsia" w:eastAsia="方正楷体简体"/>
          <w:b/>
          <w:sz w:val="32"/>
          <w:szCs w:val="32"/>
        </w:rPr>
        <w:t>（三）建议和改进措施</w:t>
      </w:r>
    </w:p>
    <w:p>
      <w:pPr>
        <w:spacing w:line="580" w:lineRule="exact"/>
        <w:ind w:firstLine="640" w:firstLineChars="200"/>
        <w:rPr>
          <w:rFonts w:hint="default" w:eastAsia="方正楷体简体"/>
          <w:b/>
          <w:sz w:val="32"/>
          <w:szCs w:val="32"/>
          <w:lang w:val="en-US" w:eastAsia="zh-CN"/>
        </w:rPr>
      </w:pPr>
      <w:r>
        <w:rPr>
          <w:rFonts w:hint="eastAsia" w:ascii="方正仿宋简体" w:hAnsi="方正仿宋简体" w:eastAsia="方正仿宋简体" w:cs="方正仿宋简体"/>
          <w:b w:val="0"/>
          <w:bCs/>
          <w:sz w:val="32"/>
          <w:szCs w:val="32"/>
          <w:lang w:val="en-US" w:eastAsia="zh-CN"/>
        </w:rPr>
        <w:t>无。</w:t>
      </w:r>
    </w:p>
    <w:p>
      <w:pPr>
        <w:spacing w:line="580" w:lineRule="exact"/>
        <w:ind w:firstLine="640" w:firstLineChars="200"/>
        <w:rPr>
          <w:rFonts w:eastAsia="方正仿宋简体"/>
          <w:sz w:val="32"/>
          <w:szCs w:val="32"/>
        </w:rPr>
      </w:pPr>
    </w:p>
    <w:p>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2</w:t>
      </w:r>
      <w:r>
        <w:rPr>
          <w:rFonts w:hint="eastAsia" w:eastAsia="方正仿宋简体"/>
          <w:sz w:val="32"/>
          <w:szCs w:val="32"/>
        </w:rPr>
        <w:t>年度乐至县项目支出绩效自评计分表</w:t>
      </w:r>
    </w:p>
    <w:p>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2</w:t>
      </w:r>
      <w:r>
        <w:rPr>
          <w:rFonts w:hint="eastAsia" w:eastAsia="方正仿宋简体"/>
          <w:sz w:val="32"/>
          <w:szCs w:val="32"/>
        </w:rPr>
        <w:t>年度乐至县项目支出绩效目标完成情况表</w:t>
      </w:r>
    </w:p>
    <w:p>
      <w:pPr>
        <w:spacing w:line="620" w:lineRule="exact"/>
        <w:ind w:left="1917" w:leftChars="760" w:hanging="321" w:hangingChars="100"/>
        <w:jc w:val="left"/>
        <w:rPr>
          <w:rFonts w:ascii="宋体" w:hAnsi="宋体" w:eastAsia="方正仿宋简体"/>
          <w:b/>
          <w:sz w:val="32"/>
          <w:szCs w:val="32"/>
        </w:rPr>
      </w:pPr>
    </w:p>
    <w:p>
      <w:pPr>
        <w:spacing w:line="580" w:lineRule="exact"/>
        <w:ind w:firstLine="1600" w:firstLineChars="500"/>
        <w:rPr>
          <w:rFonts w:hint="eastAsia"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乐至县政府政务服务和公共资源交易服务中心</w:t>
      </w:r>
    </w:p>
    <w:p>
      <w:pPr>
        <w:spacing w:line="580" w:lineRule="exact"/>
        <w:ind w:firstLine="4160" w:firstLineChars="1300"/>
        <w:rPr>
          <w:rFonts w:hint="default" w:ascii="Times New Roman" w:hAnsi="Times New Roman" w:eastAsia="方正仿宋简体" w:cs="Times New Roman"/>
          <w:sz w:val="32"/>
          <w:szCs w:val="32"/>
          <w:lang w:val="en-US" w:eastAsia="zh-CN"/>
        </w:rPr>
      </w:pPr>
      <w:r>
        <w:rPr>
          <w:rFonts w:hint="eastAsia" w:ascii="Times New Roman" w:hAnsi="Times New Roman" w:eastAsia="方正仿宋简体" w:cs="Times New Roman"/>
          <w:sz w:val="32"/>
          <w:szCs w:val="32"/>
          <w:lang w:val="en-US" w:eastAsia="zh-CN"/>
        </w:rPr>
        <w:t>2023年11月8日</w:t>
      </w: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ind w:left="1917" w:leftChars="760" w:hanging="321" w:hangingChars="100"/>
        <w:jc w:val="left"/>
        <w:rPr>
          <w:rFonts w:ascii="宋体" w:hAnsi="宋体" w:eastAsia="方正仿宋简体"/>
          <w:b/>
          <w:sz w:val="32"/>
          <w:szCs w:val="32"/>
        </w:rPr>
      </w:pPr>
    </w:p>
    <w:p>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1</w:t>
      </w:r>
    </w:p>
    <w:p>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2</w:t>
      </w:r>
      <w:r>
        <w:rPr>
          <w:rFonts w:hint="eastAsia" w:eastAsia="方正小标宋简体"/>
          <w:bCs/>
          <w:kern w:val="0"/>
          <w:sz w:val="44"/>
          <w:szCs w:val="44"/>
        </w:rPr>
        <w:t>年度乐至县项目支出绩效自评计分表</w:t>
      </w:r>
    </w:p>
    <w:p>
      <w:pPr>
        <w:spacing w:line="620" w:lineRule="exact"/>
        <w:jc w:val="center"/>
        <w:rPr>
          <w:rFonts w:eastAsia="方正楷体简体"/>
          <w:b/>
          <w:bCs/>
          <w:kern w:val="0"/>
          <w:sz w:val="32"/>
          <w:szCs w:val="32"/>
        </w:rPr>
      </w:pPr>
      <w:r>
        <w:rPr>
          <w:rFonts w:hint="eastAsia" w:eastAsia="方正楷体简体"/>
          <w:b/>
          <w:bCs/>
          <w:kern w:val="0"/>
          <w:sz w:val="32"/>
          <w:szCs w:val="32"/>
        </w:rPr>
        <w:t>（乐至县政府政务服务和公共资源交易服务中心专项网络费）</w:t>
      </w:r>
    </w:p>
    <w:p>
      <w:pPr>
        <w:spacing w:line="620" w:lineRule="exact"/>
        <w:rPr>
          <w:rFonts w:hint="eastAsia" w:eastAsia="宋体"/>
          <w:sz w:val="20"/>
          <w:szCs w:val="20"/>
          <w:lang w:val="en-US" w:eastAsia="zh-CN"/>
        </w:rPr>
      </w:pPr>
      <w:r>
        <w:rPr>
          <w:rFonts w:hint="eastAsia"/>
          <w:bCs/>
          <w:kern w:val="0"/>
          <w:sz w:val="20"/>
          <w:szCs w:val="20"/>
        </w:rPr>
        <w:t>预算单位名称：</w:t>
      </w:r>
      <w:r>
        <w:rPr>
          <w:rFonts w:hint="eastAsia"/>
          <w:bCs/>
          <w:kern w:val="0"/>
          <w:sz w:val="20"/>
          <w:szCs w:val="20"/>
          <w:lang w:val="en-US" w:eastAsia="zh-CN"/>
        </w:rPr>
        <w:t>乐至县政府政务服务和公共资源交易服务中心</w:t>
      </w:r>
      <w:r>
        <w:rPr>
          <w:bCs/>
          <w:kern w:val="0"/>
          <w:sz w:val="20"/>
          <w:szCs w:val="20"/>
        </w:rPr>
        <w:t xml:space="preserve">  </w:t>
      </w:r>
      <w:r>
        <w:rPr>
          <w:rFonts w:hint="eastAsia"/>
          <w:bCs/>
          <w:kern w:val="0"/>
          <w:sz w:val="20"/>
          <w:szCs w:val="20"/>
        </w:rPr>
        <w:t>预算单位编码：</w:t>
      </w:r>
      <w:r>
        <w:rPr>
          <w:rFonts w:hint="eastAsia"/>
          <w:bCs/>
          <w:kern w:val="0"/>
          <w:sz w:val="20"/>
          <w:szCs w:val="20"/>
          <w:lang w:val="en-US" w:eastAsia="zh-CN"/>
        </w:rPr>
        <w:t>143001</w:t>
      </w:r>
      <w:r>
        <w:rPr>
          <w:bCs/>
          <w:kern w:val="0"/>
          <w:sz w:val="20"/>
          <w:szCs w:val="20"/>
        </w:rPr>
        <w:t xml:space="preserve"> </w:t>
      </w:r>
      <w:r>
        <w:rPr>
          <w:rFonts w:hint="eastAsia"/>
          <w:bCs/>
          <w:kern w:val="0"/>
          <w:sz w:val="20"/>
          <w:szCs w:val="20"/>
        </w:rPr>
        <w:t>自评等级：</w:t>
      </w:r>
      <w:r>
        <w:rPr>
          <w:rFonts w:hint="eastAsia"/>
          <w:bCs/>
          <w:kern w:val="0"/>
          <w:sz w:val="20"/>
          <w:szCs w:val="20"/>
          <w:lang w:val="en-US" w:eastAsia="zh-CN"/>
        </w:rPr>
        <w:t>优</w:t>
      </w:r>
    </w:p>
    <w:tbl>
      <w:tblPr>
        <w:tblStyle w:val="16"/>
        <w:tblW w:w="5119"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714"/>
        <w:gridCol w:w="702"/>
        <w:gridCol w:w="851"/>
        <w:gridCol w:w="1700"/>
        <w:gridCol w:w="3539"/>
        <w:gridCol w:w="707"/>
        <w:gridCol w:w="90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39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一级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385"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二级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467"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三级</w:t>
            </w:r>
          </w:p>
          <w:p>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93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1942"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388"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w:t>
            </w:r>
          </w:p>
          <w:p>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493" w:type="pct"/>
            <w:tcBorders>
              <w:top w:val="single" w:color="auto" w:sz="12" w:space="0"/>
            </w:tcBorders>
            <w:shd w:val="clear" w:color="auto" w:fill="FFFFFF"/>
            <w:noWrap w:val="0"/>
            <w:vAlign w:val="center"/>
          </w:tcPr>
          <w:p>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资金</w:t>
            </w:r>
          </w:p>
          <w:p>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实际到位资金：一定时期（本年度或项目期）内实际落实到具体项目的资金。</w:t>
            </w:r>
          </w:p>
          <w:p>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pPr>
              <w:widowControl/>
              <w:spacing w:line="240" w:lineRule="exact"/>
              <w:jc w:val="left"/>
              <w:rPr>
                <w:kern w:val="0"/>
                <w:szCs w:val="21"/>
              </w:rPr>
            </w:pPr>
            <w:r>
              <w:rPr>
                <w:rFonts w:hint="eastAsia"/>
                <w:kern w:val="0"/>
                <w:szCs w:val="21"/>
              </w:rPr>
              <w:t>及时到位资金：截至规定时点实际落实到具体项目的资金。</w:t>
            </w:r>
          </w:p>
          <w:p>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392" w:type="pct"/>
            <w:vMerge w:val="restart"/>
            <w:shd w:val="clear" w:color="auto" w:fill="FFFFFF"/>
            <w:noWrap/>
            <w:textDirection w:val="tbRlV"/>
            <w:vAlign w:val="center"/>
          </w:tcPr>
          <w:p>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业务</w:t>
            </w:r>
          </w:p>
          <w:p>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restart"/>
            <w:shd w:val="clear" w:color="auto" w:fill="FFFFFF"/>
            <w:noWrap w:val="0"/>
            <w:vAlign w:val="center"/>
          </w:tcPr>
          <w:p>
            <w:pPr>
              <w:widowControl/>
              <w:spacing w:line="260" w:lineRule="exact"/>
              <w:jc w:val="center"/>
              <w:rPr>
                <w:kern w:val="0"/>
                <w:szCs w:val="21"/>
              </w:rPr>
            </w:pPr>
            <w:r>
              <w:rPr>
                <w:rFonts w:hint="eastAsia"/>
                <w:kern w:val="0"/>
                <w:szCs w:val="21"/>
              </w:rPr>
              <w:t>财务</w:t>
            </w:r>
          </w:p>
          <w:p>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493"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392" w:type="pct"/>
            <w:vMerge w:val="continue"/>
            <w:shd w:val="clear" w:color="auto" w:fill="auto"/>
            <w:noWrap w:val="0"/>
            <w:vAlign w:val="center"/>
          </w:tcPr>
          <w:p>
            <w:pPr>
              <w:widowControl/>
              <w:spacing w:line="260" w:lineRule="exact"/>
              <w:jc w:val="left"/>
              <w:rPr>
                <w:kern w:val="0"/>
                <w:szCs w:val="21"/>
              </w:rPr>
            </w:pPr>
          </w:p>
        </w:tc>
        <w:tc>
          <w:tcPr>
            <w:tcW w:w="385" w:type="pct"/>
            <w:vMerge w:val="continue"/>
            <w:shd w:val="clear" w:color="auto" w:fill="auto"/>
            <w:noWrap w:val="0"/>
            <w:vAlign w:val="center"/>
          </w:tcPr>
          <w:p>
            <w:pPr>
              <w:widowControl/>
              <w:spacing w:line="260" w:lineRule="exact"/>
              <w:jc w:val="left"/>
              <w:rPr>
                <w:kern w:val="0"/>
                <w:szCs w:val="21"/>
              </w:rPr>
            </w:pPr>
          </w:p>
        </w:tc>
        <w:tc>
          <w:tcPr>
            <w:tcW w:w="467" w:type="pct"/>
            <w:shd w:val="clear" w:color="auto" w:fill="FFFFFF"/>
            <w:noWrap w:val="0"/>
            <w:vAlign w:val="center"/>
          </w:tcPr>
          <w:p>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933" w:type="pct"/>
            <w:shd w:val="clear" w:color="auto" w:fill="FFFFFF"/>
            <w:noWrap w:val="0"/>
            <w:vAlign w:val="center"/>
          </w:tcPr>
          <w:p>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942" w:type="pct"/>
            <w:shd w:val="clear" w:color="auto" w:fill="FFFFFF"/>
            <w:noWrap w:val="0"/>
            <w:vAlign w:val="center"/>
          </w:tcPr>
          <w:p>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88" w:type="pct"/>
            <w:noWrap/>
            <w:vAlign w:val="center"/>
          </w:tcPr>
          <w:p>
            <w:pPr>
              <w:widowControl/>
              <w:spacing w:line="26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493" w:type="pct"/>
            <w:noWrap/>
            <w:vAlign w:val="center"/>
          </w:tcPr>
          <w:p>
            <w:pPr>
              <w:widowControl/>
              <w:spacing w:line="26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942" w:type="pct"/>
            <w:shd w:val="clear" w:color="auto" w:fill="FFFFFF"/>
            <w:noWrap w:val="0"/>
            <w:vAlign w:val="center"/>
          </w:tcPr>
          <w:p>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pPr>
              <w:widowControl/>
              <w:spacing w:line="240" w:lineRule="exact"/>
              <w:jc w:val="left"/>
              <w:rPr>
                <w:kern w:val="0"/>
                <w:szCs w:val="21"/>
              </w:rPr>
            </w:pPr>
            <w:r>
              <w:rPr>
                <w:rFonts w:hint="eastAsia"/>
                <w:kern w:val="0"/>
                <w:szCs w:val="21"/>
              </w:rPr>
              <w:t>实际完成时间：项目实施单位完成该项目实际所耗用的时间。</w:t>
            </w:r>
          </w:p>
          <w:p>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388" w:type="pct"/>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392" w:type="pct"/>
            <w:vMerge w:val="restart"/>
            <w:shd w:val="clear" w:color="auto" w:fill="FFFFFF"/>
            <w:noWrap/>
            <w:textDirection w:val="tbRlV"/>
            <w:vAlign w:val="center"/>
          </w:tcPr>
          <w:p>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385" w:type="pct"/>
            <w:vMerge w:val="restart"/>
            <w:shd w:val="clear" w:color="auto" w:fill="FFFFFF"/>
            <w:noWrap w:val="0"/>
            <w:vAlign w:val="center"/>
          </w:tcPr>
          <w:p>
            <w:pPr>
              <w:widowControl/>
              <w:spacing w:line="240" w:lineRule="exact"/>
              <w:jc w:val="center"/>
              <w:rPr>
                <w:kern w:val="0"/>
                <w:szCs w:val="21"/>
              </w:rPr>
            </w:pPr>
            <w:r>
              <w:rPr>
                <w:rFonts w:hint="eastAsia"/>
                <w:kern w:val="0"/>
                <w:szCs w:val="21"/>
              </w:rPr>
              <w:t>项目</w:t>
            </w:r>
          </w:p>
          <w:p>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1942" w:type="pct"/>
            <w:vMerge w:val="restart"/>
            <w:shd w:val="clear" w:color="auto" w:fill="FFFFFF"/>
            <w:noWrap w:val="0"/>
            <w:vAlign w:val="center"/>
          </w:tcPr>
          <w:p>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933"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kern w:val="0"/>
                <w:szCs w:val="21"/>
              </w:rPr>
            </w:pPr>
            <w:r>
              <w:rPr>
                <w:rFonts w:hint="eastAsia"/>
                <w:kern w:val="0"/>
                <w:szCs w:val="21"/>
              </w:rPr>
              <w:t>可持续影响</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项目后续运行及成效发挥的可持续影响情况。</w:t>
            </w:r>
          </w:p>
        </w:tc>
        <w:tc>
          <w:tcPr>
            <w:tcW w:w="1942" w:type="pct"/>
            <w:vMerge w:val="continue"/>
            <w:noWrap w:val="0"/>
            <w:vAlign w:val="center"/>
          </w:tcPr>
          <w:p>
            <w:pPr>
              <w:widowControl/>
              <w:spacing w:line="240" w:lineRule="exact"/>
              <w:jc w:val="left"/>
              <w:rPr>
                <w:kern w:val="0"/>
                <w:szCs w:val="21"/>
              </w:rPr>
            </w:pPr>
          </w:p>
        </w:tc>
        <w:tc>
          <w:tcPr>
            <w:tcW w:w="388"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493" w:type="pct"/>
            <w:noWrap/>
            <w:vAlign w:val="center"/>
          </w:tcPr>
          <w:p>
            <w:pPr>
              <w:widowControl/>
              <w:spacing w:line="240" w:lineRule="exact"/>
              <w:jc w:val="left"/>
              <w:rPr>
                <w:kern w:val="0"/>
                <w:szCs w:val="21"/>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392" w:type="pct"/>
            <w:vMerge w:val="continue"/>
            <w:shd w:val="clear" w:color="auto" w:fill="auto"/>
            <w:noWrap w:val="0"/>
            <w:vAlign w:val="center"/>
          </w:tcPr>
          <w:p>
            <w:pPr>
              <w:widowControl/>
              <w:spacing w:line="240" w:lineRule="exact"/>
              <w:jc w:val="left"/>
              <w:rPr>
                <w:kern w:val="0"/>
                <w:szCs w:val="21"/>
              </w:rPr>
            </w:pPr>
          </w:p>
        </w:tc>
        <w:tc>
          <w:tcPr>
            <w:tcW w:w="385" w:type="pct"/>
            <w:vMerge w:val="continue"/>
            <w:shd w:val="clear" w:color="auto" w:fill="auto"/>
            <w:noWrap w:val="0"/>
            <w:vAlign w:val="center"/>
          </w:tcPr>
          <w:p>
            <w:pPr>
              <w:widowControl/>
              <w:spacing w:line="240" w:lineRule="exact"/>
              <w:jc w:val="left"/>
              <w:rPr>
                <w:kern w:val="0"/>
                <w:szCs w:val="21"/>
              </w:rPr>
            </w:pPr>
          </w:p>
        </w:tc>
        <w:tc>
          <w:tcPr>
            <w:tcW w:w="467" w:type="pct"/>
            <w:shd w:val="clear" w:color="auto" w:fill="FFFFFF"/>
            <w:noWrap w:val="0"/>
            <w:vAlign w:val="center"/>
          </w:tcPr>
          <w:p>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933"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社会公众或服务对象对项目实施效果的满意程度。</w:t>
            </w:r>
          </w:p>
        </w:tc>
        <w:tc>
          <w:tcPr>
            <w:tcW w:w="1942" w:type="pct"/>
            <w:shd w:val="clear" w:color="auto" w:fill="FFFFFF"/>
            <w:noWrap w:val="0"/>
            <w:vAlign w:val="center"/>
          </w:tcPr>
          <w:p>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88" w:type="pct"/>
            <w:noWrap/>
            <w:vAlign w:val="center"/>
          </w:tcPr>
          <w:p>
            <w:pPr>
              <w:widowControl/>
              <w:spacing w:line="240" w:lineRule="exact"/>
              <w:jc w:val="center"/>
              <w:rPr>
                <w:rFonts w:hint="default" w:eastAsia="宋体"/>
                <w:kern w:val="0"/>
                <w:szCs w:val="21"/>
                <w:lang w:val="en-US" w:eastAsia="zh-CN"/>
              </w:rPr>
            </w:pPr>
            <w:r>
              <w:rPr>
                <w:rFonts w:hint="eastAsia" w:eastAsia="宋体"/>
                <w:kern w:val="0"/>
                <w:szCs w:val="21"/>
                <w:lang w:val="en-US" w:eastAsia="zh-CN"/>
              </w:rPr>
              <w:t>10</w:t>
            </w:r>
          </w:p>
        </w:tc>
        <w:tc>
          <w:tcPr>
            <w:tcW w:w="493" w:type="pct"/>
            <w:noWrap/>
            <w:vAlign w:val="center"/>
          </w:tcPr>
          <w:p>
            <w:pPr>
              <w:widowControl/>
              <w:spacing w:line="240" w:lineRule="exact"/>
              <w:jc w:val="left"/>
              <w:rPr>
                <w:rFonts w:hint="eastAsia" w:eastAsia="宋体"/>
                <w:kern w:val="0"/>
                <w:szCs w:val="21"/>
                <w:lang w:val="en-US" w:eastAsia="zh-CN"/>
              </w:rPr>
            </w:pPr>
            <w:r>
              <w:rPr>
                <w:rFonts w:hint="eastAsia"/>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4118" w:type="pct"/>
            <w:gridSpan w:val="5"/>
            <w:tcBorders>
              <w:bottom w:val="single" w:color="auto" w:sz="12" w:space="0"/>
            </w:tcBorders>
            <w:shd w:val="clear" w:color="auto" w:fill="FFFFFF"/>
            <w:noWrap w:val="0"/>
            <w:vAlign w:val="center"/>
          </w:tcPr>
          <w:p>
            <w:pPr>
              <w:widowControl/>
              <w:spacing w:line="240" w:lineRule="exact"/>
              <w:jc w:val="center"/>
              <w:rPr>
                <w:kern w:val="0"/>
                <w:szCs w:val="21"/>
              </w:rPr>
            </w:pPr>
            <w:r>
              <w:rPr>
                <w:rFonts w:hint="eastAsia"/>
                <w:kern w:val="0"/>
                <w:szCs w:val="21"/>
              </w:rPr>
              <w:t>合计</w:t>
            </w:r>
          </w:p>
        </w:tc>
        <w:tc>
          <w:tcPr>
            <w:tcW w:w="388" w:type="pct"/>
            <w:tcBorders>
              <w:bottom w:val="single" w:color="auto" w:sz="12" w:space="0"/>
            </w:tcBorders>
            <w:noWrap/>
            <w:vAlign w:val="center"/>
          </w:tcPr>
          <w:p>
            <w:pPr>
              <w:widowControl/>
              <w:spacing w:line="240" w:lineRule="exact"/>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98</w:t>
            </w:r>
          </w:p>
        </w:tc>
        <w:tc>
          <w:tcPr>
            <w:tcW w:w="493" w:type="pct"/>
            <w:tcBorders>
              <w:bottom w:val="single" w:color="auto" w:sz="12" w:space="0"/>
            </w:tcBorders>
            <w:noWrap/>
            <w:vAlign w:val="center"/>
          </w:tcPr>
          <w:p>
            <w:pPr>
              <w:widowControl/>
              <w:spacing w:line="240" w:lineRule="exact"/>
              <w:jc w:val="left"/>
              <w:rPr>
                <w:kern w:val="0"/>
                <w:szCs w:val="21"/>
              </w:rPr>
            </w:pPr>
            <w:r>
              <w:rPr>
                <w:rFonts w:hint="eastAsia"/>
                <w:kern w:val="0"/>
                <w:szCs w:val="21"/>
              </w:rPr>
              <w:t>　</w:t>
            </w:r>
          </w:p>
        </w:tc>
      </w:tr>
    </w:tbl>
    <w:p>
      <w:pPr>
        <w:spacing w:line="620" w:lineRule="exact"/>
        <w:jc w:val="left"/>
        <w:rPr>
          <w:rFonts w:ascii="宋体"/>
          <w:sz w:val="32"/>
          <w:szCs w:val="32"/>
        </w:rPr>
      </w:pPr>
    </w:p>
    <w:p>
      <w:pPr>
        <w:spacing w:line="620" w:lineRule="exact"/>
        <w:jc w:val="left"/>
        <w:rPr>
          <w:rFonts w:ascii="??????" w:hAnsi="宋体" w:eastAsia="Times New Roman"/>
          <w:sz w:val="33"/>
          <w:szCs w:val="33"/>
        </w:rPr>
        <w:sectPr>
          <w:footerReference r:id="rId15" w:type="default"/>
          <w:pgSz w:w="11907" w:h="16840"/>
          <w:pgMar w:top="2098" w:right="1474" w:bottom="1928" w:left="1588" w:header="851" w:footer="992" w:gutter="0"/>
          <w:cols w:space="720" w:num="1"/>
          <w:docGrid w:type="lines" w:linePitch="312" w:charSpace="0"/>
        </w:sectPr>
      </w:pPr>
    </w:p>
    <w:p>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2</w:t>
      </w:r>
    </w:p>
    <w:p>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2</w:t>
      </w:r>
      <w:r>
        <w:rPr>
          <w:rFonts w:hint="eastAsia" w:eastAsia="方正小标宋简体"/>
          <w:color w:val="000000"/>
          <w:spacing w:val="-12"/>
          <w:kern w:val="0"/>
          <w:sz w:val="44"/>
          <w:szCs w:val="44"/>
        </w:rPr>
        <w:t>年度乐至县项目支出绩效目标完成情况表</w:t>
      </w:r>
    </w:p>
    <w:p>
      <w:pPr>
        <w:pStyle w:val="3"/>
        <w:spacing w:after="0" w:line="240" w:lineRule="exact"/>
        <w:rPr>
          <w:rFonts w:ascii="宋体"/>
        </w:rPr>
      </w:pPr>
    </w:p>
    <w:tbl>
      <w:tblPr>
        <w:tblStyle w:val="16"/>
        <w:tblW w:w="99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4"/>
        <w:gridCol w:w="1117"/>
        <w:gridCol w:w="824"/>
        <w:gridCol w:w="1181"/>
        <w:gridCol w:w="1547"/>
        <w:gridCol w:w="1631"/>
        <w:gridCol w:w="26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tcBorders>
              <w:top w:val="single" w:color="auto" w:sz="12" w:space="0"/>
            </w:tcBorders>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名称</w:t>
            </w:r>
          </w:p>
        </w:tc>
        <w:tc>
          <w:tcPr>
            <w:tcW w:w="8990" w:type="dxa"/>
            <w:gridSpan w:val="6"/>
            <w:tcBorders>
              <w:top w:val="single" w:color="auto" w:sz="12" w:space="0"/>
            </w:tcBorders>
            <w:noWrap/>
            <w:vAlign w:val="center"/>
          </w:tcPr>
          <w:p>
            <w:pPr>
              <w:widowControl/>
              <w:spacing w:line="240" w:lineRule="exact"/>
              <w:jc w:val="center"/>
              <w:rPr>
                <w:color w:val="000000"/>
                <w:kern w:val="0"/>
                <w:szCs w:val="21"/>
              </w:rPr>
            </w:pPr>
            <w:r>
              <w:rPr>
                <w:rFonts w:hint="eastAsia" w:cs="宋体"/>
                <w:color w:val="000000"/>
                <w:kern w:val="0"/>
                <w:szCs w:val="21"/>
                <w:highlight w:val="none"/>
                <w:lang w:bidi="ar"/>
              </w:rPr>
              <w:t>乐至县政府政务服务和公共资源交易服务中心专项网络费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类型</w:t>
            </w: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产业发展</w:t>
            </w: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民生</w:t>
            </w:r>
          </w:p>
          <w:p>
            <w:pPr>
              <w:widowControl/>
              <w:spacing w:line="240" w:lineRule="exact"/>
              <w:jc w:val="center"/>
              <w:rPr>
                <w:color w:val="000000"/>
                <w:kern w:val="0"/>
                <w:szCs w:val="21"/>
              </w:rPr>
            </w:pPr>
            <w:r>
              <w:rPr>
                <w:rFonts w:hint="eastAsia"/>
                <w:color w:val="000000"/>
                <w:kern w:val="0"/>
                <w:szCs w:val="21"/>
              </w:rPr>
              <w:t>保障</w:t>
            </w:r>
          </w:p>
        </w:tc>
        <w:tc>
          <w:tcPr>
            <w:tcW w:w="2728" w:type="dxa"/>
            <w:gridSpan w:val="2"/>
            <w:noWrap/>
            <w:vAlign w:val="center"/>
          </w:tcPr>
          <w:p>
            <w:pPr>
              <w:widowControl/>
              <w:spacing w:line="240" w:lineRule="exact"/>
              <w:jc w:val="center"/>
              <w:rPr>
                <w:color w:val="000000"/>
                <w:kern w:val="0"/>
                <w:szCs w:val="21"/>
              </w:rPr>
            </w:pPr>
            <w:r>
              <w:rPr>
                <w:rFonts w:hint="eastAsia"/>
                <w:color w:val="000000"/>
                <w:kern w:val="0"/>
                <w:szCs w:val="21"/>
              </w:rPr>
              <w:t>基础设施</w:t>
            </w:r>
          </w:p>
        </w:tc>
        <w:tc>
          <w:tcPr>
            <w:tcW w:w="4321" w:type="dxa"/>
            <w:gridSpan w:val="2"/>
            <w:noWrap/>
            <w:vAlign w:val="center"/>
          </w:tcPr>
          <w:p>
            <w:pPr>
              <w:widowControl/>
              <w:spacing w:line="240" w:lineRule="exact"/>
              <w:jc w:val="center"/>
              <w:rPr>
                <w:color w:val="000000"/>
                <w:kern w:val="0"/>
                <w:szCs w:val="21"/>
              </w:rPr>
            </w:pPr>
            <w:r>
              <w:rPr>
                <w:rFonts w:hint="eastAsia"/>
                <w:color w:val="000000"/>
                <w:kern w:val="0"/>
                <w:szCs w:val="21"/>
              </w:rPr>
              <w:t>行政运行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w:t>
            </w:r>
          </w:p>
        </w:tc>
        <w:tc>
          <w:tcPr>
            <w:tcW w:w="824" w:type="dxa"/>
            <w:noWrap/>
            <w:vAlign w:val="center"/>
          </w:tcPr>
          <w:p>
            <w:pPr>
              <w:spacing w:line="240" w:lineRule="exact"/>
              <w:jc w:val="center"/>
              <w:rPr>
                <w:szCs w:val="21"/>
              </w:rPr>
            </w:pPr>
            <w:r>
              <w:rPr>
                <w:rFonts w:hint="eastAsia"/>
                <w:color w:val="000000"/>
                <w:kern w:val="0"/>
                <w:szCs w:val="21"/>
              </w:rPr>
              <w:t>□</w:t>
            </w:r>
          </w:p>
        </w:tc>
        <w:tc>
          <w:tcPr>
            <w:tcW w:w="2728"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c>
          <w:tcPr>
            <w:tcW w:w="4321" w:type="dxa"/>
            <w:gridSpan w:val="2"/>
            <w:noWrap/>
            <w:vAlign w:val="center"/>
          </w:tcPr>
          <w:p>
            <w:pPr>
              <w:spacing w:line="240" w:lineRule="exact"/>
              <w:jc w:val="center"/>
              <w:rPr>
                <w:rFonts w:hint="eastAsia" w:eastAsia="宋体"/>
                <w:szCs w:val="21"/>
                <w:lang w:eastAsia="zh-CN"/>
              </w:rPr>
            </w:pPr>
            <w:r>
              <w:rPr>
                <w:rFonts w:hint="eastAsia"/>
                <w:color w:val="000000"/>
                <w:kern w:val="0"/>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noWrap/>
            <w:vAlign w:val="center"/>
          </w:tcPr>
          <w:p>
            <w:pPr>
              <w:widowControl/>
              <w:spacing w:line="240" w:lineRule="exact"/>
              <w:jc w:val="center"/>
              <w:rPr>
                <w:color w:val="000000"/>
                <w:kern w:val="0"/>
                <w:szCs w:val="21"/>
              </w:rPr>
            </w:pPr>
            <w:r>
              <w:rPr>
                <w:rFonts w:hint="eastAsia"/>
                <w:color w:val="000000"/>
                <w:kern w:val="0"/>
                <w:szCs w:val="21"/>
              </w:rPr>
              <w:t>部门（单位）名称</w:t>
            </w:r>
          </w:p>
        </w:tc>
        <w:tc>
          <w:tcPr>
            <w:tcW w:w="4669" w:type="dxa"/>
            <w:gridSpan w:val="4"/>
            <w:noWrap/>
            <w:vAlign w:val="center"/>
          </w:tcPr>
          <w:p>
            <w:pPr>
              <w:widowControl/>
              <w:spacing w:line="240" w:lineRule="exact"/>
              <w:jc w:val="center"/>
              <w:rPr>
                <w:color w:val="000000"/>
                <w:kern w:val="0"/>
                <w:szCs w:val="21"/>
              </w:rPr>
            </w:pPr>
            <w:r>
              <w:rPr>
                <w:rFonts w:hint="eastAsia" w:ascii="宋体" w:hAnsi="宋体" w:cs="宋体"/>
                <w:color w:val="000000"/>
                <w:kern w:val="0"/>
                <w:sz w:val="22"/>
                <w:szCs w:val="22"/>
                <w:lang w:val="en-US" w:eastAsia="zh-CN"/>
              </w:rPr>
              <w:t>乐至县政府政务服务和公共资源交易服务中心</w:t>
            </w:r>
            <w:r>
              <w:rPr>
                <w:rFonts w:hint="eastAsia"/>
                <w:color w:val="000000"/>
                <w:kern w:val="0"/>
                <w:szCs w:val="21"/>
              </w:rPr>
              <w:t>　</w:t>
            </w:r>
          </w:p>
        </w:tc>
        <w:tc>
          <w:tcPr>
            <w:tcW w:w="1631" w:type="dxa"/>
            <w:noWrap/>
            <w:vAlign w:val="center"/>
          </w:tcPr>
          <w:p>
            <w:pPr>
              <w:widowControl/>
              <w:spacing w:line="240" w:lineRule="exact"/>
              <w:jc w:val="center"/>
              <w:rPr>
                <w:color w:val="000000"/>
                <w:kern w:val="0"/>
                <w:szCs w:val="21"/>
              </w:rPr>
            </w:pPr>
            <w:r>
              <w:rPr>
                <w:rFonts w:hint="eastAsia"/>
                <w:color w:val="000000"/>
                <w:kern w:val="0"/>
                <w:szCs w:val="21"/>
              </w:rPr>
              <w:t>预算单位编码</w:t>
            </w:r>
          </w:p>
        </w:tc>
        <w:tc>
          <w:tcPr>
            <w:tcW w:w="26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143001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934" w:type="dxa"/>
            <w:vMerge w:val="restart"/>
            <w:noWrap/>
            <w:vAlign w:val="center"/>
          </w:tcPr>
          <w:p>
            <w:pPr>
              <w:widowControl/>
              <w:spacing w:line="240" w:lineRule="exact"/>
              <w:jc w:val="center"/>
              <w:rPr>
                <w:color w:val="000000"/>
                <w:kern w:val="0"/>
                <w:szCs w:val="21"/>
              </w:rPr>
            </w:pPr>
            <w:r>
              <w:rPr>
                <w:rFonts w:hint="eastAsia"/>
                <w:color w:val="000000"/>
                <w:kern w:val="0"/>
                <w:szCs w:val="21"/>
              </w:rPr>
              <w:t>预算执行情况</w:t>
            </w: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181" w:type="dxa"/>
            <w:noWrap/>
            <w:vAlign w:val="center"/>
          </w:tcPr>
          <w:p>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547"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1631"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690"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24"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12</w:t>
            </w:r>
          </w:p>
        </w:tc>
        <w:tc>
          <w:tcPr>
            <w:tcW w:w="11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10.07</w:t>
            </w:r>
          </w:p>
        </w:tc>
        <w:tc>
          <w:tcPr>
            <w:tcW w:w="1547"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3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69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财政拨款</w:t>
            </w:r>
          </w:p>
        </w:tc>
        <w:tc>
          <w:tcPr>
            <w:tcW w:w="824"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12</w:t>
            </w:r>
          </w:p>
        </w:tc>
        <w:tc>
          <w:tcPr>
            <w:tcW w:w="1181"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10.07</w:t>
            </w:r>
          </w:p>
        </w:tc>
        <w:tc>
          <w:tcPr>
            <w:tcW w:w="1547"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3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2690"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其他资金</w:t>
            </w:r>
          </w:p>
        </w:tc>
        <w:tc>
          <w:tcPr>
            <w:tcW w:w="824"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18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934" w:type="dxa"/>
            <w:vMerge w:val="restart"/>
            <w:noWrap/>
            <w:vAlign w:val="center"/>
          </w:tcPr>
          <w:p>
            <w:pPr>
              <w:widowControl/>
              <w:spacing w:line="240" w:lineRule="exact"/>
              <w:jc w:val="center"/>
              <w:rPr>
                <w:color w:val="000000"/>
                <w:kern w:val="0"/>
                <w:szCs w:val="21"/>
              </w:rPr>
            </w:pPr>
            <w:r>
              <w:rPr>
                <w:rFonts w:hint="eastAsia"/>
                <w:color w:val="000000"/>
                <w:kern w:val="0"/>
                <w:szCs w:val="21"/>
              </w:rPr>
              <w:t>财政拨款结构</w:t>
            </w: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项目</w:t>
            </w: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合计</w:t>
            </w:r>
          </w:p>
        </w:tc>
        <w:tc>
          <w:tcPr>
            <w:tcW w:w="1181" w:type="dxa"/>
            <w:noWrap/>
            <w:vAlign w:val="center"/>
          </w:tcPr>
          <w:p>
            <w:pPr>
              <w:widowControl/>
              <w:spacing w:line="240" w:lineRule="exact"/>
              <w:jc w:val="center"/>
              <w:rPr>
                <w:color w:val="000000"/>
                <w:kern w:val="0"/>
                <w:szCs w:val="21"/>
              </w:rPr>
            </w:pPr>
            <w:r>
              <w:rPr>
                <w:rFonts w:hint="eastAsia"/>
                <w:color w:val="000000"/>
                <w:kern w:val="0"/>
                <w:szCs w:val="21"/>
              </w:rPr>
              <w:t>一般公共预算安排</w:t>
            </w:r>
          </w:p>
        </w:tc>
        <w:tc>
          <w:tcPr>
            <w:tcW w:w="1547" w:type="dxa"/>
            <w:noWrap/>
            <w:vAlign w:val="center"/>
          </w:tcPr>
          <w:p>
            <w:pPr>
              <w:widowControl/>
              <w:spacing w:line="240" w:lineRule="exact"/>
              <w:jc w:val="center"/>
              <w:rPr>
                <w:color w:val="000000"/>
                <w:kern w:val="0"/>
                <w:szCs w:val="21"/>
              </w:rPr>
            </w:pPr>
            <w:r>
              <w:rPr>
                <w:rFonts w:hint="eastAsia"/>
                <w:color w:val="000000"/>
                <w:kern w:val="0"/>
                <w:szCs w:val="21"/>
              </w:rPr>
              <w:t>政府性基金预算安排</w:t>
            </w:r>
          </w:p>
        </w:tc>
        <w:tc>
          <w:tcPr>
            <w:tcW w:w="1631" w:type="dxa"/>
            <w:noWrap/>
            <w:vAlign w:val="center"/>
          </w:tcPr>
          <w:p>
            <w:pPr>
              <w:widowControl/>
              <w:spacing w:line="240" w:lineRule="exact"/>
              <w:jc w:val="center"/>
              <w:rPr>
                <w:color w:val="000000"/>
                <w:kern w:val="0"/>
                <w:szCs w:val="21"/>
              </w:rPr>
            </w:pPr>
            <w:r>
              <w:rPr>
                <w:rFonts w:hint="eastAsia"/>
                <w:color w:val="000000"/>
                <w:kern w:val="0"/>
                <w:szCs w:val="21"/>
              </w:rPr>
              <w:t>国有资本经营预算安排</w:t>
            </w:r>
          </w:p>
        </w:tc>
        <w:tc>
          <w:tcPr>
            <w:tcW w:w="2690" w:type="dxa"/>
            <w:noWrap/>
            <w:vAlign w:val="center"/>
          </w:tcPr>
          <w:p>
            <w:pPr>
              <w:widowControl/>
              <w:spacing w:line="240" w:lineRule="exact"/>
              <w:jc w:val="center"/>
              <w:rPr>
                <w:color w:val="000000"/>
                <w:kern w:val="0"/>
                <w:szCs w:val="21"/>
              </w:rPr>
            </w:pPr>
            <w:r>
              <w:rPr>
                <w:rFonts w:hint="eastAsia"/>
                <w:color w:val="000000"/>
                <w:kern w:val="0"/>
                <w:szCs w:val="21"/>
              </w:rPr>
              <w:t>社保基金预算安排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预算额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24"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12</w:t>
            </w:r>
          </w:p>
        </w:tc>
        <w:tc>
          <w:tcPr>
            <w:tcW w:w="11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执行额</w:t>
            </w:r>
          </w:p>
          <w:p>
            <w:pPr>
              <w:widowControl/>
              <w:spacing w:line="240" w:lineRule="exact"/>
              <w:jc w:val="center"/>
              <w:rPr>
                <w:color w:val="000000"/>
                <w:kern w:val="0"/>
                <w:szCs w:val="21"/>
              </w:rPr>
            </w:pP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24"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lang w:val="en-US" w:eastAsia="zh-CN"/>
              </w:rPr>
              <w:t>10.07</w:t>
            </w:r>
          </w:p>
        </w:tc>
        <w:tc>
          <w:tcPr>
            <w:tcW w:w="11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10.07</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lang w:val="en-US" w:eastAsia="zh-CN"/>
              </w:rPr>
              <w:t>万</w:t>
            </w:r>
            <w:r>
              <w:rPr>
                <w:rFonts w:hint="eastAsia"/>
                <w:color w:val="000000"/>
                <w:kern w:val="0"/>
                <w:szCs w:val="21"/>
              </w:rPr>
              <w:t>元</w:t>
            </w:r>
            <w:r>
              <w:rPr>
                <w:color w:val="000000"/>
                <w:kern w:val="0"/>
                <w:szCs w:val="21"/>
              </w:rPr>
              <w:t>)</w:t>
            </w:r>
          </w:p>
        </w:tc>
        <w:tc>
          <w:tcPr>
            <w:tcW w:w="824"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118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24"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118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24" w:type="dxa"/>
            <w:noWrap/>
            <w:vAlign w:val="center"/>
          </w:tcPr>
          <w:p>
            <w:pPr>
              <w:widowControl/>
              <w:spacing w:line="240" w:lineRule="exact"/>
              <w:jc w:val="left"/>
              <w:rPr>
                <w:rFonts w:hint="eastAsia"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0</w:t>
            </w:r>
          </w:p>
        </w:tc>
        <w:tc>
          <w:tcPr>
            <w:tcW w:w="1181" w:type="dxa"/>
            <w:noWrap/>
            <w:vAlign w:val="center"/>
          </w:tcPr>
          <w:p>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934" w:type="dxa"/>
            <w:vMerge w:val="restart"/>
            <w:noWrap/>
            <w:vAlign w:val="center"/>
          </w:tcPr>
          <w:p>
            <w:pPr>
              <w:widowControl/>
              <w:spacing w:line="240" w:lineRule="exact"/>
              <w:jc w:val="center"/>
              <w:rPr>
                <w:color w:val="000000"/>
                <w:kern w:val="0"/>
                <w:szCs w:val="21"/>
              </w:rPr>
            </w:pPr>
            <w:r>
              <w:rPr>
                <w:rFonts w:hint="eastAsia"/>
                <w:color w:val="000000"/>
                <w:kern w:val="0"/>
                <w:szCs w:val="21"/>
              </w:rPr>
              <w:t>年度总体目标</w:t>
            </w:r>
          </w:p>
        </w:tc>
        <w:tc>
          <w:tcPr>
            <w:tcW w:w="194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w:t>
            </w:r>
          </w:p>
        </w:tc>
        <w:tc>
          <w:tcPr>
            <w:tcW w:w="2728"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预算总体目标执行结果</w:t>
            </w:r>
          </w:p>
        </w:tc>
        <w:tc>
          <w:tcPr>
            <w:tcW w:w="4321" w:type="dxa"/>
            <w:gridSpan w:val="2"/>
            <w:noWrap/>
            <w:vAlign w:val="center"/>
          </w:tcPr>
          <w:p>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941" w:type="dxa"/>
            <w:gridSpan w:val="2"/>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保证中心网络畅通</w:t>
            </w:r>
          </w:p>
        </w:tc>
        <w:tc>
          <w:tcPr>
            <w:tcW w:w="2728" w:type="dxa"/>
            <w:gridSpan w:val="2"/>
            <w:noWrap/>
            <w:vAlign w:val="center"/>
          </w:tcPr>
          <w:p>
            <w:pPr>
              <w:widowControl/>
              <w:spacing w:line="240" w:lineRule="exact"/>
              <w:jc w:val="center"/>
              <w:rPr>
                <w:rFonts w:hint="default"/>
                <w:color w:val="000000"/>
                <w:kern w:val="0"/>
                <w:szCs w:val="21"/>
                <w:lang w:val="en-US"/>
              </w:rPr>
            </w:pPr>
            <w:r>
              <w:rPr>
                <w:rFonts w:hint="eastAsia"/>
                <w:color w:val="000000"/>
                <w:kern w:val="0"/>
                <w:szCs w:val="21"/>
                <w:lang w:val="en-US" w:eastAsia="zh-CN"/>
              </w:rPr>
              <w:t>100%</w:t>
            </w:r>
            <w:r>
              <w:rPr>
                <w:rFonts w:hint="eastAsia"/>
                <w:color w:val="000000"/>
                <w:kern w:val="0"/>
                <w:szCs w:val="21"/>
              </w:rPr>
              <w:t>　</w:t>
            </w:r>
          </w:p>
        </w:tc>
        <w:tc>
          <w:tcPr>
            <w:tcW w:w="4321"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941" w:type="dxa"/>
            <w:gridSpan w:val="2"/>
            <w:noWrap/>
            <w:vAlign w:val="center"/>
          </w:tcPr>
          <w:p>
            <w:pPr>
              <w:widowControl/>
              <w:spacing w:line="240" w:lineRule="exact"/>
              <w:jc w:val="left"/>
              <w:rPr>
                <w:color w:val="000000"/>
                <w:kern w:val="0"/>
                <w:szCs w:val="21"/>
              </w:rPr>
            </w:pPr>
            <w:r>
              <w:rPr>
                <w:rFonts w:hint="eastAsia"/>
                <w:color w:val="000000"/>
                <w:kern w:val="0"/>
                <w:szCs w:val="21"/>
                <w:lang w:val="en-US" w:eastAsia="zh-CN"/>
              </w:rPr>
              <w:t>电子交易平台运行顺畅</w:t>
            </w:r>
          </w:p>
        </w:tc>
        <w:tc>
          <w:tcPr>
            <w:tcW w:w="2728"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100%</w:t>
            </w:r>
            <w:r>
              <w:rPr>
                <w:rFonts w:hint="eastAsia"/>
                <w:color w:val="000000"/>
                <w:kern w:val="0"/>
                <w:szCs w:val="21"/>
              </w:rPr>
              <w:t>　</w:t>
            </w:r>
          </w:p>
        </w:tc>
        <w:tc>
          <w:tcPr>
            <w:tcW w:w="4321" w:type="dxa"/>
            <w:gridSpan w:val="2"/>
            <w:noWrap/>
            <w:vAlign w:val="center"/>
          </w:tcPr>
          <w:p>
            <w:pPr>
              <w:widowControl/>
              <w:spacing w:line="240" w:lineRule="exact"/>
              <w:jc w:val="center"/>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934" w:type="dxa"/>
            <w:vMerge w:val="restart"/>
            <w:noWrap/>
            <w:vAlign w:val="center"/>
          </w:tcPr>
          <w:p>
            <w:pPr>
              <w:widowControl/>
              <w:spacing w:line="240" w:lineRule="exact"/>
              <w:jc w:val="center"/>
              <w:rPr>
                <w:color w:val="000000"/>
                <w:kern w:val="0"/>
                <w:szCs w:val="21"/>
              </w:rPr>
            </w:pPr>
            <w:r>
              <w:rPr>
                <w:rFonts w:hint="eastAsia"/>
                <w:color w:val="000000"/>
                <w:kern w:val="0"/>
                <w:szCs w:val="21"/>
              </w:rPr>
              <w:t>年度绩</w:t>
            </w:r>
          </w:p>
          <w:p>
            <w:pPr>
              <w:widowControl/>
              <w:spacing w:line="240" w:lineRule="exact"/>
              <w:jc w:val="center"/>
              <w:rPr>
                <w:color w:val="000000"/>
                <w:kern w:val="0"/>
                <w:szCs w:val="21"/>
              </w:rPr>
            </w:pPr>
            <w:r>
              <w:rPr>
                <w:rFonts w:hint="eastAsia"/>
                <w:color w:val="000000"/>
                <w:kern w:val="0"/>
                <w:szCs w:val="21"/>
              </w:rPr>
              <w:t>效指标</w:t>
            </w:r>
          </w:p>
        </w:tc>
        <w:tc>
          <w:tcPr>
            <w:tcW w:w="1117" w:type="dxa"/>
            <w:noWrap/>
            <w:vAlign w:val="center"/>
          </w:tcPr>
          <w:p>
            <w:pPr>
              <w:widowControl/>
              <w:spacing w:line="240" w:lineRule="exact"/>
              <w:jc w:val="center"/>
              <w:rPr>
                <w:color w:val="000000"/>
                <w:kern w:val="0"/>
                <w:szCs w:val="21"/>
              </w:rPr>
            </w:pPr>
            <w:r>
              <w:rPr>
                <w:rFonts w:hint="eastAsia"/>
                <w:color w:val="000000"/>
                <w:kern w:val="0"/>
                <w:szCs w:val="21"/>
              </w:rPr>
              <w:t>一级</w:t>
            </w:r>
          </w:p>
          <w:p>
            <w:pPr>
              <w:widowControl/>
              <w:spacing w:line="240" w:lineRule="exact"/>
              <w:jc w:val="center"/>
              <w:rPr>
                <w:color w:val="000000"/>
                <w:kern w:val="0"/>
                <w:szCs w:val="21"/>
              </w:rPr>
            </w:pPr>
            <w:r>
              <w:rPr>
                <w:rFonts w:hint="eastAsia"/>
                <w:color w:val="000000"/>
                <w:kern w:val="0"/>
                <w:szCs w:val="21"/>
              </w:rPr>
              <w:t>指标</w:t>
            </w: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二级指标</w:t>
            </w:r>
          </w:p>
        </w:tc>
        <w:tc>
          <w:tcPr>
            <w:tcW w:w="1181" w:type="dxa"/>
            <w:noWrap/>
            <w:vAlign w:val="center"/>
          </w:tcPr>
          <w:p>
            <w:pPr>
              <w:widowControl/>
              <w:spacing w:line="240" w:lineRule="exact"/>
              <w:jc w:val="center"/>
              <w:rPr>
                <w:color w:val="000000"/>
                <w:kern w:val="0"/>
                <w:szCs w:val="21"/>
              </w:rPr>
            </w:pPr>
            <w:r>
              <w:rPr>
                <w:rFonts w:hint="eastAsia"/>
                <w:color w:val="000000"/>
                <w:kern w:val="0"/>
                <w:szCs w:val="21"/>
              </w:rPr>
              <w:t>三级</w:t>
            </w:r>
          </w:p>
          <w:p>
            <w:pPr>
              <w:widowControl/>
              <w:spacing w:line="240" w:lineRule="exact"/>
              <w:jc w:val="center"/>
              <w:rPr>
                <w:color w:val="000000"/>
                <w:kern w:val="0"/>
                <w:szCs w:val="21"/>
              </w:rPr>
            </w:pPr>
            <w:r>
              <w:rPr>
                <w:rFonts w:hint="eastAsia"/>
                <w:color w:val="000000"/>
                <w:kern w:val="0"/>
                <w:szCs w:val="21"/>
              </w:rPr>
              <w:t>指标</w:t>
            </w:r>
          </w:p>
        </w:tc>
        <w:tc>
          <w:tcPr>
            <w:tcW w:w="1547" w:type="dxa"/>
            <w:noWrap/>
            <w:vAlign w:val="center"/>
          </w:tcPr>
          <w:p>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31" w:type="dxa"/>
            <w:noWrap/>
            <w:vAlign w:val="center"/>
          </w:tcPr>
          <w:p>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690" w:type="dxa"/>
            <w:noWrap/>
            <w:vAlign w:val="center"/>
          </w:tcPr>
          <w:p>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restart"/>
            <w:noWrap/>
            <w:vAlign w:val="center"/>
          </w:tcPr>
          <w:p>
            <w:pPr>
              <w:widowControl/>
              <w:spacing w:line="240" w:lineRule="exact"/>
              <w:jc w:val="center"/>
              <w:rPr>
                <w:color w:val="000000"/>
                <w:kern w:val="0"/>
                <w:szCs w:val="21"/>
              </w:rPr>
            </w:pPr>
            <w:r>
              <w:rPr>
                <w:rFonts w:hint="eastAsia"/>
                <w:color w:val="000000"/>
                <w:kern w:val="0"/>
                <w:szCs w:val="21"/>
              </w:rPr>
              <w:t>项目</w:t>
            </w:r>
          </w:p>
          <w:p>
            <w:pPr>
              <w:widowControl/>
              <w:spacing w:line="240" w:lineRule="exact"/>
              <w:jc w:val="center"/>
              <w:rPr>
                <w:color w:val="000000"/>
                <w:kern w:val="0"/>
                <w:szCs w:val="21"/>
              </w:rPr>
            </w:pPr>
            <w:r>
              <w:rPr>
                <w:rFonts w:hint="eastAsia"/>
                <w:color w:val="000000"/>
                <w:kern w:val="0"/>
                <w:szCs w:val="21"/>
              </w:rPr>
              <w:t>完成</w:t>
            </w:r>
          </w:p>
        </w:tc>
        <w:tc>
          <w:tcPr>
            <w:tcW w:w="824" w:type="dxa"/>
            <w:vMerge w:val="restart"/>
            <w:noWrap/>
            <w:vAlign w:val="center"/>
          </w:tcPr>
          <w:p>
            <w:pPr>
              <w:widowControl/>
              <w:spacing w:line="240" w:lineRule="exact"/>
              <w:jc w:val="center"/>
              <w:rPr>
                <w:color w:val="000000"/>
                <w:kern w:val="0"/>
                <w:szCs w:val="21"/>
              </w:rPr>
            </w:pPr>
            <w:r>
              <w:rPr>
                <w:rFonts w:hint="eastAsia"/>
                <w:color w:val="000000"/>
                <w:kern w:val="0"/>
                <w:szCs w:val="21"/>
              </w:rPr>
              <w:t>数量</w:t>
            </w:r>
          </w:p>
          <w:p>
            <w:pPr>
              <w:widowControl/>
              <w:spacing w:line="240" w:lineRule="exact"/>
              <w:jc w:val="center"/>
              <w:rPr>
                <w:color w:val="000000"/>
                <w:kern w:val="0"/>
                <w:szCs w:val="21"/>
              </w:rPr>
            </w:pPr>
            <w:r>
              <w:rPr>
                <w:rFonts w:hint="eastAsia"/>
                <w:color w:val="000000"/>
                <w:kern w:val="0"/>
                <w:szCs w:val="21"/>
              </w:rPr>
              <w:t>指标</w:t>
            </w:r>
          </w:p>
        </w:tc>
        <w:tc>
          <w:tcPr>
            <w:tcW w:w="1181" w:type="dxa"/>
            <w:noWrap/>
            <w:vAlign w:val="center"/>
          </w:tcPr>
          <w:p>
            <w:pPr>
              <w:widowControl/>
              <w:spacing w:line="240" w:lineRule="exact"/>
              <w:jc w:val="left"/>
              <w:rPr>
                <w:color w:val="000000"/>
                <w:kern w:val="0"/>
                <w:szCs w:val="21"/>
              </w:rPr>
            </w:pPr>
            <w:r>
              <w:rPr>
                <w:rFonts w:hint="eastAsia"/>
                <w:color w:val="000000"/>
                <w:kern w:val="0"/>
                <w:szCs w:val="21"/>
                <w:lang w:val="en-US" w:eastAsia="zh-CN"/>
              </w:rPr>
              <w:t>完成政府采购电子平台交易项目</w:t>
            </w:r>
          </w:p>
        </w:tc>
        <w:tc>
          <w:tcPr>
            <w:tcW w:w="15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≥40</w:t>
            </w:r>
          </w:p>
        </w:tc>
        <w:tc>
          <w:tcPr>
            <w:tcW w:w="163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41</w:t>
            </w:r>
          </w:p>
        </w:tc>
        <w:tc>
          <w:tcPr>
            <w:tcW w:w="26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Cs w:val="21"/>
              </w:rPr>
            </w:pPr>
            <w:r>
              <w:rPr>
                <w:rFonts w:hint="eastAsia"/>
                <w:color w:val="000000"/>
                <w:kern w:val="0"/>
                <w:szCs w:val="21"/>
                <w:lang w:val="en-US" w:eastAsia="zh-CN"/>
              </w:rPr>
              <w:t>完成工程建设电子平台项目</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≥50</w:t>
            </w:r>
          </w:p>
        </w:tc>
        <w:tc>
          <w:tcPr>
            <w:tcW w:w="163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≥67</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restart"/>
            <w:noWrap/>
            <w:vAlign w:val="center"/>
          </w:tcPr>
          <w:p>
            <w:pPr>
              <w:widowControl/>
              <w:spacing w:line="240" w:lineRule="exact"/>
              <w:jc w:val="center"/>
              <w:rPr>
                <w:color w:val="000000"/>
                <w:kern w:val="0"/>
                <w:szCs w:val="21"/>
              </w:rPr>
            </w:pPr>
            <w:r>
              <w:rPr>
                <w:rFonts w:hint="eastAsia"/>
                <w:color w:val="000000"/>
                <w:kern w:val="0"/>
                <w:szCs w:val="21"/>
              </w:rPr>
              <w:t>质量</w:t>
            </w:r>
          </w:p>
          <w:p>
            <w:pPr>
              <w:widowControl/>
              <w:spacing w:line="240" w:lineRule="exact"/>
              <w:jc w:val="center"/>
              <w:rPr>
                <w:color w:val="000000"/>
                <w:kern w:val="0"/>
                <w:szCs w:val="21"/>
              </w:rPr>
            </w:pPr>
            <w:r>
              <w:rPr>
                <w:rFonts w:hint="eastAsia"/>
                <w:color w:val="000000"/>
                <w:kern w:val="0"/>
                <w:szCs w:val="21"/>
              </w:rPr>
              <w:t>指标</w:t>
            </w:r>
          </w:p>
        </w:tc>
        <w:tc>
          <w:tcPr>
            <w:tcW w:w="1181"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lang w:val="en-US" w:eastAsia="zh-CN"/>
              </w:rPr>
              <w:t>网络通畅</w:t>
            </w:r>
          </w:p>
        </w:tc>
        <w:tc>
          <w:tcPr>
            <w:tcW w:w="1547"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=100%</w:t>
            </w:r>
          </w:p>
        </w:tc>
        <w:tc>
          <w:tcPr>
            <w:tcW w:w="1631"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=100%</w:t>
            </w:r>
          </w:p>
        </w:tc>
        <w:tc>
          <w:tcPr>
            <w:tcW w:w="26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lang w:val="en-US" w:eastAsia="zh-CN"/>
              </w:rPr>
              <w:t>网络故障率</w:t>
            </w:r>
          </w:p>
        </w:tc>
        <w:tc>
          <w:tcPr>
            <w:tcW w:w="1547" w:type="dxa"/>
            <w:noWrap/>
            <w:vAlign w:val="center"/>
          </w:tcPr>
          <w:p>
            <w:pPr>
              <w:widowControl/>
              <w:spacing w:line="240" w:lineRule="exact"/>
              <w:jc w:val="left"/>
              <w:rPr>
                <w:rFonts w:hint="eastAsia"/>
                <w:color w:val="000000"/>
                <w:kern w:val="0"/>
                <w:szCs w:val="21"/>
                <w:lang w:val="en-US" w:eastAsia="zh-CN"/>
              </w:rPr>
            </w:pPr>
            <w:r>
              <w:rPr>
                <w:rFonts w:hint="eastAsia"/>
                <w:color w:val="000000"/>
                <w:kern w:val="0"/>
                <w:szCs w:val="21"/>
                <w:lang w:val="en-US" w:eastAsia="zh-CN"/>
              </w:rPr>
              <w:t>≤1%</w:t>
            </w:r>
          </w:p>
          <w:p>
            <w:pPr>
              <w:widowControl/>
              <w:spacing w:line="240" w:lineRule="exact"/>
              <w:jc w:val="left"/>
              <w:rPr>
                <w:color w:val="000000"/>
                <w:kern w:val="0"/>
                <w:sz w:val="21"/>
                <w:szCs w:val="21"/>
                <w:lang w:val="en-US" w:eastAsia="zh-CN" w:bidi="ar-SA"/>
              </w:rPr>
            </w:pPr>
            <w:r>
              <w:rPr>
                <w:rFonts w:hint="eastAsia"/>
                <w:color w:val="000000"/>
                <w:kern w:val="0"/>
                <w:szCs w:val="21"/>
              </w:rPr>
              <w:t>　</w:t>
            </w:r>
          </w:p>
        </w:tc>
        <w:tc>
          <w:tcPr>
            <w:tcW w:w="1631" w:type="dxa"/>
            <w:noWrap/>
            <w:vAlign w:val="center"/>
          </w:tcPr>
          <w:p>
            <w:pPr>
              <w:widowControl/>
              <w:spacing w:line="240" w:lineRule="exact"/>
              <w:jc w:val="left"/>
              <w:rPr>
                <w:rFonts w:hint="eastAsia"/>
                <w:color w:val="000000"/>
                <w:kern w:val="0"/>
                <w:szCs w:val="21"/>
              </w:rPr>
            </w:pPr>
            <w:r>
              <w:rPr>
                <w:rFonts w:hint="eastAsia"/>
                <w:color w:val="000000"/>
                <w:kern w:val="0"/>
                <w:szCs w:val="21"/>
              </w:rPr>
              <w:t>　</w:t>
            </w:r>
            <w:r>
              <w:rPr>
                <w:rFonts w:hint="eastAsia"/>
                <w:color w:val="000000"/>
                <w:kern w:val="0"/>
                <w:szCs w:val="21"/>
                <w:lang w:val="en-US" w:eastAsia="zh-CN"/>
              </w:rPr>
              <w:t>≤1%</w:t>
            </w:r>
          </w:p>
          <w:p>
            <w:pPr>
              <w:widowControl/>
              <w:spacing w:line="240" w:lineRule="exact"/>
              <w:jc w:val="left"/>
              <w:rPr>
                <w:color w:val="000000"/>
                <w:kern w:val="0"/>
                <w:sz w:val="21"/>
                <w:szCs w:val="21"/>
                <w:lang w:val="en-US" w:eastAsia="zh-CN" w:bidi="ar-SA"/>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Cs w:val="21"/>
              </w:rPr>
            </w:pPr>
            <w:r>
              <w:rPr>
                <w:rFonts w:hint="eastAsia"/>
                <w:color w:val="000000"/>
                <w:kern w:val="0"/>
                <w:szCs w:val="21"/>
              </w:rPr>
              <w:t>……</w:t>
            </w:r>
            <w:r>
              <w:rPr>
                <w:color w:val="000000"/>
                <w:kern w:val="0"/>
                <w:szCs w:val="21"/>
              </w:rPr>
              <w:t>..</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成本</w:t>
            </w:r>
          </w:p>
          <w:p>
            <w:pPr>
              <w:widowControl/>
              <w:spacing w:line="240" w:lineRule="exact"/>
              <w:jc w:val="center"/>
              <w:rPr>
                <w:color w:val="000000"/>
                <w:kern w:val="0"/>
                <w:szCs w:val="21"/>
              </w:rPr>
            </w:pPr>
            <w:r>
              <w:rPr>
                <w:rFonts w:hint="eastAsia"/>
                <w:color w:val="000000"/>
                <w:kern w:val="0"/>
                <w:szCs w:val="21"/>
              </w:rPr>
              <w:t>指标</w:t>
            </w:r>
          </w:p>
        </w:tc>
        <w:tc>
          <w:tcPr>
            <w:tcW w:w="118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控制金额</w:t>
            </w:r>
          </w:p>
        </w:tc>
        <w:tc>
          <w:tcPr>
            <w:tcW w:w="15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12万元1年</w:t>
            </w:r>
          </w:p>
        </w:tc>
        <w:tc>
          <w:tcPr>
            <w:tcW w:w="1631" w:type="dxa"/>
            <w:noWrap/>
            <w:vAlign w:val="center"/>
          </w:tcPr>
          <w:p>
            <w:pPr>
              <w:widowControl/>
              <w:spacing w:line="240" w:lineRule="exact"/>
              <w:jc w:val="left"/>
              <w:rPr>
                <w:rFonts w:hint="default"/>
                <w:color w:val="000000"/>
                <w:kern w:val="0"/>
                <w:szCs w:val="21"/>
                <w:lang w:val="en-US"/>
              </w:rPr>
            </w:pPr>
            <w:r>
              <w:rPr>
                <w:rFonts w:hint="eastAsia"/>
                <w:color w:val="000000"/>
                <w:kern w:val="0"/>
                <w:szCs w:val="21"/>
                <w:lang w:val="en-US" w:eastAsia="zh-CN"/>
              </w:rPr>
              <w:t>10.0659万元1年</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据实报销，未超过预算。</w:t>
            </w:r>
          </w:p>
        </w:tc>
      </w:tr>
    </w:tbl>
    <w:p>
      <w:pPr>
        <w:widowControl/>
        <w:spacing w:line="240" w:lineRule="exact"/>
        <w:jc w:val="left"/>
        <w:rPr>
          <w:color w:val="000000"/>
          <w:kern w:val="0"/>
          <w:szCs w:val="21"/>
        </w:rPr>
        <w:sectPr>
          <w:footerReference r:id="rId18" w:type="first"/>
          <w:headerReference r:id="rId16" w:type="default"/>
          <w:footerReference r:id="rId17" w:type="default"/>
          <w:pgSz w:w="11906" w:h="16838"/>
          <w:pgMar w:top="1440" w:right="1800" w:bottom="1440" w:left="1800" w:header="851" w:footer="992" w:gutter="0"/>
          <w:pgNumType w:fmt="decimal" w:start="1"/>
          <w:cols w:space="425" w:num="1"/>
          <w:titlePg/>
          <w:docGrid w:type="lines" w:linePitch="312" w:charSpace="0"/>
        </w:sectPr>
      </w:pPr>
    </w:p>
    <w:tbl>
      <w:tblPr>
        <w:tblStyle w:val="16"/>
        <w:tblW w:w="992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4"/>
        <w:gridCol w:w="1117"/>
        <w:gridCol w:w="824"/>
        <w:gridCol w:w="1181"/>
        <w:gridCol w:w="1547"/>
        <w:gridCol w:w="1631"/>
        <w:gridCol w:w="269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restart"/>
            <w:noWrap w:val="0"/>
            <w:vAlign w:val="center"/>
          </w:tcPr>
          <w:p>
            <w:pPr>
              <w:pStyle w:val="2"/>
            </w:pPr>
          </w:p>
        </w:tc>
        <w:tc>
          <w:tcPr>
            <w:tcW w:w="1117" w:type="dxa"/>
            <w:noWrap w:val="0"/>
            <w:vAlign w:val="center"/>
          </w:tcPr>
          <w:p>
            <w:pPr>
              <w:widowControl/>
              <w:spacing w:line="240" w:lineRule="exact"/>
              <w:jc w:val="left"/>
              <w:rPr>
                <w:color w:val="000000"/>
                <w:kern w:val="0"/>
                <w:szCs w:val="21"/>
              </w:rPr>
            </w:pPr>
          </w:p>
        </w:tc>
        <w:tc>
          <w:tcPr>
            <w:tcW w:w="824" w:type="dxa"/>
            <w:noWrap/>
            <w:vAlign w:val="center"/>
          </w:tcPr>
          <w:p>
            <w:pPr>
              <w:widowControl/>
              <w:spacing w:line="240" w:lineRule="exact"/>
              <w:jc w:val="center"/>
              <w:rPr>
                <w:color w:val="000000"/>
                <w:kern w:val="0"/>
                <w:szCs w:val="21"/>
              </w:rPr>
            </w:pPr>
            <w:r>
              <w:rPr>
                <w:rFonts w:hint="eastAsia"/>
                <w:color w:val="000000"/>
                <w:kern w:val="0"/>
                <w:szCs w:val="21"/>
              </w:rPr>
              <w:t>可持续影响指标</w:t>
            </w:r>
          </w:p>
        </w:tc>
        <w:tc>
          <w:tcPr>
            <w:tcW w:w="1181" w:type="dxa"/>
            <w:noWrap/>
            <w:vAlign w:val="center"/>
          </w:tcPr>
          <w:p>
            <w:pPr>
              <w:widowControl/>
              <w:spacing w:line="240" w:lineRule="exact"/>
              <w:jc w:val="left"/>
              <w:rPr>
                <w:color w:val="000000"/>
                <w:kern w:val="0"/>
                <w:szCs w:val="21"/>
              </w:rPr>
            </w:pPr>
            <w:r>
              <w:rPr>
                <w:rFonts w:hint="eastAsia"/>
                <w:color w:val="000000"/>
                <w:kern w:val="0"/>
                <w:szCs w:val="21"/>
              </w:rPr>
              <w:t>财政资金使用率</w:t>
            </w:r>
          </w:p>
        </w:tc>
        <w:tc>
          <w:tcPr>
            <w:tcW w:w="15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财政资金使用率</w:t>
            </w:r>
            <w:r>
              <w:rPr>
                <w:rFonts w:hint="eastAsia"/>
                <w:color w:val="000000"/>
                <w:kern w:val="0"/>
                <w:szCs w:val="21"/>
                <w:lang w:val="en-US" w:eastAsia="zh-CN"/>
              </w:rPr>
              <w:t>100%</w:t>
            </w:r>
          </w:p>
        </w:tc>
        <w:tc>
          <w:tcPr>
            <w:tcW w:w="1631"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财政资金使用率</w:t>
            </w:r>
            <w:r>
              <w:rPr>
                <w:rFonts w:hint="eastAsia"/>
                <w:color w:val="000000"/>
                <w:kern w:val="0"/>
                <w:szCs w:val="21"/>
                <w:lang w:val="en-US" w:eastAsia="zh-CN"/>
              </w:rPr>
              <w:t>100%</w:t>
            </w:r>
          </w:p>
        </w:tc>
        <w:tc>
          <w:tcPr>
            <w:tcW w:w="26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w:t>
            </w:r>
          </w:p>
          <w:p>
            <w:pPr>
              <w:widowControl/>
              <w:spacing w:line="240" w:lineRule="exact"/>
              <w:jc w:val="center"/>
              <w:rPr>
                <w:color w:val="000000"/>
                <w:kern w:val="0"/>
                <w:szCs w:val="21"/>
              </w:rPr>
            </w:pPr>
            <w:r>
              <w:rPr>
                <w:rFonts w:hint="eastAsia"/>
                <w:color w:val="000000"/>
                <w:kern w:val="0"/>
                <w:szCs w:val="21"/>
              </w:rPr>
              <w:t>指标</w:t>
            </w:r>
          </w:p>
        </w:tc>
        <w:tc>
          <w:tcPr>
            <w:tcW w:w="824" w:type="dxa"/>
            <w:vMerge w:val="restart"/>
            <w:noWrap/>
            <w:vAlign w:val="center"/>
          </w:tcPr>
          <w:p>
            <w:pPr>
              <w:widowControl/>
              <w:spacing w:line="240" w:lineRule="exact"/>
              <w:jc w:val="center"/>
              <w:rPr>
                <w:color w:val="000000"/>
                <w:kern w:val="0"/>
                <w:szCs w:val="21"/>
              </w:rPr>
            </w:pPr>
            <w:r>
              <w:rPr>
                <w:rFonts w:hint="eastAsia"/>
                <w:color w:val="000000"/>
                <w:kern w:val="0"/>
                <w:szCs w:val="21"/>
              </w:rPr>
              <w:t>满意度指标</w:t>
            </w:r>
          </w:p>
        </w:tc>
        <w:tc>
          <w:tcPr>
            <w:tcW w:w="1181" w:type="dxa"/>
            <w:noWrap/>
            <w:vAlign w:val="center"/>
          </w:tcPr>
          <w:p>
            <w:pPr>
              <w:widowControl/>
              <w:spacing w:line="240" w:lineRule="exact"/>
              <w:jc w:val="left"/>
              <w:rPr>
                <w:color w:val="000000"/>
                <w:kern w:val="0"/>
                <w:szCs w:val="21"/>
              </w:rPr>
            </w:pPr>
            <w:r>
              <w:rPr>
                <w:rFonts w:hint="eastAsia" w:eastAsia="宋体"/>
                <w:color w:val="000000"/>
                <w:kern w:val="0"/>
                <w:szCs w:val="21"/>
                <w:lang w:val="en-US" w:eastAsia="zh-CN"/>
              </w:rPr>
              <w:t>评审专家满意度</w:t>
            </w:r>
          </w:p>
        </w:tc>
        <w:tc>
          <w:tcPr>
            <w:tcW w:w="1547"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≥95%</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≥95%</w:t>
            </w:r>
          </w:p>
        </w:tc>
        <w:tc>
          <w:tcPr>
            <w:tcW w:w="2690" w:type="dxa"/>
            <w:noWrap/>
            <w:vAlign w:val="center"/>
          </w:tcPr>
          <w:p>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Cs w:val="21"/>
              </w:rPr>
            </w:pPr>
            <w:r>
              <w:rPr>
                <w:rFonts w:hint="eastAsia"/>
                <w:color w:val="000000"/>
                <w:kern w:val="0"/>
                <w:szCs w:val="21"/>
                <w:lang w:val="en-US" w:eastAsia="zh-CN"/>
              </w:rPr>
              <w:t>供应商满意度</w:t>
            </w:r>
          </w:p>
        </w:tc>
        <w:tc>
          <w:tcPr>
            <w:tcW w:w="1547"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≥95%</w:t>
            </w:r>
          </w:p>
        </w:tc>
        <w:tc>
          <w:tcPr>
            <w:tcW w:w="1631" w:type="dxa"/>
            <w:noWrap/>
            <w:vAlign w:val="center"/>
          </w:tcPr>
          <w:p>
            <w:pPr>
              <w:widowControl/>
              <w:spacing w:line="240" w:lineRule="exact"/>
              <w:jc w:val="left"/>
              <w:rPr>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≥95%</w:t>
            </w:r>
          </w:p>
        </w:tc>
        <w:tc>
          <w:tcPr>
            <w:tcW w:w="2690" w:type="dxa"/>
            <w:noWrap/>
            <w:vAlign w:val="center"/>
          </w:tcPr>
          <w:p>
            <w:pPr>
              <w:widowControl/>
              <w:spacing w:line="240" w:lineRule="exact"/>
              <w:jc w:val="left"/>
              <w:rPr>
                <w:rFonts w:hint="default" w:eastAsia="宋体"/>
                <w:color w:val="000000"/>
                <w:kern w:val="0"/>
                <w:sz w:val="21"/>
                <w:szCs w:val="21"/>
                <w:lang w:val="en-US" w:eastAsia="zh-CN" w:bidi="ar-SA"/>
              </w:rPr>
            </w:pPr>
            <w:r>
              <w:rPr>
                <w:rFonts w:hint="eastAsia"/>
                <w:color w:val="000000"/>
                <w:kern w:val="0"/>
                <w:szCs w:val="21"/>
              </w:rPr>
              <w:t>　</w:t>
            </w:r>
            <w:r>
              <w:rPr>
                <w:rFonts w:hint="eastAsia"/>
                <w:color w:val="000000"/>
                <w:kern w:val="0"/>
                <w:szCs w:val="21"/>
                <w:lang w:val="en-US" w:eastAsia="zh-CN"/>
              </w:rPr>
              <w:t>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934" w:type="dxa"/>
            <w:vMerge w:val="continue"/>
            <w:noWrap w:val="0"/>
            <w:vAlign w:val="center"/>
          </w:tcPr>
          <w:p>
            <w:pPr>
              <w:widowControl/>
              <w:spacing w:line="240" w:lineRule="exact"/>
              <w:jc w:val="left"/>
              <w:rPr>
                <w:color w:val="000000"/>
                <w:kern w:val="0"/>
                <w:szCs w:val="21"/>
              </w:rPr>
            </w:pPr>
          </w:p>
        </w:tc>
        <w:tc>
          <w:tcPr>
            <w:tcW w:w="1117" w:type="dxa"/>
            <w:vMerge w:val="continue"/>
            <w:noWrap w:val="0"/>
            <w:vAlign w:val="center"/>
          </w:tcPr>
          <w:p>
            <w:pPr>
              <w:widowControl/>
              <w:spacing w:line="240" w:lineRule="exact"/>
              <w:jc w:val="left"/>
              <w:rPr>
                <w:color w:val="000000"/>
                <w:kern w:val="0"/>
                <w:szCs w:val="21"/>
              </w:rPr>
            </w:pPr>
          </w:p>
        </w:tc>
        <w:tc>
          <w:tcPr>
            <w:tcW w:w="824" w:type="dxa"/>
            <w:vMerge w:val="continue"/>
            <w:noWrap w:val="0"/>
            <w:vAlign w:val="center"/>
          </w:tcPr>
          <w:p>
            <w:pPr>
              <w:widowControl/>
              <w:spacing w:line="240" w:lineRule="exact"/>
              <w:jc w:val="left"/>
              <w:rPr>
                <w:color w:val="000000"/>
                <w:kern w:val="0"/>
                <w:szCs w:val="21"/>
              </w:rPr>
            </w:pPr>
          </w:p>
        </w:tc>
        <w:tc>
          <w:tcPr>
            <w:tcW w:w="1181" w:type="dxa"/>
            <w:noWrap/>
            <w:vAlign w:val="center"/>
          </w:tcPr>
          <w:p>
            <w:pPr>
              <w:widowControl/>
              <w:spacing w:line="240" w:lineRule="exact"/>
              <w:jc w:val="left"/>
              <w:rPr>
                <w:color w:val="000000"/>
                <w:kern w:val="0"/>
                <w:szCs w:val="21"/>
              </w:rPr>
            </w:pPr>
            <w:r>
              <w:rPr>
                <w:rFonts w:hint="eastAsia"/>
                <w:color w:val="000000"/>
                <w:kern w:val="0"/>
                <w:szCs w:val="21"/>
                <w:lang w:val="en-US" w:eastAsia="zh-CN"/>
              </w:rPr>
              <w:t>采购人满意度</w:t>
            </w:r>
          </w:p>
        </w:tc>
        <w:tc>
          <w:tcPr>
            <w:tcW w:w="1547"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≥95%</w:t>
            </w:r>
          </w:p>
        </w:tc>
        <w:tc>
          <w:tcPr>
            <w:tcW w:w="1631"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≥95%</w:t>
            </w:r>
          </w:p>
        </w:tc>
        <w:tc>
          <w:tcPr>
            <w:tcW w:w="2690" w:type="dxa"/>
            <w:noWrap/>
            <w:vAlign w:val="center"/>
          </w:tcPr>
          <w:p>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无</w:t>
            </w:r>
          </w:p>
        </w:tc>
      </w:tr>
    </w:tbl>
    <w:p>
      <w:pPr>
        <w:spacing w:line="620" w:lineRule="exact"/>
        <w:jc w:val="left"/>
        <w:rPr>
          <w:rFonts w:ascii="宋体"/>
          <w:sz w:val="32"/>
          <w:szCs w:val="32"/>
        </w:rPr>
      </w:pPr>
    </w:p>
    <w:p>
      <w:pPr>
        <w:pStyle w:val="3"/>
        <w:spacing w:before="93"/>
      </w:pPr>
    </w:p>
    <w:p/>
    <w:p>
      <w:pPr>
        <w:pStyle w:val="2"/>
      </w:pPr>
    </w:p>
    <w:p>
      <w:pPr>
        <w:pStyle w:val="2"/>
      </w:pPr>
    </w:p>
    <w:p>
      <w:pPr>
        <w:pStyle w:val="3"/>
      </w:pPr>
    </w:p>
    <w:p/>
    <w:p>
      <w:pPr>
        <w:pStyle w:val="2"/>
      </w:pPr>
    </w:p>
    <w:p>
      <w:pPr>
        <w:pStyle w:val="3"/>
      </w:pPr>
    </w:p>
    <w:p/>
    <w:p>
      <w:pPr>
        <w:pStyle w:val="2"/>
      </w:pPr>
    </w:p>
    <w:p>
      <w:pPr>
        <w:pStyle w:val="3"/>
      </w:pPr>
    </w:p>
    <w:p>
      <w:pPr>
        <w:pStyle w:val="3"/>
        <w:spacing w:before="93"/>
      </w:pPr>
    </w:p>
    <w:p>
      <w:pPr>
        <w:pStyle w:val="3"/>
        <w:spacing w:before="93"/>
      </w:pPr>
    </w:p>
    <w:p>
      <w:pPr>
        <w:spacing w:line="600" w:lineRule="exact"/>
        <w:jc w:val="center"/>
        <w:outlineLvl w:val="0"/>
        <w:rPr>
          <w:rFonts w:hint="eastAsia" w:ascii="黑体" w:hAnsi="黑体" w:eastAsia="黑体"/>
          <w:sz w:val="44"/>
          <w:szCs w:val="44"/>
        </w:rPr>
      </w:pPr>
      <w:bookmarkStart w:id="56" w:name="_Toc15396618"/>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sectPr>
          <w:footerReference r:id="rId20" w:type="first"/>
          <w:footerReference r:id="rId19" w:type="default"/>
          <w:pgSz w:w="11906" w:h="16838"/>
          <w:pgMar w:top="1440" w:right="1800" w:bottom="1440" w:left="1800" w:header="851" w:footer="992" w:gutter="0"/>
          <w:pgNumType w:fmt="decimal" w:start="1"/>
          <w:cols w:space="425" w:num="1"/>
          <w:titlePg/>
          <w:docGrid w:type="lines" w:linePitch="312" w:charSpace="0"/>
        </w:sectPr>
      </w:pPr>
    </w:p>
    <w:p>
      <w:pPr>
        <w:spacing w:line="600" w:lineRule="exact"/>
        <w:jc w:val="center"/>
        <w:outlineLvl w:val="0"/>
        <w:rPr>
          <w:rStyle w:val="30"/>
          <w:rFonts w:hint="eastAsia" w:ascii="黑体" w:hAnsi="黑体" w:eastAsia="黑体"/>
          <w:b w:val="0"/>
        </w:rPr>
      </w:pPr>
      <w:r>
        <w:rPr>
          <w:rFonts w:hint="eastAsia" w:ascii="黑体" w:hAnsi="黑体" w:eastAsia="黑体"/>
          <w:sz w:val="44"/>
          <w:szCs w:val="44"/>
        </w:rPr>
        <w:t>第</w:t>
      </w:r>
      <w:r>
        <w:rPr>
          <w:rStyle w:val="30"/>
          <w:rFonts w:hint="eastAsia" w:ascii="黑体" w:hAnsi="黑体" w:eastAsia="黑体"/>
          <w:b w:val="0"/>
        </w:rPr>
        <w:t>五部分 附表</w:t>
      </w:r>
      <w:bookmarkEnd w:id="54"/>
      <w:bookmarkEnd w:id="56"/>
      <w:bookmarkStart w:id="57" w:name="_Toc15396619"/>
    </w:p>
    <w:p>
      <w:pPr>
        <w:pStyle w:val="5"/>
        <w:rPr>
          <w:rFonts w:hint="default" w:ascii="仿宋" w:hAnsi="仿宋" w:eastAsia="仿宋"/>
          <w:b w:val="0"/>
          <w:lang w:val="en-US" w:eastAsia="zh-CN"/>
        </w:rPr>
      </w:pPr>
      <w:r>
        <w:rPr>
          <w:rFonts w:hint="eastAsia" w:ascii="仿宋" w:hAnsi="仿宋" w:eastAsia="仿宋"/>
          <w:b w:val="0"/>
          <w:lang w:val="en-US" w:eastAsia="zh-CN"/>
        </w:rPr>
        <w:t>见附件表格。含以下表格：</w:t>
      </w:r>
      <w:bookmarkStart w:id="70" w:name="_GoBack"/>
      <w:bookmarkEnd w:id="70"/>
    </w:p>
    <w:p>
      <w:pPr>
        <w:pStyle w:val="5"/>
        <w:rPr>
          <w:rFonts w:ascii="仿宋" w:hAnsi="仿宋" w:eastAsia="仿宋"/>
        </w:rPr>
      </w:pPr>
      <w:r>
        <w:rPr>
          <w:rFonts w:hint="eastAsia" w:ascii="仿宋" w:hAnsi="仿宋" w:eastAsia="仿宋"/>
          <w:b w:val="0"/>
        </w:rPr>
        <w:t>一、收</w:t>
      </w:r>
      <w:r>
        <w:rPr>
          <w:rStyle w:val="31"/>
          <w:rFonts w:hint="eastAsia" w:ascii="仿宋" w:hAnsi="仿宋" w:eastAsia="仿宋"/>
          <w:b w:val="0"/>
          <w:bCs w:val="0"/>
        </w:rPr>
        <w:t>入支出决算总表</w:t>
      </w:r>
      <w:bookmarkEnd w:id="57"/>
    </w:p>
    <w:p>
      <w:pPr>
        <w:pStyle w:val="5"/>
        <w:rPr>
          <w:rFonts w:ascii="仿宋" w:hAnsi="仿宋" w:eastAsia="仿宋"/>
        </w:rPr>
      </w:pPr>
      <w:bookmarkStart w:id="58" w:name="_Toc15396620"/>
      <w:r>
        <w:rPr>
          <w:rFonts w:hint="eastAsia" w:ascii="仿宋" w:hAnsi="仿宋" w:eastAsia="仿宋"/>
          <w:b w:val="0"/>
        </w:rPr>
        <w:t>二、收</w:t>
      </w:r>
      <w:r>
        <w:rPr>
          <w:rStyle w:val="31"/>
          <w:rFonts w:hint="eastAsia" w:ascii="仿宋" w:hAnsi="仿宋" w:eastAsia="仿宋"/>
          <w:b w:val="0"/>
          <w:bCs w:val="0"/>
        </w:rPr>
        <w:t>入决算表</w:t>
      </w:r>
      <w:bookmarkEnd w:id="58"/>
    </w:p>
    <w:p>
      <w:pPr>
        <w:pStyle w:val="5"/>
        <w:rPr>
          <w:rFonts w:ascii="仿宋" w:hAnsi="仿宋" w:eastAsia="仿宋"/>
        </w:rPr>
      </w:pPr>
      <w:bookmarkStart w:id="59" w:name="_Toc15396621"/>
      <w:r>
        <w:rPr>
          <w:rStyle w:val="31"/>
          <w:rFonts w:hint="eastAsia" w:ascii="仿宋" w:hAnsi="仿宋" w:eastAsia="仿宋"/>
          <w:b w:val="0"/>
          <w:bCs w:val="0"/>
        </w:rPr>
        <w:t>三、</w:t>
      </w:r>
      <w:r>
        <w:rPr>
          <w:rFonts w:hint="eastAsia" w:ascii="仿宋" w:hAnsi="仿宋" w:eastAsia="仿宋"/>
          <w:b w:val="0"/>
        </w:rPr>
        <w:t>支</w:t>
      </w:r>
      <w:r>
        <w:rPr>
          <w:rStyle w:val="31"/>
          <w:rFonts w:hint="eastAsia" w:ascii="仿宋" w:hAnsi="仿宋" w:eastAsia="仿宋"/>
          <w:b w:val="0"/>
          <w:bCs w:val="0"/>
        </w:rPr>
        <w:t>出决算表</w:t>
      </w:r>
      <w:bookmarkEnd w:id="59"/>
    </w:p>
    <w:p>
      <w:pPr>
        <w:pStyle w:val="5"/>
        <w:rPr>
          <w:rFonts w:ascii="仿宋" w:hAnsi="仿宋" w:eastAsia="仿宋"/>
          <w:b w:val="0"/>
        </w:rPr>
      </w:pPr>
      <w:bookmarkStart w:id="60" w:name="_Toc15396622"/>
      <w:r>
        <w:rPr>
          <w:rStyle w:val="31"/>
          <w:rFonts w:hint="eastAsia" w:ascii="仿宋" w:hAnsi="仿宋" w:eastAsia="仿宋"/>
          <w:b w:val="0"/>
          <w:bCs w:val="0"/>
        </w:rPr>
        <w:t>四、</w:t>
      </w:r>
      <w:r>
        <w:rPr>
          <w:rFonts w:hint="eastAsia" w:ascii="仿宋" w:hAnsi="仿宋" w:eastAsia="仿宋"/>
          <w:b w:val="0"/>
        </w:rPr>
        <w:t>财</w:t>
      </w:r>
      <w:r>
        <w:rPr>
          <w:rStyle w:val="31"/>
          <w:rFonts w:hint="eastAsia" w:ascii="仿宋" w:hAnsi="仿宋" w:eastAsia="仿宋"/>
          <w:b w:val="0"/>
          <w:bCs w:val="0"/>
        </w:rPr>
        <w:t>政拨款收入支出决算总表</w:t>
      </w:r>
      <w:bookmarkEnd w:id="60"/>
    </w:p>
    <w:p>
      <w:pPr>
        <w:pStyle w:val="5"/>
        <w:rPr>
          <w:rStyle w:val="31"/>
          <w:rFonts w:ascii="仿宋" w:hAnsi="仿宋" w:eastAsia="仿宋"/>
          <w:b w:val="0"/>
          <w:bCs w:val="0"/>
        </w:rPr>
      </w:pPr>
      <w:bookmarkStart w:id="61" w:name="_Toc15396623"/>
      <w:r>
        <w:rPr>
          <w:rStyle w:val="31"/>
          <w:rFonts w:hint="eastAsia" w:ascii="仿宋" w:hAnsi="仿宋" w:eastAsia="仿宋"/>
          <w:b w:val="0"/>
          <w:bCs w:val="0"/>
        </w:rPr>
        <w:t>五、</w:t>
      </w:r>
      <w:r>
        <w:rPr>
          <w:rFonts w:hint="eastAsia" w:ascii="仿宋" w:hAnsi="仿宋" w:eastAsia="仿宋"/>
          <w:b w:val="0"/>
        </w:rPr>
        <w:t>财</w:t>
      </w:r>
      <w:r>
        <w:rPr>
          <w:rStyle w:val="31"/>
          <w:rFonts w:hint="eastAsia" w:ascii="仿宋" w:hAnsi="仿宋" w:eastAsia="仿宋"/>
          <w:b w:val="0"/>
          <w:bCs w:val="0"/>
        </w:rPr>
        <w:t>政拨款支出决算明细表</w:t>
      </w:r>
      <w:bookmarkEnd w:id="61"/>
      <w:bookmarkStart w:id="62" w:name="_Toc15396624"/>
    </w:p>
    <w:p>
      <w:pPr>
        <w:pStyle w:val="5"/>
        <w:rPr>
          <w:rFonts w:ascii="仿宋" w:hAnsi="仿宋" w:eastAsia="仿宋"/>
        </w:rPr>
      </w:pPr>
      <w:r>
        <w:rPr>
          <w:rStyle w:val="31"/>
          <w:rFonts w:hint="eastAsia" w:ascii="仿宋" w:hAnsi="仿宋" w:eastAsia="仿宋"/>
          <w:b w:val="0"/>
          <w:bCs w:val="0"/>
        </w:rPr>
        <w:t>六、</w:t>
      </w:r>
      <w:r>
        <w:rPr>
          <w:rFonts w:hint="eastAsia" w:ascii="仿宋" w:hAnsi="仿宋" w:eastAsia="仿宋"/>
          <w:b w:val="0"/>
        </w:rPr>
        <w:t>一</w:t>
      </w:r>
      <w:r>
        <w:rPr>
          <w:rStyle w:val="31"/>
          <w:rFonts w:hint="eastAsia" w:ascii="仿宋" w:hAnsi="仿宋" w:eastAsia="仿宋"/>
          <w:b w:val="0"/>
          <w:bCs w:val="0"/>
        </w:rPr>
        <w:t>般公共预算财政拨款支出决算表</w:t>
      </w:r>
      <w:bookmarkEnd w:id="62"/>
    </w:p>
    <w:p>
      <w:pPr>
        <w:pStyle w:val="5"/>
        <w:rPr>
          <w:rFonts w:ascii="仿宋" w:hAnsi="仿宋" w:eastAsia="仿宋"/>
        </w:rPr>
      </w:pPr>
      <w:bookmarkStart w:id="63" w:name="_Toc15396625"/>
      <w:r>
        <w:rPr>
          <w:rStyle w:val="31"/>
          <w:rFonts w:hint="eastAsia" w:ascii="仿宋" w:hAnsi="仿宋" w:eastAsia="仿宋"/>
          <w:b w:val="0"/>
          <w:bCs w:val="0"/>
        </w:rPr>
        <w:t>七、</w:t>
      </w:r>
      <w:r>
        <w:rPr>
          <w:rFonts w:hint="eastAsia" w:ascii="仿宋" w:hAnsi="仿宋" w:eastAsia="仿宋"/>
          <w:b w:val="0"/>
        </w:rPr>
        <w:t>一</w:t>
      </w:r>
      <w:r>
        <w:rPr>
          <w:rStyle w:val="31"/>
          <w:rFonts w:hint="eastAsia" w:ascii="仿宋" w:hAnsi="仿宋" w:eastAsia="仿宋"/>
          <w:b w:val="0"/>
          <w:bCs w:val="0"/>
        </w:rPr>
        <w:t>般公共预算财政拨款支出决算明细表</w:t>
      </w:r>
      <w:bookmarkEnd w:id="63"/>
    </w:p>
    <w:p>
      <w:pPr>
        <w:pStyle w:val="5"/>
        <w:rPr>
          <w:rFonts w:ascii="仿宋" w:hAnsi="仿宋" w:eastAsia="仿宋"/>
        </w:rPr>
      </w:pPr>
      <w:bookmarkStart w:id="64" w:name="_Toc15396626"/>
      <w:r>
        <w:rPr>
          <w:rStyle w:val="31"/>
          <w:rFonts w:hint="eastAsia" w:ascii="仿宋" w:hAnsi="仿宋" w:eastAsia="仿宋"/>
          <w:b w:val="0"/>
          <w:bCs w:val="0"/>
        </w:rPr>
        <w:t>八、</w:t>
      </w:r>
      <w:r>
        <w:rPr>
          <w:rFonts w:hint="eastAsia" w:ascii="仿宋" w:hAnsi="仿宋" w:eastAsia="仿宋"/>
          <w:b w:val="0"/>
        </w:rPr>
        <w:t>一</w:t>
      </w:r>
      <w:r>
        <w:rPr>
          <w:rStyle w:val="31"/>
          <w:rFonts w:hint="eastAsia" w:ascii="仿宋" w:hAnsi="仿宋" w:eastAsia="仿宋"/>
          <w:b w:val="0"/>
          <w:bCs w:val="0"/>
        </w:rPr>
        <w:t>般公共预算财政拨款基本支出决算表</w:t>
      </w:r>
      <w:bookmarkEnd w:id="64"/>
    </w:p>
    <w:p>
      <w:pPr>
        <w:pStyle w:val="5"/>
        <w:rPr>
          <w:rFonts w:ascii="仿宋" w:hAnsi="仿宋" w:eastAsia="仿宋"/>
        </w:rPr>
      </w:pPr>
      <w:bookmarkStart w:id="65" w:name="_Toc15396627"/>
      <w:r>
        <w:rPr>
          <w:rStyle w:val="31"/>
          <w:rFonts w:hint="eastAsia" w:ascii="仿宋" w:hAnsi="仿宋" w:eastAsia="仿宋"/>
          <w:b w:val="0"/>
          <w:bCs w:val="0"/>
        </w:rPr>
        <w:t>九、</w:t>
      </w:r>
      <w:r>
        <w:rPr>
          <w:rFonts w:hint="eastAsia" w:ascii="仿宋" w:hAnsi="仿宋" w:eastAsia="仿宋"/>
          <w:b w:val="0"/>
        </w:rPr>
        <w:t>一</w:t>
      </w:r>
      <w:r>
        <w:rPr>
          <w:rStyle w:val="31"/>
          <w:rFonts w:hint="eastAsia" w:ascii="仿宋" w:hAnsi="仿宋" w:eastAsia="仿宋"/>
          <w:b w:val="0"/>
          <w:bCs w:val="0"/>
        </w:rPr>
        <w:t>般公共预算财政拨款项目支出决算表</w:t>
      </w:r>
      <w:bookmarkEnd w:id="65"/>
    </w:p>
    <w:p>
      <w:pPr>
        <w:pStyle w:val="5"/>
        <w:rPr>
          <w:rFonts w:ascii="仿宋" w:hAnsi="仿宋" w:eastAsia="仿宋"/>
        </w:rPr>
      </w:pPr>
      <w:bookmarkStart w:id="66" w:name="_Toc15396628"/>
      <w:r>
        <w:rPr>
          <w:rStyle w:val="31"/>
          <w:rFonts w:hint="eastAsia" w:ascii="仿宋" w:hAnsi="仿宋" w:eastAsia="仿宋"/>
          <w:b w:val="0"/>
          <w:bCs w:val="0"/>
        </w:rPr>
        <w:t>十、</w:t>
      </w:r>
      <w:bookmarkEnd w:id="66"/>
      <w:r>
        <w:rPr>
          <w:rFonts w:hint="eastAsia" w:ascii="仿宋" w:hAnsi="仿宋" w:eastAsia="仿宋"/>
          <w:b w:val="0"/>
        </w:rPr>
        <w:t>政</w:t>
      </w:r>
      <w:r>
        <w:rPr>
          <w:rStyle w:val="31"/>
          <w:rFonts w:hint="eastAsia" w:ascii="仿宋" w:hAnsi="仿宋" w:eastAsia="仿宋"/>
          <w:b w:val="0"/>
          <w:bCs w:val="0"/>
        </w:rPr>
        <w:t>府性基金预算财政拨款收入支出决算表</w:t>
      </w:r>
    </w:p>
    <w:p>
      <w:pPr>
        <w:pStyle w:val="5"/>
        <w:rPr>
          <w:rFonts w:ascii="仿宋" w:hAnsi="仿宋" w:eastAsia="仿宋"/>
        </w:rPr>
      </w:pPr>
      <w:bookmarkStart w:id="67" w:name="_Toc15396629"/>
      <w:r>
        <w:rPr>
          <w:rStyle w:val="31"/>
          <w:rFonts w:hint="eastAsia" w:ascii="仿宋" w:hAnsi="仿宋" w:eastAsia="仿宋"/>
          <w:b w:val="0"/>
          <w:bCs w:val="0"/>
        </w:rPr>
        <w:t>十一、</w:t>
      </w:r>
      <w:bookmarkEnd w:id="67"/>
      <w:r>
        <w:rPr>
          <w:rFonts w:hint="eastAsia" w:ascii="仿宋" w:hAnsi="仿宋" w:eastAsia="仿宋"/>
          <w:b w:val="0"/>
        </w:rPr>
        <w:t>国</w:t>
      </w:r>
      <w:r>
        <w:rPr>
          <w:rStyle w:val="31"/>
          <w:rFonts w:hint="eastAsia" w:ascii="仿宋" w:hAnsi="仿宋" w:eastAsia="仿宋"/>
          <w:b w:val="0"/>
          <w:bCs w:val="0"/>
        </w:rPr>
        <w:t>有资本经营预算财政拨款收入支出决算表</w:t>
      </w:r>
    </w:p>
    <w:p>
      <w:pPr>
        <w:pStyle w:val="5"/>
        <w:rPr>
          <w:rFonts w:ascii="仿宋" w:hAnsi="仿宋" w:eastAsia="仿宋"/>
        </w:rPr>
      </w:pPr>
      <w:bookmarkStart w:id="68" w:name="_Toc15396630"/>
      <w:r>
        <w:rPr>
          <w:rStyle w:val="31"/>
          <w:rFonts w:hint="eastAsia" w:ascii="仿宋" w:hAnsi="仿宋" w:eastAsia="仿宋"/>
          <w:b w:val="0"/>
          <w:bCs w:val="0"/>
        </w:rPr>
        <w:t>十二、</w:t>
      </w:r>
      <w:bookmarkEnd w:id="68"/>
      <w:r>
        <w:rPr>
          <w:rStyle w:val="31"/>
          <w:rFonts w:hint="eastAsia" w:ascii="仿宋" w:hAnsi="仿宋" w:eastAsia="仿宋"/>
          <w:b w:val="0"/>
          <w:bCs w:val="0"/>
        </w:rPr>
        <w:t>国有资本经营预算财政拨款支出决算表</w:t>
      </w:r>
    </w:p>
    <w:p>
      <w:pPr>
        <w:pStyle w:val="5"/>
        <w:rPr>
          <w:rFonts w:eastAsia="仿宋"/>
        </w:rPr>
      </w:pPr>
      <w:bookmarkStart w:id="69" w:name="_Toc15396631"/>
      <w:r>
        <w:rPr>
          <w:rStyle w:val="31"/>
          <w:rFonts w:hint="eastAsia" w:ascii="仿宋" w:hAnsi="仿宋" w:eastAsia="仿宋"/>
          <w:b w:val="0"/>
          <w:bCs w:val="0"/>
        </w:rPr>
        <w:t>十三、</w:t>
      </w:r>
      <w:bookmarkEnd w:id="69"/>
      <w:r>
        <w:rPr>
          <w:rStyle w:val="31"/>
          <w:rFonts w:hint="eastAsia" w:ascii="仿宋" w:hAnsi="仿宋" w:eastAsia="仿宋"/>
          <w:b w:val="0"/>
          <w:bCs w:val="0"/>
        </w:rPr>
        <w:t>财政拨款“三公”经费支出决算表</w:t>
      </w:r>
    </w:p>
    <w:sectPr>
      <w:footerReference r:id="rId22" w:type="first"/>
      <w:footerReference r:id="rId21" w:type="default"/>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p>
  <w:p>
    <w:pPr>
      <w:pStyle w:val="11"/>
      <w:ind w:right="360"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12</w:t>
    </w:r>
    <w:r>
      <w:rPr>
        <w:rStyle w:val="19"/>
        <w:sz w:val="28"/>
        <w:szCs w:val="28"/>
      </w:rPr>
      <w:fldChar w:fldCharType="end"/>
    </w:r>
    <w:r>
      <w:rPr>
        <w:rStyle w:val="19"/>
        <w:sz w:val="28"/>
        <w:szCs w:val="28"/>
      </w:rPr>
      <w:t xml:space="preserve"> —</w:t>
    </w:r>
  </w:p>
  <w:p>
    <w:pPr>
      <w:pStyle w:val="11"/>
      <w:ind w:right="360" w:firstLine="360"/>
      <w:jc w:val="center"/>
      <w:rPr>
        <w:sz w:val="28"/>
        <w:szCs w:val="2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 xml:space="preserve"> —</w:t>
    </w:r>
  </w:p>
  <w:p>
    <w:pPr>
      <w:pStyle w:val="11"/>
      <w:ind w:right="360"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12</w:t>
    </w:r>
    <w:r>
      <w:rPr>
        <w:rStyle w:val="19"/>
        <w:sz w:val="28"/>
        <w:szCs w:val="28"/>
      </w:rPr>
      <w:fldChar w:fldCharType="end"/>
    </w:r>
    <w:r>
      <w:rPr>
        <w:rStyle w:val="19"/>
        <w:sz w:val="28"/>
        <w:szCs w:val="28"/>
      </w:rPr>
      <w:t xml:space="preserve"> —</w:t>
    </w:r>
  </w:p>
  <w:p>
    <w:pPr>
      <w:pStyle w:val="11"/>
      <w:ind w:right="360" w:firstLine="360"/>
      <w:jc w:val="center"/>
      <w:rPr>
        <w:sz w:val="28"/>
        <w:szCs w:val="2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 xml:space="preserve"> —</w:t>
    </w:r>
  </w:p>
  <w:p>
    <w:pPr>
      <w:pStyle w:val="11"/>
      <w:ind w:right="360" w:firstLine="360"/>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-18415</wp:posOffset>
              </wp:positionV>
              <wp:extent cx="815975" cy="1644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815975" cy="16446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rPr>
                              <w:rFonts w:hint="default"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1.45pt;height:12.95pt;width:64.25pt;mso-position-horizontal-relative:margin;z-index:251659264;mso-width-relative:page;mso-height-relative:page;" filled="f" stroked="f" coordsize="21600,21600" o:gfxdata="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">
              <v:fill on="f" focussize="0,0"/>
              <v:stroke on="f" weight="0.5pt"/>
              <v:imagedata o:title=""/>
              <o:lock v:ext="edit" aspectratio="f"/>
              <v:textbox inset="0mm,0mm,0mm,0mm">
                <w:txbxContent>
                  <w:p>
                    <w:pPr>
                      <w:pStyle w:val="11"/>
                      <w:rPr>
                        <w:rFonts w:hint="default" w:eastAsia="宋体"/>
                        <w:lang w:val="en-US" w:eastAsia="zh-CN"/>
                      </w:rPr>
                    </w:pPr>
                  </w:p>
                </w:txbxContent>
              </v:textbox>
            </v:shape>
          </w:pict>
        </mc:Fallback>
      </mc:AlternateContent>
    </w:r>
  </w:p>
  <w:p>
    <w:pPr>
      <w:pStyle w:val="11"/>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75</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75</w:t>
                    </w:r>
                    <w:r>
                      <w:rPr>
                        <w:rFonts w:hint="eastAsia" w:ascii="宋体" w:hAnsi="宋体" w:eastAsia="宋体" w:cs="宋体"/>
                        <w:sz w:val="28"/>
                        <w:szCs w:val="28"/>
                      </w:rPr>
                      <w:t>—</w:t>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r>
      <w:rPr>
        <w:sz w:val="18"/>
      </w:rP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paragraph">
                <wp:posOffset>-18415</wp:posOffset>
              </wp:positionV>
              <wp:extent cx="815975" cy="164465"/>
              <wp:effectExtent l="0" t="0" r="0" b="0"/>
              <wp:wrapNone/>
              <wp:docPr id="9" name="文本框 9"/>
              <wp:cNvGraphicFramePr/>
              <a:graphic xmlns:a="http://schemas.openxmlformats.org/drawingml/2006/main">
                <a:graphicData uri="http://schemas.microsoft.com/office/word/2010/wordprocessingShape">
                  <wps:wsp>
                    <wps:cNvSpPr txBox="1"/>
                    <wps:spPr>
                      <a:xfrm>
                        <a:off x="0" y="0"/>
                        <a:ext cx="815975"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default"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1.45pt;height:12.95pt;width:64.25pt;mso-position-horizontal-relative:margin;z-index:251665408;mso-width-relative:page;mso-height-relative:page;" filled="f" stroked="f" coordsize="21600,21600" o:gfxdata="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Ci6p0C1QAAAAYBAAAPAAAAAAAAAAEAIAAAACIAAABkcnMvZG93bnJl&#10;di54bWxQSwECFAAUAAAACACHTuJAOf6bEjkCAABhBAAADgAAAAAAAAABACAAAAAkAQAAZHJzL2Uy&#10;b0RvYy54bWxQSwUGAAAAAAYABgBZAQAAzwUAAAAA&#10;">
              <v:fill on="f" focussize="0,0"/>
              <v:stroke on="f" weight="0.5pt"/>
              <v:imagedata o:title=""/>
              <o:lock v:ext="edit" aspectratio="f"/>
              <v:textbox inset="0mm,0mm,0mm,0mm">
                <w:txbxContent>
                  <w:p>
                    <w:pPr>
                      <w:pStyle w:val="11"/>
                      <w:rPr>
                        <w:rFonts w:hint="default" w:eastAsia="宋体"/>
                        <w:lang w:val="en-US" w:eastAsia="zh-CN"/>
                      </w:rPr>
                    </w:pPr>
                  </w:p>
                </w:txbxContent>
              </v:textbox>
            </v:shape>
          </w:pict>
        </mc:Fallback>
      </mc:AlternateContent>
    </w:r>
  </w:p>
  <w:p>
    <w:pPr>
      <w:pStyle w:val="11"/>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6432" behindDoc="0" locked="0" layoutInCell="1" allowOverlap="1">
              <wp:simplePos x="0" y="0"/>
              <wp:positionH relativeFrom="margin">
                <wp:posOffset>16510</wp:posOffset>
              </wp:positionH>
              <wp:positionV relativeFrom="paragraph">
                <wp:posOffset>-114300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cs="宋体"/>
                              <w:sz w:val="28"/>
                              <w:szCs w:val="28"/>
                              <w:lang w:val="en-US" w:eastAsia="zh-CN"/>
                            </w:rPr>
                            <w:t>6</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3pt;margin-top:-9pt;height:144pt;width:144p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cs="宋体"/>
                        <w:sz w:val="28"/>
                        <w:szCs w:val="28"/>
                        <w:lang w:val="en-US" w:eastAsia="zh-CN"/>
                      </w:rPr>
                      <w:t>6</w:t>
                    </w:r>
                    <w:r>
                      <w:rPr>
                        <w:rFonts w:hint="eastAsia" w:ascii="宋体" w:hAnsi="宋体" w:eastAsia="宋体" w:cs="宋体"/>
                        <w:sz w:val="28"/>
                        <w:szCs w:val="28"/>
                      </w:rPr>
                      <w:t>—</w:t>
                    </w:r>
                  </w:p>
                </w:txbxContent>
              </v:textbox>
            </v:shape>
          </w:pict>
        </mc:Fallback>
      </mc:AlternateContent>
    </w: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-18415</wp:posOffset>
              </wp:positionV>
              <wp:extent cx="815975" cy="164465"/>
              <wp:effectExtent l="0" t="0" r="0" b="0"/>
              <wp:wrapNone/>
              <wp:docPr id="5" name="文本框 5"/>
              <wp:cNvGraphicFramePr/>
              <a:graphic xmlns:a="http://schemas.openxmlformats.org/drawingml/2006/main">
                <a:graphicData uri="http://schemas.microsoft.com/office/word/2010/wordprocessingShape">
                  <wps:wsp>
                    <wps:cNvSpPr txBox="1"/>
                    <wps:spPr>
                      <a:xfrm>
                        <a:off x="0" y="0"/>
                        <a:ext cx="815975"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default" w:eastAsia="宋体"/>
                              <w:lang w:val="en-US" w:eastAsia="zh-CN"/>
                            </w:rPr>
                          </w:pP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1.45pt;height:12.95pt;width:64.25pt;mso-position-horizontal-relative:margin;z-index:251661312;mso-width-relative:page;mso-height-relative:page;" filled="f" stroked="f" coordsize="21600,21600" o:gfxdata="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uqdAtUAAAAGAQAADwAAAAAAAAABACAAAAAiAAAAZHJzL2Rvd25yZXYu&#10;eG1sUEsBAhQAFAAAAAgAh07iQETlFvc3AgAAYQQAAA4AAAAAAAAAAQAgAAAAJAEAAGRycy9lMm9E&#10;b2MueG1sUEsFBgAAAAAGAAYAWQEAAM0FAAAAAA==&#10;">
              <v:fill on="f" focussize="0,0"/>
              <v:stroke on="f" weight="0.5pt"/>
              <v:imagedata o:title=""/>
              <o:lock v:ext="edit" aspectratio="f"/>
              <v:textbox inset="0mm,0mm,0mm,0mm">
                <w:txbxContent>
                  <w:p>
                    <w:pPr>
                      <w:pStyle w:val="11"/>
                      <w:rPr>
                        <w:rFonts w:hint="default" w:eastAsia="宋体"/>
                        <w:lang w:val="en-US" w:eastAsia="zh-CN"/>
                      </w:rPr>
                    </w:pPr>
                  </w:p>
                </w:txbxContent>
              </v:textbox>
            </v:shape>
          </w:pict>
        </mc:Fallback>
      </mc:AlternateContent>
    </w:r>
  </w:p>
  <w:p>
    <w:pPr>
      <w:pStyle w:val="11"/>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posOffset>4657725</wp:posOffset>
              </wp:positionH>
              <wp:positionV relativeFrom="paragraph">
                <wp:posOffset>-114300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cs="宋体"/>
                              <w:sz w:val="28"/>
                              <w:szCs w:val="28"/>
                              <w:lang w:val="en-US" w:eastAsia="zh-CN"/>
                            </w:rPr>
                            <w:t>7</w:t>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66.75pt;margin-top:-9pt;height:144pt;width:144p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1"/>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7</w:t>
                    </w:r>
                    <w:r>
                      <w:rPr>
                        <w:rFonts w:hint="eastAsia" w:ascii="宋体" w:hAnsi="宋体" w:cs="宋体"/>
                        <w:sz w:val="28"/>
                        <w:szCs w:val="28"/>
                        <w:lang w:val="en-US" w:eastAsia="zh-CN"/>
                      </w:rPr>
                      <w:t>7</w:t>
                    </w:r>
                    <w:r>
                      <w:rPr>
                        <w:rFonts w:hint="eastAsia" w:ascii="宋体" w:hAnsi="宋体" w:eastAsia="宋体" w:cs="宋体"/>
                        <w:sz w:val="28"/>
                        <w:szCs w:val="28"/>
                      </w:rPr>
                      <w:t>—</w:t>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12</w:t>
    </w:r>
    <w:r>
      <w:rPr>
        <w:rStyle w:val="19"/>
        <w:sz w:val="28"/>
        <w:szCs w:val="28"/>
      </w:rPr>
      <w:fldChar w:fldCharType="end"/>
    </w:r>
    <w:r>
      <w:rPr>
        <w:rStyle w:val="19"/>
        <w:sz w:val="28"/>
        <w:szCs w:val="28"/>
      </w:rPr>
      <w:t xml:space="preserve"> —</w:t>
    </w:r>
  </w:p>
  <w:p>
    <w:pPr>
      <w:pStyle w:val="11"/>
      <w:ind w:right="360" w:firstLine="360"/>
      <w:jc w:val="center"/>
      <w:rPr>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 xml:space="preserve"> —</w:t>
    </w:r>
  </w:p>
  <w:p>
    <w:pPr>
      <w:pStyle w:val="11"/>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w:t>
    </w:r>
  </w:p>
  <w:p>
    <w:pPr>
      <w:pStyle w:val="11"/>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12</w:t>
    </w:r>
    <w:r>
      <w:rPr>
        <w:rStyle w:val="19"/>
        <w:sz w:val="28"/>
        <w:szCs w:val="28"/>
      </w:rPr>
      <w:fldChar w:fldCharType="end"/>
    </w:r>
    <w:r>
      <w:rPr>
        <w:rStyle w:val="19"/>
        <w:sz w:val="28"/>
        <w:szCs w:val="28"/>
      </w:rPr>
      <w:t>—</w:t>
    </w:r>
  </w:p>
  <w:p>
    <w:pPr>
      <w:pStyle w:val="11"/>
      <w:ind w:right="360" w:firstLine="360"/>
      <w:jc w:val="center"/>
      <w:rPr>
        <w:sz w:val="28"/>
        <w:szCs w:val="2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 xml:space="preserve"> —</w:t>
    </w:r>
  </w:p>
  <w:p>
    <w:pPr>
      <w:pStyle w:val="11"/>
      <w:ind w:right="360"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12</w:t>
    </w:r>
    <w:r>
      <w:rPr>
        <w:rStyle w:val="19"/>
        <w:sz w:val="28"/>
        <w:szCs w:val="28"/>
      </w:rPr>
      <w:fldChar w:fldCharType="end"/>
    </w:r>
    <w:r>
      <w:rPr>
        <w:rStyle w:val="19"/>
        <w:sz w:val="28"/>
        <w:szCs w:val="28"/>
      </w:rPr>
      <w:t xml:space="preserve"> —</w:t>
    </w:r>
  </w:p>
  <w:p>
    <w:pPr>
      <w:pStyle w:val="11"/>
      <w:ind w:right="360" w:firstLine="360"/>
      <w:jc w:val="center"/>
      <w:rPr>
        <w:sz w:val="28"/>
        <w:szCs w:val="2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outside" w:y="1"/>
      <w:jc w:val="center"/>
      <w:rPr>
        <w:rStyle w:val="19"/>
        <w:sz w:val="28"/>
        <w:szCs w:val="28"/>
      </w:rPr>
    </w:pPr>
    <w:r>
      <w:rPr>
        <w:rStyle w:val="19"/>
        <w:sz w:val="28"/>
        <w:szCs w:val="28"/>
      </w:rPr>
      <w:t xml:space="preserve">— </w:t>
    </w:r>
    <w:r>
      <w:rPr>
        <w:rStyle w:val="19"/>
        <w:sz w:val="28"/>
        <w:szCs w:val="28"/>
      </w:rPr>
      <w:fldChar w:fldCharType="begin"/>
    </w:r>
    <w:r>
      <w:rPr>
        <w:rStyle w:val="19"/>
        <w:sz w:val="28"/>
        <w:szCs w:val="28"/>
      </w:rPr>
      <w:instrText xml:space="preserve">PAGE  </w:instrText>
    </w:r>
    <w:r>
      <w:rPr>
        <w:rStyle w:val="19"/>
        <w:sz w:val="28"/>
        <w:szCs w:val="28"/>
      </w:rPr>
      <w:fldChar w:fldCharType="separate"/>
    </w:r>
    <w:r>
      <w:rPr>
        <w:rStyle w:val="19"/>
        <w:sz w:val="28"/>
        <w:szCs w:val="28"/>
      </w:rPr>
      <w:t>13</w:t>
    </w:r>
    <w:r>
      <w:rPr>
        <w:rStyle w:val="19"/>
        <w:sz w:val="28"/>
        <w:szCs w:val="28"/>
      </w:rPr>
      <w:fldChar w:fldCharType="end"/>
    </w:r>
    <w:r>
      <w:rPr>
        <w:rStyle w:val="19"/>
        <w:sz w:val="28"/>
        <w:szCs w:val="28"/>
      </w:rPr>
      <w:t xml:space="preserve"> —</w:t>
    </w:r>
  </w:p>
  <w:p>
    <w:pPr>
      <w:pStyle w:val="11"/>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0A7E5B"/>
    <w:rsid w:val="015975B8"/>
    <w:rsid w:val="02143E91"/>
    <w:rsid w:val="05427CC2"/>
    <w:rsid w:val="066E0107"/>
    <w:rsid w:val="07447556"/>
    <w:rsid w:val="07996F6E"/>
    <w:rsid w:val="08456648"/>
    <w:rsid w:val="09EF5765"/>
    <w:rsid w:val="0A2032A3"/>
    <w:rsid w:val="0F98263C"/>
    <w:rsid w:val="0FB477E4"/>
    <w:rsid w:val="101860EC"/>
    <w:rsid w:val="10280489"/>
    <w:rsid w:val="102B06BC"/>
    <w:rsid w:val="10C055FF"/>
    <w:rsid w:val="118107EC"/>
    <w:rsid w:val="13D50BC4"/>
    <w:rsid w:val="14EB1568"/>
    <w:rsid w:val="16BB723D"/>
    <w:rsid w:val="17204163"/>
    <w:rsid w:val="1ADB18B3"/>
    <w:rsid w:val="1BE8440E"/>
    <w:rsid w:val="1D155CEE"/>
    <w:rsid w:val="1D9D2998"/>
    <w:rsid w:val="1FF35744"/>
    <w:rsid w:val="23860B96"/>
    <w:rsid w:val="240371BF"/>
    <w:rsid w:val="250915AE"/>
    <w:rsid w:val="266C4B85"/>
    <w:rsid w:val="29582E9B"/>
    <w:rsid w:val="299928F0"/>
    <w:rsid w:val="29D5724D"/>
    <w:rsid w:val="29FD04D3"/>
    <w:rsid w:val="2AF97734"/>
    <w:rsid w:val="2C8A61B5"/>
    <w:rsid w:val="2DF04E50"/>
    <w:rsid w:val="2F040D46"/>
    <w:rsid w:val="319F7F4E"/>
    <w:rsid w:val="3304709D"/>
    <w:rsid w:val="33167798"/>
    <w:rsid w:val="3341356F"/>
    <w:rsid w:val="35682E7B"/>
    <w:rsid w:val="36AA5135"/>
    <w:rsid w:val="376D39B2"/>
    <w:rsid w:val="37E16F03"/>
    <w:rsid w:val="38D469F0"/>
    <w:rsid w:val="39212356"/>
    <w:rsid w:val="39D94A04"/>
    <w:rsid w:val="3AB45E18"/>
    <w:rsid w:val="3D98207C"/>
    <w:rsid w:val="3E78745D"/>
    <w:rsid w:val="44E268DA"/>
    <w:rsid w:val="45CB6772"/>
    <w:rsid w:val="47EA3752"/>
    <w:rsid w:val="48042CAA"/>
    <w:rsid w:val="4A627F82"/>
    <w:rsid w:val="4B0E749A"/>
    <w:rsid w:val="4B4F25DA"/>
    <w:rsid w:val="4BB03349"/>
    <w:rsid w:val="4BBA2DD1"/>
    <w:rsid w:val="4BE068DB"/>
    <w:rsid w:val="4C820C3D"/>
    <w:rsid w:val="4CBC76B7"/>
    <w:rsid w:val="4D577224"/>
    <w:rsid w:val="4E1E7EAE"/>
    <w:rsid w:val="4EAB630A"/>
    <w:rsid w:val="4ECE2238"/>
    <w:rsid w:val="537E6D0A"/>
    <w:rsid w:val="54272987"/>
    <w:rsid w:val="58EE01F3"/>
    <w:rsid w:val="594862C2"/>
    <w:rsid w:val="5AF92295"/>
    <w:rsid w:val="5B8E0A4E"/>
    <w:rsid w:val="5CD71FC4"/>
    <w:rsid w:val="5CEF5971"/>
    <w:rsid w:val="5F2338B6"/>
    <w:rsid w:val="607704CC"/>
    <w:rsid w:val="61FF6807"/>
    <w:rsid w:val="62541566"/>
    <w:rsid w:val="660A5218"/>
    <w:rsid w:val="66A466D4"/>
    <w:rsid w:val="697478F2"/>
    <w:rsid w:val="6C4A05C8"/>
    <w:rsid w:val="6E7E3605"/>
    <w:rsid w:val="6FF5CC65"/>
    <w:rsid w:val="706305CE"/>
    <w:rsid w:val="715C0E4B"/>
    <w:rsid w:val="72734D90"/>
    <w:rsid w:val="73AD73D5"/>
    <w:rsid w:val="73B6EB34"/>
    <w:rsid w:val="744731E5"/>
    <w:rsid w:val="76E3355F"/>
    <w:rsid w:val="778769C8"/>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nhideWhenUsed="0" w:uiPriority="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Salutation"/>
    <w:basedOn w:val="1"/>
    <w:next w:val="3"/>
    <w:semiHidden/>
    <w:uiPriority w:val="0"/>
    <w:rPr>
      <w:rFonts w:ascii="Calibri" w:hAnsi="Calibri"/>
    </w:rPr>
  </w:style>
  <w:style w:type="paragraph" w:styleId="3">
    <w:name w:val="Body Text"/>
    <w:basedOn w:val="1"/>
    <w:next w:val="1"/>
    <w:link w:val="27"/>
    <w:qFormat/>
    <w:uiPriority w:val="99"/>
    <w:pPr>
      <w:spacing w:beforeLines="30"/>
    </w:pPr>
    <w:rPr>
      <w:rFonts w:ascii="仿宋_GB2312" w:eastAsia="仿宋_GB2312"/>
      <w:kern w:val="0"/>
      <w:sz w:val="30"/>
    </w:rPr>
  </w:style>
  <w:style w:type="paragraph" w:styleId="7">
    <w:name w:val="annotation text"/>
    <w:basedOn w:val="1"/>
    <w:semiHidden/>
    <w:unhideWhenUsed/>
    <w:qFormat/>
    <w:uiPriority w:val="99"/>
    <w:pPr>
      <w:jc w:val="left"/>
    </w:p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3"/>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Body Text First Indent 2"/>
    <w:basedOn w:val="8"/>
    <w:unhideWhenUsed/>
    <w:qFormat/>
    <w:uiPriority w:val="99"/>
    <w:pPr>
      <w:ind w:firstLine="420" w:firstLineChars="200"/>
    </w:pPr>
  </w:style>
  <w:style w:type="character" w:styleId="18">
    <w:name w:val="Strong"/>
    <w:basedOn w:val="17"/>
    <w:qFormat/>
    <w:uiPriority w:val="99"/>
    <w:rPr>
      <w:b/>
    </w:rPr>
  </w:style>
  <w:style w:type="character" w:styleId="19">
    <w:name w:val="page number"/>
    <w:basedOn w:val="17"/>
    <w:qFormat/>
    <w:uiPriority w:val="0"/>
    <w:rPr>
      <w:rFonts w:cs="Times New Roman"/>
    </w:rPr>
  </w:style>
  <w:style w:type="character" w:styleId="20">
    <w:name w:val="Hyperlink"/>
    <w:basedOn w:val="17"/>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7"/>
    <w:semiHidden/>
    <w:qFormat/>
    <w:uiPriority w:val="99"/>
    <w:rPr>
      <w:rFonts w:ascii="Times New Roman" w:hAnsi="Times New Roman"/>
      <w:sz w:val="18"/>
      <w:szCs w:val="18"/>
    </w:rPr>
  </w:style>
  <w:style w:type="character" w:customStyle="1" w:styleId="23">
    <w:name w:val="页眉 字符"/>
    <w:link w:val="12"/>
    <w:semiHidden/>
    <w:qFormat/>
    <w:locked/>
    <w:uiPriority w:val="99"/>
    <w:rPr>
      <w:sz w:val="18"/>
    </w:rPr>
  </w:style>
  <w:style w:type="character" w:customStyle="1" w:styleId="24">
    <w:name w:val="Footer Char"/>
    <w:basedOn w:val="17"/>
    <w:semiHidden/>
    <w:qFormat/>
    <w:uiPriority w:val="99"/>
    <w:rPr>
      <w:rFonts w:ascii="Times New Roman" w:hAnsi="Times New Roman"/>
      <w:sz w:val="18"/>
      <w:szCs w:val="18"/>
    </w:rPr>
  </w:style>
  <w:style w:type="character" w:customStyle="1" w:styleId="25">
    <w:name w:val="页脚 字符"/>
    <w:link w:val="11"/>
    <w:qFormat/>
    <w:locked/>
    <w:uiPriority w:val="99"/>
    <w:rPr>
      <w:sz w:val="18"/>
    </w:rPr>
  </w:style>
  <w:style w:type="character" w:customStyle="1" w:styleId="26">
    <w:name w:val="Body Text Char"/>
    <w:basedOn w:val="17"/>
    <w:semiHidden/>
    <w:qFormat/>
    <w:uiPriority w:val="99"/>
    <w:rPr>
      <w:rFonts w:ascii="Times New Roman" w:hAnsi="Times New Roman"/>
      <w:szCs w:val="24"/>
    </w:rPr>
  </w:style>
  <w:style w:type="character" w:customStyle="1" w:styleId="27">
    <w:name w:val="正文文本 字符"/>
    <w:link w:val="3"/>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7"/>
    <w:link w:val="4"/>
    <w:qFormat/>
    <w:uiPriority w:val="9"/>
    <w:rPr>
      <w:rFonts w:ascii="Times New Roman" w:hAnsi="Times New Roman"/>
      <w:b/>
      <w:bCs/>
      <w:kern w:val="44"/>
      <w:sz w:val="44"/>
      <w:szCs w:val="44"/>
    </w:rPr>
  </w:style>
  <w:style w:type="character" w:customStyle="1" w:styleId="31">
    <w:name w:val="标题 2 字符"/>
    <w:basedOn w:val="17"/>
    <w:link w:val="5"/>
    <w:qFormat/>
    <w:uiPriority w:val="9"/>
    <w:rPr>
      <w:rFonts w:asciiTheme="majorHAnsi" w:hAnsiTheme="majorHAnsi" w:eastAsiaTheme="majorEastAsia" w:cstheme="majorBidi"/>
      <w:b/>
      <w:bCs/>
      <w:kern w:val="2"/>
      <w:sz w:val="32"/>
      <w:szCs w:val="32"/>
    </w:r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7"/>
    <w:link w:val="10"/>
    <w:semiHidden/>
    <w:qFormat/>
    <w:uiPriority w:val="99"/>
    <w:rPr>
      <w:rFonts w:ascii="Times New Roman" w:hAnsi="Times New Roman"/>
      <w:kern w:val="2"/>
      <w:sz w:val="18"/>
      <w:szCs w:val="18"/>
    </w:rPr>
  </w:style>
  <w:style w:type="character" w:customStyle="1" w:styleId="34">
    <w:name w:val="标题 3 字符"/>
    <w:basedOn w:val="17"/>
    <w:link w:val="6"/>
    <w:qFormat/>
    <w:uiPriority w:val="9"/>
    <w:rPr>
      <w:rFonts w:ascii="Times New Roman" w:hAnsi="Times New Roman"/>
      <w:b/>
      <w:bCs/>
      <w:kern w:val="2"/>
      <w:sz w:val="32"/>
      <w:szCs w:val="32"/>
    </w:rPr>
  </w:style>
  <w:style w:type="paragraph" w:customStyle="1" w:styleId="35">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header" Target="header1.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21</Pages>
  <Words>1189</Words>
  <Characters>6781</Characters>
  <Lines>56</Lines>
  <Paragraphs>15</Paragraphs>
  <TotalTime>1</TotalTime>
  <ScaleCrop>false</ScaleCrop>
  <LinksUpToDate>false</LinksUpToDate>
  <CharactersWithSpaces>7955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Administrator</cp:lastModifiedBy>
  <cp:lastPrinted>2023-07-31T02:35:00Z</cp:lastPrinted>
  <dcterms:modified xsi:type="dcterms:W3CDTF">2023-11-15T08:53:34Z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A683B0ED30724B51AD6C64FBF4887DA3</vt:lpwstr>
  </property>
</Properties>
</file>