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96597"/>
      <w:bookmarkStart w:id="1" w:name="_Toc15377193"/>
      <w:bookmarkStart w:id="2" w:name="_Toc15377425"/>
      <w:bookmarkStart w:id="3" w:name="_Toc15378441"/>
      <w:bookmarkStart w:id="4" w:name="_Toc15396475"/>
      <w:bookmarkStart w:id="5" w:name="_Toc15306267"/>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both"/>
        <w:outlineLvl w:val="0"/>
        <w:rPr>
          <w:rFonts w:hint="eastAsia" w:ascii="方正小标宋简体" w:hAnsi="方正小标宋简体" w:eastAsia="方正小标宋简体" w:cs="方正小标宋简体"/>
          <w:sz w:val="72"/>
          <w:szCs w:val="72"/>
          <w:lang w:val="en-US" w:eastAsia="zh-CN"/>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p>
      <w:pPr>
        <w:adjustRightInd w:val="0"/>
        <w:snapToGrid w:val="0"/>
        <w:spacing w:line="360" w:lineRule="auto"/>
        <w:jc w:val="center"/>
        <w:outlineLvl w:val="0"/>
        <w:rPr>
          <w:rFonts w:hint="default" w:ascii="方正小标宋简体" w:hAnsi="方正小标宋简体" w:eastAsia="方正小标宋简体" w:cs="方正小标宋简体"/>
          <w:sz w:val="72"/>
          <w:szCs w:val="72"/>
          <w:lang w:val="en-US" w:eastAsia="zh-CN"/>
        </w:rPr>
      </w:pPr>
      <w:bookmarkStart w:id="6" w:name="_Toc15377194"/>
      <w:bookmarkStart w:id="7" w:name="_Toc15396476"/>
      <w:bookmarkStart w:id="8" w:name="_Toc15378442"/>
      <w:bookmarkStart w:id="9" w:name="_Toc15377426"/>
      <w:bookmarkStart w:id="10" w:name="_Toc15396598"/>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val="en-US" w:eastAsia="zh-CN"/>
        </w:rPr>
        <w:t>乐至县房地产管理局</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r>
        <w:rPr>
          <w:rFonts w:hint="eastAsia" w:ascii="方正小标宋简体" w:hAnsi="方正小标宋简体" w:eastAsia="方正小标宋简体" w:cs="方正小标宋简体"/>
          <w:sz w:val="72"/>
          <w:szCs w:val="72"/>
          <w:lang w:val="en-US" w:eastAsia="zh-CN"/>
        </w:rPr>
        <w:t>编制说明</w:t>
      </w: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4"/>
      </w:pPr>
      <w:r>
        <w:rPr>
          <w:rFonts w:hint="eastAsia"/>
        </w:rPr>
        <w:t>公开时间：2023年</w:t>
      </w:r>
      <w:r>
        <w:rPr>
          <w:rFonts w:hint="eastAsia"/>
          <w:lang w:val="en-US" w:eastAsia="zh-CN"/>
        </w:rPr>
        <w:t>10</w:t>
      </w:r>
      <w:r>
        <w:t xml:space="preserve"> </w:t>
      </w:r>
      <w:r>
        <w:rPr>
          <w:rFonts w:hint="eastAsia"/>
        </w:rPr>
        <w:t>月</w:t>
      </w:r>
      <w:r>
        <w:rPr>
          <w:rFonts w:hint="eastAsia"/>
          <w:lang w:val="en-US" w:eastAsia="zh-CN"/>
        </w:rPr>
        <w:t>19</w:t>
      </w:r>
      <w:r>
        <w:rPr>
          <w:rFonts w:hint="eastAsia"/>
        </w:rPr>
        <w:t>日</w:t>
      </w:r>
    </w:p>
    <w:p/>
    <w:p>
      <w:pPr>
        <w:pStyle w:val="14"/>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5"/>
        <w:adjustRightInd w:val="0"/>
        <w:snapToGrid w:val="0"/>
        <w:spacing w:line="440" w:lineRule="exact"/>
        <w:jc w:val="left"/>
        <w:rPr>
          <w:rFonts w:hint="default" w:ascii="仿宋" w:hAnsi="仿宋" w:eastAsia="宋体"/>
          <w:sz w:val="24"/>
          <w:lang w:val="en-US" w:eastAsia="zh-CN"/>
        </w:rPr>
      </w:pPr>
      <w:r>
        <w:rPr>
          <w:rFonts w:hint="eastAsia"/>
          <w:sz w:val="24"/>
        </w:rPr>
        <w:t>一、部门职责</w:t>
      </w:r>
      <w:r>
        <w:rPr>
          <w:rFonts w:hint="eastAsia"/>
          <w:sz w:val="24"/>
          <w:lang w:val="en-US" w:eastAsia="zh-CN"/>
        </w:rPr>
        <w:t xml:space="preserve">    4                                        </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二、机构设置</w:t>
      </w:r>
      <w:r>
        <w:rPr>
          <w:rFonts w:hint="eastAsia"/>
          <w:sz w:val="24"/>
          <w:lang w:val="en-US" w:eastAsia="zh-CN"/>
        </w:rPr>
        <w:t xml:space="preserve">    4                                      </w:t>
      </w:r>
    </w:p>
    <w:p>
      <w:pPr>
        <w:pStyle w:val="14"/>
        <w:adjustRightInd w:val="0"/>
        <w:snapToGrid w:val="0"/>
        <w:spacing w:before="0" w:line="440" w:lineRule="exact"/>
        <w:jc w:val="left"/>
        <w:rPr>
          <w:sz w:val="24"/>
          <w:szCs w:val="24"/>
        </w:rPr>
      </w:pPr>
      <w:r>
        <w:rPr>
          <w:rFonts w:hint="eastAsia"/>
          <w:sz w:val="24"/>
        </w:rPr>
        <w:t>第二部分 2022年度部门决算情况说明</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一、收入支出决算总体情况说明</w:t>
      </w:r>
      <w:r>
        <w:rPr>
          <w:rFonts w:hint="eastAsia"/>
          <w:sz w:val="24"/>
          <w:lang w:val="en-US" w:eastAsia="zh-CN"/>
        </w:rPr>
        <w:t xml:space="preserve">   5</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二、收入决算情况说明</w:t>
      </w:r>
      <w:r>
        <w:rPr>
          <w:rFonts w:hint="eastAsia"/>
          <w:sz w:val="24"/>
          <w:lang w:val="en-US" w:eastAsia="zh-CN"/>
        </w:rPr>
        <w:t xml:space="preserve">           5</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三、支出决算情况说明</w:t>
      </w:r>
      <w:r>
        <w:rPr>
          <w:rFonts w:hint="eastAsia"/>
          <w:sz w:val="24"/>
          <w:lang w:val="en-US" w:eastAsia="zh-CN"/>
        </w:rPr>
        <w:t xml:space="preserve">           6</w:t>
      </w:r>
    </w:p>
    <w:p>
      <w:pPr>
        <w:pStyle w:val="15"/>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五、一般公共预算财政拨款支出决算情况说明</w:t>
      </w:r>
      <w:r>
        <w:rPr>
          <w:rFonts w:hint="eastAsia"/>
          <w:sz w:val="24"/>
          <w:lang w:val="en-US" w:eastAsia="zh-CN"/>
        </w:rPr>
        <w:t xml:space="preserve">        7</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六、一般公共预算财政拨款基本支出决算情况说明</w:t>
      </w:r>
      <w:r>
        <w:rPr>
          <w:rFonts w:hint="eastAsia"/>
          <w:sz w:val="24"/>
          <w:lang w:val="en-US" w:eastAsia="zh-CN"/>
        </w:rPr>
        <w:t xml:space="preserve">    8</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七、财政拨款“三公”经费支出决算情况说明</w:t>
      </w:r>
      <w:r>
        <w:rPr>
          <w:rFonts w:hint="eastAsia"/>
          <w:sz w:val="24"/>
          <w:lang w:val="en-US" w:eastAsia="zh-CN"/>
        </w:rPr>
        <w:t xml:space="preserve">        9-11</w:t>
      </w:r>
    </w:p>
    <w:p>
      <w:pPr>
        <w:pStyle w:val="15"/>
        <w:adjustRightInd w:val="0"/>
        <w:snapToGrid w:val="0"/>
        <w:spacing w:line="440" w:lineRule="exact"/>
        <w:jc w:val="left"/>
        <w:rPr>
          <w:rFonts w:hint="default" w:ascii="仿宋" w:hAnsi="仿宋" w:eastAsia="宋体" w:cstheme="minorBidi"/>
          <w:sz w:val="24"/>
          <w:lang w:val="en-US" w:eastAsia="zh-CN"/>
        </w:rPr>
      </w:pPr>
      <w:r>
        <w:rPr>
          <w:rFonts w:hint="eastAsia"/>
          <w:sz w:val="24"/>
        </w:rPr>
        <w:t>八、政府性基金预算支出决算情况说明</w:t>
      </w:r>
      <w:r>
        <w:rPr>
          <w:rFonts w:hint="eastAsia"/>
          <w:sz w:val="24"/>
          <w:lang w:val="en-US" w:eastAsia="zh-CN"/>
        </w:rPr>
        <w:t xml:space="preserve">              11         </w:t>
      </w:r>
    </w:p>
    <w:p>
      <w:pPr>
        <w:pStyle w:val="15"/>
        <w:adjustRightInd w:val="0"/>
        <w:snapToGrid w:val="0"/>
        <w:spacing w:line="440" w:lineRule="exact"/>
        <w:ind w:leftChars="0"/>
        <w:jc w:val="left"/>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九、国有资本经营预算支出决算情况说明</w:t>
      </w:r>
      <w:r>
        <w:rPr>
          <w:rFonts w:hint="eastAsia" w:asciiTheme="minorEastAsia" w:hAnsiTheme="minorEastAsia" w:eastAsiaTheme="minorEastAsia" w:cstheme="minorEastAsia"/>
          <w:sz w:val="24"/>
          <w:lang w:val="en-US" w:eastAsia="zh-CN"/>
        </w:rPr>
        <w:t xml:space="preserve">            11</w:t>
      </w:r>
    </w:p>
    <w:p>
      <w:pPr>
        <w:adjustRightInd w:val="0"/>
        <w:snapToGrid w:val="0"/>
        <w:spacing w:line="440" w:lineRule="exact"/>
        <w:ind w:firstLine="420" w:firstLineChars="175"/>
        <w:jc w:val="left"/>
        <w:rPr>
          <w:rFonts w:hint="default" w:asciiTheme="minorEastAsia" w:hAnsiTheme="minorEastAsia" w:eastAsiaTheme="minorEastAsia" w:cstheme="minorEastAsia"/>
          <w:sz w:val="24"/>
          <w:lang w:val="en-US" w:eastAsia="zh-CN"/>
        </w:rPr>
      </w:pPr>
      <w:r>
        <w:rPr>
          <w:rStyle w:val="21"/>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lang w:val="en-US" w:eastAsia="zh-CN"/>
        </w:rPr>
        <w:t xml:space="preserve">                    11-12</w:t>
      </w:r>
    </w:p>
    <w:p>
      <w:pPr>
        <w:pStyle w:val="14"/>
        <w:adjustRightInd w:val="0"/>
        <w:snapToGrid w:val="0"/>
        <w:spacing w:before="0" w:line="440" w:lineRule="exact"/>
        <w:jc w:val="left"/>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名词解释</w:t>
      </w:r>
      <w:r>
        <w:rPr>
          <w:rFonts w:hint="eastAsia"/>
          <w:sz w:val="24"/>
          <w:lang w:val="en-US" w:eastAsia="zh-CN"/>
        </w:rPr>
        <w:t xml:space="preserve">                                   13-14</w:t>
      </w:r>
    </w:p>
    <w:p>
      <w:pPr>
        <w:pStyle w:val="14"/>
        <w:adjustRightInd w:val="0"/>
        <w:snapToGrid w:val="0"/>
        <w:spacing w:before="0" w:line="440" w:lineRule="exact"/>
        <w:jc w:val="left"/>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附件</w:t>
      </w:r>
      <w:r>
        <w:rPr>
          <w:rFonts w:hint="eastAsia"/>
          <w:sz w:val="24"/>
          <w:lang w:val="en-US" w:eastAsia="zh-CN"/>
        </w:rPr>
        <w:t xml:space="preserve">                                       15-38</w:t>
      </w:r>
    </w:p>
    <w:p>
      <w:pPr>
        <w:pStyle w:val="14"/>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附表</w:t>
      </w:r>
      <w:r>
        <w:rPr>
          <w:rFonts w:hint="eastAsia"/>
          <w:sz w:val="24"/>
          <w:lang w:val="en-US" w:eastAsia="zh-CN"/>
        </w:rPr>
        <w:t xml:space="preserve">                  </w:t>
      </w:r>
    </w:p>
    <w:p>
      <w:pPr>
        <w:pStyle w:val="15"/>
        <w:adjustRightInd w:val="0"/>
        <w:snapToGrid w:val="0"/>
        <w:spacing w:line="440" w:lineRule="exact"/>
        <w:jc w:val="left"/>
        <w:rPr>
          <w:sz w:val="24"/>
        </w:rPr>
      </w:pPr>
      <w:r>
        <w:rPr>
          <w:rFonts w:hint="eastAsia"/>
          <w:sz w:val="24"/>
        </w:rPr>
        <w:t>一、收入支出决算总表</w:t>
      </w:r>
    </w:p>
    <w:p>
      <w:pPr>
        <w:pStyle w:val="15"/>
        <w:adjustRightInd w:val="0"/>
        <w:snapToGrid w:val="0"/>
        <w:spacing w:line="440" w:lineRule="exact"/>
        <w:jc w:val="left"/>
        <w:rPr>
          <w:sz w:val="24"/>
        </w:rPr>
      </w:pPr>
      <w:r>
        <w:rPr>
          <w:rFonts w:hint="eastAsia"/>
          <w:sz w:val="24"/>
        </w:rPr>
        <w:t>二、收入决算表</w:t>
      </w:r>
    </w:p>
    <w:p>
      <w:pPr>
        <w:pStyle w:val="15"/>
        <w:adjustRightInd w:val="0"/>
        <w:snapToGrid w:val="0"/>
        <w:spacing w:line="440" w:lineRule="exact"/>
        <w:jc w:val="left"/>
        <w:rPr>
          <w:sz w:val="24"/>
        </w:rPr>
      </w:pPr>
      <w:r>
        <w:rPr>
          <w:rFonts w:hint="eastAsia"/>
          <w:sz w:val="24"/>
        </w:rPr>
        <w:t>三、支出决算表</w:t>
      </w:r>
    </w:p>
    <w:p>
      <w:pPr>
        <w:pStyle w:val="15"/>
        <w:adjustRightInd w:val="0"/>
        <w:snapToGrid w:val="0"/>
        <w:spacing w:line="440" w:lineRule="exact"/>
        <w:jc w:val="left"/>
        <w:rPr>
          <w:sz w:val="24"/>
        </w:rPr>
      </w:pPr>
      <w:r>
        <w:rPr>
          <w:rFonts w:hint="eastAsia"/>
          <w:sz w:val="24"/>
        </w:rPr>
        <w:t>四、财政拨款收入支出决算总表</w:t>
      </w:r>
    </w:p>
    <w:p>
      <w:pPr>
        <w:pStyle w:val="15"/>
        <w:adjustRightInd w:val="0"/>
        <w:snapToGrid w:val="0"/>
        <w:spacing w:line="440" w:lineRule="exact"/>
        <w:jc w:val="left"/>
        <w:rPr>
          <w:sz w:val="24"/>
        </w:rPr>
      </w:pPr>
      <w:r>
        <w:rPr>
          <w:rFonts w:hint="eastAsia"/>
          <w:sz w:val="24"/>
        </w:rPr>
        <w:t>五、财政拨款支出决算明细表</w:t>
      </w:r>
    </w:p>
    <w:p>
      <w:pPr>
        <w:pStyle w:val="15"/>
        <w:adjustRightInd w:val="0"/>
        <w:snapToGrid w:val="0"/>
        <w:spacing w:line="440" w:lineRule="exact"/>
        <w:jc w:val="left"/>
        <w:rPr>
          <w:sz w:val="24"/>
        </w:rPr>
      </w:pPr>
      <w:r>
        <w:rPr>
          <w:rFonts w:hint="eastAsia"/>
          <w:sz w:val="24"/>
        </w:rPr>
        <w:t>六、一般公共预算财政拨款支出决算表</w:t>
      </w:r>
    </w:p>
    <w:p>
      <w:pPr>
        <w:pStyle w:val="15"/>
        <w:adjustRightInd w:val="0"/>
        <w:snapToGrid w:val="0"/>
        <w:spacing w:line="440" w:lineRule="exact"/>
        <w:jc w:val="left"/>
        <w:rPr>
          <w:sz w:val="24"/>
        </w:rPr>
      </w:pPr>
      <w:r>
        <w:rPr>
          <w:rFonts w:hint="eastAsia"/>
          <w:sz w:val="24"/>
        </w:rPr>
        <w:t>七、一般公共预算财政拨款支出决算明细表</w:t>
      </w:r>
    </w:p>
    <w:p>
      <w:pPr>
        <w:pStyle w:val="15"/>
        <w:adjustRightInd w:val="0"/>
        <w:snapToGrid w:val="0"/>
        <w:spacing w:line="440" w:lineRule="exact"/>
        <w:jc w:val="left"/>
        <w:rPr>
          <w:sz w:val="24"/>
        </w:rPr>
      </w:pPr>
      <w:r>
        <w:rPr>
          <w:rFonts w:hint="eastAsia"/>
          <w:sz w:val="24"/>
        </w:rPr>
        <w:t>八、一般公共预算财政拨款基本支出决算明细表</w:t>
      </w:r>
    </w:p>
    <w:p>
      <w:pPr>
        <w:pStyle w:val="15"/>
        <w:adjustRightInd w:val="0"/>
        <w:snapToGrid w:val="0"/>
        <w:spacing w:line="440" w:lineRule="exact"/>
        <w:jc w:val="left"/>
        <w:rPr>
          <w:sz w:val="24"/>
        </w:rPr>
      </w:pPr>
      <w:r>
        <w:rPr>
          <w:rFonts w:hint="eastAsia"/>
          <w:sz w:val="24"/>
        </w:rPr>
        <w:t>九、一般公共预算财政拨款项目支出决算表</w:t>
      </w:r>
    </w:p>
    <w:p>
      <w:pPr>
        <w:pStyle w:val="15"/>
        <w:adjustRightInd w:val="0"/>
        <w:snapToGrid w:val="0"/>
        <w:spacing w:line="440" w:lineRule="exact"/>
        <w:jc w:val="left"/>
        <w:rPr>
          <w:sz w:val="24"/>
        </w:rPr>
      </w:pPr>
      <w:r>
        <w:rPr>
          <w:rFonts w:hint="eastAsia"/>
          <w:sz w:val="24"/>
        </w:rPr>
        <w:t>十、政府性基金预算财政拨款收入支出决算表</w:t>
      </w:r>
    </w:p>
    <w:p>
      <w:pPr>
        <w:pStyle w:val="15"/>
        <w:adjustRightInd w:val="0"/>
        <w:snapToGrid w:val="0"/>
        <w:spacing w:line="440" w:lineRule="exact"/>
        <w:jc w:val="left"/>
        <w:rPr>
          <w:sz w:val="24"/>
        </w:rPr>
      </w:pPr>
      <w:r>
        <w:rPr>
          <w:rFonts w:hint="eastAsia"/>
          <w:sz w:val="24"/>
        </w:rPr>
        <w:t>十一、国有资本经营预算财政拨款收入支出决算表</w:t>
      </w:r>
    </w:p>
    <w:p>
      <w:pPr>
        <w:pStyle w:val="15"/>
        <w:adjustRightInd w:val="0"/>
        <w:snapToGrid w:val="0"/>
        <w:spacing w:line="440" w:lineRule="exact"/>
        <w:jc w:val="left"/>
        <w:rPr>
          <w:sz w:val="24"/>
        </w:rPr>
      </w:pPr>
      <w:r>
        <w:rPr>
          <w:rFonts w:hint="eastAsia"/>
          <w:sz w:val="24"/>
        </w:rPr>
        <w:t>十二、国有资本经营预算财政拨款支出决算表</w:t>
      </w:r>
    </w:p>
    <w:p>
      <w:pPr>
        <w:pStyle w:val="15"/>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widowControl/>
        <w:adjustRightInd w:val="0"/>
        <w:snapToGrid w:val="0"/>
        <w:spacing w:line="440" w:lineRule="exact"/>
        <w:jc w:val="left"/>
        <w:rPr>
          <w:rFonts w:ascii="仿宋" w:hAnsi="仿宋" w:eastAsia="仿宋"/>
          <w:sz w:val="24"/>
        </w:rPr>
      </w:pP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Style w:val="33"/>
          <w:rFonts w:ascii="黑体" w:hAnsi="黑体" w:eastAsia="黑体"/>
          <w:b/>
          <w:bCs w:val="0"/>
        </w:rPr>
      </w:pPr>
      <w:r>
        <w:rPr>
          <w:rFonts w:hint="eastAsia" w:ascii="黑体" w:hAnsi="黑体" w:eastAsia="黑体"/>
          <w:b w:val="0"/>
        </w:rPr>
        <w:t xml:space="preserve">第一部分 </w:t>
      </w:r>
      <w:r>
        <w:rPr>
          <w:rStyle w:val="33"/>
          <w:rFonts w:hint="eastAsia" w:ascii="黑体" w:hAnsi="黑体" w:eastAsia="黑体"/>
          <w:b w:val="0"/>
          <w:bCs w:val="0"/>
        </w:rPr>
        <w:t>部门概况</w:t>
      </w:r>
      <w:bookmarkEnd w:id="12"/>
      <w:bookmarkEnd w:id="13"/>
    </w:p>
    <w:p>
      <w:pPr>
        <w:widowControl/>
        <w:jc w:val="left"/>
        <w:rPr>
          <w:rFonts w:ascii="黑体" w:eastAsia="黑体"/>
          <w:sz w:val="32"/>
          <w:szCs w:val="32"/>
        </w:rPr>
      </w:pPr>
    </w:p>
    <w:p>
      <w:pPr>
        <w:pStyle w:val="5"/>
        <w:numPr>
          <w:ilvl w:val="0"/>
          <w:numId w:val="1"/>
        </w:numPr>
        <w:rPr>
          <w:rFonts w:hint="eastAsia" w:ascii="黑体" w:hAnsi="黑体" w:eastAsia="黑体"/>
          <w:b w:val="0"/>
        </w:rPr>
      </w:pPr>
      <w:r>
        <w:rPr>
          <w:rFonts w:hint="eastAsia" w:ascii="黑体" w:hAnsi="黑体" w:eastAsia="黑体"/>
          <w:b w:val="0"/>
        </w:rPr>
        <w:t>部门职责</w:t>
      </w:r>
    </w:p>
    <w:p>
      <w:pPr>
        <w:spacing w:line="360" w:lineRule="auto"/>
        <w:ind w:firstLine="640" w:firstLineChars="200"/>
        <w:rPr>
          <w:rStyle w:val="34"/>
          <w:rFonts w:ascii="仿宋" w:hAnsi="仿宋" w:eastAsia="黑体"/>
          <w:b w:val="0"/>
          <w:bCs w:val="0"/>
        </w:rPr>
      </w:pPr>
      <w:r>
        <w:rPr>
          <w:rFonts w:hint="eastAsia" w:ascii="仿宋" w:hAnsi="仿宋" w:eastAsia="仿宋" w:cs="宋体"/>
          <w:color w:val="auto"/>
          <w:sz w:val="32"/>
          <w:szCs w:val="32"/>
          <w:highlight w:val="none"/>
          <w:lang w:val="en-US" w:eastAsia="zh-CN"/>
        </w:rPr>
        <w:t>为人民群众</w:t>
      </w:r>
      <w:r>
        <w:rPr>
          <w:rFonts w:hint="eastAsia" w:ascii="仿宋" w:hAnsi="仿宋" w:eastAsia="仿宋" w:cs="宋体"/>
          <w:color w:val="auto"/>
          <w:sz w:val="32"/>
          <w:szCs w:val="32"/>
          <w:highlight w:val="none"/>
        </w:rPr>
        <w:t>提供房管服务，房屋及安全管理，</w:t>
      </w:r>
      <w:r>
        <w:rPr>
          <w:rFonts w:hint="eastAsia" w:ascii="仿宋" w:hAnsi="仿宋" w:eastAsia="仿宋" w:cs="宋体"/>
          <w:color w:val="auto"/>
          <w:sz w:val="32"/>
          <w:szCs w:val="32"/>
          <w:highlight w:val="none"/>
          <w:lang w:val="en-US" w:eastAsia="zh-CN"/>
        </w:rPr>
        <w:t>住宅</w:t>
      </w:r>
      <w:r>
        <w:rPr>
          <w:rFonts w:hint="eastAsia" w:ascii="仿宋" w:hAnsi="仿宋" w:eastAsia="仿宋" w:cs="宋体"/>
          <w:sz w:val="32"/>
          <w:szCs w:val="32"/>
        </w:rPr>
        <w:t>维修</w:t>
      </w:r>
      <w:r>
        <w:rPr>
          <w:rFonts w:hint="eastAsia" w:ascii="仿宋" w:hAnsi="仿宋" w:eastAsia="仿宋" w:cs="宋体"/>
          <w:sz w:val="32"/>
          <w:szCs w:val="32"/>
          <w:lang w:val="en-US" w:eastAsia="zh-CN"/>
        </w:rPr>
        <w:t>资</w:t>
      </w:r>
      <w:r>
        <w:rPr>
          <w:rFonts w:hint="eastAsia" w:ascii="仿宋" w:hAnsi="仿宋" w:eastAsia="仿宋" w:cs="宋体"/>
          <w:sz w:val="32"/>
          <w:szCs w:val="32"/>
        </w:rPr>
        <w:t>金归集及管理，白蚁防治，保障性住房建设，收集和发布房地产市场信息、展示市场行情，提供房地产有关于法规政策咨询、指导和监督房地产交易行为、审查房地产交易合同及有关资料等。承担县政府交办的其他事项。</w:t>
      </w:r>
    </w:p>
    <w:p>
      <w:pPr>
        <w:pStyle w:val="5"/>
        <w:rPr>
          <w:rStyle w:val="34"/>
          <w:b w:val="0"/>
          <w:bCs w:val="0"/>
        </w:rPr>
      </w:pPr>
      <w:bookmarkStart w:id="14" w:name="_Toc15377200"/>
      <w:bookmarkStart w:id="15" w:name="_Toc15396601"/>
      <w:r>
        <w:rPr>
          <w:rFonts w:hint="eastAsia" w:ascii="黑体" w:eastAsia="黑体"/>
          <w:b w:val="0"/>
        </w:rPr>
        <w:t>二、</w:t>
      </w:r>
      <w:r>
        <w:rPr>
          <w:rFonts w:hint="eastAsia" w:ascii="黑体" w:hAnsi="黑体" w:eastAsia="黑体"/>
          <w:b w:val="0"/>
        </w:rPr>
        <w:t>机</w:t>
      </w:r>
      <w:r>
        <w:rPr>
          <w:rStyle w:val="34"/>
          <w:rFonts w:hint="eastAsia" w:ascii="黑体" w:hAnsi="黑体" w:eastAsia="黑体"/>
          <w:b w:val="0"/>
          <w:bCs w:val="0"/>
        </w:rPr>
        <w:t>构设置</w:t>
      </w:r>
      <w:bookmarkEnd w:id="14"/>
      <w:bookmarkEnd w:id="15"/>
    </w:p>
    <w:p>
      <w:pPr>
        <w:snapToGrid w:val="0"/>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乐至县房地产管理局，属独立核算的公益一类事业单位，</w:t>
      </w:r>
      <w:r>
        <w:rPr>
          <w:rFonts w:hint="eastAsia" w:ascii="仿宋" w:hAnsi="仿宋" w:eastAsia="仿宋" w:cs="仿宋"/>
          <w:sz w:val="32"/>
          <w:szCs w:val="32"/>
          <w:lang w:val="en-US" w:eastAsia="zh-CN"/>
        </w:rPr>
        <w:t>一级预算单位。</w:t>
      </w:r>
      <w:r>
        <w:rPr>
          <w:rFonts w:hint="eastAsia" w:ascii="仿宋" w:hAnsi="仿宋" w:eastAsia="仿宋" w:cs="仿宋"/>
          <w:sz w:val="32"/>
          <w:szCs w:val="32"/>
        </w:rPr>
        <w:t>内设办公室，房产档案馆，政务服务股，房屋安全鉴定办公室，住房保障和物管股，白蚁防治所、房地产交易中心7个机构。</w:t>
      </w:r>
    </w:p>
    <w:p>
      <w:pPr>
        <w:ind w:firstLine="800" w:firstLineChars="250"/>
        <w:rPr>
          <w:rFonts w:ascii="仿宋" w:hAnsi="仿宋" w:eastAsia="仿宋"/>
          <w:sz w:val="32"/>
          <w:szCs w:val="32"/>
        </w:rPr>
      </w:pPr>
      <w:r>
        <w:rPr>
          <w:rFonts w:hint="eastAsia" w:ascii="仿宋" w:hAnsi="仿宋" w:eastAsia="仿宋"/>
          <w:sz w:val="32"/>
          <w:szCs w:val="32"/>
          <w:lang w:val="en-US" w:eastAsia="zh-CN"/>
        </w:rPr>
        <w:t>乐至县房地产管理局</w:t>
      </w:r>
      <w:r>
        <w:rPr>
          <w:rFonts w:hint="eastAsia" w:ascii="仿宋" w:hAnsi="仿宋" w:eastAsia="仿宋"/>
          <w:sz w:val="32"/>
          <w:szCs w:val="32"/>
        </w:rPr>
        <w:t>下属二级预算单位</w:t>
      </w:r>
      <w:r>
        <w:rPr>
          <w:rFonts w:hint="eastAsia" w:ascii="仿宋" w:hAnsi="仿宋"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个。纳入</w:t>
      </w:r>
      <w:r>
        <w:rPr>
          <w:rFonts w:hint="eastAsia" w:ascii="仿宋" w:hAnsi="仿宋" w:eastAsia="仿宋"/>
          <w:sz w:val="32"/>
          <w:szCs w:val="32"/>
          <w:lang w:val="en-US" w:eastAsia="zh-CN"/>
        </w:rPr>
        <w:t>本单位</w:t>
      </w:r>
      <w:r>
        <w:rPr>
          <w:rFonts w:hint="eastAsia" w:ascii="仿宋" w:hAnsi="仿宋" w:eastAsia="仿宋"/>
          <w:sz w:val="32"/>
          <w:szCs w:val="32"/>
        </w:rPr>
        <w:t>2022年度部门决算编制范围的二级预算单位</w:t>
      </w:r>
      <w:r>
        <w:rPr>
          <w:rFonts w:hint="eastAsia" w:ascii="仿宋" w:hAnsi="仿宋" w:eastAsia="仿宋"/>
          <w:sz w:val="32"/>
          <w:szCs w:val="32"/>
          <w:lang w:val="en-US" w:eastAsia="zh-CN"/>
        </w:rPr>
        <w:t>0个。</w:t>
      </w:r>
    </w:p>
    <w:p>
      <w:pPr>
        <w:pStyle w:val="8"/>
        <w:spacing w:before="93"/>
      </w:pPr>
    </w:p>
    <w:p>
      <w:pPr>
        <w:pStyle w:val="3"/>
        <w:ind w:right="440"/>
        <w:jc w:val="center"/>
        <w:rPr>
          <w:rStyle w:val="33"/>
          <w:rFonts w:ascii="黑体" w:hAnsi="黑体" w:eastAsia="黑体"/>
          <w:b w:val="0"/>
          <w:bCs/>
        </w:rPr>
      </w:pPr>
      <w:bookmarkStart w:id="16" w:name="_Toc15377204"/>
      <w:bookmarkStart w:id="17" w:name="_Toc15396602"/>
      <w:r>
        <w:rPr>
          <w:rFonts w:hint="eastAsia" w:ascii="黑体" w:hAnsi="黑体" w:eastAsia="黑体"/>
          <w:b w:val="0"/>
        </w:rPr>
        <w:t>第二部分 2022年度</w:t>
      </w:r>
      <w:r>
        <w:rPr>
          <w:rStyle w:val="33"/>
          <w:rFonts w:hint="eastAsia" w:ascii="黑体" w:hAnsi="黑体" w:eastAsia="黑体"/>
          <w:b w:val="0"/>
          <w:bCs/>
        </w:rPr>
        <w:t>部门决算情况说明</w:t>
      </w:r>
      <w:bookmarkEnd w:id="16"/>
      <w:bookmarkEnd w:id="17"/>
    </w:p>
    <w:p/>
    <w:p>
      <w:pPr>
        <w:pStyle w:val="32"/>
        <w:numPr>
          <w:ilvl w:val="0"/>
          <w:numId w:val="2"/>
        </w:numPr>
        <w:tabs>
          <w:tab w:val="left" w:pos="553"/>
        </w:tabs>
        <w:spacing w:line="600" w:lineRule="exact"/>
        <w:ind w:firstLineChars="0"/>
        <w:outlineLvl w:val="1"/>
        <w:rPr>
          <w:rStyle w:val="34"/>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34"/>
          <w:rFonts w:hint="eastAsia" w:ascii="黑体" w:hAnsi="黑体" w:eastAsia="黑体"/>
          <w:b w:val="0"/>
        </w:rPr>
        <w:t>入支出决算总体情况说明</w:t>
      </w:r>
      <w:bookmarkEnd w:id="18"/>
      <w:bookmarkEnd w:id="19"/>
    </w:p>
    <w:p>
      <w:pPr>
        <w:spacing w:line="600" w:lineRule="exact"/>
        <w:ind w:firstLine="640" w:firstLineChars="200"/>
        <w:rPr>
          <w:rFonts w:ascii="仿宋" w:hAnsi="仿宋" w:eastAsia="仿宋"/>
          <w:sz w:val="32"/>
          <w:szCs w:val="32"/>
        </w:rPr>
      </w:pPr>
      <w:r>
        <w:rPr>
          <w:rFonts w:hint="eastAsia" w:ascii="仿宋" w:hAnsi="仿宋" w:eastAsia="仿宋"/>
          <w:sz w:val="32"/>
          <w:szCs w:val="32"/>
        </w:rPr>
        <w:t>2022年度收、支总计</w:t>
      </w:r>
      <w:r>
        <w:rPr>
          <w:rFonts w:hint="eastAsia" w:ascii="仿宋" w:hAnsi="仿宋" w:eastAsia="仿宋"/>
          <w:sz w:val="32"/>
          <w:szCs w:val="32"/>
          <w:lang w:val="en-US" w:eastAsia="zh-CN"/>
        </w:rPr>
        <w:t>3498.73</w:t>
      </w:r>
      <w:r>
        <w:rPr>
          <w:rFonts w:hint="eastAsia" w:ascii="仿宋" w:hAnsi="仿宋" w:eastAsia="仿宋"/>
          <w:sz w:val="32"/>
          <w:szCs w:val="32"/>
        </w:rPr>
        <w:t>万元。</w:t>
      </w:r>
      <w:r>
        <w:rPr>
          <w:rFonts w:hint="eastAsia" w:ascii="仿宋" w:hAnsi="仿宋" w:eastAsia="仿宋" w:cs="仿宋"/>
          <w:sz w:val="30"/>
          <w:szCs w:val="30"/>
        </w:rPr>
        <w:t>20</w:t>
      </w:r>
      <w:r>
        <w:rPr>
          <w:rFonts w:ascii="仿宋" w:hAnsi="仿宋" w:eastAsia="仿宋" w:cs="仿宋"/>
          <w:sz w:val="30"/>
          <w:szCs w:val="30"/>
        </w:rPr>
        <w:t>2</w:t>
      </w:r>
      <w:r>
        <w:rPr>
          <w:rFonts w:hint="eastAsia" w:ascii="仿宋" w:hAnsi="仿宋" w:eastAsia="仿宋" w:cs="仿宋"/>
          <w:sz w:val="30"/>
          <w:szCs w:val="30"/>
        </w:rPr>
        <w:t>1年</w:t>
      </w:r>
      <w:r>
        <w:rPr>
          <w:rFonts w:hint="eastAsia" w:ascii="仿宋" w:hAnsi="仿宋" w:eastAsia="仿宋" w:cs="仿宋"/>
          <w:sz w:val="30"/>
          <w:szCs w:val="30"/>
          <w:lang w:val="en-US" w:eastAsia="zh-CN"/>
        </w:rPr>
        <w:t>财政</w:t>
      </w:r>
      <w:r>
        <w:rPr>
          <w:rFonts w:hint="eastAsia" w:ascii="仿宋" w:hAnsi="仿宋" w:eastAsia="仿宋" w:cs="仿宋"/>
          <w:sz w:val="30"/>
          <w:szCs w:val="30"/>
        </w:rPr>
        <w:t>收</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支总</w:t>
      </w:r>
      <w:r>
        <w:rPr>
          <w:rFonts w:hint="eastAsia" w:ascii="仿宋" w:hAnsi="仿宋" w:eastAsia="仿宋" w:cs="仿宋"/>
          <w:sz w:val="28"/>
          <w:szCs w:val="28"/>
          <w:lang w:val="en-US" w:eastAsia="zh-CN"/>
        </w:rPr>
        <w:t>计463.25</w:t>
      </w:r>
      <w:r>
        <w:rPr>
          <w:rFonts w:hint="eastAsia" w:ascii="仿宋" w:hAnsi="仿宋" w:eastAsia="仿宋" w:cs="仿宋"/>
          <w:sz w:val="28"/>
          <w:szCs w:val="28"/>
        </w:rPr>
        <w:t>万元</w:t>
      </w:r>
      <w:r>
        <w:rPr>
          <w:rFonts w:hint="eastAsia" w:ascii="仿宋" w:hAnsi="仿宋" w:eastAsia="仿宋" w:cs="仿宋"/>
          <w:sz w:val="28"/>
          <w:szCs w:val="28"/>
          <w:lang w:eastAsia="zh-CN"/>
        </w:rPr>
        <w:t>，</w:t>
      </w:r>
      <w:r>
        <w:rPr>
          <w:rFonts w:hint="eastAsia" w:ascii="仿宋" w:hAnsi="仿宋" w:eastAsia="仿宋"/>
          <w:sz w:val="32"/>
          <w:szCs w:val="32"/>
        </w:rPr>
        <w:t>与2021年相比，收、支总计各增加</w:t>
      </w:r>
      <w:r>
        <w:rPr>
          <w:rFonts w:hint="eastAsia" w:ascii="仿宋" w:hAnsi="仿宋" w:eastAsia="仿宋"/>
          <w:sz w:val="32"/>
          <w:szCs w:val="32"/>
          <w:lang w:val="en-US" w:eastAsia="zh-CN"/>
        </w:rPr>
        <w:t>3035.48</w:t>
      </w:r>
      <w:r>
        <w:rPr>
          <w:rFonts w:hint="eastAsia" w:ascii="仿宋" w:hAnsi="仿宋" w:eastAsia="仿宋"/>
          <w:sz w:val="32"/>
          <w:szCs w:val="32"/>
        </w:rPr>
        <w:t>万元，增长</w:t>
      </w:r>
      <w:r>
        <w:rPr>
          <w:rFonts w:hint="eastAsia" w:ascii="仿宋" w:hAnsi="仿宋" w:eastAsia="仿宋"/>
          <w:sz w:val="32"/>
          <w:szCs w:val="32"/>
          <w:lang w:val="en-US" w:eastAsia="zh-CN"/>
        </w:rPr>
        <w:t>655.3</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拨入政府老旧小区改造债券资金3000万元</w:t>
      </w:r>
      <w:r>
        <w:rPr>
          <w:rFonts w:hint="eastAsia" w:ascii="仿宋" w:hAnsi="仿宋" w:eastAsia="仿宋"/>
          <w:sz w:val="32"/>
          <w:szCs w:val="32"/>
        </w:rPr>
        <w:t>。</w:t>
      </w: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hint="eastAsia" w:eastAsia="仿宋"/>
          <w:i/>
          <w:color w:val="000000"/>
          <w:sz w:val="32"/>
          <w:szCs w:val="32"/>
          <w:highlight w:val="yellow"/>
          <w:lang w:eastAsia="zh-CN"/>
        </w:rPr>
      </w:pPr>
    </w:p>
    <w:p>
      <w:pPr>
        <w:spacing w:line="600" w:lineRule="exact"/>
        <w:ind w:firstLine="640" w:firstLineChars="200"/>
        <w:rPr>
          <w:rFonts w:hint="eastAsia" w:eastAsia="仿宋"/>
          <w:i/>
          <w:color w:val="000000"/>
          <w:sz w:val="32"/>
          <w:szCs w:val="32"/>
          <w:highlight w:val="yellow"/>
          <w:lang w:eastAsia="zh-CN"/>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hint="eastAsia" w:ascii="仿宋" w:hAnsi="仿宋" w:eastAsia="仿宋"/>
          <w:sz w:val="32"/>
          <w:szCs w:val="32"/>
        </w:rPr>
      </w:pPr>
      <w:r>
        <w:rPr>
          <w:rFonts w:hint="eastAsia" w:eastAsia="仿宋"/>
          <w:i/>
          <w:color w:val="000000"/>
          <w:sz w:val="32"/>
          <w:szCs w:val="32"/>
          <w:highlight w:val="yellow"/>
          <w:lang w:eastAsia="zh-CN"/>
        </w:rPr>
        <w:drawing>
          <wp:anchor distT="0" distB="0" distL="114935" distR="114935" simplePos="0" relativeHeight="251659264" behindDoc="0" locked="0" layoutInCell="1" allowOverlap="1">
            <wp:simplePos x="0" y="0"/>
            <wp:positionH relativeFrom="column">
              <wp:posOffset>406400</wp:posOffset>
            </wp:positionH>
            <wp:positionV relativeFrom="paragraph">
              <wp:posOffset>-2457450</wp:posOffset>
            </wp:positionV>
            <wp:extent cx="4584065" cy="2755265"/>
            <wp:effectExtent l="0" t="0" r="6985" b="6985"/>
            <wp:wrapNone/>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6"/>
                    <a:stretch>
                      <a:fillRect/>
                    </a:stretch>
                  </pic:blipFill>
                  <pic:spPr>
                    <a:xfrm>
                      <a:off x="0" y="0"/>
                      <a:ext cx="4584065" cy="2755265"/>
                    </a:xfrm>
                    <a:prstGeom prst="rect">
                      <a:avLst/>
                    </a:prstGeom>
                  </pic:spPr>
                </pic:pic>
              </a:graphicData>
            </a:graphic>
          </wp:anchor>
        </w:drawing>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（图1：收、支决算总计变动情况图）（柱状图）</w:t>
      </w:r>
    </w:p>
    <w:p>
      <w:pPr>
        <w:spacing w:line="600" w:lineRule="exact"/>
        <w:ind w:firstLine="640" w:firstLineChars="200"/>
        <w:jc w:val="left"/>
        <w:rPr>
          <w:rFonts w:ascii="仿宋_GB2312" w:eastAsia="仿宋_GB2312"/>
          <w:sz w:val="32"/>
          <w:szCs w:val="32"/>
        </w:rPr>
      </w:pPr>
    </w:p>
    <w:p>
      <w:pPr>
        <w:pStyle w:val="32"/>
        <w:numPr>
          <w:ilvl w:val="0"/>
          <w:numId w:val="2"/>
        </w:numPr>
        <w:spacing w:line="600" w:lineRule="exact"/>
        <w:ind w:firstLineChars="0"/>
        <w:outlineLvl w:val="1"/>
        <w:rPr>
          <w:rStyle w:val="34"/>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34"/>
          <w:rFonts w:hint="eastAsia" w:ascii="黑体" w:hAnsi="黑体" w:eastAsia="黑体"/>
          <w:b w:val="0"/>
        </w:rPr>
        <w:t>入决算情况说明</w:t>
      </w:r>
      <w:bookmarkEnd w:id="20"/>
      <w:bookmarkEnd w:id="21"/>
    </w:p>
    <w:p>
      <w:pPr>
        <w:spacing w:line="600" w:lineRule="exact"/>
        <w:ind w:firstLine="640" w:firstLineChars="200"/>
        <w:outlineLvl w:val="1"/>
        <w:rPr>
          <w:rFonts w:eastAsia="仿宋"/>
          <w:i/>
          <w:color w:val="000000"/>
          <w:sz w:val="32"/>
          <w:szCs w:val="32"/>
          <w:highlight w:val="yellow"/>
        </w:rPr>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3498.73</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236.10</w:t>
      </w:r>
      <w:r>
        <w:rPr>
          <w:rFonts w:hint="eastAsia" w:ascii="仿宋" w:hAnsi="仿宋" w:eastAsia="仿宋"/>
          <w:sz w:val="32"/>
          <w:szCs w:val="32"/>
        </w:rPr>
        <w:t>万元，占</w:t>
      </w:r>
      <w:r>
        <w:rPr>
          <w:rFonts w:hint="eastAsia" w:ascii="仿宋" w:hAnsi="仿宋" w:eastAsia="仿宋"/>
          <w:sz w:val="32"/>
          <w:szCs w:val="32"/>
          <w:lang w:val="en-US" w:eastAsia="zh-CN"/>
        </w:rPr>
        <w:t>6.7</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3262.63</w:t>
      </w:r>
      <w:r>
        <w:rPr>
          <w:rFonts w:hint="eastAsia" w:ascii="仿宋" w:hAnsi="仿宋" w:eastAsia="仿宋"/>
          <w:sz w:val="32"/>
          <w:szCs w:val="32"/>
        </w:rPr>
        <w:t>万元，占</w:t>
      </w:r>
      <w:r>
        <w:rPr>
          <w:rFonts w:hint="eastAsia" w:ascii="仿宋" w:hAnsi="仿宋" w:eastAsia="仿宋"/>
          <w:sz w:val="32"/>
          <w:szCs w:val="32"/>
          <w:lang w:val="en-US" w:eastAsia="zh-CN"/>
        </w:rPr>
        <w:t>93.3</w:t>
      </w:r>
      <w:r>
        <w:rPr>
          <w:rFonts w:ascii="仿宋" w:hAnsi="仿宋" w:eastAsia="仿宋"/>
          <w:sz w:val="32"/>
          <w:szCs w:val="32"/>
        </w:rPr>
        <w:t>%</w:t>
      </w:r>
      <w:r>
        <w:rPr>
          <w:rFonts w:hint="eastAsia" w:ascii="仿宋" w:hAnsi="仿宋" w:eastAsia="仿宋"/>
          <w:sz w:val="32"/>
          <w:szCs w:val="32"/>
        </w:rPr>
        <w:t>。</w:t>
      </w:r>
    </w:p>
    <w:p>
      <w:pPr>
        <w:pStyle w:val="22"/>
        <w:rPr>
          <w:rFonts w:eastAsia="仿宋"/>
          <w:i/>
          <w:color w:val="000000"/>
          <w:sz w:val="32"/>
          <w:szCs w:val="32"/>
          <w:highlight w:val="yellow"/>
        </w:rPr>
      </w:pPr>
      <w:r>
        <w:rPr>
          <w:rFonts w:hint="eastAsia" w:eastAsia="宋体"/>
          <w:lang w:eastAsia="zh-CN"/>
        </w:rPr>
        <w:drawing>
          <wp:inline distT="0" distB="0" distL="114300" distR="114300">
            <wp:extent cx="4584065" cy="2755265"/>
            <wp:effectExtent l="0" t="0" r="6985" b="6985"/>
            <wp:docPr id="5" name="图片 5"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2"/>
                    <pic:cNvPicPr>
                      <a:picLocks noChangeAspect="1"/>
                    </pic:cNvPicPr>
                  </pic:nvPicPr>
                  <pic:blipFill>
                    <a:blip r:embed="rId7"/>
                    <a:stretch>
                      <a:fillRect/>
                    </a:stretch>
                  </pic:blipFill>
                  <pic:spPr>
                    <a:xfrm>
                      <a:off x="0" y="0"/>
                      <a:ext cx="4584065" cy="2755265"/>
                    </a:xfrm>
                    <a:prstGeom prst="rect">
                      <a:avLst/>
                    </a:prstGeom>
                  </pic:spPr>
                </pic:pic>
              </a:graphicData>
            </a:graphic>
          </wp:inline>
        </w:drawing>
      </w: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（图2：收入决算结构图）（饼状图）</w:t>
      </w:r>
    </w:p>
    <w:p>
      <w:pPr>
        <w:spacing w:line="600" w:lineRule="exact"/>
        <w:ind w:firstLine="640" w:firstLineChars="200"/>
        <w:rPr>
          <w:rFonts w:ascii="仿宋_GB2312" w:eastAsia="仿宋_GB2312"/>
          <w:sz w:val="32"/>
          <w:szCs w:val="32"/>
        </w:rPr>
      </w:pPr>
    </w:p>
    <w:p>
      <w:pPr>
        <w:pStyle w:val="32"/>
        <w:numPr>
          <w:ilvl w:val="0"/>
          <w:numId w:val="2"/>
        </w:numPr>
        <w:spacing w:line="600" w:lineRule="exact"/>
        <w:ind w:firstLineChars="0"/>
        <w:outlineLvl w:val="1"/>
        <w:rPr>
          <w:rStyle w:val="34"/>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34"/>
          <w:rFonts w:hint="eastAsia" w:ascii="黑体" w:hAnsi="黑体" w:eastAsia="黑体"/>
          <w:b w:val="0"/>
        </w:rPr>
        <w:t>出决算情况说明</w:t>
      </w:r>
      <w:bookmarkEnd w:id="22"/>
      <w:bookmarkEnd w:id="23"/>
    </w:p>
    <w:p>
      <w:pPr>
        <w:spacing w:line="600" w:lineRule="exact"/>
        <w:ind w:firstLine="640" w:firstLineChars="200"/>
        <w:outlineLvl w:val="1"/>
        <w:rPr>
          <w:rFonts w:hint="eastAsia" w:ascii="仿宋" w:hAnsi="仿宋" w:eastAsia="仿宋"/>
          <w:sz w:val="32"/>
          <w:szCs w:val="32"/>
          <w:lang w:eastAsia="zh-CN"/>
        </w:rPr>
      </w:pPr>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3498.73</w:t>
      </w:r>
      <w:r>
        <w:rPr>
          <w:rFonts w:hint="eastAsia" w:ascii="仿宋" w:hAnsi="仿宋" w:eastAsia="仿宋"/>
          <w:sz w:val="32"/>
          <w:szCs w:val="32"/>
        </w:rPr>
        <w:t>万元，其中：基本支出</w:t>
      </w:r>
      <w:r>
        <w:rPr>
          <w:rFonts w:hint="eastAsia" w:ascii="仿宋" w:hAnsi="仿宋" w:eastAsia="仿宋"/>
          <w:color w:val="auto"/>
          <w:sz w:val="32"/>
          <w:szCs w:val="32"/>
          <w:lang w:val="en-US" w:eastAsia="zh-CN"/>
        </w:rPr>
        <w:t>236.10</w:t>
      </w:r>
      <w:r>
        <w:rPr>
          <w:rFonts w:hint="eastAsia" w:ascii="仿宋" w:hAnsi="仿宋" w:eastAsia="仿宋"/>
          <w:sz w:val="32"/>
          <w:szCs w:val="32"/>
        </w:rPr>
        <w:t>万元，占</w:t>
      </w:r>
      <w:r>
        <w:rPr>
          <w:rFonts w:hint="eastAsia" w:ascii="仿宋" w:hAnsi="仿宋" w:eastAsia="仿宋"/>
          <w:sz w:val="32"/>
          <w:szCs w:val="32"/>
          <w:lang w:val="en-US" w:eastAsia="zh-CN"/>
        </w:rPr>
        <w:t>6.7</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3262.63</w:t>
      </w:r>
      <w:r>
        <w:rPr>
          <w:rFonts w:hint="eastAsia" w:ascii="仿宋" w:hAnsi="仿宋" w:eastAsia="仿宋"/>
          <w:sz w:val="32"/>
          <w:szCs w:val="32"/>
        </w:rPr>
        <w:t>万元，占</w:t>
      </w:r>
      <w:r>
        <w:rPr>
          <w:rFonts w:hint="eastAsia" w:ascii="仿宋" w:hAnsi="仿宋" w:eastAsia="仿宋"/>
          <w:sz w:val="32"/>
          <w:szCs w:val="32"/>
          <w:lang w:val="en-US" w:eastAsia="zh-CN"/>
        </w:rPr>
        <w:t>93.3</w:t>
      </w:r>
      <w:r>
        <w:rPr>
          <w:rFonts w:ascii="仿宋" w:hAnsi="仿宋" w:eastAsia="仿宋"/>
          <w:sz w:val="32"/>
          <w:szCs w:val="32"/>
        </w:rPr>
        <w:t>%</w:t>
      </w:r>
      <w:r>
        <w:rPr>
          <w:rFonts w:hint="eastAsia" w:ascii="仿宋" w:hAnsi="仿宋" w:eastAsia="仿宋"/>
          <w:sz w:val="32"/>
          <w:szCs w:val="32"/>
          <w:lang w:eastAsia="zh-CN"/>
        </w:rPr>
        <w:t>。</w:t>
      </w:r>
    </w:p>
    <w:p>
      <w:pPr>
        <w:spacing w:line="600" w:lineRule="exact"/>
        <w:ind w:firstLine="640" w:firstLineChars="200"/>
        <w:rPr>
          <w:rFonts w:eastAsia="仿宋"/>
          <w:i/>
          <w:color w:val="000000"/>
          <w:sz w:val="32"/>
          <w:szCs w:val="32"/>
          <w:highlight w:val="yellow"/>
        </w:rPr>
      </w:pPr>
      <w:r>
        <w:rPr>
          <w:rFonts w:hint="eastAsia" w:eastAsia="仿宋"/>
          <w:i/>
          <w:color w:val="000000"/>
          <w:sz w:val="32"/>
          <w:szCs w:val="32"/>
          <w:highlight w:val="yellow"/>
          <w:lang w:eastAsia="zh-CN"/>
        </w:rPr>
        <w:drawing>
          <wp:anchor distT="0" distB="0" distL="114935" distR="114935" simplePos="0" relativeHeight="251660288" behindDoc="0" locked="0" layoutInCell="1" allowOverlap="1">
            <wp:simplePos x="0" y="0"/>
            <wp:positionH relativeFrom="column">
              <wp:posOffset>387350</wp:posOffset>
            </wp:positionH>
            <wp:positionV relativeFrom="paragraph">
              <wp:posOffset>85725</wp:posOffset>
            </wp:positionV>
            <wp:extent cx="4486910" cy="2539365"/>
            <wp:effectExtent l="0" t="0" r="8890" b="13335"/>
            <wp:wrapNone/>
            <wp:docPr id="6" name="图片 6"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3"/>
                    <pic:cNvPicPr>
                      <a:picLocks noChangeAspect="1"/>
                    </pic:cNvPicPr>
                  </pic:nvPicPr>
                  <pic:blipFill>
                    <a:blip r:embed="rId8"/>
                    <a:stretch>
                      <a:fillRect/>
                    </a:stretch>
                  </pic:blipFill>
                  <pic:spPr>
                    <a:xfrm>
                      <a:off x="0" y="0"/>
                      <a:ext cx="4486910" cy="2539365"/>
                    </a:xfrm>
                    <a:prstGeom prst="rect">
                      <a:avLst/>
                    </a:prstGeom>
                  </pic:spPr>
                </pic:pic>
              </a:graphicData>
            </a:graphic>
          </wp:anchor>
        </w:drawing>
      </w: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hint="eastAsia" w:eastAsia="仿宋"/>
          <w:i/>
          <w:color w:val="000000"/>
          <w:sz w:val="32"/>
          <w:szCs w:val="32"/>
          <w:highlight w:val="yellow"/>
          <w:lang w:eastAsia="zh-CN"/>
        </w:rPr>
      </w:pPr>
    </w:p>
    <w:p>
      <w:pPr>
        <w:spacing w:line="600" w:lineRule="exact"/>
        <w:ind w:firstLine="640" w:firstLineChars="200"/>
        <w:rPr>
          <w:rFonts w:hint="eastAsia" w:eastAsia="仿宋"/>
          <w:i/>
          <w:color w:val="000000"/>
          <w:sz w:val="32"/>
          <w:szCs w:val="32"/>
          <w:highlight w:val="yellow"/>
          <w:lang w:eastAsia="zh-CN"/>
        </w:rPr>
      </w:pPr>
    </w:p>
    <w:p>
      <w:pPr>
        <w:spacing w:line="600" w:lineRule="exact"/>
        <w:ind w:firstLine="640" w:firstLineChars="200"/>
        <w:rPr>
          <w:rFonts w:hint="eastAsia" w:eastAsia="仿宋"/>
          <w:i/>
          <w:color w:val="000000"/>
          <w:sz w:val="32"/>
          <w:szCs w:val="32"/>
          <w:highlight w:val="yellow"/>
          <w:lang w:eastAsia="zh-CN"/>
        </w:rPr>
      </w:pPr>
    </w:p>
    <w:p>
      <w:pPr>
        <w:spacing w:line="600" w:lineRule="exact"/>
        <w:ind w:firstLine="320" w:firstLineChars="100"/>
        <w:rPr>
          <w:rFonts w:eastAsia="仿宋"/>
          <w:i/>
          <w:color w:val="000000"/>
          <w:sz w:val="32"/>
          <w:szCs w:val="32"/>
          <w:highlight w:val="none"/>
        </w:rPr>
      </w:pPr>
      <w:r>
        <w:rPr>
          <w:rFonts w:eastAsia="仿宋"/>
          <w:i/>
          <w:color w:val="000000"/>
          <w:sz w:val="32"/>
          <w:szCs w:val="32"/>
          <w:highlight w:val="none"/>
        </w:rPr>
        <w:t>（图3：支出决算结构图）（饼状图）</w:t>
      </w:r>
    </w:p>
    <w:p>
      <w:pPr>
        <w:spacing w:line="600" w:lineRule="exact"/>
        <w:ind w:firstLine="640" w:firstLineChars="200"/>
        <w:outlineLvl w:val="1"/>
        <w:rPr>
          <w:rStyle w:val="34"/>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34"/>
          <w:rFonts w:hint="eastAsia" w:ascii="黑体" w:hAnsi="黑体" w:eastAsia="黑体"/>
          <w:b w:val="0"/>
        </w:rPr>
        <w:t>政拨款收入支出决算总体情况说明</w:t>
      </w:r>
      <w:bookmarkEnd w:id="24"/>
      <w:bookmarkEnd w:id="25"/>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22年财政拨款收、支总计</w:t>
      </w:r>
      <w:r>
        <w:rPr>
          <w:rFonts w:hint="eastAsia" w:ascii="仿宋" w:hAnsi="仿宋" w:eastAsia="仿宋"/>
          <w:sz w:val="32"/>
          <w:szCs w:val="32"/>
          <w:lang w:val="en-US" w:eastAsia="zh-CN"/>
        </w:rPr>
        <w:t>3498.73</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21年相比，财政拨款收、支总计各增加</w:t>
      </w:r>
      <w:r>
        <w:rPr>
          <w:rFonts w:hint="eastAsia" w:ascii="仿宋" w:hAnsi="仿宋" w:eastAsia="仿宋"/>
          <w:sz w:val="32"/>
          <w:szCs w:val="32"/>
          <w:lang w:val="en-US" w:eastAsia="zh-CN"/>
        </w:rPr>
        <w:t>3035.48</w:t>
      </w:r>
      <w:r>
        <w:rPr>
          <w:rFonts w:hint="eastAsia" w:ascii="仿宋" w:hAnsi="仿宋" w:eastAsia="仿宋"/>
          <w:sz w:val="32"/>
          <w:szCs w:val="32"/>
        </w:rPr>
        <w:t>万元，增长</w:t>
      </w:r>
      <w:r>
        <w:rPr>
          <w:rFonts w:hint="eastAsia" w:ascii="仿宋" w:hAnsi="仿宋" w:eastAsia="仿宋"/>
          <w:sz w:val="32"/>
          <w:szCs w:val="32"/>
          <w:lang w:val="en-US" w:eastAsia="zh-CN"/>
        </w:rPr>
        <w:t>655.3</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拨入老旧小区改造债券资金3000万元</w:t>
      </w:r>
      <w:r>
        <w:rPr>
          <w:rFonts w:hint="eastAsia" w:ascii="仿宋" w:hAnsi="仿宋" w:eastAsia="仿宋"/>
          <w:sz w:val="32"/>
          <w:szCs w:val="32"/>
        </w:rPr>
        <w:t>。</w:t>
      </w:r>
    </w:p>
    <w:p>
      <w:pPr>
        <w:spacing w:line="600" w:lineRule="exact"/>
        <w:rPr>
          <w:rFonts w:hint="eastAsia" w:ascii="仿宋" w:hAnsi="仿宋" w:eastAsia="仿宋"/>
          <w:sz w:val="32"/>
          <w:szCs w:val="32"/>
          <w:lang w:eastAsia="zh-CN"/>
        </w:rPr>
      </w:pPr>
    </w:p>
    <w:p>
      <w:pPr>
        <w:rPr>
          <w:rFonts w:eastAsia="仿宋"/>
          <w:i/>
          <w:color w:val="000000"/>
          <w:sz w:val="32"/>
          <w:szCs w:val="32"/>
          <w:highlight w:val="yellow"/>
        </w:rPr>
      </w:pPr>
      <w:r>
        <w:rPr>
          <w:rFonts w:hint="eastAsia" w:ascii="仿宋" w:hAnsi="仿宋" w:eastAsia="仿宋"/>
          <w:sz w:val="32"/>
          <w:szCs w:val="32"/>
          <w:lang w:eastAsia="zh-CN"/>
        </w:rPr>
        <w:drawing>
          <wp:inline distT="0" distB="0" distL="114300" distR="114300">
            <wp:extent cx="4584065" cy="2755265"/>
            <wp:effectExtent l="0" t="0" r="6985" b="6985"/>
            <wp:docPr id="8" name="图片 8"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4"/>
                    <pic:cNvPicPr>
                      <a:picLocks noChangeAspect="1"/>
                    </pic:cNvPicPr>
                  </pic:nvPicPr>
                  <pic:blipFill>
                    <a:blip r:embed="rId9"/>
                    <a:stretch>
                      <a:fillRect/>
                    </a:stretch>
                  </pic:blipFill>
                  <pic:spPr>
                    <a:xfrm>
                      <a:off x="0" y="0"/>
                      <a:ext cx="4584065" cy="2755265"/>
                    </a:xfrm>
                    <a:prstGeom prst="rect">
                      <a:avLst/>
                    </a:prstGeom>
                  </pic:spPr>
                </pic:pic>
              </a:graphicData>
            </a:graphic>
          </wp:inline>
        </w:drawing>
      </w:r>
    </w:p>
    <w:p>
      <w:pPr>
        <w:pStyle w:val="22"/>
        <w:rPr>
          <w:rFonts w:eastAsia="仿宋"/>
          <w:i/>
          <w:color w:val="000000"/>
          <w:sz w:val="32"/>
          <w:szCs w:val="32"/>
          <w:highlight w:val="yellow"/>
        </w:rPr>
      </w:pPr>
    </w:p>
    <w:p>
      <w:pPr>
        <w:spacing w:line="600" w:lineRule="exact"/>
        <w:rPr>
          <w:rFonts w:eastAsia="仿宋"/>
          <w:i/>
          <w:color w:val="000000"/>
          <w:sz w:val="32"/>
          <w:szCs w:val="32"/>
          <w:highlight w:val="none"/>
        </w:rPr>
      </w:pPr>
      <w:r>
        <w:rPr>
          <w:rFonts w:eastAsia="仿宋"/>
          <w:i/>
          <w:color w:val="000000"/>
          <w:sz w:val="32"/>
          <w:szCs w:val="32"/>
          <w:highlight w:val="none"/>
        </w:rPr>
        <w:t>（图4：财政拨款收、支决算总计变动情况）（柱状图）</w:t>
      </w:r>
    </w:p>
    <w:p>
      <w:pPr>
        <w:spacing w:line="600" w:lineRule="exact"/>
        <w:ind w:firstLine="320" w:firstLineChars="100"/>
        <w:outlineLvl w:val="1"/>
        <w:rPr>
          <w:rStyle w:val="34"/>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34"/>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eastAsia="仿宋"/>
          <w:i/>
          <w:color w:val="000000"/>
          <w:sz w:val="32"/>
          <w:szCs w:val="32"/>
          <w:highlight w:val="yellow"/>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236.10</w:t>
      </w:r>
      <w:r>
        <w:rPr>
          <w:rFonts w:hint="eastAsia" w:ascii="仿宋" w:hAnsi="仿宋" w:eastAsia="仿宋"/>
          <w:sz w:val="32"/>
          <w:szCs w:val="32"/>
        </w:rPr>
        <w:t>万元，占本年支出合计的</w:t>
      </w:r>
      <w:r>
        <w:rPr>
          <w:rFonts w:hint="eastAsia" w:ascii="仿宋" w:hAnsi="仿宋" w:eastAsia="仿宋"/>
          <w:sz w:val="32"/>
          <w:szCs w:val="32"/>
          <w:lang w:val="en-US" w:eastAsia="zh-CN"/>
        </w:rPr>
        <w:t>6.7</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w:t>
      </w:r>
      <w:r>
        <w:rPr>
          <w:rFonts w:hint="eastAsia" w:ascii="仿宋" w:hAnsi="仿宋" w:eastAsia="仿宋"/>
          <w:sz w:val="32"/>
          <w:szCs w:val="32"/>
          <w:lang w:val="en-US" w:eastAsia="zh-CN"/>
        </w:rPr>
        <w:t>463.25万元</w:t>
      </w:r>
      <w:r>
        <w:rPr>
          <w:rFonts w:hint="eastAsia" w:ascii="仿宋" w:hAnsi="仿宋" w:eastAsia="仿宋"/>
          <w:sz w:val="32"/>
          <w:szCs w:val="32"/>
        </w:rPr>
        <w:t>相比，一般公共预算财政拨款支出减少</w:t>
      </w:r>
      <w:r>
        <w:rPr>
          <w:rFonts w:hint="eastAsia" w:ascii="仿宋" w:hAnsi="仿宋" w:eastAsia="仿宋"/>
          <w:sz w:val="32"/>
          <w:szCs w:val="32"/>
          <w:lang w:val="en-US" w:eastAsia="zh-CN"/>
        </w:rPr>
        <w:t>227.15</w:t>
      </w:r>
      <w:r>
        <w:rPr>
          <w:rFonts w:hint="eastAsia" w:ascii="仿宋" w:hAnsi="仿宋" w:eastAsia="仿宋"/>
          <w:sz w:val="32"/>
          <w:szCs w:val="32"/>
        </w:rPr>
        <w:t>万元，下降</w:t>
      </w:r>
      <w:r>
        <w:rPr>
          <w:rFonts w:hint="eastAsia" w:ascii="仿宋" w:hAnsi="仿宋" w:eastAsia="仿宋"/>
          <w:sz w:val="32"/>
          <w:szCs w:val="32"/>
          <w:lang w:val="en-US" w:eastAsia="zh-CN"/>
        </w:rPr>
        <w:t>49</w:t>
      </w:r>
      <w:r>
        <w:rPr>
          <w:rFonts w:ascii="仿宋" w:hAnsi="仿宋" w:eastAsia="仿宋"/>
          <w:sz w:val="32"/>
          <w:szCs w:val="32"/>
        </w:rPr>
        <w:t>%</w:t>
      </w:r>
      <w:r>
        <w:rPr>
          <w:rFonts w:hint="eastAsia" w:ascii="仿宋" w:hAnsi="仿宋" w:eastAsia="仿宋"/>
          <w:sz w:val="32"/>
          <w:szCs w:val="32"/>
        </w:rPr>
        <w:t>。主要变动原因</w:t>
      </w:r>
      <w:r>
        <w:rPr>
          <w:rFonts w:hint="eastAsia" w:ascii="仿宋" w:hAnsi="仿宋" w:eastAsia="仿宋"/>
          <w:sz w:val="32"/>
          <w:szCs w:val="32"/>
          <w:lang w:val="en-US" w:eastAsia="zh-CN"/>
        </w:rPr>
        <w:t>是用单位往年结余资金支付2023年度部份人员和公用经费。</w:t>
      </w:r>
    </w:p>
    <w:p>
      <w:pPr>
        <w:pStyle w:val="22"/>
        <w:ind w:left="0" w:leftChars="0" w:firstLine="0" w:firstLineChars="0"/>
        <w:rPr>
          <w:rFonts w:hint="eastAsia" w:eastAsia="仿宋"/>
          <w:lang w:eastAsia="zh-CN"/>
        </w:rPr>
      </w:pPr>
      <w:r>
        <w:rPr>
          <w:rFonts w:hint="eastAsia" w:eastAsia="仿宋"/>
          <w:lang w:eastAsia="zh-CN"/>
        </w:rPr>
        <w:drawing>
          <wp:inline distT="0" distB="0" distL="114300" distR="114300">
            <wp:extent cx="4584065" cy="2755265"/>
            <wp:effectExtent l="0" t="0" r="6985" b="6985"/>
            <wp:docPr id="9" name="图片 9"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5"/>
                    <pic:cNvPicPr>
                      <a:picLocks noChangeAspect="1"/>
                    </pic:cNvPicPr>
                  </pic:nvPicPr>
                  <pic:blipFill>
                    <a:blip r:embed="rId10"/>
                    <a:stretch>
                      <a:fillRect/>
                    </a:stretch>
                  </pic:blipFill>
                  <pic:spPr>
                    <a:xfrm>
                      <a:off x="0" y="0"/>
                      <a:ext cx="4584065" cy="2755265"/>
                    </a:xfrm>
                    <a:prstGeom prst="rect">
                      <a:avLst/>
                    </a:prstGeom>
                  </pic:spPr>
                </pic:pic>
              </a:graphicData>
            </a:graphic>
          </wp:inline>
        </w:drawing>
      </w:r>
    </w:p>
    <w:p>
      <w:pPr>
        <w:spacing w:line="600" w:lineRule="exact"/>
        <w:rPr>
          <w:rFonts w:eastAsia="仿宋"/>
          <w:i/>
          <w:color w:val="000000"/>
          <w:sz w:val="32"/>
          <w:szCs w:val="32"/>
          <w:highlight w:val="none"/>
        </w:rPr>
      </w:pPr>
      <w:r>
        <w:rPr>
          <w:rFonts w:eastAsia="仿宋"/>
          <w:i/>
          <w:color w:val="000000"/>
          <w:sz w:val="32"/>
          <w:szCs w:val="32"/>
          <w:highlight w:val="none"/>
        </w:rPr>
        <w:t>（图5：一般公共预算财政拨款支出决算变动情况）（柱状图）</w:t>
      </w:r>
    </w:p>
    <w:p>
      <w:pPr>
        <w:spacing w:line="600" w:lineRule="exact"/>
        <w:ind w:firstLine="643" w:firstLineChars="200"/>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hint="eastAsia" w:eastAsia="仿宋"/>
          <w:i/>
          <w:color w:val="000000"/>
          <w:sz w:val="32"/>
          <w:szCs w:val="32"/>
          <w:highlight w:val="yellow"/>
          <w:lang w:eastAsia="zh-CN"/>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236.10</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val="0"/>
          <w:bCs/>
          <w:sz w:val="32"/>
          <w:szCs w:val="32"/>
        </w:rPr>
        <w:t>一般公共服务支出</w:t>
      </w:r>
      <w:r>
        <w:rPr>
          <w:rFonts w:hint="eastAsia" w:ascii="仿宋" w:hAnsi="仿宋" w:eastAsia="仿宋"/>
          <w:b w:val="0"/>
          <w:bCs w:val="0"/>
          <w:color w:val="auto"/>
          <w:sz w:val="32"/>
          <w:szCs w:val="32"/>
          <w:lang w:val="en-US" w:eastAsia="zh-CN"/>
        </w:rPr>
        <w:t>236.10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lang w:eastAsia="zh-CN"/>
        </w:rPr>
        <w:t>。</w:t>
      </w:r>
    </w:p>
    <w:p>
      <w:pPr>
        <w:pStyle w:val="22"/>
        <w:ind w:left="0" w:leftChars="0" w:firstLine="0" w:firstLineChars="0"/>
        <w:rPr>
          <w:rFonts w:eastAsia="仿宋"/>
          <w:i/>
          <w:color w:val="000000"/>
          <w:sz w:val="32"/>
          <w:szCs w:val="32"/>
          <w:highlight w:val="yellow"/>
        </w:rPr>
      </w:pPr>
    </w:p>
    <w:p>
      <w:pPr>
        <w:rPr>
          <w:rFonts w:hint="eastAsia" w:eastAsia="仿宋"/>
          <w:lang w:eastAsia="zh-CN"/>
        </w:rPr>
      </w:pPr>
      <w:r>
        <w:rPr>
          <w:rFonts w:hint="eastAsia" w:eastAsia="仿宋"/>
          <w:lang w:eastAsia="zh-CN"/>
        </w:rPr>
        <w:drawing>
          <wp:inline distT="0" distB="0" distL="114300" distR="114300">
            <wp:extent cx="4584065" cy="2755265"/>
            <wp:effectExtent l="0" t="0" r="6985" b="6985"/>
            <wp:docPr id="10" name="图片 10"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6"/>
                    <pic:cNvPicPr>
                      <a:picLocks noChangeAspect="1"/>
                    </pic:cNvPicPr>
                  </pic:nvPicPr>
                  <pic:blipFill>
                    <a:blip r:embed="rId11"/>
                    <a:stretch>
                      <a:fillRect/>
                    </a:stretch>
                  </pic:blipFill>
                  <pic:spPr>
                    <a:xfrm>
                      <a:off x="0" y="0"/>
                      <a:ext cx="4584065" cy="2755265"/>
                    </a:xfrm>
                    <a:prstGeom prst="rect">
                      <a:avLst/>
                    </a:prstGeom>
                  </pic:spPr>
                </pic:pic>
              </a:graphicData>
            </a:graphic>
          </wp:inline>
        </w:drawing>
      </w: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（图6：一般公共预算财政拨款支出决算结构）（饼状图）</w:t>
      </w:r>
    </w:p>
    <w:p>
      <w:pPr>
        <w:spacing w:line="600" w:lineRule="exact"/>
        <w:ind w:firstLine="640" w:firstLineChars="200"/>
        <w:outlineLvl w:val="2"/>
        <w:rPr>
          <w:rFonts w:ascii="仿宋" w:hAnsi="仿宋" w:eastAsia="仿宋"/>
          <w:b/>
          <w:sz w:val="32"/>
          <w:szCs w:val="32"/>
        </w:rPr>
      </w:pPr>
      <w:bookmarkStart w:id="30" w:name="_Toc15377212"/>
      <w:r>
        <w:rPr>
          <w:rFonts w:hint="eastAsia" w:eastAsia="仿宋"/>
          <w:i/>
          <w:color w:val="000000"/>
          <w:sz w:val="32"/>
          <w:szCs w:val="32"/>
          <w:highlight w:val="none"/>
          <w:lang w:val="en-US" w:eastAsia="zh-CN"/>
        </w:rPr>
        <w:t xml:space="preserve"> </w:t>
      </w:r>
      <w:r>
        <w:rPr>
          <w:rFonts w:hint="eastAsia" w:ascii="仿宋" w:hAnsi="仿宋" w:eastAsia="仿宋"/>
          <w:b/>
          <w:sz w:val="32"/>
          <w:szCs w:val="32"/>
        </w:rPr>
        <w:t>（三）一般公共预算财政拨款支出决算具体情况</w:t>
      </w:r>
      <w:bookmarkEnd w:id="30"/>
    </w:p>
    <w:p>
      <w:pPr>
        <w:spacing w:line="600" w:lineRule="exact"/>
        <w:ind w:firstLine="640" w:firstLineChars="200"/>
        <w:outlineLvl w:val="2"/>
        <w:rPr>
          <w:rFonts w:ascii="仿宋" w:hAnsi="仿宋" w:eastAsia="仿宋"/>
          <w:b w:val="0"/>
          <w:bCs/>
          <w:sz w:val="32"/>
          <w:szCs w:val="32"/>
        </w:rPr>
      </w:pPr>
      <w:bookmarkStart w:id="31" w:name="_Toc15377444"/>
      <w:bookmarkStart w:id="32" w:name="_Toc15377213"/>
      <w:bookmarkStart w:id="33" w:name="_Toc15378460"/>
      <w:r>
        <w:rPr>
          <w:rFonts w:hint="eastAsia" w:ascii="仿宋" w:hAnsi="仿宋" w:eastAsia="仿宋"/>
          <w:b w:val="0"/>
          <w:bCs/>
          <w:sz w:val="32"/>
          <w:szCs w:val="32"/>
        </w:rPr>
        <w:t>2022年一般公共预算支出决算数为</w:t>
      </w:r>
      <w:r>
        <w:rPr>
          <w:rFonts w:hint="eastAsia" w:ascii="仿宋" w:hAnsi="仿宋" w:eastAsia="仿宋"/>
          <w:b w:val="0"/>
          <w:bCs/>
          <w:sz w:val="32"/>
          <w:szCs w:val="32"/>
          <w:lang w:val="en-US" w:eastAsia="zh-CN"/>
        </w:rPr>
        <w:t>236.10万元</w:t>
      </w:r>
      <w:r>
        <w:rPr>
          <w:rFonts w:hint="eastAsia" w:ascii="仿宋" w:hAnsi="仿宋" w:eastAsia="仿宋"/>
          <w:b w:val="0"/>
          <w:bCs/>
          <w:sz w:val="32"/>
          <w:szCs w:val="32"/>
        </w:rPr>
        <w:t>，</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63.6</w:t>
      </w:r>
      <w:r>
        <w:rPr>
          <w:rStyle w:val="20"/>
          <w:rFonts w:ascii="仿宋" w:hAnsi="仿宋" w:eastAsia="仿宋"/>
          <w:b w:val="0"/>
          <w:bCs/>
          <w:sz w:val="32"/>
          <w:szCs w:val="32"/>
        </w:rPr>
        <w:t>%</w:t>
      </w:r>
      <w:r>
        <w:rPr>
          <w:rStyle w:val="20"/>
          <w:rFonts w:hint="eastAsia" w:ascii="仿宋" w:hAnsi="仿宋" w:eastAsia="仿宋"/>
          <w:b w:val="0"/>
          <w:bCs/>
          <w:sz w:val="32"/>
          <w:szCs w:val="32"/>
        </w:rPr>
        <w:t>。其中：</w:t>
      </w:r>
      <w:bookmarkEnd w:id="31"/>
      <w:bookmarkEnd w:id="32"/>
      <w:bookmarkEnd w:id="33"/>
    </w:p>
    <w:p>
      <w:pPr>
        <w:spacing w:line="600" w:lineRule="exact"/>
        <w:ind w:firstLine="640" w:firstLineChars="200"/>
        <w:rPr>
          <w:rFonts w:ascii="仿宋" w:hAnsi="仿宋" w:eastAsia="仿宋"/>
          <w:b/>
          <w:sz w:val="32"/>
          <w:szCs w:val="32"/>
        </w:rPr>
      </w:pPr>
      <w:r>
        <w:rPr>
          <w:rStyle w:val="20"/>
          <w:rFonts w:ascii="仿宋" w:hAnsi="仿宋" w:eastAsia="仿宋"/>
          <w:b w:val="0"/>
          <w:bCs w:val="0"/>
          <w:sz w:val="32"/>
          <w:szCs w:val="32"/>
        </w:rPr>
        <w:t>1.</w:t>
      </w:r>
      <w:r>
        <w:rPr>
          <w:rStyle w:val="20"/>
          <w:rFonts w:hint="eastAsia" w:ascii="仿宋" w:hAnsi="仿宋" w:eastAsia="仿宋"/>
          <w:b w:val="0"/>
          <w:bCs w:val="0"/>
          <w:sz w:val="32"/>
          <w:szCs w:val="32"/>
        </w:rPr>
        <w:t>一般公共服务（类）</w:t>
      </w:r>
      <w:r>
        <w:rPr>
          <w:rStyle w:val="20"/>
          <w:rFonts w:hint="eastAsia" w:ascii="仿宋" w:hAnsi="仿宋" w:eastAsia="仿宋"/>
          <w:b w:val="0"/>
          <w:bCs w:val="0"/>
          <w:sz w:val="32"/>
          <w:szCs w:val="32"/>
          <w:lang w:val="en-US" w:eastAsia="zh-CN"/>
        </w:rPr>
        <w:t>城乡社区支出</w:t>
      </w:r>
      <w:r>
        <w:rPr>
          <w:rStyle w:val="20"/>
          <w:rFonts w:hint="eastAsia" w:ascii="仿宋" w:hAnsi="仿宋" w:eastAsia="仿宋"/>
          <w:b w:val="0"/>
          <w:bCs w:val="0"/>
          <w:sz w:val="32"/>
          <w:szCs w:val="32"/>
        </w:rPr>
        <w:t>（款）</w:t>
      </w:r>
      <w:r>
        <w:rPr>
          <w:rStyle w:val="20"/>
          <w:rFonts w:hint="eastAsia" w:ascii="仿宋" w:hAnsi="仿宋" w:eastAsia="仿宋"/>
          <w:b w:val="0"/>
          <w:bCs w:val="0"/>
          <w:sz w:val="32"/>
          <w:szCs w:val="32"/>
          <w:lang w:val="en-US" w:eastAsia="zh-CN"/>
        </w:rPr>
        <w:t>城乡社区管理事务</w:t>
      </w:r>
      <w:r>
        <w:rPr>
          <w:rStyle w:val="20"/>
          <w:rFonts w:hint="eastAsia" w:ascii="仿宋" w:hAnsi="仿宋" w:eastAsia="仿宋"/>
          <w:b w:val="0"/>
          <w:bCs w:val="0"/>
          <w:sz w:val="32"/>
          <w:szCs w:val="32"/>
        </w:rPr>
        <w:t>（项）</w:t>
      </w:r>
      <w:r>
        <w:rPr>
          <w:rStyle w:val="20"/>
          <w:rFonts w:hint="eastAsia" w:ascii="仿宋" w:hAnsi="仿宋" w:eastAsia="仿宋"/>
          <w:b w:val="0"/>
          <w:bCs w:val="0"/>
          <w:sz w:val="32"/>
          <w:szCs w:val="32"/>
          <w:lang w:val="en-US" w:eastAsia="zh-CN"/>
        </w:rPr>
        <w:t>其他城乡社区管理事务支出</w:t>
      </w:r>
      <w:r>
        <w:rPr>
          <w:rStyle w:val="20"/>
          <w:rFonts w:ascii="仿宋" w:hAnsi="仿宋" w:eastAsia="仿宋"/>
          <w:b w:val="0"/>
          <w:bCs w:val="0"/>
          <w:sz w:val="32"/>
          <w:szCs w:val="32"/>
        </w:rPr>
        <w:t xml:space="preserve">: </w:t>
      </w:r>
      <w:r>
        <w:rPr>
          <w:rStyle w:val="20"/>
          <w:rFonts w:hint="eastAsia" w:ascii="仿宋" w:hAnsi="仿宋" w:eastAsia="仿宋"/>
          <w:b w:val="0"/>
          <w:bCs w:val="0"/>
          <w:sz w:val="32"/>
          <w:szCs w:val="32"/>
        </w:rPr>
        <w:t>支出决算为</w:t>
      </w:r>
      <w:r>
        <w:rPr>
          <w:rStyle w:val="20"/>
          <w:rFonts w:hint="eastAsia" w:ascii="仿宋" w:hAnsi="仿宋" w:eastAsia="仿宋"/>
          <w:b w:val="0"/>
          <w:bCs w:val="0"/>
          <w:sz w:val="32"/>
          <w:szCs w:val="32"/>
          <w:lang w:val="en-US" w:eastAsia="zh-CN"/>
        </w:rPr>
        <w:t>236.10</w:t>
      </w:r>
      <w:r>
        <w:rPr>
          <w:rStyle w:val="20"/>
          <w:rFonts w:hint="eastAsia" w:ascii="仿宋" w:hAnsi="仿宋" w:eastAsia="仿宋"/>
          <w:b w:val="0"/>
          <w:bCs w:val="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63.6</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部份支出由单位往年结余资金支付，未使用财政资金，决算数没包含单位自有资金支付部份</w:t>
      </w:r>
      <w:r>
        <w:rPr>
          <w:rStyle w:val="20"/>
          <w:rFonts w:hint="eastAsia" w:ascii="仿宋" w:hAnsi="仿宋" w:eastAsia="仿宋"/>
          <w:b w:val="0"/>
          <w:bCs/>
          <w:sz w:val="32"/>
          <w:szCs w:val="32"/>
        </w:rPr>
        <w:t>。</w:t>
      </w:r>
    </w:p>
    <w:p>
      <w:pPr>
        <w:tabs>
          <w:tab w:val="right" w:pos="8306"/>
        </w:tabs>
        <w:spacing w:line="600" w:lineRule="exact"/>
        <w:ind w:firstLine="640"/>
        <w:outlineLvl w:val="1"/>
        <w:rPr>
          <w:rStyle w:val="34"/>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4"/>
          <w:rFonts w:hint="eastAsia" w:ascii="黑体" w:hAnsi="黑体" w:eastAsia="黑体"/>
          <w:b w:val="0"/>
        </w:rPr>
        <w:t>般公共预算财政拨款基本支出决算情况说明</w:t>
      </w:r>
      <w:bookmarkEnd w:id="34"/>
      <w:bookmarkEnd w:id="35"/>
      <w:r>
        <w:rPr>
          <w:rStyle w:val="34"/>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236.10</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232.85</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3.25</w:t>
      </w:r>
      <w:r>
        <w:rPr>
          <w:rFonts w:hint="eastAsia" w:ascii="仿宋" w:hAnsi="仿宋" w:eastAsia="仿宋"/>
          <w:sz w:val="32"/>
          <w:szCs w:val="32"/>
        </w:rPr>
        <w:t>万元，</w:t>
      </w:r>
      <w:r>
        <w:rPr>
          <w:rFonts w:hint="eastAsia" w:ascii="仿宋" w:hAnsi="仿宋" w:eastAsia="仿宋"/>
          <w:sz w:val="32"/>
          <w:szCs w:val="32"/>
          <w:lang w:val="en-US" w:eastAsia="zh-CN"/>
        </w:rPr>
        <w:t>仅为</w:t>
      </w:r>
      <w:r>
        <w:rPr>
          <w:rFonts w:hint="eastAsia" w:ascii="仿宋" w:hAnsi="仿宋" w:eastAsia="仿宋"/>
          <w:sz w:val="32"/>
          <w:szCs w:val="32"/>
        </w:rPr>
        <w:t>公务用车运行维护费</w:t>
      </w:r>
      <w:r>
        <w:rPr>
          <w:rFonts w:hint="eastAsia" w:ascii="仿宋" w:hAnsi="仿宋" w:eastAsia="仿宋"/>
          <w:sz w:val="32"/>
          <w:szCs w:val="32"/>
          <w:lang w:val="en-US" w:eastAsia="zh-CN"/>
        </w:rPr>
        <w:t>3.25万元</w:t>
      </w:r>
      <w:r>
        <w:rPr>
          <w:rFonts w:hint="eastAsia" w:ascii="仿宋" w:hAnsi="仿宋" w:eastAsia="仿宋"/>
          <w:sz w:val="32"/>
          <w:szCs w:val="32"/>
        </w:rPr>
        <w:t>。</w:t>
      </w:r>
    </w:p>
    <w:p>
      <w:pPr>
        <w:spacing w:line="600" w:lineRule="exact"/>
        <w:ind w:firstLine="640"/>
        <w:outlineLvl w:val="1"/>
        <w:rPr>
          <w:rStyle w:val="34"/>
          <w:rFonts w:ascii="黑体" w:hAnsi="黑体" w:eastAsia="黑体"/>
          <w:b w:val="0"/>
        </w:rPr>
      </w:pPr>
      <w:bookmarkStart w:id="36" w:name="_Toc15396609"/>
      <w:bookmarkStart w:id="37" w:name="_Toc15377215"/>
      <w:r>
        <w:rPr>
          <w:rFonts w:hint="eastAsia" w:ascii="黑体" w:eastAsia="黑体"/>
          <w:sz w:val="32"/>
          <w:szCs w:val="32"/>
        </w:rPr>
        <w:t>七、</w:t>
      </w:r>
      <w:r>
        <w:rPr>
          <w:rStyle w:val="34"/>
          <w:rFonts w:hint="eastAsia" w:ascii="黑体" w:hAnsi="黑体" w:eastAsia="黑体"/>
          <w:b w:val="0"/>
        </w:rPr>
        <w:t>财政拨款</w:t>
      </w:r>
      <w:r>
        <w:rPr>
          <w:rStyle w:val="34"/>
          <w:rFonts w:hint="eastAsia" w:ascii="黑体" w:hAnsi="黑体" w:eastAsia="黑体"/>
        </w:rPr>
        <w:t>“</w:t>
      </w:r>
      <w:r>
        <w:rPr>
          <w:rStyle w:val="34"/>
          <w:rFonts w:hint="eastAsia" w:ascii="黑体" w:hAnsi="黑体" w:eastAsia="黑体"/>
          <w:b w:val="0"/>
        </w:rPr>
        <w:t>三公”经费支出决算情况说明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3.25</w:t>
      </w:r>
      <w:r>
        <w:rPr>
          <w:rFonts w:hint="eastAsia" w:ascii="仿宋" w:hAnsi="仿宋" w:eastAsia="仿宋"/>
          <w:sz w:val="32"/>
          <w:szCs w:val="32"/>
        </w:rPr>
        <w:t>万元，完成预算</w:t>
      </w:r>
      <w:r>
        <w:rPr>
          <w:rFonts w:hint="eastAsia" w:ascii="仿宋" w:hAnsi="仿宋" w:eastAsia="仿宋"/>
          <w:sz w:val="32"/>
          <w:szCs w:val="32"/>
          <w:lang w:val="en-US" w:eastAsia="zh-CN"/>
        </w:rPr>
        <w:t>53.3</w:t>
      </w:r>
      <w:r>
        <w:rPr>
          <w:rFonts w:ascii="仿宋" w:hAnsi="仿宋" w:eastAsia="仿宋"/>
          <w:sz w:val="32"/>
          <w:szCs w:val="32"/>
        </w:rPr>
        <w:t>%</w:t>
      </w:r>
      <w:r>
        <w:rPr>
          <w:rFonts w:hint="eastAsia" w:ascii="仿宋" w:hAnsi="仿宋" w:eastAsia="仿宋"/>
          <w:sz w:val="32"/>
          <w:szCs w:val="32"/>
        </w:rPr>
        <w:t>，较上年</w:t>
      </w:r>
      <w:r>
        <w:rPr>
          <w:rFonts w:hint="eastAsia" w:ascii="仿宋" w:hAnsi="仿宋" w:eastAsia="仿宋"/>
          <w:sz w:val="32"/>
          <w:szCs w:val="32"/>
          <w:lang w:val="en-US" w:eastAsia="zh-CN"/>
        </w:rPr>
        <w:t>2.24万元</w:t>
      </w:r>
      <w:r>
        <w:rPr>
          <w:rFonts w:hint="eastAsia" w:ascii="仿宋" w:hAnsi="仿宋" w:eastAsia="仿宋"/>
          <w:sz w:val="32"/>
          <w:szCs w:val="32"/>
        </w:rPr>
        <w:t>增加</w:t>
      </w:r>
      <w:r>
        <w:rPr>
          <w:rFonts w:hint="eastAsia" w:ascii="仿宋" w:hAnsi="仿宋" w:eastAsia="仿宋"/>
          <w:sz w:val="32"/>
          <w:szCs w:val="32"/>
          <w:lang w:val="en-US" w:eastAsia="zh-CN"/>
        </w:rPr>
        <w:t>1.01</w:t>
      </w:r>
      <w:r>
        <w:rPr>
          <w:rFonts w:hint="eastAsia" w:ascii="仿宋" w:hAnsi="仿宋" w:eastAsia="仿宋"/>
          <w:sz w:val="32"/>
          <w:szCs w:val="32"/>
        </w:rPr>
        <w:t>万元，增长</w:t>
      </w:r>
      <w:r>
        <w:rPr>
          <w:rFonts w:hint="eastAsia" w:ascii="仿宋" w:hAnsi="仿宋" w:eastAsia="仿宋"/>
          <w:sz w:val="32"/>
          <w:szCs w:val="32"/>
          <w:lang w:val="en-US" w:eastAsia="zh-CN"/>
        </w:rPr>
        <w:t>45</w:t>
      </w:r>
      <w:r>
        <w:rPr>
          <w:rFonts w:hint="eastAsia" w:ascii="仿宋" w:hAnsi="仿宋" w:eastAsia="仿宋"/>
          <w:sz w:val="32"/>
          <w:szCs w:val="32"/>
        </w:rPr>
        <w:t>%。决算数小于预算数的主要原因</w:t>
      </w:r>
      <w:r>
        <w:rPr>
          <w:rFonts w:hint="eastAsia" w:ascii="仿宋" w:hAnsi="仿宋" w:eastAsia="仿宋"/>
          <w:sz w:val="32"/>
          <w:szCs w:val="32"/>
          <w:lang w:val="en-US" w:eastAsia="zh-CN"/>
        </w:rPr>
        <w:t>是加强管理，厉行节约</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eastAsia="仿宋"/>
          <w:i/>
          <w:color w:val="000000"/>
          <w:sz w:val="32"/>
          <w:szCs w:val="32"/>
          <w:highlight w:val="yellow"/>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3.25</w:t>
      </w:r>
      <w:r>
        <w:rPr>
          <w:rFonts w:hint="eastAsia" w:ascii="仿宋" w:hAnsi="仿宋" w:eastAsia="仿宋"/>
          <w:sz w:val="32"/>
          <w:szCs w:val="32"/>
        </w:rPr>
        <w:t>万元，占</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。具体情况如下：</w:t>
      </w:r>
    </w:p>
    <w:p>
      <w:pPr>
        <w:rPr>
          <w:rFonts w:hint="eastAsia" w:eastAsia="仿宋"/>
          <w:lang w:eastAsia="zh-CN"/>
        </w:rPr>
      </w:pPr>
      <w:r>
        <w:rPr>
          <w:rFonts w:hint="eastAsia" w:eastAsia="仿宋"/>
          <w:lang w:eastAsia="zh-CN"/>
        </w:rPr>
        <w:drawing>
          <wp:inline distT="0" distB="0" distL="114300" distR="114300">
            <wp:extent cx="4584065" cy="2755265"/>
            <wp:effectExtent l="0" t="0" r="6985" b="6985"/>
            <wp:docPr id="11" name="图片 11"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7"/>
                    <pic:cNvPicPr>
                      <a:picLocks noChangeAspect="1"/>
                    </pic:cNvPicPr>
                  </pic:nvPicPr>
                  <pic:blipFill>
                    <a:blip r:embed="rId12"/>
                    <a:stretch>
                      <a:fillRect/>
                    </a:stretch>
                  </pic:blipFill>
                  <pic:spPr>
                    <a:xfrm>
                      <a:off x="0" y="0"/>
                      <a:ext cx="4584065" cy="2755265"/>
                    </a:xfrm>
                    <a:prstGeom prst="rect">
                      <a:avLst/>
                    </a:prstGeom>
                  </pic:spPr>
                </pic:pic>
              </a:graphicData>
            </a:graphic>
          </wp:inline>
        </w:drawing>
      </w:r>
    </w:p>
    <w:p>
      <w:pPr>
        <w:spacing w:line="600" w:lineRule="exact"/>
        <w:rPr>
          <w:rFonts w:eastAsia="仿宋"/>
          <w:i/>
          <w:color w:val="000000"/>
          <w:sz w:val="32"/>
          <w:szCs w:val="32"/>
          <w:highlight w:val="yellow"/>
        </w:rPr>
      </w:pPr>
    </w:p>
    <w:p>
      <w:pPr>
        <w:spacing w:line="600" w:lineRule="exact"/>
        <w:ind w:firstLine="640"/>
        <w:rPr>
          <w:rFonts w:eastAsia="仿宋"/>
          <w:i/>
          <w:color w:val="000000"/>
          <w:sz w:val="32"/>
          <w:szCs w:val="32"/>
          <w:highlight w:val="none"/>
        </w:rPr>
      </w:pPr>
      <w:r>
        <w:rPr>
          <w:rFonts w:eastAsia="仿宋"/>
          <w:i/>
          <w:color w:val="000000"/>
          <w:sz w:val="32"/>
          <w:szCs w:val="32"/>
          <w:highlight w:val="none"/>
        </w:rPr>
        <w:t>（图7：“三公”经费财政拨款支出结构）（饼状图）</w:t>
      </w:r>
    </w:p>
    <w:p>
      <w:pPr>
        <w:spacing w:line="600" w:lineRule="exact"/>
        <w:ind w:firstLine="640"/>
        <w:rPr>
          <w:rFonts w:eastAsia="仿宋"/>
          <w:i/>
          <w:color w:val="000000"/>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b/>
          <w:sz w:val="32"/>
          <w:szCs w:val="32"/>
          <w:lang w:val="en-US" w:eastAsia="zh-CN"/>
        </w:rPr>
        <w:t>0</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w:t>
      </w:r>
      <w:r>
        <w:rPr>
          <w:rFonts w:hint="eastAsia" w:ascii="仿宋_GB2312" w:eastAsia="仿宋_GB2312"/>
          <w:sz w:val="32"/>
          <w:szCs w:val="32"/>
          <w:lang w:val="en-US" w:eastAsia="zh-CN"/>
        </w:rPr>
        <w:t>与</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持平</w:t>
      </w:r>
      <w:r>
        <w:rPr>
          <w:rFonts w:hint="eastAsia" w:ascii="仿宋_GB2312" w:eastAsia="仿宋_GB2312"/>
          <w:sz w:val="32"/>
          <w:szCs w:val="32"/>
        </w:rPr>
        <w:t>，增长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b/>
          <w:sz w:val="32"/>
          <w:szCs w:val="32"/>
          <w:lang w:val="en-US" w:eastAsia="zh-CN"/>
        </w:rPr>
        <w:t>3.25</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54.2</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2.17万元</w:t>
      </w:r>
      <w:r>
        <w:rPr>
          <w:rFonts w:hint="eastAsia" w:ascii="仿宋_GB2312" w:eastAsia="仿宋_GB2312"/>
          <w:sz w:val="32"/>
          <w:szCs w:val="32"/>
        </w:rPr>
        <w:t>增加</w:t>
      </w:r>
      <w:r>
        <w:rPr>
          <w:rFonts w:hint="eastAsia" w:ascii="仿宋_GB2312" w:eastAsia="仿宋_GB2312"/>
          <w:sz w:val="32"/>
          <w:szCs w:val="32"/>
          <w:lang w:val="en-US" w:eastAsia="zh-CN"/>
        </w:rPr>
        <w:t>1.08</w:t>
      </w:r>
      <w:r>
        <w:rPr>
          <w:rFonts w:hint="eastAsia" w:ascii="仿宋_GB2312" w:eastAsia="仿宋_GB2312"/>
          <w:sz w:val="32"/>
          <w:szCs w:val="32"/>
        </w:rPr>
        <w:t>万元，增长</w:t>
      </w:r>
      <w:r>
        <w:rPr>
          <w:rFonts w:hint="eastAsia" w:ascii="仿宋_GB2312" w:eastAsia="仿宋_GB2312"/>
          <w:sz w:val="32"/>
          <w:szCs w:val="32"/>
          <w:lang w:val="en-US" w:eastAsia="zh-CN"/>
        </w:rPr>
        <w:t>49.8</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油价上涨，外出用车次数高于2021年</w:t>
      </w:r>
      <w:r>
        <w:rPr>
          <w:rFonts w:hint="eastAsia" w:ascii="仿宋_GB2312" w:eastAsia="仿宋_GB2312"/>
          <w:sz w:val="32"/>
          <w:szCs w:val="32"/>
        </w:rPr>
        <w:t>。</w:t>
      </w:r>
    </w:p>
    <w:p>
      <w:pPr>
        <w:spacing w:line="600" w:lineRule="exact"/>
        <w:ind w:firstLine="640"/>
        <w:rPr>
          <w:rFonts w:ascii="仿宋_GB2312" w:eastAsia="仿宋_GB2312"/>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b/>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2</w:t>
      </w:r>
      <w:r>
        <w:rPr>
          <w:rFonts w:hint="eastAsia" w:ascii="仿宋_GB2312" w:eastAsia="仿宋_GB2312"/>
          <w:sz w:val="32"/>
          <w:szCs w:val="32"/>
        </w:rPr>
        <w:t>辆，其中：</w:t>
      </w:r>
      <w:r>
        <w:rPr>
          <w:rFonts w:hint="eastAsia" w:ascii="仿宋_GB2312" w:eastAsia="仿宋_GB2312"/>
          <w:color w:val="auto"/>
          <w:sz w:val="32"/>
          <w:szCs w:val="32"/>
        </w:rPr>
        <w:t>轿车</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辆、越野车</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辆、</w:t>
      </w:r>
      <w:r>
        <w:rPr>
          <w:rFonts w:hint="eastAsia" w:ascii="仿宋_GB2312" w:eastAsia="仿宋_GB2312"/>
          <w:sz w:val="32"/>
          <w:szCs w:val="32"/>
        </w:rPr>
        <w:t>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b/>
          <w:sz w:val="32"/>
          <w:szCs w:val="32"/>
          <w:lang w:val="en-US" w:eastAsia="zh-CN"/>
        </w:rPr>
        <w:t>3.25</w:t>
      </w:r>
      <w:r>
        <w:rPr>
          <w:rFonts w:hint="eastAsia" w:ascii="仿宋_GB2312" w:eastAsia="仿宋_GB2312"/>
          <w:sz w:val="32"/>
          <w:szCs w:val="32"/>
        </w:rPr>
        <w:t>万元。主要用于</w:t>
      </w:r>
      <w:r>
        <w:rPr>
          <w:rFonts w:hint="eastAsia" w:ascii="仿宋_GB2312" w:eastAsia="仿宋_GB2312"/>
          <w:sz w:val="32"/>
          <w:szCs w:val="32"/>
          <w:lang w:val="en-US" w:eastAsia="zh-CN"/>
        </w:rPr>
        <w:t>老旧小区改造，危房鉴定，白蚁防治</w:t>
      </w:r>
      <w:r>
        <w:rPr>
          <w:rFonts w:hint="eastAsia" w:ascii="仿宋_GB2312" w:eastAsia="仿宋_GB2312"/>
          <w:sz w:val="32"/>
          <w:szCs w:val="32"/>
        </w:rPr>
        <w:t>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b/>
          <w:sz w:val="32"/>
          <w:szCs w:val="32"/>
          <w:lang w:val="en-US" w:eastAsia="zh-CN"/>
        </w:rPr>
        <w:t>0</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0.07万元</w:t>
      </w:r>
      <w:r>
        <w:rPr>
          <w:rFonts w:hint="eastAsia" w:ascii="仿宋_GB2312" w:eastAsia="仿宋_GB2312"/>
          <w:sz w:val="32"/>
          <w:szCs w:val="32"/>
        </w:rPr>
        <w:t>减少</w:t>
      </w:r>
      <w:r>
        <w:rPr>
          <w:rFonts w:hint="eastAsia" w:ascii="仿宋_GB2312" w:eastAsia="仿宋_GB2312"/>
          <w:sz w:val="32"/>
          <w:szCs w:val="32"/>
          <w:lang w:val="en-US" w:eastAsia="zh-CN"/>
        </w:rPr>
        <w:t>0.07</w:t>
      </w:r>
      <w:r>
        <w:rPr>
          <w:rFonts w:hint="eastAsia" w:ascii="仿宋_GB2312" w:eastAsia="仿宋_GB2312"/>
          <w:sz w:val="32"/>
          <w:szCs w:val="32"/>
        </w:rPr>
        <w:t>万元，下降</w:t>
      </w:r>
      <w:r>
        <w:rPr>
          <w:rFonts w:hint="eastAsia" w:ascii="仿宋_GB2312" w:eastAsia="仿宋_GB2312"/>
          <w:sz w:val="32"/>
          <w:szCs w:val="32"/>
          <w:lang w:val="en-US" w:eastAsia="zh-CN"/>
        </w:rPr>
        <w:t>100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hint="eastAsia" w:ascii="仿宋_GB2312" w:eastAsia="仿宋_GB2312"/>
          <w:sz w:val="32"/>
          <w:szCs w:val="32"/>
          <w:lang w:eastAsia="zh-CN"/>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w:t>
      </w:r>
      <w:r>
        <w:rPr>
          <w:rFonts w:hint="eastAsia" w:ascii="仿宋_GB2312" w:eastAsia="仿宋_GB2312"/>
          <w:sz w:val="32"/>
          <w:szCs w:val="32"/>
        </w:rPr>
        <w:t>万元，国内公务接待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人次，共计支出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3" w:firstLineChars="200"/>
        <w:rPr>
          <w:rFonts w:ascii="黑体" w:eastAsia="黑体"/>
          <w:sz w:val="32"/>
          <w:szCs w:val="32"/>
        </w:rPr>
      </w:pPr>
      <w:r>
        <w:rPr>
          <w:rFonts w:hint="eastAsia" w:ascii="仿宋" w:hAnsi="仿宋" w:eastAsia="仿宋"/>
          <w:b/>
          <w:sz w:val="32"/>
          <w:szCs w:val="32"/>
        </w:rPr>
        <w:t>外事接待支出</w:t>
      </w:r>
      <w:r>
        <w:rPr>
          <w:rFonts w:hint="eastAsia" w:ascii="仿宋" w:hAnsi="仿宋" w:eastAsia="仿宋"/>
          <w:b/>
          <w:sz w:val="32"/>
          <w:szCs w:val="32"/>
          <w:lang w:val="en-US" w:eastAsia="zh-CN"/>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人次，共计支出</w:t>
      </w:r>
      <w:r>
        <w:rPr>
          <w:rFonts w:hint="eastAsia" w:ascii="仿宋_GB2312" w:eastAsia="仿宋_GB2312"/>
          <w:sz w:val="32"/>
          <w:szCs w:val="32"/>
          <w:lang w:val="en-US" w:eastAsia="zh-CN"/>
        </w:rPr>
        <w:t>0</w:t>
      </w:r>
      <w:r>
        <w:rPr>
          <w:rFonts w:hint="eastAsia" w:ascii="仿宋_GB2312" w:eastAsia="仿宋_GB2312"/>
          <w:sz w:val="32"/>
          <w:szCs w:val="32"/>
        </w:rPr>
        <w:t>万元。</w:t>
      </w:r>
      <w:bookmarkStart w:id="40" w:name="_Toc15396610"/>
      <w:bookmarkStart w:id="41" w:name="_Toc15377218"/>
    </w:p>
    <w:p>
      <w:pPr>
        <w:spacing w:line="600" w:lineRule="exact"/>
        <w:ind w:firstLine="640"/>
        <w:outlineLvl w:val="1"/>
        <w:rPr>
          <w:rStyle w:val="34"/>
          <w:rFonts w:ascii="黑体" w:hAnsi="黑体" w:eastAsia="黑体"/>
        </w:rPr>
      </w:pPr>
      <w:r>
        <w:rPr>
          <w:rFonts w:hint="eastAsia" w:ascii="黑体" w:eastAsia="黑体"/>
          <w:sz w:val="32"/>
          <w:szCs w:val="32"/>
        </w:rPr>
        <w:t>八、</w:t>
      </w:r>
      <w:r>
        <w:rPr>
          <w:rStyle w:val="34"/>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3262.63</w:t>
      </w:r>
      <w:r>
        <w:rPr>
          <w:rFonts w:hint="eastAsia" w:ascii="仿宋_GB2312" w:eastAsia="仿宋_GB2312"/>
          <w:sz w:val="32"/>
          <w:szCs w:val="32"/>
        </w:rPr>
        <w:t>万元。</w:t>
      </w:r>
    </w:p>
    <w:p>
      <w:pPr>
        <w:numPr>
          <w:ilvl w:val="0"/>
          <w:numId w:val="3"/>
        </w:numPr>
        <w:spacing w:line="600" w:lineRule="exact"/>
        <w:ind w:firstLine="640"/>
        <w:outlineLvl w:val="1"/>
        <w:rPr>
          <w:rStyle w:val="34"/>
          <w:rFonts w:ascii="黑体" w:hAnsi="黑体" w:eastAsia="黑体"/>
          <w:b w:val="0"/>
        </w:rPr>
      </w:pPr>
      <w:bookmarkStart w:id="42" w:name="_Toc15396611"/>
      <w:bookmarkStart w:id="43" w:name="_Toc15377219"/>
      <w:r>
        <w:rPr>
          <w:rStyle w:val="34"/>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4"/>
          <w:rFonts w:ascii="黑体" w:hAnsi="黑体" w:eastAsia="黑体"/>
          <w:b w:val="0"/>
        </w:rPr>
      </w:pPr>
      <w:bookmarkStart w:id="44" w:name="_Toc15396612"/>
      <w:bookmarkStart w:id="45" w:name="_Toc15377221"/>
      <w:r>
        <w:rPr>
          <w:rStyle w:val="34"/>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ascii="仿宋" w:hAnsi="仿宋" w:eastAsia="仿宋"/>
          <w:b/>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本单位</w:t>
      </w:r>
      <w:r>
        <w:rPr>
          <w:rFonts w:hint="eastAsia" w:ascii="仿宋_GB2312" w:eastAsia="仿宋_GB2312"/>
          <w:sz w:val="32"/>
          <w:szCs w:val="32"/>
        </w:rPr>
        <w:t>机关运行经费支出</w:t>
      </w:r>
      <w:r>
        <w:rPr>
          <w:rFonts w:hint="eastAsia" w:ascii="仿宋_GB2312" w:eastAsia="仿宋_GB2312"/>
          <w:sz w:val="32"/>
          <w:szCs w:val="32"/>
          <w:lang w:val="en-US" w:eastAsia="zh-CN"/>
        </w:rPr>
        <w:t>3.25</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29.13万元</w:t>
      </w:r>
      <w:r>
        <w:rPr>
          <w:rFonts w:hint="eastAsia" w:ascii="仿宋_GB2312" w:eastAsia="仿宋_GB2312"/>
          <w:sz w:val="32"/>
          <w:szCs w:val="32"/>
        </w:rPr>
        <w:t>减少</w:t>
      </w:r>
      <w:r>
        <w:rPr>
          <w:rFonts w:hint="eastAsia" w:ascii="仿宋_GB2312" w:eastAsia="仿宋_GB2312"/>
          <w:sz w:val="32"/>
          <w:szCs w:val="32"/>
          <w:lang w:val="en-US" w:eastAsia="zh-CN"/>
        </w:rPr>
        <w:t>25.88</w:t>
      </w:r>
      <w:r>
        <w:rPr>
          <w:rFonts w:hint="eastAsia" w:ascii="仿宋_GB2312" w:eastAsia="仿宋_GB2312"/>
          <w:sz w:val="32"/>
          <w:szCs w:val="32"/>
        </w:rPr>
        <w:t>万元，下降</w:t>
      </w:r>
      <w:r>
        <w:rPr>
          <w:rFonts w:hint="eastAsia" w:ascii="仿宋_GB2312" w:eastAsia="仿宋_GB2312"/>
          <w:sz w:val="32"/>
          <w:szCs w:val="32"/>
          <w:lang w:val="en-US" w:eastAsia="zh-CN"/>
        </w:rPr>
        <w:t>88.8</w:t>
      </w:r>
      <w:r>
        <w:rPr>
          <w:rFonts w:ascii="仿宋_GB2312" w:eastAsia="仿宋_GB2312"/>
          <w:sz w:val="32"/>
          <w:szCs w:val="32"/>
        </w:rPr>
        <w:t>%</w:t>
      </w:r>
      <w:r>
        <w:rPr>
          <w:rFonts w:hint="eastAsia" w:ascii="仿宋_GB2312" w:eastAsia="仿宋_GB2312"/>
          <w:sz w:val="32"/>
          <w:szCs w:val="32"/>
        </w:rPr>
        <w:t>（或与</w:t>
      </w:r>
      <w:r>
        <w:rPr>
          <w:rFonts w:ascii="仿宋_GB2312" w:eastAsia="仿宋_GB2312"/>
          <w:sz w:val="32"/>
          <w:szCs w:val="32"/>
        </w:rPr>
        <w:t>20</w:t>
      </w:r>
      <w:r>
        <w:rPr>
          <w:rFonts w:hint="eastAsia" w:ascii="仿宋_GB2312" w:eastAsia="仿宋_GB2312"/>
          <w:sz w:val="32"/>
          <w:szCs w:val="32"/>
        </w:rPr>
        <w:t>21年决算数持平）。主要原因是</w:t>
      </w:r>
      <w:r>
        <w:rPr>
          <w:rFonts w:hint="eastAsia" w:ascii="仿宋_GB2312" w:eastAsia="仿宋_GB2312"/>
          <w:sz w:val="32"/>
          <w:szCs w:val="32"/>
          <w:lang w:val="en-US" w:eastAsia="zh-CN"/>
        </w:rPr>
        <w:t>机关运行经费大部份用单位往年结余资金支付，未使用财政资金</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本单位</w:t>
      </w:r>
      <w:r>
        <w:rPr>
          <w:rFonts w:hint="eastAsia" w:ascii="仿宋_GB2312" w:eastAsia="仿宋_GB2312"/>
          <w:sz w:val="32"/>
          <w:szCs w:val="32"/>
        </w:rPr>
        <w:t>共有车辆</w:t>
      </w:r>
      <w:r>
        <w:rPr>
          <w:rFonts w:hint="eastAsia" w:ascii="仿宋_GB2312" w:eastAsia="仿宋_GB2312"/>
          <w:sz w:val="32"/>
          <w:szCs w:val="32"/>
          <w:lang w:val="en-US" w:eastAsia="zh-CN"/>
        </w:rPr>
        <w:t>2</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2</w:t>
      </w:r>
      <w:r>
        <w:rPr>
          <w:rFonts w:hint="eastAsia" w:ascii="仿宋_GB2312" w:eastAsia="仿宋_GB2312"/>
          <w:sz w:val="32"/>
          <w:szCs w:val="32"/>
        </w:rPr>
        <w:t>辆，其他用车主要是用于</w:t>
      </w:r>
      <w:r>
        <w:rPr>
          <w:rFonts w:hint="eastAsia" w:ascii="仿宋_GB2312" w:eastAsia="仿宋_GB2312"/>
          <w:sz w:val="32"/>
          <w:szCs w:val="32"/>
          <w:lang w:val="en-US" w:eastAsia="zh-CN"/>
        </w:rPr>
        <w:t>单位业务用车</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因我单位属住建局下属机构，未纳入年度预算绩效管理工作考核部门，故未单独形成部门整体绩效报告，由住建局汇总我单位情况统一形成部门整体绩效报告。</w:t>
      </w:r>
    </w:p>
    <w:p>
      <w:pPr>
        <w:spacing w:line="580" w:lineRule="exact"/>
        <w:ind w:firstLine="640" w:firstLineChars="200"/>
        <w:rPr>
          <w:rFonts w:hint="eastAsia" w:ascii="仿宋" w:hAnsi="仿宋" w:eastAsia="仿宋" w:cs="仿宋"/>
          <w:sz w:val="32"/>
        </w:rPr>
      </w:pPr>
      <w:r>
        <w:rPr>
          <w:rFonts w:hint="eastAsia" w:ascii="仿宋_GB2312" w:hAnsi="仿宋_GB2312" w:eastAsia="仿宋_GB2312" w:cs="仿宋_GB2312"/>
          <w:sz w:val="32"/>
          <w:szCs w:val="32"/>
        </w:rPr>
        <w:t>根据预算绩效管理要求，本部门在2022年度对</w:t>
      </w:r>
      <w:r>
        <w:rPr>
          <w:rFonts w:hint="eastAsia" w:ascii="仿宋_GB2312" w:hAnsi="仿宋_GB2312" w:eastAsia="仿宋_GB2312" w:cs="仿宋_GB2312"/>
          <w:sz w:val="32"/>
          <w:szCs w:val="32"/>
          <w:lang w:val="en-US" w:eastAsia="zh-CN"/>
        </w:rPr>
        <w:t>房交会补贴，既有</w:t>
      </w:r>
      <w:r>
        <w:rPr>
          <w:rFonts w:hint="eastAsia" w:ascii="仿宋_GB2312" w:hAnsi="仿宋_GB2312" w:eastAsia="仿宋_GB2312" w:cs="仿宋_GB2312"/>
          <w:color w:val="auto"/>
          <w:sz w:val="32"/>
          <w:szCs w:val="32"/>
          <w:lang w:val="en-US" w:eastAsia="zh-CN"/>
        </w:rPr>
        <w:t>住宅</w:t>
      </w:r>
      <w:r>
        <w:rPr>
          <w:rFonts w:hint="eastAsia" w:ascii="仿宋_GB2312" w:hAnsi="仿宋_GB2312" w:eastAsia="仿宋_GB2312" w:cs="仿宋_GB2312"/>
          <w:sz w:val="32"/>
          <w:szCs w:val="32"/>
          <w:lang w:val="en-US" w:eastAsia="zh-CN"/>
        </w:rPr>
        <w:t>电梯加装，老旧小区改造，华博苑安置房</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个项目编制了绩效目标，</w:t>
      </w:r>
      <w:r>
        <w:rPr>
          <w:rFonts w:hint="eastAsia" w:ascii="仿宋_GB2312" w:hAnsi="仿宋_GB2312" w:eastAsia="仿宋_GB2312" w:cs="仿宋_GB2312"/>
          <w:sz w:val="32"/>
          <w:szCs w:val="32"/>
          <w:lang w:val="en-US" w:eastAsia="zh-CN"/>
        </w:rPr>
        <w:t>将绩效目标作为预算安排的前置条件，提升资金效益，</w:t>
      </w:r>
      <w:r>
        <w:rPr>
          <w:rFonts w:hint="eastAsia" w:ascii="仿宋_GB2312" w:hAnsi="仿宋_GB2312" w:eastAsia="仿宋_GB2312" w:cs="仿宋_GB2312"/>
          <w:sz w:val="32"/>
          <w:szCs w:val="32"/>
        </w:rPr>
        <w:t>预算执行过程中，开展绩效监控</w:t>
      </w:r>
      <w:r>
        <w:rPr>
          <w:rFonts w:hint="eastAsia" w:ascii="仿宋_GB2312" w:hAnsi="仿宋_GB2312" w:eastAsia="仿宋_GB2312" w:cs="仿宋_GB2312"/>
          <w:sz w:val="32"/>
          <w:szCs w:val="32"/>
          <w:lang w:eastAsia="zh-CN"/>
        </w:rPr>
        <w:t>，</w:t>
      </w:r>
      <w:r>
        <w:rPr>
          <w:rFonts w:hint="eastAsia" w:ascii="仿宋" w:hAnsi="仿宋" w:eastAsia="仿宋" w:cs="仿宋"/>
          <w:sz w:val="32"/>
        </w:rPr>
        <w:t>在日常预算绩效监控的基础上，对绩效信息进行收集、审核、分析、汇总、填报，分析偏离绩效目标的原因，并及时采取纠偏措施。</w:t>
      </w:r>
    </w:p>
    <w:p>
      <w:pPr>
        <w:autoSpaceDE w:val="0"/>
        <w:autoSpaceDN w:val="0"/>
        <w:adjustRightInd w:val="0"/>
        <w:spacing w:line="600" w:lineRule="exact"/>
        <w:ind w:firstLine="640" w:firstLineChars="200"/>
        <w:jc w:val="left"/>
        <w:rPr>
          <w:rFonts w:eastAsia="仿宋_GB2312"/>
          <w:iCs/>
          <w:sz w:val="32"/>
          <w:szCs w:val="32"/>
          <w:highlight w:val="yellow"/>
        </w:rPr>
      </w:pPr>
      <w:r>
        <w:rPr>
          <w:rFonts w:hint="eastAsia" w:ascii="仿宋_GB2312" w:hAnsi="仿宋_GB2312" w:eastAsia="仿宋_GB2312" w:cs="仿宋_GB2312"/>
          <w:sz w:val="32"/>
          <w:szCs w:val="32"/>
        </w:rPr>
        <w:t>2022年度组织对</w:t>
      </w:r>
      <w:r>
        <w:rPr>
          <w:rFonts w:hint="eastAsia" w:ascii="仿宋_GB2312" w:hAnsi="仿宋_GB2312" w:eastAsia="仿宋_GB2312" w:cs="仿宋_GB2312"/>
          <w:sz w:val="32"/>
          <w:szCs w:val="32"/>
          <w:lang w:val="en-US" w:eastAsia="zh-CN"/>
        </w:rPr>
        <w:t>50万元以上项目，如既有</w:t>
      </w:r>
      <w:r>
        <w:rPr>
          <w:rFonts w:hint="eastAsia" w:ascii="仿宋_GB2312" w:hAnsi="仿宋_GB2312" w:eastAsia="仿宋_GB2312" w:cs="仿宋_GB2312"/>
          <w:color w:val="auto"/>
          <w:sz w:val="32"/>
          <w:szCs w:val="32"/>
          <w:lang w:val="en-US" w:eastAsia="zh-CN"/>
        </w:rPr>
        <w:t>住宅</w:t>
      </w:r>
      <w:r>
        <w:rPr>
          <w:rFonts w:hint="eastAsia" w:ascii="仿宋_GB2312" w:hAnsi="仿宋_GB2312" w:eastAsia="仿宋_GB2312" w:cs="仿宋_GB2312"/>
          <w:sz w:val="32"/>
          <w:szCs w:val="32"/>
          <w:lang w:val="en-US" w:eastAsia="zh-CN"/>
        </w:rPr>
        <w:t>电梯加装，保障性安居工程</w:t>
      </w:r>
      <w:r>
        <w:rPr>
          <w:rFonts w:hint="eastAsia" w:ascii="仿宋_GB2312" w:hAnsi="仿宋_GB2312" w:eastAsia="仿宋_GB2312" w:cs="仿宋_GB2312"/>
          <w:sz w:val="32"/>
          <w:szCs w:val="32"/>
        </w:rPr>
        <w:t>开展绩效自评，形成绩效自评报告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绩效自评报告详见附件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bookmarkStart w:id="49" w:name="_Hlk113349417"/>
    </w:p>
    <w:bookmarkEnd w:id="49"/>
    <w:p>
      <w:pPr>
        <w:widowControl/>
        <w:ind w:firstLine="643" w:firstLineChars="200"/>
        <w:jc w:val="left"/>
        <w:rPr>
          <w:rFonts w:ascii="仿宋_GB2312" w:eastAsia="仿宋_GB2312"/>
          <w:b/>
          <w:sz w:val="32"/>
          <w:szCs w:val="32"/>
        </w:rPr>
      </w:pPr>
      <w:r>
        <w:rPr>
          <w:rFonts w:ascii="仿宋_GB2312" w:eastAsia="仿宋_GB2312"/>
          <w:b/>
          <w:sz w:val="32"/>
          <w:szCs w:val="32"/>
        </w:rPr>
        <w:br w:type="page"/>
      </w:r>
    </w:p>
    <w:p>
      <w:pPr>
        <w:pStyle w:val="8"/>
        <w:spacing w:before="93"/>
      </w:pPr>
    </w:p>
    <w:p>
      <w:pPr>
        <w:numPr>
          <w:ilvl w:val="0"/>
          <w:numId w:val="4"/>
        </w:numPr>
        <w:spacing w:line="600" w:lineRule="exact"/>
        <w:ind w:firstLine="660" w:firstLineChars="150"/>
        <w:jc w:val="center"/>
        <w:outlineLvl w:val="0"/>
        <w:rPr>
          <w:rStyle w:val="33"/>
          <w:rFonts w:ascii="黑体" w:hAnsi="黑体" w:eastAsia="黑体"/>
          <w:b w:val="0"/>
        </w:rPr>
      </w:pPr>
      <w:bookmarkStart w:id="50" w:name="_Toc15377225"/>
      <w:bookmarkStart w:id="51" w:name="_Toc15396613"/>
      <w:r>
        <w:rPr>
          <w:rFonts w:hint="eastAsia" w:ascii="黑体" w:hAnsi="黑体" w:eastAsia="黑体"/>
          <w:sz w:val="44"/>
          <w:szCs w:val="44"/>
        </w:rPr>
        <w:t>名</w:t>
      </w:r>
      <w:r>
        <w:rPr>
          <w:rStyle w:val="33"/>
          <w:rFonts w:hint="eastAsia" w:ascii="黑体" w:hAnsi="黑体" w:eastAsia="黑体"/>
          <w:b w:val="0"/>
        </w:rPr>
        <w:t>词解释</w:t>
      </w:r>
      <w:bookmarkEnd w:id="50"/>
      <w:bookmarkEnd w:id="51"/>
    </w:p>
    <w:p>
      <w:pPr>
        <w:spacing w:line="600" w:lineRule="exact"/>
        <w:jc w:val="left"/>
        <w:rPr>
          <w:rFonts w:ascii="宋体"/>
          <w:b/>
          <w:sz w:val="44"/>
          <w:szCs w:val="44"/>
        </w:rPr>
      </w:pP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经营收入：指事业单位在专业业务活动及其辅助活动之外开展非独立核算经营活动取得的收入等。</w:t>
      </w: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w:t>
      </w:r>
      <w:r>
        <w:rPr>
          <w:rFonts w:hint="eastAsia" w:ascii="仿宋_GB2312" w:eastAsia="仿宋_GB2312"/>
          <w:color w:val="auto"/>
          <w:sz w:val="32"/>
          <w:szCs w:val="32"/>
          <w:lang w:val="en-US" w:eastAsia="zh-CN"/>
        </w:rPr>
        <w:t>利息</w:t>
      </w:r>
      <w:r>
        <w:rPr>
          <w:rFonts w:hint="eastAsia" w:ascii="仿宋_GB2312" w:eastAsia="仿宋_GB2312"/>
          <w:color w:val="auto"/>
          <w:sz w:val="32"/>
          <w:szCs w:val="32"/>
        </w:rPr>
        <w:t>收入等。</w:t>
      </w:r>
      <w:r>
        <w:rPr>
          <w:rFonts w:ascii="仿宋_GB2312" w:eastAsia="仿宋_GB2312"/>
          <w:color w:val="auto"/>
          <w:sz w:val="32"/>
          <w:szCs w:val="32"/>
        </w:rPr>
        <w:t xml:space="preserve"> </w:t>
      </w: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31"/>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spacing w:line="360" w:lineRule="auto"/>
        <w:ind w:firstLine="640" w:firstLineChars="200"/>
        <w:rPr>
          <w:rFonts w:hint="eastAsia" w:ascii="仿宋" w:hAnsi="仿宋" w:eastAsia="仿宋" w:cs="仿宋"/>
          <w:sz w:val="32"/>
          <w:szCs w:val="32"/>
        </w:rPr>
      </w:pPr>
      <w:r>
        <w:rPr>
          <w:rFonts w:ascii="仿宋_GB2312" w:eastAsia="仿宋_GB2312"/>
          <w:sz w:val="32"/>
          <w:szCs w:val="32"/>
        </w:rPr>
        <w:t>9.</w:t>
      </w:r>
      <w:r>
        <w:rPr>
          <w:rFonts w:hint="eastAsia" w:ascii="仿宋_GB2312" w:eastAsia="仿宋_GB2312"/>
          <w:sz w:val="32"/>
          <w:szCs w:val="32"/>
        </w:rPr>
        <w:t>一般公共服务：</w:t>
      </w:r>
      <w:r>
        <w:rPr>
          <w:rFonts w:hint="eastAsia" w:ascii="仿宋_GB2312" w:eastAsia="仿宋_GB2312"/>
          <w:sz w:val="32"/>
          <w:szCs w:val="32"/>
          <w:lang w:val="en-US" w:eastAsia="zh-CN"/>
        </w:rPr>
        <w:t>反映提供一般公共服务支出。主要是</w:t>
      </w:r>
      <w:r>
        <w:rPr>
          <w:rFonts w:hint="eastAsia" w:ascii="仿宋" w:hAnsi="仿宋" w:eastAsia="仿宋" w:cs="仿宋"/>
          <w:sz w:val="32"/>
          <w:szCs w:val="32"/>
          <w:lang w:val="en-US" w:eastAsia="zh-CN"/>
        </w:rPr>
        <w:t>为</w:t>
      </w:r>
      <w:r>
        <w:rPr>
          <w:rFonts w:hint="eastAsia" w:ascii="仿宋" w:hAnsi="仿宋" w:eastAsia="仿宋" w:cs="仿宋"/>
          <w:sz w:val="32"/>
          <w:szCs w:val="32"/>
        </w:rPr>
        <w:t>本单位正常运行提供服务的基本支出。</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城乡社区（类）</w:t>
      </w:r>
      <w:r>
        <w:rPr>
          <w:rFonts w:hint="eastAsia" w:ascii="仿宋_GB2312" w:eastAsia="仿宋_GB2312"/>
          <w:sz w:val="32"/>
          <w:szCs w:val="32"/>
          <w:lang w:val="en-US" w:eastAsia="zh-CN"/>
        </w:rPr>
        <w:t>212城乡社区支出</w:t>
      </w:r>
      <w:r>
        <w:rPr>
          <w:rFonts w:hint="eastAsia" w:ascii="仿宋_GB2312" w:eastAsia="仿宋_GB2312"/>
          <w:sz w:val="32"/>
          <w:szCs w:val="32"/>
        </w:rPr>
        <w:t>（款）</w:t>
      </w:r>
      <w:r>
        <w:rPr>
          <w:rFonts w:hint="eastAsia" w:ascii="仿宋_GB2312" w:eastAsia="仿宋_GB2312"/>
          <w:sz w:val="32"/>
          <w:szCs w:val="32"/>
          <w:lang w:val="en-US" w:eastAsia="zh-CN"/>
        </w:rPr>
        <w:t>09城乡社区管理事务</w:t>
      </w:r>
      <w:r>
        <w:rPr>
          <w:rFonts w:hint="eastAsia" w:ascii="仿宋_GB2312" w:eastAsia="仿宋_GB2312"/>
          <w:sz w:val="32"/>
          <w:szCs w:val="32"/>
        </w:rPr>
        <w:t>（项）</w:t>
      </w:r>
      <w:r>
        <w:rPr>
          <w:rFonts w:hint="eastAsia" w:ascii="仿宋_GB2312" w:eastAsia="仿宋_GB2312"/>
          <w:sz w:val="32"/>
          <w:szCs w:val="32"/>
          <w:lang w:val="en-US" w:eastAsia="zh-CN"/>
        </w:rPr>
        <w:t>99其他城乡社区管理事务支出</w:t>
      </w:r>
      <w:r>
        <w:rPr>
          <w:rFonts w:hint="eastAsia" w:ascii="仿宋_GB2312" w:eastAsia="仿宋_GB2312"/>
          <w:sz w:val="32"/>
          <w:szCs w:val="32"/>
        </w:rPr>
        <w:t>：指</w:t>
      </w:r>
      <w:r>
        <w:rPr>
          <w:rFonts w:hint="eastAsia" w:ascii="仿宋_GB2312" w:eastAsia="仿宋_GB2312"/>
          <w:sz w:val="32"/>
          <w:szCs w:val="32"/>
          <w:lang w:val="en-US" w:eastAsia="zh-CN"/>
        </w:rPr>
        <w:t>用于其他城乡社区管理方面的支出</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lang w:val="en-US" w:eastAsia="zh-CN"/>
        </w:rPr>
        <w:t>11</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12</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31"/>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14</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1"/>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15</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883" w:firstLineChars="200"/>
        <w:rPr>
          <w:rFonts w:ascii="仿宋_GB2312" w:eastAsia="仿宋_GB2312"/>
          <w:sz w:val="32"/>
          <w:szCs w:val="32"/>
        </w:rPr>
      </w:pPr>
      <w:r>
        <w:rPr>
          <w:rFonts w:ascii="宋体"/>
          <w:b/>
          <w:sz w:val="44"/>
          <w:szCs w:val="44"/>
        </w:rPr>
        <w:br w:type="page"/>
      </w:r>
    </w:p>
    <w:p>
      <w:pPr>
        <w:spacing w:line="600" w:lineRule="exact"/>
        <w:jc w:val="center"/>
        <w:outlineLvl w:val="0"/>
        <w:rPr>
          <w:rStyle w:val="33"/>
          <w:rFonts w:ascii="黑体" w:hAnsi="黑体" w:eastAsia="黑体"/>
          <w:b w:val="0"/>
        </w:rPr>
      </w:pPr>
      <w:bookmarkStart w:id="52" w:name="_Toc15396614"/>
      <w:bookmarkStart w:id="53" w:name="_Toc15377226"/>
      <w:r>
        <w:rPr>
          <w:rFonts w:hint="eastAsia" w:ascii="黑体" w:hAnsi="黑体" w:eastAsia="黑体"/>
          <w:sz w:val="44"/>
          <w:szCs w:val="44"/>
        </w:rPr>
        <w:t>第</w:t>
      </w:r>
      <w:r>
        <w:rPr>
          <w:rStyle w:val="33"/>
          <w:rFonts w:hint="eastAsia" w:ascii="黑体" w:hAnsi="黑体" w:eastAsia="黑体"/>
          <w:b w:val="0"/>
        </w:rPr>
        <w:t>四部分 附件</w:t>
      </w:r>
      <w:bookmarkEnd w:id="52"/>
    </w:p>
    <w:p>
      <w:pPr>
        <w:spacing w:line="572" w:lineRule="exact"/>
        <w:jc w:val="left"/>
        <w:outlineLvl w:val="0"/>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pPr>
        <w:pStyle w:val="39"/>
        <w:spacing w:line="600" w:lineRule="exact"/>
        <w:ind w:left="1318" w:leftChars="418" w:hanging="440" w:hangingChars="100"/>
        <w:jc w:val="both"/>
        <w:rPr>
          <w:rFonts w:hint="eastAsia" w:ascii="方正小标宋简体" w:hAnsi="方正小标宋简体" w:eastAsia="方正小标宋简体" w:cs="方正小标宋简体"/>
          <w:color w:val="auto"/>
          <w:kern w:val="2"/>
          <w:sz w:val="44"/>
          <w:szCs w:val="44"/>
          <w:lang w:val="en-US"/>
        </w:rPr>
      </w:pPr>
      <w:bookmarkStart w:id="54" w:name="_Hlk124864034"/>
      <w:r>
        <w:rPr>
          <w:rFonts w:hint="eastAsia" w:ascii="方正小标宋简体" w:hAnsi="方正小标宋简体" w:eastAsia="方正小标宋简体" w:cs="方正小标宋简体"/>
          <w:color w:val="auto"/>
          <w:kern w:val="2"/>
          <w:sz w:val="44"/>
          <w:szCs w:val="44"/>
          <w:lang w:val="en-US"/>
        </w:rPr>
        <w:t>2022年度省级城乡建设发展</w:t>
      </w:r>
      <w:r>
        <w:rPr>
          <w:rFonts w:hint="eastAsia" w:ascii="方正小标宋简体" w:hAnsi="方正小标宋简体" w:eastAsia="方正小标宋简体" w:cs="方正小标宋简体"/>
          <w:color w:val="auto"/>
          <w:kern w:val="2"/>
          <w:sz w:val="44"/>
          <w:szCs w:val="44"/>
        </w:rPr>
        <w:t>专项资</w:t>
      </w:r>
      <w:r>
        <w:rPr>
          <w:rFonts w:hint="eastAsia" w:ascii="方正小标宋简体" w:hAnsi="方正小标宋简体" w:eastAsia="方正小标宋简体" w:cs="方正小标宋简体"/>
          <w:color w:val="auto"/>
          <w:kern w:val="2"/>
          <w:sz w:val="44"/>
          <w:szCs w:val="44"/>
          <w:lang w:val="en-US" w:eastAsia="zh-CN"/>
        </w:rPr>
        <w:t>金</w:t>
      </w:r>
      <w:r>
        <w:rPr>
          <w:rFonts w:hint="eastAsia" w:ascii="方正小标宋简体" w:hAnsi="方正小标宋简体" w:eastAsia="方正小标宋简体" w:cs="方正小标宋简体"/>
          <w:color w:val="auto"/>
          <w:kern w:val="2"/>
          <w:sz w:val="44"/>
          <w:szCs w:val="44"/>
        </w:rPr>
        <w:t>（</w:t>
      </w:r>
      <w:r>
        <w:rPr>
          <w:rFonts w:hint="eastAsia" w:ascii="方正小标宋简体" w:hAnsi="方正小标宋简体" w:eastAsia="方正小标宋简体" w:cs="方正小标宋简体"/>
          <w:color w:val="auto"/>
          <w:kern w:val="2"/>
          <w:sz w:val="44"/>
          <w:szCs w:val="44"/>
          <w:lang w:eastAsia="zh-CN"/>
        </w:rPr>
        <w:t>电梯增设</w:t>
      </w:r>
      <w:r>
        <w:rPr>
          <w:rFonts w:hint="eastAsia" w:ascii="方正小标宋简体" w:hAnsi="方正小标宋简体" w:eastAsia="方正小标宋简体" w:cs="方正小标宋简体"/>
          <w:color w:val="auto"/>
          <w:kern w:val="2"/>
          <w:sz w:val="44"/>
          <w:szCs w:val="44"/>
        </w:rPr>
        <w:t>方向）</w:t>
      </w:r>
      <w:r>
        <w:rPr>
          <w:rFonts w:hint="eastAsia" w:ascii="方正小标宋简体" w:hAnsi="方正小标宋简体" w:eastAsia="方正小标宋简体" w:cs="方正小标宋简体"/>
          <w:color w:val="auto"/>
          <w:kern w:val="2"/>
          <w:sz w:val="44"/>
          <w:szCs w:val="44"/>
          <w:lang w:val="en-US"/>
        </w:rPr>
        <w:t>绩效自评报告</w:t>
      </w:r>
      <w:bookmarkEnd w:id="54"/>
    </w:p>
    <w:p>
      <w:pPr>
        <w:pStyle w:val="39"/>
        <w:spacing w:line="600" w:lineRule="exact"/>
        <w:ind w:left="878" w:leftChars="418" w:firstLine="0" w:firstLineChars="0"/>
        <w:jc w:val="both"/>
        <w:rPr>
          <w:rFonts w:hint="eastAsia" w:ascii="仿宋" w:hAnsi="仿宋" w:eastAsia="仿宋" w:cs="仿宋"/>
          <w:b/>
          <w:bCs/>
          <w:sz w:val="28"/>
          <w:szCs w:val="28"/>
        </w:rPr>
      </w:pPr>
      <w:r>
        <w:rPr>
          <w:rFonts w:hint="eastAsia" w:ascii="仿宋" w:hAnsi="仿宋" w:eastAsia="仿宋" w:cs="仿宋"/>
          <w:b/>
          <w:bCs/>
          <w:sz w:val="28"/>
          <w:szCs w:val="28"/>
        </w:rPr>
        <w:t>一、概况</w:t>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（一）</w:t>
      </w:r>
      <w:r>
        <w:rPr>
          <w:rFonts w:hint="eastAsia" w:ascii="仿宋" w:hAnsi="仿宋" w:eastAsia="仿宋" w:cs="仿宋"/>
          <w:b/>
          <w:sz w:val="32"/>
          <w:szCs w:val="32"/>
        </w:rPr>
        <w:t>2022年期间，</w:t>
      </w:r>
      <w:r>
        <w:rPr>
          <w:rFonts w:hint="eastAsia" w:ascii="仿宋" w:hAnsi="仿宋" w:eastAsia="仿宋" w:cs="仿宋"/>
          <w:b/>
          <w:sz w:val="32"/>
          <w:szCs w:val="32"/>
          <w:lang w:val="zh-CN"/>
        </w:rPr>
        <w:t>本方向建设专项资金管理的基本情况。</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rPr>
        <w:t>1.</w:t>
      </w:r>
      <w:r>
        <w:rPr>
          <w:rFonts w:hint="eastAsia" w:ascii="仿宋" w:hAnsi="仿宋" w:eastAsia="仿宋" w:cs="仿宋"/>
          <w:sz w:val="32"/>
          <w:szCs w:val="32"/>
          <w:lang w:eastAsia="zh-CN"/>
        </w:rPr>
        <w:t>按照四川省住房和城乡建设厅关于《关于做好</w:t>
      </w:r>
      <w:r>
        <w:rPr>
          <w:rFonts w:hint="eastAsia" w:ascii="仿宋" w:hAnsi="仿宋" w:eastAsia="仿宋" w:cs="仿宋"/>
          <w:sz w:val="32"/>
          <w:szCs w:val="32"/>
          <w:lang w:val="en-US" w:eastAsia="zh-CN"/>
        </w:rPr>
        <w:t>2022年度城乡建设发展专项资金支持既有住宅电梯增设安排有关事项的通知》</w:t>
      </w:r>
      <w:r>
        <w:rPr>
          <w:rFonts w:hint="eastAsia" w:ascii="仿宋" w:hAnsi="仿宋" w:eastAsia="仿宋" w:cs="仿宋"/>
          <w:sz w:val="32"/>
          <w:szCs w:val="32"/>
          <w:lang w:val="zh-CN" w:eastAsia="zh-CN"/>
        </w:rPr>
        <w:t>要求，我县加强绩效管理，提高资金使用效益、效率，确保项目顺利实施。严格执行审核，及时报账，上级补助建设专项资金由县财政统一管理，根据工程完工情况申请，县财政按程序审核后拨付</w:t>
      </w:r>
      <w:r>
        <w:rPr>
          <w:rFonts w:hint="eastAsia" w:ascii="仿宋" w:hAnsi="仿宋" w:eastAsia="仿宋" w:cs="仿宋"/>
          <w:sz w:val="32"/>
          <w:szCs w:val="32"/>
          <w:lang w:val="zh-CN"/>
        </w:rPr>
        <w:t>。</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rPr>
        <w:t>2.</w:t>
      </w:r>
      <w:r>
        <w:rPr>
          <w:rFonts w:hint="eastAsia" w:ascii="仿宋" w:hAnsi="仿宋" w:eastAsia="仿宋" w:cs="仿宋"/>
          <w:sz w:val="32"/>
          <w:szCs w:val="32"/>
          <w:lang w:val="zh-CN" w:eastAsia="zh-CN"/>
        </w:rPr>
        <w:t>县财政局负责专项资金拨付和监督管理。县住建局负责专项资金的申报、组织实施和监督管理，对专项资金实行绩效监控并开展县专项资金绩效自评。项目单位负责项目的具体实施，对资金使用合规性负责，并对申报项目的真实性、完整性、合规性和有效性负责，按要求开展项目绩效自评。</w:t>
      </w:r>
    </w:p>
    <w:p>
      <w:pPr>
        <w:adjustRightInd w:val="0"/>
        <w:snapToGrid w:val="0"/>
        <w:spacing w:line="600" w:lineRule="exact"/>
        <w:ind w:firstLine="720"/>
        <w:rPr>
          <w:rFonts w:hint="eastAsia" w:ascii="仿宋" w:hAnsi="仿宋" w:eastAsia="仿宋" w:cs="仿宋"/>
          <w:sz w:val="32"/>
          <w:szCs w:val="32"/>
          <w:lang w:val="en-US" w:eastAsia="zh-CN"/>
        </w:rPr>
      </w:pPr>
      <w:r>
        <w:rPr>
          <w:rFonts w:hint="eastAsia" w:ascii="仿宋" w:hAnsi="仿宋" w:eastAsia="仿宋" w:cs="仿宋"/>
          <w:sz w:val="32"/>
          <w:szCs w:val="32"/>
        </w:rPr>
        <w:t>3.</w:t>
      </w:r>
      <w:r>
        <w:rPr>
          <w:rFonts w:hint="eastAsia" w:ascii="仿宋" w:hAnsi="仿宋" w:eastAsia="仿宋" w:cs="仿宋"/>
          <w:sz w:val="32"/>
          <w:szCs w:val="32"/>
          <w:lang w:val="en-US" w:eastAsia="zh-CN"/>
        </w:rPr>
        <w:t>2022年全县既有住宅电梯增设项目共计实施65部，获得省级奖补资金315.34万元。主要用于本行政区域内国有建设用地上已建成投入使用、具有合法权属且未设电梯的多层既有建筑。</w:t>
      </w:r>
    </w:p>
    <w:p>
      <w:pPr>
        <w:adjustRightInd w:val="0"/>
        <w:snapToGrid w:val="0"/>
        <w:spacing w:line="600" w:lineRule="exact"/>
        <w:ind w:firstLine="720"/>
        <w:rPr>
          <w:rFonts w:hint="eastAsia" w:ascii="仿宋" w:hAnsi="仿宋" w:eastAsia="仿宋" w:cs="仿宋"/>
          <w:color w:val="auto"/>
          <w:sz w:val="32"/>
          <w:szCs w:val="32"/>
          <w:lang w:val="en-US" w:eastAsia="zh-CN"/>
        </w:rPr>
      </w:pPr>
      <w:r>
        <w:rPr>
          <w:rFonts w:hint="eastAsia" w:ascii="仿宋" w:hAnsi="仿宋" w:eastAsia="仿宋" w:cs="仿宋"/>
          <w:sz w:val="32"/>
          <w:szCs w:val="32"/>
          <w:lang w:val="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2022年度省级城乡建设发展专项资金（电梯增设方向）采用项目法分配，</w:t>
      </w:r>
      <w:r>
        <w:rPr>
          <w:rFonts w:hint="eastAsia" w:ascii="仿宋" w:hAnsi="仿宋" w:eastAsia="仿宋" w:cs="仿宋"/>
          <w:color w:val="auto"/>
          <w:sz w:val="32"/>
          <w:szCs w:val="32"/>
          <w:lang w:val="en-US" w:eastAsia="zh-CN"/>
        </w:rPr>
        <w:t>用于</w:t>
      </w:r>
      <w:r>
        <w:rPr>
          <w:rFonts w:hint="eastAsia" w:ascii="仿宋" w:hAnsi="仿宋" w:eastAsia="仿宋" w:cs="仿宋"/>
          <w:sz w:val="32"/>
          <w:szCs w:val="32"/>
          <w:lang w:val="en-US" w:eastAsia="zh-CN"/>
        </w:rPr>
        <w:t>2个街道13个社区58栋既有住宅66个单元858户3587人</w:t>
      </w:r>
      <w:r>
        <w:rPr>
          <w:rFonts w:hint="eastAsia" w:ascii="仿宋" w:hAnsi="仿宋" w:eastAsia="仿宋" w:cs="仿宋"/>
          <w:color w:val="auto"/>
          <w:sz w:val="32"/>
          <w:szCs w:val="32"/>
          <w:lang w:val="en-US" w:eastAsia="zh-CN"/>
        </w:rPr>
        <w:t>既有住宅电梯增设项目。</w:t>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（二）本方向专项资金绩效目标。</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color w:val="auto"/>
          <w:sz w:val="32"/>
          <w:szCs w:val="32"/>
          <w:lang w:val="zh-CN" w:eastAsia="zh-CN"/>
        </w:rPr>
        <w:t>严格按照《资阳市既有住宅电梯增设实施意见》要求，完成</w:t>
      </w:r>
      <w:r>
        <w:rPr>
          <w:rFonts w:hint="eastAsia" w:ascii="仿宋" w:hAnsi="仿宋" w:eastAsia="仿宋" w:cs="仿宋"/>
          <w:color w:val="auto"/>
          <w:sz w:val="32"/>
          <w:szCs w:val="32"/>
          <w:lang w:val="en-US" w:eastAsia="zh-CN"/>
        </w:rPr>
        <w:t>65</w:t>
      </w:r>
      <w:r>
        <w:rPr>
          <w:rFonts w:hint="eastAsia" w:ascii="仿宋" w:hAnsi="仿宋" w:eastAsia="仿宋" w:cs="仿宋"/>
          <w:color w:val="auto"/>
          <w:sz w:val="32"/>
          <w:szCs w:val="32"/>
          <w:lang w:val="zh-CN" w:eastAsia="zh-CN"/>
        </w:rPr>
        <w:t>部</w:t>
      </w:r>
      <w:r>
        <w:rPr>
          <w:rFonts w:hint="eastAsia" w:ascii="仿宋" w:hAnsi="仿宋" w:eastAsia="仿宋" w:cs="仿宋"/>
          <w:color w:val="auto"/>
          <w:sz w:val="32"/>
          <w:szCs w:val="32"/>
          <w:lang w:val="en-US" w:eastAsia="zh-CN"/>
        </w:rPr>
        <w:t>既有住宅电梯增设项目。计划</w:t>
      </w:r>
      <w:r>
        <w:rPr>
          <w:rFonts w:hint="eastAsia" w:ascii="仿宋" w:hAnsi="仿宋" w:eastAsia="仿宋" w:cs="仿宋"/>
          <w:color w:val="auto"/>
          <w:sz w:val="32"/>
          <w:szCs w:val="32"/>
          <w:lang w:val="zh-CN" w:eastAsia="zh-CN"/>
        </w:rPr>
        <w:t>总投资为</w:t>
      </w:r>
      <w:r>
        <w:rPr>
          <w:rFonts w:hint="eastAsia" w:ascii="仿宋" w:hAnsi="仿宋" w:eastAsia="仿宋" w:cs="仿宋"/>
          <w:color w:val="auto"/>
          <w:sz w:val="32"/>
          <w:szCs w:val="32"/>
          <w:lang w:val="en-US" w:eastAsia="zh-CN"/>
        </w:rPr>
        <w:t>2700</w:t>
      </w:r>
      <w:r>
        <w:rPr>
          <w:rFonts w:hint="eastAsia" w:ascii="仿宋" w:hAnsi="仿宋" w:eastAsia="仿宋" w:cs="仿宋"/>
          <w:color w:val="auto"/>
          <w:sz w:val="32"/>
          <w:szCs w:val="32"/>
          <w:lang w:val="zh-CN" w:eastAsia="zh-CN"/>
        </w:rPr>
        <w:t>万元，项目</w:t>
      </w:r>
      <w:r>
        <w:rPr>
          <w:rFonts w:hint="eastAsia" w:ascii="仿宋" w:hAnsi="仿宋" w:eastAsia="仿宋" w:cs="仿宋"/>
          <w:sz w:val="32"/>
          <w:szCs w:val="32"/>
          <w:lang w:val="en-US" w:eastAsia="zh-CN"/>
        </w:rPr>
        <w:t>涉及2个街道13个社区58栋既有住宅66个单元858户3587人。现已全部取得电梯使用合格证书并完成竣工验收交付业主使用。</w:t>
      </w:r>
    </w:p>
    <w:p>
      <w:pPr>
        <w:adjustRightInd w:val="0"/>
        <w:snapToGrid w:val="0"/>
        <w:spacing w:line="60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rPr>
        <w:t>2.</w:t>
      </w:r>
      <w:r>
        <w:rPr>
          <w:rFonts w:hint="eastAsia" w:ascii="仿宋" w:hAnsi="仿宋" w:eastAsia="仿宋" w:cs="仿宋"/>
          <w:sz w:val="32"/>
          <w:szCs w:val="32"/>
          <w:lang w:val="zh-CN" w:eastAsia="zh-CN"/>
        </w:rPr>
        <w:t>该项目申报目标合理可行，具有较好的经济效益、生态效益和社会效益，着力于完善既有住宅配套基础设施，有利于改善人居环境，为提升</w:t>
      </w:r>
      <w:r>
        <w:rPr>
          <w:rFonts w:hint="eastAsia" w:ascii="仿宋" w:hAnsi="仿宋" w:eastAsia="仿宋" w:cs="仿宋"/>
          <w:sz w:val="32"/>
          <w:szCs w:val="32"/>
          <w:lang w:val="en-US" w:eastAsia="zh-CN"/>
        </w:rPr>
        <w:t>有老年人、残疾人、失能人员居住的既有住宅楼栋</w:t>
      </w:r>
      <w:r>
        <w:rPr>
          <w:rFonts w:hint="eastAsia" w:ascii="仿宋" w:hAnsi="仿宋" w:eastAsia="仿宋" w:cs="仿宋"/>
          <w:sz w:val="32"/>
          <w:szCs w:val="32"/>
          <w:lang w:val="zh-CN" w:eastAsia="zh-CN"/>
        </w:rPr>
        <w:t>安全出行提供便利条件。</w:t>
      </w:r>
    </w:p>
    <w:p>
      <w:pPr>
        <w:adjustRightInd w:val="0"/>
        <w:snapToGrid w:val="0"/>
        <w:spacing w:line="600" w:lineRule="exact"/>
        <w:ind w:firstLine="720"/>
        <w:rPr>
          <w:rFonts w:hint="eastAsia" w:ascii="仿宋" w:hAnsi="仿宋" w:eastAsia="仿宋" w:cs="仿宋"/>
          <w:sz w:val="32"/>
          <w:szCs w:val="32"/>
          <w:lang w:val="zh-CN" w:eastAsia="zh-CN"/>
        </w:rPr>
      </w:pPr>
      <w:r>
        <w:rPr>
          <w:rFonts w:hint="eastAsia" w:ascii="仿宋" w:hAnsi="仿宋" w:eastAsia="仿宋" w:cs="仿宋"/>
          <w:b/>
          <w:sz w:val="32"/>
          <w:szCs w:val="32"/>
          <w:lang w:val="zh-CN"/>
        </w:rPr>
        <w:t>（三）自评步骤及方法。</w:t>
      </w:r>
      <w:r>
        <w:rPr>
          <w:rFonts w:hint="eastAsia" w:ascii="仿宋" w:hAnsi="仿宋" w:eastAsia="仿宋" w:cs="仿宋"/>
          <w:sz w:val="32"/>
          <w:szCs w:val="32"/>
          <w:lang w:val="zh-CN" w:eastAsia="zh-CN"/>
        </w:rPr>
        <w:t>财政、住建等部门到实地核查，检查项目计划的合理性、可操作性、项目计划完成情况、建设质量等得出绩效自评结论。</w:t>
      </w:r>
    </w:p>
    <w:p>
      <w:pPr>
        <w:adjustRightInd w:val="0"/>
        <w:snapToGrid w:val="0"/>
        <w:spacing w:line="600" w:lineRule="exact"/>
        <w:ind w:firstLine="720"/>
        <w:rPr>
          <w:rFonts w:hint="eastAsia" w:ascii="仿宋" w:hAnsi="仿宋" w:eastAsia="仿宋" w:cs="仿宋"/>
          <w:b/>
          <w:bCs/>
          <w:sz w:val="32"/>
          <w:szCs w:val="32"/>
        </w:rPr>
      </w:pPr>
      <w:r>
        <w:rPr>
          <w:rFonts w:hint="eastAsia" w:ascii="仿宋" w:hAnsi="仿宋" w:eastAsia="仿宋" w:cs="仿宋"/>
          <w:b/>
          <w:bCs/>
          <w:sz w:val="32"/>
          <w:szCs w:val="32"/>
        </w:rPr>
        <w:t>二、本方向建设专项资金使用情况（截至2022年底）</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b/>
          <w:sz w:val="32"/>
          <w:szCs w:val="32"/>
          <w:lang w:val="zh-CN"/>
        </w:rPr>
        <w:t>（一）资金计划、到位及使用情况（可用表格形式反映）。</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zh-CN"/>
        </w:rPr>
        <w:t>1</w:t>
      </w:r>
      <w:r>
        <w:rPr>
          <w:rFonts w:hint="eastAsia" w:ascii="仿宋" w:hAnsi="仿宋" w:eastAsia="仿宋" w:cs="仿宋"/>
          <w:sz w:val="32"/>
          <w:szCs w:val="32"/>
        </w:rPr>
        <w:t>.</w:t>
      </w:r>
      <w:r>
        <w:rPr>
          <w:rFonts w:hint="eastAsia" w:ascii="仿宋" w:hAnsi="仿宋" w:eastAsia="仿宋" w:cs="仿宋"/>
          <w:sz w:val="32"/>
          <w:szCs w:val="32"/>
          <w:lang w:val="zh-CN"/>
        </w:rPr>
        <w:t>资金计划。</w:t>
      </w:r>
      <w:r>
        <w:rPr>
          <w:rFonts w:hint="eastAsia" w:ascii="仿宋" w:hAnsi="仿宋" w:eastAsia="仿宋" w:cs="仿宋"/>
          <w:color w:val="auto"/>
          <w:sz w:val="32"/>
          <w:szCs w:val="32"/>
          <w:lang w:val="zh-CN" w:eastAsia="zh-CN"/>
        </w:rPr>
        <w:t>既有住宅电梯增设项目</w:t>
      </w:r>
      <w:r>
        <w:rPr>
          <w:rFonts w:hint="eastAsia" w:ascii="仿宋" w:hAnsi="仿宋" w:eastAsia="仿宋" w:cs="仿宋"/>
          <w:color w:val="auto"/>
          <w:sz w:val="32"/>
          <w:szCs w:val="32"/>
          <w:lang w:val="en-US" w:eastAsia="zh-CN"/>
        </w:rPr>
        <w:t>2022</w:t>
      </w:r>
      <w:r>
        <w:rPr>
          <w:rFonts w:hint="eastAsia" w:ascii="仿宋" w:hAnsi="仿宋" w:eastAsia="仿宋" w:cs="仿宋"/>
          <w:sz w:val="32"/>
          <w:szCs w:val="32"/>
          <w:lang w:eastAsia="zh-CN"/>
        </w:rPr>
        <w:t>省市下达目标任务为</w:t>
      </w:r>
      <w:r>
        <w:rPr>
          <w:rFonts w:hint="eastAsia" w:ascii="仿宋" w:hAnsi="仿宋" w:eastAsia="仿宋" w:cs="仿宋"/>
          <w:sz w:val="32"/>
          <w:szCs w:val="32"/>
          <w:lang w:val="en-US" w:eastAsia="zh-CN"/>
        </w:rPr>
        <w:t>65部，预计投入业主自筹资金2700万元，政府财政按照增设电梯每部20万元的标准给予定额补助1300万元。</w:t>
      </w:r>
    </w:p>
    <w:p>
      <w:pPr>
        <w:adjustRightInd w:val="0"/>
        <w:snapToGrid w:val="0"/>
        <w:spacing w:line="600" w:lineRule="exact"/>
        <w:ind w:firstLine="720"/>
        <w:rPr>
          <w:rFonts w:hint="eastAsia" w:ascii="仿宋" w:hAnsi="仿宋" w:eastAsia="仿宋" w:cs="仿宋"/>
          <w:color w:val="auto"/>
          <w:sz w:val="32"/>
          <w:szCs w:val="32"/>
          <w:lang w:val="zh-CN" w:eastAsia="zh-CN"/>
        </w:rPr>
      </w:pPr>
      <w:r>
        <w:rPr>
          <w:rFonts w:hint="eastAsia" w:ascii="仿宋" w:hAnsi="仿宋" w:eastAsia="仿宋" w:cs="仿宋"/>
          <w:sz w:val="32"/>
          <w:szCs w:val="32"/>
          <w:lang w:val="zh-CN"/>
        </w:rPr>
        <w:t>2</w:t>
      </w:r>
      <w:r>
        <w:rPr>
          <w:rFonts w:hint="eastAsia" w:ascii="仿宋" w:hAnsi="仿宋" w:eastAsia="仿宋" w:cs="仿宋"/>
          <w:sz w:val="32"/>
          <w:szCs w:val="32"/>
        </w:rPr>
        <w:t>.</w:t>
      </w:r>
      <w:r>
        <w:rPr>
          <w:rFonts w:hint="eastAsia" w:ascii="仿宋" w:hAnsi="仿宋" w:eastAsia="仿宋" w:cs="仿宋"/>
          <w:sz w:val="32"/>
          <w:szCs w:val="32"/>
          <w:lang w:val="zh-CN"/>
        </w:rPr>
        <w:t>资金到位。</w:t>
      </w:r>
      <w:r>
        <w:rPr>
          <w:rFonts w:hint="eastAsia" w:ascii="仿宋" w:hAnsi="仿宋" w:eastAsia="仿宋" w:cs="仿宋"/>
          <w:color w:val="auto"/>
          <w:sz w:val="32"/>
          <w:szCs w:val="32"/>
          <w:lang w:val="zh-CN" w:eastAsia="zh-CN"/>
        </w:rPr>
        <w:t>截至202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val="zh-CN" w:eastAsia="zh-CN"/>
        </w:rPr>
        <w:t>年1</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val="zh-CN" w:eastAsia="zh-CN"/>
        </w:rPr>
        <w:t>月完成投资</w:t>
      </w:r>
      <w:r>
        <w:rPr>
          <w:rFonts w:hint="eastAsia" w:ascii="仿宋" w:hAnsi="仿宋" w:eastAsia="仿宋" w:cs="仿宋"/>
          <w:color w:val="auto"/>
          <w:sz w:val="32"/>
          <w:szCs w:val="32"/>
          <w:lang w:val="en-US" w:eastAsia="zh-CN"/>
        </w:rPr>
        <w:t>2700</w:t>
      </w:r>
      <w:r>
        <w:rPr>
          <w:rFonts w:hint="eastAsia" w:ascii="仿宋" w:hAnsi="仿宋" w:eastAsia="仿宋" w:cs="仿宋"/>
          <w:color w:val="auto"/>
          <w:sz w:val="32"/>
          <w:szCs w:val="32"/>
          <w:lang w:val="zh-CN" w:eastAsia="zh-CN"/>
        </w:rPr>
        <w:t>万元，实际到位资金</w:t>
      </w:r>
      <w:r>
        <w:rPr>
          <w:rFonts w:hint="eastAsia" w:ascii="仿宋" w:hAnsi="仿宋" w:eastAsia="仿宋" w:cs="仿宋"/>
          <w:color w:val="auto"/>
          <w:sz w:val="32"/>
          <w:szCs w:val="32"/>
          <w:lang w:val="en-US" w:eastAsia="zh-CN"/>
        </w:rPr>
        <w:t>2700</w:t>
      </w:r>
      <w:r>
        <w:rPr>
          <w:rFonts w:hint="eastAsia" w:ascii="仿宋" w:hAnsi="仿宋" w:eastAsia="仿宋" w:cs="仿宋"/>
          <w:color w:val="auto"/>
          <w:sz w:val="32"/>
          <w:szCs w:val="32"/>
          <w:lang w:val="zh-CN" w:eastAsia="zh-CN"/>
        </w:rPr>
        <w:t>万元（自筹），资金到位率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val="zh-CN" w:eastAsia="zh-CN"/>
        </w:rPr>
        <w:t>%，其中省、市（州）、县（市、区）财政资金到位</w:t>
      </w:r>
      <w:r>
        <w:rPr>
          <w:rFonts w:hint="eastAsia" w:ascii="仿宋" w:hAnsi="仿宋" w:eastAsia="仿宋" w:cs="仿宋"/>
          <w:color w:val="auto"/>
          <w:sz w:val="32"/>
          <w:szCs w:val="32"/>
          <w:lang w:val="en-US" w:eastAsia="zh-CN"/>
        </w:rPr>
        <w:t>315.34万元</w:t>
      </w:r>
      <w:r>
        <w:rPr>
          <w:rFonts w:hint="eastAsia" w:ascii="仿宋" w:hAnsi="仿宋" w:eastAsia="仿宋" w:cs="仿宋"/>
          <w:color w:val="auto"/>
          <w:sz w:val="32"/>
          <w:szCs w:val="32"/>
          <w:lang w:val="zh-CN" w:eastAsia="zh-CN"/>
        </w:rPr>
        <w:t xml:space="preserve">（奖补）、自筹资金 </w:t>
      </w:r>
      <w:r>
        <w:rPr>
          <w:rFonts w:hint="eastAsia" w:ascii="仿宋" w:hAnsi="仿宋" w:eastAsia="仿宋" w:cs="仿宋"/>
          <w:color w:val="auto"/>
          <w:sz w:val="32"/>
          <w:szCs w:val="32"/>
          <w:lang w:val="en-US" w:eastAsia="zh-CN"/>
        </w:rPr>
        <w:t>2700</w:t>
      </w:r>
      <w:r>
        <w:rPr>
          <w:rFonts w:hint="eastAsia" w:ascii="仿宋" w:hAnsi="仿宋" w:eastAsia="仿宋" w:cs="仿宋"/>
          <w:color w:val="auto"/>
          <w:sz w:val="32"/>
          <w:szCs w:val="32"/>
          <w:lang w:val="zh-CN" w:eastAsia="zh-CN"/>
        </w:rPr>
        <w:t>万元。未到位资金</w:t>
      </w:r>
      <w:r>
        <w:rPr>
          <w:rFonts w:hint="eastAsia" w:ascii="仿宋" w:hAnsi="仿宋" w:eastAsia="仿宋" w:cs="仿宋"/>
          <w:color w:val="auto"/>
          <w:sz w:val="32"/>
          <w:szCs w:val="32"/>
          <w:lang w:val="en-US" w:eastAsia="zh-CN"/>
        </w:rPr>
        <w:t>985</w:t>
      </w:r>
      <w:r>
        <w:rPr>
          <w:rFonts w:hint="eastAsia" w:ascii="仿宋" w:hAnsi="仿宋" w:eastAsia="仿宋" w:cs="仿宋"/>
          <w:color w:val="auto"/>
          <w:sz w:val="32"/>
          <w:szCs w:val="32"/>
          <w:lang w:val="zh-CN" w:eastAsia="zh-CN"/>
        </w:rPr>
        <w:t>万元（奖补）。</w:t>
      </w:r>
    </w:p>
    <w:p>
      <w:pPr>
        <w:adjustRightInd w:val="0"/>
        <w:snapToGrid w:val="0"/>
        <w:spacing w:line="600" w:lineRule="exact"/>
        <w:ind w:firstLine="720"/>
        <w:rPr>
          <w:rFonts w:hint="eastAsia" w:ascii="仿宋" w:hAnsi="仿宋" w:eastAsia="仿宋" w:cs="仿宋"/>
          <w:sz w:val="32"/>
          <w:szCs w:val="32"/>
          <w:lang w:val="zh-CN" w:eastAsia="zh-CN"/>
        </w:rPr>
      </w:pPr>
      <w:r>
        <w:rPr>
          <w:rFonts w:hint="eastAsia" w:ascii="仿宋" w:hAnsi="仿宋" w:eastAsia="仿宋" w:cs="仿宋"/>
          <w:sz w:val="32"/>
          <w:szCs w:val="32"/>
          <w:lang w:val="zh-CN"/>
        </w:rPr>
        <w:t>3</w:t>
      </w:r>
      <w:r>
        <w:rPr>
          <w:rFonts w:hint="eastAsia" w:ascii="仿宋" w:hAnsi="仿宋" w:eastAsia="仿宋" w:cs="仿宋"/>
          <w:sz w:val="32"/>
          <w:szCs w:val="32"/>
        </w:rPr>
        <w:t>.</w:t>
      </w:r>
      <w:r>
        <w:rPr>
          <w:rFonts w:hint="eastAsia" w:ascii="仿宋" w:hAnsi="仿宋" w:eastAsia="仿宋" w:cs="仿宋"/>
          <w:color w:val="auto"/>
          <w:sz w:val="32"/>
          <w:szCs w:val="32"/>
        </w:rPr>
        <w:t>本方向建设</w:t>
      </w:r>
      <w:r>
        <w:rPr>
          <w:rFonts w:hint="eastAsia" w:ascii="仿宋" w:hAnsi="仿宋" w:eastAsia="仿宋" w:cs="仿宋"/>
          <w:color w:val="auto"/>
          <w:sz w:val="32"/>
          <w:szCs w:val="32"/>
          <w:lang w:val="zh-CN"/>
        </w:rPr>
        <w:t>专项资金使用。</w:t>
      </w:r>
      <w:r>
        <w:rPr>
          <w:rFonts w:hint="eastAsia" w:ascii="仿宋" w:hAnsi="仿宋" w:eastAsia="仿宋" w:cs="仿宋"/>
          <w:sz w:val="32"/>
          <w:szCs w:val="32"/>
          <w:lang w:val="zh-CN" w:eastAsia="zh-CN"/>
        </w:rPr>
        <w:t>根据项目建设进度截止目前已全额拨付已下达奖补资金，其支付范围、标准、依据合规合法与预算相符。</w:t>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（二）财务管理情况。</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en-US" w:eastAsia="zh-CN"/>
        </w:rPr>
        <w:t>房管</w:t>
      </w:r>
      <w:r>
        <w:rPr>
          <w:rFonts w:hint="eastAsia" w:ascii="仿宋" w:hAnsi="仿宋" w:eastAsia="仿宋" w:cs="仿宋"/>
          <w:sz w:val="32"/>
          <w:szCs w:val="32"/>
          <w:lang w:val="zh-CN" w:eastAsia="zh-CN"/>
        </w:rPr>
        <w:t>局作为</w:t>
      </w:r>
      <w:r>
        <w:rPr>
          <w:rFonts w:hint="eastAsia" w:ascii="仿宋" w:hAnsi="仿宋" w:eastAsia="仿宋" w:cs="仿宋"/>
          <w:sz w:val="32"/>
          <w:szCs w:val="32"/>
          <w:lang w:val="en-US" w:eastAsia="zh-CN"/>
        </w:rPr>
        <w:t>电梯增设</w:t>
      </w:r>
      <w:r>
        <w:rPr>
          <w:rFonts w:hint="eastAsia" w:ascii="仿宋" w:hAnsi="仿宋" w:eastAsia="仿宋" w:cs="仿宋"/>
          <w:sz w:val="32"/>
          <w:szCs w:val="32"/>
          <w:lang w:val="zh-CN"/>
        </w:rPr>
        <w:t>建设资金的使用单位（项目单位）财务管理制度</w:t>
      </w:r>
      <w:r>
        <w:rPr>
          <w:rFonts w:hint="eastAsia" w:ascii="仿宋" w:hAnsi="仿宋" w:eastAsia="仿宋" w:cs="仿宋"/>
          <w:sz w:val="32"/>
          <w:szCs w:val="32"/>
          <w:lang w:val="zh-CN" w:eastAsia="zh-CN"/>
        </w:rPr>
        <w:t>相对</w:t>
      </w:r>
      <w:r>
        <w:rPr>
          <w:rFonts w:hint="eastAsia" w:ascii="仿宋" w:hAnsi="仿宋" w:eastAsia="仿宋" w:cs="仿宋"/>
          <w:sz w:val="32"/>
          <w:szCs w:val="32"/>
          <w:lang w:val="zh-CN"/>
        </w:rPr>
        <w:t>健全，</w:t>
      </w:r>
      <w:r>
        <w:rPr>
          <w:rFonts w:hint="eastAsia" w:ascii="仿宋" w:hAnsi="仿宋" w:eastAsia="仿宋" w:cs="仿宋"/>
          <w:sz w:val="32"/>
          <w:szCs w:val="32"/>
          <w:lang w:val="zh-CN" w:eastAsia="zh-CN"/>
        </w:rPr>
        <w:t>严格</w:t>
      </w:r>
      <w:r>
        <w:rPr>
          <w:rFonts w:hint="eastAsia" w:ascii="仿宋" w:hAnsi="仿宋" w:eastAsia="仿宋" w:cs="仿宋"/>
          <w:sz w:val="32"/>
          <w:szCs w:val="32"/>
          <w:lang w:val="zh-CN"/>
        </w:rPr>
        <w:t>执行财务管理制度，账务处理及时，会计核算规范。</w:t>
      </w:r>
    </w:p>
    <w:p>
      <w:pPr>
        <w:adjustRightInd w:val="0"/>
        <w:snapToGrid w:val="0"/>
        <w:spacing w:line="600" w:lineRule="exact"/>
        <w:ind w:firstLine="720"/>
        <w:rPr>
          <w:rFonts w:hint="eastAsia" w:ascii="仿宋" w:hAnsi="仿宋" w:eastAsia="仿宋" w:cs="仿宋"/>
          <w:b/>
          <w:bCs/>
          <w:sz w:val="32"/>
          <w:szCs w:val="32"/>
        </w:rPr>
      </w:pPr>
      <w:r>
        <w:rPr>
          <w:rFonts w:hint="eastAsia" w:ascii="仿宋" w:hAnsi="仿宋" w:eastAsia="仿宋" w:cs="仿宋"/>
          <w:b/>
          <w:bCs/>
          <w:sz w:val="32"/>
          <w:szCs w:val="32"/>
        </w:rPr>
        <w:t>三、本方向建设专项资金及支持项目的管理情况</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b/>
          <w:sz w:val="32"/>
          <w:szCs w:val="32"/>
          <w:lang w:val="zh-CN"/>
        </w:rPr>
        <w:t>（一）部门监管情况。</w:t>
      </w:r>
      <w:r>
        <w:rPr>
          <w:rFonts w:hint="eastAsia" w:ascii="仿宋" w:hAnsi="仿宋" w:eastAsia="仿宋" w:cs="仿宋"/>
          <w:sz w:val="32"/>
          <w:szCs w:val="32"/>
          <w:lang w:val="zh-CN"/>
        </w:rPr>
        <w:t>督促项目单位加快项目建设进度，根据项目单位拨款申请，住建、财政等部门到现场对工程量、建设进度等进行核查，工程量、建设进度达到支付条件即拨付专项资金。专项资金的使用得到了进一步规范。</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b/>
          <w:sz w:val="32"/>
          <w:szCs w:val="32"/>
          <w:lang w:val="zh-CN"/>
        </w:rPr>
        <w:t>（二）项目管理情况。</w:t>
      </w:r>
      <w:r>
        <w:rPr>
          <w:rFonts w:hint="eastAsia" w:ascii="仿宋" w:hAnsi="仿宋" w:eastAsia="仿宋" w:cs="仿宋"/>
          <w:sz w:val="32"/>
          <w:szCs w:val="32"/>
          <w:lang w:val="zh-CN"/>
        </w:rPr>
        <w:t>住建局严格执行相关法律法规及项目管理制度，依法依规推进项目建设。</w:t>
      </w:r>
    </w:p>
    <w:p>
      <w:pPr>
        <w:adjustRightInd w:val="0"/>
        <w:snapToGrid w:val="0"/>
        <w:spacing w:line="600" w:lineRule="exact"/>
        <w:ind w:firstLine="720"/>
        <w:rPr>
          <w:rFonts w:hint="eastAsia" w:ascii="仿宋" w:hAnsi="仿宋" w:eastAsia="仿宋" w:cs="仿宋"/>
          <w:b/>
          <w:bCs/>
          <w:sz w:val="32"/>
          <w:szCs w:val="32"/>
          <w:lang w:val="zh-CN"/>
        </w:rPr>
      </w:pPr>
      <w:r>
        <w:rPr>
          <w:rFonts w:hint="eastAsia" w:ascii="仿宋" w:hAnsi="仿宋" w:eastAsia="仿宋" w:cs="仿宋"/>
          <w:b/>
          <w:bCs/>
          <w:sz w:val="32"/>
          <w:szCs w:val="32"/>
        </w:rPr>
        <w:t>四、本方向建设专项资金的绩效情况</w:t>
      </w:r>
      <w:r>
        <w:rPr>
          <w:rFonts w:hint="eastAsia" w:ascii="仿宋" w:hAnsi="仿宋" w:eastAsia="仿宋" w:cs="仿宋"/>
          <w:b/>
          <w:bCs/>
          <w:sz w:val="32"/>
          <w:szCs w:val="32"/>
          <w:lang w:val="zh-CN"/>
        </w:rPr>
        <w:tab/>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（一）项目绩效目标完成情况。</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en-US" w:eastAsia="zh-CN"/>
        </w:rPr>
        <w:t>既有住宅电梯增设工作在统一时间节点内全面完成，项目涉及2个街道13个社区58栋既有住宅66个单元858户3587人。现已全部取得电梯使用合格证书并完成竣工验收交付业主使用。</w:t>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（二）部门绩效目标完成情况。</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zh-CN"/>
        </w:rPr>
        <w:t>数量指标：</w:t>
      </w:r>
      <w:r>
        <w:rPr>
          <w:rFonts w:hint="eastAsia" w:ascii="仿宋" w:hAnsi="仿宋" w:eastAsia="仿宋" w:cs="仿宋"/>
          <w:sz w:val="32"/>
          <w:szCs w:val="32"/>
          <w:lang w:val="en-US" w:eastAsia="zh-CN"/>
        </w:rPr>
        <w:t>1</w:t>
      </w:r>
      <w:r>
        <w:rPr>
          <w:rFonts w:hint="eastAsia" w:ascii="仿宋" w:hAnsi="仿宋" w:eastAsia="仿宋" w:cs="仿宋"/>
          <w:sz w:val="32"/>
          <w:szCs w:val="32"/>
          <w:lang w:val="zh-CN" w:eastAsia="zh-CN"/>
        </w:rPr>
        <w:t>个重点项目其中包含</w:t>
      </w:r>
      <w:r>
        <w:rPr>
          <w:rFonts w:hint="eastAsia" w:ascii="仿宋" w:hAnsi="仿宋" w:eastAsia="仿宋" w:cs="仿宋"/>
          <w:sz w:val="32"/>
          <w:szCs w:val="32"/>
          <w:lang w:val="en-US" w:eastAsia="zh-CN"/>
        </w:rPr>
        <w:t>7</w:t>
      </w:r>
      <w:r>
        <w:rPr>
          <w:rFonts w:hint="eastAsia" w:ascii="仿宋" w:hAnsi="仿宋" w:eastAsia="仿宋" w:cs="仿宋"/>
          <w:sz w:val="32"/>
          <w:szCs w:val="32"/>
          <w:lang w:val="zh-CN" w:eastAsia="zh-CN"/>
        </w:rPr>
        <w:t>个小项目</w:t>
      </w:r>
      <w:r>
        <w:rPr>
          <w:rFonts w:hint="eastAsia" w:ascii="仿宋" w:hAnsi="仿宋" w:eastAsia="仿宋" w:cs="仿宋"/>
          <w:sz w:val="32"/>
          <w:szCs w:val="32"/>
          <w:lang w:val="zh-CN"/>
        </w:rPr>
        <w:t>；质量指标：</w:t>
      </w:r>
      <w:r>
        <w:rPr>
          <w:rFonts w:hint="eastAsia" w:ascii="仿宋" w:hAnsi="仿宋" w:eastAsia="仿宋" w:cs="仿宋"/>
          <w:sz w:val="32"/>
          <w:szCs w:val="32"/>
          <w:lang w:val="zh-CN" w:eastAsia="zh-CN"/>
        </w:rPr>
        <w:t>严格按照合同质量要求执行，并进行监督</w:t>
      </w:r>
      <w:r>
        <w:rPr>
          <w:rFonts w:hint="eastAsia" w:ascii="仿宋" w:hAnsi="仿宋" w:eastAsia="仿宋" w:cs="仿宋"/>
          <w:sz w:val="32"/>
          <w:szCs w:val="32"/>
          <w:lang w:val="zh-CN"/>
        </w:rPr>
        <w:t>；时效指标：</w:t>
      </w:r>
      <w:r>
        <w:rPr>
          <w:rFonts w:hint="eastAsia" w:ascii="仿宋" w:hAnsi="仿宋" w:eastAsia="仿宋" w:cs="仿宋"/>
          <w:sz w:val="32"/>
          <w:szCs w:val="32"/>
          <w:lang w:val="zh-CN" w:eastAsia="zh-CN"/>
        </w:rPr>
        <w:t>202</w:t>
      </w:r>
      <w:r>
        <w:rPr>
          <w:rFonts w:hint="eastAsia" w:ascii="仿宋" w:hAnsi="仿宋" w:eastAsia="仿宋" w:cs="仿宋"/>
          <w:sz w:val="32"/>
          <w:szCs w:val="32"/>
          <w:lang w:val="en-US" w:eastAsia="zh-CN"/>
        </w:rPr>
        <w:t>2</w:t>
      </w:r>
      <w:r>
        <w:rPr>
          <w:rFonts w:hint="eastAsia" w:ascii="仿宋" w:hAnsi="仿宋" w:eastAsia="仿宋" w:cs="仿宋"/>
          <w:sz w:val="32"/>
          <w:szCs w:val="32"/>
          <w:lang w:val="zh-CN" w:eastAsia="zh-CN"/>
        </w:rPr>
        <w:t>年初开始施工，202</w:t>
      </w:r>
      <w:r>
        <w:rPr>
          <w:rFonts w:hint="eastAsia" w:ascii="仿宋" w:hAnsi="仿宋" w:eastAsia="仿宋" w:cs="仿宋"/>
          <w:sz w:val="32"/>
          <w:szCs w:val="32"/>
          <w:lang w:val="en-US" w:eastAsia="zh-CN"/>
        </w:rPr>
        <w:t>2</w:t>
      </w:r>
      <w:r>
        <w:rPr>
          <w:rFonts w:hint="eastAsia" w:ascii="仿宋" w:hAnsi="仿宋" w:eastAsia="仿宋" w:cs="仿宋"/>
          <w:sz w:val="32"/>
          <w:szCs w:val="32"/>
          <w:lang w:val="zh-CN" w:eastAsia="zh-CN"/>
        </w:rPr>
        <w:t>年低全面完成竣工</w:t>
      </w:r>
      <w:r>
        <w:rPr>
          <w:rFonts w:hint="eastAsia" w:ascii="仿宋" w:hAnsi="仿宋" w:eastAsia="仿宋" w:cs="仿宋"/>
          <w:sz w:val="32"/>
          <w:szCs w:val="32"/>
          <w:lang w:val="zh-CN"/>
        </w:rPr>
        <w:t>；成本指标：</w:t>
      </w:r>
      <w:r>
        <w:rPr>
          <w:rFonts w:hint="eastAsia" w:ascii="仿宋" w:hAnsi="仿宋" w:eastAsia="仿宋" w:cs="仿宋"/>
          <w:color w:val="auto"/>
          <w:sz w:val="32"/>
          <w:szCs w:val="32"/>
          <w:lang w:val="zh-CN"/>
        </w:rPr>
        <w:t>资金投入</w:t>
      </w:r>
      <w:r>
        <w:rPr>
          <w:rFonts w:hint="eastAsia" w:ascii="仿宋" w:hAnsi="仿宋" w:eastAsia="仿宋" w:cs="仿宋"/>
          <w:color w:val="auto"/>
          <w:sz w:val="32"/>
          <w:szCs w:val="32"/>
          <w:lang w:val="zh-CN" w:eastAsia="zh-CN"/>
        </w:rPr>
        <w:t>约</w:t>
      </w:r>
      <w:r>
        <w:rPr>
          <w:rFonts w:hint="eastAsia" w:ascii="仿宋" w:hAnsi="仿宋" w:eastAsia="仿宋" w:cs="仿宋"/>
          <w:color w:val="auto"/>
          <w:sz w:val="32"/>
          <w:szCs w:val="32"/>
          <w:lang w:val="en-US" w:eastAsia="zh-CN"/>
        </w:rPr>
        <w:t>2700</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zh-CN" w:eastAsia="zh-CN"/>
        </w:rPr>
        <w:t>目前完成投资</w:t>
      </w:r>
      <w:r>
        <w:rPr>
          <w:rFonts w:hint="eastAsia" w:ascii="仿宋" w:hAnsi="仿宋" w:eastAsia="仿宋" w:cs="仿宋"/>
          <w:color w:val="auto"/>
          <w:sz w:val="32"/>
          <w:szCs w:val="32"/>
          <w:lang w:val="en-US" w:eastAsia="zh-CN"/>
        </w:rPr>
        <w:t>2700</w:t>
      </w:r>
      <w:r>
        <w:rPr>
          <w:rFonts w:hint="eastAsia" w:ascii="仿宋" w:hAnsi="仿宋" w:eastAsia="仿宋" w:cs="仿宋"/>
          <w:color w:val="auto"/>
          <w:sz w:val="32"/>
          <w:szCs w:val="32"/>
          <w:lang w:val="zh-CN" w:eastAsia="zh-CN"/>
        </w:rPr>
        <w:t>万元</w:t>
      </w:r>
      <w:r>
        <w:rPr>
          <w:rFonts w:hint="eastAsia" w:ascii="仿宋" w:hAnsi="仿宋" w:eastAsia="仿宋" w:cs="仿宋"/>
          <w:color w:val="auto"/>
          <w:sz w:val="32"/>
          <w:szCs w:val="32"/>
          <w:lang w:val="zh-CN"/>
        </w:rPr>
        <w:t>；</w:t>
      </w:r>
      <w:r>
        <w:rPr>
          <w:rFonts w:hint="eastAsia" w:ascii="仿宋" w:hAnsi="仿宋" w:eastAsia="仿宋" w:cs="仿宋"/>
          <w:sz w:val="32"/>
          <w:szCs w:val="32"/>
          <w:lang w:val="zh-CN"/>
        </w:rPr>
        <w:t>社会效益指标：</w:t>
      </w:r>
      <w:r>
        <w:rPr>
          <w:rFonts w:hint="eastAsia" w:ascii="仿宋" w:hAnsi="仿宋" w:eastAsia="仿宋" w:cs="仿宋"/>
          <w:sz w:val="32"/>
          <w:szCs w:val="32"/>
          <w:lang w:val="zh-CN" w:eastAsia="zh-CN"/>
        </w:rPr>
        <w:t>有利于推动城镇化建设、人居环境的改善，进一步改善市政设施条件，增强社区居民幸福感</w:t>
      </w:r>
      <w:r>
        <w:rPr>
          <w:rFonts w:hint="eastAsia" w:ascii="仿宋" w:hAnsi="仿宋" w:eastAsia="仿宋" w:cs="仿宋"/>
          <w:sz w:val="32"/>
          <w:szCs w:val="32"/>
          <w:lang w:val="zh-CN"/>
        </w:rPr>
        <w:t>；满意度指标：受益群众满意度大于9</w:t>
      </w:r>
      <w:r>
        <w:rPr>
          <w:rFonts w:hint="eastAsia" w:ascii="仿宋" w:hAnsi="仿宋" w:eastAsia="仿宋" w:cs="仿宋"/>
          <w:sz w:val="32"/>
          <w:szCs w:val="32"/>
          <w:lang w:val="en-US" w:eastAsia="zh-CN"/>
        </w:rPr>
        <w:t>8</w:t>
      </w:r>
      <w:r>
        <w:rPr>
          <w:rFonts w:hint="eastAsia" w:ascii="仿宋" w:hAnsi="仿宋" w:eastAsia="仿宋" w:cs="仿宋"/>
          <w:sz w:val="32"/>
          <w:szCs w:val="32"/>
          <w:lang w:val="zh-CN"/>
        </w:rPr>
        <w:t>%。</w:t>
      </w:r>
    </w:p>
    <w:p>
      <w:pPr>
        <w:adjustRightInd w:val="0"/>
        <w:snapToGrid w:val="0"/>
        <w:spacing w:line="600" w:lineRule="exact"/>
        <w:ind w:firstLine="720"/>
        <w:rPr>
          <w:rFonts w:hint="eastAsia" w:ascii="仿宋" w:hAnsi="仿宋" w:eastAsia="仿宋" w:cs="仿宋"/>
          <w:b/>
          <w:bCs/>
          <w:sz w:val="32"/>
          <w:szCs w:val="32"/>
        </w:rPr>
      </w:pPr>
      <w:r>
        <w:rPr>
          <w:rFonts w:hint="eastAsia" w:ascii="仿宋" w:hAnsi="仿宋" w:eastAsia="仿宋" w:cs="仿宋"/>
          <w:b/>
          <w:bCs/>
          <w:sz w:val="32"/>
          <w:szCs w:val="32"/>
        </w:rPr>
        <w:t>五、评价结论及建议</w:t>
      </w:r>
    </w:p>
    <w:p>
      <w:pPr>
        <w:adjustRightInd w:val="0"/>
        <w:snapToGrid w:val="0"/>
        <w:spacing w:line="600" w:lineRule="exact"/>
        <w:ind w:firstLine="720"/>
        <w:rPr>
          <w:rFonts w:hint="eastAsia" w:ascii="仿宋" w:hAnsi="仿宋" w:eastAsia="仿宋" w:cs="仿宋"/>
          <w:sz w:val="32"/>
          <w:szCs w:val="32"/>
          <w:bdr w:val="single" w:color="auto" w:sz="4" w:space="0"/>
          <w:lang w:val="zh-CN"/>
        </w:rPr>
      </w:pPr>
      <w:r>
        <w:rPr>
          <w:rFonts w:hint="eastAsia" w:ascii="仿宋" w:hAnsi="仿宋" w:eastAsia="仿宋" w:cs="仿宋"/>
          <w:b/>
          <w:sz w:val="32"/>
          <w:szCs w:val="32"/>
          <w:lang w:val="zh-CN"/>
        </w:rPr>
        <w:t>（一）评价结论。</w:t>
      </w:r>
      <w:r>
        <w:rPr>
          <w:rFonts w:hint="eastAsia" w:ascii="仿宋" w:hAnsi="仿宋" w:eastAsia="仿宋" w:cs="仿宋"/>
          <w:sz w:val="32"/>
          <w:szCs w:val="32"/>
          <w:lang w:val="zh-CN" w:eastAsia="zh-CN"/>
        </w:rPr>
        <w:t>项目实施单位严格按照财务制度执行，对项目资金严格使用范围，实行专款专用，既有住宅电梯增设</w:t>
      </w:r>
      <w:r>
        <w:rPr>
          <w:rFonts w:hint="eastAsia" w:ascii="仿宋" w:hAnsi="仿宋" w:eastAsia="仿宋" w:cs="仿宋"/>
          <w:sz w:val="32"/>
          <w:szCs w:val="32"/>
          <w:lang w:val="zh-CN"/>
        </w:rPr>
        <w:t>项目已按前期申报计划</w:t>
      </w:r>
      <w:r>
        <w:rPr>
          <w:rFonts w:hint="eastAsia" w:ascii="仿宋" w:hAnsi="仿宋" w:eastAsia="仿宋" w:cs="仿宋"/>
          <w:sz w:val="32"/>
          <w:szCs w:val="32"/>
          <w:lang w:val="zh-CN" w:eastAsia="zh-CN"/>
        </w:rPr>
        <w:t>推进完成，项目完工后人居环境将大大改善，也使群众通行更加方便，群众生活质量不断提升，幸福感不断增强。</w:t>
      </w:r>
    </w:p>
    <w:p>
      <w:pPr>
        <w:numPr>
          <w:ilvl w:val="0"/>
          <w:numId w:val="0"/>
        </w:numPr>
        <w:ind w:firstLine="643" w:firstLineChars="200"/>
        <w:rPr>
          <w:rFonts w:hint="eastAsia" w:ascii="仿宋" w:hAnsi="仿宋" w:eastAsia="仿宋" w:cs="仿宋"/>
          <w:sz w:val="32"/>
          <w:szCs w:val="32"/>
          <w:lang w:val="zh-CN"/>
        </w:rPr>
      </w:pPr>
      <w:r>
        <w:rPr>
          <w:rFonts w:hint="eastAsia" w:ascii="仿宋" w:hAnsi="仿宋" w:eastAsia="仿宋" w:cs="仿宋"/>
          <w:b/>
          <w:sz w:val="32"/>
          <w:szCs w:val="32"/>
          <w:lang w:val="zh-CN"/>
        </w:rPr>
        <w:t>（二）存在的问题。</w:t>
      </w:r>
      <w:r>
        <w:rPr>
          <w:rFonts w:hint="eastAsia" w:ascii="仿宋" w:hAnsi="仿宋" w:eastAsia="仿宋" w:cs="仿宋"/>
          <w:b w:val="0"/>
          <w:bCs w:val="0"/>
          <w:sz w:val="32"/>
          <w:szCs w:val="32"/>
          <w:lang w:val="en-US" w:eastAsia="zh-CN"/>
        </w:rPr>
        <w:t>一是底层居住业主抵触增设电梯，</w:t>
      </w:r>
      <w:r>
        <w:rPr>
          <w:rFonts w:hint="eastAsia" w:ascii="仿宋" w:hAnsi="仿宋" w:eastAsia="仿宋" w:cs="仿宋"/>
          <w:sz w:val="32"/>
          <w:szCs w:val="32"/>
          <w:lang w:val="en-US" w:eastAsia="zh-CN"/>
        </w:rPr>
        <w:t>个别单元居民虽然安装意愿强烈且绝大多数业主愿意参与增设电梯，但个别一二楼业主因增设电梯后影响房屋流通性问题多有抵触甚至不愿安装，导致电梯增设无法开展后续工作。</w:t>
      </w:r>
      <w:r>
        <w:rPr>
          <w:rFonts w:hint="eastAsia" w:ascii="仿宋" w:hAnsi="仿宋" w:eastAsia="仿宋" w:cs="仿宋"/>
          <w:b w:val="0"/>
          <w:bCs w:val="0"/>
          <w:sz w:val="32"/>
          <w:szCs w:val="32"/>
          <w:lang w:val="en-US" w:eastAsia="zh-CN"/>
        </w:rPr>
        <w:t>二是电梯安装企业</w:t>
      </w:r>
      <w:r>
        <w:rPr>
          <w:rFonts w:hint="eastAsia" w:ascii="仿宋" w:hAnsi="仿宋" w:eastAsia="仿宋" w:cs="仿宋"/>
          <w:b w:val="0"/>
          <w:bCs w:val="0"/>
          <w:color w:val="auto"/>
          <w:sz w:val="32"/>
          <w:szCs w:val="32"/>
          <w:lang w:val="en-US" w:eastAsia="zh-CN"/>
        </w:rPr>
        <w:t>良莠</w:t>
      </w:r>
      <w:r>
        <w:rPr>
          <w:rFonts w:hint="eastAsia" w:ascii="仿宋" w:hAnsi="仿宋" w:eastAsia="仿宋" w:cs="仿宋"/>
          <w:b w:val="0"/>
          <w:bCs w:val="0"/>
          <w:sz w:val="32"/>
          <w:szCs w:val="32"/>
          <w:lang w:val="en-US" w:eastAsia="zh-CN"/>
        </w:rPr>
        <w:t>不齐，</w:t>
      </w:r>
      <w:r>
        <w:rPr>
          <w:rFonts w:hint="eastAsia" w:ascii="仿宋" w:hAnsi="仿宋" w:eastAsia="仿宋" w:cs="仿宋"/>
          <w:sz w:val="32"/>
          <w:szCs w:val="32"/>
          <w:lang w:val="en-US" w:eastAsia="zh-CN"/>
        </w:rPr>
        <w:t>根据前期工作反映问题统计发现，个别电梯安装企业不按规定进行施工场地规范管理，不按照作息时间开展施工，不控制施工噪音等问题，导致因电梯安装出现的信访投诉问题频发。</w:t>
      </w:r>
    </w:p>
    <w:p>
      <w:pPr>
        <w:spacing w:line="520" w:lineRule="exact"/>
        <w:ind w:left="-176"/>
        <w:jc w:val="center"/>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项目支出绩效目标申报表</w:t>
      </w:r>
    </w:p>
    <w:p>
      <w:pPr>
        <w:keepNext w:val="0"/>
        <w:keepLines w:val="0"/>
        <w:pageBreakBefore w:val="0"/>
        <w:widowControl w:val="0"/>
        <w:kinsoku/>
        <w:wordWrap/>
        <w:overflowPunct/>
        <w:topLinePunct w:val="0"/>
        <w:autoSpaceDE/>
        <w:autoSpaceDN/>
        <w:bidi w:val="0"/>
        <w:adjustRightInd/>
        <w:snapToGrid/>
        <w:spacing w:line="400" w:lineRule="exact"/>
        <w:ind w:left="-176"/>
        <w:jc w:val="center"/>
        <w:textAlignment w:val="auto"/>
        <w:rPr>
          <w:rFonts w:hint="default" w:ascii="Times New Roman" w:hAnsi="Times New Roman" w:eastAsia="方正楷体简体" w:cs="Times New Roman"/>
          <w:b/>
          <w:kern w:val="0"/>
          <w:sz w:val="21"/>
          <w:szCs w:val="21"/>
        </w:rPr>
      </w:pPr>
      <w:r>
        <w:rPr>
          <w:rFonts w:hint="default" w:ascii="Times New Roman" w:hAnsi="Times New Roman" w:eastAsia="方正楷体简体" w:cs="Times New Roman"/>
          <w:b/>
          <w:kern w:val="0"/>
          <w:sz w:val="21"/>
          <w:szCs w:val="21"/>
        </w:rPr>
        <w:t>（202</w:t>
      </w:r>
      <w:r>
        <w:rPr>
          <w:rFonts w:hint="default" w:ascii="Times New Roman" w:hAnsi="Times New Roman" w:eastAsia="方正楷体简体" w:cs="Times New Roman"/>
          <w:b/>
          <w:kern w:val="0"/>
          <w:sz w:val="21"/>
          <w:szCs w:val="21"/>
          <w:lang w:val="en-US" w:eastAsia="zh-CN"/>
        </w:rPr>
        <w:t>2</w:t>
      </w:r>
      <w:r>
        <w:rPr>
          <w:rFonts w:hint="default" w:ascii="Times New Roman" w:hAnsi="Times New Roman" w:eastAsia="方正楷体简体" w:cs="Times New Roman"/>
          <w:b/>
          <w:kern w:val="0"/>
          <w:sz w:val="21"/>
          <w:szCs w:val="21"/>
        </w:rPr>
        <w:t>年度）</w:t>
      </w:r>
    </w:p>
    <w:tbl>
      <w:tblPr>
        <w:tblStyle w:val="18"/>
        <w:tblW w:w="93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0"/>
        <w:gridCol w:w="733"/>
        <w:gridCol w:w="1083"/>
        <w:gridCol w:w="1320"/>
        <w:gridCol w:w="1414"/>
        <w:gridCol w:w="1316"/>
        <w:gridCol w:w="1108"/>
        <w:gridCol w:w="176"/>
        <w:gridCol w:w="266"/>
        <w:gridCol w:w="13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6" w:type="dxa"/>
            <w:gridSpan w:val="5"/>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项目名称</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乐至县既有住宅电梯增设补助资金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6" w:type="dxa"/>
            <w:gridSpan w:val="5"/>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预算单位</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en-US" w:eastAsia="zh-CN"/>
              </w:rPr>
              <w:t>乐至县</w:t>
            </w:r>
            <w:r>
              <w:rPr>
                <w:rFonts w:hint="eastAsia" w:ascii="Times New Roman" w:hAnsi="Times New Roman" w:cs="Times New Roman"/>
                <w:kern w:val="0"/>
                <w:sz w:val="21"/>
                <w:szCs w:val="21"/>
                <w:lang w:val="en-US" w:eastAsia="zh-CN"/>
              </w:rPr>
              <w:t>房地产管理</w:t>
            </w:r>
            <w:r>
              <w:rPr>
                <w:rFonts w:hint="default" w:ascii="Times New Roman" w:hAnsi="Times New Roman" w:eastAsia="宋体" w:cs="Times New Roman"/>
                <w:kern w:val="0"/>
                <w:sz w:val="21"/>
                <w:szCs w:val="21"/>
                <w:lang w:val="en-US" w:eastAsia="zh-CN"/>
              </w:rPr>
              <w:t>局</w:t>
            </w:r>
            <w:r>
              <w:rPr>
                <w:rFonts w:hint="default" w:ascii="Times New Roman" w:hAnsi="Times New Roman" w:eastAsia="宋体" w:cs="Times New Roman"/>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6" w:type="dxa"/>
            <w:gridSpan w:val="5"/>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项目类型</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产业发展</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民生保障</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sym w:font="Wingdings 2" w:char="0052"/>
            </w:r>
          </w:p>
        </w:tc>
        <w:tc>
          <w:tcPr>
            <w:tcW w:w="1550" w:type="dxa"/>
            <w:gridSpan w:val="3"/>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基础设施  </w:t>
            </w:r>
            <w:r>
              <w:rPr>
                <w:rFonts w:hint="default" w:ascii="Times New Roman" w:hAnsi="Times New Roman" w:eastAsia="宋体" w:cs="Times New Roman"/>
                <w:kern w:val="0"/>
                <w:sz w:val="21"/>
                <w:szCs w:val="21"/>
              </w:rPr>
              <w:sym w:font="Wingdings 2" w:char="00A3"/>
            </w:r>
          </w:p>
        </w:tc>
        <w:tc>
          <w:tcPr>
            <w:tcW w:w="133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 xml:space="preserve">行政运行 </w:t>
            </w:r>
            <w:r>
              <w:rPr>
                <w:rFonts w:hint="eastAsia" w:ascii="Times New Roman" w:hAnsi="Times New Roman" w:cs="Times New Roman"/>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540" w:type="dxa"/>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项目概况</w:t>
            </w:r>
          </w:p>
        </w:tc>
        <w:tc>
          <w:tcPr>
            <w:tcW w:w="3206"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中长期规划（名称、文号，仅指常年项目）</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eastAsia" w:ascii="Times New Roman" w:hAnsi="Times New Roman" w:eastAsia="仿宋_GB2312" w:cs="Times New Roman"/>
                <w:sz w:val="21"/>
                <w:szCs w:val="21"/>
                <w:lang w:val="en-US" w:eastAsia="zh-CN"/>
              </w:rPr>
              <w:t>资阳市人民政府办公室《关于进一步促进全市既有住宅电梯增设工作的实施意见》（资府办规﹝2022﹞3号）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40"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Cs/>
                <w:kern w:val="0"/>
                <w:sz w:val="21"/>
                <w:szCs w:val="21"/>
              </w:rPr>
            </w:pPr>
          </w:p>
        </w:tc>
        <w:tc>
          <w:tcPr>
            <w:tcW w:w="3206"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资金管理办法（名称、文号）</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【中央财政城镇保障性安居工程补助资金管理实施办法】财综（2022）37号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540"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Cs/>
                <w:kern w:val="0"/>
                <w:sz w:val="21"/>
                <w:szCs w:val="21"/>
              </w:rPr>
            </w:pPr>
          </w:p>
        </w:tc>
        <w:tc>
          <w:tcPr>
            <w:tcW w:w="3206"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绩效分配方式</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因素法□   项目法□  据实据效</w:t>
            </w:r>
            <w:r>
              <w:rPr>
                <w:rFonts w:hint="eastAsia" w:ascii="Times New Roman" w:hAnsi="Times New Roman" w:cs="Times New Roman"/>
                <w:kern w:val="0"/>
                <w:sz w:val="21"/>
                <w:szCs w:val="21"/>
                <w:lang w:eastAsia="zh-CN"/>
              </w:rPr>
              <w:t>☑</w:t>
            </w:r>
            <w:r>
              <w:rPr>
                <w:rFonts w:hint="default" w:ascii="Times New Roman" w:hAnsi="Times New Roman" w:eastAsia="宋体" w:cs="Times New Roman"/>
                <w:kern w:val="0"/>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因素法与项目法相结合□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Cs/>
                <w:kern w:val="0"/>
                <w:sz w:val="21"/>
                <w:szCs w:val="21"/>
              </w:rPr>
            </w:pPr>
          </w:p>
        </w:tc>
        <w:tc>
          <w:tcPr>
            <w:tcW w:w="3206"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立项依据</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eastAsia" w:ascii="Times New Roman" w:hAnsi="Times New Roman" w:eastAsia="仿宋_GB2312" w:cs="Times New Roman"/>
                <w:sz w:val="21"/>
                <w:szCs w:val="21"/>
                <w:lang w:val="en-US" w:eastAsia="zh-CN"/>
              </w:rPr>
              <w:t>（资府办规﹝2022﹞3号）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Cs/>
                <w:kern w:val="0"/>
                <w:sz w:val="21"/>
                <w:szCs w:val="21"/>
              </w:rPr>
            </w:pPr>
          </w:p>
        </w:tc>
        <w:tc>
          <w:tcPr>
            <w:tcW w:w="3206"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使用范围</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乐至县既有住宅电梯增设相关工作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Cs/>
                <w:kern w:val="0"/>
                <w:sz w:val="21"/>
                <w:szCs w:val="21"/>
              </w:rPr>
            </w:pPr>
          </w:p>
        </w:tc>
        <w:tc>
          <w:tcPr>
            <w:tcW w:w="3206"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申报（补助）条件</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目标任务65台，每台补助资金约10万元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Cs/>
                <w:kern w:val="0"/>
                <w:sz w:val="21"/>
                <w:szCs w:val="21"/>
              </w:rPr>
            </w:pPr>
          </w:p>
        </w:tc>
        <w:tc>
          <w:tcPr>
            <w:tcW w:w="3206"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项目起止年限</w:t>
            </w:r>
          </w:p>
        </w:tc>
        <w:tc>
          <w:tcPr>
            <w:tcW w:w="5613" w:type="dxa"/>
            <w:gridSpan w:val="6"/>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2022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3" w:type="dxa"/>
            <w:gridSpan w:val="3"/>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项目资金</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（万元）</w:t>
            </w:r>
          </w:p>
        </w:tc>
        <w:tc>
          <w:tcPr>
            <w:tcW w:w="2403"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中长期资金总额：</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　</w:t>
            </w:r>
            <w:r>
              <w:rPr>
                <w:rFonts w:hint="eastAsia" w:ascii="Times New Roman" w:hAnsi="Times New Roman" w:cs="Times New Roman"/>
                <w:kern w:val="0"/>
                <w:sz w:val="21"/>
                <w:szCs w:val="21"/>
                <w:lang w:val="en-US" w:eastAsia="zh-CN"/>
              </w:rPr>
              <w:t>1300</w:t>
            </w:r>
          </w:p>
        </w:tc>
        <w:tc>
          <w:tcPr>
            <w:tcW w:w="242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年度资金总额：</w:t>
            </w:r>
          </w:p>
        </w:tc>
        <w:tc>
          <w:tcPr>
            <w:tcW w:w="1775" w:type="dxa"/>
            <w:gridSpan w:val="3"/>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650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3" w:type="dxa"/>
            <w:gridSpan w:val="3"/>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p>
        </w:tc>
        <w:tc>
          <w:tcPr>
            <w:tcW w:w="2403"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其中：财政拨款</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　</w:t>
            </w:r>
            <w:r>
              <w:rPr>
                <w:rFonts w:hint="eastAsia" w:ascii="Times New Roman" w:hAnsi="Times New Roman" w:cs="Times New Roman"/>
                <w:kern w:val="0"/>
                <w:sz w:val="21"/>
                <w:szCs w:val="21"/>
                <w:lang w:val="en-US" w:eastAsia="zh-CN"/>
              </w:rPr>
              <w:t>1300</w:t>
            </w:r>
          </w:p>
        </w:tc>
        <w:tc>
          <w:tcPr>
            <w:tcW w:w="242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其中：财政拨款</w:t>
            </w:r>
          </w:p>
        </w:tc>
        <w:tc>
          <w:tcPr>
            <w:tcW w:w="1775" w:type="dxa"/>
            <w:gridSpan w:val="3"/>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650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3" w:type="dxa"/>
            <w:gridSpan w:val="3"/>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p>
        </w:tc>
        <w:tc>
          <w:tcPr>
            <w:tcW w:w="2403"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其他资金</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w:t>
            </w:r>
          </w:p>
        </w:tc>
        <w:tc>
          <w:tcPr>
            <w:tcW w:w="242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其他资金</w:t>
            </w:r>
          </w:p>
        </w:tc>
        <w:tc>
          <w:tcPr>
            <w:tcW w:w="1775" w:type="dxa"/>
            <w:gridSpan w:val="3"/>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总体</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目标</w:t>
            </w:r>
          </w:p>
        </w:tc>
        <w:tc>
          <w:tcPr>
            <w:tcW w:w="4550"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总体目标</w:t>
            </w:r>
          </w:p>
        </w:tc>
        <w:tc>
          <w:tcPr>
            <w:tcW w:w="4199" w:type="dxa"/>
            <w:gridSpan w:val="5"/>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年度目标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4550" w:type="dxa"/>
            <w:gridSpan w:val="4"/>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为</w:t>
            </w:r>
            <w:r>
              <w:rPr>
                <w:rFonts w:hint="eastAsia" w:ascii="Times New Roman" w:hAnsi="Times New Roman" w:eastAsia="仿宋_GB2312" w:cs="Times New Roman"/>
                <w:sz w:val="21"/>
                <w:szCs w:val="21"/>
                <w:lang w:val="en-US" w:eastAsia="zh-CN"/>
              </w:rPr>
              <w:t>全面推进既有住宅加装电梯工作，完善我县即有住宅使用功能，进一步改善老旧住宅居住条件和人居环境，全面提升住宅综合品质的群众幸福指数。</w:t>
            </w:r>
          </w:p>
        </w:tc>
        <w:tc>
          <w:tcPr>
            <w:tcW w:w="4199" w:type="dxa"/>
            <w:gridSpan w:val="5"/>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eastAsia="仿宋_GB2312" w:cs="Times New Roman"/>
                <w:sz w:val="21"/>
                <w:szCs w:val="21"/>
                <w:lang w:val="en-US" w:eastAsia="zh-CN"/>
              </w:rPr>
              <w:t>全面完成2022年度电梯加装任务65部，进一步改善老旧住宅居住条件和人居环境，全面提升住宅综合品质的群众幸福指数。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绩效</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w:t>
            </w:r>
          </w:p>
        </w:tc>
        <w:tc>
          <w:tcPr>
            <w:tcW w:w="73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一级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w:t>
            </w: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二级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三级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指标值（包含数字及文字描述）</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二级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三级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指标值（包含数字及文字描述）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项目</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完成</w:t>
            </w: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数量指标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加装电梯数量</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65部</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数量指标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加装电梯数量</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65部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质量指标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工程</w:t>
            </w:r>
            <w:r>
              <w:rPr>
                <w:rFonts w:hint="default" w:ascii="Times New Roman" w:hAnsi="Times New Roman" w:eastAsia="宋体" w:cs="Times New Roman"/>
                <w:kern w:val="0"/>
                <w:sz w:val="21"/>
                <w:szCs w:val="21"/>
                <w:lang w:eastAsia="zh-CN"/>
              </w:rPr>
              <w:t>质量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eastAsia="zh-CN"/>
              </w:rPr>
              <w:t>合格率</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100%</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质量指标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工程</w:t>
            </w:r>
            <w:r>
              <w:rPr>
                <w:rFonts w:hint="default" w:ascii="Times New Roman" w:hAnsi="Times New Roman" w:eastAsia="宋体" w:cs="Times New Roman"/>
                <w:kern w:val="0"/>
                <w:sz w:val="21"/>
                <w:szCs w:val="21"/>
                <w:lang w:eastAsia="zh-CN"/>
              </w:rPr>
              <w:t>质量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eastAsia="zh-CN"/>
              </w:rPr>
              <w:t>合格率</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时效指标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项目建</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设工期</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365天</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时效指标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项目建</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设工期</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eastAsia" w:ascii="Times New Roman" w:hAnsi="Times New Roman" w:cs="Times New Roman"/>
                <w:kern w:val="0"/>
                <w:sz w:val="21"/>
                <w:szCs w:val="21"/>
                <w:lang w:val="en-US" w:eastAsia="zh-CN"/>
              </w:rPr>
              <w:t>365天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成本指标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补助标准</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20万元/台</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成本指标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补助标准</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约10万元/台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成本指标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工作经费</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rPr>
            </w:pPr>
            <w:r>
              <w:rPr>
                <w:rFonts w:hint="eastAsia" w:ascii="Times New Roman" w:hAnsi="Times New Roman" w:cs="Times New Roman"/>
                <w:kern w:val="0"/>
                <w:sz w:val="21"/>
                <w:szCs w:val="21"/>
                <w:lang w:val="en-US" w:eastAsia="zh-CN"/>
              </w:rPr>
              <w:t>1300万元</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成本指标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工作经费</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rPr>
            </w:pPr>
            <w:r>
              <w:rPr>
                <w:rFonts w:hint="eastAsia" w:ascii="Times New Roman" w:hAnsi="Times New Roman" w:cs="Times New Roman"/>
                <w:kern w:val="0"/>
                <w:sz w:val="21"/>
                <w:szCs w:val="21"/>
                <w:lang w:val="en-US" w:eastAsia="zh-CN"/>
              </w:rPr>
              <w:t>650万元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社会效</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益指标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改善居住条件，提升住宅综合品质</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改善</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社会效</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益指标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推进电梯安装工作进程，改善居住条件</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改善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0"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社会效</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益指标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提升群众幸福指数</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提升</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社会效</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益指标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提升群众幸福指数</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rPr>
              <w:t>提升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可持续影响指标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区域经济</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eastAsia="zh-CN"/>
              </w:rPr>
              <w:t>发展</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0年</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可持续影响指标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区域经济</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eastAsia="zh-CN"/>
              </w:rPr>
              <w:t>发展</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0年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gridSpan w:val="2"/>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p>
        </w:tc>
        <w:tc>
          <w:tcPr>
            <w:tcW w:w="73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满意度指标</w:t>
            </w:r>
          </w:p>
        </w:tc>
        <w:tc>
          <w:tcPr>
            <w:tcW w:w="1083"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满意度指标</w:t>
            </w:r>
          </w:p>
        </w:tc>
        <w:tc>
          <w:tcPr>
            <w:tcW w:w="132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eastAsia="zh-CN"/>
              </w:rPr>
              <w:t>市民</w:t>
            </w:r>
            <w:r>
              <w:rPr>
                <w:rFonts w:hint="default" w:ascii="Times New Roman" w:hAnsi="Times New Roman" w:eastAsia="宋体" w:cs="Times New Roman"/>
                <w:kern w:val="0"/>
                <w:sz w:val="21"/>
                <w:szCs w:val="21"/>
              </w:rPr>
              <w:t>满意度</w:t>
            </w:r>
          </w:p>
        </w:tc>
        <w:tc>
          <w:tcPr>
            <w:tcW w:w="1414"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w:t>
            </w:r>
            <w:r>
              <w:rPr>
                <w:rFonts w:hint="eastAsia" w:ascii="Times New Roman" w:hAnsi="Times New Roman" w:cs="Times New Roman"/>
                <w:kern w:val="0"/>
                <w:sz w:val="21"/>
                <w:szCs w:val="21"/>
                <w:lang w:val="en-US" w:eastAsia="zh-CN"/>
              </w:rPr>
              <w:t>0</w:t>
            </w:r>
            <w:r>
              <w:rPr>
                <w:rFonts w:hint="default" w:ascii="Times New Roman" w:hAnsi="Times New Roman" w:eastAsia="宋体" w:cs="Times New Roman"/>
                <w:kern w:val="0"/>
                <w:sz w:val="21"/>
                <w:szCs w:val="21"/>
              </w:rPr>
              <w:t>%</w:t>
            </w:r>
          </w:p>
        </w:tc>
        <w:tc>
          <w:tcPr>
            <w:tcW w:w="131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满意度指标</w:t>
            </w:r>
          </w:p>
        </w:tc>
        <w:tc>
          <w:tcPr>
            <w:tcW w:w="1284"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市民</w:t>
            </w:r>
            <w:r>
              <w:rPr>
                <w:rFonts w:hint="default" w:ascii="Times New Roman" w:hAnsi="Times New Roman" w:eastAsia="宋体" w:cs="Times New Roman"/>
                <w:kern w:val="0"/>
                <w:sz w:val="21"/>
                <w:szCs w:val="21"/>
              </w:rPr>
              <w:t>满意度</w:t>
            </w:r>
          </w:p>
        </w:tc>
        <w:tc>
          <w:tcPr>
            <w:tcW w:w="1599" w:type="dxa"/>
            <w:gridSpan w:val="2"/>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w:t>
            </w:r>
            <w:r>
              <w:rPr>
                <w:rFonts w:hint="eastAsia" w:ascii="Times New Roman" w:hAnsi="Times New Roman" w:cs="Times New Roman"/>
                <w:kern w:val="0"/>
                <w:sz w:val="21"/>
                <w:szCs w:val="21"/>
                <w:lang w:val="en-US" w:eastAsia="zh-CN"/>
              </w:rPr>
              <w:t>0</w:t>
            </w:r>
            <w:r>
              <w:rPr>
                <w:rFonts w:hint="default" w:ascii="Times New Roman" w:hAnsi="Times New Roman" w:eastAsia="宋体" w:cs="Times New Roman"/>
                <w:kern w:val="0"/>
                <w:sz w:val="21"/>
                <w:szCs w:val="21"/>
              </w:rPr>
              <w:t>%</w:t>
            </w:r>
          </w:p>
        </w:tc>
      </w:tr>
    </w:tbl>
    <w:p>
      <w:pPr>
        <w:pStyle w:val="4"/>
        <w:rPr>
          <w:rFonts w:hint="eastAsia" w:ascii="仿宋" w:hAnsi="仿宋" w:eastAsia="仿宋" w:cs="仿宋"/>
          <w:sz w:val="32"/>
          <w:szCs w:val="32"/>
          <w:lang w:eastAsia="zh-CN"/>
        </w:rPr>
      </w:pPr>
    </w:p>
    <w:p>
      <w:pPr>
        <w:pStyle w:val="4"/>
        <w:ind w:firstLine="5760" w:firstLineChars="1800"/>
        <w:rPr>
          <w:rFonts w:hint="eastAsia" w:ascii="仿宋" w:hAnsi="仿宋" w:eastAsia="仿宋" w:cs="仿宋"/>
          <w:sz w:val="32"/>
          <w:szCs w:val="32"/>
          <w:lang w:val="en-US" w:eastAsia="zh-CN"/>
        </w:rPr>
      </w:pPr>
    </w:p>
    <w:p>
      <w:pPr>
        <w:pStyle w:val="8"/>
        <w:spacing w:before="93"/>
        <w:rPr>
          <w:rFonts w:hint="eastAsia" w:ascii="仿宋" w:hAnsi="仿宋" w:eastAsia="仿宋" w:cs="仿宋"/>
          <w:sz w:val="32"/>
          <w:szCs w:val="32"/>
          <w:shd w:val="clear" w:color="auto" w:fill="FFFFFF"/>
          <w:lang w:val="en-US" w:eastAsia="zh-CN"/>
        </w:rPr>
      </w:pPr>
      <w:r>
        <w:rPr>
          <w:rFonts w:hint="eastAsia" w:ascii="仿宋" w:hAnsi="仿宋" w:eastAsia="仿宋" w:cs="仿宋"/>
          <w:sz w:val="32"/>
          <w:szCs w:val="32"/>
          <w:shd w:val="clear" w:color="auto" w:fill="FFFFFF"/>
          <w:lang w:val="en-US" w:eastAsia="zh-CN"/>
        </w:rPr>
        <w:t>附件2</w:t>
      </w:r>
    </w:p>
    <w:p>
      <w:pPr>
        <w:spacing w:line="0" w:lineRule="atLeast"/>
        <w:jc w:val="center"/>
        <w:rPr>
          <w:rFonts w:hint="eastAsia" w:ascii="仿宋" w:hAnsi="仿宋" w:eastAsia="仿宋" w:cs="仿宋"/>
          <w:bCs/>
          <w:sz w:val="32"/>
          <w:szCs w:val="32"/>
        </w:rPr>
      </w:pPr>
    </w:p>
    <w:p>
      <w:pPr>
        <w:spacing w:line="0" w:lineRule="atLeast"/>
        <w:jc w:val="center"/>
        <w:rPr>
          <w:rFonts w:hint="eastAsia" w:ascii="仿宋" w:hAnsi="仿宋" w:eastAsia="仿宋" w:cs="仿宋"/>
          <w:b/>
          <w:bCs w:val="0"/>
          <w:sz w:val="48"/>
          <w:szCs w:val="48"/>
        </w:rPr>
      </w:pPr>
    </w:p>
    <w:p>
      <w:pPr>
        <w:spacing w:line="0" w:lineRule="atLeast"/>
        <w:jc w:val="center"/>
        <w:rPr>
          <w:rFonts w:hint="eastAsia" w:ascii="仿宋" w:hAnsi="仿宋" w:eastAsia="仿宋" w:cs="仿宋"/>
          <w:b/>
          <w:bCs w:val="0"/>
          <w:sz w:val="48"/>
          <w:szCs w:val="48"/>
        </w:rPr>
      </w:pPr>
      <w:r>
        <w:rPr>
          <w:rFonts w:hint="eastAsia" w:ascii="仿宋" w:hAnsi="仿宋" w:eastAsia="仿宋" w:cs="仿宋"/>
          <w:b/>
          <w:bCs w:val="0"/>
          <w:sz w:val="48"/>
          <w:szCs w:val="48"/>
        </w:rPr>
        <w:t>关于</w:t>
      </w:r>
      <w:r>
        <w:rPr>
          <w:rFonts w:hint="eastAsia" w:ascii="仿宋" w:hAnsi="仿宋" w:eastAsia="仿宋" w:cs="仿宋"/>
          <w:b/>
          <w:bCs w:val="0"/>
          <w:sz w:val="48"/>
          <w:szCs w:val="48"/>
          <w:lang w:val="en-US" w:eastAsia="zh-CN"/>
        </w:rPr>
        <w:t>保障性安居工程</w:t>
      </w:r>
      <w:r>
        <w:rPr>
          <w:rFonts w:hint="eastAsia" w:ascii="仿宋" w:hAnsi="仿宋" w:eastAsia="仿宋" w:cs="仿宋"/>
          <w:b/>
          <w:bCs w:val="0"/>
          <w:sz w:val="48"/>
          <w:szCs w:val="48"/>
        </w:rPr>
        <w:t>转移支付202</w:t>
      </w:r>
      <w:r>
        <w:rPr>
          <w:rFonts w:hint="eastAsia" w:ascii="仿宋" w:hAnsi="仿宋" w:eastAsia="仿宋" w:cs="仿宋"/>
          <w:b/>
          <w:bCs w:val="0"/>
          <w:sz w:val="48"/>
          <w:szCs w:val="48"/>
          <w:lang w:val="en-US" w:eastAsia="zh-CN"/>
        </w:rPr>
        <w:t>2</w:t>
      </w:r>
      <w:r>
        <w:rPr>
          <w:rFonts w:hint="eastAsia" w:ascii="仿宋" w:hAnsi="仿宋" w:eastAsia="仿宋" w:cs="仿宋"/>
          <w:b/>
          <w:bCs w:val="0"/>
          <w:sz w:val="48"/>
          <w:szCs w:val="48"/>
        </w:rPr>
        <w:t>年度绩效自评报告</w:t>
      </w:r>
    </w:p>
    <w:p>
      <w:pPr>
        <w:spacing w:line="570" w:lineRule="exact"/>
        <w:jc w:val="left"/>
        <w:rPr>
          <w:rFonts w:hint="eastAsia" w:ascii="仿宋" w:hAnsi="仿宋" w:eastAsia="仿宋" w:cs="仿宋"/>
          <w:sz w:val="32"/>
          <w:szCs w:val="32"/>
        </w:rPr>
      </w:pPr>
    </w:p>
    <w:p>
      <w:pPr>
        <w:spacing w:line="60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一、绩效目标分解下达情况</w:t>
      </w:r>
    </w:p>
    <w:p>
      <w:pPr>
        <w:spacing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lang w:val="en-US" w:eastAsia="zh-CN"/>
        </w:rPr>
        <w:t>根据川财综〔2021〕30号文</w:t>
      </w:r>
      <w:r>
        <w:rPr>
          <w:rFonts w:hint="eastAsia" w:ascii="仿宋" w:hAnsi="仿宋" w:eastAsia="仿宋" w:cs="仿宋"/>
          <w:color w:val="auto"/>
          <w:sz w:val="32"/>
          <w:szCs w:val="32"/>
          <w:lang w:val="en-US" w:eastAsia="zh-CN"/>
        </w:rPr>
        <w:t>件，下达2022老旧小区改造资金1989万元，租赁补贴93万元；川财综〔2022〕35号文件，</w:t>
      </w:r>
      <w:r>
        <w:rPr>
          <w:rFonts w:hint="eastAsia" w:ascii="仿宋" w:hAnsi="仿宋" w:eastAsia="仿宋" w:cs="仿宋"/>
          <w:sz w:val="32"/>
          <w:szCs w:val="32"/>
          <w:lang w:val="en-US" w:eastAsia="zh-CN"/>
        </w:rPr>
        <w:t>下达老旧小区改造资金119万元，公共租赁住房资金1462万元。2022年我单位共收到</w:t>
      </w:r>
      <w:r>
        <w:rPr>
          <w:rFonts w:hint="eastAsia" w:ascii="仿宋" w:hAnsi="仿宋" w:eastAsia="仿宋" w:cs="仿宋"/>
          <w:sz w:val="32"/>
          <w:szCs w:val="32"/>
        </w:rPr>
        <w:t>中央下达乐至县中央财政城镇保障性安居工程补助资金</w:t>
      </w:r>
      <w:r>
        <w:rPr>
          <w:rFonts w:hint="eastAsia" w:ascii="仿宋" w:hAnsi="仿宋" w:eastAsia="仿宋" w:cs="仿宋"/>
          <w:sz w:val="32"/>
          <w:szCs w:val="32"/>
          <w:lang w:val="en-US" w:eastAsia="zh-CN"/>
        </w:rPr>
        <w:t>3330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其中</w:t>
      </w:r>
      <w:r>
        <w:rPr>
          <w:rFonts w:hint="eastAsia" w:ascii="仿宋" w:hAnsi="仿宋" w:eastAsia="仿宋" w:cs="仿宋"/>
          <w:sz w:val="32"/>
          <w:szCs w:val="32"/>
          <w:lang w:val="en-US" w:eastAsia="zh-CN"/>
        </w:rPr>
        <w:t>城镇老旧小区改造2108</w:t>
      </w:r>
      <w:r>
        <w:rPr>
          <w:rFonts w:hint="eastAsia" w:ascii="仿宋" w:hAnsi="仿宋" w:eastAsia="仿宋" w:cs="仿宋"/>
          <w:sz w:val="32"/>
          <w:szCs w:val="32"/>
        </w:rPr>
        <w:t>万元，</w:t>
      </w:r>
      <w:r>
        <w:rPr>
          <w:rFonts w:hint="eastAsia" w:ascii="仿宋" w:hAnsi="仿宋" w:eastAsia="仿宋" w:cs="仿宋"/>
          <w:sz w:val="32"/>
          <w:szCs w:val="32"/>
          <w:lang w:val="en-US" w:eastAsia="zh-CN"/>
        </w:rPr>
        <w:t>保障性租赁住房1129</w:t>
      </w:r>
      <w:r>
        <w:rPr>
          <w:rFonts w:hint="eastAsia" w:ascii="仿宋" w:hAnsi="仿宋" w:eastAsia="仿宋" w:cs="仿宋"/>
          <w:sz w:val="32"/>
          <w:szCs w:val="32"/>
        </w:rPr>
        <w:t>万元,</w:t>
      </w:r>
      <w:r>
        <w:rPr>
          <w:rFonts w:hint="eastAsia" w:ascii="仿宋" w:hAnsi="仿宋" w:eastAsia="仿宋" w:cs="仿宋"/>
          <w:sz w:val="32"/>
          <w:szCs w:val="32"/>
          <w:lang w:val="en-US" w:eastAsia="zh-CN"/>
        </w:rPr>
        <w:t>公共租赁住房租赁补贴93</w:t>
      </w:r>
      <w:r>
        <w:rPr>
          <w:rFonts w:hint="eastAsia" w:ascii="仿宋" w:hAnsi="仿宋" w:eastAsia="仿宋" w:cs="仿宋"/>
          <w:sz w:val="32"/>
          <w:szCs w:val="32"/>
        </w:rPr>
        <w:t>万元。</w:t>
      </w:r>
    </w:p>
    <w:p>
      <w:pPr>
        <w:spacing w:line="60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二、绩效情况分析</w:t>
      </w:r>
    </w:p>
    <w:p>
      <w:pPr>
        <w:spacing w:line="60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（一）资金投入情况分析</w:t>
      </w:r>
    </w:p>
    <w:p>
      <w:pPr>
        <w:pStyle w:val="22"/>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乐至县202</w:t>
      </w:r>
      <w:r>
        <w:rPr>
          <w:rFonts w:hint="eastAsia" w:ascii="仿宋" w:hAnsi="仿宋" w:eastAsia="仿宋" w:cs="仿宋"/>
          <w:sz w:val="32"/>
          <w:szCs w:val="32"/>
          <w:lang w:val="en-US" w:eastAsia="zh-CN"/>
        </w:rPr>
        <w:t>2</w:t>
      </w:r>
      <w:r>
        <w:rPr>
          <w:rFonts w:hint="eastAsia" w:ascii="仿宋" w:hAnsi="仿宋" w:eastAsia="仿宋" w:cs="仿宋"/>
          <w:sz w:val="32"/>
          <w:szCs w:val="32"/>
        </w:rPr>
        <w:t>年度</w:t>
      </w:r>
      <w:r>
        <w:rPr>
          <w:rFonts w:hint="eastAsia" w:ascii="仿宋" w:hAnsi="仿宋" w:eastAsia="仿宋" w:cs="仿宋"/>
          <w:sz w:val="32"/>
          <w:szCs w:val="32"/>
          <w:lang w:val="en-US" w:eastAsia="zh-CN"/>
        </w:rPr>
        <w:t>保障性安居工程</w:t>
      </w:r>
      <w:r>
        <w:rPr>
          <w:rFonts w:hint="eastAsia" w:ascii="仿宋" w:hAnsi="仿宋" w:eastAsia="仿宋" w:cs="仿宋"/>
          <w:sz w:val="32"/>
          <w:szCs w:val="32"/>
        </w:rPr>
        <w:t>全年</w:t>
      </w:r>
      <w:r>
        <w:rPr>
          <w:rFonts w:hint="eastAsia" w:ascii="仿宋" w:hAnsi="仿宋" w:eastAsia="仿宋" w:cs="仿宋"/>
          <w:sz w:val="32"/>
          <w:szCs w:val="32"/>
          <w:lang w:val="en-US" w:eastAsia="zh-CN"/>
        </w:rPr>
        <w:t>中央财政补助</w:t>
      </w:r>
      <w:r>
        <w:rPr>
          <w:rFonts w:hint="eastAsia" w:ascii="仿宋" w:hAnsi="仿宋" w:eastAsia="仿宋" w:cs="仿宋"/>
          <w:sz w:val="32"/>
          <w:szCs w:val="32"/>
        </w:rPr>
        <w:t>预算执行总额为</w:t>
      </w:r>
      <w:r>
        <w:rPr>
          <w:rFonts w:hint="eastAsia" w:ascii="仿宋" w:hAnsi="仿宋" w:eastAsia="仿宋" w:cs="仿宋"/>
          <w:sz w:val="32"/>
          <w:szCs w:val="32"/>
          <w:lang w:val="en-US" w:eastAsia="zh-CN"/>
        </w:rPr>
        <w:t>3330</w:t>
      </w:r>
      <w:r>
        <w:rPr>
          <w:rFonts w:hint="eastAsia" w:ascii="仿宋" w:hAnsi="仿宋" w:eastAsia="仿宋" w:cs="仿宋"/>
          <w:sz w:val="32"/>
          <w:szCs w:val="32"/>
        </w:rPr>
        <w:t>万元，</w:t>
      </w:r>
      <w:r>
        <w:rPr>
          <w:rFonts w:hint="eastAsia" w:ascii="仿宋" w:hAnsi="仿宋" w:eastAsia="仿宋" w:cs="仿宋"/>
          <w:sz w:val="32"/>
          <w:szCs w:val="32"/>
          <w:lang w:val="en-US" w:eastAsia="zh-CN"/>
        </w:rPr>
        <w:t>用于</w:t>
      </w:r>
      <w:r>
        <w:rPr>
          <w:rFonts w:hint="eastAsia" w:ascii="仿宋" w:hAnsi="仿宋" w:eastAsia="仿宋" w:cs="仿宋"/>
          <w:sz w:val="32"/>
          <w:szCs w:val="32"/>
        </w:rPr>
        <w:t>改造老旧住宅</w:t>
      </w:r>
      <w:r>
        <w:rPr>
          <w:rFonts w:hint="eastAsia" w:ascii="仿宋" w:hAnsi="仿宋" w:eastAsia="仿宋" w:cs="仿宋"/>
          <w:sz w:val="32"/>
          <w:szCs w:val="32"/>
          <w:lang w:val="en-US" w:eastAsia="zh-CN"/>
        </w:rPr>
        <w:t>3276</w:t>
      </w:r>
      <w:r>
        <w:rPr>
          <w:rFonts w:hint="eastAsia" w:ascii="仿宋" w:hAnsi="仿宋" w:eastAsia="仿宋" w:cs="仿宋"/>
          <w:sz w:val="32"/>
          <w:szCs w:val="32"/>
        </w:rPr>
        <w:t>户，改造楼栋</w:t>
      </w:r>
      <w:r>
        <w:rPr>
          <w:rFonts w:hint="eastAsia" w:ascii="仿宋" w:hAnsi="仿宋" w:eastAsia="仿宋" w:cs="仿宋"/>
          <w:sz w:val="32"/>
          <w:szCs w:val="32"/>
          <w:lang w:val="en-US" w:eastAsia="zh-CN"/>
        </w:rPr>
        <w:t>1</w:t>
      </w:r>
      <w:r>
        <w:rPr>
          <w:rFonts w:hint="eastAsia" w:ascii="仿宋" w:hAnsi="仿宋" w:eastAsia="仿宋" w:cs="仿宋"/>
          <w:sz w:val="32"/>
          <w:szCs w:val="32"/>
        </w:rPr>
        <w:t>4</w:t>
      </w:r>
      <w:r>
        <w:rPr>
          <w:rFonts w:hint="eastAsia" w:ascii="仿宋" w:hAnsi="仿宋" w:eastAsia="仿宋" w:cs="仿宋"/>
          <w:sz w:val="32"/>
          <w:szCs w:val="32"/>
          <w:lang w:val="en-US" w:eastAsia="zh-CN"/>
        </w:rPr>
        <w:t>3</w:t>
      </w:r>
      <w:r>
        <w:rPr>
          <w:rFonts w:hint="eastAsia" w:ascii="仿宋" w:hAnsi="仿宋" w:eastAsia="仿宋" w:cs="仿宋"/>
          <w:sz w:val="32"/>
          <w:szCs w:val="32"/>
        </w:rPr>
        <w:t>栋，改造小区</w:t>
      </w:r>
      <w:r>
        <w:rPr>
          <w:rFonts w:hint="eastAsia" w:ascii="仿宋" w:hAnsi="仿宋" w:eastAsia="仿宋" w:cs="仿宋"/>
          <w:sz w:val="32"/>
          <w:szCs w:val="32"/>
          <w:lang w:val="en-US" w:eastAsia="zh-CN"/>
        </w:rPr>
        <w:t>44</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sz w:val="32"/>
          <w:szCs w:val="32"/>
        </w:rPr>
        <w:t>年度目标为</w:t>
      </w:r>
      <w:r>
        <w:rPr>
          <w:rFonts w:hint="eastAsia" w:ascii="仿宋" w:hAnsi="仿宋" w:eastAsia="仿宋" w:cs="仿宋"/>
          <w:sz w:val="32"/>
          <w:szCs w:val="32"/>
          <w:lang w:val="en-US" w:eastAsia="zh-CN"/>
        </w:rPr>
        <w:t>29.3</w:t>
      </w:r>
      <w:r>
        <w:rPr>
          <w:rFonts w:hint="eastAsia" w:ascii="仿宋" w:hAnsi="仿宋" w:eastAsia="仿宋" w:cs="仿宋"/>
          <w:sz w:val="32"/>
          <w:szCs w:val="32"/>
        </w:rPr>
        <w:t>6万平方米</w:t>
      </w:r>
      <w:r>
        <w:rPr>
          <w:rFonts w:hint="eastAsia" w:ascii="仿宋" w:hAnsi="仿宋" w:eastAsia="仿宋" w:cs="仿宋"/>
          <w:sz w:val="32"/>
          <w:szCs w:val="32"/>
          <w:lang w:eastAsia="zh-CN"/>
        </w:rPr>
        <w:t>；</w:t>
      </w:r>
      <w:r>
        <w:rPr>
          <w:rFonts w:hint="eastAsia" w:ascii="仿宋" w:hAnsi="仿宋" w:eastAsia="仿宋" w:cs="仿宋"/>
          <w:kern w:val="1"/>
          <w:sz w:val="32"/>
          <w:szCs w:val="32"/>
          <w:lang w:val="en-US" w:eastAsia="zh-CN" w:bidi="ar-SA"/>
        </w:rPr>
        <w:t>发放公共租赁住房租赁补助150户；筹集保障性租赁住房房源300套。</w:t>
      </w:r>
    </w:p>
    <w:p>
      <w:pPr>
        <w:spacing w:line="60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管理</w:t>
      </w:r>
      <w:r>
        <w:rPr>
          <w:rFonts w:hint="eastAsia" w:ascii="仿宋" w:hAnsi="仿宋" w:eastAsia="仿宋" w:cs="仿宋"/>
          <w:b/>
          <w:bCs/>
          <w:sz w:val="32"/>
          <w:szCs w:val="32"/>
        </w:rPr>
        <w:t>情况分析</w:t>
      </w:r>
    </w:p>
    <w:p>
      <w:pPr>
        <w:spacing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rPr>
        <w:t>乐至县202</w:t>
      </w:r>
      <w:r>
        <w:rPr>
          <w:rFonts w:hint="eastAsia" w:ascii="仿宋" w:hAnsi="仿宋" w:eastAsia="仿宋" w:cs="仿宋"/>
          <w:sz w:val="32"/>
          <w:szCs w:val="32"/>
          <w:lang w:val="en-US" w:eastAsia="zh-CN"/>
        </w:rPr>
        <w:t>2</w:t>
      </w:r>
      <w:r>
        <w:rPr>
          <w:rFonts w:hint="eastAsia" w:ascii="仿宋" w:hAnsi="仿宋" w:eastAsia="仿宋" w:cs="仿宋"/>
          <w:sz w:val="32"/>
          <w:szCs w:val="32"/>
        </w:rPr>
        <w:t>年度</w:t>
      </w:r>
      <w:r>
        <w:rPr>
          <w:rFonts w:hint="eastAsia" w:ascii="仿宋" w:hAnsi="仿宋" w:eastAsia="仿宋" w:cs="仿宋"/>
          <w:sz w:val="32"/>
          <w:szCs w:val="32"/>
          <w:lang w:val="en-US" w:eastAsia="zh-CN"/>
        </w:rPr>
        <w:t>保障性安居工程</w:t>
      </w:r>
      <w:r>
        <w:rPr>
          <w:rFonts w:hint="eastAsia" w:ascii="仿宋" w:hAnsi="仿宋" w:eastAsia="仿宋" w:cs="仿宋"/>
          <w:sz w:val="32"/>
          <w:szCs w:val="32"/>
        </w:rPr>
        <w:t>项目资金的分配与具体实施内容相符，其目标是科学合理的。资金的使用方面根据改造项目的</w:t>
      </w:r>
      <w:r>
        <w:rPr>
          <w:rFonts w:hint="eastAsia" w:ascii="仿宋" w:hAnsi="仿宋" w:eastAsia="仿宋" w:cs="仿宋"/>
          <w:sz w:val="32"/>
          <w:szCs w:val="32"/>
          <w:lang w:val="en-US" w:eastAsia="zh-CN"/>
        </w:rPr>
        <w:t>实施具体情况</w:t>
      </w:r>
      <w:r>
        <w:rPr>
          <w:rFonts w:hint="eastAsia" w:ascii="仿宋" w:hAnsi="仿宋" w:eastAsia="仿宋" w:cs="仿宋"/>
          <w:sz w:val="32"/>
          <w:szCs w:val="32"/>
        </w:rPr>
        <w:t>，严格按照</w:t>
      </w:r>
      <w:r>
        <w:rPr>
          <w:rFonts w:hint="eastAsia" w:ascii="仿宋" w:hAnsi="仿宋" w:eastAsia="仿宋" w:cs="仿宋"/>
          <w:sz w:val="32"/>
          <w:szCs w:val="32"/>
          <w:lang w:val="en-US" w:eastAsia="zh-CN"/>
        </w:rPr>
        <w:t>中央财政城镇保障性安居工程补助</w:t>
      </w:r>
      <w:r>
        <w:rPr>
          <w:rFonts w:hint="eastAsia" w:ascii="仿宋" w:hAnsi="仿宋" w:eastAsia="仿宋" w:cs="仿宋"/>
          <w:sz w:val="32"/>
          <w:szCs w:val="32"/>
        </w:rPr>
        <w:t>资金管理规定，及时足额到位资金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并加强资金监管。</w:t>
      </w:r>
    </w:p>
    <w:p>
      <w:pPr>
        <w:spacing w:line="60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）总体绩效目标完成情况分析</w:t>
      </w:r>
    </w:p>
    <w:p>
      <w:pPr>
        <w:spacing w:line="600" w:lineRule="exact"/>
        <w:ind w:firstLine="640" w:firstLineChars="200"/>
        <w:outlineLvl w:val="0"/>
        <w:rPr>
          <w:rFonts w:hint="eastAsia" w:ascii="仿宋" w:hAnsi="仿宋" w:eastAsia="仿宋" w:cs="仿宋"/>
          <w:kern w:val="1"/>
          <w:sz w:val="32"/>
          <w:szCs w:val="32"/>
          <w:lang w:val="en-US" w:eastAsia="zh-CN" w:bidi="ar-SA"/>
        </w:rPr>
      </w:pPr>
      <w:r>
        <w:rPr>
          <w:rFonts w:hint="eastAsia" w:ascii="仿宋" w:hAnsi="仿宋" w:eastAsia="仿宋" w:cs="仿宋"/>
          <w:sz w:val="32"/>
          <w:szCs w:val="32"/>
          <w:lang w:val="en-US" w:eastAsia="zh-CN"/>
        </w:rPr>
        <w:t>1、开工目标任务：2022年城镇老旧小区开工</w:t>
      </w:r>
      <w:r>
        <w:rPr>
          <w:rFonts w:hint="eastAsia" w:ascii="仿宋" w:hAnsi="仿宋" w:eastAsia="仿宋" w:cs="仿宋"/>
          <w:kern w:val="1"/>
          <w:sz w:val="32"/>
          <w:szCs w:val="32"/>
          <w:lang w:val="en-US" w:eastAsia="zh-CN" w:bidi="ar-SA"/>
        </w:rPr>
        <w:t>44个小区，涉及居民3276户、143栋、29.36万平方米，截至2022年7月底，相关改造小区施工单位已全部进场施工。</w:t>
      </w:r>
    </w:p>
    <w:p>
      <w:pPr>
        <w:spacing w:line="600" w:lineRule="exact"/>
        <w:ind w:firstLine="640" w:firstLineChars="200"/>
        <w:outlineLvl w:val="0"/>
        <w:rPr>
          <w:rFonts w:hint="eastAsia" w:ascii="仿宋" w:hAnsi="仿宋" w:eastAsia="仿宋" w:cs="仿宋"/>
          <w:kern w:val="1"/>
          <w:sz w:val="32"/>
          <w:szCs w:val="32"/>
          <w:lang w:val="en-US" w:eastAsia="zh-CN" w:bidi="ar-SA"/>
        </w:rPr>
      </w:pPr>
      <w:r>
        <w:rPr>
          <w:rFonts w:hint="eastAsia" w:ascii="仿宋" w:hAnsi="仿宋" w:eastAsia="仿宋" w:cs="仿宋"/>
          <w:kern w:val="1"/>
          <w:sz w:val="32"/>
          <w:szCs w:val="32"/>
          <w:lang w:val="en-US" w:eastAsia="zh-CN" w:bidi="ar-SA"/>
        </w:rPr>
        <w:t>2、基本建成、筹集、交付任务：筹集保障性租赁住房300套，截至2022年12月底，已完成筹集保障性租赁住房300套任务。</w:t>
      </w:r>
    </w:p>
    <w:p>
      <w:pPr>
        <w:spacing w:line="600" w:lineRule="exact"/>
        <w:ind w:firstLine="640" w:firstLineChars="200"/>
        <w:outlineLvl w:val="0"/>
        <w:rPr>
          <w:rFonts w:hint="eastAsia" w:ascii="仿宋" w:hAnsi="仿宋" w:eastAsia="仿宋" w:cs="仿宋"/>
          <w:kern w:val="1"/>
          <w:sz w:val="32"/>
          <w:szCs w:val="32"/>
          <w:lang w:val="en-US" w:eastAsia="zh-CN" w:bidi="ar-SA"/>
        </w:rPr>
      </w:pPr>
      <w:r>
        <w:rPr>
          <w:rFonts w:hint="eastAsia" w:ascii="仿宋" w:hAnsi="仿宋" w:eastAsia="仿宋" w:cs="仿宋"/>
          <w:kern w:val="1"/>
          <w:sz w:val="32"/>
          <w:szCs w:val="32"/>
          <w:lang w:val="en-US" w:eastAsia="zh-CN" w:bidi="ar-SA"/>
        </w:rPr>
        <w:t>3、公共租赁住房租赁补贴发放任务：发放租赁补</w:t>
      </w:r>
      <w:r>
        <w:rPr>
          <w:rFonts w:hint="eastAsia" w:ascii="仿宋" w:hAnsi="仿宋" w:eastAsia="仿宋" w:cs="仿宋"/>
          <w:color w:val="auto"/>
          <w:kern w:val="1"/>
          <w:sz w:val="32"/>
          <w:szCs w:val="32"/>
          <w:lang w:val="en-US" w:eastAsia="zh-CN" w:bidi="ar-SA"/>
        </w:rPr>
        <w:t>贴</w:t>
      </w:r>
      <w:r>
        <w:rPr>
          <w:rFonts w:hint="eastAsia" w:ascii="仿宋" w:hAnsi="仿宋" w:eastAsia="仿宋" w:cs="仿宋"/>
          <w:kern w:val="1"/>
          <w:sz w:val="32"/>
          <w:szCs w:val="32"/>
          <w:lang w:val="en-US" w:eastAsia="zh-CN" w:bidi="ar-SA"/>
        </w:rPr>
        <w:t>150户，实际全年共发放租赁补贴179户。租赁补贴均按照资阳市人民政府办公室关于印发《资阳市公共租赁住房补贴实施意见》的通知（资府办发﹝2021﹞13号）文件的相关规定进行了公租房租赁补贴的审核和发放工作，做到了应保尽保。</w:t>
      </w:r>
    </w:p>
    <w:p>
      <w:pPr>
        <w:spacing w:line="60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）绩效指标完成情况分析</w:t>
      </w:r>
    </w:p>
    <w:p>
      <w:pPr>
        <w:spacing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年度改造面积</w:t>
      </w:r>
      <w:r>
        <w:rPr>
          <w:rFonts w:hint="eastAsia" w:ascii="仿宋" w:hAnsi="仿宋" w:eastAsia="仿宋" w:cs="仿宋"/>
          <w:sz w:val="32"/>
          <w:szCs w:val="32"/>
          <w:lang w:val="en-US" w:eastAsia="zh-CN"/>
        </w:rPr>
        <w:t>29.3</w:t>
      </w:r>
      <w:r>
        <w:rPr>
          <w:rFonts w:hint="eastAsia" w:ascii="仿宋" w:hAnsi="仿宋" w:eastAsia="仿宋" w:cs="仿宋"/>
          <w:sz w:val="32"/>
          <w:szCs w:val="32"/>
        </w:rPr>
        <w:t>6万平方米，改造户数</w:t>
      </w:r>
      <w:r>
        <w:rPr>
          <w:rFonts w:hint="eastAsia" w:ascii="仿宋" w:hAnsi="仿宋" w:eastAsia="仿宋" w:cs="仿宋"/>
          <w:sz w:val="32"/>
          <w:szCs w:val="32"/>
          <w:lang w:val="en-US" w:eastAsia="zh-CN"/>
        </w:rPr>
        <w:t>3276</w:t>
      </w:r>
      <w:r>
        <w:rPr>
          <w:rFonts w:hint="eastAsia" w:ascii="仿宋" w:hAnsi="仿宋" w:eastAsia="仿宋" w:cs="仿宋"/>
          <w:sz w:val="32"/>
          <w:szCs w:val="32"/>
        </w:rPr>
        <w:t>户，改造楼栋数</w:t>
      </w:r>
      <w:r>
        <w:rPr>
          <w:rFonts w:hint="eastAsia" w:ascii="仿宋" w:hAnsi="仿宋" w:eastAsia="仿宋" w:cs="仿宋"/>
          <w:sz w:val="32"/>
          <w:szCs w:val="32"/>
          <w:lang w:val="en-US" w:eastAsia="zh-CN"/>
        </w:rPr>
        <w:t>1</w:t>
      </w:r>
      <w:r>
        <w:rPr>
          <w:rFonts w:hint="eastAsia" w:ascii="仿宋" w:hAnsi="仿宋" w:eastAsia="仿宋" w:cs="仿宋"/>
          <w:sz w:val="32"/>
          <w:szCs w:val="32"/>
        </w:rPr>
        <w:t>4</w:t>
      </w:r>
      <w:r>
        <w:rPr>
          <w:rFonts w:hint="eastAsia" w:ascii="仿宋" w:hAnsi="仿宋" w:eastAsia="仿宋" w:cs="仿宋"/>
          <w:sz w:val="32"/>
          <w:szCs w:val="32"/>
          <w:lang w:val="en-US" w:eastAsia="zh-CN"/>
        </w:rPr>
        <w:t>3</w:t>
      </w:r>
      <w:r>
        <w:rPr>
          <w:rFonts w:hint="eastAsia" w:ascii="仿宋" w:hAnsi="仿宋" w:eastAsia="仿宋" w:cs="仿宋"/>
          <w:sz w:val="32"/>
          <w:szCs w:val="32"/>
        </w:rPr>
        <w:t>栋，改造小区数</w:t>
      </w:r>
      <w:r>
        <w:rPr>
          <w:rFonts w:hint="eastAsia" w:ascii="仿宋" w:hAnsi="仿宋" w:eastAsia="仿宋" w:cs="仿宋"/>
          <w:sz w:val="32"/>
          <w:szCs w:val="32"/>
          <w:lang w:val="en-US" w:eastAsia="zh-CN"/>
        </w:rPr>
        <w:t>44个</w:t>
      </w:r>
      <w:r>
        <w:rPr>
          <w:rFonts w:hint="eastAsia" w:ascii="仿宋" w:hAnsi="仿宋" w:eastAsia="仿宋" w:cs="仿宋"/>
          <w:sz w:val="32"/>
          <w:szCs w:val="32"/>
        </w:rPr>
        <w:t>，开工目标完成率</w:t>
      </w:r>
      <w:r>
        <w:rPr>
          <w:rFonts w:hint="eastAsia" w:ascii="仿宋" w:hAnsi="仿宋" w:eastAsia="仿宋" w:cs="仿宋"/>
          <w:sz w:val="32"/>
          <w:szCs w:val="32"/>
          <w:lang w:val="en-US" w:eastAsia="zh-CN"/>
        </w:rPr>
        <w:t>100</w:t>
      </w:r>
      <w:r>
        <w:rPr>
          <w:rFonts w:hint="eastAsia" w:ascii="仿宋" w:hAnsi="仿宋" w:eastAsia="仿宋" w:cs="仿宋"/>
          <w:sz w:val="32"/>
          <w:szCs w:val="32"/>
        </w:rPr>
        <w:t>%，按照合同202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月竣工。老旧小区住户居住条件得到有效改善，居民满意度达到100%，完成值均达到三级绩效指标值要求。</w:t>
      </w:r>
    </w:p>
    <w:p>
      <w:pPr>
        <w:spacing w:line="600" w:lineRule="exact"/>
        <w:ind w:firstLine="640" w:firstLineChars="200"/>
        <w:outlineLvl w:val="0"/>
        <w:rPr>
          <w:rFonts w:hint="eastAsia" w:ascii="仿宋" w:hAnsi="仿宋" w:eastAsia="仿宋" w:cs="仿宋"/>
          <w:kern w:val="1"/>
          <w:sz w:val="32"/>
          <w:szCs w:val="32"/>
          <w:lang w:val="en-US" w:eastAsia="zh-CN" w:bidi="ar-SA"/>
        </w:rPr>
      </w:pPr>
      <w:r>
        <w:rPr>
          <w:rFonts w:hint="eastAsia" w:ascii="仿宋" w:hAnsi="仿宋" w:eastAsia="仿宋" w:cs="仿宋"/>
          <w:sz w:val="32"/>
          <w:szCs w:val="32"/>
          <w:lang w:val="en-US" w:eastAsia="zh-CN"/>
        </w:rPr>
        <w:t>2、2022年全年共筹集保障性租赁住房300套，</w:t>
      </w:r>
      <w:r>
        <w:rPr>
          <w:rFonts w:hint="eastAsia" w:ascii="仿宋" w:hAnsi="仿宋" w:eastAsia="仿宋" w:cs="仿宋"/>
          <w:kern w:val="1"/>
          <w:sz w:val="32"/>
          <w:szCs w:val="32"/>
          <w:lang w:val="en-US" w:eastAsia="zh-CN" w:bidi="ar-SA"/>
        </w:rPr>
        <w:t>分别为购买闲置安置房50套，划转国有平台公司闲置房源13套，六十队房源65套，国有公房172套，共计筹集房源300套，任务完成率100%。</w:t>
      </w:r>
    </w:p>
    <w:p>
      <w:pPr>
        <w:spacing w:line="600" w:lineRule="exact"/>
        <w:ind w:firstLine="640" w:firstLineChars="200"/>
        <w:outlineLvl w:val="0"/>
        <w:rPr>
          <w:rFonts w:hint="eastAsia" w:ascii="仿宋" w:hAnsi="仿宋" w:eastAsia="仿宋" w:cs="仿宋"/>
          <w:kern w:val="1"/>
          <w:sz w:val="32"/>
          <w:szCs w:val="32"/>
          <w:lang w:val="en-US" w:eastAsia="zh-CN" w:bidi="ar-SA"/>
        </w:rPr>
      </w:pPr>
      <w:r>
        <w:rPr>
          <w:rFonts w:hint="eastAsia" w:ascii="仿宋" w:hAnsi="仿宋" w:eastAsia="仿宋" w:cs="仿宋"/>
          <w:kern w:val="1"/>
          <w:sz w:val="32"/>
          <w:szCs w:val="32"/>
          <w:lang w:val="en-US" w:eastAsia="zh-CN" w:bidi="ar-SA"/>
        </w:rPr>
        <w:t>3、2022年乐至县共发放租赁补贴179户，发放补贴款188407.50元，发放户数目标完成率119%。</w:t>
      </w:r>
    </w:p>
    <w:p>
      <w:pPr>
        <w:numPr>
          <w:ilvl w:val="0"/>
          <w:numId w:val="0"/>
        </w:numPr>
        <w:spacing w:line="60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三．</w:t>
      </w:r>
      <w:r>
        <w:rPr>
          <w:rFonts w:hint="eastAsia" w:ascii="仿宋" w:hAnsi="仿宋" w:eastAsia="仿宋" w:cs="仿宋"/>
          <w:b/>
          <w:bCs w:val="0"/>
          <w:sz w:val="32"/>
          <w:szCs w:val="32"/>
        </w:rPr>
        <w:t>偏离绩效目标的原因和下一步改进措施</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我县保障性安居工程各项任务均按照上级下达的指标任务及时完成，未发现偏离绩效目标的情况</w:t>
      </w:r>
      <w:r>
        <w:rPr>
          <w:rFonts w:hint="eastAsia" w:ascii="仿宋" w:hAnsi="仿宋" w:eastAsia="仿宋" w:cs="仿宋"/>
          <w:sz w:val="32"/>
          <w:szCs w:val="32"/>
        </w:rPr>
        <w:t>。</w:t>
      </w:r>
    </w:p>
    <w:p>
      <w:pPr>
        <w:spacing w:line="60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四、绩效自评结果拟应用和公开情况</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val="en-US" w:eastAsia="zh-CN"/>
        </w:rPr>
        <w:t>单位</w:t>
      </w:r>
      <w:r>
        <w:rPr>
          <w:rFonts w:hint="eastAsia" w:ascii="仿宋" w:hAnsi="仿宋" w:eastAsia="仿宋" w:cs="仿宋"/>
          <w:sz w:val="32"/>
          <w:szCs w:val="32"/>
        </w:rPr>
        <w:t>拟将自评结果在门户网站公开。</w:t>
      </w:r>
    </w:p>
    <w:p>
      <w:pPr>
        <w:spacing w:line="60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五、其他需要说明的问题</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无。</w:t>
      </w:r>
    </w:p>
    <w:p>
      <w:pPr>
        <w:spacing w:line="600" w:lineRule="exact"/>
        <w:ind w:firstLine="640" w:firstLineChars="200"/>
        <w:rPr>
          <w:rFonts w:hint="eastAsia" w:ascii="仿宋" w:hAnsi="仿宋" w:eastAsia="仿宋" w:cs="仿宋"/>
          <w:sz w:val="32"/>
          <w:szCs w:val="32"/>
        </w:rPr>
      </w:pPr>
    </w:p>
    <w:p>
      <w:pPr>
        <w:pStyle w:val="8"/>
        <w:spacing w:before="93"/>
        <w:rPr>
          <w:rFonts w:hint="eastAsia" w:ascii="仿宋" w:hAnsi="仿宋" w:eastAsia="仿宋" w:cs="仿宋"/>
          <w:sz w:val="32"/>
          <w:szCs w:val="32"/>
          <w:shd w:val="clear" w:color="auto" w:fill="FFFFFF"/>
          <w:lang w:val="zh-CN"/>
        </w:rPr>
      </w:pP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eastAsia" w:ascii="仿宋" w:hAnsi="仿宋" w:eastAsia="仿宋" w:cs="仿宋"/>
          <w:color w:val="auto"/>
          <w:sz w:val="32"/>
          <w:szCs w:val="32"/>
          <w:lang w:eastAsia="zh-CN"/>
        </w:rPr>
      </w:pP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eastAsia" w:ascii="仿宋" w:hAnsi="仿宋" w:eastAsia="仿宋" w:cs="仿宋"/>
          <w:color w:val="auto"/>
          <w:sz w:val="32"/>
          <w:szCs w:val="32"/>
          <w:lang w:eastAsia="zh-CN"/>
        </w:rPr>
      </w:pP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eastAsia" w:ascii="仿宋" w:hAnsi="仿宋" w:eastAsia="仿宋" w:cs="仿宋"/>
          <w:color w:val="auto"/>
          <w:sz w:val="32"/>
          <w:szCs w:val="32"/>
          <w:lang w:eastAsia="zh-CN"/>
        </w:rPr>
      </w:pP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eastAsia" w:ascii="仿宋" w:hAnsi="仿宋" w:eastAsia="仿宋" w:cs="仿宋"/>
          <w:color w:val="auto"/>
          <w:sz w:val="32"/>
          <w:szCs w:val="32"/>
          <w:lang w:eastAsia="zh-CN"/>
        </w:rPr>
      </w:pP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附件3</w:t>
      </w:r>
    </w:p>
    <w:p>
      <w:pPr>
        <w:pStyle w:val="16"/>
        <w:widowControl/>
        <w:autoSpaceDE w:val="0"/>
        <w:spacing w:line="660" w:lineRule="exact"/>
        <w:jc w:val="center"/>
        <w:rPr>
          <w:rFonts w:hint="eastAsia" w:ascii="仿宋" w:hAnsi="仿宋" w:eastAsia="仿宋" w:cs="仿宋"/>
          <w:sz w:val="32"/>
          <w:szCs w:val="32"/>
          <w:lang w:val="en-US" w:eastAsia="zh-CN"/>
        </w:rPr>
      </w:pPr>
    </w:p>
    <w:p>
      <w:pPr>
        <w:spacing w:line="580" w:lineRule="exact"/>
        <w:jc w:val="center"/>
        <w:rPr>
          <w:rFonts w:hint="eastAsia" w:ascii="仿宋" w:hAnsi="仿宋" w:eastAsia="仿宋" w:cs="仿宋"/>
          <w:sz w:val="48"/>
          <w:szCs w:val="48"/>
        </w:rPr>
      </w:pPr>
      <w:r>
        <w:rPr>
          <w:rFonts w:hint="eastAsia" w:ascii="仿宋" w:hAnsi="仿宋" w:eastAsia="仿宋" w:cs="仿宋"/>
          <w:sz w:val="48"/>
          <w:szCs w:val="48"/>
          <w:lang w:val="en-US" w:eastAsia="zh-CN"/>
        </w:rPr>
        <w:t>2015年至2017年购房补贴</w:t>
      </w:r>
      <w:r>
        <w:rPr>
          <w:rFonts w:hint="eastAsia" w:ascii="仿宋" w:hAnsi="仿宋" w:eastAsia="仿宋" w:cs="仿宋"/>
          <w:sz w:val="48"/>
          <w:szCs w:val="48"/>
        </w:rPr>
        <w:t>项目支出</w:t>
      </w:r>
    </w:p>
    <w:p>
      <w:pPr>
        <w:spacing w:line="580" w:lineRule="exact"/>
        <w:jc w:val="center"/>
        <w:rPr>
          <w:rFonts w:hint="eastAsia" w:ascii="仿宋" w:hAnsi="仿宋" w:eastAsia="仿宋" w:cs="仿宋"/>
          <w:b/>
          <w:sz w:val="48"/>
          <w:szCs w:val="48"/>
        </w:rPr>
      </w:pPr>
      <w:r>
        <w:rPr>
          <w:rFonts w:hint="eastAsia" w:ascii="仿宋" w:hAnsi="仿宋" w:eastAsia="仿宋" w:cs="仿宋"/>
          <w:sz w:val="48"/>
          <w:szCs w:val="48"/>
        </w:rPr>
        <w:t>绩效自评报告</w:t>
      </w:r>
    </w:p>
    <w:p>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spacing w:line="580" w:lineRule="exact"/>
        <w:ind w:firstLine="2880" w:firstLineChars="9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前  言</w:t>
      </w:r>
    </w:p>
    <w:p>
      <w:pPr>
        <w:spacing w:line="580" w:lineRule="exact"/>
        <w:rPr>
          <w:rFonts w:hint="default" w:ascii="仿宋" w:hAnsi="仿宋" w:eastAsia="仿宋" w:cs="仿宋"/>
          <w:b/>
          <w:bCs/>
          <w:sz w:val="32"/>
          <w:szCs w:val="32"/>
          <w:lang w:val="en-US" w:eastAsia="zh-CN"/>
        </w:rPr>
      </w:pPr>
      <w:r>
        <w:rPr>
          <w:rFonts w:hint="eastAsia" w:ascii="仿宋" w:hAnsi="仿宋" w:eastAsia="仿宋" w:cs="仿宋"/>
          <w:b/>
          <w:bCs/>
          <w:sz w:val="32"/>
          <w:szCs w:val="32"/>
        </w:rPr>
        <w:t>一</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项目</w:t>
      </w:r>
      <w:r>
        <w:rPr>
          <w:rFonts w:hint="eastAsia" w:ascii="仿宋" w:hAnsi="仿宋" w:eastAsia="仿宋" w:cs="仿宋"/>
          <w:b/>
          <w:bCs/>
          <w:sz w:val="32"/>
          <w:szCs w:val="32"/>
          <w:lang w:val="en-US" w:eastAsia="zh-CN"/>
        </w:rPr>
        <w:t>基本情况</w:t>
      </w:r>
    </w:p>
    <w:p>
      <w:pPr>
        <w:spacing w:line="580" w:lineRule="exact"/>
        <w:rPr>
          <w:rFonts w:hint="eastAsia" w:ascii="仿宋" w:hAnsi="仿宋" w:eastAsia="仿宋" w:cs="仿宋"/>
          <w:b/>
          <w:sz w:val="32"/>
          <w:szCs w:val="32"/>
        </w:rPr>
      </w:pPr>
      <w:r>
        <w:rPr>
          <w:rFonts w:hint="eastAsia" w:ascii="仿宋" w:hAnsi="仿宋" w:eastAsia="仿宋" w:cs="仿宋"/>
          <w:b/>
          <w:sz w:val="32"/>
          <w:szCs w:val="32"/>
        </w:rPr>
        <w:t>（一）概况</w:t>
      </w:r>
    </w:p>
    <w:p>
      <w:pPr>
        <w:keepNext w:val="0"/>
        <w:keepLines w:val="0"/>
        <w:pageBreakBefore w:val="0"/>
        <w:widowControl w:val="0"/>
        <w:kinsoku/>
        <w:wordWrap/>
        <w:overflowPunct/>
        <w:topLinePunct w:val="0"/>
        <w:autoSpaceDE w:val="0"/>
        <w:autoSpaceDN/>
        <w:bidi w:val="0"/>
        <w:adjustRightInd/>
        <w:snapToGrid/>
        <w:spacing w:line="580" w:lineRule="exact"/>
        <w:ind w:firstLine="321" w:firstLineChars="100"/>
        <w:textAlignment w:val="auto"/>
        <w:rPr>
          <w:rFonts w:hint="eastAsia" w:ascii="仿宋" w:hAnsi="仿宋" w:eastAsia="仿宋" w:cs="仿宋"/>
          <w:sz w:val="32"/>
          <w:szCs w:val="32"/>
        </w:rPr>
      </w:pPr>
      <w:r>
        <w:rPr>
          <w:rFonts w:hint="eastAsia" w:ascii="仿宋" w:hAnsi="仿宋" w:eastAsia="仿宋" w:cs="仿宋"/>
          <w:b/>
          <w:sz w:val="32"/>
          <w:szCs w:val="32"/>
        </w:rPr>
        <w:t>1.</w:t>
      </w:r>
      <w:r>
        <w:rPr>
          <w:rFonts w:hint="eastAsia" w:ascii="仿宋" w:hAnsi="仿宋" w:eastAsia="仿宋" w:cs="仿宋"/>
          <w:sz w:val="32"/>
          <w:szCs w:val="32"/>
        </w:rPr>
        <w:t>立项背景及目的</w:t>
      </w:r>
    </w:p>
    <w:p>
      <w:pPr>
        <w:keepNext w:val="0"/>
        <w:keepLines w:val="0"/>
        <w:pageBreakBefore w:val="0"/>
        <w:widowControl w:val="0"/>
        <w:kinsoku/>
        <w:wordWrap/>
        <w:overflowPunct/>
        <w:topLinePunct w:val="0"/>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color w:val="auto"/>
          <w:sz w:val="32"/>
          <w:szCs w:val="32"/>
          <w:lang w:val="en-US" w:eastAsia="zh-CN"/>
        </w:rPr>
        <w:t>为进一步促进商品房销售，减少商品房库存，</w:t>
      </w:r>
      <w:r>
        <w:rPr>
          <w:rFonts w:hint="eastAsia" w:ascii="仿宋" w:hAnsi="仿宋" w:eastAsia="仿宋" w:cs="仿宋"/>
          <w:color w:val="auto"/>
          <w:sz w:val="32"/>
          <w:szCs w:val="32"/>
          <w:highlight w:val="none"/>
          <w:lang w:val="en-US" w:eastAsia="zh-CN"/>
        </w:rPr>
        <w:t>增强购房者信心，化解社会矛盾，</w:t>
      </w:r>
      <w:r>
        <w:rPr>
          <w:rFonts w:hint="eastAsia" w:ascii="仿宋" w:hAnsi="仿宋" w:eastAsia="仿宋" w:cs="仿宋"/>
          <w:b w:val="0"/>
          <w:bCs/>
          <w:color w:val="auto"/>
          <w:sz w:val="32"/>
          <w:szCs w:val="32"/>
          <w:lang w:val="en-US" w:eastAsia="zh-CN"/>
        </w:rPr>
        <w:t>更好地促进全县房地产持续平稳健康发展有积极重要作用。</w:t>
      </w:r>
      <w:r>
        <w:rPr>
          <w:rFonts w:hint="eastAsia" w:ascii="仿宋" w:hAnsi="仿宋" w:eastAsia="仿宋" w:cs="仿宋"/>
          <w:sz w:val="32"/>
          <w:szCs w:val="32"/>
        </w:rPr>
        <w:t>根据</w:t>
      </w:r>
      <w:r>
        <w:rPr>
          <w:rFonts w:hint="eastAsia" w:ascii="仿宋" w:hAnsi="仿宋" w:eastAsia="仿宋" w:cs="仿宋"/>
          <w:color w:val="auto"/>
          <w:sz w:val="32"/>
          <w:szCs w:val="32"/>
        </w:rPr>
        <w:t>《乐至县促进房地产市场健康发展的实施意见的通知》（乐府办发</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201</w:t>
      </w:r>
      <w:r>
        <w:rPr>
          <w:rFonts w:hint="eastAsia" w:ascii="仿宋" w:hAnsi="仿宋" w:eastAsia="仿宋" w:cs="仿宋"/>
          <w:color w:val="auto"/>
          <w:sz w:val="32"/>
          <w:szCs w:val="32"/>
          <w:lang w:val="en-US" w:eastAsia="zh-CN"/>
        </w:rPr>
        <w:t>5〕74</w:t>
      </w:r>
      <w:r>
        <w:rPr>
          <w:rFonts w:hint="eastAsia" w:ascii="仿宋" w:hAnsi="仿宋" w:eastAsia="仿宋" w:cs="仿宋"/>
          <w:color w:val="auto"/>
          <w:sz w:val="32"/>
          <w:szCs w:val="32"/>
        </w:rPr>
        <w:t>号</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乐府办发</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2016</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89号）文件精神，</w:t>
      </w:r>
      <w:r>
        <w:rPr>
          <w:rFonts w:hint="eastAsia" w:ascii="仿宋" w:hAnsi="仿宋" w:eastAsia="仿宋" w:cs="仿宋"/>
          <w:sz w:val="32"/>
          <w:szCs w:val="32"/>
        </w:rPr>
        <w:t>《乐至县住房和城乡建设局乐至县财政局关于兑现城乡居民购房补助的实施方案》，凡从2015年9月15日至2017年9月14日在县城区首次购买商品住房的，给予200元/㎡的补助；购买自住改善性住房（限二套）给予100元/㎡的补助。</w:t>
      </w:r>
    </w:p>
    <w:p>
      <w:pPr>
        <w:pStyle w:val="16"/>
        <w:widowControl/>
        <w:numPr>
          <w:ilvl w:val="0"/>
          <w:numId w:val="0"/>
        </w:numPr>
        <w:spacing w:line="580" w:lineRule="exact"/>
        <w:ind w:firstLine="320" w:firstLineChars="1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预算资金来源及使用情况</w:t>
      </w:r>
    </w:p>
    <w:p>
      <w:pPr>
        <w:pStyle w:val="16"/>
        <w:widowControl/>
        <w:numPr>
          <w:ilvl w:val="0"/>
          <w:numId w:val="0"/>
        </w:numPr>
        <w:spacing w:line="580" w:lineRule="exact"/>
        <w:ind w:firstLine="960" w:firstLineChars="300"/>
        <w:rPr>
          <w:rFonts w:hint="eastAsia" w:ascii="仿宋" w:hAnsi="仿宋" w:eastAsia="仿宋" w:cs="仿宋"/>
          <w:sz w:val="32"/>
          <w:szCs w:val="32"/>
          <w:lang w:eastAsia="zh-CN"/>
        </w:rPr>
      </w:pPr>
      <w:r>
        <w:rPr>
          <w:rFonts w:hint="eastAsia" w:ascii="仿宋" w:hAnsi="仿宋" w:eastAsia="仿宋" w:cs="仿宋"/>
          <w:color w:val="auto"/>
          <w:sz w:val="32"/>
          <w:szCs w:val="32"/>
          <w:lang w:val="en-US" w:eastAsia="zh-CN"/>
        </w:rPr>
        <w:t>2022年1月</w:t>
      </w:r>
      <w:r>
        <w:rPr>
          <w:rFonts w:hint="eastAsia" w:ascii="仿宋" w:hAnsi="仿宋" w:eastAsia="仿宋" w:cs="仿宋"/>
          <w:color w:val="auto"/>
          <w:sz w:val="32"/>
          <w:szCs w:val="32"/>
        </w:rPr>
        <w:t>财政</w:t>
      </w:r>
      <w:r>
        <w:rPr>
          <w:rFonts w:hint="eastAsia" w:ascii="仿宋" w:hAnsi="仿宋" w:eastAsia="仿宋" w:cs="仿宋"/>
          <w:color w:val="auto"/>
          <w:sz w:val="32"/>
          <w:szCs w:val="32"/>
          <w:lang w:val="en-US" w:eastAsia="zh-CN"/>
        </w:rPr>
        <w:t>拨入</w:t>
      </w:r>
      <w:r>
        <w:rPr>
          <w:rFonts w:hint="eastAsia" w:ascii="仿宋" w:hAnsi="仿宋" w:eastAsia="仿宋" w:cs="仿宋"/>
          <w:color w:val="auto"/>
          <w:sz w:val="32"/>
          <w:szCs w:val="32"/>
        </w:rPr>
        <w:t>资金</w:t>
      </w:r>
      <w:r>
        <w:rPr>
          <w:rFonts w:hint="eastAsia" w:ascii="仿宋" w:hAnsi="仿宋" w:eastAsia="仿宋" w:cs="仿宋"/>
          <w:color w:val="auto"/>
          <w:sz w:val="32"/>
          <w:szCs w:val="32"/>
          <w:lang w:val="en-US" w:eastAsia="zh-CN"/>
        </w:rPr>
        <w:t>1112.73万元，严格按照</w:t>
      </w:r>
      <w:r>
        <w:rPr>
          <w:rFonts w:hint="eastAsia" w:ascii="仿宋" w:hAnsi="仿宋" w:eastAsia="仿宋" w:cs="仿宋"/>
          <w:sz w:val="32"/>
          <w:szCs w:val="32"/>
        </w:rPr>
        <w:t>《乐至县住房和城乡建设局乐至县财政局关于兑现城乡居民购房补助的实施方案》</w:t>
      </w:r>
      <w:r>
        <w:rPr>
          <w:rFonts w:hint="eastAsia" w:ascii="仿宋" w:hAnsi="仿宋" w:eastAsia="仿宋" w:cs="仿宋"/>
          <w:sz w:val="32"/>
          <w:szCs w:val="32"/>
          <w:lang w:val="en-US" w:eastAsia="zh-CN"/>
        </w:rPr>
        <w:t>执行</w:t>
      </w:r>
      <w:r>
        <w:rPr>
          <w:rFonts w:hint="eastAsia" w:ascii="仿宋" w:hAnsi="仿宋" w:eastAsia="仿宋" w:cs="仿宋"/>
          <w:sz w:val="32"/>
          <w:szCs w:val="32"/>
        </w:rPr>
        <w:t>，购房补助资金</w:t>
      </w:r>
      <w:r>
        <w:rPr>
          <w:rFonts w:hint="eastAsia" w:ascii="仿宋" w:hAnsi="仿宋" w:eastAsia="仿宋" w:cs="仿宋"/>
          <w:sz w:val="32"/>
          <w:szCs w:val="32"/>
          <w:lang w:val="en-US" w:eastAsia="zh-CN"/>
        </w:rPr>
        <w:t>分三年发放，</w:t>
      </w:r>
      <w:r>
        <w:rPr>
          <w:rFonts w:hint="eastAsia" w:ascii="仿宋" w:hAnsi="仿宋" w:eastAsia="仿宋" w:cs="仿宋"/>
          <w:sz w:val="32"/>
          <w:szCs w:val="32"/>
        </w:rPr>
        <w:t>按5：3：2的比例进行兑付。即申请审核通过后第一年支付每户享受补助资金的50%，第二年支付30%，第三年支付余下的20%</w:t>
      </w:r>
      <w:r>
        <w:rPr>
          <w:rFonts w:hint="eastAsia" w:ascii="仿宋" w:hAnsi="仿宋" w:eastAsia="仿宋" w:cs="仿宋"/>
          <w:sz w:val="32"/>
          <w:szCs w:val="32"/>
          <w:lang w:eastAsia="zh-CN"/>
        </w:rPr>
        <w:t>。</w:t>
      </w:r>
    </w:p>
    <w:p>
      <w:pPr>
        <w:numPr>
          <w:ilvl w:val="0"/>
          <w:numId w:val="5"/>
        </w:num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实施情况（项目完成情况）</w:t>
      </w:r>
      <w:r>
        <w:rPr>
          <w:rFonts w:hint="eastAsia" w:ascii="仿宋" w:hAnsi="仿宋" w:eastAsia="仿宋" w:cs="仿宋"/>
          <w:sz w:val="32"/>
          <w:szCs w:val="32"/>
          <w:lang w:eastAsia="zh-CN"/>
        </w:rPr>
        <w:t>于</w:t>
      </w:r>
      <w:r>
        <w:rPr>
          <w:rFonts w:hint="eastAsia" w:ascii="仿宋" w:hAnsi="仿宋" w:eastAsia="仿宋" w:cs="仿宋"/>
          <w:sz w:val="32"/>
          <w:szCs w:val="32"/>
          <w:lang w:val="en-US" w:eastAsia="zh-CN"/>
        </w:rPr>
        <w:t>2022年1月完成了符合购房补助条件</w:t>
      </w:r>
      <w:r>
        <w:rPr>
          <w:rFonts w:hint="eastAsia" w:ascii="仿宋" w:hAnsi="仿宋" w:eastAsia="仿宋" w:cs="仿宋"/>
          <w:sz w:val="32"/>
          <w:szCs w:val="32"/>
        </w:rPr>
        <w:t>第</w:t>
      </w:r>
      <w:r>
        <w:rPr>
          <w:rFonts w:hint="eastAsia" w:ascii="仿宋" w:hAnsi="仿宋" w:eastAsia="仿宋" w:cs="仿宋"/>
          <w:sz w:val="32"/>
          <w:szCs w:val="32"/>
          <w:lang w:val="en-US" w:eastAsia="zh-CN"/>
        </w:rPr>
        <w:t>一</w:t>
      </w:r>
      <w:r>
        <w:rPr>
          <w:rFonts w:hint="eastAsia" w:ascii="仿宋" w:hAnsi="仿宋" w:eastAsia="仿宋" w:cs="仿宋"/>
          <w:sz w:val="32"/>
          <w:szCs w:val="32"/>
        </w:rPr>
        <w:t>批</w:t>
      </w:r>
      <w:r>
        <w:rPr>
          <w:rFonts w:hint="eastAsia" w:ascii="仿宋" w:hAnsi="仿宋" w:eastAsia="仿宋" w:cs="仿宋"/>
          <w:sz w:val="32"/>
          <w:szCs w:val="32"/>
          <w:lang w:eastAsia="zh-CN"/>
        </w:rPr>
        <w:t>次第</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30%购房</w:t>
      </w:r>
      <w:r>
        <w:rPr>
          <w:rFonts w:hint="eastAsia" w:ascii="仿宋" w:hAnsi="仿宋" w:eastAsia="仿宋" w:cs="仿宋"/>
          <w:sz w:val="32"/>
          <w:szCs w:val="32"/>
        </w:rPr>
        <w:t>补助</w:t>
      </w:r>
      <w:r>
        <w:rPr>
          <w:rFonts w:hint="eastAsia" w:ascii="仿宋" w:hAnsi="仿宋" w:eastAsia="仿宋" w:cs="仿宋"/>
          <w:sz w:val="32"/>
          <w:szCs w:val="32"/>
          <w:lang w:val="en-US" w:eastAsia="zh-CN"/>
        </w:rPr>
        <w:t>的</w:t>
      </w:r>
      <w:r>
        <w:rPr>
          <w:rFonts w:hint="eastAsia" w:ascii="仿宋" w:hAnsi="仿宋" w:eastAsia="仿宋" w:cs="仿宋"/>
          <w:sz w:val="32"/>
          <w:szCs w:val="32"/>
          <w:lang w:eastAsia="zh-CN"/>
        </w:rPr>
        <w:t>兑付工作，</w:t>
      </w:r>
      <w:r>
        <w:rPr>
          <w:rFonts w:hint="eastAsia" w:ascii="仿宋" w:hAnsi="仿宋" w:eastAsia="仿宋" w:cs="仿宋"/>
          <w:color w:val="auto"/>
          <w:sz w:val="32"/>
          <w:szCs w:val="32"/>
          <w:lang w:val="en-US" w:eastAsia="zh-CN"/>
        </w:rPr>
        <w:t>共计2199户，</w:t>
      </w:r>
      <w:r>
        <w:rPr>
          <w:rFonts w:hint="eastAsia" w:ascii="仿宋" w:hAnsi="仿宋" w:eastAsia="仿宋" w:cs="仿宋"/>
          <w:sz w:val="32"/>
          <w:szCs w:val="32"/>
          <w:lang w:val="en-US" w:eastAsia="zh-CN"/>
        </w:rPr>
        <w:t>预算执行100%。</w:t>
      </w:r>
    </w:p>
    <w:p>
      <w:pPr>
        <w:numPr>
          <w:ilvl w:val="0"/>
          <w:numId w:val="0"/>
        </w:numPr>
        <w:spacing w:line="58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（二）绩效目标</w:t>
      </w:r>
    </w:p>
    <w:p>
      <w:pPr>
        <w:spacing w:line="580" w:lineRule="exact"/>
        <w:ind w:firstLine="640" w:firstLineChars="200"/>
        <w:rPr>
          <w:rFonts w:hint="eastAsia" w:ascii="仿宋" w:hAnsi="仿宋" w:eastAsia="仿宋" w:cs="仿宋"/>
          <w:b w:val="0"/>
          <w:bCs/>
          <w:color w:val="auto"/>
          <w:sz w:val="32"/>
          <w:szCs w:val="32"/>
          <w:lang w:val="en-US" w:eastAsia="zh-CN"/>
        </w:rPr>
      </w:pPr>
      <w:r>
        <w:rPr>
          <w:rFonts w:hint="eastAsia" w:ascii="仿宋" w:hAnsi="仿宋" w:eastAsia="仿宋" w:cs="仿宋"/>
          <w:sz w:val="32"/>
          <w:szCs w:val="32"/>
        </w:rPr>
        <w:t>绩效总目标</w:t>
      </w:r>
      <w:r>
        <w:rPr>
          <w:rFonts w:hint="eastAsia" w:ascii="仿宋" w:hAnsi="仿宋" w:eastAsia="仿宋" w:cs="仿宋"/>
          <w:sz w:val="32"/>
          <w:szCs w:val="32"/>
          <w:lang w:eastAsia="zh-CN"/>
        </w:rPr>
        <w:t>：</w:t>
      </w:r>
      <w:r>
        <w:rPr>
          <w:rFonts w:hint="eastAsia" w:ascii="仿宋" w:hAnsi="仿宋" w:eastAsia="仿宋" w:cs="仿宋"/>
          <w:b w:val="0"/>
          <w:bCs/>
          <w:color w:val="auto"/>
          <w:sz w:val="32"/>
          <w:szCs w:val="32"/>
          <w:lang w:val="en-US" w:eastAsia="zh-CN"/>
        </w:rPr>
        <w:t>为进一步促进商品房销售，减少商品房库存，</w:t>
      </w:r>
      <w:r>
        <w:rPr>
          <w:rFonts w:hint="eastAsia" w:ascii="仿宋" w:hAnsi="仿宋" w:eastAsia="仿宋" w:cs="仿宋"/>
          <w:color w:val="auto"/>
          <w:sz w:val="32"/>
          <w:szCs w:val="32"/>
          <w:highlight w:val="none"/>
          <w:lang w:val="en-US" w:eastAsia="zh-CN"/>
        </w:rPr>
        <w:t>增强购房者信心，化解社会矛盾，</w:t>
      </w:r>
      <w:r>
        <w:rPr>
          <w:rFonts w:hint="eastAsia" w:ascii="仿宋" w:hAnsi="仿宋" w:eastAsia="仿宋" w:cs="仿宋"/>
          <w:b w:val="0"/>
          <w:bCs/>
          <w:color w:val="auto"/>
          <w:sz w:val="32"/>
          <w:szCs w:val="32"/>
          <w:lang w:val="en-US" w:eastAsia="zh-CN"/>
        </w:rPr>
        <w:t>更好地促进全县房地产持续平稳健康发展有积极重要作用。</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具体绩效目标，</w:t>
      </w:r>
      <w:r>
        <w:rPr>
          <w:rFonts w:hint="eastAsia" w:ascii="仿宋" w:hAnsi="仿宋" w:eastAsia="仿宋" w:cs="仿宋"/>
          <w:sz w:val="32"/>
          <w:szCs w:val="32"/>
          <w:lang w:val="en-US" w:eastAsia="zh-CN"/>
        </w:rPr>
        <w:t>完成</w:t>
      </w:r>
      <w:r>
        <w:rPr>
          <w:rFonts w:hint="eastAsia" w:ascii="仿宋" w:hAnsi="仿宋" w:eastAsia="仿宋" w:cs="仿宋"/>
          <w:sz w:val="32"/>
          <w:szCs w:val="32"/>
        </w:rPr>
        <w:t>第</w:t>
      </w:r>
      <w:r>
        <w:rPr>
          <w:rFonts w:hint="eastAsia" w:ascii="仿宋" w:hAnsi="仿宋" w:eastAsia="仿宋" w:cs="仿宋"/>
          <w:sz w:val="32"/>
          <w:szCs w:val="32"/>
          <w:lang w:val="en-US" w:eastAsia="zh-CN"/>
        </w:rPr>
        <w:t>一</w:t>
      </w:r>
      <w:r>
        <w:rPr>
          <w:rFonts w:hint="eastAsia" w:ascii="仿宋" w:hAnsi="仿宋" w:eastAsia="仿宋" w:cs="仿宋"/>
          <w:sz w:val="32"/>
          <w:szCs w:val="32"/>
        </w:rPr>
        <w:t>批</w:t>
      </w:r>
      <w:r>
        <w:rPr>
          <w:rFonts w:hint="eastAsia" w:ascii="仿宋" w:hAnsi="仿宋" w:eastAsia="仿宋" w:cs="仿宋"/>
          <w:sz w:val="32"/>
          <w:szCs w:val="32"/>
          <w:lang w:eastAsia="zh-CN"/>
        </w:rPr>
        <w:t>次第</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30%购房</w:t>
      </w:r>
      <w:r>
        <w:rPr>
          <w:rFonts w:hint="eastAsia" w:ascii="仿宋" w:hAnsi="仿宋" w:eastAsia="仿宋" w:cs="仿宋"/>
          <w:sz w:val="32"/>
          <w:szCs w:val="32"/>
        </w:rPr>
        <w:t>补助</w:t>
      </w:r>
      <w:r>
        <w:rPr>
          <w:rFonts w:hint="eastAsia" w:ascii="仿宋" w:hAnsi="仿宋" w:eastAsia="仿宋" w:cs="仿宋"/>
          <w:sz w:val="32"/>
          <w:szCs w:val="32"/>
          <w:lang w:val="en-US" w:eastAsia="zh-CN"/>
        </w:rPr>
        <w:t>的</w:t>
      </w:r>
      <w:r>
        <w:rPr>
          <w:rFonts w:hint="eastAsia" w:ascii="仿宋" w:hAnsi="仿宋" w:eastAsia="仿宋" w:cs="仿宋"/>
          <w:sz w:val="32"/>
          <w:szCs w:val="32"/>
          <w:lang w:eastAsia="zh-CN"/>
        </w:rPr>
        <w:t>兑付工作</w:t>
      </w:r>
      <w:r>
        <w:rPr>
          <w:rFonts w:hint="eastAsia" w:ascii="仿宋" w:hAnsi="仿宋" w:eastAsia="仿宋" w:cs="仿宋"/>
          <w:sz w:val="32"/>
          <w:szCs w:val="32"/>
          <w:lang w:val="en-US" w:eastAsia="zh-CN"/>
        </w:rPr>
        <w:t>，2199户，</w:t>
      </w:r>
      <w:r>
        <w:rPr>
          <w:rFonts w:hint="eastAsia" w:ascii="仿宋" w:hAnsi="仿宋" w:eastAsia="仿宋" w:cs="仿宋"/>
          <w:color w:val="auto"/>
          <w:sz w:val="32"/>
          <w:szCs w:val="32"/>
          <w:lang w:val="en-US" w:eastAsia="zh-CN"/>
        </w:rPr>
        <w:t>1112.73</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购房补贴兑付工作</w:t>
      </w:r>
      <w:r>
        <w:rPr>
          <w:rFonts w:hint="eastAsia" w:ascii="仿宋" w:hAnsi="仿宋" w:eastAsia="仿宋" w:cs="仿宋"/>
          <w:sz w:val="32"/>
          <w:szCs w:val="32"/>
        </w:rPr>
        <w:t>。</w:t>
      </w:r>
    </w:p>
    <w:p>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二、绩效自评工作情况</w:t>
      </w:r>
    </w:p>
    <w:p>
      <w:pPr>
        <w:spacing w:line="58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（一）自评工作组织领导</w:t>
      </w:r>
    </w:p>
    <w:p>
      <w:pPr>
        <w:pStyle w:val="2"/>
        <w:rPr>
          <w:rFonts w:hint="default" w:eastAsia="仿宋"/>
          <w:b w:val="0"/>
          <w:bCs w:val="0"/>
          <w:lang w:val="en-US" w:eastAsia="zh-CN"/>
        </w:rPr>
      </w:pPr>
      <w:r>
        <w:rPr>
          <w:rFonts w:hint="eastAsia" w:ascii="仿宋" w:hAnsi="仿宋" w:eastAsia="仿宋" w:cs="仿宋"/>
          <w:b w:val="0"/>
          <w:bCs w:val="0"/>
          <w:sz w:val="32"/>
          <w:szCs w:val="32"/>
          <w:lang w:val="en-US" w:eastAsia="zh-CN"/>
        </w:rPr>
        <w:t>由项目管理部门负责，财务部门配合对项目进行自评。</w:t>
      </w:r>
    </w:p>
    <w:p>
      <w:pPr>
        <w:spacing w:line="58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（二）自评方式、方法、重点等</w:t>
      </w:r>
    </w:p>
    <w:p>
      <w:pPr>
        <w:spacing w:line="580" w:lineRule="exact"/>
        <w:ind w:firstLine="640" w:firstLineChars="200"/>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重点选择贯彻落实党和国家重大决策部署和重大方针政策的项目及社会关注度高，影响力大，覆盖面广，实施期长的支出项目。根据财政部门的相关要求，运用规范合理，科学完整的项目支出绩效评价标准，评价指标和评价方法，采用目标比较法，成本效益分析法，定量分析和定性分析相结合的方式，将绩效实现情况与预期绩效目标进行比较，对目标完成，预算执行，组织实施，资金管理，绩效完成等情况进行分析评判，并根据设定的评价指标表逐项进行计算得分。</w:t>
      </w:r>
    </w:p>
    <w:p>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三、评价结论</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总体介绍绩效评价结果情况，按照综合评分结果，依据《乐至县财政支出绩效评价管理办法》规定确定绩效等级</w:t>
      </w:r>
      <w:r>
        <w:rPr>
          <w:rFonts w:hint="eastAsia" w:ascii="仿宋" w:hAnsi="仿宋" w:eastAsia="仿宋" w:cs="仿宋"/>
          <w:sz w:val="32"/>
          <w:szCs w:val="32"/>
          <w:lang w:val="en-US" w:eastAsia="zh-CN"/>
        </w:rPr>
        <w:t>为优</w:t>
      </w:r>
      <w:r>
        <w:rPr>
          <w:rFonts w:hint="eastAsia" w:ascii="仿宋" w:hAnsi="仿宋" w:eastAsia="仿宋" w:cs="仿宋"/>
          <w:sz w:val="32"/>
          <w:szCs w:val="32"/>
        </w:rPr>
        <w:t>。</w:t>
      </w:r>
    </w:p>
    <w:p>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四、绩效分析</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对照项目实施情况，对各评价指标目标值与实际值的差异程度及产生原因进行分析。</w:t>
      </w:r>
    </w:p>
    <w:p>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五、主要经验及做法、存在的问题和建议</w:t>
      </w:r>
    </w:p>
    <w:p>
      <w:pPr>
        <w:spacing w:line="580" w:lineRule="exact"/>
        <w:ind w:firstLine="643" w:firstLineChars="200"/>
        <w:rPr>
          <w:rFonts w:hint="default" w:ascii="仿宋" w:hAnsi="仿宋" w:eastAsia="仿宋" w:cs="仿宋"/>
          <w:b/>
          <w:sz w:val="32"/>
          <w:szCs w:val="32"/>
          <w:lang w:val="en-US" w:eastAsia="zh-CN"/>
        </w:rPr>
      </w:pPr>
      <w:r>
        <w:rPr>
          <w:rFonts w:hint="eastAsia" w:ascii="仿宋" w:hAnsi="仿宋" w:eastAsia="仿宋" w:cs="仿宋"/>
          <w:b/>
          <w:sz w:val="32"/>
          <w:szCs w:val="32"/>
        </w:rPr>
        <w:t>（一）主要经验及做法</w:t>
      </w: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 xml:space="preserve"> </w:t>
      </w:r>
      <w:bookmarkStart w:id="69" w:name="_GoBack"/>
      <w:bookmarkEnd w:id="69"/>
      <w:r>
        <w:rPr>
          <w:rFonts w:hint="eastAsia" w:ascii="仿宋" w:hAnsi="仿宋" w:eastAsia="仿宋" w:cs="仿宋"/>
          <w:b w:val="0"/>
          <w:bCs/>
          <w:sz w:val="32"/>
          <w:szCs w:val="32"/>
          <w:lang w:val="en-US" w:eastAsia="zh-CN"/>
        </w:rPr>
        <w:t>无</w:t>
      </w:r>
    </w:p>
    <w:p>
      <w:pPr>
        <w:spacing w:line="580" w:lineRule="exact"/>
        <w:ind w:firstLine="643" w:firstLineChars="200"/>
        <w:rPr>
          <w:rFonts w:hint="default" w:ascii="仿宋" w:hAnsi="仿宋" w:eastAsia="仿宋" w:cs="仿宋"/>
          <w:b/>
          <w:sz w:val="32"/>
          <w:szCs w:val="32"/>
          <w:lang w:val="en-US" w:eastAsia="zh-CN"/>
        </w:rPr>
      </w:pPr>
      <w:r>
        <w:rPr>
          <w:rFonts w:hint="eastAsia" w:ascii="仿宋" w:hAnsi="仿宋" w:eastAsia="仿宋" w:cs="仿宋"/>
          <w:b/>
          <w:sz w:val="32"/>
          <w:szCs w:val="32"/>
        </w:rPr>
        <w:t>（二）存在的问题</w:t>
      </w:r>
      <w:r>
        <w:rPr>
          <w:rFonts w:hint="eastAsia" w:ascii="仿宋" w:hAnsi="仿宋" w:eastAsia="仿宋" w:cs="仿宋"/>
          <w:b/>
          <w:sz w:val="32"/>
          <w:szCs w:val="32"/>
          <w:lang w:val="en-US" w:eastAsia="zh-CN"/>
        </w:rPr>
        <w:t xml:space="preserve">    </w:t>
      </w:r>
      <w:r>
        <w:rPr>
          <w:rFonts w:hint="eastAsia" w:ascii="仿宋" w:hAnsi="仿宋" w:eastAsia="仿宋" w:cs="仿宋"/>
          <w:b w:val="0"/>
          <w:bCs/>
          <w:sz w:val="32"/>
          <w:szCs w:val="32"/>
          <w:lang w:val="en-US" w:eastAsia="zh-CN"/>
        </w:rPr>
        <w:t>项目完成进度较缓。</w:t>
      </w:r>
    </w:p>
    <w:p>
      <w:pPr>
        <w:spacing w:line="580" w:lineRule="exact"/>
        <w:ind w:firstLine="643" w:firstLineChars="200"/>
        <w:rPr>
          <w:rFonts w:hint="default" w:eastAsia="仿宋"/>
          <w:b w:val="0"/>
          <w:bCs w:val="0"/>
          <w:lang w:val="en-US" w:eastAsia="zh-CN"/>
        </w:rPr>
      </w:pPr>
      <w:r>
        <w:rPr>
          <w:rFonts w:hint="eastAsia" w:ascii="仿宋" w:hAnsi="仿宋" w:eastAsia="仿宋" w:cs="仿宋"/>
          <w:b/>
          <w:sz w:val="32"/>
          <w:szCs w:val="32"/>
        </w:rPr>
        <w:t>（三）建议和改进措施</w:t>
      </w:r>
      <w:r>
        <w:rPr>
          <w:rFonts w:hint="eastAsia" w:ascii="仿宋" w:hAnsi="仿宋" w:eastAsia="仿宋" w:cs="仿宋"/>
          <w:b/>
          <w:sz w:val="32"/>
          <w:szCs w:val="32"/>
          <w:lang w:val="en-US" w:eastAsia="zh-CN"/>
        </w:rPr>
        <w:t xml:space="preserve">   </w:t>
      </w:r>
      <w:r>
        <w:rPr>
          <w:rFonts w:hint="eastAsia" w:ascii="仿宋" w:hAnsi="仿宋" w:eastAsia="仿宋" w:cs="仿宋"/>
          <w:b w:val="0"/>
          <w:bCs w:val="0"/>
          <w:sz w:val="32"/>
          <w:szCs w:val="32"/>
          <w:lang w:val="en-US" w:eastAsia="zh-CN"/>
        </w:rPr>
        <w:t>建议加快资金拨付进度。</w:t>
      </w:r>
    </w:p>
    <w:p>
      <w:pPr>
        <w:spacing w:line="580" w:lineRule="exact"/>
        <w:ind w:firstLine="640" w:firstLineChars="200"/>
        <w:rPr>
          <w:rFonts w:hint="eastAsia" w:ascii="仿宋" w:hAnsi="仿宋" w:eastAsia="仿宋" w:cs="仿宋"/>
          <w:sz w:val="32"/>
          <w:szCs w:val="32"/>
        </w:rPr>
      </w:pP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附件：1.2021年度乐至县项目支出绩效自评计分表</w:t>
      </w:r>
    </w:p>
    <w:p>
      <w:pPr>
        <w:spacing w:line="580" w:lineRule="exact"/>
        <w:ind w:left="1916" w:leftChars="760" w:hanging="320" w:hangingChars="100"/>
        <w:rPr>
          <w:rFonts w:hint="eastAsia" w:ascii="仿宋" w:hAnsi="仿宋" w:eastAsia="仿宋" w:cs="仿宋"/>
          <w:sz w:val="32"/>
          <w:szCs w:val="32"/>
        </w:rPr>
      </w:pPr>
      <w:r>
        <w:rPr>
          <w:rFonts w:hint="eastAsia" w:ascii="仿宋" w:hAnsi="仿宋" w:eastAsia="仿宋" w:cs="仿宋"/>
          <w:sz w:val="32"/>
          <w:szCs w:val="32"/>
        </w:rPr>
        <w:t>2.2021年度乐至县项目支出绩效目标完成情况表</w:t>
      </w:r>
    </w:p>
    <w:p>
      <w:pPr>
        <w:spacing w:line="620" w:lineRule="exact"/>
        <w:jc w:val="center"/>
        <w:rPr>
          <w:rFonts w:eastAsia="方正小标宋简体"/>
          <w:bCs/>
          <w:kern w:val="0"/>
          <w:sz w:val="44"/>
          <w:szCs w:val="44"/>
        </w:rPr>
      </w:pPr>
    </w:p>
    <w:p>
      <w:pPr>
        <w:spacing w:line="620" w:lineRule="exact"/>
        <w:jc w:val="center"/>
        <w:rPr>
          <w:rFonts w:eastAsia="方正小标宋简体"/>
          <w:bCs/>
          <w:kern w:val="0"/>
          <w:sz w:val="44"/>
          <w:szCs w:val="44"/>
        </w:rPr>
      </w:pPr>
    </w:p>
    <w:p>
      <w:pPr>
        <w:spacing w:line="620" w:lineRule="exact"/>
        <w:jc w:val="center"/>
        <w:rPr>
          <w:rFonts w:eastAsia="方正小标宋简体"/>
          <w:bCs/>
          <w:kern w:val="0"/>
          <w:sz w:val="44"/>
          <w:szCs w:val="44"/>
        </w:rPr>
      </w:pPr>
    </w:p>
    <w:p>
      <w:pPr>
        <w:spacing w:line="620" w:lineRule="exact"/>
        <w:jc w:val="center"/>
        <w:rPr>
          <w:rFonts w:eastAsia="方正小标宋简体"/>
          <w:bCs/>
          <w:kern w:val="0"/>
          <w:sz w:val="44"/>
          <w:szCs w:val="44"/>
        </w:rPr>
      </w:pPr>
    </w:p>
    <w:p>
      <w:pPr>
        <w:spacing w:line="620" w:lineRule="exact"/>
        <w:jc w:val="both"/>
        <w:rPr>
          <w:rFonts w:eastAsia="方正小标宋简体"/>
          <w:bCs/>
          <w:kern w:val="0"/>
          <w:sz w:val="44"/>
          <w:szCs w:val="44"/>
        </w:rPr>
      </w:pPr>
    </w:p>
    <w:p>
      <w:pPr>
        <w:spacing w:line="620" w:lineRule="exact"/>
        <w:ind w:firstLine="440" w:firstLineChars="100"/>
        <w:jc w:val="both"/>
        <w:rPr>
          <w:rFonts w:eastAsia="方正小标宋简体"/>
          <w:bCs/>
          <w:kern w:val="0"/>
          <w:sz w:val="44"/>
          <w:szCs w:val="44"/>
        </w:rPr>
      </w:pPr>
    </w:p>
    <w:p>
      <w:pPr>
        <w:spacing w:line="620" w:lineRule="exact"/>
        <w:ind w:firstLine="440" w:firstLineChars="100"/>
        <w:jc w:val="both"/>
        <w:rPr>
          <w:rFonts w:eastAsia="方正小标宋简体"/>
          <w:bCs/>
          <w:kern w:val="0"/>
          <w:sz w:val="44"/>
          <w:szCs w:val="44"/>
        </w:rPr>
      </w:pPr>
    </w:p>
    <w:p>
      <w:pPr>
        <w:spacing w:line="620" w:lineRule="exact"/>
        <w:ind w:firstLine="440" w:firstLineChars="100"/>
        <w:jc w:val="both"/>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lang w:eastAsia="zh-CN"/>
        </w:rPr>
        <w:t>（</w:t>
      </w:r>
      <w:r>
        <w:rPr>
          <w:rFonts w:hint="eastAsia" w:eastAsia="方正楷体简体"/>
          <w:b/>
          <w:bCs/>
          <w:kern w:val="0"/>
          <w:sz w:val="32"/>
          <w:szCs w:val="32"/>
          <w:lang w:val="en-US" w:eastAsia="zh-CN"/>
        </w:rPr>
        <w:t>房交会补贴</w:t>
      </w:r>
      <w:r>
        <w:rPr>
          <w:rFonts w:hint="eastAsia" w:eastAsia="方正楷体简体"/>
          <w:b/>
          <w:bCs/>
          <w:kern w:val="0"/>
          <w:sz w:val="32"/>
          <w:szCs w:val="32"/>
        </w:rPr>
        <w:t>项目）</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乐至房地产管理局</w:t>
      </w:r>
      <w:r>
        <w:rPr>
          <w:bCs/>
          <w:kern w:val="0"/>
          <w:sz w:val="24"/>
        </w:rPr>
        <w:t xml:space="preserve">    </w:t>
      </w:r>
      <w:r>
        <w:rPr>
          <w:rFonts w:hint="eastAsia"/>
          <w:bCs/>
          <w:kern w:val="0"/>
          <w:sz w:val="24"/>
        </w:rPr>
        <w:t>预算单位编码</w:t>
      </w:r>
      <w:r>
        <w:rPr>
          <w:rFonts w:hint="eastAsia"/>
          <w:bCs/>
          <w:kern w:val="0"/>
          <w:sz w:val="24"/>
          <w:lang w:eastAsia="zh-CN"/>
        </w:rPr>
        <w:t>：</w:t>
      </w:r>
      <w:r>
        <w:rPr>
          <w:bCs/>
          <w:kern w:val="0"/>
          <w:sz w:val="24"/>
        </w:rPr>
        <w:t xml:space="preserve"> </w:t>
      </w:r>
      <w:r>
        <w:rPr>
          <w:rFonts w:hint="eastAsia"/>
          <w:bCs/>
          <w:kern w:val="0"/>
          <w:sz w:val="24"/>
          <w:lang w:val="en-US" w:eastAsia="zh-CN"/>
        </w:rPr>
        <w:t>149001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8"/>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kern w:val="0"/>
                <w:szCs w:val="21"/>
              </w:rPr>
            </w:pPr>
            <w:r>
              <w:rPr>
                <w:rFonts w:hint="eastAsia"/>
                <w:kern w:val="0"/>
                <w:szCs w:val="21"/>
              </w:rPr>
              <w:t>　</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89</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rPr>
          <w:rFonts w:hint="eastAsia" w:ascii="仿宋" w:hAnsi="仿宋" w:eastAsia="仿宋" w:cs="仿宋"/>
        </w:rPr>
      </w:pPr>
    </w:p>
    <w:p>
      <w:pPr>
        <w:pStyle w:val="8"/>
        <w:spacing w:before="93"/>
        <w:rPr>
          <w:rFonts w:hint="eastAsia"/>
          <w:lang w:val="en-US" w:eastAsia="zh-CN"/>
        </w:rPr>
      </w:pPr>
    </w:p>
    <w:p>
      <w:pPr>
        <w:spacing w:line="520" w:lineRule="exact"/>
        <w:ind w:left="-176"/>
        <w:jc w:val="center"/>
        <w:rPr>
          <w:rFonts w:eastAsia="方正小标宋简体"/>
          <w:bCs/>
          <w:kern w:val="0"/>
          <w:sz w:val="44"/>
          <w:szCs w:val="44"/>
        </w:rPr>
      </w:pPr>
      <w:r>
        <w:rPr>
          <w:rFonts w:hint="eastAsia" w:eastAsia="方正小标宋简体"/>
          <w:bCs/>
          <w:kern w:val="0"/>
          <w:sz w:val="44"/>
          <w:szCs w:val="44"/>
        </w:rPr>
        <w:t>项目支出绩效目标申报表</w:t>
      </w:r>
    </w:p>
    <w:p>
      <w:pPr>
        <w:spacing w:line="520" w:lineRule="exact"/>
        <w:ind w:left="-176"/>
        <w:jc w:val="center"/>
        <w:rPr>
          <w:rFonts w:hint="eastAsia" w:ascii="宋体" w:hAnsi="宋体" w:eastAsia="宋体" w:cs="宋体"/>
          <w:b/>
          <w:kern w:val="0"/>
          <w:sz w:val="28"/>
          <w:szCs w:val="28"/>
        </w:rPr>
      </w:pPr>
      <w:r>
        <w:rPr>
          <w:rFonts w:hint="eastAsia" w:ascii="宋体" w:hAnsi="宋体" w:eastAsia="宋体" w:cs="宋体"/>
          <w:b/>
          <w:kern w:val="0"/>
          <w:sz w:val="28"/>
          <w:szCs w:val="28"/>
          <w:lang w:eastAsia="zh-CN"/>
        </w:rPr>
        <w:t>（</w:t>
      </w:r>
      <w:r>
        <w:rPr>
          <w:rFonts w:hint="eastAsia" w:ascii="宋体" w:hAnsi="宋体" w:eastAsia="宋体" w:cs="宋体"/>
          <w:b/>
          <w:kern w:val="0"/>
          <w:sz w:val="28"/>
          <w:szCs w:val="28"/>
        </w:rPr>
        <w:t xml:space="preserve">  </w:t>
      </w:r>
      <w:r>
        <w:rPr>
          <w:rFonts w:hint="eastAsia" w:ascii="宋体" w:hAnsi="宋体" w:eastAsia="宋体" w:cs="宋体"/>
          <w:b/>
          <w:kern w:val="0"/>
          <w:sz w:val="28"/>
          <w:szCs w:val="28"/>
          <w:lang w:val="en-US" w:eastAsia="zh-CN"/>
        </w:rPr>
        <w:t>2022</w:t>
      </w:r>
      <w:r>
        <w:rPr>
          <w:rFonts w:hint="eastAsia" w:ascii="宋体" w:hAnsi="宋体" w:eastAsia="宋体" w:cs="宋体"/>
          <w:b/>
          <w:kern w:val="0"/>
          <w:sz w:val="28"/>
          <w:szCs w:val="28"/>
        </w:rPr>
        <w:t>年度）</w:t>
      </w:r>
    </w:p>
    <w:tbl>
      <w:tblPr>
        <w:tblStyle w:val="18"/>
        <w:tblW w:w="959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52"/>
        <w:gridCol w:w="779"/>
        <w:gridCol w:w="1009"/>
        <w:gridCol w:w="191"/>
        <w:gridCol w:w="1418"/>
        <w:gridCol w:w="31"/>
        <w:gridCol w:w="1281"/>
        <w:gridCol w:w="170"/>
        <w:gridCol w:w="1019"/>
        <w:gridCol w:w="760"/>
        <w:gridCol w:w="577"/>
        <w:gridCol w:w="14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18" w:type="dxa"/>
            <w:gridSpan w:val="7"/>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5274" w:type="dxa"/>
            <w:gridSpan w:val="6"/>
            <w:vAlign w:val="center"/>
          </w:tcPr>
          <w:p>
            <w:pPr>
              <w:spacing w:line="600" w:lineRule="exact"/>
              <w:jc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乐至县住房和城乡建设局兑现2015至2017年购房补助</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18" w:type="dxa"/>
            <w:gridSpan w:val="7"/>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预算单位</w:t>
            </w:r>
          </w:p>
        </w:tc>
        <w:tc>
          <w:tcPr>
            <w:tcW w:w="5274"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eastAsia="zh-CN"/>
              </w:rPr>
              <w:t>乐至县房地产管理局</w:t>
            </w: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18" w:type="dxa"/>
            <w:gridSpan w:val="7"/>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项目类型</w:t>
            </w:r>
          </w:p>
        </w:tc>
        <w:tc>
          <w:tcPr>
            <w:tcW w:w="1281"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产业发展</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1189" w:type="dxa"/>
            <w:gridSpan w:val="2"/>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 xml:space="preserve">民生保障   </w:t>
            </w:r>
            <w:r>
              <w:rPr>
                <w:rFonts w:hint="eastAsia" w:ascii="宋体" w:hAnsi="宋体" w:eastAsia="宋体" w:cs="宋体"/>
                <w:kern w:val="0"/>
                <w:sz w:val="18"/>
                <w:szCs w:val="18"/>
                <w:lang w:eastAsia="zh-CN"/>
              </w:rPr>
              <w:t>☑</w:t>
            </w:r>
          </w:p>
        </w:tc>
        <w:tc>
          <w:tcPr>
            <w:tcW w:w="1337"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基础设施   □</w:t>
            </w:r>
          </w:p>
        </w:tc>
        <w:tc>
          <w:tcPr>
            <w:tcW w:w="1467"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行政运行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8" w:type="dxa"/>
            <w:vMerge w:val="restart"/>
            <w:vAlign w:val="center"/>
          </w:tcPr>
          <w:p>
            <w:pPr>
              <w:spacing w:line="290" w:lineRule="exact"/>
              <w:jc w:val="center"/>
              <w:rPr>
                <w:rFonts w:hint="eastAsia" w:ascii="宋体" w:hAnsi="宋体" w:eastAsia="宋体" w:cs="宋体"/>
                <w:bCs/>
                <w:kern w:val="0"/>
                <w:sz w:val="18"/>
                <w:szCs w:val="18"/>
              </w:rPr>
            </w:pPr>
            <w:r>
              <w:rPr>
                <w:rFonts w:hint="eastAsia" w:ascii="宋体" w:hAnsi="宋体" w:eastAsia="宋体" w:cs="宋体"/>
                <w:bCs/>
                <w:kern w:val="0"/>
                <w:sz w:val="18"/>
                <w:szCs w:val="18"/>
              </w:rPr>
              <w:t>项目概况</w:t>
            </w:r>
          </w:p>
        </w:tc>
        <w:tc>
          <w:tcPr>
            <w:tcW w:w="3780" w:type="dxa"/>
            <w:gridSpan w:val="6"/>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中长期规划（名称、文号，仅指常年项目）</w:t>
            </w:r>
          </w:p>
        </w:tc>
        <w:tc>
          <w:tcPr>
            <w:tcW w:w="5274" w:type="dxa"/>
            <w:gridSpan w:val="6"/>
            <w:vAlign w:val="center"/>
          </w:tcPr>
          <w:p>
            <w:pPr>
              <w:spacing w:line="290" w:lineRule="exact"/>
              <w:jc w:val="center"/>
              <w:rPr>
                <w:rFonts w:hint="eastAsia" w:ascii="宋体" w:hAnsi="宋体" w:eastAsia="宋体" w:cs="宋体"/>
                <w:kern w:val="0"/>
                <w:sz w:val="18"/>
                <w:szCs w:val="18"/>
                <w:lang w:val="en-US" w:eastAsia="zh-CN" w:bidi="ar-SA"/>
              </w:rPr>
            </w:pPr>
            <w:r>
              <w:rPr>
                <w:rFonts w:hint="eastAsia" w:ascii="宋体" w:hAnsi="宋体" w:eastAsia="宋体" w:cs="宋体"/>
                <w:b w:val="0"/>
                <w:bCs w:val="0"/>
                <w:sz w:val="18"/>
                <w:szCs w:val="18"/>
              </w:rPr>
              <w:t>《乐至县促进房地产市场健康发展的实施意见的通知》（乐府办发【201</w:t>
            </w:r>
            <w:r>
              <w:rPr>
                <w:rFonts w:hint="eastAsia" w:ascii="宋体" w:hAnsi="宋体" w:eastAsia="宋体" w:cs="宋体"/>
                <w:b w:val="0"/>
                <w:bCs w:val="0"/>
                <w:sz w:val="18"/>
                <w:szCs w:val="18"/>
                <w:lang w:val="en-US" w:eastAsia="zh-CN"/>
              </w:rPr>
              <w:t>5</w:t>
            </w:r>
            <w:r>
              <w:rPr>
                <w:rFonts w:hint="eastAsia" w:ascii="宋体" w:hAnsi="宋体" w:eastAsia="宋体" w:cs="宋体"/>
                <w:b w:val="0"/>
                <w:bCs w:val="0"/>
                <w:sz w:val="18"/>
                <w:szCs w:val="18"/>
              </w:rPr>
              <w:t>】</w:t>
            </w:r>
            <w:r>
              <w:rPr>
                <w:rFonts w:hint="eastAsia" w:ascii="宋体" w:hAnsi="宋体" w:eastAsia="宋体" w:cs="宋体"/>
                <w:b w:val="0"/>
                <w:bCs w:val="0"/>
                <w:sz w:val="18"/>
                <w:szCs w:val="18"/>
                <w:lang w:val="en-US" w:eastAsia="zh-CN"/>
              </w:rPr>
              <w:t>74</w:t>
            </w:r>
            <w:r>
              <w:rPr>
                <w:rFonts w:hint="eastAsia" w:ascii="宋体" w:hAnsi="宋体" w:eastAsia="宋体" w:cs="宋体"/>
                <w:b w:val="0"/>
                <w:bCs w:val="0"/>
                <w:sz w:val="18"/>
                <w:szCs w:val="18"/>
              </w:rPr>
              <w:t>号</w:t>
            </w:r>
            <w:r>
              <w:rPr>
                <w:rFonts w:hint="eastAsia" w:ascii="宋体" w:hAnsi="宋体" w:eastAsia="宋体" w:cs="宋体"/>
                <w:b w:val="0"/>
                <w:bCs w:val="0"/>
                <w:sz w:val="18"/>
                <w:szCs w:val="18"/>
                <w:lang w:val="en-US" w:eastAsia="zh-CN"/>
              </w:rPr>
              <w:t>)(</w:t>
            </w:r>
            <w:r>
              <w:rPr>
                <w:rFonts w:hint="eastAsia" w:ascii="宋体" w:hAnsi="宋体" w:eastAsia="宋体" w:cs="宋体"/>
                <w:b w:val="0"/>
                <w:bCs w:val="0"/>
                <w:sz w:val="18"/>
                <w:szCs w:val="18"/>
              </w:rPr>
              <w:t>【2016】89号）</w:t>
            </w:r>
            <w:r>
              <w:rPr>
                <w:rFonts w:hint="eastAsia" w:ascii="宋体" w:hAnsi="宋体" w:eastAsia="宋体" w:cs="宋体"/>
                <w:b w:val="0"/>
                <w:bCs w:val="0"/>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continue"/>
            <w:vAlign w:val="center"/>
          </w:tcPr>
          <w:p>
            <w:pPr>
              <w:spacing w:line="290" w:lineRule="exact"/>
              <w:jc w:val="left"/>
              <w:rPr>
                <w:rFonts w:hint="eastAsia" w:ascii="宋体" w:hAnsi="宋体" w:eastAsia="宋体" w:cs="宋体"/>
                <w:bCs/>
                <w:kern w:val="0"/>
                <w:sz w:val="18"/>
                <w:szCs w:val="18"/>
              </w:rPr>
            </w:pPr>
          </w:p>
        </w:tc>
        <w:tc>
          <w:tcPr>
            <w:tcW w:w="3780" w:type="dxa"/>
            <w:gridSpan w:val="6"/>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资金管理办法（名称、文号）</w:t>
            </w:r>
          </w:p>
        </w:tc>
        <w:tc>
          <w:tcPr>
            <w:tcW w:w="5274" w:type="dxa"/>
            <w:gridSpan w:val="6"/>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538" w:type="dxa"/>
            <w:vMerge w:val="continue"/>
            <w:vAlign w:val="center"/>
          </w:tcPr>
          <w:p>
            <w:pPr>
              <w:spacing w:line="290" w:lineRule="exact"/>
              <w:jc w:val="left"/>
              <w:rPr>
                <w:rFonts w:hint="eastAsia" w:ascii="宋体" w:hAnsi="宋体" w:eastAsia="宋体" w:cs="宋体"/>
                <w:bCs/>
                <w:kern w:val="0"/>
                <w:sz w:val="18"/>
                <w:szCs w:val="18"/>
              </w:rPr>
            </w:pPr>
          </w:p>
        </w:tc>
        <w:tc>
          <w:tcPr>
            <w:tcW w:w="3780"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绩效分配方式</w:t>
            </w:r>
          </w:p>
        </w:tc>
        <w:tc>
          <w:tcPr>
            <w:tcW w:w="5274"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因素法□   项目法</w:t>
            </w:r>
            <w:r>
              <w:rPr>
                <w:rFonts w:hint="eastAsia" w:ascii="宋体" w:hAnsi="宋体" w:eastAsia="宋体" w:cs="宋体"/>
                <w:kern w:val="0"/>
                <w:sz w:val="18"/>
                <w:szCs w:val="18"/>
              </w:rPr>
              <w:sym w:font="Wingdings 2" w:char="0052"/>
            </w:r>
            <w:r>
              <w:rPr>
                <w:rFonts w:hint="eastAsia" w:ascii="宋体" w:hAnsi="宋体" w:eastAsia="宋体" w:cs="宋体"/>
                <w:kern w:val="0"/>
                <w:sz w:val="18"/>
                <w:szCs w:val="18"/>
              </w:rPr>
              <w:t xml:space="preserve">  据实据效</w:t>
            </w:r>
            <w:r>
              <w:rPr>
                <w:rFonts w:hint="eastAsia" w:ascii="宋体" w:hAnsi="宋体" w:eastAsia="宋体" w:cs="宋体"/>
                <w:kern w:val="0"/>
                <w:sz w:val="18"/>
                <w:szCs w:val="18"/>
              </w:rPr>
              <w:sym w:font="Wingdings 2" w:char="0052"/>
            </w:r>
            <w:r>
              <w:rPr>
                <w:rFonts w:hint="eastAsia" w:ascii="宋体" w:hAnsi="宋体" w:eastAsia="宋体" w:cs="宋体"/>
                <w:kern w:val="0"/>
                <w:sz w:val="18"/>
                <w:szCs w:val="18"/>
              </w:rPr>
              <w:t xml:space="preserve">   因素法与项目法相结合□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67" w:hRule="atLeast"/>
          <w:jc w:val="center"/>
        </w:trPr>
        <w:tc>
          <w:tcPr>
            <w:tcW w:w="538" w:type="dxa"/>
            <w:vMerge w:val="continue"/>
            <w:vAlign w:val="center"/>
          </w:tcPr>
          <w:p>
            <w:pPr>
              <w:spacing w:line="290" w:lineRule="exact"/>
              <w:jc w:val="left"/>
              <w:rPr>
                <w:rFonts w:hint="eastAsia" w:ascii="宋体" w:hAnsi="宋体" w:eastAsia="宋体" w:cs="宋体"/>
                <w:bCs/>
                <w:kern w:val="0"/>
                <w:sz w:val="18"/>
                <w:szCs w:val="18"/>
              </w:rPr>
            </w:pPr>
          </w:p>
        </w:tc>
        <w:tc>
          <w:tcPr>
            <w:tcW w:w="3780"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立项依据</w:t>
            </w:r>
          </w:p>
        </w:tc>
        <w:tc>
          <w:tcPr>
            <w:tcW w:w="5274"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b w:val="0"/>
                <w:bCs w:val="0"/>
                <w:sz w:val="18"/>
                <w:szCs w:val="18"/>
              </w:rPr>
              <w:t>《乐至县促进房地产市场健康发展的实施意见的通知》（乐府办发【201</w:t>
            </w:r>
            <w:r>
              <w:rPr>
                <w:rFonts w:hint="eastAsia" w:ascii="宋体" w:hAnsi="宋体" w:eastAsia="宋体" w:cs="宋体"/>
                <w:b w:val="0"/>
                <w:bCs w:val="0"/>
                <w:sz w:val="18"/>
                <w:szCs w:val="18"/>
                <w:lang w:val="en-US" w:eastAsia="zh-CN"/>
              </w:rPr>
              <w:t>5</w:t>
            </w:r>
            <w:r>
              <w:rPr>
                <w:rFonts w:hint="eastAsia" w:ascii="宋体" w:hAnsi="宋体" w:eastAsia="宋体" w:cs="宋体"/>
                <w:b w:val="0"/>
                <w:bCs w:val="0"/>
                <w:sz w:val="18"/>
                <w:szCs w:val="18"/>
              </w:rPr>
              <w:t>】</w:t>
            </w:r>
            <w:r>
              <w:rPr>
                <w:rFonts w:hint="eastAsia" w:ascii="宋体" w:hAnsi="宋体" w:eastAsia="宋体" w:cs="宋体"/>
                <w:b w:val="0"/>
                <w:bCs w:val="0"/>
                <w:sz w:val="18"/>
                <w:szCs w:val="18"/>
                <w:lang w:val="en-US" w:eastAsia="zh-CN"/>
              </w:rPr>
              <w:t>74</w:t>
            </w:r>
            <w:r>
              <w:rPr>
                <w:rFonts w:hint="eastAsia" w:ascii="宋体" w:hAnsi="宋体" w:eastAsia="宋体" w:cs="宋体"/>
                <w:b w:val="0"/>
                <w:bCs w:val="0"/>
                <w:sz w:val="18"/>
                <w:szCs w:val="18"/>
              </w:rPr>
              <w:t>号</w:t>
            </w:r>
            <w:r>
              <w:rPr>
                <w:rFonts w:hint="eastAsia" w:ascii="宋体" w:hAnsi="宋体" w:eastAsia="宋体" w:cs="宋体"/>
                <w:b w:val="0"/>
                <w:bCs w:val="0"/>
                <w:sz w:val="18"/>
                <w:szCs w:val="18"/>
                <w:lang w:val="en-US" w:eastAsia="zh-CN"/>
              </w:rPr>
              <w:t>)(</w:t>
            </w:r>
            <w:r>
              <w:rPr>
                <w:rFonts w:hint="eastAsia" w:ascii="宋体" w:hAnsi="宋体" w:eastAsia="宋体" w:cs="宋体"/>
                <w:b w:val="0"/>
                <w:bCs w:val="0"/>
                <w:sz w:val="18"/>
                <w:szCs w:val="18"/>
              </w:rPr>
              <w:t>【2016】89号）</w:t>
            </w:r>
            <w:r>
              <w:rPr>
                <w:rFonts w:hint="eastAsia" w:ascii="宋体" w:hAnsi="宋体" w:eastAsia="宋体" w:cs="宋体"/>
                <w:b w:val="0"/>
                <w:bCs w:val="0"/>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538" w:type="dxa"/>
            <w:vMerge w:val="continue"/>
            <w:vAlign w:val="center"/>
          </w:tcPr>
          <w:p>
            <w:pPr>
              <w:spacing w:line="290" w:lineRule="exact"/>
              <w:jc w:val="left"/>
              <w:rPr>
                <w:rFonts w:hint="eastAsia" w:ascii="宋体" w:hAnsi="宋体" w:eastAsia="宋体" w:cs="宋体"/>
                <w:bCs/>
                <w:kern w:val="0"/>
                <w:sz w:val="18"/>
                <w:szCs w:val="18"/>
              </w:rPr>
            </w:pPr>
          </w:p>
        </w:tc>
        <w:tc>
          <w:tcPr>
            <w:tcW w:w="3780"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使用范围</w:t>
            </w:r>
          </w:p>
        </w:tc>
        <w:tc>
          <w:tcPr>
            <w:tcW w:w="5274"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360" w:firstLineChars="200"/>
              <w:textAlignment w:val="auto"/>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2015年9月15日起至2017年9月14日两年时间内在县城区购买商品住房的购房者</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38" w:type="dxa"/>
            <w:vMerge w:val="continue"/>
            <w:vAlign w:val="center"/>
          </w:tcPr>
          <w:p>
            <w:pPr>
              <w:spacing w:line="290" w:lineRule="exact"/>
              <w:jc w:val="left"/>
              <w:rPr>
                <w:rFonts w:hint="eastAsia" w:ascii="宋体" w:hAnsi="宋体" w:eastAsia="宋体" w:cs="宋体"/>
                <w:bCs/>
                <w:kern w:val="0"/>
                <w:sz w:val="18"/>
                <w:szCs w:val="18"/>
              </w:rPr>
            </w:pPr>
          </w:p>
        </w:tc>
        <w:tc>
          <w:tcPr>
            <w:tcW w:w="3780"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申报（补助）条件</w:t>
            </w:r>
          </w:p>
        </w:tc>
        <w:tc>
          <w:tcPr>
            <w:tcW w:w="5274"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360" w:firstLineChars="20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凡从2015年9月15日起至2017年9月14日止两年时间内在县城区首次购买商品住房的，给予200元／平方米的补助；购买自住改善性住房（限二套）给予100元／平方米的补助。（购买时间以网签时间为准）</w:t>
            </w:r>
          </w:p>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38" w:type="dxa"/>
            <w:vMerge w:val="continue"/>
            <w:vAlign w:val="center"/>
          </w:tcPr>
          <w:p>
            <w:pPr>
              <w:spacing w:line="290" w:lineRule="exact"/>
              <w:jc w:val="left"/>
              <w:rPr>
                <w:rFonts w:hint="eastAsia" w:ascii="宋体" w:hAnsi="宋体" w:eastAsia="宋体" w:cs="宋体"/>
                <w:bCs/>
                <w:kern w:val="0"/>
                <w:sz w:val="18"/>
                <w:szCs w:val="18"/>
              </w:rPr>
            </w:pPr>
          </w:p>
        </w:tc>
        <w:tc>
          <w:tcPr>
            <w:tcW w:w="3780"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项目起止年限</w:t>
            </w:r>
          </w:p>
        </w:tc>
        <w:tc>
          <w:tcPr>
            <w:tcW w:w="5274" w:type="dxa"/>
            <w:gridSpan w:val="6"/>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2015.9.15-2017.9.14</w:t>
            </w: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78" w:type="dxa"/>
            <w:gridSpan w:val="4"/>
            <w:vMerge w:val="restart"/>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项目资金</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（万元）</w:t>
            </w:r>
          </w:p>
        </w:tc>
        <w:tc>
          <w:tcPr>
            <w:tcW w:w="1640" w:type="dxa"/>
            <w:gridSpan w:val="3"/>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中长期资金总额：</w:t>
            </w:r>
          </w:p>
        </w:tc>
        <w:tc>
          <w:tcPr>
            <w:tcW w:w="1451"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&gt;9000</w:t>
            </w:r>
          </w:p>
        </w:tc>
        <w:tc>
          <w:tcPr>
            <w:tcW w:w="1779"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2044" w:type="dxa"/>
            <w:gridSpan w:val="2"/>
            <w:vAlign w:val="center"/>
          </w:tcPr>
          <w:p>
            <w:pPr>
              <w:spacing w:line="290" w:lineRule="exact"/>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1112.73411</w:t>
            </w: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78" w:type="dxa"/>
            <w:gridSpan w:val="4"/>
            <w:vMerge w:val="continue"/>
            <w:vAlign w:val="center"/>
          </w:tcPr>
          <w:p>
            <w:pPr>
              <w:spacing w:line="290" w:lineRule="exact"/>
              <w:jc w:val="left"/>
              <w:rPr>
                <w:rFonts w:hint="eastAsia" w:ascii="宋体" w:hAnsi="宋体" w:eastAsia="宋体" w:cs="宋体"/>
                <w:kern w:val="0"/>
                <w:sz w:val="18"/>
                <w:szCs w:val="18"/>
              </w:rPr>
            </w:pPr>
          </w:p>
        </w:tc>
        <w:tc>
          <w:tcPr>
            <w:tcW w:w="1640" w:type="dxa"/>
            <w:gridSpan w:val="3"/>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其中：财政拨款</w:t>
            </w:r>
          </w:p>
        </w:tc>
        <w:tc>
          <w:tcPr>
            <w:tcW w:w="1451"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&gt;9000</w:t>
            </w:r>
          </w:p>
        </w:tc>
        <w:tc>
          <w:tcPr>
            <w:tcW w:w="1779"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其中：财政拨款</w:t>
            </w:r>
          </w:p>
        </w:tc>
        <w:tc>
          <w:tcPr>
            <w:tcW w:w="2044" w:type="dxa"/>
            <w:gridSpan w:val="2"/>
            <w:vAlign w:val="center"/>
          </w:tcPr>
          <w:p>
            <w:pPr>
              <w:spacing w:line="290" w:lineRule="exact"/>
              <w:jc w:val="right"/>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1112.73411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78" w:type="dxa"/>
            <w:gridSpan w:val="4"/>
            <w:vMerge w:val="continue"/>
            <w:vAlign w:val="center"/>
          </w:tcPr>
          <w:p>
            <w:pPr>
              <w:spacing w:line="290" w:lineRule="exact"/>
              <w:jc w:val="left"/>
              <w:rPr>
                <w:rFonts w:hint="eastAsia" w:ascii="宋体" w:hAnsi="宋体" w:eastAsia="宋体" w:cs="宋体"/>
                <w:kern w:val="0"/>
                <w:sz w:val="18"/>
                <w:szCs w:val="18"/>
              </w:rPr>
            </w:pPr>
          </w:p>
        </w:tc>
        <w:tc>
          <w:tcPr>
            <w:tcW w:w="1640" w:type="dxa"/>
            <w:gridSpan w:val="3"/>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其他资金</w:t>
            </w:r>
          </w:p>
        </w:tc>
        <w:tc>
          <w:tcPr>
            <w:tcW w:w="1451"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779"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其他资金</w:t>
            </w:r>
          </w:p>
        </w:tc>
        <w:tc>
          <w:tcPr>
            <w:tcW w:w="2044" w:type="dxa"/>
            <w:gridSpan w:val="2"/>
            <w:vAlign w:val="center"/>
          </w:tcPr>
          <w:p>
            <w:pPr>
              <w:spacing w:line="290" w:lineRule="exact"/>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0</w:t>
            </w:r>
            <w:r>
              <w:rPr>
                <w:rFonts w:hint="eastAsia" w:ascii="宋体" w:hAnsi="宋体" w:eastAsia="宋体" w:cs="宋体"/>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90" w:type="dxa"/>
            <w:gridSpan w:val="2"/>
            <w:vMerge w:val="restart"/>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总体目标</w:t>
            </w:r>
          </w:p>
        </w:tc>
        <w:tc>
          <w:tcPr>
            <w:tcW w:w="4879" w:type="dxa"/>
            <w:gridSpan w:val="7"/>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总体目标</w:t>
            </w:r>
          </w:p>
        </w:tc>
        <w:tc>
          <w:tcPr>
            <w:tcW w:w="3823" w:type="dxa"/>
            <w:gridSpan w:val="4"/>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4879" w:type="dxa"/>
            <w:gridSpan w:val="7"/>
          </w:tcPr>
          <w:p>
            <w:pPr>
              <w:spacing w:line="290" w:lineRule="exact"/>
              <w:jc w:val="left"/>
              <w:rPr>
                <w:rFonts w:hint="eastAsia" w:ascii="宋体" w:hAnsi="宋体" w:eastAsia="宋体" w:cs="宋体"/>
                <w:kern w:val="0"/>
                <w:sz w:val="18"/>
                <w:szCs w:val="18"/>
              </w:rPr>
            </w:pPr>
            <w:r>
              <w:rPr>
                <w:rFonts w:hint="eastAsia" w:ascii="宋体" w:hAnsi="宋体" w:eastAsia="宋体" w:cs="宋体"/>
                <w:sz w:val="18"/>
                <w:szCs w:val="18"/>
                <w:lang w:val="en-US" w:eastAsia="zh-CN"/>
              </w:rPr>
              <w:t>达到去库存目的，缓解购房压力，</w:t>
            </w:r>
            <w:r>
              <w:rPr>
                <w:rFonts w:hint="eastAsia" w:ascii="宋体" w:hAnsi="宋体" w:eastAsia="宋体" w:cs="宋体"/>
                <w:sz w:val="18"/>
                <w:szCs w:val="18"/>
              </w:rPr>
              <w:t>促进房地产市场健康发展</w:t>
            </w:r>
          </w:p>
        </w:tc>
        <w:tc>
          <w:tcPr>
            <w:tcW w:w="3823" w:type="dxa"/>
            <w:gridSpan w:val="4"/>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完成814.56624万元购房补贴发放，共计2479户。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restart"/>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绩</w:t>
            </w:r>
          </w:p>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w:t>
            </w:r>
          </w:p>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指</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标</w:t>
            </w:r>
          </w:p>
        </w:tc>
        <w:tc>
          <w:tcPr>
            <w:tcW w:w="779" w:type="dxa"/>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一级</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200"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1418"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1482" w:type="dxa"/>
            <w:gridSpan w:val="3"/>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指标值（包含数字及文字描述）</w:t>
            </w:r>
          </w:p>
        </w:tc>
        <w:tc>
          <w:tcPr>
            <w:tcW w:w="1019"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1337"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1467"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指标值（包含数字及文字描述）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restart"/>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w:t>
            </w:r>
          </w:p>
        </w:tc>
        <w:tc>
          <w:tcPr>
            <w:tcW w:w="1200"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1418"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发放购房补贴户数</w:t>
            </w:r>
          </w:p>
        </w:tc>
        <w:tc>
          <w:tcPr>
            <w:tcW w:w="1482" w:type="dxa"/>
            <w:gridSpan w:val="3"/>
            <w:vAlign w:val="center"/>
          </w:tcPr>
          <w:p>
            <w:pPr>
              <w:spacing w:line="290" w:lineRule="exact"/>
              <w:jc w:val="left"/>
              <w:rPr>
                <w:rFonts w:hint="eastAsia" w:ascii="宋体" w:hAnsi="宋体" w:eastAsia="宋体" w:cs="宋体"/>
                <w:kern w:val="0"/>
                <w:sz w:val="18"/>
                <w:szCs w:val="18"/>
                <w:lang w:val="en-US"/>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&gt;8000户</w:t>
            </w:r>
          </w:p>
        </w:tc>
        <w:tc>
          <w:tcPr>
            <w:tcW w:w="1019"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1337"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发放购房补贴户数</w:t>
            </w:r>
          </w:p>
        </w:tc>
        <w:tc>
          <w:tcPr>
            <w:tcW w:w="1467"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2199户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continue"/>
            <w:vAlign w:val="center"/>
          </w:tcPr>
          <w:p>
            <w:pPr>
              <w:spacing w:line="290" w:lineRule="exact"/>
              <w:jc w:val="left"/>
              <w:rPr>
                <w:rFonts w:hint="eastAsia" w:ascii="宋体" w:hAnsi="宋体" w:eastAsia="宋体" w:cs="宋体"/>
                <w:kern w:val="0"/>
                <w:sz w:val="18"/>
                <w:szCs w:val="18"/>
              </w:rPr>
            </w:pPr>
          </w:p>
        </w:tc>
        <w:tc>
          <w:tcPr>
            <w:tcW w:w="1200"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p>
        </w:tc>
        <w:tc>
          <w:tcPr>
            <w:tcW w:w="1418"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w:t>
            </w:r>
            <w:r>
              <w:rPr>
                <w:rFonts w:hint="eastAsia" w:ascii="宋体" w:hAnsi="宋体" w:eastAsia="宋体" w:cs="宋体"/>
                <w:kern w:val="0"/>
                <w:sz w:val="18"/>
                <w:szCs w:val="18"/>
                <w:lang w:val="en-US" w:eastAsia="zh-CN"/>
              </w:rPr>
              <w:t>1：发放成功率</w:t>
            </w:r>
          </w:p>
        </w:tc>
        <w:tc>
          <w:tcPr>
            <w:tcW w:w="1482" w:type="dxa"/>
            <w:gridSpan w:val="3"/>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100%</w:t>
            </w:r>
          </w:p>
        </w:tc>
        <w:tc>
          <w:tcPr>
            <w:tcW w:w="1019"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p>
        </w:tc>
        <w:tc>
          <w:tcPr>
            <w:tcW w:w="1337"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发放成功率</w:t>
            </w:r>
          </w:p>
        </w:tc>
        <w:tc>
          <w:tcPr>
            <w:tcW w:w="1467"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continue"/>
            <w:vAlign w:val="center"/>
          </w:tcPr>
          <w:p>
            <w:pPr>
              <w:spacing w:line="290" w:lineRule="exact"/>
              <w:jc w:val="left"/>
              <w:rPr>
                <w:rFonts w:hint="eastAsia" w:ascii="宋体" w:hAnsi="宋体" w:eastAsia="宋体" w:cs="宋体"/>
                <w:kern w:val="0"/>
                <w:sz w:val="18"/>
                <w:szCs w:val="18"/>
              </w:rPr>
            </w:pPr>
          </w:p>
        </w:tc>
        <w:tc>
          <w:tcPr>
            <w:tcW w:w="1200"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1418" w:type="dxa"/>
            <w:vAlign w:val="center"/>
          </w:tcPr>
          <w:p>
            <w:pPr>
              <w:spacing w:line="29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补贴发放及时率</w:t>
            </w:r>
          </w:p>
        </w:tc>
        <w:tc>
          <w:tcPr>
            <w:tcW w:w="1482" w:type="dxa"/>
            <w:gridSpan w:val="3"/>
            <w:vAlign w:val="center"/>
          </w:tcPr>
          <w:p>
            <w:pPr>
              <w:spacing w:line="29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1019"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1337" w:type="dxa"/>
            <w:gridSpan w:val="2"/>
            <w:vAlign w:val="center"/>
          </w:tcPr>
          <w:p>
            <w:pPr>
              <w:spacing w:line="29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补贴发放及时率</w:t>
            </w:r>
          </w:p>
        </w:tc>
        <w:tc>
          <w:tcPr>
            <w:tcW w:w="1467" w:type="dxa"/>
            <w:vAlign w:val="center"/>
          </w:tcPr>
          <w:p>
            <w:pPr>
              <w:spacing w:line="29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continue"/>
            <w:vAlign w:val="center"/>
          </w:tcPr>
          <w:p>
            <w:pPr>
              <w:spacing w:line="290" w:lineRule="exact"/>
              <w:jc w:val="left"/>
              <w:rPr>
                <w:rFonts w:hint="eastAsia" w:ascii="宋体" w:hAnsi="宋体" w:eastAsia="宋体" w:cs="宋体"/>
                <w:kern w:val="0"/>
                <w:sz w:val="18"/>
                <w:szCs w:val="18"/>
              </w:rPr>
            </w:pPr>
          </w:p>
        </w:tc>
        <w:tc>
          <w:tcPr>
            <w:tcW w:w="1200"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1418" w:type="dxa"/>
            <w:vAlign w:val="center"/>
          </w:tcPr>
          <w:p>
            <w:pPr>
              <w:spacing w:line="29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补贴金额</w:t>
            </w:r>
          </w:p>
        </w:tc>
        <w:tc>
          <w:tcPr>
            <w:tcW w:w="1482" w:type="dxa"/>
            <w:gridSpan w:val="3"/>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&gt;9000</w:t>
            </w:r>
          </w:p>
        </w:tc>
        <w:tc>
          <w:tcPr>
            <w:tcW w:w="1019" w:type="dxa"/>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1337" w:type="dxa"/>
            <w:gridSpan w:val="2"/>
            <w:vAlign w:val="center"/>
          </w:tcPr>
          <w:p>
            <w:pPr>
              <w:spacing w:line="290" w:lineRule="exact"/>
              <w:jc w:val="left"/>
              <w:rPr>
                <w:rFonts w:hint="default" w:ascii="宋体" w:hAnsi="宋体" w:eastAsia="宋体" w:cs="宋体"/>
                <w:kern w:val="0"/>
                <w:sz w:val="18"/>
                <w:szCs w:val="18"/>
                <w:lang w:val="en-US"/>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补贴金额</w:t>
            </w:r>
          </w:p>
        </w:tc>
        <w:tc>
          <w:tcPr>
            <w:tcW w:w="1467"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1112.73411万元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restart"/>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项目效益</w:t>
            </w:r>
          </w:p>
        </w:tc>
        <w:tc>
          <w:tcPr>
            <w:tcW w:w="1200" w:type="dxa"/>
            <w:gridSpan w:val="2"/>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经济效益</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418"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促进房地产市场健康发展</w:t>
            </w:r>
          </w:p>
        </w:tc>
        <w:tc>
          <w:tcPr>
            <w:tcW w:w="1482" w:type="dxa"/>
            <w:gridSpan w:val="3"/>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促进</w:t>
            </w:r>
          </w:p>
        </w:tc>
        <w:tc>
          <w:tcPr>
            <w:tcW w:w="1019" w:type="dxa"/>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经济效益</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337"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促进房地产市场健康发展</w:t>
            </w:r>
          </w:p>
        </w:tc>
        <w:tc>
          <w:tcPr>
            <w:tcW w:w="1467" w:type="dxa"/>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促进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continue"/>
            <w:vAlign w:val="center"/>
          </w:tcPr>
          <w:p>
            <w:pPr>
              <w:spacing w:line="290" w:lineRule="exact"/>
              <w:jc w:val="left"/>
              <w:rPr>
                <w:rFonts w:hint="eastAsia" w:ascii="宋体" w:hAnsi="宋体" w:eastAsia="宋体" w:cs="宋体"/>
                <w:kern w:val="0"/>
                <w:sz w:val="18"/>
                <w:szCs w:val="18"/>
              </w:rPr>
            </w:pPr>
          </w:p>
        </w:tc>
        <w:tc>
          <w:tcPr>
            <w:tcW w:w="1200" w:type="dxa"/>
            <w:gridSpan w:val="2"/>
            <w:vMerge w:val="restart"/>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社会效益</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418"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家庭居住条件改善情况</w:t>
            </w:r>
          </w:p>
        </w:tc>
        <w:tc>
          <w:tcPr>
            <w:tcW w:w="1482" w:type="dxa"/>
            <w:gridSpan w:val="3"/>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改善</w:t>
            </w:r>
          </w:p>
        </w:tc>
        <w:tc>
          <w:tcPr>
            <w:tcW w:w="1019" w:type="dxa"/>
            <w:vMerge w:val="restart"/>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社会效益</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337"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家庭居住条件改善情况</w:t>
            </w:r>
          </w:p>
        </w:tc>
        <w:tc>
          <w:tcPr>
            <w:tcW w:w="1467" w:type="dxa"/>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改善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continue"/>
            <w:vAlign w:val="center"/>
          </w:tcPr>
          <w:p>
            <w:pPr>
              <w:spacing w:line="290" w:lineRule="exact"/>
              <w:jc w:val="left"/>
              <w:rPr>
                <w:rFonts w:hint="eastAsia" w:ascii="宋体" w:hAnsi="宋体" w:eastAsia="宋体" w:cs="宋体"/>
                <w:kern w:val="0"/>
                <w:sz w:val="18"/>
                <w:szCs w:val="18"/>
              </w:rPr>
            </w:pPr>
          </w:p>
        </w:tc>
        <w:tc>
          <w:tcPr>
            <w:tcW w:w="1200" w:type="dxa"/>
            <w:gridSpan w:val="2"/>
            <w:vMerge w:val="continue"/>
            <w:vAlign w:val="center"/>
          </w:tcPr>
          <w:p>
            <w:pPr>
              <w:spacing w:line="290" w:lineRule="exact"/>
              <w:jc w:val="left"/>
              <w:rPr>
                <w:rFonts w:hint="eastAsia" w:ascii="宋体" w:hAnsi="宋体" w:eastAsia="宋体" w:cs="宋体"/>
                <w:kern w:val="0"/>
                <w:sz w:val="18"/>
                <w:szCs w:val="18"/>
              </w:rPr>
            </w:pPr>
          </w:p>
        </w:tc>
        <w:tc>
          <w:tcPr>
            <w:tcW w:w="1418" w:type="dxa"/>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指标2：</w:t>
            </w:r>
            <w:r>
              <w:rPr>
                <w:rFonts w:hint="eastAsia" w:ascii="宋体" w:hAnsi="宋体" w:eastAsia="宋体" w:cs="宋体"/>
                <w:kern w:val="0"/>
                <w:sz w:val="18"/>
                <w:szCs w:val="18"/>
                <w:lang w:val="en-US" w:eastAsia="zh-CN"/>
              </w:rPr>
              <w:t>缓减购房压力</w:t>
            </w:r>
          </w:p>
        </w:tc>
        <w:tc>
          <w:tcPr>
            <w:tcW w:w="1482" w:type="dxa"/>
            <w:gridSpan w:val="3"/>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缓减</w:t>
            </w:r>
          </w:p>
        </w:tc>
        <w:tc>
          <w:tcPr>
            <w:tcW w:w="1019" w:type="dxa"/>
            <w:vMerge w:val="continue"/>
            <w:vAlign w:val="center"/>
          </w:tcPr>
          <w:p>
            <w:pPr>
              <w:spacing w:line="290" w:lineRule="exact"/>
              <w:jc w:val="left"/>
              <w:rPr>
                <w:rFonts w:hint="eastAsia" w:ascii="宋体" w:hAnsi="宋体" w:eastAsia="宋体" w:cs="宋体"/>
                <w:kern w:val="0"/>
                <w:sz w:val="18"/>
                <w:szCs w:val="18"/>
              </w:rPr>
            </w:pPr>
          </w:p>
        </w:tc>
        <w:tc>
          <w:tcPr>
            <w:tcW w:w="1337" w:type="dxa"/>
            <w:gridSpan w:val="2"/>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指标2：</w:t>
            </w:r>
            <w:r>
              <w:rPr>
                <w:rFonts w:hint="eastAsia" w:ascii="宋体" w:hAnsi="宋体" w:eastAsia="宋体" w:cs="宋体"/>
                <w:kern w:val="0"/>
                <w:sz w:val="18"/>
                <w:szCs w:val="18"/>
                <w:lang w:val="en-US" w:eastAsia="zh-CN"/>
              </w:rPr>
              <w:t>缓减购房压力</w:t>
            </w:r>
          </w:p>
        </w:tc>
        <w:tc>
          <w:tcPr>
            <w:tcW w:w="1467" w:type="dxa"/>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缓减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continue"/>
            <w:vAlign w:val="center"/>
          </w:tcPr>
          <w:p>
            <w:pPr>
              <w:spacing w:line="290" w:lineRule="exact"/>
              <w:jc w:val="left"/>
              <w:rPr>
                <w:rFonts w:hint="eastAsia" w:ascii="宋体" w:hAnsi="宋体" w:eastAsia="宋体" w:cs="宋体"/>
                <w:kern w:val="0"/>
                <w:sz w:val="18"/>
                <w:szCs w:val="18"/>
              </w:rPr>
            </w:pPr>
          </w:p>
        </w:tc>
        <w:tc>
          <w:tcPr>
            <w:tcW w:w="1200" w:type="dxa"/>
            <w:gridSpan w:val="2"/>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可持续影响指标</w:t>
            </w:r>
          </w:p>
        </w:tc>
        <w:tc>
          <w:tcPr>
            <w:tcW w:w="1418"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对房地产未来发展的影响</w:t>
            </w:r>
          </w:p>
        </w:tc>
        <w:tc>
          <w:tcPr>
            <w:tcW w:w="1482" w:type="dxa"/>
            <w:gridSpan w:val="3"/>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可持续</w:t>
            </w:r>
          </w:p>
        </w:tc>
        <w:tc>
          <w:tcPr>
            <w:tcW w:w="1019" w:type="dxa"/>
            <w:vAlign w:val="center"/>
          </w:tcPr>
          <w:p>
            <w:pPr>
              <w:spacing w:line="29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可持续影响</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337"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对房地产未来发展的影响</w:t>
            </w:r>
          </w:p>
        </w:tc>
        <w:tc>
          <w:tcPr>
            <w:tcW w:w="1467" w:type="dxa"/>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可持续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restart"/>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满意度指标</w:t>
            </w:r>
          </w:p>
        </w:tc>
        <w:tc>
          <w:tcPr>
            <w:tcW w:w="1200" w:type="dxa"/>
            <w:gridSpan w:val="2"/>
            <w:vMerge w:val="restart"/>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w:t>
            </w:r>
          </w:p>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418"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补贴对象满意度</w:t>
            </w:r>
          </w:p>
        </w:tc>
        <w:tc>
          <w:tcPr>
            <w:tcW w:w="1482" w:type="dxa"/>
            <w:gridSpan w:val="3"/>
            <w:vAlign w:val="center"/>
          </w:tcPr>
          <w:p>
            <w:pPr>
              <w:spacing w:line="29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&gt;95%</w:t>
            </w:r>
          </w:p>
        </w:tc>
        <w:tc>
          <w:tcPr>
            <w:tcW w:w="1019" w:type="dxa"/>
            <w:vMerge w:val="restart"/>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满意度指标</w:t>
            </w:r>
          </w:p>
        </w:tc>
        <w:tc>
          <w:tcPr>
            <w:tcW w:w="1337"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补贴对象满意度</w:t>
            </w:r>
          </w:p>
        </w:tc>
        <w:tc>
          <w:tcPr>
            <w:tcW w:w="1467" w:type="dxa"/>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&gt;95%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hint="eastAsia" w:ascii="宋体" w:hAnsi="宋体" w:eastAsia="宋体" w:cs="宋体"/>
                <w:kern w:val="0"/>
                <w:sz w:val="18"/>
                <w:szCs w:val="18"/>
              </w:rPr>
            </w:pPr>
          </w:p>
        </w:tc>
        <w:tc>
          <w:tcPr>
            <w:tcW w:w="779" w:type="dxa"/>
            <w:vMerge w:val="continue"/>
            <w:vAlign w:val="center"/>
          </w:tcPr>
          <w:p>
            <w:pPr>
              <w:spacing w:line="290" w:lineRule="exact"/>
              <w:jc w:val="left"/>
              <w:rPr>
                <w:rFonts w:hint="eastAsia" w:ascii="宋体" w:hAnsi="宋体" w:eastAsia="宋体" w:cs="宋体"/>
                <w:kern w:val="0"/>
                <w:sz w:val="18"/>
                <w:szCs w:val="18"/>
              </w:rPr>
            </w:pPr>
          </w:p>
        </w:tc>
        <w:tc>
          <w:tcPr>
            <w:tcW w:w="1200" w:type="dxa"/>
            <w:gridSpan w:val="2"/>
            <w:vMerge w:val="continue"/>
            <w:vAlign w:val="center"/>
          </w:tcPr>
          <w:p>
            <w:pPr>
              <w:spacing w:line="290" w:lineRule="exact"/>
              <w:jc w:val="left"/>
              <w:rPr>
                <w:rFonts w:hint="eastAsia" w:ascii="宋体" w:hAnsi="宋体" w:eastAsia="宋体" w:cs="宋体"/>
                <w:kern w:val="0"/>
                <w:sz w:val="18"/>
                <w:szCs w:val="18"/>
              </w:rPr>
            </w:pPr>
          </w:p>
        </w:tc>
        <w:tc>
          <w:tcPr>
            <w:tcW w:w="1418" w:type="dxa"/>
            <w:vAlign w:val="center"/>
          </w:tcPr>
          <w:p>
            <w:pPr>
              <w:spacing w:line="29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指标2：</w:t>
            </w:r>
            <w:r>
              <w:rPr>
                <w:rFonts w:hint="eastAsia" w:ascii="宋体" w:hAnsi="宋体" w:eastAsia="宋体" w:cs="宋体"/>
                <w:kern w:val="0"/>
                <w:sz w:val="18"/>
                <w:szCs w:val="18"/>
                <w:lang w:val="en-US" w:eastAsia="zh-CN"/>
              </w:rPr>
              <w:t>社会公众投诉率</w:t>
            </w:r>
          </w:p>
        </w:tc>
        <w:tc>
          <w:tcPr>
            <w:tcW w:w="1482" w:type="dxa"/>
            <w:gridSpan w:val="3"/>
            <w:vAlign w:val="center"/>
          </w:tcPr>
          <w:p>
            <w:pPr>
              <w:spacing w:line="29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降低</w:t>
            </w:r>
            <w:r>
              <w:rPr>
                <w:rFonts w:hint="eastAsia" w:ascii="宋体" w:hAnsi="宋体" w:eastAsia="宋体" w:cs="宋体"/>
                <w:kern w:val="0"/>
                <w:sz w:val="18"/>
                <w:szCs w:val="18"/>
              </w:rPr>
              <w:t>　</w:t>
            </w:r>
          </w:p>
        </w:tc>
        <w:tc>
          <w:tcPr>
            <w:tcW w:w="1019" w:type="dxa"/>
            <w:vMerge w:val="continue"/>
            <w:vAlign w:val="center"/>
          </w:tcPr>
          <w:p>
            <w:pPr>
              <w:spacing w:line="290" w:lineRule="exact"/>
              <w:jc w:val="left"/>
              <w:rPr>
                <w:rFonts w:hint="eastAsia" w:ascii="宋体" w:hAnsi="宋体" w:eastAsia="宋体" w:cs="宋体"/>
                <w:kern w:val="0"/>
                <w:sz w:val="18"/>
                <w:szCs w:val="18"/>
              </w:rPr>
            </w:pPr>
          </w:p>
        </w:tc>
        <w:tc>
          <w:tcPr>
            <w:tcW w:w="1337" w:type="dxa"/>
            <w:gridSpan w:val="2"/>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指标2：</w:t>
            </w:r>
            <w:r>
              <w:rPr>
                <w:rFonts w:hint="eastAsia" w:ascii="宋体" w:hAnsi="宋体" w:eastAsia="宋体" w:cs="宋体"/>
                <w:kern w:val="0"/>
                <w:sz w:val="18"/>
                <w:szCs w:val="18"/>
                <w:lang w:val="en-US" w:eastAsia="zh-CN"/>
              </w:rPr>
              <w:t>社会公众投诉率</w:t>
            </w:r>
          </w:p>
        </w:tc>
        <w:tc>
          <w:tcPr>
            <w:tcW w:w="1467" w:type="dxa"/>
            <w:vAlign w:val="center"/>
          </w:tcPr>
          <w:p>
            <w:pPr>
              <w:spacing w:line="29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降低</w:t>
            </w:r>
          </w:p>
        </w:tc>
      </w:tr>
    </w:tbl>
    <w:p>
      <w:pPr>
        <w:spacing w:line="500" w:lineRule="exact"/>
        <w:jc w:val="left"/>
        <w:rPr>
          <w:rFonts w:hint="eastAsia" w:ascii="宋体" w:hAnsi="宋体" w:eastAsia="宋体" w:cs="宋体"/>
          <w:bCs/>
          <w:sz w:val="24"/>
          <w:szCs w:val="24"/>
        </w:rPr>
      </w:pPr>
    </w:p>
    <w:p>
      <w:pPr>
        <w:pStyle w:val="8"/>
        <w:spacing w:before="93"/>
        <w:rPr>
          <w:rFonts w:hint="eastAsia"/>
          <w:lang w:val="en-US" w:eastAsia="zh-CN"/>
        </w:rPr>
      </w:pPr>
    </w:p>
    <w:p>
      <w:pPr>
        <w:pStyle w:val="8"/>
        <w:spacing w:before="93"/>
        <w:rPr>
          <w:rFonts w:hint="eastAsia"/>
          <w:lang w:val="en-US" w:eastAsia="zh-CN"/>
        </w:rPr>
      </w:pPr>
    </w:p>
    <w:p>
      <w:pPr>
        <w:pStyle w:val="8"/>
        <w:spacing w:before="93"/>
        <w:rPr>
          <w:rFonts w:hint="eastAsia"/>
          <w:lang w:val="en-US" w:eastAsia="zh-CN"/>
        </w:rPr>
      </w:pPr>
    </w:p>
    <w:p>
      <w:pPr>
        <w:pStyle w:val="8"/>
        <w:spacing w:before="93"/>
        <w:rPr>
          <w:rFonts w:hint="eastAsia"/>
          <w:lang w:val="en-US" w:eastAsia="zh-CN"/>
        </w:rPr>
      </w:pPr>
    </w:p>
    <w:p>
      <w:pPr>
        <w:pStyle w:val="8"/>
        <w:spacing w:before="93"/>
        <w:rPr>
          <w:rFonts w:hint="eastAsia"/>
          <w:lang w:val="en-US" w:eastAsia="zh-CN"/>
        </w:rPr>
      </w:pPr>
    </w:p>
    <w:p>
      <w:pPr>
        <w:pStyle w:val="8"/>
        <w:spacing w:before="93"/>
        <w:rPr>
          <w:rFonts w:hint="eastAsia"/>
          <w:lang w:val="en-US" w:eastAsia="zh-CN"/>
        </w:rPr>
      </w:pPr>
    </w:p>
    <w:p>
      <w:pPr>
        <w:pStyle w:val="8"/>
        <w:spacing w:before="93"/>
        <w:rPr>
          <w:rFonts w:hint="eastAsia"/>
          <w:lang w:val="en-US" w:eastAsia="zh-CN"/>
        </w:rPr>
      </w:pPr>
    </w:p>
    <w:p>
      <w:pPr>
        <w:pStyle w:val="8"/>
        <w:spacing w:before="93"/>
        <w:rPr>
          <w:rFonts w:hint="eastAsia"/>
          <w:lang w:val="en-US" w:eastAsia="zh-CN"/>
        </w:rPr>
      </w:pPr>
    </w:p>
    <w:p>
      <w:pPr>
        <w:pStyle w:val="8"/>
        <w:spacing w:before="93"/>
        <w:rPr>
          <w:rFonts w:hint="default" w:eastAsia="仿宋_GB2312"/>
          <w:lang w:val="en-US" w:eastAsia="zh-CN"/>
        </w:rPr>
      </w:pPr>
      <w:r>
        <w:rPr>
          <w:rFonts w:hint="eastAsia"/>
          <w:lang w:val="en-US" w:eastAsia="zh-CN"/>
        </w:rPr>
        <w:t>附件4</w:t>
      </w:r>
    </w:p>
    <w:p>
      <w:pPr>
        <w:widowControl w:val="0"/>
        <w:spacing w:beforeLines="0" w:after="0" w:afterLines="0"/>
        <w:ind w:firstLine="2880" w:firstLineChars="900"/>
        <w:jc w:val="both"/>
        <w:rPr>
          <w:rFonts w:hint="eastAsia" w:ascii="方正仿宋简体" w:hAnsi="方正仿宋简体" w:eastAsia="方正仿宋简体" w:cs="方正仿宋简体"/>
          <w:b w:val="0"/>
          <w:bCs/>
          <w:sz w:val="32"/>
          <w:szCs w:val="32"/>
          <w:lang w:val="en-US" w:eastAsia="zh-CN"/>
        </w:rPr>
      </w:pPr>
      <w:r>
        <w:rPr>
          <w:rFonts w:hint="eastAsia" w:ascii="方正仿宋简体" w:hAnsi="方正仿宋简体" w:eastAsia="方正仿宋简体" w:cs="方正仿宋简体"/>
          <w:b w:val="0"/>
          <w:bCs/>
          <w:sz w:val="32"/>
          <w:szCs w:val="32"/>
          <w:lang w:val="en-US" w:eastAsia="zh-CN"/>
        </w:rPr>
        <w:t>乐至县房地产管理局</w:t>
      </w:r>
    </w:p>
    <w:p>
      <w:pPr>
        <w:widowControl w:val="0"/>
        <w:spacing w:beforeLines="0" w:after="0" w:afterLines="0"/>
        <w:ind w:firstLine="1600" w:firstLineChars="500"/>
        <w:jc w:val="both"/>
        <w:rPr>
          <w:rFonts w:hint="default" w:ascii="Times New Roman" w:hAnsi="Times New Roman" w:eastAsia="Times New Roman" w:cs="Times New Roman"/>
          <w:kern w:val="2"/>
          <w:sz w:val="44"/>
          <w:szCs w:val="36"/>
          <w:lang w:val="en-US" w:eastAsia="zh-CN"/>
        </w:rPr>
      </w:pPr>
      <w:r>
        <w:rPr>
          <w:rFonts w:hint="eastAsia" w:ascii="方正仿宋简体" w:hAnsi="方正仿宋简体" w:eastAsia="方正仿宋简体" w:cs="方正仿宋简体"/>
          <w:b w:val="0"/>
          <w:bCs/>
          <w:sz w:val="32"/>
          <w:szCs w:val="32"/>
          <w:lang w:val="en-US" w:eastAsia="zh-CN"/>
        </w:rPr>
        <w:t>关于</w:t>
      </w:r>
      <w:r>
        <w:rPr>
          <w:rFonts w:hint="eastAsia" w:ascii="方正仿宋简体" w:hAnsi="方正仿宋简体" w:eastAsia="方正仿宋简体" w:cs="方正仿宋简体"/>
          <w:b w:val="0"/>
          <w:bCs/>
          <w:sz w:val="32"/>
          <w:szCs w:val="32"/>
          <w:lang w:eastAsia="zh-CN"/>
        </w:rPr>
        <w:t>华博苑</w:t>
      </w:r>
      <w:r>
        <w:rPr>
          <w:rFonts w:hint="eastAsia" w:ascii="方正仿宋简体" w:hAnsi="方正仿宋简体" w:eastAsia="方正仿宋简体" w:cs="方正仿宋简体"/>
          <w:b w:val="0"/>
          <w:bCs/>
          <w:sz w:val="32"/>
          <w:szCs w:val="32"/>
          <w:lang w:val="en-US" w:eastAsia="zh-CN"/>
        </w:rPr>
        <w:t>安置房回购资金绩效评估报告</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0" w:firstLineChars="0"/>
        <w:jc w:val="both"/>
        <w:textAlignment w:val="auto"/>
        <w:rPr>
          <w:rFonts w:hint="default" w:ascii="Times New Roman" w:hAnsi="Times New Roman" w:eastAsia="宋体" w:cs="Times New Roman"/>
          <w:kern w:val="2"/>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both"/>
        <w:textAlignment w:val="auto"/>
        <w:rPr>
          <w:rFonts w:hint="default" w:ascii="Times New Roman" w:hAnsi="Times New Roman" w:eastAsia="Times New Roman" w:cs="Times New Roman"/>
          <w:kern w:val="2"/>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kern w:val="0"/>
          <w:sz w:val="28"/>
          <w:szCs w:val="28"/>
          <w:lang w:val="en-US"/>
        </w:rPr>
      </w:pPr>
      <w:r>
        <w:rPr>
          <w:rFonts w:hint="eastAsia" w:ascii="宋体" w:hAnsi="宋体" w:eastAsia="宋体" w:cs="宋体"/>
          <w:b/>
          <w:sz w:val="28"/>
          <w:szCs w:val="28"/>
        </w:rPr>
        <w:t>项目名称</w:t>
      </w:r>
      <w:r>
        <w:rPr>
          <w:rFonts w:hint="eastAsia" w:ascii="宋体" w:hAnsi="宋体" w:eastAsia="宋体" w:cs="宋体"/>
          <w:b/>
          <w:sz w:val="28"/>
          <w:szCs w:val="28"/>
          <w:lang w:eastAsia="zh-CN"/>
        </w:rPr>
        <w:t>：</w:t>
      </w:r>
      <w:r>
        <w:rPr>
          <w:rFonts w:hint="eastAsia" w:ascii="宋体" w:hAnsi="宋体" w:eastAsia="宋体" w:cs="宋体"/>
          <w:b w:val="0"/>
          <w:bCs/>
          <w:sz w:val="28"/>
          <w:szCs w:val="28"/>
          <w:lang w:eastAsia="zh-CN"/>
        </w:rPr>
        <w:t>华博苑</w:t>
      </w:r>
      <w:r>
        <w:rPr>
          <w:rFonts w:hint="eastAsia" w:ascii="宋体" w:hAnsi="宋体" w:eastAsia="宋体" w:cs="宋体"/>
          <w:b w:val="0"/>
          <w:bCs/>
          <w:sz w:val="28"/>
          <w:szCs w:val="28"/>
          <w:lang w:val="en-US" w:eastAsia="zh-CN"/>
        </w:rPr>
        <w:t>安置房回购资金</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项目单位：</w:t>
      </w:r>
      <w:r>
        <w:rPr>
          <w:rFonts w:hint="eastAsia" w:ascii="宋体" w:hAnsi="宋体" w:eastAsia="宋体" w:cs="宋体"/>
          <w:sz w:val="28"/>
          <w:szCs w:val="28"/>
        </w:rPr>
        <w:t>乐至县房地产管理局</w:t>
      </w:r>
    </w:p>
    <w:p>
      <w:pPr>
        <w:keepNext w:val="0"/>
        <w:keepLines w:val="0"/>
        <w:pageBreakBefore w:val="0"/>
        <w:widowControl w:val="0"/>
        <w:kinsoku/>
        <w:wordWrap/>
        <w:overflowPunct/>
        <w:topLinePunct w:val="0"/>
        <w:autoSpaceDE/>
        <w:autoSpaceDN/>
        <w:bidi w:val="0"/>
        <w:adjustRightInd/>
        <w:spacing w:beforeLines="0" w:afterLines="0" w:line="58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主管部门：</w:t>
      </w:r>
      <w:r>
        <w:rPr>
          <w:rFonts w:hint="eastAsia" w:ascii="宋体" w:hAnsi="宋体" w:eastAsia="宋体" w:cs="宋体"/>
          <w:sz w:val="28"/>
          <w:szCs w:val="28"/>
        </w:rPr>
        <w:t>乐至县住房和城乡建设局</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项目属性：</w:t>
      </w:r>
      <w:r>
        <w:rPr>
          <w:rFonts w:hint="eastAsia" w:ascii="宋体" w:hAnsi="宋体" w:eastAsia="宋体" w:cs="宋体"/>
          <w:sz w:val="28"/>
          <w:szCs w:val="28"/>
        </w:rPr>
        <w:t>延续性项目</w:t>
      </w:r>
    </w:p>
    <w:p>
      <w:pPr>
        <w:keepNext w:val="0"/>
        <w:keepLines w:val="0"/>
        <w:pageBreakBefore w:val="0"/>
        <w:widowControl w:val="0"/>
        <w:kinsoku/>
        <w:wordWrap/>
        <w:overflowPunct/>
        <w:topLinePunct w:val="0"/>
        <w:autoSpaceDE/>
        <w:autoSpaceDN/>
        <w:bidi w:val="0"/>
        <w:adjustRightInd/>
        <w:snapToGrid w:val="0"/>
        <w:spacing w:line="600" w:lineRule="exact"/>
        <w:ind w:firstLine="562" w:firstLineChars="200"/>
        <w:textAlignment w:val="auto"/>
        <w:rPr>
          <w:rFonts w:hint="eastAsia" w:ascii="宋体" w:hAnsi="宋体" w:eastAsia="宋体" w:cs="宋体"/>
          <w:kern w:val="0"/>
          <w:sz w:val="28"/>
          <w:szCs w:val="28"/>
        </w:rPr>
      </w:pPr>
      <w:r>
        <w:rPr>
          <w:rFonts w:hint="eastAsia" w:ascii="宋体" w:hAnsi="宋体" w:eastAsia="宋体" w:cs="宋体"/>
          <w:b/>
          <w:sz w:val="28"/>
          <w:szCs w:val="28"/>
          <w:lang w:val="en-US" w:eastAsia="zh-CN"/>
        </w:rPr>
        <w:t>评估日期</w:t>
      </w:r>
      <w:r>
        <w:rPr>
          <w:rFonts w:hint="eastAsia" w:ascii="宋体" w:hAnsi="宋体" w:eastAsia="宋体" w:cs="宋体"/>
          <w:b/>
          <w:sz w:val="28"/>
          <w:szCs w:val="28"/>
          <w:lang w:eastAsia="zh-CN"/>
        </w:rPr>
        <w:t>：</w:t>
      </w:r>
      <w:r>
        <w:rPr>
          <w:rFonts w:hint="eastAsia" w:ascii="宋体" w:hAnsi="宋体" w:eastAsia="宋体" w:cs="宋体"/>
          <w:b w:val="0"/>
          <w:bCs/>
          <w:sz w:val="28"/>
          <w:szCs w:val="28"/>
          <w:lang w:val="en-US" w:eastAsia="zh-CN"/>
        </w:rPr>
        <w:t>2022年7月8日</w:t>
      </w:r>
    </w:p>
    <w:p>
      <w:pPr>
        <w:keepNext w:val="0"/>
        <w:keepLines w:val="0"/>
        <w:pageBreakBefore w:val="0"/>
        <w:widowControl w:val="0"/>
        <w:kinsoku/>
        <w:wordWrap/>
        <w:overflowPunct/>
        <w:topLinePunct w:val="0"/>
        <w:autoSpaceDE/>
        <w:autoSpaceDN/>
        <w:bidi w:val="0"/>
        <w:adjustRightInd/>
        <w:snapToGrid w:val="0"/>
        <w:spacing w:line="600" w:lineRule="exact"/>
        <w:ind w:left="2527" w:leftChars="266" w:hanging="1968" w:hangingChars="700"/>
        <w:textAlignment w:val="auto"/>
        <w:rPr>
          <w:rFonts w:hint="eastAsia" w:ascii="宋体" w:hAnsi="宋体" w:eastAsia="宋体" w:cs="宋体"/>
          <w:kern w:val="0"/>
          <w:sz w:val="28"/>
          <w:szCs w:val="28"/>
          <w:highlight w:val="none"/>
          <w:lang w:eastAsia="zh-CN"/>
        </w:rPr>
      </w:pPr>
      <w:r>
        <w:rPr>
          <w:rFonts w:hint="eastAsia" w:ascii="宋体" w:hAnsi="宋体" w:eastAsia="宋体" w:cs="宋体"/>
          <w:b/>
          <w:sz w:val="28"/>
          <w:szCs w:val="28"/>
        </w:rPr>
        <w:t>资金申请情况：</w:t>
      </w:r>
      <w:r>
        <w:rPr>
          <w:rFonts w:hint="eastAsia" w:ascii="宋体" w:hAnsi="宋体" w:eastAsia="宋体" w:cs="宋体"/>
          <w:b w:val="0"/>
          <w:bCs/>
          <w:sz w:val="28"/>
          <w:szCs w:val="28"/>
          <w:lang w:val="en-US" w:eastAsia="zh-CN"/>
        </w:rPr>
        <w:t>本此</w:t>
      </w:r>
      <w:r>
        <w:rPr>
          <w:rFonts w:hint="eastAsia" w:ascii="宋体" w:hAnsi="宋体" w:eastAsia="宋体" w:cs="宋体"/>
          <w:b w:val="0"/>
          <w:bCs/>
          <w:sz w:val="28"/>
          <w:szCs w:val="28"/>
        </w:rPr>
        <w:t>申报项目预算金额为</w:t>
      </w:r>
      <w:r>
        <w:rPr>
          <w:rFonts w:hint="eastAsia" w:ascii="宋体" w:hAnsi="宋体" w:eastAsia="宋体" w:cs="宋体"/>
          <w:b w:val="0"/>
          <w:bCs/>
          <w:sz w:val="28"/>
          <w:szCs w:val="28"/>
          <w:lang w:val="en-US" w:eastAsia="zh-CN"/>
        </w:rPr>
        <w:t>262.64</w:t>
      </w:r>
      <w:r>
        <w:rPr>
          <w:rFonts w:hint="eastAsia" w:ascii="宋体" w:hAnsi="宋体" w:eastAsia="宋体" w:cs="宋体"/>
          <w:b w:val="0"/>
          <w:bCs/>
          <w:sz w:val="28"/>
          <w:szCs w:val="28"/>
        </w:rPr>
        <w:t>万元</w:t>
      </w:r>
      <w:r>
        <w:rPr>
          <w:rFonts w:hint="eastAsia" w:ascii="宋体" w:hAnsi="宋体" w:cs="宋体"/>
          <w:b w:val="0"/>
          <w:bCs/>
          <w:sz w:val="28"/>
          <w:szCs w:val="28"/>
          <w:lang w:eastAsia="zh-CN"/>
        </w:rPr>
        <w:t>，</w:t>
      </w:r>
      <w:r>
        <w:rPr>
          <w:rFonts w:hint="eastAsia" w:ascii="宋体" w:hAnsi="宋体" w:eastAsia="宋体" w:cs="宋体"/>
          <w:kern w:val="0"/>
          <w:sz w:val="28"/>
          <w:szCs w:val="28"/>
          <w:highlight w:val="none"/>
        </w:rPr>
        <w:t>资金来源为财政资金</w:t>
      </w:r>
      <w:r>
        <w:rPr>
          <w:rFonts w:hint="eastAsia" w:ascii="宋体" w:hAnsi="宋体" w:eastAsia="宋体" w:cs="宋体"/>
          <w:kern w:val="0"/>
          <w:sz w:val="28"/>
          <w:szCs w:val="28"/>
          <w:highlight w:val="none"/>
          <w:lang w:eastAsia="zh-CN"/>
        </w:rPr>
        <w:t>。</w:t>
      </w:r>
    </w:p>
    <w:p>
      <w:pPr>
        <w:numPr>
          <w:ilvl w:val="0"/>
          <w:numId w:val="0"/>
        </w:numPr>
        <w:ind w:firstLine="562" w:firstLineChars="200"/>
        <w:rPr>
          <w:rFonts w:hint="eastAsia" w:ascii="宋体" w:hAnsi="宋体" w:eastAsia="宋体" w:cs="宋体"/>
          <w:b/>
          <w:sz w:val="28"/>
          <w:szCs w:val="28"/>
          <w:lang w:val="en-US" w:eastAsia="zh-CN"/>
        </w:rPr>
      </w:pPr>
      <w:r>
        <w:rPr>
          <w:rFonts w:hint="eastAsia" w:ascii="宋体" w:hAnsi="宋体" w:cs="宋体"/>
          <w:b/>
          <w:sz w:val="28"/>
          <w:szCs w:val="28"/>
          <w:lang w:val="en-US" w:eastAsia="zh-CN"/>
        </w:rPr>
        <w:t>一、</w:t>
      </w:r>
      <w:r>
        <w:rPr>
          <w:rFonts w:hint="eastAsia" w:ascii="宋体" w:hAnsi="宋体" w:eastAsia="宋体" w:cs="宋体"/>
          <w:b/>
          <w:sz w:val="28"/>
          <w:szCs w:val="28"/>
          <w:lang w:val="en-US" w:eastAsia="zh-CN"/>
        </w:rPr>
        <w:t>评估对象情况</w:t>
      </w:r>
    </w:p>
    <w:p>
      <w:pPr>
        <w:numPr>
          <w:ilvl w:val="0"/>
          <w:numId w:val="0"/>
        </w:numPr>
        <w:ind w:firstLine="281" w:firstLineChars="100"/>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（一）项目</w:t>
      </w:r>
      <w:r>
        <w:rPr>
          <w:rFonts w:hint="eastAsia" w:ascii="宋体" w:hAnsi="宋体" w:cs="宋体"/>
          <w:b/>
          <w:sz w:val="28"/>
          <w:szCs w:val="28"/>
          <w:lang w:val="en-US" w:eastAsia="zh-CN"/>
        </w:rPr>
        <w:t>总体</w:t>
      </w:r>
      <w:r>
        <w:rPr>
          <w:rFonts w:hint="eastAsia" w:ascii="宋体" w:hAnsi="宋体" w:eastAsia="宋体" w:cs="宋体"/>
          <w:b/>
          <w:sz w:val="28"/>
          <w:szCs w:val="28"/>
          <w:lang w:val="en-US" w:eastAsia="zh-CN"/>
        </w:rPr>
        <w:t>目标：</w:t>
      </w:r>
    </w:p>
    <w:p>
      <w:pPr>
        <w:pStyle w:val="22"/>
        <w:ind w:left="979" w:leftChars="466"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切实做好华博苑项目涉及的信访问题，保护拆迁群众利益，维护</w:t>
      </w:r>
    </w:p>
    <w:p>
      <w:pPr>
        <w:pStyle w:val="22"/>
        <w:ind w:left="0" w:leftChars="0" w:firstLine="280" w:firstLineChars="1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社会稳定。</w:t>
      </w:r>
    </w:p>
    <w:p>
      <w:pPr>
        <w:ind w:firstLine="281" w:firstLineChars="1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（二）项目资金构成</w:t>
      </w:r>
      <w:r>
        <w:rPr>
          <w:rFonts w:hint="eastAsia" w:ascii="宋体" w:hAnsi="宋体" w:cs="宋体"/>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left="279" w:leftChars="133"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华博苑拆迁县车队棚户区共89户，征收总面积6839.05平方米，根据乐房征（2016）1号文件精神，我县棚户区改造拆一返一的征收政策和安置房代建成本核算，共需补偿安置成本1162.64万元。资金渠道为财政资金。</w:t>
      </w:r>
    </w:p>
    <w:p>
      <w:pPr>
        <w:keepNext w:val="0"/>
        <w:keepLines w:val="0"/>
        <w:pageBreakBefore w:val="0"/>
        <w:widowControl w:val="0"/>
        <w:numPr>
          <w:ilvl w:val="0"/>
          <w:numId w:val="6"/>
        </w:numPr>
        <w:kinsoku/>
        <w:wordWrap/>
        <w:overflowPunct/>
        <w:topLinePunct w:val="0"/>
        <w:autoSpaceDE/>
        <w:autoSpaceDN/>
        <w:bidi w:val="0"/>
        <w:adjustRightInd/>
        <w:snapToGrid w:val="0"/>
        <w:spacing w:beforeLines="0" w:afterLines="0" w:line="580" w:lineRule="exact"/>
        <w:ind w:firstLine="281" w:firstLineChars="100"/>
        <w:textAlignment w:val="auto"/>
        <w:rPr>
          <w:rFonts w:hint="eastAsia" w:ascii="宋体" w:hAnsi="宋体" w:eastAsia="宋体" w:cs="宋体"/>
          <w:b/>
          <w:bCs w:val="0"/>
          <w:sz w:val="28"/>
          <w:szCs w:val="28"/>
        </w:rPr>
      </w:pPr>
      <w:r>
        <w:rPr>
          <w:rFonts w:hint="eastAsia" w:ascii="宋体" w:hAnsi="宋体" w:eastAsia="宋体" w:cs="宋体"/>
          <w:b/>
          <w:bCs w:val="0"/>
          <w:sz w:val="28"/>
          <w:szCs w:val="28"/>
        </w:rPr>
        <w:t>项目概况：</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80" w:lineRule="exact"/>
        <w:ind w:left="279" w:leftChars="133"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b w:val="0"/>
          <w:bCs w:val="0"/>
          <w:sz w:val="28"/>
          <w:szCs w:val="28"/>
          <w:lang w:val="en-US" w:eastAsia="zh-CN"/>
        </w:rPr>
        <w:t>华博苑项目涉及县车队棚户区改造，共拆迁89户，征收总面积6839.05平方米。</w:t>
      </w:r>
      <w:r>
        <w:rPr>
          <w:rFonts w:hint="eastAsia" w:ascii="宋体" w:hAnsi="宋体" w:eastAsia="宋体" w:cs="宋体"/>
          <w:sz w:val="28"/>
          <w:szCs w:val="28"/>
        </w:rPr>
        <w:t>2016年4月13日，县房屋征收局根据县委2015年第314号常委会议决定事项通知和县政府2015第135号常务会议决定事项通知精神，对“县车队”棚户区改造进行补偿安置成本测算为1162.64万元。</w:t>
      </w:r>
      <w:r>
        <w:rPr>
          <w:rFonts w:hint="eastAsia" w:ascii="宋体" w:hAnsi="宋体" w:cs="宋体"/>
          <w:sz w:val="28"/>
          <w:szCs w:val="28"/>
          <w:lang w:val="en-US" w:eastAsia="zh-CN"/>
        </w:rPr>
        <w:t>县财政陆续拨付安置房回购资金用于安置房建设。</w:t>
      </w:r>
      <w:r>
        <w:rPr>
          <w:rFonts w:hint="eastAsia" w:ascii="宋体" w:hAnsi="宋体" w:eastAsia="宋体" w:cs="宋体"/>
          <w:sz w:val="28"/>
          <w:szCs w:val="28"/>
        </w:rPr>
        <w:t>截止目前，</w:t>
      </w:r>
      <w:r>
        <w:rPr>
          <w:rFonts w:hint="eastAsia" w:ascii="宋体" w:hAnsi="宋体" w:cs="宋体"/>
          <w:sz w:val="28"/>
          <w:szCs w:val="28"/>
          <w:lang w:val="en-US" w:eastAsia="zh-CN"/>
        </w:rPr>
        <w:t>该项目已于2020年1月陆续交房，交房276套，其中60套为安置住房。但尚未竣工验收，还需资金解决项目建设用地等相关税费，</w:t>
      </w:r>
      <w:r>
        <w:rPr>
          <w:rFonts w:hint="eastAsia" w:ascii="宋体" w:hAnsi="宋体" w:eastAsia="宋体" w:cs="宋体"/>
          <w:sz w:val="28"/>
          <w:szCs w:val="28"/>
        </w:rPr>
        <w:t>县</w:t>
      </w:r>
      <w:r>
        <w:rPr>
          <w:rFonts w:hint="eastAsia" w:ascii="宋体" w:hAnsi="宋体" w:eastAsia="宋体" w:cs="宋体"/>
          <w:sz w:val="28"/>
          <w:szCs w:val="28"/>
          <w:lang w:eastAsia="zh-CN"/>
        </w:rPr>
        <w:t>财政已</w:t>
      </w:r>
      <w:r>
        <w:rPr>
          <w:rFonts w:hint="eastAsia" w:ascii="宋体" w:hAnsi="宋体" w:eastAsia="宋体" w:cs="宋体"/>
          <w:sz w:val="28"/>
          <w:szCs w:val="28"/>
          <w:lang w:val="en-US" w:eastAsia="zh-CN"/>
        </w:rPr>
        <w:t>解决预算资金9</w:t>
      </w:r>
      <w:r>
        <w:rPr>
          <w:rFonts w:hint="eastAsia" w:ascii="宋体" w:hAnsi="宋体" w:eastAsia="宋体" w:cs="宋体"/>
          <w:sz w:val="28"/>
          <w:szCs w:val="28"/>
        </w:rPr>
        <w:t>00万元</w:t>
      </w:r>
      <w:r>
        <w:rPr>
          <w:rFonts w:hint="eastAsia" w:ascii="宋体" w:hAnsi="宋体" w:eastAsia="宋体" w:cs="宋体"/>
          <w:sz w:val="28"/>
          <w:szCs w:val="28"/>
          <w:lang w:eastAsia="zh-CN"/>
        </w:rPr>
        <w:t>，尚</w:t>
      </w:r>
      <w:r>
        <w:rPr>
          <w:rFonts w:hint="eastAsia" w:ascii="宋体" w:hAnsi="宋体" w:eastAsia="宋体" w:cs="宋体"/>
          <w:sz w:val="28"/>
          <w:szCs w:val="28"/>
          <w:lang w:val="en-US" w:eastAsia="zh-CN"/>
        </w:rPr>
        <w:t>需预算资金262.64万元。</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二、评估原则</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根据2022年预算编制要求，绩效评估本着真正过紧日子的原则，厉行节约、精打细算，从严从紧控制项目申报和预算安排，非必要项目和工作内容可压尽压、应压尽压，做到客观、绩效、精准。</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三、评估目的</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通过事前绩效评估将绩效管理关口前移，为项目设立和预算安排提供重要参考依据，提高预算编制科学性、合理性，优化财政支出结构，从源头上防控财政资源配置的低效无效，提高财政资源配置效率和财政资金使用效益。</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jc w:val="both"/>
        <w:textAlignment w:val="auto"/>
        <w:rPr>
          <w:rFonts w:hint="eastAsia" w:ascii="宋体" w:hAnsi="宋体" w:eastAsia="宋体" w:cs="宋体"/>
          <w:b/>
          <w:bCs/>
          <w:kern w:val="2"/>
          <w:sz w:val="28"/>
          <w:szCs w:val="28"/>
          <w:lang w:val="en-US" w:eastAsia="zh-CN"/>
        </w:rPr>
      </w:pPr>
      <w:r>
        <w:rPr>
          <w:rFonts w:hint="eastAsia" w:ascii="宋体" w:hAnsi="宋体" w:eastAsia="宋体" w:cs="宋体"/>
          <w:b/>
          <w:bCs/>
          <w:kern w:val="2"/>
          <w:sz w:val="28"/>
          <w:szCs w:val="28"/>
          <w:lang w:val="en-US" w:eastAsia="zh-CN"/>
        </w:rPr>
        <w:t>四、评估程序和方法</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（一）评估程序</w:t>
      </w:r>
    </w:p>
    <w:p>
      <w:pPr>
        <w:pStyle w:val="22"/>
        <w:keepNext w:val="0"/>
        <w:keepLines w:val="0"/>
        <w:pageBreakBefore w:val="0"/>
        <w:widowControl w:val="0"/>
        <w:kinsoku/>
        <w:wordWrap/>
        <w:overflowPunct/>
        <w:topLinePunct w:val="0"/>
        <w:autoSpaceDE/>
        <w:autoSpaceDN/>
        <w:bidi w:val="0"/>
        <w:adjustRightInd/>
        <w:snapToGrid/>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2022年度预算项目绩效评估工作通过线上与线下相结合方式开展。按照有关规定和工作安排，我单位开展自行评估，通过自行成立方式组建评估组</w:t>
      </w:r>
      <w:r>
        <w:rPr>
          <w:rFonts w:hint="eastAsia" w:ascii="宋体" w:hAnsi="宋体" w:cs="宋体"/>
          <w:sz w:val="28"/>
          <w:szCs w:val="28"/>
          <w:lang w:eastAsia="zh-CN"/>
        </w:rPr>
        <w:t>，</w:t>
      </w:r>
      <w:r>
        <w:rPr>
          <w:rFonts w:hint="eastAsia" w:ascii="宋体" w:hAnsi="宋体" w:cs="宋体"/>
          <w:sz w:val="28"/>
          <w:szCs w:val="28"/>
          <w:highlight w:val="none"/>
          <w:lang w:val="en-US" w:eastAsia="zh-CN"/>
        </w:rPr>
        <w:t>成员：</w:t>
      </w:r>
      <w:r>
        <w:rPr>
          <w:rFonts w:hint="eastAsia"/>
          <w:sz w:val="28"/>
          <w:szCs w:val="28"/>
          <w:highlight w:val="none"/>
          <w:lang w:val="en-US" w:eastAsia="zh-CN"/>
        </w:rPr>
        <w:t>谢冰、李彬 、 陈建华，</w:t>
      </w:r>
      <w:r>
        <w:rPr>
          <w:rFonts w:hint="eastAsia" w:ascii="宋体" w:hAnsi="宋体" w:eastAsia="宋体" w:cs="宋体"/>
          <w:sz w:val="28"/>
          <w:szCs w:val="28"/>
        </w:rPr>
        <w:t>通过收集被评估项目相关基础资料，并查阅资料、收集数据信息等，深入论证分析后，形成绩效评估报告。</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（二）评估方法</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本项目通过与项目相关人员座谈或讨论，收集相关资料，综合分析相关情况后，对项目的立项必要性、投入经济性、目标合理性、方案可行性以及筹资合规性实施评估。</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五、评估内容</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（一）必要性</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问题楼盘处置化解是事关千家万户切身利益，是群众最关心、最直接、最现实的重大民生问题。开展问题楼盘化解攻坚工作，是落实以人民为中心的发展思想，维护民益、凝聚民心、保障民生的具体体现。项目的实施是必要的。</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（二）投入经济性</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该项目</w:t>
      </w:r>
      <w:r>
        <w:rPr>
          <w:rFonts w:hint="eastAsia" w:ascii="宋体" w:hAnsi="宋体" w:eastAsia="宋体" w:cs="宋体"/>
          <w:sz w:val="28"/>
          <w:szCs w:val="28"/>
          <w:lang w:val="en-US" w:eastAsia="zh-CN"/>
        </w:rPr>
        <w:t>总</w:t>
      </w:r>
      <w:r>
        <w:rPr>
          <w:rFonts w:hint="eastAsia" w:ascii="宋体" w:hAnsi="宋体" w:eastAsia="宋体" w:cs="宋体"/>
          <w:sz w:val="28"/>
          <w:szCs w:val="28"/>
        </w:rPr>
        <w:t>预算</w:t>
      </w:r>
      <w:r>
        <w:rPr>
          <w:rFonts w:hint="eastAsia" w:ascii="宋体" w:hAnsi="宋体" w:eastAsia="宋体" w:cs="宋体"/>
          <w:sz w:val="28"/>
          <w:szCs w:val="28"/>
          <w:lang w:val="en-US" w:eastAsia="zh-CN"/>
        </w:rPr>
        <w:t>1162.64</w:t>
      </w:r>
      <w:r>
        <w:rPr>
          <w:rFonts w:hint="eastAsia" w:ascii="宋体" w:hAnsi="宋体" w:eastAsia="宋体" w:cs="宋体"/>
          <w:sz w:val="28"/>
          <w:szCs w:val="28"/>
        </w:rPr>
        <w:t>万元，本次申报金额为</w:t>
      </w:r>
      <w:r>
        <w:rPr>
          <w:rFonts w:hint="eastAsia" w:ascii="宋体" w:hAnsi="宋体" w:eastAsia="宋体" w:cs="宋体"/>
          <w:sz w:val="28"/>
          <w:szCs w:val="28"/>
          <w:lang w:val="en-US" w:eastAsia="zh-CN"/>
        </w:rPr>
        <w:t>262.64</w:t>
      </w:r>
      <w:r>
        <w:rPr>
          <w:rFonts w:hint="eastAsia" w:ascii="宋体" w:hAnsi="宋体" w:eastAsia="宋体" w:cs="宋体"/>
          <w:sz w:val="28"/>
          <w:szCs w:val="28"/>
        </w:rPr>
        <w:t>万元，资金来源全部为</w:t>
      </w:r>
      <w:r>
        <w:rPr>
          <w:rFonts w:hint="eastAsia" w:ascii="宋体" w:hAnsi="宋体" w:eastAsia="宋体" w:cs="宋体"/>
          <w:sz w:val="28"/>
          <w:szCs w:val="28"/>
          <w:lang w:val="en-US" w:eastAsia="zh-CN"/>
        </w:rPr>
        <w:t>财政</w:t>
      </w:r>
      <w:r>
        <w:rPr>
          <w:rFonts w:hint="eastAsia" w:ascii="宋体" w:hAnsi="宋体" w:eastAsia="宋体" w:cs="宋体"/>
          <w:sz w:val="28"/>
          <w:szCs w:val="28"/>
        </w:rPr>
        <w:t>资金。本次对项目投入经济性的评估是在项目事前绩效评估、预算测算的基础上，按照厉行节约的要求，对项目投入经济、预算测算准确、测算过程详细、测算依据充分等方面进行了评估。评估认为，该项目任务数量基本合理、预算测算过程较为详细、测算依据基本充分、有一定的经济性。建议预算控制在</w:t>
      </w:r>
      <w:r>
        <w:rPr>
          <w:rFonts w:hint="eastAsia" w:ascii="宋体" w:hAnsi="宋体" w:eastAsia="宋体" w:cs="宋体"/>
          <w:sz w:val="28"/>
          <w:szCs w:val="28"/>
          <w:lang w:val="en-US" w:eastAsia="zh-CN"/>
        </w:rPr>
        <w:t>262.64</w:t>
      </w:r>
      <w:r>
        <w:rPr>
          <w:rFonts w:hint="eastAsia" w:ascii="宋体" w:hAnsi="宋体" w:eastAsia="宋体" w:cs="宋体"/>
          <w:sz w:val="28"/>
          <w:szCs w:val="28"/>
        </w:rPr>
        <w:t>万元以内，与申报数相比，评减0万元，评减率</w:t>
      </w:r>
      <w:r>
        <w:rPr>
          <w:rFonts w:hint="eastAsia" w:ascii="宋体" w:hAnsi="宋体" w:eastAsia="宋体" w:cs="宋体"/>
          <w:color w:val="auto"/>
          <w:sz w:val="28"/>
          <w:szCs w:val="28"/>
        </w:rPr>
        <w:t>0</w:t>
      </w:r>
      <w:r>
        <w:rPr>
          <w:rFonts w:hint="eastAsia" w:ascii="宋体" w:hAnsi="宋体" w:cs="宋体"/>
          <w:color w:val="auto"/>
          <w:sz w:val="28"/>
          <w:szCs w:val="28"/>
          <w:lang w:val="en-US" w:eastAsia="zh-CN"/>
        </w:rPr>
        <w:t>％</w:t>
      </w:r>
      <w:r>
        <w:rPr>
          <w:rFonts w:hint="eastAsia" w:ascii="宋体" w:hAnsi="宋体" w:eastAsia="宋体" w:cs="宋体"/>
          <w:sz w:val="28"/>
          <w:szCs w:val="28"/>
        </w:rPr>
        <w:t>。</w:t>
      </w:r>
    </w:p>
    <w:p>
      <w:pPr>
        <w:snapToGrid w:val="0"/>
        <w:spacing w:beforeLines="0" w:afterLines="0" w:line="6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（三）目标合理性</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textAlignment w:val="auto"/>
        <w:rPr>
          <w:rFonts w:hint="eastAsia" w:ascii="宋体" w:hAnsi="宋体" w:eastAsia="宋体" w:cs="宋体"/>
          <w:b/>
          <w:sz w:val="28"/>
          <w:szCs w:val="28"/>
          <w:highlight w:val="none"/>
        </w:rPr>
      </w:pPr>
      <w:r>
        <w:rPr>
          <w:rFonts w:hint="eastAsia" w:ascii="宋体" w:hAnsi="宋体" w:eastAsia="宋体" w:cs="宋体"/>
          <w:kern w:val="0"/>
          <w:sz w:val="28"/>
          <w:szCs w:val="28"/>
          <w:lang w:val="en-US" w:eastAsia="zh-CN"/>
        </w:rPr>
        <w:t>该</w:t>
      </w:r>
      <w:r>
        <w:rPr>
          <w:rFonts w:hint="eastAsia" w:ascii="宋体" w:hAnsi="宋体" w:eastAsia="宋体" w:cs="宋体"/>
          <w:kern w:val="0"/>
          <w:sz w:val="28"/>
          <w:szCs w:val="28"/>
          <w:lang w:eastAsia="zh-CN"/>
        </w:rPr>
        <w:t>项目</w:t>
      </w:r>
      <w:r>
        <w:rPr>
          <w:rFonts w:hint="eastAsia" w:ascii="宋体" w:hAnsi="宋体" w:eastAsia="宋体" w:cs="宋体"/>
          <w:sz w:val="28"/>
          <w:szCs w:val="28"/>
        </w:rPr>
        <w:t>绩效目标明确、合理，具有可衡量性。受益群体为广大市民，符合为群众办实事需求，也与</w:t>
      </w:r>
      <w:r>
        <w:rPr>
          <w:rFonts w:hint="eastAsia" w:ascii="宋体" w:hAnsi="宋体" w:cs="宋体"/>
          <w:sz w:val="28"/>
          <w:szCs w:val="28"/>
          <w:lang w:val="en-US" w:eastAsia="zh-CN"/>
        </w:rPr>
        <w:t>县</w:t>
      </w:r>
      <w:r>
        <w:rPr>
          <w:rFonts w:hint="eastAsia" w:ascii="宋体" w:hAnsi="宋体" w:eastAsia="宋体" w:cs="宋体"/>
          <w:sz w:val="28"/>
          <w:szCs w:val="28"/>
        </w:rPr>
        <w:t>住建局年度工作职能任务相一致。与预算支出内容、范围、方向、效果等紧密相关，指向非常明确。建议预算控制在</w:t>
      </w:r>
      <w:r>
        <w:rPr>
          <w:rFonts w:hint="eastAsia" w:ascii="宋体" w:hAnsi="宋体" w:eastAsia="宋体" w:cs="宋体"/>
          <w:sz w:val="28"/>
          <w:szCs w:val="28"/>
          <w:lang w:val="en-US" w:eastAsia="zh-CN"/>
        </w:rPr>
        <w:t>262.64</w:t>
      </w:r>
      <w:r>
        <w:rPr>
          <w:rFonts w:hint="eastAsia" w:ascii="宋体" w:hAnsi="宋体" w:eastAsia="宋体" w:cs="宋体"/>
          <w:sz w:val="28"/>
          <w:szCs w:val="28"/>
        </w:rPr>
        <w:t>万元以内，</w:t>
      </w:r>
      <w:r>
        <w:rPr>
          <w:rFonts w:hint="eastAsia" w:ascii="宋体" w:hAnsi="宋体" w:eastAsia="宋体" w:cs="宋体"/>
          <w:sz w:val="28"/>
          <w:szCs w:val="28"/>
          <w:highlight w:val="none"/>
        </w:rPr>
        <w:t>绩效目标</w:t>
      </w:r>
      <w:r>
        <w:rPr>
          <w:rFonts w:hint="eastAsia" w:ascii="宋体" w:hAnsi="宋体" w:cs="宋体"/>
          <w:sz w:val="28"/>
          <w:szCs w:val="28"/>
          <w:highlight w:val="none"/>
          <w:lang w:val="en-US" w:eastAsia="zh-CN"/>
        </w:rPr>
        <w:t>设置从产出，成本，效益，满意度四方面设置，具有</w:t>
      </w:r>
      <w:r>
        <w:rPr>
          <w:rFonts w:hint="eastAsia" w:ascii="宋体" w:hAnsi="宋体" w:eastAsia="宋体" w:cs="宋体"/>
          <w:sz w:val="28"/>
          <w:szCs w:val="28"/>
          <w:highlight w:val="none"/>
        </w:rPr>
        <w:t>合理性。</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（四）实施可行性</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textAlignment w:val="auto"/>
        <w:rPr>
          <w:rFonts w:hint="eastAsia" w:ascii="宋体" w:hAnsi="宋体" w:eastAsia="宋体" w:cs="宋体"/>
          <w:sz w:val="28"/>
          <w:szCs w:val="28"/>
        </w:rPr>
      </w:pPr>
      <w:r>
        <w:rPr>
          <w:rFonts w:hint="eastAsia" w:ascii="宋体" w:hAnsi="宋体" w:eastAsia="宋体" w:cs="宋体"/>
          <w:kern w:val="0"/>
          <w:sz w:val="28"/>
          <w:szCs w:val="28"/>
        </w:rPr>
        <w:t>华博苑</w:t>
      </w:r>
      <w:r>
        <w:rPr>
          <w:rFonts w:hint="eastAsia" w:ascii="宋体" w:hAnsi="宋体" w:eastAsia="宋体" w:cs="宋体"/>
          <w:kern w:val="0"/>
          <w:sz w:val="28"/>
          <w:szCs w:val="28"/>
          <w:lang w:val="en-US" w:eastAsia="zh-CN"/>
        </w:rPr>
        <w:t>回购资金</w:t>
      </w:r>
      <w:r>
        <w:rPr>
          <w:rFonts w:hint="eastAsia" w:ascii="宋体" w:hAnsi="宋体" w:eastAsia="宋体" w:cs="宋体"/>
          <w:sz w:val="28"/>
          <w:szCs w:val="28"/>
        </w:rPr>
        <w:t>内容明确，组织机构健全，职责分工明确，有具体的实施时间，明确的工作程序，资金能足额保证，建议实施。</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（五）筹资合规性</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本项目资金来源全部为</w:t>
      </w:r>
      <w:r>
        <w:rPr>
          <w:rFonts w:hint="eastAsia" w:ascii="宋体" w:hAnsi="宋体" w:eastAsia="宋体" w:cs="宋体"/>
          <w:sz w:val="28"/>
          <w:szCs w:val="28"/>
          <w:lang w:val="en-US" w:eastAsia="zh-CN"/>
        </w:rPr>
        <w:t>财政</w:t>
      </w:r>
      <w:r>
        <w:rPr>
          <w:rFonts w:hint="eastAsia" w:ascii="宋体" w:hAnsi="宋体" w:eastAsia="宋体" w:cs="宋体"/>
          <w:sz w:val="28"/>
          <w:szCs w:val="28"/>
        </w:rPr>
        <w:t>资金。该项目属于公共财政支持范围，筹资渠道符合法律法规规定，筹资结构合理，资金来源明确。</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六、评估结论</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560"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综合前述评估内容来看，该项目立项必要性和依据充分，绩效目标明确，具备实施条件，具有公共性，符合财政资金支持方向等。建议予以支持，总预算控制在262.64万元以内</w:t>
      </w:r>
      <w:r>
        <w:rPr>
          <w:rFonts w:hint="eastAsia" w:ascii="宋体" w:hAnsi="宋体" w:cs="宋体"/>
          <w:kern w:val="2"/>
          <w:sz w:val="28"/>
          <w:szCs w:val="28"/>
          <w:lang w:val="en-US" w:eastAsia="zh-CN"/>
        </w:rPr>
        <w:t>。</w:t>
      </w:r>
      <w:r>
        <w:rPr>
          <w:rFonts w:hint="eastAsia" w:ascii="宋体" w:hAnsi="宋体" w:eastAsia="宋体" w:cs="宋体"/>
          <w:kern w:val="2"/>
          <w:sz w:val="28"/>
          <w:szCs w:val="28"/>
          <w:lang w:val="en-US" w:eastAsia="zh-CN"/>
        </w:rPr>
        <w:t>该项目本次申请资金总预算262.64万元，我单位将进一步优化完善实施方案和绩效目标，加强运行监控，节约财政资金并提升资金效益，提升预算绩效管理水平。</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8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七、其它说明事项</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80" w:lineRule="exact"/>
        <w:ind w:left="420" w:leftChars="200" w:firstLine="560"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80" w:lineRule="exact"/>
        <w:ind w:firstLine="562" w:firstLineChars="20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八、评估人员签字</w:t>
      </w:r>
    </w:p>
    <w:p>
      <w:pPr>
        <w:pStyle w:val="22"/>
        <w:ind w:left="0" w:leftChars="0" w:firstLine="840" w:firstLineChars="3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谢冰  李彬  </w:t>
      </w:r>
      <w:r>
        <w:rPr>
          <w:rFonts w:hint="eastAsia" w:ascii="宋体" w:hAnsi="宋体" w:cs="宋体"/>
          <w:sz w:val="28"/>
          <w:szCs w:val="28"/>
          <w:highlight w:val="none"/>
          <w:lang w:val="en-US" w:eastAsia="zh-CN"/>
        </w:rPr>
        <w:t xml:space="preserve"> </w:t>
      </w:r>
      <w:r>
        <w:rPr>
          <w:rFonts w:hint="eastAsia" w:ascii="宋体" w:hAnsi="宋体" w:eastAsia="宋体" w:cs="宋体"/>
          <w:sz w:val="28"/>
          <w:szCs w:val="28"/>
          <w:highlight w:val="none"/>
          <w:lang w:val="en-US" w:eastAsia="zh-CN"/>
        </w:rPr>
        <w:t>陈建华</w:t>
      </w:r>
    </w:p>
    <w:p>
      <w:pPr>
        <w:rPr>
          <w:rFonts w:hint="eastAsia" w:ascii="宋体" w:hAnsi="宋体" w:eastAsia="宋体" w:cs="宋体"/>
          <w:sz w:val="28"/>
          <w:szCs w:val="28"/>
        </w:rPr>
      </w:pPr>
    </w:p>
    <w:p>
      <w:pPr>
        <w:spacing w:line="520" w:lineRule="exact"/>
        <w:jc w:val="both"/>
        <w:rPr>
          <w:rFonts w:hint="default" w:eastAsia="方正小标宋简体"/>
          <w:bCs/>
          <w:kern w:val="0"/>
          <w:sz w:val="44"/>
          <w:szCs w:val="44"/>
          <w:lang w:val="en-US" w:eastAsia="zh-CN"/>
        </w:rPr>
      </w:pPr>
      <w:r>
        <w:rPr>
          <w:rFonts w:hint="eastAsia" w:eastAsia="方正小标宋简体"/>
          <w:b w:val="0"/>
          <w:bCs/>
          <w:kern w:val="0"/>
          <w:sz w:val="32"/>
          <w:szCs w:val="32"/>
          <w:lang w:val="en-US" w:eastAsia="zh-CN"/>
        </w:rPr>
        <w:t>附件5</w:t>
      </w:r>
    </w:p>
    <w:p>
      <w:pPr>
        <w:spacing w:line="520" w:lineRule="exact"/>
        <w:ind w:left="-176"/>
        <w:jc w:val="center"/>
        <w:rPr>
          <w:rFonts w:eastAsia="方正小标宋简体"/>
          <w:bCs/>
          <w:kern w:val="0"/>
          <w:sz w:val="44"/>
          <w:szCs w:val="44"/>
        </w:rPr>
      </w:pPr>
      <w:r>
        <w:rPr>
          <w:rFonts w:hint="eastAsia" w:eastAsia="方正小标宋简体"/>
          <w:bCs/>
          <w:kern w:val="0"/>
          <w:sz w:val="44"/>
          <w:szCs w:val="44"/>
        </w:rPr>
        <w:t>项目支出绩效目标申报表</w:t>
      </w:r>
    </w:p>
    <w:p>
      <w:pPr>
        <w:spacing w:line="520" w:lineRule="exact"/>
        <w:ind w:left="-176"/>
        <w:jc w:val="center"/>
        <w:rPr>
          <w:rFonts w:eastAsia="方正楷体简体"/>
          <w:b/>
          <w:kern w:val="0"/>
          <w:szCs w:val="21"/>
        </w:rPr>
      </w:pPr>
      <w:r>
        <w:rPr>
          <w:rFonts w:hint="eastAsia" w:eastAsia="方正楷体简体"/>
          <w:b/>
          <w:kern w:val="0"/>
          <w:szCs w:val="21"/>
        </w:rPr>
        <w:t>（</w:t>
      </w:r>
      <w:r>
        <w:rPr>
          <w:rFonts w:hint="eastAsia" w:eastAsia="方正楷体简体"/>
          <w:b/>
          <w:kern w:val="0"/>
          <w:szCs w:val="21"/>
          <w:lang w:val="en-US" w:eastAsia="zh-CN"/>
        </w:rPr>
        <w:t>2022</w:t>
      </w:r>
      <w:r>
        <w:rPr>
          <w:rFonts w:hint="eastAsia" w:eastAsia="方正楷体简体"/>
          <w:b/>
          <w:kern w:val="0"/>
          <w:szCs w:val="21"/>
        </w:rPr>
        <w:t>年度）</w:t>
      </w:r>
    </w:p>
    <w:tbl>
      <w:tblPr>
        <w:tblStyle w:val="18"/>
        <w:tblW w:w="931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52"/>
        <w:gridCol w:w="893"/>
        <w:gridCol w:w="895"/>
        <w:gridCol w:w="446"/>
        <w:gridCol w:w="1163"/>
        <w:gridCol w:w="31"/>
        <w:gridCol w:w="593"/>
        <w:gridCol w:w="688"/>
        <w:gridCol w:w="267"/>
        <w:gridCol w:w="922"/>
        <w:gridCol w:w="760"/>
        <w:gridCol w:w="410"/>
        <w:gridCol w:w="167"/>
        <w:gridCol w:w="11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18" w:type="dxa"/>
            <w:gridSpan w:val="7"/>
            <w:vAlign w:val="center"/>
          </w:tcPr>
          <w:p>
            <w:pPr>
              <w:spacing w:line="290" w:lineRule="exact"/>
              <w:jc w:val="center"/>
              <w:rPr>
                <w:rFonts w:eastAsia="宋体"/>
                <w:kern w:val="0"/>
                <w:sz w:val="24"/>
                <w:szCs w:val="24"/>
              </w:rPr>
            </w:pPr>
            <w:r>
              <w:rPr>
                <w:rFonts w:hint="eastAsia" w:eastAsia="宋体"/>
                <w:kern w:val="0"/>
                <w:sz w:val="24"/>
                <w:szCs w:val="24"/>
              </w:rPr>
              <w:t>项目名称</w:t>
            </w:r>
          </w:p>
        </w:tc>
        <w:tc>
          <w:tcPr>
            <w:tcW w:w="4996" w:type="dxa"/>
            <w:gridSpan w:val="8"/>
            <w:vAlign w:val="center"/>
          </w:tcPr>
          <w:p>
            <w:pPr>
              <w:spacing w:line="290" w:lineRule="exact"/>
              <w:jc w:val="center"/>
              <w:rPr>
                <w:rFonts w:eastAsia="宋体"/>
                <w:kern w:val="0"/>
                <w:sz w:val="24"/>
                <w:szCs w:val="24"/>
              </w:rPr>
            </w:pPr>
            <w:r>
              <w:rPr>
                <w:rFonts w:hint="eastAsia" w:eastAsia="宋体"/>
                <w:kern w:val="0"/>
                <w:sz w:val="24"/>
                <w:szCs w:val="24"/>
                <w:lang w:val="en-US" w:eastAsia="zh-CN"/>
              </w:rPr>
              <w:t>人才公寓物业服务费</w:t>
            </w:r>
            <w:r>
              <w:rPr>
                <w:rFonts w:hint="eastAsia" w:eastAsia="宋体"/>
                <w:kern w:val="0"/>
                <w:sz w:val="24"/>
                <w:szCs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18" w:type="dxa"/>
            <w:gridSpan w:val="7"/>
            <w:vAlign w:val="center"/>
          </w:tcPr>
          <w:p>
            <w:pPr>
              <w:spacing w:line="290" w:lineRule="exact"/>
              <w:jc w:val="center"/>
              <w:rPr>
                <w:rFonts w:eastAsia="宋体"/>
                <w:kern w:val="0"/>
                <w:sz w:val="24"/>
                <w:szCs w:val="24"/>
              </w:rPr>
            </w:pPr>
            <w:r>
              <w:rPr>
                <w:rFonts w:hint="eastAsia" w:eastAsia="宋体"/>
                <w:kern w:val="0"/>
                <w:sz w:val="24"/>
                <w:szCs w:val="24"/>
              </w:rPr>
              <w:t>预算单位</w:t>
            </w:r>
          </w:p>
        </w:tc>
        <w:tc>
          <w:tcPr>
            <w:tcW w:w="4996" w:type="dxa"/>
            <w:gridSpan w:val="8"/>
            <w:vAlign w:val="center"/>
          </w:tcPr>
          <w:p>
            <w:pPr>
              <w:spacing w:line="290" w:lineRule="exact"/>
              <w:jc w:val="center"/>
              <w:rPr>
                <w:rFonts w:hint="default" w:eastAsia="宋体"/>
                <w:kern w:val="0"/>
                <w:sz w:val="24"/>
                <w:szCs w:val="24"/>
                <w:lang w:val="en-US" w:eastAsia="zh-CN"/>
              </w:rPr>
            </w:pPr>
            <w:r>
              <w:rPr>
                <w:rFonts w:hint="eastAsia" w:eastAsia="宋体"/>
                <w:kern w:val="0"/>
                <w:sz w:val="24"/>
                <w:szCs w:val="24"/>
              </w:rPr>
              <w:t>　</w:t>
            </w:r>
            <w:r>
              <w:rPr>
                <w:rFonts w:hint="eastAsia" w:eastAsia="宋体"/>
                <w:kern w:val="0"/>
                <w:sz w:val="24"/>
                <w:szCs w:val="24"/>
                <w:lang w:val="en-US" w:eastAsia="zh-CN"/>
              </w:rPr>
              <w:t>乐至县房地产管理局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18" w:type="dxa"/>
            <w:gridSpan w:val="7"/>
            <w:vAlign w:val="center"/>
          </w:tcPr>
          <w:p>
            <w:pPr>
              <w:spacing w:line="290" w:lineRule="exact"/>
              <w:jc w:val="center"/>
              <w:rPr>
                <w:rFonts w:eastAsia="宋体"/>
                <w:kern w:val="0"/>
                <w:sz w:val="24"/>
                <w:szCs w:val="24"/>
              </w:rPr>
            </w:pPr>
            <w:r>
              <w:rPr>
                <w:rFonts w:hint="eastAsia" w:eastAsia="宋体"/>
                <w:kern w:val="0"/>
                <w:sz w:val="24"/>
                <w:szCs w:val="24"/>
              </w:rPr>
              <w:t>项目类型</w:t>
            </w:r>
          </w:p>
        </w:tc>
        <w:tc>
          <w:tcPr>
            <w:tcW w:w="1281" w:type="dxa"/>
            <w:gridSpan w:val="2"/>
            <w:vAlign w:val="center"/>
          </w:tcPr>
          <w:p>
            <w:pPr>
              <w:spacing w:line="290" w:lineRule="exact"/>
              <w:jc w:val="center"/>
              <w:rPr>
                <w:rFonts w:hint="eastAsia" w:eastAsia="宋体"/>
                <w:kern w:val="0"/>
                <w:sz w:val="24"/>
                <w:szCs w:val="24"/>
              </w:rPr>
            </w:pPr>
            <w:r>
              <w:rPr>
                <w:rFonts w:hint="eastAsia" w:eastAsia="宋体"/>
                <w:kern w:val="0"/>
                <w:sz w:val="24"/>
                <w:szCs w:val="24"/>
              </w:rPr>
              <w:t>产业发展</w:t>
            </w:r>
          </w:p>
          <w:p>
            <w:pPr>
              <w:spacing w:line="290" w:lineRule="exact"/>
              <w:jc w:val="center"/>
              <w:rPr>
                <w:rFonts w:eastAsia="宋体"/>
                <w:kern w:val="0"/>
                <w:sz w:val="24"/>
                <w:szCs w:val="24"/>
              </w:rPr>
            </w:pPr>
            <w:r>
              <w:rPr>
                <w:rFonts w:hint="eastAsia" w:eastAsia="宋体"/>
                <w:kern w:val="0"/>
                <w:sz w:val="24"/>
                <w:szCs w:val="24"/>
              </w:rPr>
              <w:t>□</w:t>
            </w:r>
          </w:p>
        </w:tc>
        <w:tc>
          <w:tcPr>
            <w:tcW w:w="1189" w:type="dxa"/>
            <w:gridSpan w:val="2"/>
            <w:vAlign w:val="center"/>
          </w:tcPr>
          <w:p>
            <w:pPr>
              <w:spacing w:line="290" w:lineRule="exact"/>
              <w:jc w:val="center"/>
              <w:rPr>
                <w:rFonts w:hint="eastAsia" w:eastAsia="宋体"/>
                <w:kern w:val="0"/>
                <w:sz w:val="24"/>
                <w:szCs w:val="24"/>
                <w:lang w:eastAsia="zh-CN"/>
              </w:rPr>
            </w:pPr>
            <w:r>
              <w:rPr>
                <w:rFonts w:hint="eastAsia" w:eastAsia="宋体"/>
                <w:kern w:val="0"/>
                <w:sz w:val="24"/>
                <w:szCs w:val="24"/>
              </w:rPr>
              <w:t>民生保障</w:t>
            </w:r>
            <w:r>
              <w:rPr>
                <w:rFonts w:eastAsia="宋体"/>
                <w:kern w:val="0"/>
                <w:sz w:val="24"/>
                <w:szCs w:val="24"/>
              </w:rPr>
              <w:t xml:space="preserve">   </w:t>
            </w:r>
            <w:r>
              <w:rPr>
                <w:rFonts w:hint="eastAsia" w:eastAsia="宋体"/>
                <w:kern w:val="0"/>
                <w:sz w:val="24"/>
                <w:szCs w:val="24"/>
                <w:lang w:eastAsia="zh-CN"/>
              </w:rPr>
              <w:t>□</w:t>
            </w:r>
          </w:p>
        </w:tc>
        <w:tc>
          <w:tcPr>
            <w:tcW w:w="1337" w:type="dxa"/>
            <w:gridSpan w:val="3"/>
            <w:vAlign w:val="center"/>
          </w:tcPr>
          <w:p>
            <w:pPr>
              <w:spacing w:line="290" w:lineRule="exact"/>
              <w:jc w:val="center"/>
              <w:rPr>
                <w:rFonts w:eastAsia="宋体"/>
                <w:kern w:val="0"/>
                <w:sz w:val="24"/>
                <w:szCs w:val="24"/>
              </w:rPr>
            </w:pPr>
            <w:r>
              <w:rPr>
                <w:rFonts w:hint="eastAsia" w:eastAsia="宋体"/>
                <w:kern w:val="0"/>
                <w:sz w:val="24"/>
                <w:szCs w:val="24"/>
              </w:rPr>
              <w:t>基础设施</w:t>
            </w:r>
            <w:r>
              <w:rPr>
                <w:rFonts w:eastAsia="宋体"/>
                <w:kern w:val="0"/>
                <w:sz w:val="24"/>
                <w:szCs w:val="24"/>
              </w:rPr>
              <w:t xml:space="preserve">   </w:t>
            </w:r>
            <w:r>
              <w:rPr>
                <w:rFonts w:hint="eastAsia" w:eastAsia="宋体"/>
                <w:kern w:val="0"/>
                <w:sz w:val="24"/>
                <w:szCs w:val="24"/>
              </w:rPr>
              <w:t>□</w:t>
            </w:r>
          </w:p>
        </w:tc>
        <w:tc>
          <w:tcPr>
            <w:tcW w:w="1189" w:type="dxa"/>
            <w:vAlign w:val="center"/>
          </w:tcPr>
          <w:p>
            <w:pPr>
              <w:spacing w:line="290" w:lineRule="exact"/>
              <w:jc w:val="center"/>
              <w:rPr>
                <w:rFonts w:hint="eastAsia" w:eastAsia="宋体"/>
                <w:kern w:val="0"/>
                <w:sz w:val="24"/>
                <w:szCs w:val="24"/>
                <w:lang w:eastAsia="zh-CN"/>
              </w:rPr>
            </w:pPr>
            <w:r>
              <w:rPr>
                <w:rFonts w:hint="eastAsia" w:eastAsia="宋体"/>
                <w:kern w:val="0"/>
                <w:sz w:val="24"/>
                <w:szCs w:val="24"/>
              </w:rPr>
              <w:t>行政运行</w:t>
            </w:r>
            <w:r>
              <w:rPr>
                <w:rFonts w:eastAsia="宋体"/>
                <w:kern w:val="0"/>
                <w:sz w:val="24"/>
                <w:szCs w:val="24"/>
              </w:rPr>
              <w:t xml:space="preserve">    </w:t>
            </w:r>
            <w:r>
              <w:rPr>
                <w:rFonts w:hint="eastAsia" w:eastAsia="宋体"/>
                <w:kern w:val="0"/>
                <w:sz w:val="24"/>
                <w:szCs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restart"/>
            <w:vAlign w:val="center"/>
          </w:tcPr>
          <w:p>
            <w:pPr>
              <w:spacing w:line="290" w:lineRule="exact"/>
              <w:jc w:val="center"/>
              <w:rPr>
                <w:rFonts w:eastAsia="宋体"/>
                <w:bCs/>
                <w:kern w:val="0"/>
                <w:sz w:val="24"/>
                <w:szCs w:val="24"/>
              </w:rPr>
            </w:pPr>
            <w:r>
              <w:rPr>
                <w:rFonts w:hint="eastAsia" w:eastAsia="宋体"/>
                <w:bCs/>
                <w:kern w:val="0"/>
                <w:sz w:val="24"/>
                <w:szCs w:val="24"/>
              </w:rPr>
              <w:t>项目概况</w:t>
            </w:r>
          </w:p>
        </w:tc>
        <w:tc>
          <w:tcPr>
            <w:tcW w:w="3780" w:type="dxa"/>
            <w:gridSpan w:val="6"/>
            <w:vAlign w:val="center"/>
          </w:tcPr>
          <w:p>
            <w:pPr>
              <w:spacing w:line="290" w:lineRule="exact"/>
              <w:jc w:val="left"/>
              <w:rPr>
                <w:rFonts w:eastAsia="宋体"/>
                <w:kern w:val="0"/>
                <w:sz w:val="24"/>
                <w:szCs w:val="24"/>
              </w:rPr>
            </w:pPr>
            <w:r>
              <w:rPr>
                <w:rFonts w:hint="eastAsia" w:eastAsia="宋体"/>
                <w:kern w:val="0"/>
                <w:sz w:val="24"/>
                <w:szCs w:val="24"/>
              </w:rPr>
              <w:t>中长期规划（名称、文号，仅指常年项目）</w:t>
            </w:r>
          </w:p>
        </w:tc>
        <w:tc>
          <w:tcPr>
            <w:tcW w:w="4996" w:type="dxa"/>
            <w:gridSpan w:val="8"/>
            <w:vAlign w:val="center"/>
          </w:tcPr>
          <w:p>
            <w:pPr>
              <w:spacing w:line="290" w:lineRule="exact"/>
              <w:jc w:val="left"/>
              <w:rPr>
                <w:rFonts w:eastAsia="宋体"/>
                <w:kern w:val="0"/>
                <w:sz w:val="24"/>
                <w:szCs w:val="24"/>
              </w:rPr>
            </w:pPr>
          </w:p>
          <w:p>
            <w:pPr>
              <w:spacing w:line="290" w:lineRule="exact"/>
              <w:jc w:val="center"/>
              <w:rPr>
                <w:rFonts w:hint="default" w:eastAsia="宋体"/>
                <w:kern w:val="0"/>
                <w:sz w:val="24"/>
                <w:szCs w:val="24"/>
                <w:lang w:val="en-US" w:eastAsia="zh-CN"/>
              </w:rPr>
            </w:pPr>
            <w:r>
              <w:rPr>
                <w:rFonts w:hint="eastAsia" w:eastAsia="宋体"/>
                <w:kern w:val="0"/>
                <w:sz w:val="24"/>
                <w:szCs w:val="24"/>
                <w:lang w:eastAsia="zh-CN"/>
              </w:rPr>
              <w:t>《</w:t>
            </w:r>
            <w:r>
              <w:rPr>
                <w:rFonts w:hint="eastAsia" w:eastAsia="宋体"/>
                <w:kern w:val="0"/>
                <w:sz w:val="24"/>
                <w:szCs w:val="24"/>
                <w:lang w:val="en-US" w:eastAsia="zh-CN"/>
              </w:rPr>
              <w:t>乐至县高层次人才引进和培育办法</w:t>
            </w:r>
            <w:r>
              <w:rPr>
                <w:rFonts w:hint="eastAsia" w:eastAsia="宋体"/>
                <w:kern w:val="0"/>
                <w:sz w:val="24"/>
                <w:szCs w:val="24"/>
                <w:lang w:eastAsia="zh-CN"/>
              </w:rPr>
              <w:t>》</w:t>
            </w:r>
            <w:r>
              <w:rPr>
                <w:rFonts w:hint="eastAsia" w:eastAsia="宋体"/>
                <w:kern w:val="0"/>
                <w:sz w:val="24"/>
                <w:szCs w:val="24"/>
                <w:lang w:val="en-US" w:eastAsia="zh-CN"/>
              </w:rPr>
              <w:t>乐委办发</w:t>
            </w:r>
            <w:r>
              <w:rPr>
                <w:rFonts w:hint="eastAsia"/>
                <w:kern w:val="0"/>
                <w:sz w:val="24"/>
                <w:szCs w:val="24"/>
                <w:lang w:val="en-US" w:eastAsia="zh-CN"/>
              </w:rPr>
              <w:t>〔</w:t>
            </w:r>
            <w:r>
              <w:rPr>
                <w:rFonts w:hint="eastAsia" w:eastAsia="宋体"/>
                <w:kern w:val="0"/>
                <w:sz w:val="24"/>
                <w:szCs w:val="24"/>
                <w:lang w:val="en-US" w:eastAsia="zh-CN"/>
              </w:rPr>
              <w:t>2019</w:t>
            </w:r>
            <w:r>
              <w:rPr>
                <w:rFonts w:hint="eastAsia"/>
                <w:kern w:val="0"/>
                <w:sz w:val="24"/>
                <w:szCs w:val="24"/>
                <w:lang w:val="en-US" w:eastAsia="zh-CN"/>
              </w:rPr>
              <w:t>〕</w:t>
            </w:r>
            <w:r>
              <w:rPr>
                <w:rFonts w:hint="eastAsia" w:eastAsia="宋体"/>
                <w:kern w:val="0"/>
                <w:sz w:val="24"/>
                <w:szCs w:val="24"/>
                <w:lang w:val="en-US" w:eastAsia="zh-CN"/>
              </w:rPr>
              <w:t>76号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continue"/>
            <w:vAlign w:val="center"/>
          </w:tcPr>
          <w:p>
            <w:pPr>
              <w:spacing w:line="290" w:lineRule="exact"/>
              <w:jc w:val="left"/>
              <w:rPr>
                <w:rFonts w:eastAsia="宋体"/>
                <w:bCs/>
                <w:kern w:val="0"/>
                <w:sz w:val="24"/>
                <w:szCs w:val="24"/>
              </w:rPr>
            </w:pPr>
          </w:p>
        </w:tc>
        <w:tc>
          <w:tcPr>
            <w:tcW w:w="3780" w:type="dxa"/>
            <w:gridSpan w:val="6"/>
            <w:vAlign w:val="center"/>
          </w:tcPr>
          <w:p>
            <w:pPr>
              <w:spacing w:line="290" w:lineRule="exact"/>
              <w:jc w:val="left"/>
              <w:rPr>
                <w:rFonts w:eastAsia="宋体"/>
                <w:kern w:val="0"/>
                <w:sz w:val="24"/>
                <w:szCs w:val="24"/>
              </w:rPr>
            </w:pPr>
            <w:r>
              <w:rPr>
                <w:rFonts w:hint="eastAsia" w:eastAsia="宋体"/>
                <w:kern w:val="0"/>
                <w:sz w:val="24"/>
                <w:szCs w:val="24"/>
              </w:rPr>
              <w:t>资金管理办法（名称、文号）</w:t>
            </w:r>
          </w:p>
        </w:tc>
        <w:tc>
          <w:tcPr>
            <w:tcW w:w="4996" w:type="dxa"/>
            <w:gridSpan w:val="8"/>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lang w:eastAsia="zh-CN"/>
              </w:rPr>
              <w:t>《</w:t>
            </w:r>
            <w:r>
              <w:rPr>
                <w:rFonts w:hint="eastAsia" w:eastAsia="宋体"/>
                <w:kern w:val="0"/>
                <w:sz w:val="24"/>
                <w:szCs w:val="24"/>
                <w:lang w:val="en-US" w:eastAsia="zh-CN"/>
              </w:rPr>
              <w:t>物业管理条例</w:t>
            </w:r>
            <w:r>
              <w:rPr>
                <w:rFonts w:hint="eastAsia" w:eastAsia="宋体"/>
                <w:kern w:val="0"/>
                <w:sz w:val="24"/>
                <w:szCs w:val="24"/>
                <w:lang w:eastAsia="zh-CN"/>
              </w:rPr>
              <w:t>》</w:t>
            </w:r>
            <w:r>
              <w:rPr>
                <w:rFonts w:hint="eastAsia" w:eastAsia="宋体"/>
                <w:kern w:val="0"/>
                <w:sz w:val="24"/>
                <w:szCs w:val="24"/>
                <w:lang w:val="en-US" w:eastAsia="zh-CN"/>
              </w:rPr>
              <w:t>国务院令第698号</w:t>
            </w:r>
          </w:p>
          <w:p>
            <w:pPr>
              <w:spacing w:line="290" w:lineRule="exact"/>
              <w:jc w:val="center"/>
              <w:rPr>
                <w:rFonts w:eastAsia="宋体"/>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continue"/>
            <w:vAlign w:val="center"/>
          </w:tcPr>
          <w:p>
            <w:pPr>
              <w:spacing w:line="290" w:lineRule="exact"/>
              <w:jc w:val="left"/>
              <w:rPr>
                <w:rFonts w:eastAsia="宋体"/>
                <w:bCs/>
                <w:kern w:val="0"/>
                <w:sz w:val="24"/>
                <w:szCs w:val="24"/>
              </w:rPr>
            </w:pPr>
          </w:p>
        </w:tc>
        <w:tc>
          <w:tcPr>
            <w:tcW w:w="4373" w:type="dxa"/>
            <w:gridSpan w:val="7"/>
            <w:vAlign w:val="center"/>
          </w:tcPr>
          <w:p>
            <w:pPr>
              <w:spacing w:line="290" w:lineRule="exact"/>
              <w:jc w:val="center"/>
              <w:rPr>
                <w:rFonts w:eastAsia="宋体"/>
                <w:kern w:val="0"/>
                <w:sz w:val="24"/>
                <w:szCs w:val="24"/>
              </w:rPr>
            </w:pPr>
            <w:r>
              <w:rPr>
                <w:rFonts w:hint="eastAsia" w:eastAsia="宋体"/>
                <w:kern w:val="0"/>
                <w:sz w:val="24"/>
                <w:szCs w:val="24"/>
              </w:rPr>
              <w:t>绩效分配方式</w:t>
            </w:r>
          </w:p>
        </w:tc>
        <w:tc>
          <w:tcPr>
            <w:tcW w:w="4403" w:type="dxa"/>
            <w:gridSpan w:val="7"/>
            <w:vAlign w:val="center"/>
          </w:tcPr>
          <w:p>
            <w:pPr>
              <w:spacing w:line="290" w:lineRule="exact"/>
              <w:jc w:val="center"/>
              <w:rPr>
                <w:rFonts w:eastAsia="宋体"/>
                <w:kern w:val="0"/>
                <w:sz w:val="24"/>
                <w:szCs w:val="24"/>
              </w:rPr>
            </w:pPr>
            <w:r>
              <w:rPr>
                <w:rFonts w:hint="eastAsia" w:eastAsia="宋体"/>
                <w:kern w:val="0"/>
                <w:sz w:val="24"/>
                <w:szCs w:val="24"/>
              </w:rPr>
              <w:t>因素法□</w:t>
            </w:r>
            <w:r>
              <w:rPr>
                <w:rFonts w:eastAsia="宋体"/>
                <w:kern w:val="0"/>
                <w:sz w:val="24"/>
                <w:szCs w:val="24"/>
              </w:rPr>
              <w:t xml:space="preserve">   </w:t>
            </w:r>
            <w:r>
              <w:rPr>
                <w:rFonts w:hint="eastAsia" w:eastAsia="宋体"/>
                <w:kern w:val="0"/>
                <w:sz w:val="24"/>
                <w:szCs w:val="24"/>
              </w:rPr>
              <w:t>项目法□</w:t>
            </w:r>
            <w:r>
              <w:rPr>
                <w:rFonts w:eastAsia="宋体"/>
                <w:kern w:val="0"/>
                <w:sz w:val="24"/>
                <w:szCs w:val="24"/>
              </w:rPr>
              <w:t xml:space="preserve">  </w:t>
            </w:r>
            <w:r>
              <w:rPr>
                <w:rFonts w:hint="eastAsia" w:eastAsia="宋体"/>
                <w:kern w:val="0"/>
                <w:sz w:val="24"/>
                <w:szCs w:val="24"/>
              </w:rPr>
              <w:t>据实据效□</w:t>
            </w:r>
            <w:r>
              <w:rPr>
                <w:rFonts w:eastAsia="宋体"/>
                <w:kern w:val="0"/>
                <w:sz w:val="24"/>
                <w:szCs w:val="24"/>
              </w:rPr>
              <w:t xml:space="preserve">   </w:t>
            </w:r>
            <w:r>
              <w:rPr>
                <w:rFonts w:hint="eastAsia" w:eastAsia="宋体"/>
                <w:kern w:val="0"/>
                <w:sz w:val="24"/>
                <w:szCs w:val="24"/>
              </w:rPr>
              <w:t>因素法与项目法相结合□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continue"/>
            <w:vAlign w:val="center"/>
          </w:tcPr>
          <w:p>
            <w:pPr>
              <w:spacing w:line="290" w:lineRule="exact"/>
              <w:jc w:val="left"/>
              <w:rPr>
                <w:rFonts w:eastAsia="宋体"/>
                <w:bCs/>
                <w:kern w:val="0"/>
                <w:sz w:val="24"/>
                <w:szCs w:val="24"/>
              </w:rPr>
            </w:pPr>
          </w:p>
        </w:tc>
        <w:tc>
          <w:tcPr>
            <w:tcW w:w="4373" w:type="dxa"/>
            <w:gridSpan w:val="7"/>
            <w:vAlign w:val="center"/>
          </w:tcPr>
          <w:p>
            <w:pPr>
              <w:spacing w:line="290" w:lineRule="exact"/>
              <w:jc w:val="center"/>
              <w:rPr>
                <w:rFonts w:eastAsia="宋体"/>
                <w:kern w:val="0"/>
                <w:sz w:val="24"/>
                <w:szCs w:val="24"/>
              </w:rPr>
            </w:pPr>
            <w:r>
              <w:rPr>
                <w:rFonts w:hint="eastAsia" w:eastAsia="宋体"/>
                <w:kern w:val="0"/>
                <w:sz w:val="24"/>
                <w:szCs w:val="24"/>
              </w:rPr>
              <w:t>立项依据</w:t>
            </w:r>
          </w:p>
        </w:tc>
        <w:tc>
          <w:tcPr>
            <w:tcW w:w="4403" w:type="dxa"/>
            <w:gridSpan w:val="7"/>
            <w:vAlign w:val="center"/>
          </w:tcPr>
          <w:p>
            <w:pPr>
              <w:spacing w:line="290" w:lineRule="exact"/>
              <w:jc w:val="center"/>
              <w:rPr>
                <w:rFonts w:hint="default" w:eastAsia="宋体"/>
                <w:kern w:val="0"/>
                <w:sz w:val="24"/>
                <w:szCs w:val="24"/>
                <w:lang w:val="en-US" w:eastAsia="zh-CN"/>
              </w:rPr>
            </w:pPr>
            <w:r>
              <w:rPr>
                <w:rFonts w:hint="eastAsia" w:eastAsia="宋体"/>
                <w:kern w:val="0"/>
                <w:sz w:val="24"/>
                <w:szCs w:val="24"/>
                <w:lang w:val="en-US" w:eastAsia="zh-CN"/>
              </w:rPr>
              <w:t>县政府对《关于解决人才公寓物业服务费的请示》乐住建</w:t>
            </w:r>
            <w:r>
              <w:rPr>
                <w:rFonts w:hint="eastAsia"/>
                <w:kern w:val="0"/>
                <w:sz w:val="24"/>
                <w:szCs w:val="24"/>
                <w:lang w:val="en-US" w:eastAsia="zh-CN"/>
              </w:rPr>
              <w:t>〔</w:t>
            </w:r>
            <w:r>
              <w:rPr>
                <w:rFonts w:hint="eastAsia" w:eastAsia="宋体"/>
                <w:kern w:val="0"/>
                <w:sz w:val="24"/>
                <w:szCs w:val="24"/>
                <w:lang w:val="en-US" w:eastAsia="zh-CN"/>
              </w:rPr>
              <w:t>2021</w:t>
            </w:r>
            <w:r>
              <w:rPr>
                <w:rFonts w:hint="eastAsia"/>
                <w:kern w:val="0"/>
                <w:sz w:val="24"/>
                <w:szCs w:val="24"/>
                <w:lang w:val="en-US" w:eastAsia="zh-CN"/>
              </w:rPr>
              <w:t>〕</w:t>
            </w:r>
            <w:r>
              <w:rPr>
                <w:rFonts w:hint="eastAsia" w:eastAsia="宋体"/>
                <w:kern w:val="0"/>
                <w:sz w:val="24"/>
                <w:szCs w:val="24"/>
                <w:lang w:val="en-US" w:eastAsia="zh-CN"/>
              </w:rPr>
              <w:t>108号的批复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continue"/>
            <w:vAlign w:val="center"/>
          </w:tcPr>
          <w:p>
            <w:pPr>
              <w:spacing w:line="290" w:lineRule="exact"/>
              <w:jc w:val="left"/>
              <w:rPr>
                <w:rFonts w:eastAsia="宋体"/>
                <w:bCs/>
                <w:kern w:val="0"/>
                <w:sz w:val="24"/>
                <w:szCs w:val="24"/>
              </w:rPr>
            </w:pPr>
          </w:p>
        </w:tc>
        <w:tc>
          <w:tcPr>
            <w:tcW w:w="4373" w:type="dxa"/>
            <w:gridSpan w:val="7"/>
            <w:vAlign w:val="center"/>
          </w:tcPr>
          <w:p>
            <w:pPr>
              <w:spacing w:line="290" w:lineRule="exact"/>
              <w:jc w:val="center"/>
              <w:rPr>
                <w:rFonts w:eastAsia="宋体"/>
                <w:kern w:val="0"/>
                <w:sz w:val="24"/>
                <w:szCs w:val="24"/>
              </w:rPr>
            </w:pPr>
            <w:r>
              <w:rPr>
                <w:rFonts w:hint="eastAsia" w:eastAsia="宋体"/>
                <w:kern w:val="0"/>
                <w:sz w:val="24"/>
                <w:szCs w:val="24"/>
              </w:rPr>
              <w:t>使用范围</w:t>
            </w:r>
          </w:p>
        </w:tc>
        <w:tc>
          <w:tcPr>
            <w:tcW w:w="4403" w:type="dxa"/>
            <w:gridSpan w:val="7"/>
            <w:vAlign w:val="center"/>
          </w:tcPr>
          <w:p>
            <w:pPr>
              <w:spacing w:line="290" w:lineRule="exact"/>
              <w:jc w:val="center"/>
              <w:rPr>
                <w:rFonts w:eastAsia="宋体"/>
                <w:kern w:val="0"/>
                <w:sz w:val="24"/>
                <w:szCs w:val="24"/>
              </w:rPr>
            </w:pPr>
            <w:r>
              <w:rPr>
                <w:rFonts w:hint="eastAsia" w:eastAsia="宋体"/>
                <w:kern w:val="0"/>
                <w:sz w:val="24"/>
                <w:szCs w:val="24"/>
                <w:lang w:val="en-US" w:eastAsia="zh-CN"/>
              </w:rPr>
              <w:t>公租房划转为人才公寓后，未安排入住。应付人才公寓的物业服务费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continue"/>
            <w:vAlign w:val="center"/>
          </w:tcPr>
          <w:p>
            <w:pPr>
              <w:spacing w:line="290" w:lineRule="exact"/>
              <w:jc w:val="left"/>
              <w:rPr>
                <w:rFonts w:eastAsia="宋体"/>
                <w:bCs/>
                <w:kern w:val="0"/>
                <w:sz w:val="24"/>
                <w:szCs w:val="24"/>
              </w:rPr>
            </w:pPr>
          </w:p>
        </w:tc>
        <w:tc>
          <w:tcPr>
            <w:tcW w:w="4373" w:type="dxa"/>
            <w:gridSpan w:val="7"/>
            <w:vAlign w:val="center"/>
          </w:tcPr>
          <w:p>
            <w:pPr>
              <w:spacing w:line="290" w:lineRule="exact"/>
              <w:jc w:val="center"/>
              <w:rPr>
                <w:rFonts w:eastAsia="宋体"/>
                <w:kern w:val="0"/>
                <w:sz w:val="24"/>
                <w:szCs w:val="24"/>
              </w:rPr>
            </w:pPr>
            <w:r>
              <w:rPr>
                <w:rFonts w:hint="eastAsia" w:eastAsia="宋体"/>
                <w:kern w:val="0"/>
                <w:sz w:val="24"/>
                <w:szCs w:val="24"/>
              </w:rPr>
              <w:t>申报（补助）条件</w:t>
            </w:r>
          </w:p>
        </w:tc>
        <w:tc>
          <w:tcPr>
            <w:tcW w:w="4403" w:type="dxa"/>
            <w:gridSpan w:val="7"/>
            <w:vAlign w:val="center"/>
          </w:tcPr>
          <w:p>
            <w:pPr>
              <w:spacing w:line="290" w:lineRule="exact"/>
              <w:jc w:val="center"/>
              <w:rPr>
                <w:rFonts w:eastAsia="宋体"/>
                <w:kern w:val="0"/>
                <w:sz w:val="24"/>
                <w:szCs w:val="24"/>
              </w:rPr>
            </w:pPr>
            <w:r>
              <w:rPr>
                <w:rFonts w:hint="eastAsia" w:eastAsia="宋体"/>
                <w:kern w:val="0"/>
                <w:sz w:val="24"/>
                <w:szCs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8" w:type="dxa"/>
            <w:vMerge w:val="continue"/>
            <w:vAlign w:val="center"/>
          </w:tcPr>
          <w:p>
            <w:pPr>
              <w:spacing w:line="290" w:lineRule="exact"/>
              <w:jc w:val="left"/>
              <w:rPr>
                <w:rFonts w:eastAsia="宋体"/>
                <w:bCs/>
                <w:kern w:val="0"/>
                <w:sz w:val="24"/>
                <w:szCs w:val="24"/>
              </w:rPr>
            </w:pPr>
          </w:p>
        </w:tc>
        <w:tc>
          <w:tcPr>
            <w:tcW w:w="4373" w:type="dxa"/>
            <w:gridSpan w:val="7"/>
            <w:vAlign w:val="center"/>
          </w:tcPr>
          <w:p>
            <w:pPr>
              <w:spacing w:line="290" w:lineRule="exact"/>
              <w:jc w:val="center"/>
              <w:rPr>
                <w:rFonts w:eastAsia="宋体"/>
                <w:kern w:val="0"/>
                <w:sz w:val="24"/>
                <w:szCs w:val="24"/>
              </w:rPr>
            </w:pPr>
            <w:r>
              <w:rPr>
                <w:rFonts w:hint="eastAsia" w:eastAsia="宋体"/>
                <w:kern w:val="0"/>
                <w:sz w:val="24"/>
                <w:szCs w:val="24"/>
              </w:rPr>
              <w:t>项目起止年限</w:t>
            </w:r>
          </w:p>
        </w:tc>
        <w:tc>
          <w:tcPr>
            <w:tcW w:w="4403" w:type="dxa"/>
            <w:gridSpan w:val="7"/>
            <w:vAlign w:val="center"/>
          </w:tcPr>
          <w:p>
            <w:pPr>
              <w:spacing w:line="290" w:lineRule="exact"/>
              <w:jc w:val="center"/>
              <w:rPr>
                <w:rFonts w:eastAsia="宋体"/>
                <w:kern w:val="0"/>
                <w:sz w:val="24"/>
                <w:szCs w:val="24"/>
              </w:rPr>
            </w:pPr>
            <w:r>
              <w:rPr>
                <w:rFonts w:hint="eastAsia" w:eastAsia="宋体"/>
                <w:kern w:val="0"/>
                <w:sz w:val="24"/>
                <w:szCs w:val="24"/>
                <w:lang w:val="en-US" w:eastAsia="zh-CN"/>
              </w:rPr>
              <w:t>2021.6.1-2022.5.30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78" w:type="dxa"/>
            <w:gridSpan w:val="4"/>
            <w:vMerge w:val="restart"/>
            <w:vAlign w:val="center"/>
          </w:tcPr>
          <w:p>
            <w:pPr>
              <w:spacing w:line="290" w:lineRule="exact"/>
              <w:jc w:val="center"/>
              <w:rPr>
                <w:rFonts w:eastAsia="宋体"/>
                <w:kern w:val="0"/>
                <w:sz w:val="24"/>
                <w:szCs w:val="24"/>
              </w:rPr>
            </w:pPr>
            <w:r>
              <w:rPr>
                <w:rFonts w:hint="eastAsia" w:eastAsia="宋体"/>
                <w:kern w:val="0"/>
                <w:sz w:val="24"/>
                <w:szCs w:val="24"/>
              </w:rPr>
              <w:t>项目资金</w:t>
            </w:r>
            <w:r>
              <w:rPr>
                <w:rFonts w:eastAsia="宋体"/>
                <w:kern w:val="0"/>
                <w:sz w:val="24"/>
                <w:szCs w:val="24"/>
              </w:rPr>
              <w:br w:type="textWrapping"/>
            </w:r>
            <w:r>
              <w:rPr>
                <w:rFonts w:hint="eastAsia" w:eastAsia="宋体"/>
                <w:kern w:val="0"/>
                <w:sz w:val="24"/>
                <w:szCs w:val="24"/>
              </w:rPr>
              <w:t>（万元）</w:t>
            </w:r>
          </w:p>
        </w:tc>
        <w:tc>
          <w:tcPr>
            <w:tcW w:w="2233" w:type="dxa"/>
            <w:gridSpan w:val="4"/>
            <w:vAlign w:val="center"/>
          </w:tcPr>
          <w:p>
            <w:pPr>
              <w:spacing w:line="290" w:lineRule="exact"/>
              <w:jc w:val="left"/>
              <w:rPr>
                <w:rFonts w:eastAsia="宋体"/>
                <w:kern w:val="0"/>
                <w:sz w:val="24"/>
                <w:szCs w:val="24"/>
              </w:rPr>
            </w:pPr>
            <w:r>
              <w:rPr>
                <w:rFonts w:hint="eastAsia" w:eastAsia="宋体"/>
                <w:kern w:val="0"/>
                <w:sz w:val="24"/>
                <w:szCs w:val="24"/>
              </w:rPr>
              <w:t>中长期资金总额：</w:t>
            </w:r>
          </w:p>
        </w:tc>
        <w:tc>
          <w:tcPr>
            <w:tcW w:w="955" w:type="dxa"/>
            <w:gridSpan w:val="2"/>
            <w:vAlign w:val="center"/>
          </w:tcPr>
          <w:p>
            <w:pPr>
              <w:spacing w:line="290" w:lineRule="exact"/>
              <w:jc w:val="left"/>
              <w:rPr>
                <w:rFonts w:eastAsia="宋体"/>
                <w:kern w:val="0"/>
                <w:sz w:val="24"/>
                <w:szCs w:val="24"/>
              </w:rPr>
            </w:pPr>
            <w:r>
              <w:rPr>
                <w:rFonts w:hint="eastAsia" w:eastAsia="宋体"/>
                <w:kern w:val="0"/>
                <w:sz w:val="24"/>
                <w:szCs w:val="24"/>
              </w:rPr>
              <w:t>　</w:t>
            </w:r>
          </w:p>
        </w:tc>
        <w:tc>
          <w:tcPr>
            <w:tcW w:w="1682" w:type="dxa"/>
            <w:gridSpan w:val="2"/>
            <w:vAlign w:val="center"/>
          </w:tcPr>
          <w:p>
            <w:pPr>
              <w:spacing w:line="290" w:lineRule="exact"/>
              <w:jc w:val="left"/>
              <w:rPr>
                <w:rFonts w:eastAsia="宋体"/>
                <w:kern w:val="0"/>
                <w:sz w:val="24"/>
                <w:szCs w:val="24"/>
              </w:rPr>
            </w:pPr>
            <w:r>
              <w:rPr>
                <w:rFonts w:hint="eastAsia" w:eastAsia="宋体"/>
                <w:kern w:val="0"/>
                <w:sz w:val="24"/>
                <w:szCs w:val="24"/>
              </w:rPr>
              <w:t>年度资金总额：</w:t>
            </w:r>
          </w:p>
        </w:tc>
        <w:tc>
          <w:tcPr>
            <w:tcW w:w="1766" w:type="dxa"/>
            <w:gridSpan w:val="3"/>
            <w:vAlign w:val="center"/>
          </w:tcPr>
          <w:p>
            <w:pPr>
              <w:spacing w:line="290" w:lineRule="exact"/>
              <w:jc w:val="right"/>
              <w:rPr>
                <w:rFonts w:eastAsia="宋体"/>
                <w:kern w:val="0"/>
                <w:sz w:val="24"/>
                <w:szCs w:val="24"/>
              </w:rPr>
            </w:pPr>
            <w:r>
              <w:rPr>
                <w:rFonts w:hint="eastAsia" w:eastAsia="宋体"/>
                <w:kern w:val="0"/>
                <w:sz w:val="24"/>
                <w:szCs w:val="24"/>
                <w:lang w:val="en-US" w:eastAsia="zh-CN"/>
              </w:rPr>
              <w:t>2.34395</w:t>
            </w:r>
            <w:r>
              <w:rPr>
                <w:rFonts w:hint="eastAsia" w:eastAsia="宋体"/>
                <w:kern w:val="0"/>
                <w:sz w:val="24"/>
                <w:szCs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78" w:type="dxa"/>
            <w:gridSpan w:val="4"/>
            <w:vMerge w:val="continue"/>
            <w:vAlign w:val="center"/>
          </w:tcPr>
          <w:p>
            <w:pPr>
              <w:spacing w:line="290" w:lineRule="exact"/>
              <w:jc w:val="left"/>
              <w:rPr>
                <w:rFonts w:eastAsia="宋体"/>
                <w:kern w:val="0"/>
                <w:sz w:val="24"/>
                <w:szCs w:val="24"/>
              </w:rPr>
            </w:pPr>
          </w:p>
        </w:tc>
        <w:tc>
          <w:tcPr>
            <w:tcW w:w="2233" w:type="dxa"/>
            <w:gridSpan w:val="4"/>
            <w:vAlign w:val="center"/>
          </w:tcPr>
          <w:p>
            <w:pPr>
              <w:spacing w:line="290" w:lineRule="exact"/>
              <w:jc w:val="left"/>
              <w:rPr>
                <w:rFonts w:eastAsia="宋体"/>
                <w:kern w:val="0"/>
                <w:sz w:val="24"/>
                <w:szCs w:val="24"/>
              </w:rPr>
            </w:pPr>
            <w:r>
              <w:rPr>
                <w:rFonts w:hint="eastAsia" w:eastAsia="宋体"/>
                <w:kern w:val="0"/>
                <w:sz w:val="24"/>
                <w:szCs w:val="24"/>
              </w:rPr>
              <w:t>其中：财政拨款</w:t>
            </w:r>
          </w:p>
        </w:tc>
        <w:tc>
          <w:tcPr>
            <w:tcW w:w="955" w:type="dxa"/>
            <w:gridSpan w:val="2"/>
            <w:vAlign w:val="center"/>
          </w:tcPr>
          <w:p>
            <w:pPr>
              <w:spacing w:line="290" w:lineRule="exact"/>
              <w:jc w:val="left"/>
              <w:rPr>
                <w:rFonts w:eastAsia="宋体"/>
                <w:kern w:val="0"/>
                <w:sz w:val="24"/>
                <w:szCs w:val="24"/>
              </w:rPr>
            </w:pPr>
            <w:r>
              <w:rPr>
                <w:rFonts w:hint="eastAsia" w:eastAsia="宋体"/>
                <w:kern w:val="0"/>
                <w:sz w:val="24"/>
                <w:szCs w:val="24"/>
              </w:rPr>
              <w:t>　</w:t>
            </w:r>
          </w:p>
        </w:tc>
        <w:tc>
          <w:tcPr>
            <w:tcW w:w="1682" w:type="dxa"/>
            <w:gridSpan w:val="2"/>
            <w:vAlign w:val="center"/>
          </w:tcPr>
          <w:p>
            <w:pPr>
              <w:spacing w:line="290" w:lineRule="exact"/>
              <w:jc w:val="left"/>
              <w:rPr>
                <w:rFonts w:eastAsia="宋体"/>
                <w:kern w:val="0"/>
                <w:sz w:val="24"/>
                <w:szCs w:val="24"/>
              </w:rPr>
            </w:pPr>
            <w:r>
              <w:rPr>
                <w:rFonts w:hint="eastAsia" w:eastAsia="宋体"/>
                <w:kern w:val="0"/>
                <w:sz w:val="24"/>
                <w:szCs w:val="24"/>
              </w:rPr>
              <w:t>其中：财政拨款</w:t>
            </w:r>
          </w:p>
        </w:tc>
        <w:tc>
          <w:tcPr>
            <w:tcW w:w="1766" w:type="dxa"/>
            <w:gridSpan w:val="3"/>
            <w:vAlign w:val="center"/>
          </w:tcPr>
          <w:p>
            <w:pPr>
              <w:spacing w:line="290" w:lineRule="exact"/>
              <w:jc w:val="right"/>
              <w:rPr>
                <w:rFonts w:eastAsia="宋体"/>
                <w:kern w:val="0"/>
                <w:sz w:val="24"/>
                <w:szCs w:val="24"/>
              </w:rPr>
            </w:pPr>
            <w:r>
              <w:rPr>
                <w:rFonts w:hint="eastAsia" w:eastAsia="宋体"/>
                <w:kern w:val="0"/>
                <w:sz w:val="24"/>
                <w:szCs w:val="24"/>
                <w:lang w:val="en-US" w:eastAsia="zh-CN"/>
              </w:rPr>
              <w:t>2.34395</w:t>
            </w:r>
            <w:r>
              <w:rPr>
                <w:rFonts w:hint="eastAsia" w:eastAsia="宋体"/>
                <w:kern w:val="0"/>
                <w:sz w:val="24"/>
                <w:szCs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78" w:type="dxa"/>
            <w:gridSpan w:val="4"/>
            <w:vMerge w:val="continue"/>
            <w:vAlign w:val="center"/>
          </w:tcPr>
          <w:p>
            <w:pPr>
              <w:spacing w:line="290" w:lineRule="exact"/>
              <w:jc w:val="left"/>
              <w:rPr>
                <w:rFonts w:eastAsia="宋体"/>
                <w:kern w:val="0"/>
                <w:sz w:val="24"/>
                <w:szCs w:val="24"/>
              </w:rPr>
            </w:pPr>
          </w:p>
        </w:tc>
        <w:tc>
          <w:tcPr>
            <w:tcW w:w="2233" w:type="dxa"/>
            <w:gridSpan w:val="4"/>
            <w:vAlign w:val="center"/>
          </w:tcPr>
          <w:p>
            <w:pPr>
              <w:spacing w:line="290" w:lineRule="exact"/>
              <w:jc w:val="left"/>
              <w:rPr>
                <w:rFonts w:eastAsia="宋体"/>
                <w:kern w:val="0"/>
                <w:sz w:val="24"/>
                <w:szCs w:val="24"/>
              </w:rPr>
            </w:pPr>
            <w:r>
              <w:rPr>
                <w:rFonts w:hint="eastAsia" w:eastAsia="宋体"/>
                <w:kern w:val="0"/>
                <w:sz w:val="24"/>
                <w:szCs w:val="24"/>
              </w:rPr>
              <w:t>其他资金</w:t>
            </w:r>
          </w:p>
        </w:tc>
        <w:tc>
          <w:tcPr>
            <w:tcW w:w="955" w:type="dxa"/>
            <w:gridSpan w:val="2"/>
            <w:vAlign w:val="center"/>
          </w:tcPr>
          <w:p>
            <w:pPr>
              <w:spacing w:line="290" w:lineRule="exact"/>
              <w:jc w:val="left"/>
              <w:rPr>
                <w:rFonts w:eastAsia="宋体"/>
                <w:kern w:val="0"/>
                <w:sz w:val="24"/>
                <w:szCs w:val="24"/>
              </w:rPr>
            </w:pPr>
            <w:r>
              <w:rPr>
                <w:rFonts w:hint="eastAsia" w:eastAsia="宋体"/>
                <w:kern w:val="0"/>
                <w:sz w:val="24"/>
                <w:szCs w:val="24"/>
              </w:rPr>
              <w:t>　</w:t>
            </w:r>
          </w:p>
        </w:tc>
        <w:tc>
          <w:tcPr>
            <w:tcW w:w="1682" w:type="dxa"/>
            <w:gridSpan w:val="2"/>
            <w:vAlign w:val="center"/>
          </w:tcPr>
          <w:p>
            <w:pPr>
              <w:spacing w:line="290" w:lineRule="exact"/>
              <w:jc w:val="left"/>
              <w:rPr>
                <w:rFonts w:eastAsia="宋体"/>
                <w:kern w:val="0"/>
                <w:sz w:val="24"/>
                <w:szCs w:val="24"/>
              </w:rPr>
            </w:pPr>
            <w:r>
              <w:rPr>
                <w:rFonts w:hint="eastAsia" w:eastAsia="宋体"/>
                <w:kern w:val="0"/>
                <w:sz w:val="24"/>
                <w:szCs w:val="24"/>
              </w:rPr>
              <w:t>其他资金</w:t>
            </w:r>
          </w:p>
        </w:tc>
        <w:tc>
          <w:tcPr>
            <w:tcW w:w="1766" w:type="dxa"/>
            <w:gridSpan w:val="3"/>
            <w:vAlign w:val="center"/>
          </w:tcPr>
          <w:p>
            <w:pPr>
              <w:spacing w:line="290" w:lineRule="exact"/>
              <w:jc w:val="right"/>
              <w:rPr>
                <w:rFonts w:eastAsia="宋体"/>
                <w:kern w:val="0"/>
                <w:sz w:val="24"/>
                <w:szCs w:val="24"/>
              </w:rPr>
            </w:pPr>
            <w:r>
              <w:rPr>
                <w:rFonts w:hint="eastAsia" w:eastAsia="宋体"/>
                <w:kern w:val="0"/>
                <w:sz w:val="24"/>
                <w:szCs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restart"/>
            <w:vAlign w:val="center"/>
          </w:tcPr>
          <w:p>
            <w:pPr>
              <w:spacing w:line="290" w:lineRule="exact"/>
              <w:jc w:val="center"/>
              <w:rPr>
                <w:rFonts w:eastAsia="宋体"/>
                <w:kern w:val="0"/>
                <w:sz w:val="24"/>
                <w:szCs w:val="24"/>
              </w:rPr>
            </w:pPr>
            <w:r>
              <w:rPr>
                <w:rFonts w:hint="eastAsia" w:eastAsia="宋体"/>
                <w:kern w:val="0"/>
                <w:sz w:val="24"/>
                <w:szCs w:val="24"/>
              </w:rPr>
              <w:t>总体目标</w:t>
            </w:r>
          </w:p>
        </w:tc>
        <w:tc>
          <w:tcPr>
            <w:tcW w:w="4976" w:type="dxa"/>
            <w:gridSpan w:val="8"/>
            <w:vAlign w:val="center"/>
          </w:tcPr>
          <w:p>
            <w:pPr>
              <w:spacing w:line="290" w:lineRule="exact"/>
              <w:jc w:val="center"/>
              <w:rPr>
                <w:rFonts w:eastAsia="宋体"/>
                <w:kern w:val="0"/>
                <w:sz w:val="24"/>
                <w:szCs w:val="24"/>
              </w:rPr>
            </w:pPr>
            <w:r>
              <w:rPr>
                <w:rFonts w:hint="eastAsia" w:eastAsia="宋体"/>
                <w:kern w:val="0"/>
                <w:sz w:val="24"/>
                <w:szCs w:val="24"/>
              </w:rPr>
              <w:t>总体目标</w:t>
            </w:r>
          </w:p>
        </w:tc>
        <w:tc>
          <w:tcPr>
            <w:tcW w:w="3448" w:type="dxa"/>
            <w:gridSpan w:val="5"/>
            <w:vAlign w:val="center"/>
          </w:tcPr>
          <w:p>
            <w:pPr>
              <w:spacing w:line="290" w:lineRule="exact"/>
              <w:jc w:val="center"/>
              <w:rPr>
                <w:rFonts w:eastAsia="宋体"/>
                <w:kern w:val="0"/>
                <w:sz w:val="24"/>
                <w:szCs w:val="24"/>
              </w:rPr>
            </w:pPr>
            <w:r>
              <w:rPr>
                <w:rFonts w:hint="eastAsia" w:eastAsia="宋体"/>
                <w:kern w:val="0"/>
                <w:sz w:val="24"/>
                <w:szCs w:val="24"/>
              </w:rPr>
              <w:t>年度目标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4976" w:type="dxa"/>
            <w:gridSpan w:val="8"/>
          </w:tcPr>
          <w:p>
            <w:pPr>
              <w:spacing w:line="290" w:lineRule="exact"/>
              <w:jc w:val="left"/>
              <w:rPr>
                <w:rFonts w:eastAsia="宋体"/>
                <w:kern w:val="0"/>
                <w:sz w:val="24"/>
                <w:szCs w:val="24"/>
              </w:rPr>
            </w:pPr>
          </w:p>
        </w:tc>
        <w:tc>
          <w:tcPr>
            <w:tcW w:w="3448" w:type="dxa"/>
            <w:gridSpan w:val="5"/>
          </w:tcPr>
          <w:p>
            <w:pPr>
              <w:spacing w:line="290" w:lineRule="exact"/>
              <w:jc w:val="left"/>
              <w:rPr>
                <w:rFonts w:eastAsia="宋体"/>
                <w:kern w:val="0"/>
                <w:sz w:val="24"/>
                <w:szCs w:val="24"/>
              </w:rPr>
            </w:pPr>
            <w:r>
              <w:rPr>
                <w:rFonts w:hint="eastAsia" w:eastAsia="宋体"/>
                <w:kern w:val="0"/>
                <w:sz w:val="24"/>
                <w:szCs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restart"/>
            <w:vAlign w:val="center"/>
          </w:tcPr>
          <w:p>
            <w:pPr>
              <w:spacing w:line="290" w:lineRule="exact"/>
              <w:jc w:val="center"/>
              <w:rPr>
                <w:rFonts w:eastAsia="宋体"/>
                <w:kern w:val="0"/>
                <w:sz w:val="24"/>
                <w:szCs w:val="24"/>
              </w:rPr>
            </w:pPr>
            <w:r>
              <w:rPr>
                <w:rFonts w:hint="eastAsia" w:eastAsia="宋体"/>
                <w:kern w:val="0"/>
                <w:sz w:val="24"/>
                <w:szCs w:val="24"/>
              </w:rPr>
              <w:t>绩</w:t>
            </w:r>
            <w:r>
              <w:rPr>
                <w:rFonts w:eastAsia="宋体"/>
                <w:kern w:val="0"/>
                <w:sz w:val="24"/>
                <w:szCs w:val="24"/>
              </w:rPr>
              <w:br w:type="textWrapping"/>
            </w:r>
            <w:r>
              <w:rPr>
                <w:rFonts w:hint="eastAsia" w:eastAsia="宋体"/>
                <w:kern w:val="0"/>
                <w:sz w:val="24"/>
                <w:szCs w:val="24"/>
              </w:rPr>
              <w:t>效</w:t>
            </w:r>
            <w:r>
              <w:rPr>
                <w:rFonts w:eastAsia="宋体"/>
                <w:kern w:val="0"/>
                <w:sz w:val="24"/>
                <w:szCs w:val="24"/>
              </w:rPr>
              <w:br w:type="textWrapping"/>
            </w:r>
            <w:r>
              <w:rPr>
                <w:rFonts w:hint="eastAsia" w:eastAsia="宋体"/>
                <w:kern w:val="0"/>
                <w:sz w:val="24"/>
                <w:szCs w:val="24"/>
              </w:rPr>
              <w:t>指</w:t>
            </w:r>
            <w:r>
              <w:rPr>
                <w:rFonts w:eastAsia="宋体"/>
                <w:kern w:val="0"/>
                <w:sz w:val="24"/>
                <w:szCs w:val="24"/>
              </w:rPr>
              <w:br w:type="textWrapping"/>
            </w:r>
            <w:r>
              <w:rPr>
                <w:rFonts w:hint="eastAsia" w:eastAsia="宋体"/>
                <w:kern w:val="0"/>
                <w:sz w:val="24"/>
                <w:szCs w:val="24"/>
              </w:rPr>
              <w:t>标</w:t>
            </w:r>
          </w:p>
        </w:tc>
        <w:tc>
          <w:tcPr>
            <w:tcW w:w="893" w:type="dxa"/>
            <w:vAlign w:val="center"/>
          </w:tcPr>
          <w:p>
            <w:pPr>
              <w:spacing w:line="290" w:lineRule="exact"/>
              <w:jc w:val="center"/>
              <w:rPr>
                <w:rFonts w:eastAsia="宋体"/>
                <w:kern w:val="0"/>
                <w:sz w:val="24"/>
                <w:szCs w:val="24"/>
              </w:rPr>
            </w:pPr>
            <w:r>
              <w:rPr>
                <w:rFonts w:hint="eastAsia" w:eastAsia="宋体"/>
                <w:kern w:val="0"/>
                <w:sz w:val="24"/>
                <w:szCs w:val="24"/>
              </w:rPr>
              <w:t>一级</w:t>
            </w:r>
            <w:r>
              <w:rPr>
                <w:rFonts w:eastAsia="宋体"/>
                <w:kern w:val="0"/>
                <w:sz w:val="24"/>
                <w:szCs w:val="24"/>
              </w:rPr>
              <w:br w:type="textWrapping"/>
            </w:r>
            <w:r>
              <w:rPr>
                <w:rFonts w:hint="eastAsia" w:eastAsia="宋体"/>
                <w:kern w:val="0"/>
                <w:sz w:val="24"/>
                <w:szCs w:val="24"/>
              </w:rPr>
              <w:t>指标</w:t>
            </w:r>
          </w:p>
        </w:tc>
        <w:tc>
          <w:tcPr>
            <w:tcW w:w="1341" w:type="dxa"/>
            <w:gridSpan w:val="2"/>
            <w:vAlign w:val="center"/>
          </w:tcPr>
          <w:p>
            <w:pPr>
              <w:spacing w:line="290" w:lineRule="exact"/>
              <w:jc w:val="center"/>
              <w:rPr>
                <w:rFonts w:eastAsia="宋体"/>
                <w:kern w:val="0"/>
                <w:sz w:val="24"/>
                <w:szCs w:val="24"/>
              </w:rPr>
            </w:pPr>
            <w:r>
              <w:rPr>
                <w:rFonts w:hint="eastAsia" w:eastAsia="宋体"/>
                <w:kern w:val="0"/>
                <w:sz w:val="24"/>
                <w:szCs w:val="24"/>
              </w:rPr>
              <w:t>二级指标</w:t>
            </w:r>
          </w:p>
        </w:tc>
        <w:tc>
          <w:tcPr>
            <w:tcW w:w="1163" w:type="dxa"/>
            <w:vAlign w:val="center"/>
          </w:tcPr>
          <w:p>
            <w:pPr>
              <w:spacing w:line="290" w:lineRule="exact"/>
              <w:jc w:val="center"/>
              <w:rPr>
                <w:rFonts w:eastAsia="宋体"/>
                <w:kern w:val="0"/>
                <w:sz w:val="24"/>
                <w:szCs w:val="24"/>
              </w:rPr>
            </w:pPr>
            <w:r>
              <w:rPr>
                <w:rFonts w:hint="eastAsia" w:eastAsia="宋体"/>
                <w:kern w:val="0"/>
                <w:sz w:val="24"/>
                <w:szCs w:val="24"/>
              </w:rPr>
              <w:t>三级指标</w:t>
            </w:r>
          </w:p>
        </w:tc>
        <w:tc>
          <w:tcPr>
            <w:tcW w:w="1579" w:type="dxa"/>
            <w:gridSpan w:val="4"/>
            <w:vAlign w:val="center"/>
          </w:tcPr>
          <w:p>
            <w:pPr>
              <w:spacing w:line="290" w:lineRule="exact"/>
              <w:jc w:val="center"/>
              <w:rPr>
                <w:rFonts w:eastAsia="宋体"/>
                <w:kern w:val="0"/>
                <w:sz w:val="24"/>
                <w:szCs w:val="24"/>
              </w:rPr>
            </w:pPr>
            <w:r>
              <w:rPr>
                <w:rFonts w:hint="eastAsia" w:eastAsia="宋体"/>
                <w:kern w:val="0"/>
                <w:sz w:val="24"/>
                <w:szCs w:val="24"/>
              </w:rPr>
              <w:t>指标值（包含数字及文字描述）</w:t>
            </w:r>
          </w:p>
        </w:tc>
        <w:tc>
          <w:tcPr>
            <w:tcW w:w="922" w:type="dxa"/>
            <w:vAlign w:val="center"/>
          </w:tcPr>
          <w:p>
            <w:pPr>
              <w:spacing w:line="290" w:lineRule="exact"/>
              <w:jc w:val="center"/>
              <w:rPr>
                <w:rFonts w:eastAsia="宋体"/>
                <w:kern w:val="0"/>
                <w:sz w:val="24"/>
                <w:szCs w:val="24"/>
              </w:rPr>
            </w:pPr>
            <w:r>
              <w:rPr>
                <w:rFonts w:hint="eastAsia" w:eastAsia="宋体"/>
                <w:kern w:val="0"/>
                <w:sz w:val="24"/>
                <w:szCs w:val="24"/>
              </w:rPr>
              <w:t>二级指标</w:t>
            </w:r>
          </w:p>
        </w:tc>
        <w:tc>
          <w:tcPr>
            <w:tcW w:w="1170" w:type="dxa"/>
            <w:gridSpan w:val="2"/>
            <w:vAlign w:val="center"/>
          </w:tcPr>
          <w:p>
            <w:pPr>
              <w:spacing w:line="290" w:lineRule="exact"/>
              <w:jc w:val="center"/>
              <w:rPr>
                <w:rFonts w:eastAsia="宋体"/>
                <w:kern w:val="0"/>
                <w:sz w:val="24"/>
                <w:szCs w:val="24"/>
              </w:rPr>
            </w:pPr>
            <w:r>
              <w:rPr>
                <w:rFonts w:hint="eastAsia" w:eastAsia="宋体"/>
                <w:kern w:val="0"/>
                <w:sz w:val="24"/>
                <w:szCs w:val="24"/>
              </w:rPr>
              <w:t>三级指标</w:t>
            </w:r>
          </w:p>
        </w:tc>
        <w:tc>
          <w:tcPr>
            <w:tcW w:w="1356" w:type="dxa"/>
            <w:gridSpan w:val="2"/>
            <w:vAlign w:val="center"/>
          </w:tcPr>
          <w:p>
            <w:pPr>
              <w:spacing w:line="290" w:lineRule="exact"/>
              <w:jc w:val="center"/>
              <w:rPr>
                <w:rFonts w:eastAsia="宋体"/>
                <w:kern w:val="0"/>
                <w:sz w:val="24"/>
                <w:szCs w:val="24"/>
              </w:rPr>
            </w:pPr>
            <w:r>
              <w:rPr>
                <w:rFonts w:hint="eastAsia" w:eastAsia="宋体"/>
                <w:kern w:val="0"/>
                <w:sz w:val="24"/>
                <w:szCs w:val="24"/>
              </w:rPr>
              <w:t>指标值（包含数字及文字描述）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restart"/>
            <w:vAlign w:val="center"/>
          </w:tcPr>
          <w:p>
            <w:pPr>
              <w:spacing w:line="290" w:lineRule="exact"/>
              <w:jc w:val="center"/>
              <w:rPr>
                <w:rFonts w:eastAsia="宋体"/>
                <w:kern w:val="0"/>
                <w:sz w:val="24"/>
                <w:szCs w:val="24"/>
              </w:rPr>
            </w:pPr>
            <w:r>
              <w:rPr>
                <w:rFonts w:hint="eastAsia" w:eastAsia="宋体"/>
                <w:kern w:val="0"/>
                <w:sz w:val="24"/>
                <w:szCs w:val="24"/>
              </w:rPr>
              <w:t>项目</w:t>
            </w:r>
          </w:p>
          <w:p>
            <w:pPr>
              <w:spacing w:line="290" w:lineRule="exact"/>
              <w:jc w:val="center"/>
              <w:rPr>
                <w:rFonts w:eastAsia="宋体"/>
                <w:kern w:val="0"/>
                <w:sz w:val="24"/>
                <w:szCs w:val="24"/>
              </w:rPr>
            </w:pPr>
            <w:r>
              <w:rPr>
                <w:rFonts w:hint="eastAsia" w:eastAsia="宋体"/>
                <w:kern w:val="0"/>
                <w:sz w:val="24"/>
                <w:szCs w:val="24"/>
              </w:rPr>
              <w:t>完成</w:t>
            </w:r>
          </w:p>
        </w:tc>
        <w:tc>
          <w:tcPr>
            <w:tcW w:w="1341" w:type="dxa"/>
            <w:gridSpan w:val="2"/>
            <w:vMerge w:val="restart"/>
            <w:vAlign w:val="center"/>
          </w:tcPr>
          <w:p>
            <w:pPr>
              <w:spacing w:line="290" w:lineRule="exact"/>
              <w:jc w:val="center"/>
              <w:rPr>
                <w:rFonts w:eastAsia="宋体"/>
                <w:kern w:val="0"/>
                <w:sz w:val="24"/>
                <w:szCs w:val="24"/>
              </w:rPr>
            </w:pPr>
            <w:r>
              <w:rPr>
                <w:rFonts w:hint="eastAsia" w:eastAsia="宋体"/>
                <w:kern w:val="0"/>
                <w:sz w:val="24"/>
                <w:szCs w:val="24"/>
              </w:rPr>
              <w:t>数量指标</w:t>
            </w:r>
          </w:p>
        </w:tc>
        <w:tc>
          <w:tcPr>
            <w:tcW w:w="1163" w:type="dxa"/>
            <w:vAlign w:val="center"/>
          </w:tcPr>
          <w:p>
            <w:pPr>
              <w:spacing w:line="290" w:lineRule="exact"/>
              <w:jc w:val="left"/>
              <w:rPr>
                <w:rFonts w:hint="default" w:eastAsia="宋体"/>
                <w:kern w:val="0"/>
                <w:sz w:val="18"/>
                <w:szCs w:val="18"/>
                <w:lang w:val="en-US" w:eastAsia="zh-CN"/>
              </w:rPr>
            </w:pPr>
            <w:r>
              <w:rPr>
                <w:rFonts w:hint="eastAsia" w:eastAsia="宋体"/>
                <w:kern w:val="0"/>
                <w:sz w:val="18"/>
                <w:szCs w:val="18"/>
              </w:rPr>
              <w:t>指标</w:t>
            </w:r>
            <w:r>
              <w:rPr>
                <w:rFonts w:eastAsia="宋体"/>
                <w:kern w:val="0"/>
                <w:sz w:val="18"/>
                <w:szCs w:val="18"/>
              </w:rPr>
              <w:t>1</w:t>
            </w:r>
            <w:r>
              <w:rPr>
                <w:rFonts w:hint="eastAsia" w:eastAsia="宋体"/>
                <w:kern w:val="0"/>
                <w:sz w:val="18"/>
                <w:szCs w:val="18"/>
              </w:rPr>
              <w:t>：</w:t>
            </w:r>
            <w:r>
              <w:rPr>
                <w:rFonts w:hint="eastAsia" w:eastAsia="宋体"/>
                <w:kern w:val="0"/>
                <w:sz w:val="18"/>
                <w:szCs w:val="18"/>
                <w:lang w:val="en-US" w:eastAsia="zh-CN"/>
              </w:rPr>
              <w:t>人才公寓套数</w:t>
            </w:r>
          </w:p>
        </w:tc>
        <w:tc>
          <w:tcPr>
            <w:tcW w:w="1579" w:type="dxa"/>
            <w:gridSpan w:val="4"/>
            <w:vAlign w:val="center"/>
          </w:tcPr>
          <w:p>
            <w:pPr>
              <w:spacing w:line="290" w:lineRule="exact"/>
              <w:jc w:val="left"/>
              <w:rPr>
                <w:rFonts w:hint="default" w:eastAsia="宋体"/>
                <w:kern w:val="0"/>
                <w:sz w:val="24"/>
                <w:szCs w:val="24"/>
                <w:lang w:val="en-US" w:eastAsia="zh-CN"/>
              </w:rPr>
            </w:pPr>
            <w:r>
              <w:rPr>
                <w:rFonts w:hint="eastAsia" w:eastAsia="宋体"/>
                <w:kern w:val="0"/>
                <w:sz w:val="18"/>
                <w:szCs w:val="18"/>
                <w:lang w:val="en-US" w:eastAsia="zh-CN"/>
              </w:rPr>
              <w:t>30套</w:t>
            </w:r>
          </w:p>
        </w:tc>
        <w:tc>
          <w:tcPr>
            <w:tcW w:w="922" w:type="dxa"/>
            <w:vMerge w:val="restart"/>
            <w:vAlign w:val="center"/>
          </w:tcPr>
          <w:p>
            <w:pPr>
              <w:spacing w:line="290" w:lineRule="exact"/>
              <w:jc w:val="center"/>
              <w:rPr>
                <w:rFonts w:eastAsia="宋体"/>
                <w:kern w:val="0"/>
                <w:sz w:val="24"/>
                <w:szCs w:val="24"/>
              </w:rPr>
            </w:pPr>
            <w:r>
              <w:rPr>
                <w:rFonts w:hint="eastAsia" w:eastAsia="宋体"/>
                <w:kern w:val="0"/>
                <w:sz w:val="24"/>
                <w:szCs w:val="24"/>
              </w:rPr>
              <w:t>数量指标</w:t>
            </w:r>
          </w:p>
        </w:tc>
        <w:tc>
          <w:tcPr>
            <w:tcW w:w="1170" w:type="dxa"/>
            <w:gridSpan w:val="2"/>
            <w:vAlign w:val="center"/>
          </w:tcPr>
          <w:p>
            <w:pPr>
              <w:spacing w:line="290" w:lineRule="exact"/>
              <w:jc w:val="left"/>
              <w:rPr>
                <w:rFonts w:hint="default" w:ascii="Times New Roman" w:hAnsi="Times New Roman" w:eastAsia="宋体" w:cs="宋体"/>
                <w:kern w:val="0"/>
                <w:sz w:val="18"/>
                <w:szCs w:val="18"/>
                <w:lang w:val="en-US" w:eastAsia="zh-CN" w:bidi="ar-SA"/>
              </w:rPr>
            </w:pPr>
            <w:r>
              <w:rPr>
                <w:rFonts w:hint="eastAsia" w:eastAsia="宋体"/>
                <w:kern w:val="0"/>
                <w:sz w:val="18"/>
                <w:szCs w:val="18"/>
              </w:rPr>
              <w:t>指标</w:t>
            </w:r>
            <w:r>
              <w:rPr>
                <w:rFonts w:eastAsia="宋体"/>
                <w:kern w:val="0"/>
                <w:sz w:val="18"/>
                <w:szCs w:val="18"/>
              </w:rPr>
              <w:t>1</w:t>
            </w:r>
            <w:r>
              <w:rPr>
                <w:rFonts w:hint="eastAsia" w:eastAsia="宋体"/>
                <w:kern w:val="0"/>
                <w:sz w:val="18"/>
                <w:szCs w:val="18"/>
              </w:rPr>
              <w:t>：</w:t>
            </w:r>
            <w:r>
              <w:rPr>
                <w:rFonts w:hint="eastAsia" w:eastAsia="宋体"/>
                <w:kern w:val="0"/>
                <w:sz w:val="18"/>
                <w:szCs w:val="18"/>
                <w:lang w:val="en-US" w:eastAsia="zh-CN"/>
              </w:rPr>
              <w:t>人才公寓套数</w:t>
            </w:r>
          </w:p>
        </w:tc>
        <w:tc>
          <w:tcPr>
            <w:tcW w:w="1356" w:type="dxa"/>
            <w:gridSpan w:val="2"/>
            <w:vAlign w:val="center"/>
          </w:tcPr>
          <w:p>
            <w:pPr>
              <w:spacing w:line="290" w:lineRule="exact"/>
              <w:jc w:val="left"/>
              <w:rPr>
                <w:rFonts w:hint="default" w:ascii="Times New Roman" w:hAnsi="Times New Roman" w:eastAsia="宋体" w:cs="宋体"/>
                <w:kern w:val="0"/>
                <w:sz w:val="24"/>
                <w:szCs w:val="24"/>
                <w:lang w:val="en-US" w:eastAsia="zh-CN" w:bidi="ar-SA"/>
              </w:rPr>
            </w:pPr>
            <w:r>
              <w:rPr>
                <w:rFonts w:hint="eastAsia" w:eastAsia="宋体"/>
                <w:kern w:val="0"/>
                <w:sz w:val="18"/>
                <w:szCs w:val="18"/>
                <w:lang w:val="en-US" w:eastAsia="zh-CN"/>
              </w:rPr>
              <w:t>30套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continue"/>
            <w:vAlign w:val="center"/>
          </w:tcPr>
          <w:p>
            <w:pPr>
              <w:spacing w:line="290" w:lineRule="exact"/>
              <w:jc w:val="left"/>
              <w:rPr>
                <w:rFonts w:eastAsia="宋体"/>
                <w:kern w:val="0"/>
                <w:sz w:val="24"/>
                <w:szCs w:val="24"/>
              </w:rPr>
            </w:pPr>
          </w:p>
        </w:tc>
        <w:tc>
          <w:tcPr>
            <w:tcW w:w="1341" w:type="dxa"/>
            <w:gridSpan w:val="2"/>
            <w:vMerge w:val="continue"/>
            <w:vAlign w:val="center"/>
          </w:tcPr>
          <w:p>
            <w:pPr>
              <w:spacing w:line="290" w:lineRule="exact"/>
              <w:jc w:val="left"/>
              <w:rPr>
                <w:rFonts w:eastAsia="宋体"/>
                <w:kern w:val="0"/>
                <w:sz w:val="24"/>
                <w:szCs w:val="24"/>
              </w:rPr>
            </w:pPr>
          </w:p>
        </w:tc>
        <w:tc>
          <w:tcPr>
            <w:tcW w:w="1163" w:type="dxa"/>
            <w:vAlign w:val="center"/>
          </w:tcPr>
          <w:p>
            <w:pPr>
              <w:spacing w:line="290" w:lineRule="exact"/>
              <w:jc w:val="left"/>
              <w:rPr>
                <w:rFonts w:hint="default" w:eastAsia="宋体"/>
                <w:kern w:val="0"/>
                <w:sz w:val="24"/>
                <w:szCs w:val="24"/>
                <w:lang w:val="en-US" w:eastAsia="zh-CN"/>
              </w:rPr>
            </w:pPr>
            <w:r>
              <w:rPr>
                <w:rFonts w:hint="eastAsia" w:eastAsia="宋体"/>
                <w:kern w:val="0"/>
                <w:sz w:val="18"/>
                <w:szCs w:val="18"/>
              </w:rPr>
              <w:t>指标</w:t>
            </w:r>
            <w:r>
              <w:rPr>
                <w:rFonts w:eastAsia="宋体"/>
                <w:kern w:val="0"/>
                <w:sz w:val="18"/>
                <w:szCs w:val="18"/>
              </w:rPr>
              <w:t>2</w:t>
            </w:r>
            <w:r>
              <w:rPr>
                <w:rFonts w:hint="eastAsia" w:eastAsia="宋体"/>
                <w:kern w:val="0"/>
                <w:sz w:val="18"/>
                <w:szCs w:val="18"/>
              </w:rPr>
              <w:t>：</w:t>
            </w:r>
            <w:r>
              <w:rPr>
                <w:rFonts w:hint="eastAsia" w:eastAsia="宋体"/>
                <w:kern w:val="0"/>
                <w:sz w:val="18"/>
                <w:szCs w:val="18"/>
                <w:lang w:val="en-US" w:eastAsia="zh-CN"/>
              </w:rPr>
              <w:t>人才公寓住房面积</w:t>
            </w:r>
          </w:p>
        </w:tc>
        <w:tc>
          <w:tcPr>
            <w:tcW w:w="1579" w:type="dxa"/>
            <w:gridSpan w:val="4"/>
            <w:vAlign w:val="center"/>
          </w:tcPr>
          <w:p>
            <w:pPr>
              <w:spacing w:line="290" w:lineRule="exact"/>
              <w:jc w:val="left"/>
              <w:rPr>
                <w:rFonts w:hint="default" w:eastAsia="宋体"/>
                <w:kern w:val="0"/>
                <w:sz w:val="18"/>
                <w:szCs w:val="18"/>
                <w:lang w:val="en-US" w:eastAsia="zh-CN"/>
              </w:rPr>
            </w:pPr>
            <w:r>
              <w:rPr>
                <w:rFonts w:hint="eastAsia" w:eastAsia="宋体"/>
                <w:kern w:val="0"/>
                <w:sz w:val="18"/>
                <w:szCs w:val="18"/>
                <w:lang w:val="en-US" w:eastAsia="zh-CN"/>
              </w:rPr>
              <w:t>1775.72</w:t>
            </w:r>
            <w:r>
              <w:rPr>
                <w:rFonts w:hint="eastAsia" w:ascii="宋体" w:hAnsi="宋体" w:eastAsia="宋体" w:cs="宋体"/>
                <w:kern w:val="0"/>
                <w:sz w:val="18"/>
                <w:szCs w:val="18"/>
                <w:lang w:val="en-US" w:eastAsia="zh-CN"/>
              </w:rPr>
              <w:t>㎡</w:t>
            </w:r>
          </w:p>
        </w:tc>
        <w:tc>
          <w:tcPr>
            <w:tcW w:w="922" w:type="dxa"/>
            <w:vMerge w:val="continue"/>
            <w:vAlign w:val="center"/>
          </w:tcPr>
          <w:p>
            <w:pPr>
              <w:spacing w:line="290" w:lineRule="exact"/>
              <w:jc w:val="left"/>
              <w:rPr>
                <w:rFonts w:eastAsia="宋体"/>
                <w:kern w:val="0"/>
                <w:sz w:val="24"/>
                <w:szCs w:val="24"/>
              </w:rPr>
            </w:pPr>
          </w:p>
        </w:tc>
        <w:tc>
          <w:tcPr>
            <w:tcW w:w="1170" w:type="dxa"/>
            <w:gridSpan w:val="2"/>
            <w:vAlign w:val="center"/>
          </w:tcPr>
          <w:p>
            <w:pPr>
              <w:spacing w:line="290" w:lineRule="exact"/>
              <w:jc w:val="left"/>
              <w:rPr>
                <w:rFonts w:hint="default" w:ascii="Times New Roman" w:hAnsi="Times New Roman" w:eastAsia="宋体" w:cs="宋体"/>
                <w:kern w:val="0"/>
                <w:sz w:val="24"/>
                <w:szCs w:val="24"/>
                <w:lang w:val="en-US" w:eastAsia="zh-CN" w:bidi="ar-SA"/>
              </w:rPr>
            </w:pPr>
            <w:r>
              <w:rPr>
                <w:rFonts w:hint="eastAsia" w:eastAsia="宋体"/>
                <w:kern w:val="0"/>
                <w:sz w:val="18"/>
                <w:szCs w:val="18"/>
              </w:rPr>
              <w:t>指标</w:t>
            </w:r>
            <w:r>
              <w:rPr>
                <w:rFonts w:eastAsia="宋体"/>
                <w:kern w:val="0"/>
                <w:sz w:val="18"/>
                <w:szCs w:val="18"/>
              </w:rPr>
              <w:t>2</w:t>
            </w:r>
            <w:r>
              <w:rPr>
                <w:rFonts w:hint="eastAsia" w:eastAsia="宋体"/>
                <w:kern w:val="0"/>
                <w:sz w:val="18"/>
                <w:szCs w:val="18"/>
              </w:rPr>
              <w:t>：</w:t>
            </w:r>
            <w:r>
              <w:rPr>
                <w:rFonts w:hint="eastAsia" w:eastAsia="宋体"/>
                <w:kern w:val="0"/>
                <w:sz w:val="18"/>
                <w:szCs w:val="18"/>
                <w:lang w:val="en-US" w:eastAsia="zh-CN"/>
              </w:rPr>
              <w:t>人才公寓住房面积</w:t>
            </w:r>
          </w:p>
        </w:tc>
        <w:tc>
          <w:tcPr>
            <w:tcW w:w="1356" w:type="dxa"/>
            <w:gridSpan w:val="2"/>
            <w:vAlign w:val="center"/>
          </w:tcPr>
          <w:p>
            <w:pPr>
              <w:spacing w:line="290" w:lineRule="exact"/>
              <w:jc w:val="left"/>
              <w:rPr>
                <w:rFonts w:hint="default" w:ascii="Times New Roman" w:hAnsi="Times New Roman" w:eastAsia="宋体" w:cs="宋体"/>
                <w:kern w:val="0"/>
                <w:sz w:val="18"/>
                <w:szCs w:val="18"/>
                <w:lang w:val="en-US" w:eastAsia="zh-CN" w:bidi="ar-SA"/>
              </w:rPr>
            </w:pPr>
            <w:r>
              <w:rPr>
                <w:rFonts w:hint="eastAsia" w:eastAsia="宋体"/>
                <w:kern w:val="0"/>
                <w:sz w:val="18"/>
                <w:szCs w:val="18"/>
                <w:lang w:val="en-US" w:eastAsia="zh-CN"/>
              </w:rPr>
              <w:t>1775.72</w:t>
            </w:r>
            <w:r>
              <w:rPr>
                <w:rFonts w:hint="eastAsia" w:ascii="宋体" w:hAnsi="宋体" w:eastAsia="宋体" w:cs="宋体"/>
                <w:kern w:val="0"/>
                <w:sz w:val="18"/>
                <w:szCs w:val="18"/>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continue"/>
            <w:vAlign w:val="center"/>
          </w:tcPr>
          <w:p>
            <w:pPr>
              <w:spacing w:line="290" w:lineRule="exact"/>
              <w:jc w:val="left"/>
              <w:rPr>
                <w:rFonts w:eastAsia="宋体"/>
                <w:kern w:val="0"/>
                <w:sz w:val="24"/>
                <w:szCs w:val="24"/>
              </w:rPr>
            </w:pPr>
          </w:p>
        </w:tc>
        <w:tc>
          <w:tcPr>
            <w:tcW w:w="1341" w:type="dxa"/>
            <w:gridSpan w:val="2"/>
            <w:vMerge w:val="continue"/>
            <w:vAlign w:val="center"/>
          </w:tcPr>
          <w:p>
            <w:pPr>
              <w:spacing w:line="290" w:lineRule="exact"/>
              <w:jc w:val="left"/>
              <w:rPr>
                <w:rFonts w:eastAsia="宋体"/>
                <w:kern w:val="0"/>
                <w:sz w:val="24"/>
                <w:szCs w:val="24"/>
              </w:rPr>
            </w:pPr>
          </w:p>
        </w:tc>
        <w:tc>
          <w:tcPr>
            <w:tcW w:w="1163" w:type="dxa"/>
            <w:vAlign w:val="center"/>
          </w:tcPr>
          <w:p>
            <w:pPr>
              <w:spacing w:line="290" w:lineRule="exact"/>
              <w:jc w:val="left"/>
              <w:rPr>
                <w:rFonts w:hint="default" w:eastAsia="宋体"/>
                <w:kern w:val="0"/>
                <w:sz w:val="24"/>
                <w:szCs w:val="24"/>
                <w:lang w:val="en-US" w:eastAsia="zh-CN"/>
              </w:rPr>
            </w:pPr>
            <w:r>
              <w:rPr>
                <w:rFonts w:hint="eastAsia" w:eastAsia="宋体"/>
                <w:kern w:val="0"/>
                <w:sz w:val="18"/>
                <w:szCs w:val="18"/>
                <w:lang w:val="en-US" w:eastAsia="zh-CN"/>
              </w:rPr>
              <w:t>指标3：物业服务费收费标准</w:t>
            </w:r>
          </w:p>
        </w:tc>
        <w:tc>
          <w:tcPr>
            <w:tcW w:w="1579" w:type="dxa"/>
            <w:gridSpan w:val="4"/>
            <w:vAlign w:val="center"/>
          </w:tcPr>
          <w:p>
            <w:pPr>
              <w:spacing w:line="290" w:lineRule="exact"/>
              <w:jc w:val="left"/>
              <w:rPr>
                <w:rFonts w:hint="default" w:eastAsia="宋体"/>
                <w:kern w:val="0"/>
                <w:sz w:val="18"/>
                <w:szCs w:val="18"/>
                <w:lang w:val="en-US" w:eastAsia="zh-CN"/>
              </w:rPr>
            </w:pPr>
            <w:r>
              <w:rPr>
                <w:rFonts w:hint="eastAsia" w:eastAsia="宋体"/>
                <w:kern w:val="0"/>
                <w:sz w:val="18"/>
                <w:szCs w:val="18"/>
                <w:lang w:val="en-US" w:eastAsia="zh-CN"/>
              </w:rPr>
              <w:t>1.10元</w:t>
            </w:r>
            <w:r>
              <w:rPr>
                <w:rFonts w:hint="eastAsia" w:ascii="宋体" w:hAnsi="宋体" w:eastAsia="宋体" w:cs="宋体"/>
                <w:kern w:val="0"/>
                <w:sz w:val="18"/>
                <w:szCs w:val="18"/>
                <w:lang w:val="en-US" w:eastAsia="zh-CN"/>
              </w:rPr>
              <w:t>/㎡</w:t>
            </w:r>
          </w:p>
        </w:tc>
        <w:tc>
          <w:tcPr>
            <w:tcW w:w="922" w:type="dxa"/>
            <w:vMerge w:val="continue"/>
            <w:vAlign w:val="center"/>
          </w:tcPr>
          <w:p>
            <w:pPr>
              <w:spacing w:line="290" w:lineRule="exact"/>
              <w:jc w:val="left"/>
              <w:rPr>
                <w:rFonts w:eastAsia="宋体"/>
                <w:kern w:val="0"/>
                <w:sz w:val="24"/>
                <w:szCs w:val="24"/>
              </w:rPr>
            </w:pPr>
          </w:p>
        </w:tc>
        <w:tc>
          <w:tcPr>
            <w:tcW w:w="1170" w:type="dxa"/>
            <w:gridSpan w:val="2"/>
            <w:vAlign w:val="center"/>
          </w:tcPr>
          <w:p>
            <w:pPr>
              <w:spacing w:line="290" w:lineRule="exact"/>
              <w:jc w:val="left"/>
              <w:rPr>
                <w:rFonts w:hint="default" w:ascii="Times New Roman" w:hAnsi="Times New Roman" w:eastAsia="宋体" w:cs="宋体"/>
                <w:kern w:val="0"/>
                <w:sz w:val="24"/>
                <w:szCs w:val="24"/>
                <w:lang w:val="en-US" w:eastAsia="zh-CN" w:bidi="ar-SA"/>
              </w:rPr>
            </w:pPr>
            <w:r>
              <w:rPr>
                <w:rFonts w:hint="eastAsia" w:eastAsia="宋体"/>
                <w:kern w:val="0"/>
                <w:sz w:val="18"/>
                <w:szCs w:val="18"/>
                <w:lang w:val="en-US" w:eastAsia="zh-CN"/>
              </w:rPr>
              <w:t>指标3：物业服务费收费标准</w:t>
            </w:r>
          </w:p>
        </w:tc>
        <w:tc>
          <w:tcPr>
            <w:tcW w:w="1356" w:type="dxa"/>
            <w:gridSpan w:val="2"/>
            <w:vAlign w:val="center"/>
          </w:tcPr>
          <w:p>
            <w:pPr>
              <w:spacing w:line="290" w:lineRule="exact"/>
              <w:jc w:val="left"/>
              <w:rPr>
                <w:rFonts w:hint="default" w:ascii="Times New Roman" w:hAnsi="Times New Roman" w:eastAsia="宋体" w:cs="宋体"/>
                <w:kern w:val="0"/>
                <w:sz w:val="18"/>
                <w:szCs w:val="18"/>
                <w:lang w:val="en-US" w:eastAsia="zh-CN" w:bidi="ar-SA"/>
              </w:rPr>
            </w:pPr>
            <w:r>
              <w:rPr>
                <w:rFonts w:hint="eastAsia" w:eastAsia="宋体"/>
                <w:kern w:val="0"/>
                <w:sz w:val="18"/>
                <w:szCs w:val="18"/>
                <w:lang w:val="en-US" w:eastAsia="zh-CN"/>
              </w:rPr>
              <w:t>1.10元</w:t>
            </w:r>
            <w:r>
              <w:rPr>
                <w:rFonts w:hint="eastAsia" w:ascii="宋体" w:hAnsi="宋体" w:eastAsia="宋体" w:cs="宋体"/>
                <w:kern w:val="0"/>
                <w:sz w:val="18"/>
                <w:szCs w:val="18"/>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continue"/>
            <w:vAlign w:val="center"/>
          </w:tcPr>
          <w:p>
            <w:pPr>
              <w:spacing w:line="290" w:lineRule="exact"/>
              <w:jc w:val="left"/>
              <w:rPr>
                <w:rFonts w:eastAsia="宋体"/>
                <w:kern w:val="0"/>
                <w:sz w:val="24"/>
                <w:szCs w:val="24"/>
              </w:rPr>
            </w:pPr>
          </w:p>
        </w:tc>
        <w:tc>
          <w:tcPr>
            <w:tcW w:w="1341" w:type="dxa"/>
            <w:gridSpan w:val="2"/>
            <w:vMerge w:val="restart"/>
            <w:vAlign w:val="center"/>
          </w:tcPr>
          <w:p>
            <w:pPr>
              <w:spacing w:line="290" w:lineRule="exact"/>
              <w:jc w:val="center"/>
              <w:rPr>
                <w:rFonts w:eastAsia="宋体"/>
                <w:kern w:val="0"/>
                <w:sz w:val="24"/>
                <w:szCs w:val="24"/>
              </w:rPr>
            </w:pPr>
            <w:r>
              <w:rPr>
                <w:rFonts w:hint="eastAsia" w:eastAsia="宋体"/>
                <w:kern w:val="0"/>
                <w:sz w:val="24"/>
                <w:szCs w:val="24"/>
              </w:rPr>
              <w:t>质量指标</w:t>
            </w:r>
          </w:p>
        </w:tc>
        <w:tc>
          <w:tcPr>
            <w:tcW w:w="1163" w:type="dxa"/>
            <w:vAlign w:val="center"/>
          </w:tcPr>
          <w:p>
            <w:pPr>
              <w:spacing w:line="290" w:lineRule="exact"/>
              <w:jc w:val="left"/>
              <w:rPr>
                <w:rFonts w:hint="default" w:eastAsia="宋体"/>
                <w:kern w:val="0"/>
                <w:sz w:val="24"/>
                <w:szCs w:val="24"/>
                <w:lang w:val="en-US" w:eastAsia="zh-CN"/>
              </w:rPr>
            </w:pPr>
            <w:r>
              <w:rPr>
                <w:rFonts w:hint="eastAsia" w:eastAsia="宋体"/>
                <w:kern w:val="0"/>
                <w:sz w:val="18"/>
                <w:szCs w:val="18"/>
              </w:rPr>
              <w:t>指标</w:t>
            </w:r>
            <w:r>
              <w:rPr>
                <w:rFonts w:eastAsia="宋体"/>
                <w:kern w:val="0"/>
                <w:sz w:val="18"/>
                <w:szCs w:val="18"/>
              </w:rPr>
              <w:t>1</w:t>
            </w:r>
            <w:r>
              <w:rPr>
                <w:rFonts w:hint="eastAsia" w:eastAsia="宋体"/>
                <w:kern w:val="0"/>
                <w:sz w:val="18"/>
                <w:szCs w:val="18"/>
              </w:rPr>
              <w:t>：</w:t>
            </w:r>
            <w:r>
              <w:rPr>
                <w:rFonts w:hint="eastAsia" w:eastAsia="宋体"/>
                <w:kern w:val="0"/>
                <w:sz w:val="18"/>
                <w:szCs w:val="18"/>
                <w:lang w:val="en-US" w:eastAsia="zh-CN"/>
              </w:rPr>
              <w:t>达到3级物业服务标准</w:t>
            </w:r>
          </w:p>
        </w:tc>
        <w:tc>
          <w:tcPr>
            <w:tcW w:w="1579" w:type="dxa"/>
            <w:gridSpan w:val="4"/>
            <w:vAlign w:val="center"/>
          </w:tcPr>
          <w:p>
            <w:pPr>
              <w:spacing w:line="290" w:lineRule="exact"/>
              <w:jc w:val="left"/>
              <w:rPr>
                <w:rFonts w:hint="eastAsia" w:eastAsia="宋体"/>
                <w:kern w:val="0"/>
                <w:sz w:val="24"/>
                <w:szCs w:val="24"/>
                <w:lang w:val="en-US" w:eastAsia="zh-CN"/>
              </w:rPr>
            </w:pPr>
            <w:r>
              <w:rPr>
                <w:rFonts w:hint="eastAsia" w:eastAsia="宋体"/>
                <w:kern w:val="0"/>
                <w:sz w:val="24"/>
                <w:szCs w:val="24"/>
                <w:lang w:val="en-US" w:eastAsia="zh-CN"/>
              </w:rPr>
              <w:t>合格</w:t>
            </w:r>
          </w:p>
        </w:tc>
        <w:tc>
          <w:tcPr>
            <w:tcW w:w="922" w:type="dxa"/>
            <w:vMerge w:val="restart"/>
            <w:vAlign w:val="center"/>
          </w:tcPr>
          <w:p>
            <w:pPr>
              <w:spacing w:line="290" w:lineRule="exact"/>
              <w:jc w:val="center"/>
              <w:rPr>
                <w:rFonts w:eastAsia="宋体"/>
                <w:kern w:val="0"/>
                <w:sz w:val="24"/>
                <w:szCs w:val="24"/>
              </w:rPr>
            </w:pPr>
            <w:r>
              <w:rPr>
                <w:rFonts w:hint="eastAsia" w:eastAsia="宋体"/>
                <w:kern w:val="0"/>
                <w:sz w:val="24"/>
                <w:szCs w:val="24"/>
              </w:rPr>
              <w:t>质量指标</w:t>
            </w:r>
          </w:p>
        </w:tc>
        <w:tc>
          <w:tcPr>
            <w:tcW w:w="1170" w:type="dxa"/>
            <w:gridSpan w:val="2"/>
            <w:vAlign w:val="center"/>
          </w:tcPr>
          <w:p>
            <w:pPr>
              <w:spacing w:line="290" w:lineRule="exact"/>
              <w:jc w:val="left"/>
              <w:rPr>
                <w:rFonts w:hint="default" w:ascii="Times New Roman" w:hAnsi="Times New Roman" w:eastAsia="宋体" w:cs="宋体"/>
                <w:kern w:val="0"/>
                <w:sz w:val="24"/>
                <w:szCs w:val="24"/>
                <w:lang w:val="en-US" w:eastAsia="zh-CN" w:bidi="ar-SA"/>
              </w:rPr>
            </w:pPr>
            <w:r>
              <w:rPr>
                <w:rFonts w:hint="eastAsia" w:eastAsia="宋体"/>
                <w:kern w:val="0"/>
                <w:sz w:val="21"/>
                <w:szCs w:val="21"/>
              </w:rPr>
              <w:t>指标</w:t>
            </w:r>
            <w:r>
              <w:rPr>
                <w:rFonts w:eastAsia="宋体"/>
                <w:kern w:val="0"/>
                <w:sz w:val="21"/>
                <w:szCs w:val="21"/>
              </w:rPr>
              <w:t>1</w:t>
            </w:r>
            <w:r>
              <w:rPr>
                <w:rFonts w:hint="eastAsia" w:eastAsia="宋体"/>
                <w:kern w:val="0"/>
                <w:sz w:val="21"/>
                <w:szCs w:val="21"/>
              </w:rPr>
              <w:t>：</w:t>
            </w:r>
            <w:r>
              <w:rPr>
                <w:rFonts w:hint="eastAsia" w:eastAsia="宋体"/>
                <w:kern w:val="0"/>
                <w:sz w:val="21"/>
                <w:szCs w:val="21"/>
                <w:lang w:val="en-US" w:eastAsia="zh-CN"/>
              </w:rPr>
              <w:t>达到3级物业服务标准</w:t>
            </w:r>
          </w:p>
        </w:tc>
        <w:tc>
          <w:tcPr>
            <w:tcW w:w="1356" w:type="dxa"/>
            <w:gridSpan w:val="2"/>
            <w:vAlign w:val="center"/>
          </w:tcPr>
          <w:p>
            <w:pPr>
              <w:spacing w:line="290" w:lineRule="exact"/>
              <w:jc w:val="left"/>
              <w:rPr>
                <w:rFonts w:hint="eastAsia" w:ascii="Times New Roman" w:hAnsi="Times New Roman" w:eastAsia="宋体" w:cs="宋体"/>
                <w:kern w:val="0"/>
                <w:sz w:val="24"/>
                <w:szCs w:val="24"/>
                <w:lang w:val="en-US" w:eastAsia="zh-CN" w:bidi="ar-SA"/>
              </w:rPr>
            </w:pPr>
            <w:r>
              <w:rPr>
                <w:rFonts w:hint="eastAsia" w:eastAsia="宋体"/>
                <w:kern w:val="0"/>
                <w:sz w:val="24"/>
                <w:szCs w:val="24"/>
                <w:lang w:val="en-US" w:eastAsia="zh-CN"/>
              </w:rPr>
              <w:t>合格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continue"/>
            <w:vAlign w:val="center"/>
          </w:tcPr>
          <w:p>
            <w:pPr>
              <w:spacing w:line="290" w:lineRule="exact"/>
              <w:jc w:val="left"/>
              <w:rPr>
                <w:rFonts w:eastAsia="宋体"/>
                <w:kern w:val="0"/>
                <w:sz w:val="24"/>
                <w:szCs w:val="24"/>
              </w:rPr>
            </w:pPr>
          </w:p>
        </w:tc>
        <w:tc>
          <w:tcPr>
            <w:tcW w:w="1341" w:type="dxa"/>
            <w:gridSpan w:val="2"/>
            <w:vMerge w:val="restart"/>
            <w:vAlign w:val="center"/>
          </w:tcPr>
          <w:p>
            <w:pPr>
              <w:spacing w:line="290" w:lineRule="exact"/>
              <w:jc w:val="center"/>
              <w:rPr>
                <w:rFonts w:eastAsia="宋体"/>
                <w:kern w:val="0"/>
                <w:sz w:val="24"/>
                <w:szCs w:val="24"/>
              </w:rPr>
            </w:pPr>
            <w:r>
              <w:rPr>
                <w:rFonts w:hint="eastAsia" w:eastAsia="宋体"/>
                <w:kern w:val="0"/>
                <w:sz w:val="18"/>
                <w:szCs w:val="18"/>
              </w:rPr>
              <w:t>时效指标</w:t>
            </w:r>
          </w:p>
        </w:tc>
        <w:tc>
          <w:tcPr>
            <w:tcW w:w="1163" w:type="dxa"/>
            <w:vAlign w:val="center"/>
          </w:tcPr>
          <w:p>
            <w:pPr>
              <w:spacing w:line="290" w:lineRule="exact"/>
              <w:jc w:val="left"/>
              <w:rPr>
                <w:rFonts w:hint="default" w:eastAsia="宋体"/>
                <w:kern w:val="0"/>
                <w:sz w:val="18"/>
                <w:szCs w:val="18"/>
                <w:lang w:val="en-US" w:eastAsia="zh-CN"/>
              </w:rPr>
            </w:pPr>
            <w:r>
              <w:rPr>
                <w:rFonts w:hint="eastAsia" w:eastAsia="宋体"/>
                <w:kern w:val="0"/>
                <w:sz w:val="18"/>
                <w:szCs w:val="18"/>
              </w:rPr>
              <w:t>指标</w:t>
            </w:r>
            <w:r>
              <w:rPr>
                <w:rFonts w:eastAsia="宋体"/>
                <w:kern w:val="0"/>
                <w:sz w:val="18"/>
                <w:szCs w:val="18"/>
              </w:rPr>
              <w:t>1</w:t>
            </w:r>
            <w:r>
              <w:rPr>
                <w:rFonts w:hint="eastAsia" w:eastAsia="宋体"/>
                <w:kern w:val="0"/>
                <w:sz w:val="18"/>
                <w:szCs w:val="18"/>
              </w:rPr>
              <w:t>：</w:t>
            </w:r>
            <w:r>
              <w:rPr>
                <w:rFonts w:hint="eastAsia" w:eastAsia="宋体"/>
                <w:kern w:val="0"/>
                <w:sz w:val="18"/>
                <w:szCs w:val="18"/>
                <w:lang w:val="en-US" w:eastAsia="zh-CN"/>
              </w:rPr>
              <w:t>服务期限</w:t>
            </w:r>
          </w:p>
        </w:tc>
        <w:tc>
          <w:tcPr>
            <w:tcW w:w="1579" w:type="dxa"/>
            <w:gridSpan w:val="4"/>
            <w:vAlign w:val="center"/>
          </w:tcPr>
          <w:p>
            <w:pPr>
              <w:spacing w:line="290" w:lineRule="exact"/>
              <w:jc w:val="left"/>
              <w:rPr>
                <w:rFonts w:hint="default" w:eastAsia="宋体"/>
                <w:kern w:val="0"/>
                <w:sz w:val="18"/>
                <w:szCs w:val="18"/>
                <w:lang w:val="en-US" w:eastAsia="zh-CN"/>
              </w:rPr>
            </w:pPr>
            <w:r>
              <w:rPr>
                <w:rFonts w:hint="eastAsia" w:eastAsia="宋体"/>
                <w:kern w:val="0"/>
                <w:sz w:val="18"/>
                <w:szCs w:val="18"/>
                <w:lang w:val="en-US" w:eastAsia="zh-CN"/>
              </w:rPr>
              <w:t>2021.6.1-2022.5.31</w:t>
            </w:r>
          </w:p>
        </w:tc>
        <w:tc>
          <w:tcPr>
            <w:tcW w:w="922" w:type="dxa"/>
            <w:vMerge w:val="restart"/>
            <w:vAlign w:val="center"/>
          </w:tcPr>
          <w:p>
            <w:pPr>
              <w:spacing w:line="290" w:lineRule="exact"/>
              <w:jc w:val="center"/>
              <w:rPr>
                <w:rFonts w:eastAsia="宋体"/>
                <w:kern w:val="0"/>
                <w:sz w:val="18"/>
                <w:szCs w:val="18"/>
              </w:rPr>
            </w:pPr>
            <w:r>
              <w:rPr>
                <w:rFonts w:hint="eastAsia" w:eastAsia="宋体"/>
                <w:kern w:val="0"/>
                <w:sz w:val="18"/>
                <w:szCs w:val="18"/>
              </w:rPr>
              <w:t>时效指标</w:t>
            </w:r>
          </w:p>
        </w:tc>
        <w:tc>
          <w:tcPr>
            <w:tcW w:w="1170" w:type="dxa"/>
            <w:gridSpan w:val="2"/>
            <w:vAlign w:val="center"/>
          </w:tcPr>
          <w:p>
            <w:pPr>
              <w:spacing w:line="290" w:lineRule="exact"/>
              <w:jc w:val="left"/>
              <w:rPr>
                <w:rFonts w:hint="default" w:ascii="Times New Roman" w:hAnsi="Times New Roman" w:eastAsia="宋体" w:cs="宋体"/>
                <w:kern w:val="0"/>
                <w:sz w:val="18"/>
                <w:szCs w:val="18"/>
                <w:lang w:val="en-US" w:eastAsia="zh-CN" w:bidi="ar-SA"/>
              </w:rPr>
            </w:pPr>
            <w:r>
              <w:rPr>
                <w:rFonts w:hint="eastAsia" w:eastAsia="宋体"/>
                <w:kern w:val="0"/>
                <w:sz w:val="18"/>
                <w:szCs w:val="18"/>
              </w:rPr>
              <w:t>指标</w:t>
            </w:r>
            <w:r>
              <w:rPr>
                <w:rFonts w:eastAsia="宋体"/>
                <w:kern w:val="0"/>
                <w:sz w:val="18"/>
                <w:szCs w:val="18"/>
              </w:rPr>
              <w:t>1</w:t>
            </w:r>
            <w:r>
              <w:rPr>
                <w:rFonts w:hint="eastAsia" w:eastAsia="宋体"/>
                <w:kern w:val="0"/>
                <w:sz w:val="18"/>
                <w:szCs w:val="18"/>
              </w:rPr>
              <w:t>：</w:t>
            </w:r>
            <w:r>
              <w:rPr>
                <w:rFonts w:hint="eastAsia" w:eastAsia="宋体"/>
                <w:kern w:val="0"/>
                <w:sz w:val="18"/>
                <w:szCs w:val="18"/>
                <w:lang w:val="en-US" w:eastAsia="zh-CN"/>
              </w:rPr>
              <w:t>服务期限</w:t>
            </w:r>
          </w:p>
        </w:tc>
        <w:tc>
          <w:tcPr>
            <w:tcW w:w="1356" w:type="dxa"/>
            <w:gridSpan w:val="2"/>
            <w:vAlign w:val="center"/>
          </w:tcPr>
          <w:p>
            <w:pPr>
              <w:spacing w:line="290" w:lineRule="exact"/>
              <w:jc w:val="left"/>
              <w:rPr>
                <w:rFonts w:hint="default" w:ascii="Times New Roman" w:hAnsi="Times New Roman" w:eastAsia="宋体" w:cs="宋体"/>
                <w:kern w:val="0"/>
                <w:sz w:val="18"/>
                <w:szCs w:val="18"/>
                <w:lang w:val="en-US" w:eastAsia="zh-CN" w:bidi="ar-SA"/>
              </w:rPr>
            </w:pPr>
            <w:r>
              <w:rPr>
                <w:rFonts w:hint="eastAsia" w:eastAsia="宋体"/>
                <w:kern w:val="0"/>
                <w:sz w:val="18"/>
                <w:szCs w:val="18"/>
                <w:lang w:val="en-US" w:eastAsia="zh-CN"/>
              </w:rPr>
              <w:t>2021.6.1-2022.5.31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continue"/>
            <w:vAlign w:val="center"/>
          </w:tcPr>
          <w:p>
            <w:pPr>
              <w:spacing w:line="290" w:lineRule="exact"/>
              <w:jc w:val="left"/>
              <w:rPr>
                <w:rFonts w:eastAsia="宋体"/>
                <w:kern w:val="0"/>
                <w:sz w:val="24"/>
                <w:szCs w:val="24"/>
              </w:rPr>
            </w:pPr>
          </w:p>
        </w:tc>
        <w:tc>
          <w:tcPr>
            <w:tcW w:w="1341" w:type="dxa"/>
            <w:gridSpan w:val="2"/>
            <w:vAlign w:val="center"/>
          </w:tcPr>
          <w:p>
            <w:pPr>
              <w:spacing w:line="290" w:lineRule="exact"/>
              <w:jc w:val="center"/>
              <w:rPr>
                <w:rFonts w:eastAsia="宋体"/>
                <w:kern w:val="0"/>
                <w:sz w:val="24"/>
                <w:szCs w:val="24"/>
              </w:rPr>
            </w:pPr>
            <w:r>
              <w:rPr>
                <w:rFonts w:hint="eastAsia" w:eastAsia="宋体"/>
                <w:kern w:val="0"/>
                <w:sz w:val="24"/>
                <w:szCs w:val="24"/>
              </w:rPr>
              <w:t>成本指标</w:t>
            </w:r>
          </w:p>
        </w:tc>
        <w:tc>
          <w:tcPr>
            <w:tcW w:w="1163" w:type="dxa"/>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rPr>
              <w:t>指标</w:t>
            </w:r>
            <w:r>
              <w:rPr>
                <w:rFonts w:eastAsia="宋体"/>
                <w:kern w:val="0"/>
                <w:sz w:val="24"/>
                <w:szCs w:val="24"/>
              </w:rPr>
              <w:t>1</w:t>
            </w:r>
            <w:r>
              <w:rPr>
                <w:rFonts w:hint="eastAsia" w:eastAsia="宋体"/>
                <w:kern w:val="0"/>
                <w:sz w:val="24"/>
                <w:szCs w:val="24"/>
              </w:rPr>
              <w:t>：</w:t>
            </w:r>
            <w:r>
              <w:rPr>
                <w:rFonts w:hint="eastAsia" w:eastAsia="宋体"/>
                <w:kern w:val="0"/>
                <w:sz w:val="24"/>
                <w:szCs w:val="24"/>
                <w:lang w:val="en-US" w:eastAsia="zh-CN"/>
              </w:rPr>
              <w:t>业务开展经费</w:t>
            </w:r>
          </w:p>
        </w:tc>
        <w:tc>
          <w:tcPr>
            <w:tcW w:w="1579" w:type="dxa"/>
            <w:gridSpan w:val="4"/>
            <w:vAlign w:val="center"/>
          </w:tcPr>
          <w:p>
            <w:pPr>
              <w:numPr>
                <w:ilvl w:val="0"/>
                <w:numId w:val="0"/>
              </w:numPr>
              <w:spacing w:line="290" w:lineRule="exact"/>
              <w:ind w:leftChars="0"/>
              <w:jc w:val="both"/>
              <w:rPr>
                <w:rFonts w:hint="eastAsia" w:eastAsia="宋体"/>
                <w:kern w:val="0"/>
                <w:sz w:val="24"/>
                <w:szCs w:val="24"/>
                <w:lang w:val="en-US" w:eastAsia="zh-CN"/>
              </w:rPr>
            </w:pPr>
          </w:p>
          <w:p>
            <w:pPr>
              <w:spacing w:line="290" w:lineRule="exact"/>
              <w:jc w:val="both"/>
              <w:rPr>
                <w:rFonts w:eastAsia="宋体"/>
                <w:kern w:val="0"/>
                <w:sz w:val="24"/>
                <w:szCs w:val="24"/>
              </w:rPr>
            </w:pPr>
            <w:r>
              <w:rPr>
                <w:rFonts w:hint="eastAsia" w:ascii="宋体" w:hAnsi="宋体" w:eastAsia="宋体" w:cs="宋体"/>
                <w:kern w:val="0"/>
                <w:sz w:val="18"/>
                <w:szCs w:val="18"/>
                <w:lang w:val="en-US" w:eastAsia="zh-CN"/>
              </w:rPr>
              <w:t>在预算指标内</w:t>
            </w:r>
          </w:p>
          <w:p>
            <w:pPr>
              <w:spacing w:line="290" w:lineRule="exact"/>
              <w:ind w:leftChars="100"/>
              <w:jc w:val="center"/>
              <w:rPr>
                <w:rFonts w:eastAsia="宋体"/>
                <w:kern w:val="0"/>
                <w:sz w:val="24"/>
                <w:szCs w:val="24"/>
              </w:rPr>
            </w:pPr>
          </w:p>
        </w:tc>
        <w:tc>
          <w:tcPr>
            <w:tcW w:w="922" w:type="dxa"/>
            <w:vAlign w:val="center"/>
          </w:tcPr>
          <w:p>
            <w:pPr>
              <w:spacing w:line="290" w:lineRule="exact"/>
              <w:jc w:val="center"/>
              <w:rPr>
                <w:rFonts w:eastAsia="宋体"/>
                <w:kern w:val="0"/>
                <w:sz w:val="24"/>
                <w:szCs w:val="24"/>
              </w:rPr>
            </w:pPr>
            <w:r>
              <w:rPr>
                <w:rFonts w:hint="eastAsia" w:eastAsia="宋体"/>
                <w:kern w:val="0"/>
                <w:sz w:val="24"/>
                <w:szCs w:val="24"/>
              </w:rPr>
              <w:t>成本指标</w:t>
            </w:r>
          </w:p>
        </w:tc>
        <w:tc>
          <w:tcPr>
            <w:tcW w:w="1170" w:type="dxa"/>
            <w:gridSpan w:val="2"/>
            <w:vAlign w:val="center"/>
          </w:tcPr>
          <w:p>
            <w:pPr>
              <w:spacing w:line="290" w:lineRule="exact"/>
              <w:jc w:val="lef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指标1：</w:t>
            </w:r>
            <w:r>
              <w:rPr>
                <w:rFonts w:hint="eastAsia" w:ascii="宋体" w:hAnsi="宋体" w:eastAsia="宋体" w:cs="宋体"/>
                <w:kern w:val="0"/>
                <w:sz w:val="18"/>
                <w:szCs w:val="18"/>
                <w:lang w:val="en-US" w:eastAsia="zh-CN"/>
              </w:rPr>
              <w:t>业务开展经</w:t>
            </w:r>
          </w:p>
        </w:tc>
        <w:tc>
          <w:tcPr>
            <w:tcW w:w="1356" w:type="dxa"/>
            <w:gridSpan w:val="2"/>
            <w:vAlign w:val="center"/>
          </w:tcPr>
          <w:p>
            <w:pPr>
              <w:spacing w:line="290" w:lineRule="exact"/>
              <w:jc w:val="lef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在预算指标内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restart"/>
            <w:vAlign w:val="center"/>
          </w:tcPr>
          <w:p>
            <w:pPr>
              <w:spacing w:line="290" w:lineRule="exact"/>
              <w:jc w:val="center"/>
              <w:rPr>
                <w:rFonts w:eastAsia="宋体"/>
                <w:kern w:val="0"/>
                <w:sz w:val="24"/>
                <w:szCs w:val="24"/>
              </w:rPr>
            </w:pPr>
            <w:r>
              <w:rPr>
                <w:rFonts w:hint="eastAsia" w:eastAsia="宋体"/>
                <w:kern w:val="0"/>
                <w:sz w:val="24"/>
                <w:szCs w:val="24"/>
              </w:rPr>
              <w:t>项目效益</w:t>
            </w:r>
          </w:p>
        </w:tc>
        <w:tc>
          <w:tcPr>
            <w:tcW w:w="1341" w:type="dxa"/>
            <w:gridSpan w:val="2"/>
            <w:vAlign w:val="center"/>
          </w:tcPr>
          <w:p>
            <w:pPr>
              <w:spacing w:line="290" w:lineRule="exact"/>
              <w:jc w:val="center"/>
              <w:rPr>
                <w:rFonts w:eastAsia="宋体"/>
                <w:kern w:val="0"/>
                <w:sz w:val="24"/>
                <w:szCs w:val="24"/>
              </w:rPr>
            </w:pPr>
            <w:r>
              <w:rPr>
                <w:rFonts w:hint="eastAsia" w:eastAsia="宋体"/>
                <w:kern w:val="0"/>
                <w:sz w:val="24"/>
                <w:szCs w:val="24"/>
              </w:rPr>
              <w:t>经济效益</w:t>
            </w:r>
            <w:r>
              <w:rPr>
                <w:rFonts w:eastAsia="宋体"/>
                <w:kern w:val="0"/>
                <w:sz w:val="24"/>
                <w:szCs w:val="24"/>
              </w:rPr>
              <w:br w:type="textWrapping"/>
            </w:r>
            <w:r>
              <w:rPr>
                <w:rFonts w:hint="eastAsia" w:eastAsia="宋体"/>
                <w:kern w:val="0"/>
                <w:sz w:val="24"/>
                <w:szCs w:val="24"/>
              </w:rPr>
              <w:t>指标</w:t>
            </w:r>
          </w:p>
        </w:tc>
        <w:tc>
          <w:tcPr>
            <w:tcW w:w="1163" w:type="dxa"/>
            <w:vAlign w:val="center"/>
          </w:tcPr>
          <w:p>
            <w:pPr>
              <w:spacing w:line="290" w:lineRule="exact"/>
              <w:jc w:val="left"/>
              <w:rPr>
                <w:rFonts w:eastAsia="宋体"/>
                <w:kern w:val="0"/>
                <w:sz w:val="24"/>
                <w:szCs w:val="24"/>
              </w:rPr>
            </w:pPr>
            <w:r>
              <w:rPr>
                <w:rFonts w:hint="eastAsia" w:eastAsia="宋体"/>
                <w:kern w:val="0"/>
                <w:sz w:val="24"/>
                <w:szCs w:val="24"/>
              </w:rPr>
              <w:t>指标</w:t>
            </w:r>
            <w:r>
              <w:rPr>
                <w:rFonts w:eastAsia="宋体"/>
                <w:kern w:val="0"/>
                <w:sz w:val="24"/>
                <w:szCs w:val="24"/>
              </w:rPr>
              <w:t>1</w:t>
            </w:r>
            <w:r>
              <w:rPr>
                <w:rFonts w:hint="eastAsia" w:eastAsia="宋体"/>
                <w:kern w:val="0"/>
                <w:sz w:val="24"/>
                <w:szCs w:val="24"/>
              </w:rPr>
              <w:t>：</w:t>
            </w:r>
            <w:r>
              <w:rPr>
                <w:rFonts w:hint="eastAsia" w:eastAsia="宋体"/>
                <w:kern w:val="0"/>
                <w:sz w:val="24"/>
                <w:szCs w:val="24"/>
                <w:lang w:val="en-US" w:eastAsia="zh-CN"/>
              </w:rPr>
              <w:t>促进物业服务健康发展</w:t>
            </w:r>
          </w:p>
        </w:tc>
        <w:tc>
          <w:tcPr>
            <w:tcW w:w="1579" w:type="dxa"/>
            <w:gridSpan w:val="4"/>
            <w:vAlign w:val="center"/>
          </w:tcPr>
          <w:p>
            <w:pPr>
              <w:spacing w:line="290" w:lineRule="exact"/>
              <w:jc w:val="left"/>
              <w:rPr>
                <w:rFonts w:hint="eastAsia" w:eastAsia="宋体"/>
                <w:kern w:val="0"/>
                <w:sz w:val="24"/>
                <w:szCs w:val="24"/>
                <w:lang w:val="en-US" w:eastAsia="zh-CN"/>
              </w:rPr>
            </w:pPr>
            <w:r>
              <w:rPr>
                <w:rFonts w:hint="eastAsia" w:eastAsia="宋体"/>
                <w:kern w:val="0"/>
                <w:sz w:val="24"/>
                <w:szCs w:val="24"/>
                <w:lang w:val="en-US" w:eastAsia="zh-CN"/>
              </w:rPr>
              <w:t>促进</w:t>
            </w:r>
          </w:p>
        </w:tc>
        <w:tc>
          <w:tcPr>
            <w:tcW w:w="922" w:type="dxa"/>
            <w:vAlign w:val="center"/>
          </w:tcPr>
          <w:p>
            <w:pPr>
              <w:spacing w:line="290" w:lineRule="exact"/>
              <w:jc w:val="center"/>
              <w:rPr>
                <w:rFonts w:eastAsia="宋体"/>
                <w:kern w:val="0"/>
                <w:sz w:val="24"/>
                <w:szCs w:val="24"/>
              </w:rPr>
            </w:pPr>
            <w:r>
              <w:rPr>
                <w:rFonts w:hint="eastAsia" w:eastAsia="宋体"/>
                <w:kern w:val="0"/>
                <w:sz w:val="24"/>
                <w:szCs w:val="24"/>
              </w:rPr>
              <w:t>经济效益</w:t>
            </w:r>
            <w:r>
              <w:rPr>
                <w:rFonts w:eastAsia="宋体"/>
                <w:kern w:val="0"/>
                <w:sz w:val="24"/>
                <w:szCs w:val="24"/>
              </w:rPr>
              <w:br w:type="textWrapping"/>
            </w:r>
            <w:r>
              <w:rPr>
                <w:rFonts w:hint="eastAsia" w:eastAsia="宋体"/>
                <w:kern w:val="0"/>
                <w:sz w:val="24"/>
                <w:szCs w:val="24"/>
              </w:rPr>
              <w:t>指标</w:t>
            </w:r>
          </w:p>
        </w:tc>
        <w:tc>
          <w:tcPr>
            <w:tcW w:w="1170" w:type="dxa"/>
            <w:gridSpan w:val="2"/>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rPr>
              <w:t>指标</w:t>
            </w:r>
            <w:r>
              <w:rPr>
                <w:rFonts w:eastAsia="宋体"/>
                <w:kern w:val="0"/>
                <w:sz w:val="24"/>
                <w:szCs w:val="24"/>
              </w:rPr>
              <w:t>1</w:t>
            </w:r>
            <w:r>
              <w:rPr>
                <w:rFonts w:hint="eastAsia" w:eastAsia="宋体"/>
                <w:kern w:val="0"/>
                <w:sz w:val="24"/>
                <w:szCs w:val="24"/>
              </w:rPr>
              <w:t>：</w:t>
            </w:r>
            <w:r>
              <w:rPr>
                <w:rFonts w:hint="eastAsia" w:eastAsia="宋体"/>
                <w:kern w:val="0"/>
                <w:sz w:val="24"/>
                <w:szCs w:val="24"/>
                <w:lang w:val="en-US" w:eastAsia="zh-CN"/>
              </w:rPr>
              <w:t>促进物业服务健康发展</w:t>
            </w:r>
          </w:p>
        </w:tc>
        <w:tc>
          <w:tcPr>
            <w:tcW w:w="1356" w:type="dxa"/>
            <w:gridSpan w:val="2"/>
            <w:vAlign w:val="center"/>
          </w:tcPr>
          <w:p>
            <w:pPr>
              <w:spacing w:line="290" w:lineRule="exact"/>
              <w:jc w:val="left"/>
              <w:rPr>
                <w:rFonts w:hint="eastAsia" w:eastAsia="宋体"/>
                <w:kern w:val="0"/>
                <w:sz w:val="24"/>
                <w:szCs w:val="24"/>
                <w:lang w:val="en-US" w:eastAsia="zh-CN"/>
              </w:rPr>
            </w:pPr>
            <w:r>
              <w:rPr>
                <w:rFonts w:hint="eastAsia" w:eastAsia="宋体"/>
                <w:kern w:val="0"/>
                <w:sz w:val="24"/>
                <w:szCs w:val="24"/>
                <w:lang w:val="en-US" w:eastAsia="zh-CN"/>
              </w:rPr>
              <w:t>促进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Merge w:val="continue"/>
            <w:vAlign w:val="center"/>
          </w:tcPr>
          <w:p>
            <w:pPr>
              <w:spacing w:line="290" w:lineRule="exact"/>
              <w:jc w:val="left"/>
              <w:rPr>
                <w:rFonts w:eastAsia="宋体"/>
                <w:kern w:val="0"/>
                <w:sz w:val="24"/>
                <w:szCs w:val="24"/>
              </w:rPr>
            </w:pPr>
          </w:p>
        </w:tc>
        <w:tc>
          <w:tcPr>
            <w:tcW w:w="1341" w:type="dxa"/>
            <w:gridSpan w:val="2"/>
            <w:vAlign w:val="center"/>
          </w:tcPr>
          <w:p>
            <w:pPr>
              <w:spacing w:line="290" w:lineRule="exact"/>
              <w:jc w:val="center"/>
              <w:rPr>
                <w:rFonts w:eastAsia="宋体"/>
                <w:kern w:val="0"/>
                <w:sz w:val="24"/>
                <w:szCs w:val="24"/>
              </w:rPr>
            </w:pPr>
            <w:r>
              <w:rPr>
                <w:rFonts w:hint="eastAsia" w:eastAsia="宋体"/>
                <w:kern w:val="0"/>
                <w:sz w:val="24"/>
                <w:szCs w:val="24"/>
              </w:rPr>
              <w:t>可持续影响指标</w:t>
            </w:r>
          </w:p>
        </w:tc>
        <w:tc>
          <w:tcPr>
            <w:tcW w:w="1163" w:type="dxa"/>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rPr>
              <w:t>指标</w:t>
            </w:r>
            <w:r>
              <w:rPr>
                <w:rFonts w:eastAsia="宋体"/>
                <w:kern w:val="0"/>
                <w:sz w:val="24"/>
                <w:szCs w:val="24"/>
              </w:rPr>
              <w:t>1</w:t>
            </w:r>
            <w:r>
              <w:rPr>
                <w:rFonts w:hint="eastAsia" w:eastAsia="宋体"/>
                <w:kern w:val="0"/>
                <w:sz w:val="24"/>
                <w:szCs w:val="24"/>
              </w:rPr>
              <w:t>：</w:t>
            </w:r>
            <w:r>
              <w:rPr>
                <w:rFonts w:hint="eastAsia" w:eastAsia="宋体"/>
                <w:kern w:val="0"/>
                <w:sz w:val="24"/>
                <w:szCs w:val="24"/>
                <w:lang w:val="en-US" w:eastAsia="zh-CN"/>
              </w:rPr>
              <w:t>对物业服务行业未来发展的影响</w:t>
            </w:r>
          </w:p>
          <w:p>
            <w:pPr>
              <w:spacing w:line="290" w:lineRule="exact"/>
              <w:jc w:val="left"/>
              <w:rPr>
                <w:rFonts w:eastAsia="宋体"/>
                <w:kern w:val="0"/>
                <w:sz w:val="24"/>
                <w:szCs w:val="24"/>
              </w:rPr>
            </w:pPr>
          </w:p>
          <w:p>
            <w:pPr>
              <w:spacing w:line="290" w:lineRule="exact"/>
              <w:jc w:val="left"/>
              <w:rPr>
                <w:rFonts w:eastAsia="宋体"/>
                <w:kern w:val="0"/>
                <w:sz w:val="24"/>
                <w:szCs w:val="24"/>
              </w:rPr>
            </w:pPr>
          </w:p>
        </w:tc>
        <w:tc>
          <w:tcPr>
            <w:tcW w:w="1579" w:type="dxa"/>
            <w:gridSpan w:val="4"/>
            <w:vAlign w:val="center"/>
          </w:tcPr>
          <w:p>
            <w:pPr>
              <w:spacing w:line="290" w:lineRule="exact"/>
              <w:jc w:val="left"/>
              <w:rPr>
                <w:rFonts w:hint="eastAsia" w:eastAsia="宋体"/>
                <w:kern w:val="0"/>
                <w:sz w:val="24"/>
                <w:szCs w:val="24"/>
                <w:lang w:val="en-US" w:eastAsia="zh-CN"/>
              </w:rPr>
            </w:pPr>
            <w:r>
              <w:rPr>
                <w:rFonts w:hint="eastAsia" w:eastAsia="宋体"/>
                <w:kern w:val="0"/>
                <w:sz w:val="24"/>
                <w:szCs w:val="24"/>
                <w:lang w:val="en-US" w:eastAsia="zh-CN"/>
              </w:rPr>
              <w:t>人才公寓可持续</w:t>
            </w:r>
          </w:p>
        </w:tc>
        <w:tc>
          <w:tcPr>
            <w:tcW w:w="922" w:type="dxa"/>
            <w:vAlign w:val="center"/>
          </w:tcPr>
          <w:p>
            <w:pPr>
              <w:spacing w:line="290" w:lineRule="exact"/>
              <w:jc w:val="center"/>
              <w:rPr>
                <w:rFonts w:eastAsia="宋体"/>
                <w:kern w:val="0"/>
                <w:sz w:val="24"/>
                <w:szCs w:val="24"/>
              </w:rPr>
            </w:pPr>
            <w:r>
              <w:rPr>
                <w:rFonts w:hint="eastAsia" w:eastAsia="宋体"/>
                <w:kern w:val="0"/>
                <w:sz w:val="24"/>
                <w:szCs w:val="24"/>
              </w:rPr>
              <w:t>可持续影响</w:t>
            </w:r>
            <w:r>
              <w:rPr>
                <w:rFonts w:eastAsia="宋体"/>
                <w:kern w:val="0"/>
                <w:sz w:val="24"/>
                <w:szCs w:val="24"/>
              </w:rPr>
              <w:br w:type="textWrapping"/>
            </w:r>
            <w:r>
              <w:rPr>
                <w:rFonts w:hint="eastAsia" w:eastAsia="宋体"/>
                <w:kern w:val="0"/>
                <w:sz w:val="24"/>
                <w:szCs w:val="24"/>
              </w:rPr>
              <w:t>指标</w:t>
            </w:r>
          </w:p>
        </w:tc>
        <w:tc>
          <w:tcPr>
            <w:tcW w:w="1170" w:type="dxa"/>
            <w:gridSpan w:val="2"/>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rPr>
              <w:t>指标</w:t>
            </w:r>
            <w:r>
              <w:rPr>
                <w:rFonts w:eastAsia="宋体"/>
                <w:kern w:val="0"/>
                <w:sz w:val="24"/>
                <w:szCs w:val="24"/>
              </w:rPr>
              <w:t>1</w:t>
            </w:r>
            <w:r>
              <w:rPr>
                <w:rFonts w:hint="eastAsia" w:eastAsia="宋体"/>
                <w:kern w:val="0"/>
                <w:sz w:val="24"/>
                <w:szCs w:val="24"/>
              </w:rPr>
              <w:t>：</w:t>
            </w:r>
            <w:r>
              <w:rPr>
                <w:rFonts w:hint="eastAsia" w:eastAsia="宋体"/>
                <w:kern w:val="0"/>
                <w:sz w:val="24"/>
                <w:szCs w:val="24"/>
                <w:lang w:val="en-US" w:eastAsia="zh-CN"/>
              </w:rPr>
              <w:t>对物业服务行业未来发展册影响</w:t>
            </w:r>
          </w:p>
          <w:p>
            <w:pPr>
              <w:spacing w:line="290" w:lineRule="exact"/>
              <w:jc w:val="left"/>
              <w:rPr>
                <w:rFonts w:hint="eastAsia" w:eastAsia="宋体"/>
                <w:kern w:val="0"/>
                <w:sz w:val="24"/>
                <w:szCs w:val="24"/>
              </w:rPr>
            </w:pPr>
          </w:p>
          <w:p>
            <w:pPr>
              <w:spacing w:line="290" w:lineRule="exact"/>
              <w:jc w:val="left"/>
              <w:rPr>
                <w:rFonts w:eastAsia="宋体"/>
                <w:kern w:val="0"/>
                <w:sz w:val="24"/>
                <w:szCs w:val="24"/>
              </w:rPr>
            </w:pPr>
          </w:p>
        </w:tc>
        <w:tc>
          <w:tcPr>
            <w:tcW w:w="1356" w:type="dxa"/>
            <w:gridSpan w:val="2"/>
            <w:vAlign w:val="center"/>
          </w:tcPr>
          <w:p>
            <w:pPr>
              <w:spacing w:line="290" w:lineRule="exact"/>
              <w:jc w:val="left"/>
              <w:rPr>
                <w:rFonts w:hint="eastAsia" w:eastAsia="宋体"/>
                <w:kern w:val="0"/>
                <w:sz w:val="24"/>
                <w:szCs w:val="24"/>
              </w:rPr>
            </w:pPr>
            <w:r>
              <w:rPr>
                <w:rFonts w:hint="eastAsia" w:eastAsia="宋体"/>
                <w:kern w:val="0"/>
                <w:sz w:val="24"/>
                <w:szCs w:val="24"/>
                <w:lang w:val="en-US" w:eastAsia="zh-CN"/>
              </w:rPr>
              <w:t>人才公寓可持续</w:t>
            </w:r>
          </w:p>
          <w:p>
            <w:pPr>
              <w:spacing w:line="290" w:lineRule="exact"/>
              <w:jc w:val="left"/>
              <w:rPr>
                <w:rFonts w:eastAsia="宋体"/>
                <w:kern w:val="0"/>
                <w:sz w:val="24"/>
                <w:szCs w:val="24"/>
              </w:rPr>
            </w:pPr>
          </w:p>
          <w:p>
            <w:pPr>
              <w:spacing w:line="290" w:lineRule="exact"/>
              <w:jc w:val="left"/>
              <w:rPr>
                <w:rFonts w:eastAsia="宋体"/>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90" w:type="dxa"/>
            <w:gridSpan w:val="2"/>
            <w:vMerge w:val="continue"/>
            <w:vAlign w:val="center"/>
          </w:tcPr>
          <w:p>
            <w:pPr>
              <w:spacing w:line="290" w:lineRule="exact"/>
              <w:jc w:val="left"/>
              <w:rPr>
                <w:rFonts w:eastAsia="宋体"/>
                <w:kern w:val="0"/>
                <w:sz w:val="24"/>
                <w:szCs w:val="24"/>
              </w:rPr>
            </w:pPr>
          </w:p>
        </w:tc>
        <w:tc>
          <w:tcPr>
            <w:tcW w:w="893" w:type="dxa"/>
            <w:vAlign w:val="center"/>
          </w:tcPr>
          <w:p>
            <w:pPr>
              <w:spacing w:line="290" w:lineRule="exact"/>
              <w:jc w:val="center"/>
              <w:rPr>
                <w:rFonts w:eastAsia="宋体"/>
                <w:kern w:val="0"/>
                <w:sz w:val="24"/>
                <w:szCs w:val="24"/>
              </w:rPr>
            </w:pPr>
            <w:r>
              <w:rPr>
                <w:rFonts w:hint="eastAsia" w:eastAsia="宋体"/>
                <w:kern w:val="0"/>
                <w:sz w:val="24"/>
                <w:szCs w:val="24"/>
              </w:rPr>
              <w:t>满意度指标</w:t>
            </w:r>
          </w:p>
        </w:tc>
        <w:tc>
          <w:tcPr>
            <w:tcW w:w="1341" w:type="dxa"/>
            <w:gridSpan w:val="2"/>
            <w:vAlign w:val="center"/>
          </w:tcPr>
          <w:p>
            <w:pPr>
              <w:spacing w:line="290" w:lineRule="exact"/>
              <w:jc w:val="center"/>
              <w:rPr>
                <w:rFonts w:hint="eastAsia" w:eastAsia="宋体"/>
                <w:kern w:val="0"/>
                <w:sz w:val="24"/>
                <w:szCs w:val="24"/>
              </w:rPr>
            </w:pPr>
            <w:r>
              <w:rPr>
                <w:rFonts w:hint="eastAsia" w:eastAsia="宋体"/>
                <w:kern w:val="0"/>
                <w:sz w:val="24"/>
                <w:szCs w:val="24"/>
              </w:rPr>
              <w:t>满意度</w:t>
            </w:r>
          </w:p>
          <w:p>
            <w:pPr>
              <w:spacing w:line="290" w:lineRule="exact"/>
              <w:jc w:val="center"/>
              <w:rPr>
                <w:rFonts w:eastAsia="宋体"/>
                <w:kern w:val="0"/>
                <w:sz w:val="24"/>
                <w:szCs w:val="24"/>
              </w:rPr>
            </w:pPr>
            <w:r>
              <w:rPr>
                <w:rFonts w:hint="eastAsia" w:eastAsia="宋体"/>
                <w:kern w:val="0"/>
                <w:sz w:val="24"/>
                <w:szCs w:val="24"/>
              </w:rPr>
              <w:t>指标</w:t>
            </w:r>
          </w:p>
        </w:tc>
        <w:tc>
          <w:tcPr>
            <w:tcW w:w="1163" w:type="dxa"/>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rPr>
              <w:t>指标</w:t>
            </w:r>
            <w:r>
              <w:rPr>
                <w:rFonts w:eastAsia="宋体"/>
                <w:kern w:val="0"/>
                <w:sz w:val="24"/>
                <w:szCs w:val="24"/>
              </w:rPr>
              <w:t>1</w:t>
            </w:r>
            <w:r>
              <w:rPr>
                <w:rFonts w:hint="eastAsia" w:eastAsia="宋体"/>
                <w:kern w:val="0"/>
                <w:sz w:val="24"/>
                <w:szCs w:val="24"/>
              </w:rPr>
              <w:t>：</w:t>
            </w:r>
            <w:r>
              <w:rPr>
                <w:rFonts w:hint="eastAsia" w:eastAsia="宋体"/>
                <w:kern w:val="0"/>
                <w:sz w:val="24"/>
                <w:szCs w:val="24"/>
                <w:lang w:val="en-US" w:eastAsia="zh-CN"/>
              </w:rPr>
              <w:t>物业企业满意度</w:t>
            </w:r>
          </w:p>
          <w:p>
            <w:pPr>
              <w:spacing w:line="290" w:lineRule="exact"/>
              <w:jc w:val="left"/>
              <w:rPr>
                <w:rFonts w:eastAsia="宋体"/>
                <w:kern w:val="0"/>
                <w:sz w:val="24"/>
                <w:szCs w:val="24"/>
              </w:rPr>
            </w:pPr>
          </w:p>
        </w:tc>
        <w:tc>
          <w:tcPr>
            <w:tcW w:w="1579" w:type="dxa"/>
            <w:gridSpan w:val="4"/>
            <w:vAlign w:val="center"/>
          </w:tcPr>
          <w:p>
            <w:pPr>
              <w:spacing w:line="290" w:lineRule="exact"/>
              <w:jc w:val="center"/>
              <w:rPr>
                <w:rFonts w:hint="default" w:eastAsia="宋体"/>
                <w:kern w:val="0"/>
                <w:sz w:val="24"/>
                <w:szCs w:val="24"/>
                <w:lang w:val="en-US" w:eastAsia="zh-CN"/>
              </w:rPr>
            </w:pPr>
            <w:r>
              <w:rPr>
                <w:rFonts w:hint="eastAsia" w:eastAsia="宋体"/>
                <w:kern w:val="0"/>
                <w:sz w:val="24"/>
                <w:szCs w:val="24"/>
                <w:lang w:val="en-US" w:eastAsia="zh-CN"/>
              </w:rPr>
              <w:t>100%</w:t>
            </w:r>
          </w:p>
        </w:tc>
        <w:tc>
          <w:tcPr>
            <w:tcW w:w="922" w:type="dxa"/>
            <w:vAlign w:val="center"/>
          </w:tcPr>
          <w:p>
            <w:pPr>
              <w:spacing w:line="290" w:lineRule="exact"/>
              <w:jc w:val="center"/>
              <w:rPr>
                <w:rFonts w:eastAsia="宋体"/>
                <w:kern w:val="0"/>
                <w:sz w:val="24"/>
                <w:szCs w:val="24"/>
              </w:rPr>
            </w:pPr>
            <w:r>
              <w:rPr>
                <w:rFonts w:hint="eastAsia" w:eastAsia="宋体"/>
                <w:kern w:val="0"/>
                <w:sz w:val="24"/>
                <w:szCs w:val="24"/>
              </w:rPr>
              <w:t>满意度指标</w:t>
            </w:r>
          </w:p>
        </w:tc>
        <w:tc>
          <w:tcPr>
            <w:tcW w:w="1170" w:type="dxa"/>
            <w:gridSpan w:val="2"/>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rPr>
              <w:t>指标</w:t>
            </w:r>
            <w:r>
              <w:rPr>
                <w:rFonts w:eastAsia="宋体"/>
                <w:kern w:val="0"/>
                <w:sz w:val="24"/>
                <w:szCs w:val="24"/>
              </w:rPr>
              <w:t>1</w:t>
            </w:r>
            <w:r>
              <w:rPr>
                <w:rFonts w:hint="eastAsia" w:eastAsia="宋体"/>
                <w:kern w:val="0"/>
                <w:sz w:val="24"/>
                <w:szCs w:val="24"/>
              </w:rPr>
              <w:t>：</w:t>
            </w:r>
            <w:r>
              <w:rPr>
                <w:rFonts w:hint="eastAsia" w:eastAsia="宋体"/>
                <w:kern w:val="0"/>
                <w:sz w:val="24"/>
                <w:szCs w:val="24"/>
                <w:lang w:val="en-US" w:eastAsia="zh-CN"/>
              </w:rPr>
              <w:t>物业企业满意度</w:t>
            </w:r>
          </w:p>
          <w:p>
            <w:pPr>
              <w:spacing w:line="290" w:lineRule="exact"/>
              <w:jc w:val="left"/>
              <w:rPr>
                <w:rFonts w:hint="eastAsia" w:eastAsia="宋体"/>
                <w:kern w:val="0"/>
                <w:sz w:val="24"/>
                <w:szCs w:val="24"/>
              </w:rPr>
            </w:pPr>
          </w:p>
          <w:p>
            <w:pPr>
              <w:spacing w:line="290" w:lineRule="exact"/>
              <w:jc w:val="left"/>
              <w:rPr>
                <w:rFonts w:hint="eastAsia" w:eastAsia="宋体"/>
                <w:kern w:val="0"/>
                <w:sz w:val="24"/>
                <w:szCs w:val="24"/>
                <w:lang w:val="en-US" w:eastAsia="zh-CN"/>
              </w:rPr>
            </w:pPr>
            <w:r>
              <w:rPr>
                <w:rFonts w:eastAsia="宋体"/>
                <w:kern w:val="0"/>
                <w:sz w:val="24"/>
                <w:szCs w:val="24"/>
              </w:rPr>
              <w:t xml:space="preserve"> </w:t>
            </w:r>
          </w:p>
        </w:tc>
        <w:tc>
          <w:tcPr>
            <w:tcW w:w="1356" w:type="dxa"/>
            <w:gridSpan w:val="2"/>
            <w:vAlign w:val="center"/>
          </w:tcPr>
          <w:p>
            <w:pPr>
              <w:spacing w:line="290" w:lineRule="exact"/>
              <w:jc w:val="left"/>
              <w:rPr>
                <w:rFonts w:hint="default" w:eastAsia="宋体"/>
                <w:kern w:val="0"/>
                <w:sz w:val="24"/>
                <w:szCs w:val="24"/>
                <w:lang w:val="en-US" w:eastAsia="zh-CN"/>
              </w:rPr>
            </w:pPr>
            <w:r>
              <w:rPr>
                <w:rFonts w:hint="eastAsia" w:eastAsia="宋体"/>
                <w:kern w:val="0"/>
                <w:sz w:val="24"/>
                <w:szCs w:val="24"/>
                <w:lang w:val="en-US" w:eastAsia="zh-CN"/>
              </w:rPr>
              <w:t>100%</w:t>
            </w:r>
          </w:p>
        </w:tc>
      </w:tr>
    </w:tbl>
    <w:p>
      <w:pPr>
        <w:pStyle w:val="8"/>
        <w:spacing w:before="93"/>
      </w:pPr>
    </w:p>
    <w:p>
      <w:pPr>
        <w:pStyle w:val="8"/>
        <w:spacing w:before="93"/>
      </w:pPr>
    </w:p>
    <w:p>
      <w:pPr>
        <w:spacing w:line="600" w:lineRule="exact"/>
        <w:jc w:val="both"/>
        <w:outlineLvl w:val="0"/>
        <w:rPr>
          <w:rFonts w:hint="eastAsia" w:ascii="黑体" w:hAnsi="黑体" w:eastAsia="黑体"/>
          <w:sz w:val="44"/>
          <w:szCs w:val="44"/>
        </w:rPr>
      </w:pPr>
      <w:bookmarkStart w:id="55" w:name="_Toc15396618"/>
    </w:p>
    <w:p>
      <w:pPr>
        <w:spacing w:line="600" w:lineRule="exact"/>
        <w:ind w:firstLine="2640" w:firstLineChars="600"/>
        <w:jc w:val="both"/>
        <w:outlineLvl w:val="0"/>
        <w:rPr>
          <w:rFonts w:hint="eastAsia" w:ascii="黑体" w:hAnsi="黑体" w:eastAsia="黑体"/>
          <w:sz w:val="44"/>
          <w:szCs w:val="44"/>
        </w:rPr>
      </w:pPr>
    </w:p>
    <w:p>
      <w:pPr>
        <w:spacing w:line="600" w:lineRule="exact"/>
        <w:ind w:firstLine="2640" w:firstLineChars="600"/>
        <w:jc w:val="both"/>
        <w:outlineLvl w:val="0"/>
        <w:rPr>
          <w:rFonts w:hint="eastAsia" w:ascii="黑体" w:hAnsi="黑体" w:eastAsia="黑体"/>
          <w:sz w:val="44"/>
          <w:szCs w:val="44"/>
        </w:rPr>
      </w:pPr>
    </w:p>
    <w:p>
      <w:pPr>
        <w:spacing w:line="600" w:lineRule="exact"/>
        <w:ind w:firstLine="2640" w:firstLineChars="600"/>
        <w:jc w:val="both"/>
        <w:outlineLvl w:val="0"/>
        <w:rPr>
          <w:rFonts w:hint="eastAsia" w:ascii="黑体" w:hAnsi="黑体" w:eastAsia="黑体"/>
          <w:sz w:val="44"/>
          <w:szCs w:val="44"/>
        </w:rPr>
      </w:pPr>
    </w:p>
    <w:p>
      <w:pPr>
        <w:spacing w:line="600" w:lineRule="exact"/>
        <w:ind w:firstLine="2640" w:firstLineChars="600"/>
        <w:jc w:val="both"/>
        <w:outlineLvl w:val="0"/>
        <w:rPr>
          <w:rStyle w:val="33"/>
          <w:rFonts w:hint="eastAsia" w:ascii="黑体" w:hAnsi="黑体" w:eastAsia="黑体"/>
          <w:b w:val="0"/>
        </w:rPr>
      </w:pPr>
      <w:r>
        <w:rPr>
          <w:rFonts w:hint="eastAsia" w:ascii="黑体" w:hAnsi="黑体" w:eastAsia="黑体"/>
          <w:sz w:val="44"/>
          <w:szCs w:val="44"/>
        </w:rPr>
        <w:t>第</w:t>
      </w:r>
      <w:r>
        <w:rPr>
          <w:rStyle w:val="33"/>
          <w:rFonts w:hint="eastAsia" w:ascii="黑体" w:hAnsi="黑体" w:eastAsia="黑体"/>
          <w:b w:val="0"/>
        </w:rPr>
        <w:t>五部分 附表</w:t>
      </w:r>
      <w:bookmarkEnd w:id="53"/>
      <w:bookmarkEnd w:id="55"/>
      <w:bookmarkStart w:id="56" w:name="_Toc15396619"/>
    </w:p>
    <w:p>
      <w:pPr>
        <w:pStyle w:val="5"/>
        <w:rPr>
          <w:rFonts w:ascii="仿宋" w:hAnsi="仿宋" w:eastAsia="仿宋"/>
        </w:rPr>
      </w:pPr>
      <w:r>
        <w:rPr>
          <w:rFonts w:hint="eastAsia" w:ascii="仿宋" w:hAnsi="仿宋" w:eastAsia="仿宋"/>
          <w:b w:val="0"/>
        </w:rPr>
        <w:t>一、收</w:t>
      </w:r>
      <w:r>
        <w:rPr>
          <w:rStyle w:val="34"/>
          <w:rFonts w:hint="eastAsia" w:ascii="仿宋" w:hAnsi="仿宋" w:eastAsia="仿宋"/>
          <w:b w:val="0"/>
          <w:bCs w:val="0"/>
        </w:rPr>
        <w:t>入支出决算总表</w:t>
      </w:r>
      <w:bookmarkEnd w:id="56"/>
    </w:p>
    <w:p>
      <w:pPr>
        <w:pStyle w:val="5"/>
        <w:rPr>
          <w:rFonts w:ascii="仿宋" w:hAnsi="仿宋" w:eastAsia="仿宋"/>
        </w:rPr>
      </w:pPr>
      <w:bookmarkStart w:id="57" w:name="_Toc15396620"/>
      <w:r>
        <w:rPr>
          <w:rFonts w:hint="eastAsia" w:ascii="仿宋" w:hAnsi="仿宋" w:eastAsia="仿宋"/>
          <w:b w:val="0"/>
        </w:rPr>
        <w:t>二、收</w:t>
      </w:r>
      <w:r>
        <w:rPr>
          <w:rStyle w:val="34"/>
          <w:rFonts w:hint="eastAsia" w:ascii="仿宋" w:hAnsi="仿宋" w:eastAsia="仿宋"/>
          <w:b w:val="0"/>
          <w:bCs w:val="0"/>
        </w:rPr>
        <w:t>入决算表</w:t>
      </w:r>
      <w:bookmarkEnd w:id="57"/>
    </w:p>
    <w:p>
      <w:pPr>
        <w:pStyle w:val="5"/>
        <w:rPr>
          <w:rFonts w:ascii="仿宋" w:hAnsi="仿宋" w:eastAsia="仿宋"/>
        </w:rPr>
      </w:pPr>
      <w:bookmarkStart w:id="58" w:name="_Toc15396621"/>
      <w:r>
        <w:rPr>
          <w:rStyle w:val="34"/>
          <w:rFonts w:hint="eastAsia" w:ascii="仿宋" w:hAnsi="仿宋" w:eastAsia="仿宋"/>
          <w:b w:val="0"/>
          <w:bCs w:val="0"/>
        </w:rPr>
        <w:t>三、</w:t>
      </w:r>
      <w:r>
        <w:rPr>
          <w:rFonts w:hint="eastAsia" w:ascii="仿宋" w:hAnsi="仿宋" w:eastAsia="仿宋"/>
          <w:b w:val="0"/>
        </w:rPr>
        <w:t>支</w:t>
      </w:r>
      <w:r>
        <w:rPr>
          <w:rStyle w:val="34"/>
          <w:rFonts w:hint="eastAsia" w:ascii="仿宋" w:hAnsi="仿宋" w:eastAsia="仿宋"/>
          <w:b w:val="0"/>
          <w:bCs w:val="0"/>
        </w:rPr>
        <w:t>出决算表</w:t>
      </w:r>
      <w:bookmarkEnd w:id="58"/>
    </w:p>
    <w:p>
      <w:pPr>
        <w:pStyle w:val="5"/>
        <w:rPr>
          <w:rFonts w:ascii="仿宋" w:hAnsi="仿宋" w:eastAsia="仿宋"/>
          <w:b w:val="0"/>
        </w:rPr>
      </w:pPr>
      <w:bookmarkStart w:id="59" w:name="_Toc15396622"/>
      <w:r>
        <w:rPr>
          <w:rStyle w:val="34"/>
          <w:rFonts w:hint="eastAsia" w:ascii="仿宋" w:hAnsi="仿宋" w:eastAsia="仿宋"/>
          <w:b w:val="0"/>
          <w:bCs w:val="0"/>
        </w:rPr>
        <w:t>四、</w:t>
      </w:r>
      <w:r>
        <w:rPr>
          <w:rFonts w:hint="eastAsia" w:ascii="仿宋" w:hAnsi="仿宋" w:eastAsia="仿宋"/>
          <w:b w:val="0"/>
        </w:rPr>
        <w:t>财</w:t>
      </w:r>
      <w:r>
        <w:rPr>
          <w:rStyle w:val="34"/>
          <w:rFonts w:hint="eastAsia" w:ascii="仿宋" w:hAnsi="仿宋" w:eastAsia="仿宋"/>
          <w:b w:val="0"/>
          <w:bCs w:val="0"/>
        </w:rPr>
        <w:t>政拨款收入支出决算总表</w:t>
      </w:r>
      <w:bookmarkEnd w:id="59"/>
    </w:p>
    <w:p>
      <w:pPr>
        <w:pStyle w:val="5"/>
        <w:rPr>
          <w:rStyle w:val="34"/>
          <w:rFonts w:ascii="仿宋" w:hAnsi="仿宋" w:eastAsia="仿宋"/>
          <w:b w:val="0"/>
          <w:bCs w:val="0"/>
        </w:rPr>
      </w:pPr>
      <w:bookmarkStart w:id="60" w:name="_Toc15396623"/>
      <w:r>
        <w:rPr>
          <w:rStyle w:val="34"/>
          <w:rFonts w:hint="eastAsia" w:ascii="仿宋" w:hAnsi="仿宋" w:eastAsia="仿宋"/>
          <w:b w:val="0"/>
          <w:bCs w:val="0"/>
        </w:rPr>
        <w:t>五、</w:t>
      </w:r>
      <w:r>
        <w:rPr>
          <w:rFonts w:hint="eastAsia" w:ascii="仿宋" w:hAnsi="仿宋" w:eastAsia="仿宋"/>
          <w:b w:val="0"/>
        </w:rPr>
        <w:t>财</w:t>
      </w:r>
      <w:r>
        <w:rPr>
          <w:rStyle w:val="34"/>
          <w:rFonts w:hint="eastAsia" w:ascii="仿宋" w:hAnsi="仿宋" w:eastAsia="仿宋"/>
          <w:b w:val="0"/>
          <w:bCs w:val="0"/>
        </w:rPr>
        <w:t>政拨款支出决算明细表</w:t>
      </w:r>
      <w:bookmarkEnd w:id="60"/>
      <w:bookmarkStart w:id="61" w:name="_Toc15396624"/>
    </w:p>
    <w:p>
      <w:pPr>
        <w:pStyle w:val="5"/>
        <w:rPr>
          <w:rFonts w:ascii="仿宋" w:hAnsi="仿宋" w:eastAsia="仿宋"/>
        </w:rPr>
      </w:pPr>
      <w:r>
        <w:rPr>
          <w:rStyle w:val="34"/>
          <w:rFonts w:hint="eastAsia" w:ascii="仿宋" w:hAnsi="仿宋" w:eastAsia="仿宋"/>
          <w:b w:val="0"/>
          <w:bCs w:val="0"/>
        </w:rPr>
        <w:t>六、</w:t>
      </w:r>
      <w:r>
        <w:rPr>
          <w:rFonts w:hint="eastAsia" w:ascii="仿宋" w:hAnsi="仿宋" w:eastAsia="仿宋"/>
          <w:b w:val="0"/>
        </w:rPr>
        <w:t>一</w:t>
      </w:r>
      <w:r>
        <w:rPr>
          <w:rStyle w:val="34"/>
          <w:rFonts w:hint="eastAsia" w:ascii="仿宋" w:hAnsi="仿宋" w:eastAsia="仿宋"/>
          <w:b w:val="0"/>
          <w:bCs w:val="0"/>
        </w:rPr>
        <w:t>般公共预算财政拨款支出决算表</w:t>
      </w:r>
      <w:bookmarkEnd w:id="61"/>
    </w:p>
    <w:p>
      <w:pPr>
        <w:pStyle w:val="5"/>
        <w:rPr>
          <w:rFonts w:ascii="仿宋" w:hAnsi="仿宋" w:eastAsia="仿宋"/>
        </w:rPr>
      </w:pPr>
      <w:bookmarkStart w:id="62" w:name="_Toc15396625"/>
      <w:r>
        <w:rPr>
          <w:rStyle w:val="34"/>
          <w:rFonts w:hint="eastAsia" w:ascii="仿宋" w:hAnsi="仿宋" w:eastAsia="仿宋"/>
          <w:b w:val="0"/>
          <w:bCs w:val="0"/>
        </w:rPr>
        <w:t>七、</w:t>
      </w:r>
      <w:r>
        <w:rPr>
          <w:rFonts w:hint="eastAsia" w:ascii="仿宋" w:hAnsi="仿宋" w:eastAsia="仿宋"/>
          <w:b w:val="0"/>
        </w:rPr>
        <w:t>一</w:t>
      </w:r>
      <w:r>
        <w:rPr>
          <w:rStyle w:val="34"/>
          <w:rFonts w:hint="eastAsia" w:ascii="仿宋" w:hAnsi="仿宋" w:eastAsia="仿宋"/>
          <w:b w:val="0"/>
          <w:bCs w:val="0"/>
        </w:rPr>
        <w:t>般公共预算财政拨款支出决算明细表</w:t>
      </w:r>
      <w:bookmarkEnd w:id="62"/>
    </w:p>
    <w:p>
      <w:pPr>
        <w:pStyle w:val="5"/>
        <w:rPr>
          <w:rFonts w:ascii="仿宋" w:hAnsi="仿宋" w:eastAsia="仿宋"/>
        </w:rPr>
      </w:pPr>
      <w:bookmarkStart w:id="63" w:name="_Toc15396626"/>
      <w:r>
        <w:rPr>
          <w:rStyle w:val="34"/>
          <w:rFonts w:hint="eastAsia" w:ascii="仿宋" w:hAnsi="仿宋" w:eastAsia="仿宋"/>
          <w:b w:val="0"/>
          <w:bCs w:val="0"/>
        </w:rPr>
        <w:t>八、</w:t>
      </w:r>
      <w:r>
        <w:rPr>
          <w:rFonts w:hint="eastAsia" w:ascii="仿宋" w:hAnsi="仿宋" w:eastAsia="仿宋"/>
          <w:b w:val="0"/>
        </w:rPr>
        <w:t>一</w:t>
      </w:r>
      <w:r>
        <w:rPr>
          <w:rStyle w:val="34"/>
          <w:rFonts w:hint="eastAsia" w:ascii="仿宋" w:hAnsi="仿宋" w:eastAsia="仿宋"/>
          <w:b w:val="0"/>
          <w:bCs w:val="0"/>
        </w:rPr>
        <w:t>般公共预算财政拨款基本支出决算表</w:t>
      </w:r>
      <w:bookmarkEnd w:id="63"/>
    </w:p>
    <w:p>
      <w:pPr>
        <w:pStyle w:val="5"/>
        <w:rPr>
          <w:rFonts w:ascii="仿宋" w:hAnsi="仿宋" w:eastAsia="仿宋"/>
        </w:rPr>
      </w:pPr>
      <w:bookmarkStart w:id="64" w:name="_Toc15396627"/>
      <w:r>
        <w:rPr>
          <w:rStyle w:val="34"/>
          <w:rFonts w:hint="eastAsia" w:ascii="仿宋" w:hAnsi="仿宋" w:eastAsia="仿宋"/>
          <w:b w:val="0"/>
          <w:bCs w:val="0"/>
        </w:rPr>
        <w:t>九、</w:t>
      </w:r>
      <w:r>
        <w:rPr>
          <w:rFonts w:hint="eastAsia" w:ascii="仿宋" w:hAnsi="仿宋" w:eastAsia="仿宋"/>
          <w:b w:val="0"/>
        </w:rPr>
        <w:t>一</w:t>
      </w:r>
      <w:r>
        <w:rPr>
          <w:rStyle w:val="34"/>
          <w:rFonts w:hint="eastAsia" w:ascii="仿宋" w:hAnsi="仿宋" w:eastAsia="仿宋"/>
          <w:b w:val="0"/>
          <w:bCs w:val="0"/>
        </w:rPr>
        <w:t>般公共预算财政拨款项目支出决算表</w:t>
      </w:r>
      <w:bookmarkEnd w:id="64"/>
    </w:p>
    <w:p>
      <w:pPr>
        <w:pStyle w:val="5"/>
        <w:rPr>
          <w:rFonts w:ascii="仿宋" w:hAnsi="仿宋" w:eastAsia="仿宋"/>
        </w:rPr>
      </w:pPr>
      <w:bookmarkStart w:id="65" w:name="_Toc15396628"/>
      <w:r>
        <w:rPr>
          <w:rStyle w:val="34"/>
          <w:rFonts w:hint="eastAsia" w:ascii="仿宋" w:hAnsi="仿宋" w:eastAsia="仿宋"/>
          <w:b w:val="0"/>
          <w:bCs w:val="0"/>
        </w:rPr>
        <w:t>十、</w:t>
      </w:r>
      <w:bookmarkEnd w:id="65"/>
      <w:r>
        <w:rPr>
          <w:rFonts w:hint="eastAsia" w:ascii="仿宋" w:hAnsi="仿宋" w:eastAsia="仿宋"/>
          <w:b w:val="0"/>
        </w:rPr>
        <w:t>政</w:t>
      </w:r>
      <w:r>
        <w:rPr>
          <w:rStyle w:val="34"/>
          <w:rFonts w:hint="eastAsia" w:ascii="仿宋" w:hAnsi="仿宋" w:eastAsia="仿宋"/>
          <w:b w:val="0"/>
          <w:bCs w:val="0"/>
        </w:rPr>
        <w:t>府性基金预算财政拨款收入支出决算表</w:t>
      </w:r>
    </w:p>
    <w:p>
      <w:pPr>
        <w:pStyle w:val="5"/>
        <w:rPr>
          <w:rFonts w:ascii="仿宋" w:hAnsi="仿宋" w:eastAsia="仿宋"/>
        </w:rPr>
      </w:pPr>
      <w:bookmarkStart w:id="66" w:name="_Toc15396629"/>
      <w:r>
        <w:rPr>
          <w:rStyle w:val="34"/>
          <w:rFonts w:hint="eastAsia" w:ascii="仿宋" w:hAnsi="仿宋" w:eastAsia="仿宋"/>
          <w:b w:val="0"/>
          <w:bCs w:val="0"/>
        </w:rPr>
        <w:t>十一、</w:t>
      </w:r>
      <w:bookmarkEnd w:id="66"/>
      <w:r>
        <w:rPr>
          <w:rFonts w:hint="eastAsia" w:ascii="仿宋" w:hAnsi="仿宋" w:eastAsia="仿宋"/>
          <w:b w:val="0"/>
        </w:rPr>
        <w:t>国</w:t>
      </w:r>
      <w:r>
        <w:rPr>
          <w:rStyle w:val="34"/>
          <w:rFonts w:hint="eastAsia" w:ascii="仿宋" w:hAnsi="仿宋" w:eastAsia="仿宋"/>
          <w:b w:val="0"/>
          <w:bCs w:val="0"/>
        </w:rPr>
        <w:t>有资本经营预算财政拨款收入支出决算表</w:t>
      </w:r>
    </w:p>
    <w:p>
      <w:pPr>
        <w:pStyle w:val="5"/>
        <w:rPr>
          <w:rFonts w:ascii="仿宋" w:hAnsi="仿宋" w:eastAsia="仿宋"/>
        </w:rPr>
      </w:pPr>
      <w:bookmarkStart w:id="67" w:name="_Toc15396630"/>
      <w:r>
        <w:rPr>
          <w:rStyle w:val="34"/>
          <w:rFonts w:hint="eastAsia" w:ascii="仿宋" w:hAnsi="仿宋" w:eastAsia="仿宋"/>
          <w:b w:val="0"/>
          <w:bCs w:val="0"/>
        </w:rPr>
        <w:t>十二、</w:t>
      </w:r>
      <w:bookmarkEnd w:id="67"/>
      <w:r>
        <w:rPr>
          <w:rStyle w:val="34"/>
          <w:rFonts w:hint="eastAsia" w:ascii="仿宋" w:hAnsi="仿宋" w:eastAsia="仿宋"/>
          <w:b w:val="0"/>
          <w:bCs w:val="0"/>
        </w:rPr>
        <w:t>国有资本经营预算财政拨款支出决算表</w:t>
      </w:r>
    </w:p>
    <w:p>
      <w:pPr>
        <w:pStyle w:val="5"/>
        <w:rPr>
          <w:rFonts w:eastAsia="仿宋"/>
        </w:rPr>
      </w:pPr>
      <w:bookmarkStart w:id="68" w:name="_Toc15396631"/>
      <w:r>
        <w:rPr>
          <w:rStyle w:val="34"/>
          <w:rFonts w:hint="eastAsia" w:ascii="仿宋" w:hAnsi="仿宋" w:eastAsia="仿宋"/>
          <w:b w:val="0"/>
          <w:bCs w:val="0"/>
        </w:rPr>
        <w:t>十三、</w:t>
      </w:r>
      <w:bookmarkEnd w:id="68"/>
      <w:r>
        <w:rPr>
          <w:rStyle w:val="34"/>
          <w:rFonts w:hint="eastAsia" w:ascii="仿宋" w:hAnsi="仿宋" w:eastAsia="仿宋"/>
          <w:b w:val="0"/>
          <w:bCs w:val="0"/>
        </w:rPr>
        <w:t>财政拨款“三公”经费支出决算表</w:t>
      </w:r>
    </w:p>
    <w:sectPr>
      <w:headerReference r:id="rId3" w:type="default"/>
      <w:footerReference r:id="rId4" w:type="default"/>
      <w:pgSz w:w="11906" w:h="16838"/>
      <w:pgMar w:top="2098" w:right="1474" w:bottom="1928" w:left="1587"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script"/>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5969A"/>
    <w:multiLevelType w:val="singleLevel"/>
    <w:tmpl w:val="A045969A"/>
    <w:lvl w:ilvl="0" w:tentative="0">
      <w:start w:val="3"/>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3AF1D34"/>
    <w:multiLevelType w:val="singleLevel"/>
    <w:tmpl w:val="33AF1D34"/>
    <w:lvl w:ilvl="0" w:tentative="0">
      <w:start w:val="3"/>
      <w:numFmt w:val="chineseCounting"/>
      <w:suff w:val="nothing"/>
      <w:lvlText w:val="（%1）"/>
      <w:lvlJc w:val="left"/>
      <w:rPr>
        <w:rFonts w:hint="eastAsia"/>
      </w:rPr>
    </w:lvl>
  </w:abstractNum>
  <w:abstractNum w:abstractNumId="5">
    <w:nsid w:val="47F11EA8"/>
    <w:multiLevelType w:val="singleLevel"/>
    <w:tmpl w:val="47F11EA8"/>
    <w:lvl w:ilvl="0" w:tentative="0">
      <w:start w:val="1"/>
      <w:numFmt w:val="chineseCounting"/>
      <w:suff w:val="nothing"/>
      <w:lvlText w:val="%1、"/>
      <w:lvlJc w:val="left"/>
      <w:rPr>
        <w:rFonts w:hint="eastAsia"/>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06B49"/>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134"/>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1A60743"/>
    <w:rsid w:val="02143E91"/>
    <w:rsid w:val="03EF7383"/>
    <w:rsid w:val="044423F2"/>
    <w:rsid w:val="060C3E7B"/>
    <w:rsid w:val="066E0107"/>
    <w:rsid w:val="07996F6E"/>
    <w:rsid w:val="09EF5765"/>
    <w:rsid w:val="0A2032A3"/>
    <w:rsid w:val="0A7B1A41"/>
    <w:rsid w:val="0B2F31E8"/>
    <w:rsid w:val="0F98263C"/>
    <w:rsid w:val="101860EC"/>
    <w:rsid w:val="105552F6"/>
    <w:rsid w:val="10C055FF"/>
    <w:rsid w:val="10DF7BBC"/>
    <w:rsid w:val="116C0B49"/>
    <w:rsid w:val="118107EC"/>
    <w:rsid w:val="12542FA0"/>
    <w:rsid w:val="13270D7A"/>
    <w:rsid w:val="13D50BC4"/>
    <w:rsid w:val="15EA1883"/>
    <w:rsid w:val="15FD0293"/>
    <w:rsid w:val="16BB723D"/>
    <w:rsid w:val="189635A5"/>
    <w:rsid w:val="193D63F7"/>
    <w:rsid w:val="19741159"/>
    <w:rsid w:val="19F93D9B"/>
    <w:rsid w:val="1A551442"/>
    <w:rsid w:val="1ADA169B"/>
    <w:rsid w:val="1BA42BFC"/>
    <w:rsid w:val="1BE8440E"/>
    <w:rsid w:val="1D155CEE"/>
    <w:rsid w:val="1D8202F5"/>
    <w:rsid w:val="1E5B385B"/>
    <w:rsid w:val="1ED2479E"/>
    <w:rsid w:val="1FF35744"/>
    <w:rsid w:val="213C48BA"/>
    <w:rsid w:val="23860B96"/>
    <w:rsid w:val="240371BF"/>
    <w:rsid w:val="2665005D"/>
    <w:rsid w:val="29FD04D3"/>
    <w:rsid w:val="29FF78F4"/>
    <w:rsid w:val="2B62173A"/>
    <w:rsid w:val="2C8A61B5"/>
    <w:rsid w:val="2DF04E50"/>
    <w:rsid w:val="2EF54114"/>
    <w:rsid w:val="2F040D46"/>
    <w:rsid w:val="30EC3CCF"/>
    <w:rsid w:val="312D7FBC"/>
    <w:rsid w:val="319F7F4E"/>
    <w:rsid w:val="32CF2F6B"/>
    <w:rsid w:val="3304709D"/>
    <w:rsid w:val="348225B1"/>
    <w:rsid w:val="357566C2"/>
    <w:rsid w:val="36AA5135"/>
    <w:rsid w:val="3715036C"/>
    <w:rsid w:val="376D39B2"/>
    <w:rsid w:val="37E16F03"/>
    <w:rsid w:val="38D469F0"/>
    <w:rsid w:val="396159B3"/>
    <w:rsid w:val="3A584C46"/>
    <w:rsid w:val="3CC66044"/>
    <w:rsid w:val="3D98207C"/>
    <w:rsid w:val="3DAB26AF"/>
    <w:rsid w:val="3E78745D"/>
    <w:rsid w:val="40347C2B"/>
    <w:rsid w:val="4174214E"/>
    <w:rsid w:val="432702BD"/>
    <w:rsid w:val="43C5228D"/>
    <w:rsid w:val="44E268DA"/>
    <w:rsid w:val="454B2480"/>
    <w:rsid w:val="494B4C4F"/>
    <w:rsid w:val="4A627F82"/>
    <w:rsid w:val="4B0E749A"/>
    <w:rsid w:val="4B4F25DA"/>
    <w:rsid w:val="4BE068DB"/>
    <w:rsid w:val="4CF878D3"/>
    <w:rsid w:val="4D577224"/>
    <w:rsid w:val="4DDC3D9F"/>
    <w:rsid w:val="4E7D0D54"/>
    <w:rsid w:val="4EAB630A"/>
    <w:rsid w:val="4ECE2238"/>
    <w:rsid w:val="4FB30DD1"/>
    <w:rsid w:val="52D93326"/>
    <w:rsid w:val="537E6D0A"/>
    <w:rsid w:val="54F55170"/>
    <w:rsid w:val="570F1328"/>
    <w:rsid w:val="587B1239"/>
    <w:rsid w:val="5AF92295"/>
    <w:rsid w:val="5BBA168B"/>
    <w:rsid w:val="5C11003E"/>
    <w:rsid w:val="5CD71FC4"/>
    <w:rsid w:val="5E434E87"/>
    <w:rsid w:val="5F0568B0"/>
    <w:rsid w:val="5F530EF2"/>
    <w:rsid w:val="620C10EB"/>
    <w:rsid w:val="66A965E9"/>
    <w:rsid w:val="6700790A"/>
    <w:rsid w:val="67A17493"/>
    <w:rsid w:val="68DB5F16"/>
    <w:rsid w:val="696370F4"/>
    <w:rsid w:val="6B154601"/>
    <w:rsid w:val="6BA36C29"/>
    <w:rsid w:val="6C4A05C8"/>
    <w:rsid w:val="6C7A7686"/>
    <w:rsid w:val="6C883BE5"/>
    <w:rsid w:val="6D36583B"/>
    <w:rsid w:val="6E760FCA"/>
    <w:rsid w:val="6E7E3605"/>
    <w:rsid w:val="6FF5CC65"/>
    <w:rsid w:val="706305CE"/>
    <w:rsid w:val="715C0E4B"/>
    <w:rsid w:val="72734D90"/>
    <w:rsid w:val="73AD73D5"/>
    <w:rsid w:val="73B6EB34"/>
    <w:rsid w:val="744731E5"/>
    <w:rsid w:val="74653984"/>
    <w:rsid w:val="769F582D"/>
    <w:rsid w:val="76A63920"/>
    <w:rsid w:val="76E3355F"/>
    <w:rsid w:val="778769C8"/>
    <w:rsid w:val="798A03F3"/>
    <w:rsid w:val="79EE5BA4"/>
    <w:rsid w:val="7A894339"/>
    <w:rsid w:val="7B0D056F"/>
    <w:rsid w:val="7CCC504D"/>
    <w:rsid w:val="7D0C3FAC"/>
    <w:rsid w:val="7DDD290B"/>
    <w:rsid w:val="7E481FBB"/>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7"/>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600" w:lineRule="exact"/>
      <w:ind w:firstLine="600"/>
    </w:pPr>
    <w:rPr>
      <w:bCs/>
      <w:spacing w:val="-20"/>
      <w:sz w:val="30"/>
    </w:rPr>
  </w:style>
  <w:style w:type="paragraph" w:styleId="4">
    <w:name w:val="Normal Indent"/>
    <w:basedOn w:val="1"/>
    <w:semiHidden/>
    <w:unhideWhenUsed/>
    <w:qFormat/>
    <w:uiPriority w:val="99"/>
    <w:pPr>
      <w:ind w:firstLine="420" w:firstLineChars="200"/>
    </w:pPr>
  </w:style>
  <w:style w:type="paragraph" w:styleId="7">
    <w:name w:val="annotation text"/>
    <w:basedOn w:val="1"/>
    <w:semiHidden/>
    <w:unhideWhenUsed/>
    <w:qFormat/>
    <w:uiPriority w:val="99"/>
    <w:pPr>
      <w:jc w:val="left"/>
    </w:pPr>
  </w:style>
  <w:style w:type="paragraph" w:styleId="8">
    <w:name w:val="Body Text"/>
    <w:basedOn w:val="1"/>
    <w:next w:val="1"/>
    <w:link w:val="30"/>
    <w:qFormat/>
    <w:uiPriority w:val="99"/>
    <w:pPr>
      <w:spacing w:beforeLines="30"/>
    </w:pPr>
    <w:rPr>
      <w:rFonts w:ascii="仿宋_GB2312" w:eastAsia="仿宋_GB2312"/>
      <w:kern w:val="0"/>
      <w:sz w:val="30"/>
    </w:rPr>
  </w:style>
  <w:style w:type="paragraph" w:styleId="9">
    <w:name w:val="Body Text Indent"/>
    <w:basedOn w:val="1"/>
    <w:qFormat/>
    <w:uiPriority w:val="0"/>
    <w:pPr>
      <w:spacing w:after="120"/>
      <w:ind w:left="200" w:leftChars="200"/>
    </w:pPr>
    <w:rPr>
      <w:rFonts w:ascii="仿宋_GB2312"/>
      <w:szCs w:val="32"/>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6"/>
    <w:semiHidden/>
    <w:unhideWhenUsed/>
    <w:qFormat/>
    <w:uiPriority w:val="99"/>
    <w:rPr>
      <w:sz w:val="18"/>
      <w:szCs w:val="18"/>
    </w:rPr>
  </w:style>
  <w:style w:type="paragraph" w:styleId="12">
    <w:name w:val="footer"/>
    <w:basedOn w:val="1"/>
    <w:link w:val="28"/>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6"/>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unhideWhenUsed/>
    <w:qFormat/>
    <w:uiPriority w:val="99"/>
    <w:rPr>
      <w:sz w:val="24"/>
      <w:szCs w:val="24"/>
    </w:rPr>
  </w:style>
  <w:style w:type="paragraph" w:styleId="17">
    <w:name w:val="Body Text First Indent 2"/>
    <w:basedOn w:val="9"/>
    <w:unhideWhenUsed/>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图表目录1"/>
    <w:basedOn w:val="23"/>
    <w:next w:val="1"/>
    <w:qFormat/>
    <w:uiPriority w:val="99"/>
    <w:pPr>
      <w:ind w:left="200" w:leftChars="200" w:hanging="200" w:hangingChars="200"/>
    </w:pPr>
  </w:style>
  <w:style w:type="paragraph" w:customStyle="1" w:styleId="23">
    <w:name w:val="正文 New"/>
    <w:next w:val="2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24">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5">
    <w:name w:val="Header Char"/>
    <w:basedOn w:val="19"/>
    <w:semiHidden/>
    <w:qFormat/>
    <w:uiPriority w:val="99"/>
    <w:rPr>
      <w:rFonts w:ascii="Times New Roman" w:hAnsi="Times New Roman"/>
      <w:sz w:val="18"/>
      <w:szCs w:val="18"/>
    </w:rPr>
  </w:style>
  <w:style w:type="character" w:customStyle="1" w:styleId="26">
    <w:name w:val="页眉 字符"/>
    <w:link w:val="13"/>
    <w:semiHidden/>
    <w:qFormat/>
    <w:locked/>
    <w:uiPriority w:val="99"/>
    <w:rPr>
      <w:sz w:val="18"/>
    </w:rPr>
  </w:style>
  <w:style w:type="character" w:customStyle="1" w:styleId="27">
    <w:name w:val="Footer Char"/>
    <w:basedOn w:val="19"/>
    <w:semiHidden/>
    <w:qFormat/>
    <w:uiPriority w:val="99"/>
    <w:rPr>
      <w:rFonts w:ascii="Times New Roman" w:hAnsi="Times New Roman"/>
      <w:sz w:val="18"/>
      <w:szCs w:val="18"/>
    </w:rPr>
  </w:style>
  <w:style w:type="character" w:customStyle="1" w:styleId="28">
    <w:name w:val="页脚 字符"/>
    <w:link w:val="12"/>
    <w:qFormat/>
    <w:locked/>
    <w:uiPriority w:val="99"/>
    <w:rPr>
      <w:sz w:val="18"/>
    </w:rPr>
  </w:style>
  <w:style w:type="character" w:customStyle="1" w:styleId="29">
    <w:name w:val="Body Text Char"/>
    <w:basedOn w:val="19"/>
    <w:semiHidden/>
    <w:qFormat/>
    <w:uiPriority w:val="99"/>
    <w:rPr>
      <w:rFonts w:ascii="Times New Roman" w:hAnsi="Times New Roman"/>
      <w:szCs w:val="24"/>
    </w:rPr>
  </w:style>
  <w:style w:type="character" w:customStyle="1" w:styleId="30">
    <w:name w:val="正文文本 字符"/>
    <w:link w:val="8"/>
    <w:qFormat/>
    <w:locked/>
    <w:uiPriority w:val="99"/>
    <w:rPr>
      <w:rFonts w:ascii="仿宋_GB2312" w:hAnsi="Times New Roman" w:eastAsia="仿宋_GB2312"/>
      <w:sz w:val="24"/>
    </w:rPr>
  </w:style>
  <w:style w:type="paragraph" w:customStyle="1" w:styleId="3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2">
    <w:name w:val="List Paragraph"/>
    <w:basedOn w:val="1"/>
    <w:qFormat/>
    <w:uiPriority w:val="34"/>
    <w:pPr>
      <w:ind w:firstLine="420" w:firstLineChars="200"/>
    </w:pPr>
  </w:style>
  <w:style w:type="character" w:customStyle="1" w:styleId="33">
    <w:name w:val="标题 1 字符"/>
    <w:basedOn w:val="19"/>
    <w:link w:val="3"/>
    <w:qFormat/>
    <w:uiPriority w:val="9"/>
    <w:rPr>
      <w:rFonts w:ascii="Times New Roman" w:hAnsi="Times New Roman"/>
      <w:b/>
      <w:bCs/>
      <w:kern w:val="44"/>
      <w:sz w:val="44"/>
      <w:szCs w:val="44"/>
    </w:rPr>
  </w:style>
  <w:style w:type="character" w:customStyle="1" w:styleId="34">
    <w:name w:val="标题 2 字符"/>
    <w:basedOn w:val="19"/>
    <w:link w:val="5"/>
    <w:qFormat/>
    <w:uiPriority w:val="9"/>
    <w:rPr>
      <w:rFonts w:asciiTheme="majorHAnsi" w:hAnsiTheme="majorHAnsi" w:eastAsiaTheme="majorEastAsia" w:cstheme="majorBidi"/>
      <w:b/>
      <w:bCs/>
      <w:kern w:val="2"/>
      <w:sz w:val="32"/>
      <w:szCs w:val="32"/>
    </w:r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字符"/>
    <w:basedOn w:val="19"/>
    <w:link w:val="11"/>
    <w:semiHidden/>
    <w:qFormat/>
    <w:uiPriority w:val="99"/>
    <w:rPr>
      <w:rFonts w:ascii="Times New Roman" w:hAnsi="Times New Roman"/>
      <w:kern w:val="2"/>
      <w:sz w:val="18"/>
      <w:szCs w:val="18"/>
    </w:rPr>
  </w:style>
  <w:style w:type="character" w:customStyle="1" w:styleId="37">
    <w:name w:val="标题 3 字符"/>
    <w:basedOn w:val="19"/>
    <w:link w:val="6"/>
    <w:qFormat/>
    <w:uiPriority w:val="9"/>
    <w:rPr>
      <w:rFonts w:ascii="Times New Roman" w:hAnsi="Times New Roman"/>
      <w:b/>
      <w:bCs/>
      <w:kern w:val="2"/>
      <w:sz w:val="32"/>
      <w:szCs w:val="32"/>
    </w:rPr>
  </w:style>
  <w:style w:type="paragraph" w:customStyle="1" w:styleId="38">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9">
    <w:name w:val="四号正文"/>
    <w:basedOn w:val="1"/>
    <w:qFormat/>
    <w:uiPriority w:val="0"/>
    <w:pPr>
      <w:spacing w:line="360" w:lineRule="auto"/>
    </w:pPr>
    <w:rPr>
      <w:rFonts w:ascii="??" w:hAnsi="??"/>
      <w:color w:val="000000"/>
      <w:kern w:val="0"/>
      <w:sz w:val="28"/>
      <w:szCs w:val="21"/>
      <w:lang w:val="zh-CN"/>
    </w:rPr>
  </w:style>
  <w:style w:type="paragraph" w:customStyle="1" w:styleId="40">
    <w:name w:val="列出段落1"/>
    <w:basedOn w:val="1"/>
    <w:qFormat/>
    <w:uiPriority w:val="0"/>
    <w:pPr>
      <w:ind w:firstLine="420" w:firstLineChars="200"/>
    </w:pPr>
    <w:rPr>
      <w:rFonts w:eastAsia="宋体" w:cs="Calibri"/>
      <w:sz w:val="21"/>
      <w:szCs w:val="21"/>
    </w:rPr>
  </w:style>
  <w:style w:type="paragraph" w:customStyle="1" w:styleId="41">
    <w:name w:val="Normal Indent"/>
    <w:basedOn w:val="1"/>
    <w:qFormat/>
    <w:uiPriority w:val="0"/>
    <w:pPr>
      <w:autoSpaceDE w:val="0"/>
      <w:autoSpaceDN w:val="0"/>
      <w:adjustRightInd w:val="0"/>
      <w:spacing w:line="240" w:lineRule="atLeast"/>
      <w:ind w:left="567" w:firstLine="567"/>
    </w:pPr>
    <w:rPr>
      <w:rFonts w:ascii="宋体" w:hAnsi="Times New Roman" w:eastAsia="仿宋_GB2312"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4</TotalTime>
  <ScaleCrop>false</ScaleCrop>
  <LinksUpToDate>false</LinksUpToDate>
  <CharactersWithSpaces>7955</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DELL678</cp:lastModifiedBy>
  <cp:lastPrinted>2023-07-31T02:35:00Z</cp:lastPrinted>
  <dcterms:modified xsi:type="dcterms:W3CDTF">2023-11-01T00:59:47Z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A683B0ED30724B51AD6C64FBF4887DA3</vt:lpwstr>
  </property>
</Properties>
</file>