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jc w:val="center"/>
        <w:textAlignment w:val="auto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乐至县就业服务管理局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jc w:val="center"/>
        <w:textAlignment w:val="auto"/>
        <w:rPr>
          <w:rFonts w:ascii="黑体" w:eastAsia="黑体"/>
          <w:spacing w:val="40"/>
          <w:sz w:val="32"/>
          <w:szCs w:val="32"/>
        </w:rPr>
      </w:pPr>
      <w:r>
        <w:rPr>
          <w:rFonts w:hint="eastAsia" w:ascii="黑体" w:eastAsia="黑体"/>
          <w:spacing w:val="40"/>
          <w:sz w:val="44"/>
          <w:szCs w:val="44"/>
        </w:rPr>
        <w:t>202</w:t>
      </w:r>
      <w:r>
        <w:rPr>
          <w:rFonts w:hint="eastAsia" w:ascii="黑体" w:eastAsia="黑体"/>
          <w:spacing w:val="40"/>
          <w:sz w:val="44"/>
          <w:szCs w:val="44"/>
          <w:lang w:val="en-US" w:eastAsia="zh-CN"/>
        </w:rPr>
        <w:t>3</w:t>
      </w:r>
      <w:r>
        <w:rPr>
          <w:rFonts w:hint="eastAsia" w:ascii="黑体" w:eastAsia="黑体"/>
          <w:spacing w:val="40"/>
          <w:sz w:val="44"/>
          <w:szCs w:val="44"/>
        </w:rPr>
        <w:t>年部门预算情况说明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县就业局是财政全额拨款的参照公务员法管理的事业单位</w:t>
      </w:r>
      <w:r>
        <w:rPr>
          <w:rFonts w:hint="eastAsia" w:ascii="仿宋_GB2312" w:hAnsi="Cambria" w:eastAsia="仿宋_GB2312"/>
          <w:sz w:val="32"/>
          <w:szCs w:val="32"/>
        </w:rPr>
        <w:t>，总编制12名，全为参公编制，</w:t>
      </w:r>
      <w:r>
        <w:rPr>
          <w:rFonts w:hint="eastAsia" w:ascii="仿宋_GB2312" w:eastAsia="仿宋_GB2312"/>
          <w:sz w:val="32"/>
          <w:szCs w:val="32"/>
        </w:rPr>
        <w:t>实有在职在编人员</w:t>
      </w:r>
      <w:r>
        <w:rPr>
          <w:rFonts w:hint="eastAsia" w:ascii="黑体" w:hAnsi="Cambria" w:eastAsia="黑体"/>
          <w:sz w:val="32"/>
          <w:szCs w:val="32"/>
        </w:rPr>
        <w:t>1</w:t>
      </w:r>
      <w:r>
        <w:rPr>
          <w:rFonts w:hint="eastAsia" w:ascii="黑体" w:hAnsi="Cambria" w:eastAsia="黑体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人，其中：参照公务员法管理的事业人员</w:t>
      </w:r>
      <w:r>
        <w:rPr>
          <w:rFonts w:hint="eastAsia" w:ascii="黑体" w:hAnsi="Cambria" w:eastAsia="黑体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人，公务员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人。退休职工</w:t>
      </w:r>
      <w:r>
        <w:rPr>
          <w:rFonts w:hint="eastAsia" w:ascii="黑体" w:hAnsi="Cambria" w:eastAsia="黑体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主要职责：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统筹城乡劳动力就业再就业</w:t>
      </w:r>
      <w:r>
        <w:rPr>
          <w:rFonts w:hint="eastAsia" w:ascii="仿宋_GB2312" w:hAnsi="仿宋_GB2312" w:eastAsia="仿宋_GB2312" w:cs="仿宋_GB2312"/>
          <w:sz w:val="32"/>
          <w:szCs w:val="32"/>
        </w:rPr>
        <w:t>、就业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服务</w:t>
      </w:r>
      <w:r>
        <w:rPr>
          <w:rFonts w:hint="eastAsia" w:ascii="仿宋_GB2312" w:hAnsi="仿宋_GB2312" w:eastAsia="仿宋_GB2312" w:cs="仿宋_GB2312"/>
          <w:sz w:val="32"/>
          <w:szCs w:val="32"/>
        </w:rPr>
        <w:t>、失业保险、职业培训、职业介绍、劳动服务企业管理、社区就业服务管理、民工有序化流动管理、创新创业、藏区“</w:t>
      </w:r>
      <w:r>
        <w:rPr>
          <w:rFonts w:hint="eastAsia" w:ascii="黑体" w:hAnsi="黑体" w:eastAsia="黑体" w:cs="黑体"/>
          <w:sz w:val="32"/>
          <w:szCs w:val="32"/>
        </w:rPr>
        <w:t>9+3</w:t>
      </w:r>
      <w:r>
        <w:rPr>
          <w:rFonts w:hint="eastAsia" w:ascii="仿宋_GB2312" w:hAnsi="仿宋_GB2312" w:eastAsia="仿宋_GB2312" w:cs="仿宋_GB2312"/>
          <w:sz w:val="32"/>
          <w:szCs w:val="32"/>
        </w:rPr>
        <w:t>”、就业扶贫、基层平台建设等。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一、202</w:t>
      </w:r>
      <w:r>
        <w:rPr>
          <w:rFonts w:hint="eastAsia" w:ascii="黑体" w:hAnsi="宋体" w:eastAsia="黑体"/>
          <w:sz w:val="32"/>
          <w:szCs w:val="32"/>
          <w:lang w:val="en-US" w:eastAsia="zh-CN"/>
        </w:rPr>
        <w:t>3</w:t>
      </w:r>
      <w:r>
        <w:rPr>
          <w:rFonts w:hint="eastAsia" w:ascii="黑体" w:hAnsi="宋体" w:eastAsia="黑体"/>
          <w:sz w:val="32"/>
          <w:szCs w:val="32"/>
        </w:rPr>
        <w:t>年部门预算收入与支出情况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202</w:t>
      </w:r>
      <w:r>
        <w:rPr>
          <w:rFonts w:hint="eastAsia" w:ascii="黑体" w:eastAsia="黑体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年部门预算收入总额为</w:t>
      </w:r>
      <w:r>
        <w:rPr>
          <w:rFonts w:hint="eastAsia" w:ascii="黑体" w:eastAsia="黑体"/>
          <w:sz w:val="32"/>
          <w:szCs w:val="32"/>
        </w:rPr>
        <w:t>193.96</w:t>
      </w:r>
      <w:r>
        <w:rPr>
          <w:rFonts w:hint="eastAsia" w:ascii="仿宋_GB2312" w:eastAsia="仿宋_GB2312"/>
          <w:sz w:val="32"/>
          <w:szCs w:val="32"/>
        </w:rPr>
        <w:t>万元，较</w:t>
      </w:r>
      <w:r>
        <w:rPr>
          <w:rFonts w:hint="eastAsia" w:ascii="黑体" w:hAnsi="Cambria" w:eastAsia="黑体"/>
          <w:sz w:val="32"/>
          <w:szCs w:val="32"/>
        </w:rPr>
        <w:t>202</w:t>
      </w:r>
      <w:r>
        <w:rPr>
          <w:rFonts w:hint="eastAsia" w:ascii="黑体" w:hAnsi="Cambria" w:eastAsia="黑体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年部门预算收入总</w:t>
      </w:r>
      <w:r>
        <w:rPr>
          <w:rFonts w:hint="eastAsia" w:ascii="仿宋_GB2312" w:eastAsia="仿宋_GB2312"/>
          <w:sz w:val="32"/>
          <w:szCs w:val="32"/>
          <w:lang w:eastAsia="zh-CN"/>
        </w:rPr>
        <w:t>额</w:t>
      </w:r>
      <w:r>
        <w:rPr>
          <w:rFonts w:hint="eastAsia" w:ascii="黑体" w:eastAsia="黑体"/>
          <w:sz w:val="32"/>
          <w:szCs w:val="32"/>
        </w:rPr>
        <w:t>1</w:t>
      </w:r>
      <w:r>
        <w:rPr>
          <w:rFonts w:hint="eastAsia" w:ascii="黑体" w:eastAsia="黑体"/>
          <w:sz w:val="32"/>
          <w:szCs w:val="32"/>
          <w:lang w:val="en-US" w:eastAsia="zh-CN"/>
        </w:rPr>
        <w:t>27.25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eastAsia="zh-CN"/>
        </w:rPr>
        <w:t>增加</w:t>
      </w:r>
      <w:r>
        <w:rPr>
          <w:rFonts w:hint="eastAsia" w:ascii="黑体" w:eastAsia="黑体"/>
          <w:sz w:val="32"/>
          <w:szCs w:val="32"/>
          <w:lang w:val="en-US" w:eastAsia="zh-CN"/>
        </w:rPr>
        <w:t>66.71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eastAsia="zh-CN"/>
        </w:rPr>
        <w:t>增加</w:t>
      </w:r>
      <w:r>
        <w:rPr>
          <w:rFonts w:hint="eastAsia" w:ascii="黑体" w:eastAsia="黑体"/>
          <w:sz w:val="32"/>
          <w:szCs w:val="32"/>
          <w:lang w:val="en-US" w:eastAsia="zh-CN"/>
        </w:rPr>
        <w:t>52.42</w:t>
      </w:r>
      <w:r>
        <w:rPr>
          <w:rFonts w:hint="eastAsia" w:ascii="黑体" w:hAnsi="Cambria" w:eastAsia="黑体"/>
          <w:sz w:val="32"/>
          <w:szCs w:val="32"/>
        </w:rPr>
        <w:t>%，</w:t>
      </w:r>
      <w:r>
        <w:rPr>
          <w:rFonts w:hint="eastAsia" w:ascii="仿宋_GB2312" w:eastAsia="仿宋_GB2312"/>
          <w:sz w:val="32"/>
          <w:szCs w:val="32"/>
        </w:rPr>
        <w:t>其主要原因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人员晋级晋档、住房公积金、基础性绩效奖励及各类保险增加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等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黑体" w:hAnsi="黑体" w:eastAsia="黑体" w:cs="黑体"/>
          <w:sz w:val="32"/>
          <w:szCs w:val="32"/>
        </w:rPr>
        <w:t>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年部门预算支出总</w:t>
      </w:r>
      <w:r>
        <w:rPr>
          <w:rFonts w:hint="eastAsia" w:ascii="仿宋_GB2312" w:eastAsia="仿宋_GB2312"/>
          <w:sz w:val="32"/>
          <w:szCs w:val="32"/>
          <w:lang w:eastAsia="zh-CN"/>
        </w:rPr>
        <w:t>额</w:t>
      </w:r>
      <w:r>
        <w:rPr>
          <w:rFonts w:hint="eastAsia" w:ascii="黑体" w:eastAsia="黑体"/>
          <w:sz w:val="32"/>
          <w:szCs w:val="32"/>
        </w:rPr>
        <w:t>193.96</w:t>
      </w:r>
      <w:r>
        <w:rPr>
          <w:rFonts w:hint="eastAsia" w:ascii="仿宋_GB2312" w:eastAsia="仿宋_GB2312"/>
          <w:sz w:val="32"/>
          <w:szCs w:val="32"/>
        </w:rPr>
        <w:t>万元，较</w:t>
      </w:r>
      <w:r>
        <w:rPr>
          <w:rFonts w:hint="eastAsia" w:ascii="黑体" w:hAnsi="黑体" w:eastAsia="黑体" w:cs="黑体"/>
          <w:sz w:val="32"/>
          <w:szCs w:val="32"/>
        </w:rPr>
        <w:t>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年部门预算支出总</w:t>
      </w:r>
      <w:r>
        <w:rPr>
          <w:rFonts w:hint="eastAsia" w:ascii="仿宋_GB2312" w:eastAsia="仿宋_GB2312"/>
          <w:sz w:val="32"/>
          <w:szCs w:val="32"/>
          <w:lang w:eastAsia="zh-CN"/>
        </w:rPr>
        <w:t>额</w:t>
      </w:r>
      <w:r>
        <w:rPr>
          <w:rFonts w:hint="eastAsia" w:ascii="黑体" w:eastAsia="黑体"/>
          <w:sz w:val="32"/>
          <w:szCs w:val="32"/>
        </w:rPr>
        <w:t>1</w:t>
      </w:r>
      <w:r>
        <w:rPr>
          <w:rFonts w:hint="eastAsia" w:ascii="黑体" w:eastAsia="黑体"/>
          <w:sz w:val="32"/>
          <w:szCs w:val="32"/>
          <w:lang w:val="en-US" w:eastAsia="zh-CN"/>
        </w:rPr>
        <w:t>27.25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eastAsia="zh-CN"/>
        </w:rPr>
        <w:t>增加</w:t>
      </w:r>
      <w:r>
        <w:rPr>
          <w:rFonts w:hint="eastAsia" w:ascii="黑体" w:eastAsia="黑体"/>
          <w:sz w:val="32"/>
          <w:szCs w:val="32"/>
          <w:lang w:val="en-US" w:eastAsia="zh-CN"/>
        </w:rPr>
        <w:t>66.71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eastAsia="zh-CN"/>
        </w:rPr>
        <w:t>增加</w:t>
      </w:r>
      <w:r>
        <w:rPr>
          <w:rFonts w:hint="eastAsia" w:ascii="黑体" w:eastAsia="黑体"/>
          <w:sz w:val="32"/>
          <w:szCs w:val="32"/>
          <w:lang w:val="en-US" w:eastAsia="zh-CN"/>
        </w:rPr>
        <w:t>52.42</w:t>
      </w:r>
      <w:r>
        <w:rPr>
          <w:rFonts w:hint="eastAsia" w:ascii="黑体" w:hAnsi="Cambria" w:eastAsia="黑体"/>
          <w:sz w:val="32"/>
          <w:szCs w:val="32"/>
        </w:rPr>
        <w:t>%</w:t>
      </w:r>
      <w:r>
        <w:rPr>
          <w:rFonts w:hint="eastAsia" w:ascii="仿宋_GB2312" w:eastAsia="仿宋_GB2312"/>
          <w:sz w:val="32"/>
          <w:szCs w:val="32"/>
        </w:rPr>
        <w:t>。全为基本支出，无项目支出。</w:t>
      </w:r>
    </w:p>
    <w:p>
      <w:pPr>
        <w:pStyle w:val="7"/>
        <w:keepNext w:val="0"/>
        <w:keepLines w:val="0"/>
        <w:pageBreakBefore w:val="0"/>
        <w:widowControl w:val="0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textAlignment w:val="auto"/>
        <w:rPr>
          <w:rFonts w:ascii="黑体" w:hAnsi="黑体" w:eastAsia="黑体" w:cs="黑体"/>
          <w:kern w:val="2"/>
          <w:sz w:val="32"/>
          <w:szCs w:val="32"/>
        </w:rPr>
      </w:pPr>
      <w:r>
        <w:rPr>
          <w:rFonts w:hint="eastAsia" w:ascii="黑体" w:eastAsia="黑体" w:cs="Times New Roman"/>
          <w:kern w:val="2"/>
          <w:sz w:val="32"/>
          <w:szCs w:val="32"/>
          <w:lang w:eastAsia="zh-CN"/>
        </w:rPr>
        <w:t>二</w:t>
      </w:r>
      <w:r>
        <w:rPr>
          <w:rFonts w:hint="eastAsia" w:ascii="黑体" w:eastAsia="黑体" w:cs="Times New Roman"/>
          <w:kern w:val="2"/>
          <w:sz w:val="32"/>
          <w:szCs w:val="32"/>
        </w:rPr>
        <w:t>、</w:t>
      </w:r>
      <w:r>
        <w:rPr>
          <w:rFonts w:hint="eastAsia" w:ascii="黑体" w:hAnsi="黑体" w:eastAsia="黑体" w:cs="黑体"/>
          <w:kern w:val="2"/>
          <w:sz w:val="32"/>
          <w:szCs w:val="32"/>
        </w:rPr>
        <w:t>202</w:t>
      </w:r>
      <w:r>
        <w:rPr>
          <w:rFonts w:hint="eastAsia" w:ascii="黑体" w:hAnsi="黑体" w:eastAsia="黑体" w:cs="黑体"/>
          <w:kern w:val="2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kern w:val="2"/>
          <w:sz w:val="32"/>
          <w:szCs w:val="32"/>
        </w:rPr>
        <w:t>年拟开展的主要工作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80" w:lineRule="exact"/>
        <w:ind w:firstLine="643" w:firstLineChars="200"/>
        <w:jc w:val="both"/>
        <w:textAlignment w:val="auto"/>
        <w:rPr>
          <w:rFonts w:hint="default" w:ascii="Times New Roman" w:hAnsi="Times New Roman" w:eastAsia="方正仿宋简体" w:cs="Times New Roman"/>
          <w:bCs/>
          <w:kern w:val="59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简体" w:cs="Times New Roman"/>
          <w:b/>
          <w:color w:val="auto"/>
          <w:kern w:val="2"/>
          <w:sz w:val="32"/>
          <w:szCs w:val="32"/>
          <w:lang w:val="en-US" w:eastAsia="zh-CN" w:bidi="ar-SA"/>
        </w:rPr>
        <w:t>（一）用心服务，推动公共就业服务提质提量。</w:t>
      </w:r>
      <w:r>
        <w:rPr>
          <w:rFonts w:hint="default" w:ascii="Times New Roman" w:hAnsi="Times New Roman" w:eastAsia="方正仿宋简体" w:cs="Times New Roman"/>
          <w:bCs/>
          <w:kern w:val="59"/>
          <w:sz w:val="32"/>
          <w:szCs w:val="32"/>
          <w:lang w:val="en-US" w:eastAsia="zh-CN" w:bidi="ar-SA"/>
        </w:rPr>
        <w:t>坚持优化营商环境、提升服务质量，全面简化公共就业服务事项办理流程，着力发挥人社基层服务平台作用，让数据多跑路、群众少跑路，实现办事群众“最多跑一次”</w:t>
      </w:r>
      <w:r>
        <w:rPr>
          <w:rFonts w:hint="eastAsia" w:ascii="Times New Roman" w:hAnsi="Times New Roman" w:eastAsia="方正仿宋简体" w:cs="Times New Roman"/>
          <w:bCs/>
          <w:kern w:val="59"/>
          <w:sz w:val="32"/>
          <w:szCs w:val="32"/>
          <w:lang w:val="en-US" w:eastAsia="zh-CN" w:bidi="ar-SA"/>
        </w:rPr>
        <w:t>；</w:t>
      </w:r>
      <w:r>
        <w:rPr>
          <w:rFonts w:hint="default" w:ascii="Times New Roman" w:hAnsi="Times New Roman" w:eastAsia="方正仿宋简体" w:cs="Times New Roman"/>
          <w:bCs/>
          <w:kern w:val="59"/>
          <w:sz w:val="32"/>
          <w:szCs w:val="32"/>
          <w:lang w:val="en-US" w:eastAsia="zh-CN" w:bidi="ar-SA"/>
        </w:rPr>
        <w:t>进一步优化公共就业服务职能，持续开展职业指导和职业介绍进社区活动，利用专业知识和热情服务，帮助劳动者摈弃消极等待思想、建立正确就业观，实现稳定现实的就业</w:t>
      </w:r>
      <w:r>
        <w:rPr>
          <w:rFonts w:hint="eastAsia" w:ascii="Times New Roman" w:hAnsi="Times New Roman" w:eastAsia="方正仿宋简体" w:cs="Times New Roman"/>
          <w:bCs/>
          <w:kern w:val="59"/>
          <w:sz w:val="32"/>
          <w:szCs w:val="32"/>
          <w:lang w:val="en-US" w:eastAsia="zh-CN" w:bidi="ar-SA"/>
        </w:rPr>
        <w:t>；</w:t>
      </w:r>
      <w:r>
        <w:rPr>
          <w:rFonts w:hint="default" w:ascii="Times New Roman" w:hAnsi="Times New Roman" w:eastAsia="方正仿宋简体" w:cs="Times New Roman"/>
          <w:bCs/>
          <w:kern w:val="59"/>
          <w:sz w:val="32"/>
          <w:szCs w:val="32"/>
          <w:lang w:val="en-US" w:eastAsia="zh-CN" w:bidi="ar-SA"/>
        </w:rPr>
        <w:t>持续开展</w:t>
      </w:r>
      <w:r>
        <w:rPr>
          <w:rFonts w:hint="eastAsia" w:ascii="Times New Roman" w:hAnsi="Times New Roman" w:eastAsia="方正仿宋简体" w:cs="Times New Roman"/>
          <w:bCs/>
          <w:kern w:val="59"/>
          <w:sz w:val="32"/>
          <w:szCs w:val="32"/>
          <w:lang w:val="en-US" w:eastAsia="zh-CN" w:bidi="ar-SA"/>
        </w:rPr>
        <w:t>“春风行动”“</w:t>
      </w:r>
      <w:r>
        <w:rPr>
          <w:rFonts w:hint="default" w:ascii="Times New Roman" w:hAnsi="Times New Roman" w:eastAsia="方正仿宋简体" w:cs="Times New Roman"/>
          <w:bCs/>
          <w:kern w:val="59"/>
          <w:sz w:val="32"/>
          <w:szCs w:val="32"/>
          <w:lang w:val="en-US" w:eastAsia="zh-CN" w:bidi="ar-SA"/>
        </w:rPr>
        <w:t>金秋招聘月</w:t>
      </w:r>
      <w:r>
        <w:rPr>
          <w:rFonts w:hint="eastAsia" w:ascii="Times New Roman" w:hAnsi="Times New Roman" w:eastAsia="方正仿宋简体" w:cs="Times New Roman"/>
          <w:bCs/>
          <w:kern w:val="59"/>
          <w:sz w:val="32"/>
          <w:szCs w:val="32"/>
          <w:lang w:val="en-US" w:eastAsia="zh-CN" w:bidi="ar-SA"/>
        </w:rPr>
        <w:t>”</w:t>
      </w:r>
      <w:r>
        <w:rPr>
          <w:rFonts w:hint="default" w:ascii="Times New Roman" w:hAnsi="Times New Roman" w:eastAsia="方正仿宋简体" w:cs="Times New Roman"/>
          <w:bCs/>
          <w:kern w:val="59"/>
          <w:sz w:val="32"/>
          <w:szCs w:val="32"/>
          <w:lang w:val="en-US" w:eastAsia="zh-CN" w:bidi="ar-SA"/>
        </w:rPr>
        <w:t>等线上线下招聘和岗位推送等活动，缓解“就业难、招工难”双向矛盾。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560" w:lineRule="exact"/>
        <w:ind w:left="0" w:leftChars="0" w:firstLine="643" w:firstLineChars="200"/>
        <w:jc w:val="both"/>
        <w:textAlignment w:val="auto"/>
        <w:rPr>
          <w:rFonts w:hint="default" w:ascii="Times New Roman" w:hAnsi="Times New Roman" w:eastAsia="方正仿宋简体" w:cs="Times New Roman"/>
          <w:bCs/>
          <w:kern w:val="59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简体" w:cs="Times New Roman"/>
          <w:b/>
          <w:color w:val="auto"/>
          <w:kern w:val="2"/>
          <w:sz w:val="32"/>
          <w:szCs w:val="32"/>
          <w:lang w:val="en-US" w:eastAsia="zh-CN" w:bidi="ar-SA"/>
        </w:rPr>
        <w:t>（二）用情服务，确保职业能力建设科学高效。</w:t>
      </w:r>
      <w:r>
        <w:rPr>
          <w:rFonts w:hint="default" w:ascii="Times New Roman" w:hAnsi="Times New Roman" w:eastAsia="方正仿宋简体" w:cs="Times New Roman"/>
          <w:bCs/>
          <w:kern w:val="59"/>
          <w:sz w:val="32"/>
          <w:szCs w:val="32"/>
          <w:lang w:val="en-US" w:eastAsia="zh-CN" w:bidi="ar-SA"/>
        </w:rPr>
        <w:t>积极引导县内外职业培训学校，扩充培训项目库，鼓励培训机构结合乡村振兴、新就业形态，探索开设新媒体运营、短视频制作、农旅结合产业发展等职业技能提升培训课程；按照培训管理办法合理、合法、合规开班，全面运用监管平台，确保培训课程设置科学、课时安排合理、考核成绩真实、培训成果有效；坚持县人社局牵头监管、乡镇（街道）人社服务平台狠抓落实、培训学校密切配合的培训模式，对缺乏劳动技能的脱贫家庭子女、城镇登记失业人员等五类人员，根据其摸底意愿全覆盖进行针对性技能培训，不断提升其劳动技能，提高其普通工作岗位适应能力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ind w:left="0" w:leftChars="0" w:firstLine="643" w:firstLineChars="200"/>
        <w:jc w:val="both"/>
        <w:textAlignment w:val="auto"/>
        <w:rPr>
          <w:rFonts w:hint="default" w:ascii="Times New Roman" w:hAnsi="Times New Roman" w:eastAsia="方正仿宋简体" w:cs="Times New Roman"/>
          <w:bCs/>
          <w:kern w:val="59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简体" w:cs="Times New Roman"/>
          <w:b/>
          <w:color w:val="auto"/>
          <w:kern w:val="2"/>
          <w:sz w:val="32"/>
          <w:szCs w:val="32"/>
          <w:lang w:val="en-US" w:eastAsia="zh-CN" w:bidi="ar-SA"/>
        </w:rPr>
        <w:t>（三）聚焦难点，切实保障重点人群就业质量。</w:t>
      </w:r>
      <w:r>
        <w:rPr>
          <w:rFonts w:hint="default" w:ascii="Times New Roman" w:hAnsi="Times New Roman" w:eastAsia="方正仿宋简体" w:cs="Times New Roman"/>
          <w:bCs/>
          <w:kern w:val="59"/>
          <w:sz w:val="32"/>
          <w:szCs w:val="32"/>
          <w:lang w:val="en-US" w:eastAsia="zh-CN" w:bidi="ar-SA"/>
        </w:rPr>
        <w:t>持续开展为就业重点人群提供1次就业指导、3次岗位推荐、1次就业见习或技能培训机会的“1311”就业服务专项行动，全方位保障重点</w:t>
      </w:r>
      <w:r>
        <w:rPr>
          <w:rFonts w:hint="eastAsia" w:eastAsia="方正仿宋简体" w:cs="Times New Roman"/>
          <w:bCs/>
          <w:kern w:val="59"/>
          <w:sz w:val="32"/>
          <w:szCs w:val="32"/>
          <w:lang w:val="en-US" w:eastAsia="zh-CN" w:bidi="ar-SA"/>
        </w:rPr>
        <w:t>群众</w:t>
      </w:r>
      <w:r>
        <w:rPr>
          <w:rFonts w:hint="default" w:ascii="Times New Roman" w:hAnsi="Times New Roman" w:eastAsia="方正仿宋简体" w:cs="Times New Roman"/>
          <w:bCs/>
          <w:kern w:val="59"/>
          <w:sz w:val="32"/>
          <w:szCs w:val="32"/>
          <w:lang w:val="en-US" w:eastAsia="zh-CN" w:bidi="ar-SA"/>
        </w:rPr>
        <w:t>实现更高质量更加充分就业。</w:t>
      </w: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  <w:t>一是千方百计促进大学生就业。</w:t>
      </w:r>
      <w:r>
        <w:rPr>
          <w:rFonts w:hint="default" w:ascii="Times New Roman" w:hAnsi="Times New Roman" w:eastAsia="方正仿宋简体" w:cs="Times New Roman"/>
          <w:bCs/>
          <w:kern w:val="59"/>
          <w:sz w:val="32"/>
          <w:szCs w:val="32"/>
          <w:lang w:val="en-US" w:eastAsia="zh-CN" w:bidi="ar-SA"/>
        </w:rPr>
        <w:t>持续收集未就业高校毕业生信息，用心用情做好未就业高校毕业生“一对一”就业指导服务、择业观念教育、就业帮扶</w:t>
      </w:r>
      <w:r>
        <w:rPr>
          <w:rFonts w:hint="eastAsia" w:eastAsia="方正仿宋简体" w:cs="Times New Roman"/>
          <w:bCs/>
          <w:kern w:val="59"/>
          <w:sz w:val="32"/>
          <w:szCs w:val="32"/>
          <w:lang w:val="en-US" w:eastAsia="zh-CN" w:bidi="ar-SA"/>
        </w:rPr>
        <w:t>等工作</w:t>
      </w:r>
      <w:r>
        <w:rPr>
          <w:rFonts w:hint="default" w:ascii="Times New Roman" w:hAnsi="Times New Roman" w:eastAsia="方正仿宋简体" w:cs="Times New Roman"/>
          <w:bCs/>
          <w:kern w:val="59"/>
          <w:sz w:val="32"/>
          <w:szCs w:val="32"/>
          <w:lang w:val="en-US" w:eastAsia="zh-CN" w:bidi="ar-SA"/>
        </w:rPr>
        <w:t>，推进我县高校毕业生更加高质量就业</w:t>
      </w:r>
      <w:r>
        <w:rPr>
          <w:rFonts w:hint="eastAsia" w:eastAsia="方正仿宋简体" w:cs="Times New Roman"/>
          <w:bCs/>
          <w:kern w:val="59"/>
          <w:sz w:val="32"/>
          <w:szCs w:val="32"/>
          <w:lang w:val="en-US" w:eastAsia="zh-CN" w:bidi="ar-SA"/>
        </w:rPr>
        <w:t>，</w:t>
      </w:r>
      <w:r>
        <w:rPr>
          <w:rFonts w:hint="default" w:ascii="Times New Roman" w:hAnsi="Times New Roman" w:eastAsia="方正仿宋简体" w:cs="Times New Roman"/>
          <w:bCs/>
          <w:kern w:val="59"/>
          <w:sz w:val="32"/>
          <w:szCs w:val="32"/>
          <w:lang w:val="en-US" w:eastAsia="zh-CN" w:bidi="ar-SA"/>
        </w:rPr>
        <w:t>确保年底离校未就业高校毕业生联系率达到95%以上</w:t>
      </w:r>
      <w:r>
        <w:rPr>
          <w:rFonts w:hint="eastAsia" w:eastAsia="方正仿宋简体" w:cs="Times New Roman"/>
          <w:bCs/>
          <w:kern w:val="59"/>
          <w:sz w:val="32"/>
          <w:szCs w:val="32"/>
          <w:lang w:val="en-US" w:eastAsia="zh-CN" w:bidi="ar-SA"/>
        </w:rPr>
        <w:t>、</w:t>
      </w:r>
      <w:r>
        <w:rPr>
          <w:rFonts w:hint="default" w:ascii="Times New Roman" w:hAnsi="Times New Roman" w:eastAsia="方正仿宋简体" w:cs="Times New Roman"/>
          <w:bCs/>
          <w:kern w:val="59"/>
          <w:sz w:val="32"/>
          <w:szCs w:val="32"/>
          <w:lang w:val="en-US" w:eastAsia="zh-CN" w:bidi="ar-SA"/>
        </w:rPr>
        <w:t>就业率达到90%以上。</w:t>
      </w: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  <w:t>二是想方设法兜底就业困难人员。</w:t>
      </w:r>
      <w:r>
        <w:rPr>
          <w:rFonts w:hint="default" w:ascii="Times New Roman" w:hAnsi="Times New Roman" w:eastAsia="方正仿宋简体" w:cs="Times New Roman"/>
          <w:bCs/>
          <w:kern w:val="59"/>
          <w:sz w:val="32"/>
          <w:szCs w:val="32"/>
          <w:lang w:val="en-US" w:eastAsia="zh-CN" w:bidi="ar-SA"/>
        </w:rPr>
        <w:t>积极开发网格员、禁毒社工、交通协管、乡村保洁等城乡公益性岗位，托底安置城镇就业困难人员和乡村中的弱劳力、半劳力、无法返岗、无法外出、无业可扶的脱贫人口，切实保障就业有底可兜、有底能兜。</w:t>
      </w: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  <w:t>三是突出创新构建灵活就业平台。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  <w:t>正视灵活就业规模扩大形势，</w:t>
      </w:r>
      <w:r>
        <w:rPr>
          <w:rFonts w:hint="eastAsia" w:eastAsia="方正仿宋简体" w:cs="Times New Roman"/>
          <w:color w:val="auto"/>
          <w:sz w:val="32"/>
          <w:szCs w:val="32"/>
          <w:lang w:val="en-US" w:eastAsia="zh-CN"/>
        </w:rPr>
        <w:t>通过向市局和周边区县交流学习，抓实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  <w:t>零工市场建设，打造智能化、现代化、便捷化的线下灵活就业供需平台，为灵活就业劳动者提供避风港，为中小微个体户建立人才库，为新就业形态发展开辟新航道。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3" w:firstLineChars="200"/>
        <w:textAlignment w:val="auto"/>
        <w:rPr>
          <w:rFonts w:hint="default" w:ascii="Times New Roman" w:hAnsi="Times New Roman" w:eastAsia="方正仿宋简体" w:cs="Times New Roman"/>
          <w:bCs/>
          <w:kern w:val="59"/>
          <w:sz w:val="32"/>
          <w:szCs w:val="32"/>
          <w:lang w:eastAsia="zh-CN"/>
        </w:rPr>
      </w:pPr>
      <w:r>
        <w:rPr>
          <w:rFonts w:hint="default" w:ascii="Times New Roman" w:hAnsi="Times New Roman" w:eastAsia="方正楷体简体" w:cs="Times New Roman"/>
          <w:b/>
          <w:color w:val="auto"/>
          <w:kern w:val="2"/>
          <w:sz w:val="32"/>
          <w:szCs w:val="32"/>
          <w:lang w:val="en-US" w:eastAsia="zh-CN" w:bidi="ar-SA"/>
        </w:rPr>
        <w:t>（四）聚焦落实，推动各项目标任务超额完成。</w:t>
      </w:r>
      <w:r>
        <w:rPr>
          <w:rFonts w:hint="default" w:ascii="Times New Roman" w:hAnsi="Times New Roman" w:eastAsia="方正仿宋简体" w:cs="Times New Roman"/>
          <w:bCs/>
          <w:kern w:val="59"/>
          <w:sz w:val="32"/>
          <w:szCs w:val="32"/>
          <w:lang w:eastAsia="zh-CN"/>
        </w:rPr>
        <w:t>紧盯就业创业全年目标任务，进一步梳理各项政策，逐项、逐条进行贯彻落实，以政策杠杆作用推进城镇新增就业、城镇失业人员再就业等就业民生工程目标任务在</w:t>
      </w:r>
      <w:r>
        <w:rPr>
          <w:rFonts w:hint="default" w:ascii="Times New Roman" w:hAnsi="Times New Roman" w:eastAsia="方正仿宋简体" w:cs="Times New Roman"/>
          <w:bCs/>
          <w:kern w:val="59"/>
          <w:sz w:val="32"/>
          <w:szCs w:val="32"/>
          <w:lang w:val="en-US" w:eastAsia="zh-CN"/>
        </w:rPr>
        <w:t>11月前全面超额完成</w:t>
      </w:r>
      <w:r>
        <w:rPr>
          <w:rFonts w:hint="default" w:ascii="Times New Roman" w:hAnsi="Times New Roman" w:eastAsia="方正仿宋简体" w:cs="Times New Roman"/>
          <w:bCs/>
          <w:kern w:val="59"/>
          <w:sz w:val="32"/>
          <w:szCs w:val="32"/>
          <w:lang w:eastAsia="zh-CN"/>
        </w:rPr>
        <w:t>。</w:t>
      </w:r>
    </w:p>
    <w:p>
      <w:pPr>
        <w:pStyle w:val="2"/>
        <w:rPr>
          <w:rFonts w:hint="default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520" w:lineRule="exact"/>
        <w:ind w:firstLine="640" w:firstLineChars="200"/>
        <w:jc w:val="righ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乐至县就业服务管理局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520" w:lineRule="exact"/>
        <w:jc w:val="righ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黑体" w:eastAsia="黑体"/>
          <w:sz w:val="32"/>
          <w:szCs w:val="32"/>
        </w:rPr>
        <w:t>202</w:t>
      </w:r>
      <w:r>
        <w:rPr>
          <w:rFonts w:hint="eastAsia" w:ascii="黑体" w:eastAsia="黑体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黑体" w:eastAsia="黑体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黑体" w:eastAsia="黑体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WRlZDQzMGIzNWM0MzEzMmQ3NjhhZTNlNDVmZjZiYmQifQ=="/>
  </w:docVars>
  <w:rsids>
    <w:rsidRoot w:val="00172A27"/>
    <w:rsid w:val="00172A27"/>
    <w:rsid w:val="001E6A8F"/>
    <w:rsid w:val="0040432D"/>
    <w:rsid w:val="00533682"/>
    <w:rsid w:val="005D0D38"/>
    <w:rsid w:val="008C5AB7"/>
    <w:rsid w:val="00F416A9"/>
    <w:rsid w:val="00F71387"/>
    <w:rsid w:val="03F446EC"/>
    <w:rsid w:val="0A291FC6"/>
    <w:rsid w:val="0B6F06CA"/>
    <w:rsid w:val="0D084AF7"/>
    <w:rsid w:val="18C42B45"/>
    <w:rsid w:val="1BEB4585"/>
    <w:rsid w:val="1C0724A2"/>
    <w:rsid w:val="1E4500F6"/>
    <w:rsid w:val="246F7154"/>
    <w:rsid w:val="266737DE"/>
    <w:rsid w:val="2B7012AA"/>
    <w:rsid w:val="2C824B23"/>
    <w:rsid w:val="2E8E25CF"/>
    <w:rsid w:val="2EEB53D3"/>
    <w:rsid w:val="302A5DF9"/>
    <w:rsid w:val="31830841"/>
    <w:rsid w:val="33512813"/>
    <w:rsid w:val="35483F60"/>
    <w:rsid w:val="366E5CB6"/>
    <w:rsid w:val="37912404"/>
    <w:rsid w:val="3B2646DB"/>
    <w:rsid w:val="46D43445"/>
    <w:rsid w:val="4A381B21"/>
    <w:rsid w:val="4E5D04B1"/>
    <w:rsid w:val="4FB8244B"/>
    <w:rsid w:val="50D3192C"/>
    <w:rsid w:val="50E564B7"/>
    <w:rsid w:val="5E4B6D71"/>
    <w:rsid w:val="5FC5236D"/>
    <w:rsid w:val="668F172B"/>
    <w:rsid w:val="68E078D4"/>
    <w:rsid w:val="6DAE3326"/>
    <w:rsid w:val="6E492E10"/>
    <w:rsid w:val="6E537A8F"/>
    <w:rsid w:val="71AC5A2E"/>
    <w:rsid w:val="7A173925"/>
    <w:rsid w:val="7EEF27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semiHidden/>
    <w:unhideWhenUsed/>
    <w:qFormat/>
    <w:uiPriority w:val="99"/>
    <w:pPr>
      <w:spacing w:after="120" w:line="480" w:lineRule="auto"/>
      <w:ind w:left="420" w:leftChars="200"/>
    </w:p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[Normal]"/>
    <w:qFormat/>
    <w:uiPriority w:val="0"/>
    <w:pPr>
      <w:widowControl w:val="0"/>
      <w:autoSpaceDE w:val="0"/>
      <w:autoSpaceDN w:val="0"/>
      <w:adjustRightInd w:val="0"/>
    </w:pPr>
    <w:rPr>
      <w:rFonts w:ascii="宋体" w:cs="宋体" w:hAnsiTheme="minorHAnsi" w:eastAsiaTheme="minorEastAsia"/>
      <w:sz w:val="24"/>
      <w:szCs w:val="24"/>
      <w:lang w:val="en-US" w:eastAsia="zh-CN" w:bidi="ar-SA"/>
    </w:rPr>
  </w:style>
  <w:style w:type="character" w:customStyle="1" w:styleId="8">
    <w:name w:val="页眉 Char"/>
    <w:basedOn w:val="6"/>
    <w:link w:val="4"/>
    <w:qFormat/>
    <w:uiPriority w:val="0"/>
    <w:rPr>
      <w:rFonts w:asciiTheme="minorHAnsi" w:hAnsiTheme="minorHAnsi" w:cstheme="minorBidi"/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Theme="minorHAnsi" w:hAnsiTheme="minorHAnsi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1075</Words>
  <Characters>1142</Characters>
  <Lines>1</Lines>
  <Paragraphs>2</Paragraphs>
  <TotalTime>5</TotalTime>
  <ScaleCrop>false</ScaleCrop>
  <LinksUpToDate>false</LinksUpToDate>
  <CharactersWithSpaces>1143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2020-03-12T00:48:00Z</dcterms:created>
  <dc:creator>Administrator</dc:creator>
  <cp:lastModifiedBy>Administrator</cp:lastModifiedBy>
  <cp:lastPrinted>2021-11-30T08:53:00Z</cp:lastPrinted>
  <dcterms:modified xsi:type="dcterms:W3CDTF">2023-03-29T08:14:50Z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A5739E5518014A1D8C36A7B08A6F3B1D</vt:lpwstr>
  </property>
</Properties>
</file>