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乐至县宝林镇人民政府202</w:t>
      </w:r>
      <w:r>
        <w:rPr>
          <w:rFonts w:hint="eastAsia" w:ascii="方正小标宋简体" w:hAnsi="方正小标宋简体" w:eastAsia="方正小标宋简体" w:cs="方正小标宋简体"/>
          <w:b/>
          <w:bCs/>
          <w:sz w:val="44"/>
          <w:szCs w:val="44"/>
          <w:lang w:val="en-US" w:eastAsia="zh-CN"/>
        </w:rPr>
        <w:t>1</w:t>
      </w:r>
      <w:r>
        <w:rPr>
          <w:rFonts w:hint="eastAsia" w:ascii="方正小标宋简体" w:hAnsi="方正小标宋简体" w:eastAsia="方正小标宋简体" w:cs="方正小标宋简体"/>
          <w:b/>
          <w:bCs/>
          <w:sz w:val="44"/>
          <w:szCs w:val="44"/>
        </w:rPr>
        <w:t>年度部门决算</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仿宋" w:hAnsi="仿宋" w:eastAsia="仿宋" w:cs="仿宋"/>
          <w:sz w:val="32"/>
          <w:szCs w:val="32"/>
        </w:rPr>
      </w:pPr>
      <w:r>
        <w:rPr>
          <w:rFonts w:hint="eastAsia" w:ascii="方正小标宋简体" w:hAnsi="方正小标宋简体" w:eastAsia="方正小标宋简体" w:cs="方正小标宋简体"/>
          <w:b/>
          <w:bCs/>
          <w:sz w:val="44"/>
          <w:szCs w:val="44"/>
        </w:rPr>
        <w:t>分析报告</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方正黑体简体" w:hAnsi="方正黑体简体" w:eastAsia="方正黑体简体" w:cs="方正黑体简体"/>
          <w:sz w:val="32"/>
          <w:szCs w:val="32"/>
        </w:rPr>
        <w:t>一、部门（单位）情况</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rPr>
        <w:t>（一）基本情况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主要职能:坚持以邓小平理论和“三个代表”重要思想为指导，坚持以科学发展观为统领，坚持以构建和谐社会为重心，按照省委和县委的要求和部署，紧紧围绕经济社会发展的大局，统筹兼顾，突出重点，在“保增长、扩内需、调结构”中充分发挥积极的财政政策作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2．机构情况:上年机构</w:t>
      </w:r>
      <w:r>
        <w:rPr>
          <w:rFonts w:hint="eastAsia" w:ascii="仿宋" w:hAnsi="仿宋" w:eastAsia="仿宋" w:cs="仿宋"/>
          <w:sz w:val="32"/>
          <w:szCs w:val="32"/>
          <w:lang w:val="en-US" w:eastAsia="zh-CN"/>
        </w:rPr>
        <w:t>7</w:t>
      </w:r>
      <w:r>
        <w:rPr>
          <w:rFonts w:hint="eastAsia" w:ascii="仿宋" w:hAnsi="仿宋" w:eastAsia="仿宋" w:cs="仿宋"/>
          <w:sz w:val="32"/>
          <w:szCs w:val="32"/>
        </w:rPr>
        <w:t>个，本年</w:t>
      </w:r>
      <w:r>
        <w:rPr>
          <w:rFonts w:hint="eastAsia" w:ascii="仿宋" w:hAnsi="仿宋" w:eastAsia="仿宋" w:cs="仿宋"/>
          <w:sz w:val="32"/>
          <w:szCs w:val="32"/>
          <w:lang w:val="en-US" w:eastAsia="zh-CN"/>
        </w:rPr>
        <w:t>7</w:t>
      </w:r>
      <w:r>
        <w:rPr>
          <w:rFonts w:hint="eastAsia" w:ascii="仿宋" w:hAnsi="仿宋" w:eastAsia="仿宋" w:cs="仿宋"/>
          <w:sz w:val="32"/>
          <w:szCs w:val="32"/>
        </w:rPr>
        <w:t>个</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3．人员情况：本年末人</w:t>
      </w:r>
      <w:r>
        <w:rPr>
          <w:rFonts w:hint="eastAsia" w:ascii="仿宋" w:hAnsi="仿宋" w:eastAsia="仿宋" w:cs="仿宋"/>
          <w:sz w:val="32"/>
          <w:szCs w:val="32"/>
          <w:lang w:eastAsia="zh-CN"/>
        </w:rPr>
        <w:t>数</w:t>
      </w:r>
      <w:r>
        <w:rPr>
          <w:rFonts w:hint="eastAsia" w:ascii="仿宋" w:hAnsi="仿宋" w:eastAsia="仿宋" w:cs="仿宋"/>
          <w:sz w:val="32"/>
          <w:szCs w:val="32"/>
        </w:rPr>
        <w:t>53</w:t>
      </w:r>
      <w:r>
        <w:rPr>
          <w:rFonts w:hint="eastAsia" w:ascii="仿宋" w:hAnsi="仿宋" w:eastAsia="仿宋" w:cs="仿宋"/>
          <w:sz w:val="32"/>
          <w:szCs w:val="32"/>
          <w:lang w:eastAsia="zh-CN"/>
        </w:rPr>
        <w:t>人</w:t>
      </w:r>
      <w:r>
        <w:rPr>
          <w:rFonts w:hint="eastAsia" w:ascii="仿宋" w:hAnsi="仿宋" w:eastAsia="仿宋" w:cs="仿宋"/>
          <w:sz w:val="32"/>
          <w:szCs w:val="32"/>
        </w:rPr>
        <w:t>，上年</w:t>
      </w:r>
      <w:r>
        <w:rPr>
          <w:rFonts w:hint="eastAsia" w:ascii="仿宋" w:hAnsi="仿宋" w:eastAsia="仿宋" w:cs="仿宋"/>
          <w:sz w:val="32"/>
          <w:szCs w:val="32"/>
          <w:lang w:eastAsia="zh-CN"/>
        </w:rPr>
        <w:t>末人数</w:t>
      </w:r>
      <w:r>
        <w:rPr>
          <w:rFonts w:hint="eastAsia" w:ascii="仿宋" w:hAnsi="仿宋" w:eastAsia="仿宋" w:cs="仿宋"/>
          <w:sz w:val="32"/>
          <w:szCs w:val="32"/>
          <w:lang w:val="en-US" w:eastAsia="zh-CN"/>
        </w:rPr>
        <w:t>53</w:t>
      </w:r>
      <w:r>
        <w:rPr>
          <w:rFonts w:hint="eastAsia" w:ascii="仿宋" w:hAnsi="仿宋" w:eastAsia="仿宋" w:cs="仿宋"/>
          <w:sz w:val="32"/>
          <w:szCs w:val="32"/>
        </w:rPr>
        <w:t>人</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（二）当年取得的主要事业成效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1、加强各类学习</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财政所人员参加了国有资产清理业务培训会及财政工作会议，加强了学习强国APP的日常学习，业务水平得到了进一步的提升。参加三严三实民主生活会，两学一做教育活动，努力提升政治修养。</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2、积极组织财政收入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坚持同各部门紧密配合，狠抓非税收入管理，严格执行收支两条线。</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3、主动促进经济发展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充分发挥财政职能作用，积极向上级争取项目和资金，按照“一+二+三”新型发展思路拉动镇域经济发展。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4、努力强化公共保障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在支出管理上，按照一保工资、二保运转、三保稳定、四促发展的支出原则，严格按照年初预算安排资金，全面落实“保增长、保民生、保稳定”的要求。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5、继续深化财政改革</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 w:hAnsi="仿宋" w:eastAsia="仿宋" w:cs="仿宋"/>
          <w:sz w:val="32"/>
          <w:szCs w:val="32"/>
        </w:rPr>
      </w:pPr>
      <w:r>
        <w:rPr>
          <w:rFonts w:hint="eastAsia" w:ascii="仿宋" w:hAnsi="仿宋" w:eastAsia="仿宋" w:cs="仿宋"/>
          <w:sz w:val="32"/>
          <w:szCs w:val="32"/>
        </w:rPr>
        <w:t>在财务工作上实行统一财务核算，全镇共设：行政、村集体经济组织和村运行经费四套帐，规范财务的核算和监管。</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6、切实加强财政监管</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加强专项资金的发放、使用，注重使用的合理性、合法性，加大监管力度，最大限度地发挥专项资金的效率，防止专项资金被挤占、挪用或改变用途。</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方正黑体简体" w:hAnsi="方正黑体简体" w:eastAsia="方正黑体简体" w:cs="方正黑体简体"/>
          <w:sz w:val="32"/>
          <w:szCs w:val="32"/>
        </w:rPr>
        <w:t>二、收入支出预算执行情况分析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rPr>
        <w:t>（一）收入支出预算安排情况</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仿宋" w:hAnsi="仿宋" w:eastAsia="仿宋" w:cs="仿宋"/>
          <w:sz w:val="32"/>
          <w:szCs w:val="32"/>
          <w:lang w:val="en-US" w:eastAsia="zh-CN"/>
        </w:rPr>
      </w:pPr>
      <w:r>
        <w:rPr>
          <w:rFonts w:hint="eastAsia" w:ascii="仿宋" w:hAnsi="仿宋" w:eastAsia="仿宋" w:cs="仿宋"/>
          <w:sz w:val="32"/>
          <w:szCs w:val="32"/>
        </w:rPr>
        <w:t>本年度年初预算</w:t>
      </w:r>
      <w:r>
        <w:rPr>
          <w:rFonts w:hint="eastAsia" w:ascii="仿宋" w:hAnsi="仿宋" w:eastAsia="仿宋" w:cs="仿宋"/>
          <w:sz w:val="32"/>
          <w:szCs w:val="32"/>
          <w:lang w:val="en-US" w:eastAsia="zh-CN"/>
        </w:rPr>
        <w:t>1309.07</w:t>
      </w:r>
      <w:r>
        <w:rPr>
          <w:rFonts w:hint="eastAsia" w:ascii="仿宋" w:hAnsi="仿宋" w:eastAsia="仿宋" w:cs="仿宋"/>
          <w:sz w:val="32"/>
          <w:szCs w:val="32"/>
        </w:rPr>
        <w:t>万元，上年预算数为1809.25万元，</w:t>
      </w:r>
      <w:r>
        <w:rPr>
          <w:rFonts w:hint="eastAsia" w:ascii="仿宋" w:hAnsi="仿宋" w:eastAsia="仿宋" w:cs="仿宋"/>
          <w:sz w:val="32"/>
          <w:szCs w:val="32"/>
          <w:lang w:eastAsia="zh-CN"/>
        </w:rPr>
        <w:t>比上年减少了</w:t>
      </w:r>
      <w:r>
        <w:rPr>
          <w:rFonts w:hint="eastAsia" w:ascii="仿宋" w:hAnsi="仿宋" w:eastAsia="仿宋" w:cs="仿宋"/>
          <w:sz w:val="32"/>
          <w:szCs w:val="32"/>
          <w:lang w:val="en-US" w:eastAsia="zh-CN"/>
        </w:rPr>
        <w:t>500.18万元</w:t>
      </w:r>
      <w:r>
        <w:rPr>
          <w:rFonts w:hint="eastAsia" w:ascii="仿宋" w:hAnsi="仿宋" w:eastAsia="仿宋" w:cs="仿宋"/>
          <w:sz w:val="32"/>
          <w:szCs w:val="32"/>
        </w:rPr>
        <w:t>。</w:t>
      </w:r>
      <w:r>
        <w:rPr>
          <w:rFonts w:hint="eastAsia" w:ascii="仿宋" w:hAnsi="仿宋" w:eastAsia="仿宋" w:cs="仿宋"/>
          <w:sz w:val="32"/>
          <w:szCs w:val="32"/>
          <w:lang w:eastAsia="zh-CN"/>
        </w:rPr>
        <w:t>变动主要原因是</w:t>
      </w:r>
      <w:r>
        <w:rPr>
          <w:rFonts w:hint="eastAsia" w:ascii="仿宋" w:hAnsi="仿宋" w:eastAsia="仿宋" w:cs="仿宋"/>
          <w:sz w:val="32"/>
          <w:szCs w:val="32"/>
          <w:lang w:val="en-US" w:eastAsia="zh-CN"/>
        </w:rPr>
        <w:t>2021年3月合村并社。</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（二）收入支出预算执行情况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当年收入支出预算执行率均为100%，较上年无变化。</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1．收入支出与预算对比分析</w:t>
      </w:r>
      <w:r>
        <w:rPr>
          <w:rFonts w:hint="eastAsia" w:ascii="仿宋" w:hAnsi="仿宋" w:eastAsia="仿宋" w:cs="仿宋"/>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年预算数据与202</w:t>
      </w:r>
      <w:r>
        <w:rPr>
          <w:rFonts w:hint="eastAsia" w:ascii="仿宋" w:hAnsi="仿宋" w:eastAsia="仿宋" w:cs="仿宋"/>
          <w:sz w:val="32"/>
          <w:szCs w:val="32"/>
          <w:lang w:val="en-US" w:eastAsia="zh-CN"/>
        </w:rPr>
        <w:t>1</w:t>
      </w:r>
      <w:r>
        <w:rPr>
          <w:rFonts w:hint="eastAsia" w:ascii="仿宋" w:hAnsi="仿宋" w:eastAsia="仿宋" w:cs="仿宋"/>
          <w:sz w:val="32"/>
          <w:szCs w:val="32"/>
        </w:rPr>
        <w:t>年决算数据相比较（单位：万元）</w:t>
      </w:r>
    </w:p>
    <w:tbl>
      <w:tblPr>
        <w:tblStyle w:val="4"/>
        <w:tblW w:w="10264" w:type="dxa"/>
        <w:tblInd w:w="-805" w:type="dxa"/>
        <w:tblLayout w:type="fixed"/>
        <w:tblCellMar>
          <w:top w:w="0" w:type="dxa"/>
          <w:left w:w="0" w:type="dxa"/>
          <w:bottom w:w="0" w:type="dxa"/>
          <w:right w:w="0" w:type="dxa"/>
        </w:tblCellMar>
      </w:tblPr>
      <w:tblGrid>
        <w:gridCol w:w="550"/>
        <w:gridCol w:w="783"/>
        <w:gridCol w:w="501"/>
        <w:gridCol w:w="975"/>
        <w:gridCol w:w="806"/>
        <w:gridCol w:w="724"/>
        <w:gridCol w:w="705"/>
        <w:gridCol w:w="690"/>
        <w:gridCol w:w="810"/>
        <w:gridCol w:w="915"/>
        <w:gridCol w:w="780"/>
        <w:gridCol w:w="825"/>
        <w:gridCol w:w="1200"/>
      </w:tblGrid>
      <w:tr>
        <w:tblPrEx>
          <w:tblCellMar>
            <w:top w:w="0" w:type="dxa"/>
            <w:left w:w="0" w:type="dxa"/>
            <w:bottom w:w="0" w:type="dxa"/>
            <w:right w:w="0" w:type="dxa"/>
          </w:tblCellMar>
        </w:tblPrEx>
        <w:trPr>
          <w:trHeight w:val="746" w:hRule="atLeast"/>
        </w:trPr>
        <w:tc>
          <w:tcPr>
            <w:tcW w:w="5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2020</w:t>
            </w:r>
          </w:p>
        </w:tc>
        <w:tc>
          <w:tcPr>
            <w:tcW w:w="7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一般公共服务</w:t>
            </w:r>
            <w:r>
              <w:rPr>
                <w:rFonts w:hint="eastAsia" w:ascii="宋体" w:hAnsi="宋体" w:cs="宋体"/>
                <w:i w:val="0"/>
                <w:color w:val="auto"/>
                <w:kern w:val="0"/>
                <w:sz w:val="18"/>
                <w:szCs w:val="18"/>
                <w:u w:val="none"/>
                <w:lang w:val="en-US" w:eastAsia="zh-CN" w:bidi="ar"/>
              </w:rPr>
              <w:t>支出</w:t>
            </w:r>
          </w:p>
        </w:tc>
        <w:tc>
          <w:tcPr>
            <w:tcW w:w="5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cs="宋体"/>
                <w:i w:val="0"/>
                <w:color w:val="auto"/>
                <w:kern w:val="0"/>
                <w:sz w:val="18"/>
                <w:szCs w:val="18"/>
                <w:u w:val="none"/>
                <w:lang w:val="en-US" w:eastAsia="zh-CN" w:bidi="ar"/>
              </w:rPr>
              <w:t>国防支出</w:t>
            </w:r>
          </w:p>
        </w:tc>
        <w:tc>
          <w:tcPr>
            <w:tcW w:w="9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文化旅游体育与传媒</w:t>
            </w:r>
          </w:p>
        </w:tc>
        <w:tc>
          <w:tcPr>
            <w:tcW w:w="8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社保和就业</w:t>
            </w:r>
            <w:r>
              <w:rPr>
                <w:rFonts w:hint="eastAsia" w:ascii="宋体" w:hAnsi="宋体" w:cs="宋体"/>
                <w:i w:val="0"/>
                <w:color w:val="auto"/>
                <w:kern w:val="0"/>
                <w:sz w:val="18"/>
                <w:szCs w:val="18"/>
                <w:u w:val="none"/>
                <w:lang w:val="en-US" w:eastAsia="zh-CN" w:bidi="ar"/>
              </w:rPr>
              <w:t>支出</w:t>
            </w:r>
          </w:p>
        </w:tc>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卫生健康</w:t>
            </w:r>
            <w:r>
              <w:rPr>
                <w:rFonts w:hint="eastAsia" w:ascii="宋体" w:hAnsi="宋体" w:cs="宋体"/>
                <w:i w:val="0"/>
                <w:color w:val="auto"/>
                <w:kern w:val="0"/>
                <w:sz w:val="18"/>
                <w:szCs w:val="18"/>
                <w:u w:val="none"/>
                <w:lang w:val="en-US" w:eastAsia="zh-CN" w:bidi="ar"/>
              </w:rPr>
              <w:t>支出</w:t>
            </w:r>
          </w:p>
        </w:tc>
        <w:tc>
          <w:tcPr>
            <w:tcW w:w="7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节能环保支出</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城乡社区支出</w:t>
            </w: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农林水支出</w:t>
            </w:r>
          </w:p>
        </w:tc>
        <w:tc>
          <w:tcPr>
            <w:tcW w:w="9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交通运输支出</w:t>
            </w:r>
          </w:p>
        </w:tc>
        <w:tc>
          <w:tcPr>
            <w:tcW w:w="7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住房保障</w:t>
            </w:r>
            <w:r>
              <w:rPr>
                <w:rFonts w:hint="eastAsia" w:ascii="宋体" w:hAnsi="宋体" w:cs="宋体"/>
                <w:i w:val="0"/>
                <w:color w:val="auto"/>
                <w:kern w:val="0"/>
                <w:sz w:val="18"/>
                <w:szCs w:val="18"/>
                <w:u w:val="none"/>
                <w:lang w:val="en-US" w:eastAsia="zh-CN" w:bidi="ar"/>
              </w:rPr>
              <w:t>支出</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应急管理支出</w:t>
            </w:r>
          </w:p>
        </w:tc>
        <w:tc>
          <w:tcPr>
            <w:tcW w:w="12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抗疫特别国债安排的支出</w:t>
            </w:r>
          </w:p>
        </w:tc>
      </w:tr>
      <w:tr>
        <w:tblPrEx>
          <w:tblCellMar>
            <w:top w:w="0" w:type="dxa"/>
            <w:left w:w="0" w:type="dxa"/>
            <w:bottom w:w="0" w:type="dxa"/>
            <w:right w:w="0" w:type="dxa"/>
          </w:tblCellMar>
        </w:tblPrEx>
        <w:trPr>
          <w:trHeight w:val="663" w:hRule="atLeast"/>
        </w:trPr>
        <w:tc>
          <w:tcPr>
            <w:tcW w:w="5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预算</w:t>
            </w:r>
          </w:p>
        </w:tc>
        <w:tc>
          <w:tcPr>
            <w:tcW w:w="7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425.33</w:t>
            </w:r>
          </w:p>
        </w:tc>
        <w:tc>
          <w:tcPr>
            <w:tcW w:w="5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0</w:t>
            </w:r>
          </w:p>
        </w:tc>
        <w:tc>
          <w:tcPr>
            <w:tcW w:w="9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76.33</w:t>
            </w:r>
          </w:p>
        </w:tc>
        <w:tc>
          <w:tcPr>
            <w:tcW w:w="8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42.26</w:t>
            </w:r>
          </w:p>
        </w:tc>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7.9</w:t>
            </w:r>
          </w:p>
        </w:tc>
        <w:tc>
          <w:tcPr>
            <w:tcW w:w="7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0</w:t>
            </w:r>
          </w:p>
        </w:tc>
        <w:tc>
          <w:tcPr>
            <w:tcW w:w="69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0</w:t>
            </w: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713.67</w:t>
            </w:r>
          </w:p>
        </w:tc>
        <w:tc>
          <w:tcPr>
            <w:tcW w:w="9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0</w:t>
            </w:r>
          </w:p>
        </w:tc>
        <w:tc>
          <w:tcPr>
            <w:tcW w:w="7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42.59</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0</w:t>
            </w:r>
          </w:p>
        </w:tc>
        <w:tc>
          <w:tcPr>
            <w:tcW w:w="12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0</w:t>
            </w:r>
          </w:p>
        </w:tc>
      </w:tr>
      <w:tr>
        <w:tblPrEx>
          <w:tblCellMar>
            <w:top w:w="0" w:type="dxa"/>
            <w:left w:w="0" w:type="dxa"/>
            <w:bottom w:w="0" w:type="dxa"/>
            <w:right w:w="0" w:type="dxa"/>
          </w:tblCellMar>
        </w:tblPrEx>
        <w:trPr>
          <w:trHeight w:val="629" w:hRule="atLeast"/>
        </w:trPr>
        <w:tc>
          <w:tcPr>
            <w:tcW w:w="5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决算</w:t>
            </w:r>
          </w:p>
        </w:tc>
        <w:tc>
          <w:tcPr>
            <w:tcW w:w="7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459.78</w:t>
            </w:r>
          </w:p>
        </w:tc>
        <w:tc>
          <w:tcPr>
            <w:tcW w:w="5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5</w:t>
            </w:r>
          </w:p>
        </w:tc>
        <w:tc>
          <w:tcPr>
            <w:tcW w:w="9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180" w:firstLineChars="100"/>
              <w:jc w:val="both"/>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105.79</w:t>
            </w:r>
          </w:p>
        </w:tc>
        <w:tc>
          <w:tcPr>
            <w:tcW w:w="80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1665.95</w:t>
            </w:r>
          </w:p>
        </w:tc>
        <w:tc>
          <w:tcPr>
            <w:tcW w:w="7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397.50</w:t>
            </w:r>
          </w:p>
        </w:tc>
        <w:tc>
          <w:tcPr>
            <w:tcW w:w="7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8.1</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112</w:t>
            </w: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3205.29</w:t>
            </w:r>
          </w:p>
        </w:tc>
        <w:tc>
          <w:tcPr>
            <w:tcW w:w="9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48.4</w:t>
            </w:r>
          </w:p>
        </w:tc>
        <w:tc>
          <w:tcPr>
            <w:tcW w:w="7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147.64</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17.96</w:t>
            </w:r>
          </w:p>
        </w:tc>
        <w:tc>
          <w:tcPr>
            <w:tcW w:w="12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0</w:t>
            </w:r>
          </w:p>
        </w:tc>
      </w:tr>
    </w:tbl>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drawing>
          <wp:inline distT="0" distB="0" distL="114300" distR="114300">
            <wp:extent cx="4984115" cy="3114040"/>
            <wp:effectExtent l="4445" t="4445" r="21590" b="571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从图表信息可以看出，2021</w:t>
      </w:r>
      <w:r>
        <w:rPr>
          <w:rFonts w:hint="eastAsia" w:ascii="仿宋" w:hAnsi="仿宋" w:eastAsia="仿宋" w:cs="仿宋"/>
          <w:sz w:val="32"/>
          <w:szCs w:val="32"/>
        </w:rPr>
        <w:t>年决算数据大于年初</w:t>
      </w:r>
      <w:r>
        <w:rPr>
          <w:rFonts w:hint="eastAsia" w:ascii="仿宋" w:hAnsi="仿宋" w:eastAsia="仿宋" w:cs="仿宋"/>
          <w:sz w:val="32"/>
          <w:szCs w:val="32"/>
          <w:lang w:eastAsia="zh-CN"/>
        </w:rPr>
        <w:t>的</w:t>
      </w:r>
      <w:r>
        <w:rPr>
          <w:rFonts w:hint="eastAsia" w:ascii="仿宋" w:hAnsi="仿宋" w:eastAsia="仿宋" w:cs="仿宋"/>
          <w:sz w:val="32"/>
          <w:szCs w:val="32"/>
        </w:rPr>
        <w:t>预算数据，</w:t>
      </w:r>
      <w:r>
        <w:rPr>
          <w:rFonts w:hint="eastAsia" w:ascii="仿宋" w:hAnsi="仿宋" w:eastAsia="仿宋" w:cs="仿宋"/>
          <w:sz w:val="32"/>
          <w:szCs w:val="32"/>
          <w:lang w:eastAsia="zh-CN"/>
        </w:rPr>
        <w:t>其主要原</w:t>
      </w:r>
      <w:r>
        <w:rPr>
          <w:rFonts w:hint="eastAsia" w:ascii="仿宋" w:hAnsi="仿宋" w:eastAsia="仿宋" w:cs="仿宋"/>
          <w:sz w:val="32"/>
          <w:szCs w:val="32"/>
          <w:lang w:val="en-US" w:eastAsia="zh-CN"/>
        </w:rPr>
        <w:t>因：一是根据2021年实际工作情况，县财政对部分项目资金追加指标；二是年终决算数据包含县级各部门直接安排的项目资金，年终纳入我镇决算数据，造成决算数据大于年初的预算数据，比如：城乡居民养老保险、农村低保、五保支出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2．收入支出结构分析。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（1）各项收</w:t>
      </w:r>
      <w:r>
        <w:rPr>
          <w:rFonts w:hint="eastAsia" w:ascii="仿宋" w:hAnsi="仿宋" w:eastAsia="仿宋" w:cs="仿宋"/>
          <w:sz w:val="32"/>
          <w:szCs w:val="32"/>
          <w:lang w:eastAsia="zh-CN"/>
        </w:rPr>
        <w:t>支</w:t>
      </w:r>
      <w:r>
        <w:rPr>
          <w:rFonts w:hint="eastAsia" w:ascii="仿宋" w:hAnsi="仿宋" w:eastAsia="仿宋" w:cs="仿宋"/>
          <w:sz w:val="32"/>
          <w:szCs w:val="32"/>
        </w:rPr>
        <w:t>占总收</w:t>
      </w:r>
      <w:r>
        <w:rPr>
          <w:rFonts w:hint="eastAsia" w:ascii="仿宋" w:hAnsi="仿宋" w:eastAsia="仿宋" w:cs="仿宋"/>
          <w:sz w:val="32"/>
          <w:szCs w:val="32"/>
          <w:lang w:eastAsia="zh-CN"/>
        </w:rPr>
        <w:t>支</w:t>
      </w:r>
      <w:r>
        <w:rPr>
          <w:rFonts w:hint="eastAsia" w:ascii="仿宋" w:hAnsi="仿宋" w:eastAsia="仿宋" w:cs="仿宋"/>
          <w:sz w:val="32"/>
          <w:szCs w:val="32"/>
        </w:rPr>
        <w:t>的比重。</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drawing>
          <wp:inline distT="0" distB="0" distL="114300" distR="114300">
            <wp:extent cx="4765675" cy="2449195"/>
            <wp:effectExtent l="4445" t="4445" r="11430" b="2286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从扇形图中可以看出，总收入支出的主要占比为社会保障和就业支出以及农林水支出。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收入支出与上年度对比情况及原因分析</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年决算数据与202</w:t>
      </w:r>
      <w:r>
        <w:rPr>
          <w:rFonts w:hint="eastAsia" w:ascii="仿宋" w:hAnsi="仿宋" w:eastAsia="仿宋" w:cs="仿宋"/>
          <w:sz w:val="32"/>
          <w:szCs w:val="32"/>
          <w:lang w:val="en-US" w:eastAsia="zh-CN"/>
        </w:rPr>
        <w:t>1</w:t>
      </w:r>
      <w:r>
        <w:rPr>
          <w:rFonts w:hint="eastAsia" w:ascii="仿宋" w:hAnsi="仿宋" w:eastAsia="仿宋" w:cs="仿宋"/>
          <w:sz w:val="32"/>
          <w:szCs w:val="32"/>
        </w:rPr>
        <w:t>年决算数据相比较（单位：万元）</w:t>
      </w:r>
    </w:p>
    <w:tbl>
      <w:tblPr>
        <w:tblStyle w:val="4"/>
        <w:tblW w:w="10069" w:type="dxa"/>
        <w:tblInd w:w="-805" w:type="dxa"/>
        <w:tblLayout w:type="fixed"/>
        <w:tblCellMar>
          <w:top w:w="0" w:type="dxa"/>
          <w:left w:w="0" w:type="dxa"/>
          <w:bottom w:w="0" w:type="dxa"/>
          <w:right w:w="0" w:type="dxa"/>
        </w:tblCellMar>
      </w:tblPr>
      <w:tblGrid>
        <w:gridCol w:w="833"/>
        <w:gridCol w:w="1117"/>
        <w:gridCol w:w="1067"/>
        <w:gridCol w:w="1082"/>
        <w:gridCol w:w="918"/>
        <w:gridCol w:w="867"/>
        <w:gridCol w:w="735"/>
        <w:gridCol w:w="765"/>
        <w:gridCol w:w="915"/>
        <w:gridCol w:w="900"/>
        <w:gridCol w:w="870"/>
      </w:tblGrid>
      <w:tr>
        <w:tblPrEx>
          <w:tblCellMar>
            <w:top w:w="0" w:type="dxa"/>
            <w:left w:w="0" w:type="dxa"/>
            <w:bottom w:w="0" w:type="dxa"/>
            <w:right w:w="0" w:type="dxa"/>
          </w:tblCellMar>
        </w:tblPrEx>
        <w:trPr>
          <w:trHeight w:val="450" w:hRule="atLeast"/>
        </w:trPr>
        <w:tc>
          <w:tcPr>
            <w:tcW w:w="8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年度</w:t>
            </w:r>
          </w:p>
        </w:tc>
        <w:tc>
          <w:tcPr>
            <w:tcW w:w="11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一般公共服务</w:t>
            </w:r>
            <w:r>
              <w:rPr>
                <w:rFonts w:hint="eastAsia" w:ascii="宋体" w:hAnsi="宋体" w:cs="宋体"/>
                <w:i w:val="0"/>
                <w:color w:val="auto"/>
                <w:kern w:val="0"/>
                <w:sz w:val="18"/>
                <w:szCs w:val="18"/>
                <w:u w:val="none"/>
                <w:lang w:val="en-US" w:eastAsia="zh-CN" w:bidi="ar"/>
              </w:rPr>
              <w:t>支出</w:t>
            </w:r>
          </w:p>
        </w:tc>
        <w:tc>
          <w:tcPr>
            <w:tcW w:w="10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文化</w:t>
            </w:r>
            <w:r>
              <w:rPr>
                <w:rFonts w:hint="eastAsia" w:ascii="宋体" w:hAnsi="宋体" w:cs="宋体"/>
                <w:i w:val="0"/>
                <w:color w:val="auto"/>
                <w:kern w:val="0"/>
                <w:sz w:val="18"/>
                <w:szCs w:val="18"/>
                <w:u w:val="none"/>
                <w:lang w:val="en-US" w:eastAsia="zh-CN" w:bidi="ar"/>
              </w:rPr>
              <w:t>旅游</w:t>
            </w:r>
            <w:r>
              <w:rPr>
                <w:rFonts w:hint="eastAsia" w:ascii="宋体" w:hAnsi="宋体" w:eastAsia="宋体" w:cs="宋体"/>
                <w:i w:val="0"/>
                <w:color w:val="auto"/>
                <w:kern w:val="0"/>
                <w:sz w:val="18"/>
                <w:szCs w:val="18"/>
                <w:u w:val="none"/>
                <w:lang w:val="en-US" w:eastAsia="zh-CN" w:bidi="ar"/>
              </w:rPr>
              <w:t>体育与传媒</w:t>
            </w:r>
          </w:p>
        </w:tc>
        <w:tc>
          <w:tcPr>
            <w:tcW w:w="10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社保和就业</w:t>
            </w:r>
            <w:r>
              <w:rPr>
                <w:rFonts w:hint="eastAsia" w:ascii="宋体" w:hAnsi="宋体" w:cs="宋体"/>
                <w:i w:val="0"/>
                <w:color w:val="auto"/>
                <w:kern w:val="0"/>
                <w:sz w:val="18"/>
                <w:szCs w:val="18"/>
                <w:u w:val="none"/>
                <w:lang w:val="en-US" w:eastAsia="zh-CN" w:bidi="ar"/>
              </w:rPr>
              <w:t>支出</w:t>
            </w:r>
          </w:p>
        </w:tc>
        <w:tc>
          <w:tcPr>
            <w:tcW w:w="9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卫生健康支出</w:t>
            </w:r>
          </w:p>
        </w:tc>
        <w:tc>
          <w:tcPr>
            <w:tcW w:w="8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节能环保支出</w:t>
            </w: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城乡社区支出</w:t>
            </w:r>
          </w:p>
        </w:tc>
        <w:tc>
          <w:tcPr>
            <w:tcW w:w="7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农林水</w:t>
            </w:r>
            <w:r>
              <w:rPr>
                <w:rFonts w:hint="eastAsia" w:ascii="宋体" w:hAnsi="宋体" w:cs="宋体"/>
                <w:i w:val="0"/>
                <w:color w:val="auto"/>
                <w:kern w:val="0"/>
                <w:sz w:val="18"/>
                <w:szCs w:val="18"/>
                <w:u w:val="none"/>
                <w:lang w:val="en-US" w:eastAsia="zh-CN" w:bidi="ar"/>
              </w:rPr>
              <w:t>支出</w:t>
            </w:r>
          </w:p>
        </w:tc>
        <w:tc>
          <w:tcPr>
            <w:tcW w:w="9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交通运输支出</w:t>
            </w:r>
          </w:p>
        </w:tc>
        <w:tc>
          <w:tcPr>
            <w:tcW w:w="9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住房保障支出</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top"/>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应急管理支出</w:t>
            </w:r>
          </w:p>
        </w:tc>
      </w:tr>
      <w:tr>
        <w:tblPrEx>
          <w:tblCellMar>
            <w:top w:w="0" w:type="dxa"/>
            <w:left w:w="0" w:type="dxa"/>
            <w:bottom w:w="0" w:type="dxa"/>
            <w:right w:w="0" w:type="dxa"/>
          </w:tblCellMar>
        </w:tblPrEx>
        <w:trPr>
          <w:trHeight w:val="347" w:hRule="atLeast"/>
        </w:trPr>
        <w:tc>
          <w:tcPr>
            <w:tcW w:w="8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rPr>
            </w:pPr>
            <w:r>
              <w:rPr>
                <w:rFonts w:hint="eastAsia" w:ascii="宋体" w:hAnsi="宋体" w:eastAsia="宋体" w:cs="宋体"/>
                <w:i w:val="0"/>
                <w:color w:val="auto"/>
                <w:kern w:val="0"/>
                <w:sz w:val="18"/>
                <w:szCs w:val="18"/>
                <w:u w:val="none"/>
                <w:lang w:val="en-US" w:eastAsia="zh-CN" w:bidi="ar"/>
              </w:rPr>
              <w:t>20</w:t>
            </w:r>
            <w:r>
              <w:rPr>
                <w:rFonts w:hint="eastAsia" w:ascii="宋体" w:hAnsi="宋体" w:cs="宋体"/>
                <w:i w:val="0"/>
                <w:color w:val="auto"/>
                <w:kern w:val="0"/>
                <w:sz w:val="18"/>
                <w:szCs w:val="18"/>
                <w:u w:val="none"/>
                <w:lang w:val="en-US" w:eastAsia="zh-CN" w:bidi="ar"/>
              </w:rPr>
              <w:t>20</w:t>
            </w:r>
          </w:p>
        </w:tc>
        <w:tc>
          <w:tcPr>
            <w:tcW w:w="11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426.57</w:t>
            </w:r>
          </w:p>
        </w:tc>
        <w:tc>
          <w:tcPr>
            <w:tcW w:w="10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2"/>
                <w:sz w:val="18"/>
                <w:szCs w:val="18"/>
                <w:u w:val="none"/>
                <w:lang w:val="en-US" w:eastAsia="zh-CN" w:bidi="ar-SA"/>
              </w:rPr>
            </w:pPr>
            <w:r>
              <w:rPr>
                <w:rFonts w:hint="eastAsia" w:ascii="宋体" w:hAnsi="宋体" w:cs="宋体"/>
                <w:i w:val="0"/>
                <w:color w:val="auto"/>
                <w:kern w:val="2"/>
                <w:sz w:val="18"/>
                <w:szCs w:val="18"/>
                <w:u w:val="none"/>
                <w:lang w:val="en-US" w:eastAsia="zh-CN" w:bidi="ar-SA"/>
              </w:rPr>
              <w:t>132.48</w:t>
            </w:r>
          </w:p>
        </w:tc>
        <w:tc>
          <w:tcPr>
            <w:tcW w:w="10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2"/>
                <w:sz w:val="18"/>
                <w:szCs w:val="18"/>
                <w:u w:val="none"/>
                <w:lang w:val="en-US" w:eastAsia="zh-CN" w:bidi="ar-SA"/>
              </w:rPr>
            </w:pPr>
            <w:r>
              <w:rPr>
                <w:rFonts w:hint="eastAsia" w:ascii="宋体" w:hAnsi="宋体" w:cs="宋体"/>
                <w:i w:val="0"/>
                <w:color w:val="auto"/>
                <w:kern w:val="2"/>
                <w:sz w:val="18"/>
                <w:szCs w:val="18"/>
                <w:u w:val="none"/>
                <w:lang w:val="en-US" w:eastAsia="zh-CN" w:bidi="ar-SA"/>
              </w:rPr>
              <w:t>2695.01</w:t>
            </w:r>
          </w:p>
        </w:tc>
        <w:tc>
          <w:tcPr>
            <w:tcW w:w="9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2"/>
                <w:sz w:val="18"/>
                <w:szCs w:val="18"/>
                <w:u w:val="none"/>
                <w:lang w:val="en-US" w:eastAsia="zh-CN" w:bidi="ar-SA"/>
              </w:rPr>
            </w:pPr>
            <w:r>
              <w:rPr>
                <w:rFonts w:hint="eastAsia" w:ascii="宋体" w:hAnsi="宋体" w:cs="宋体"/>
                <w:i w:val="0"/>
                <w:color w:val="auto"/>
                <w:kern w:val="2"/>
                <w:sz w:val="18"/>
                <w:szCs w:val="18"/>
                <w:u w:val="none"/>
                <w:lang w:val="en-US" w:eastAsia="zh-CN" w:bidi="ar-SA"/>
              </w:rPr>
              <w:t>322.48</w:t>
            </w:r>
          </w:p>
        </w:tc>
        <w:tc>
          <w:tcPr>
            <w:tcW w:w="8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2"/>
                <w:sz w:val="18"/>
                <w:szCs w:val="18"/>
                <w:u w:val="none"/>
                <w:lang w:val="en-US" w:eastAsia="zh-CN" w:bidi="ar-SA"/>
              </w:rPr>
            </w:pPr>
            <w:r>
              <w:rPr>
                <w:rFonts w:hint="eastAsia" w:ascii="宋体" w:hAnsi="宋体" w:cs="宋体"/>
                <w:i w:val="0"/>
                <w:color w:val="auto"/>
                <w:kern w:val="2"/>
                <w:sz w:val="18"/>
                <w:szCs w:val="18"/>
                <w:u w:val="none"/>
                <w:lang w:val="en-US" w:eastAsia="zh-CN" w:bidi="ar-SA"/>
              </w:rPr>
              <w:t>150.83</w:t>
            </w: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2"/>
                <w:sz w:val="18"/>
                <w:szCs w:val="18"/>
                <w:u w:val="none"/>
                <w:lang w:val="en-US" w:eastAsia="zh-CN" w:bidi="ar-SA"/>
              </w:rPr>
            </w:pPr>
            <w:r>
              <w:rPr>
                <w:rFonts w:hint="eastAsia" w:ascii="宋体" w:hAnsi="宋体" w:cs="宋体"/>
                <w:i w:val="0"/>
                <w:color w:val="auto"/>
                <w:kern w:val="2"/>
                <w:sz w:val="18"/>
                <w:szCs w:val="18"/>
                <w:u w:val="none"/>
                <w:lang w:val="en-US" w:eastAsia="zh-CN" w:bidi="ar-SA"/>
              </w:rPr>
              <w:t>30.75</w:t>
            </w:r>
          </w:p>
        </w:tc>
        <w:tc>
          <w:tcPr>
            <w:tcW w:w="7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2"/>
                <w:sz w:val="18"/>
                <w:szCs w:val="18"/>
                <w:u w:val="none"/>
                <w:lang w:val="en-US" w:eastAsia="zh-CN" w:bidi="ar-SA"/>
              </w:rPr>
            </w:pPr>
            <w:r>
              <w:rPr>
                <w:rFonts w:hint="eastAsia" w:ascii="宋体" w:hAnsi="宋体" w:cs="宋体"/>
                <w:i w:val="0"/>
                <w:color w:val="auto"/>
                <w:kern w:val="2"/>
                <w:sz w:val="18"/>
                <w:szCs w:val="18"/>
                <w:u w:val="none"/>
                <w:lang w:val="en-US" w:eastAsia="zh-CN" w:bidi="ar-SA"/>
              </w:rPr>
              <w:t>2732.56</w:t>
            </w:r>
          </w:p>
        </w:tc>
        <w:tc>
          <w:tcPr>
            <w:tcW w:w="9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2"/>
                <w:sz w:val="18"/>
                <w:szCs w:val="18"/>
                <w:u w:val="none"/>
                <w:lang w:val="en-US" w:eastAsia="zh-CN" w:bidi="ar-SA"/>
              </w:rPr>
            </w:pPr>
            <w:r>
              <w:rPr>
                <w:rFonts w:hint="eastAsia" w:ascii="宋体" w:hAnsi="宋体" w:cs="宋体"/>
                <w:i w:val="0"/>
                <w:color w:val="auto"/>
                <w:kern w:val="2"/>
                <w:sz w:val="18"/>
                <w:szCs w:val="18"/>
                <w:u w:val="none"/>
                <w:lang w:val="en-US" w:eastAsia="zh-CN" w:bidi="ar-SA"/>
              </w:rPr>
              <w:t>42.72</w:t>
            </w:r>
          </w:p>
        </w:tc>
        <w:tc>
          <w:tcPr>
            <w:tcW w:w="9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2"/>
                <w:sz w:val="18"/>
                <w:szCs w:val="18"/>
                <w:u w:val="none"/>
                <w:lang w:val="en-US" w:eastAsia="zh-CN" w:bidi="ar-SA"/>
              </w:rPr>
            </w:pPr>
            <w:r>
              <w:rPr>
                <w:rFonts w:hint="eastAsia" w:ascii="宋体" w:hAnsi="宋体" w:cs="宋体"/>
                <w:i w:val="0"/>
                <w:color w:val="auto"/>
                <w:kern w:val="2"/>
                <w:sz w:val="18"/>
                <w:szCs w:val="18"/>
                <w:u w:val="none"/>
                <w:lang w:val="en-US" w:eastAsia="zh-CN" w:bidi="ar-SA"/>
              </w:rPr>
              <w:t>182.41</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2"/>
                <w:sz w:val="18"/>
                <w:szCs w:val="18"/>
                <w:u w:val="none"/>
                <w:lang w:val="en-US" w:eastAsia="zh-CN" w:bidi="ar-SA"/>
              </w:rPr>
            </w:pPr>
            <w:r>
              <w:rPr>
                <w:rFonts w:hint="eastAsia" w:ascii="宋体" w:hAnsi="宋体" w:cs="宋体"/>
                <w:i w:val="0"/>
                <w:color w:val="auto"/>
                <w:kern w:val="2"/>
                <w:sz w:val="18"/>
                <w:szCs w:val="18"/>
                <w:u w:val="none"/>
                <w:lang w:val="en-US" w:eastAsia="zh-CN" w:bidi="ar-SA"/>
              </w:rPr>
              <w:t>83.79</w:t>
            </w:r>
          </w:p>
        </w:tc>
      </w:tr>
      <w:tr>
        <w:tblPrEx>
          <w:tblCellMar>
            <w:top w:w="0" w:type="dxa"/>
            <w:left w:w="0" w:type="dxa"/>
            <w:bottom w:w="0" w:type="dxa"/>
            <w:right w:w="0" w:type="dxa"/>
          </w:tblCellMar>
        </w:tblPrEx>
        <w:trPr>
          <w:trHeight w:val="295" w:hRule="atLeast"/>
        </w:trPr>
        <w:tc>
          <w:tcPr>
            <w:tcW w:w="8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w:t>
            </w:r>
            <w:r>
              <w:rPr>
                <w:rFonts w:hint="eastAsia" w:ascii="宋体" w:hAnsi="宋体" w:cs="宋体"/>
                <w:i w:val="0"/>
                <w:color w:val="auto"/>
                <w:kern w:val="0"/>
                <w:sz w:val="18"/>
                <w:szCs w:val="18"/>
                <w:u w:val="none"/>
                <w:lang w:val="en-US" w:eastAsia="zh-CN" w:bidi="ar"/>
              </w:rPr>
              <w:t>21</w:t>
            </w:r>
          </w:p>
        </w:tc>
        <w:tc>
          <w:tcPr>
            <w:tcW w:w="11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459.78</w:t>
            </w:r>
          </w:p>
        </w:tc>
        <w:tc>
          <w:tcPr>
            <w:tcW w:w="10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105.79</w:t>
            </w:r>
          </w:p>
        </w:tc>
        <w:tc>
          <w:tcPr>
            <w:tcW w:w="10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180" w:firstLineChars="100"/>
              <w:jc w:val="both"/>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1665.95</w:t>
            </w:r>
          </w:p>
        </w:tc>
        <w:tc>
          <w:tcPr>
            <w:tcW w:w="9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397.5</w:t>
            </w:r>
          </w:p>
        </w:tc>
        <w:tc>
          <w:tcPr>
            <w:tcW w:w="8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8.1</w:t>
            </w: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112</w:t>
            </w:r>
          </w:p>
        </w:tc>
        <w:tc>
          <w:tcPr>
            <w:tcW w:w="7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3205.29</w:t>
            </w:r>
          </w:p>
        </w:tc>
        <w:tc>
          <w:tcPr>
            <w:tcW w:w="9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48.4</w:t>
            </w:r>
          </w:p>
        </w:tc>
        <w:tc>
          <w:tcPr>
            <w:tcW w:w="9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147.64</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17.96</w:t>
            </w:r>
          </w:p>
        </w:tc>
      </w:tr>
    </w:tbl>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drawing>
          <wp:inline distT="0" distB="0" distL="114300" distR="114300">
            <wp:extent cx="5128260" cy="2752725"/>
            <wp:effectExtent l="4445" t="4445" r="10795"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sz w:val="32"/>
          <w:szCs w:val="32"/>
          <w:lang w:val="en-US" w:eastAsia="zh-CN"/>
        </w:rPr>
        <w:t>根据图表反映的信息，2020</w:t>
      </w:r>
      <w:r>
        <w:rPr>
          <w:rFonts w:hint="eastAsia" w:ascii="仿宋" w:hAnsi="仿宋" w:eastAsia="仿宋" w:cs="仿宋"/>
          <w:sz w:val="32"/>
          <w:szCs w:val="32"/>
        </w:rPr>
        <w:t>年较</w:t>
      </w:r>
      <w:r>
        <w:rPr>
          <w:rFonts w:hint="eastAsia" w:ascii="仿宋" w:hAnsi="仿宋" w:eastAsia="仿宋" w:cs="仿宋"/>
          <w:sz w:val="32"/>
          <w:szCs w:val="32"/>
          <w:lang w:val="en-US" w:eastAsia="zh-CN"/>
        </w:rPr>
        <w:t>2021</w:t>
      </w:r>
      <w:r>
        <w:rPr>
          <w:rFonts w:hint="eastAsia" w:ascii="仿宋" w:hAnsi="仿宋" w:eastAsia="仿宋" w:cs="仿宋"/>
          <w:sz w:val="32"/>
          <w:szCs w:val="32"/>
        </w:rPr>
        <w:t>年</w:t>
      </w:r>
      <w:r>
        <w:rPr>
          <w:rFonts w:hint="eastAsia" w:ascii="仿宋" w:hAnsi="仿宋" w:eastAsia="仿宋" w:cs="仿宋"/>
          <w:sz w:val="32"/>
          <w:szCs w:val="32"/>
          <w:lang w:eastAsia="zh-CN"/>
        </w:rPr>
        <w:t>的</w:t>
      </w:r>
      <w:r>
        <w:rPr>
          <w:rFonts w:hint="eastAsia" w:ascii="仿宋" w:hAnsi="仿宋" w:eastAsia="仿宋" w:cs="仿宋"/>
          <w:sz w:val="32"/>
          <w:szCs w:val="32"/>
        </w:rPr>
        <w:t>主要变动为社会保障</w:t>
      </w:r>
      <w:r>
        <w:rPr>
          <w:rFonts w:hint="eastAsia" w:ascii="仿宋" w:hAnsi="仿宋" w:eastAsia="仿宋" w:cs="仿宋"/>
          <w:sz w:val="32"/>
          <w:szCs w:val="32"/>
          <w:lang w:eastAsia="zh-CN"/>
        </w:rPr>
        <w:t>和</w:t>
      </w:r>
      <w:r>
        <w:rPr>
          <w:rFonts w:hint="eastAsia" w:ascii="仿宋" w:hAnsi="仿宋" w:eastAsia="仿宋" w:cs="仿宋"/>
          <w:sz w:val="32"/>
          <w:szCs w:val="32"/>
        </w:rPr>
        <w:t>就业支出</w:t>
      </w:r>
      <w:r>
        <w:rPr>
          <w:rFonts w:hint="eastAsia" w:ascii="仿宋" w:hAnsi="仿宋" w:eastAsia="仿宋" w:cs="仿宋"/>
          <w:sz w:val="32"/>
          <w:szCs w:val="32"/>
          <w:lang w:eastAsia="zh-CN"/>
        </w:rPr>
        <w:t>和农林水支出</w:t>
      </w:r>
      <w:r>
        <w:rPr>
          <w:rFonts w:hint="eastAsia" w:ascii="仿宋" w:hAnsi="仿宋" w:eastAsia="仿宋" w:cs="仿宋"/>
          <w:sz w:val="32"/>
          <w:szCs w:val="32"/>
        </w:rPr>
        <w:t>的增加，</w:t>
      </w:r>
      <w:r>
        <w:rPr>
          <w:rFonts w:hint="eastAsia" w:ascii="仿宋" w:hAnsi="仿宋" w:eastAsia="仿宋" w:cs="仿宋"/>
          <w:sz w:val="32"/>
          <w:szCs w:val="32"/>
          <w:lang w:eastAsia="zh-CN"/>
        </w:rPr>
        <w:t>主要</w:t>
      </w:r>
      <w:r>
        <w:rPr>
          <w:rFonts w:hint="eastAsia" w:ascii="仿宋" w:hAnsi="仿宋" w:eastAsia="仿宋" w:cs="仿宋"/>
          <w:color w:val="auto"/>
          <w:sz w:val="32"/>
          <w:szCs w:val="32"/>
        </w:rPr>
        <w:t>原因</w:t>
      </w:r>
      <w:r>
        <w:rPr>
          <w:rFonts w:hint="eastAsia" w:ascii="仿宋" w:hAnsi="仿宋" w:eastAsia="仿宋" w:cs="仿宋"/>
          <w:color w:val="auto"/>
          <w:sz w:val="32"/>
          <w:szCs w:val="32"/>
          <w:lang w:eastAsia="zh-CN"/>
        </w:rPr>
        <w:t>是</w:t>
      </w:r>
      <w:r>
        <w:rPr>
          <w:rFonts w:hint="eastAsia" w:ascii="仿宋" w:hAnsi="仿宋" w:eastAsia="仿宋" w:cs="仿宋"/>
          <w:color w:val="auto"/>
          <w:sz w:val="32"/>
          <w:szCs w:val="32"/>
          <w:lang w:val="en-US" w:eastAsia="zh-CN"/>
        </w:rPr>
        <w:t>2021</w:t>
      </w:r>
      <w:r>
        <w:rPr>
          <w:rFonts w:hint="eastAsia" w:ascii="仿宋" w:hAnsi="仿宋" w:eastAsia="仿宋" w:cs="仿宋"/>
          <w:color w:val="auto"/>
          <w:sz w:val="32"/>
          <w:szCs w:val="32"/>
        </w:rPr>
        <w:t>年</w:t>
      </w:r>
      <w:r>
        <w:rPr>
          <w:rFonts w:hint="eastAsia" w:ascii="仿宋" w:hAnsi="仿宋" w:eastAsia="仿宋" w:cs="仿宋"/>
          <w:color w:val="auto"/>
          <w:sz w:val="32"/>
          <w:szCs w:val="32"/>
          <w:lang w:eastAsia="zh-CN"/>
        </w:rPr>
        <w:t>财政加大了这两个方面的投入。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3．支出按经济分类科目分析。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（1）“三公”经费支出情况。主要开支为公务接待费，我单位无因公出国和公务用车费用。</w:t>
      </w:r>
    </w:p>
    <w:tbl>
      <w:tblPr>
        <w:tblStyle w:val="4"/>
        <w:tblW w:w="8338" w:type="dxa"/>
        <w:jc w:val="center"/>
        <w:tblLayout w:type="fixed"/>
        <w:tblCellMar>
          <w:top w:w="0" w:type="dxa"/>
          <w:left w:w="0" w:type="dxa"/>
          <w:bottom w:w="0" w:type="dxa"/>
          <w:right w:w="0" w:type="dxa"/>
        </w:tblCellMar>
      </w:tblPr>
      <w:tblGrid>
        <w:gridCol w:w="1556"/>
        <w:gridCol w:w="1920"/>
        <w:gridCol w:w="2066"/>
        <w:gridCol w:w="1483"/>
        <w:gridCol w:w="1313"/>
      </w:tblGrid>
      <w:tr>
        <w:tblPrEx>
          <w:tblCellMar>
            <w:top w:w="0" w:type="dxa"/>
            <w:left w:w="0" w:type="dxa"/>
            <w:bottom w:w="0" w:type="dxa"/>
            <w:right w:w="0" w:type="dxa"/>
          </w:tblCellMar>
        </w:tblPrEx>
        <w:trPr>
          <w:trHeight w:val="764" w:hRule="atLeast"/>
          <w:jc w:val="center"/>
        </w:trPr>
        <w:tc>
          <w:tcPr>
            <w:tcW w:w="1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年度</w:t>
            </w:r>
          </w:p>
        </w:tc>
        <w:tc>
          <w:tcPr>
            <w:tcW w:w="19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预算情况</w:t>
            </w:r>
          </w:p>
        </w:tc>
        <w:tc>
          <w:tcPr>
            <w:tcW w:w="20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决算情况</w:t>
            </w:r>
          </w:p>
        </w:tc>
        <w:tc>
          <w:tcPr>
            <w:tcW w:w="14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接待批次</w:t>
            </w:r>
          </w:p>
        </w:tc>
        <w:tc>
          <w:tcPr>
            <w:tcW w:w="13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接待人数</w:t>
            </w:r>
          </w:p>
        </w:tc>
      </w:tr>
      <w:tr>
        <w:tblPrEx>
          <w:tblCellMar>
            <w:top w:w="0" w:type="dxa"/>
            <w:left w:w="0" w:type="dxa"/>
            <w:bottom w:w="0" w:type="dxa"/>
            <w:right w:w="0" w:type="dxa"/>
          </w:tblCellMar>
        </w:tblPrEx>
        <w:trPr>
          <w:trHeight w:val="844" w:hRule="atLeast"/>
          <w:jc w:val="center"/>
        </w:trPr>
        <w:tc>
          <w:tcPr>
            <w:tcW w:w="1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2020</w:t>
            </w:r>
            <w:r>
              <w:rPr>
                <w:rStyle w:val="6"/>
                <w:rFonts w:hint="eastAsia" w:ascii="仿宋" w:hAnsi="仿宋" w:eastAsia="仿宋" w:cs="仿宋"/>
                <w:color w:val="auto"/>
                <w:sz w:val="32"/>
                <w:szCs w:val="32"/>
                <w:lang w:val="en-US" w:eastAsia="zh-CN" w:bidi="ar"/>
              </w:rPr>
              <w:t>年</w:t>
            </w:r>
          </w:p>
        </w:tc>
        <w:tc>
          <w:tcPr>
            <w:tcW w:w="19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sz w:val="32"/>
                <w:szCs w:val="32"/>
                <w:u w:val="none"/>
                <w:lang w:val="en-US"/>
              </w:rPr>
            </w:pPr>
            <w:r>
              <w:rPr>
                <w:rFonts w:hint="eastAsia" w:ascii="仿宋" w:hAnsi="仿宋" w:eastAsia="仿宋" w:cs="仿宋"/>
                <w:i w:val="0"/>
                <w:color w:val="auto"/>
                <w:kern w:val="0"/>
                <w:sz w:val="32"/>
                <w:szCs w:val="32"/>
                <w:u w:val="none"/>
                <w:lang w:val="en-US" w:eastAsia="zh-CN" w:bidi="ar"/>
              </w:rPr>
              <w:t>46000</w:t>
            </w:r>
          </w:p>
        </w:tc>
        <w:tc>
          <w:tcPr>
            <w:tcW w:w="20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sz w:val="32"/>
                <w:szCs w:val="32"/>
                <w:u w:val="none"/>
                <w:lang w:val="en-US"/>
              </w:rPr>
            </w:pPr>
            <w:r>
              <w:rPr>
                <w:rFonts w:hint="eastAsia" w:ascii="仿宋" w:hAnsi="仿宋" w:eastAsia="仿宋" w:cs="仿宋"/>
                <w:i w:val="0"/>
                <w:color w:val="auto"/>
                <w:kern w:val="0"/>
                <w:sz w:val="32"/>
                <w:szCs w:val="32"/>
                <w:u w:val="none"/>
                <w:lang w:val="en-US" w:eastAsia="zh-CN" w:bidi="ar"/>
              </w:rPr>
              <w:t>46000</w:t>
            </w:r>
          </w:p>
        </w:tc>
        <w:tc>
          <w:tcPr>
            <w:tcW w:w="14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sz w:val="32"/>
                <w:szCs w:val="32"/>
                <w:u w:val="none"/>
                <w:lang w:val="en-US"/>
              </w:rPr>
            </w:pPr>
            <w:r>
              <w:rPr>
                <w:rFonts w:hint="eastAsia" w:ascii="仿宋" w:hAnsi="仿宋" w:eastAsia="仿宋" w:cs="仿宋"/>
                <w:i w:val="0"/>
                <w:color w:val="auto"/>
                <w:kern w:val="0"/>
                <w:sz w:val="32"/>
                <w:szCs w:val="32"/>
                <w:u w:val="none"/>
                <w:lang w:val="en-US" w:eastAsia="zh-CN" w:bidi="ar"/>
              </w:rPr>
              <w:t>153</w:t>
            </w:r>
          </w:p>
        </w:tc>
        <w:tc>
          <w:tcPr>
            <w:tcW w:w="13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sz w:val="32"/>
                <w:szCs w:val="32"/>
                <w:u w:val="none"/>
                <w:lang w:val="en-US"/>
              </w:rPr>
            </w:pPr>
            <w:r>
              <w:rPr>
                <w:rFonts w:hint="eastAsia" w:ascii="仿宋" w:hAnsi="仿宋" w:eastAsia="仿宋" w:cs="仿宋"/>
                <w:i w:val="0"/>
                <w:color w:val="auto"/>
                <w:kern w:val="0"/>
                <w:sz w:val="32"/>
                <w:szCs w:val="32"/>
                <w:u w:val="none"/>
                <w:lang w:val="en-US" w:eastAsia="zh-CN" w:bidi="ar"/>
              </w:rPr>
              <w:t>1071</w:t>
            </w:r>
          </w:p>
        </w:tc>
      </w:tr>
      <w:tr>
        <w:tblPrEx>
          <w:tblCellMar>
            <w:top w:w="0" w:type="dxa"/>
            <w:left w:w="0" w:type="dxa"/>
            <w:bottom w:w="0" w:type="dxa"/>
            <w:right w:w="0" w:type="dxa"/>
          </w:tblCellMar>
        </w:tblPrEx>
        <w:trPr>
          <w:trHeight w:val="834" w:hRule="atLeast"/>
          <w:jc w:val="center"/>
        </w:trPr>
        <w:tc>
          <w:tcPr>
            <w:tcW w:w="1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kern w:val="0"/>
                <w:sz w:val="32"/>
                <w:szCs w:val="32"/>
                <w:u w:val="none"/>
                <w:lang w:val="en-US" w:eastAsia="zh-CN" w:bidi="ar"/>
              </w:rPr>
            </w:pPr>
            <w:r>
              <w:rPr>
                <w:rFonts w:hint="eastAsia" w:ascii="仿宋" w:hAnsi="仿宋" w:eastAsia="仿宋" w:cs="仿宋"/>
                <w:i w:val="0"/>
                <w:color w:val="auto"/>
                <w:kern w:val="0"/>
                <w:sz w:val="32"/>
                <w:szCs w:val="32"/>
                <w:u w:val="none"/>
                <w:lang w:val="en-US" w:eastAsia="zh-CN" w:bidi="ar"/>
              </w:rPr>
              <w:t>2021年</w:t>
            </w:r>
          </w:p>
        </w:tc>
        <w:tc>
          <w:tcPr>
            <w:tcW w:w="19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kern w:val="0"/>
                <w:sz w:val="32"/>
                <w:szCs w:val="32"/>
                <w:u w:val="none"/>
                <w:lang w:val="en-US" w:eastAsia="zh-CN" w:bidi="ar"/>
              </w:rPr>
            </w:pPr>
            <w:r>
              <w:rPr>
                <w:rFonts w:hint="eastAsia" w:ascii="仿宋" w:hAnsi="仿宋" w:eastAsia="仿宋" w:cs="仿宋"/>
                <w:i w:val="0"/>
                <w:color w:val="auto"/>
                <w:kern w:val="0"/>
                <w:sz w:val="32"/>
                <w:szCs w:val="32"/>
                <w:u w:val="none"/>
                <w:lang w:val="en-US" w:eastAsia="zh-CN" w:bidi="ar"/>
              </w:rPr>
              <w:t>40000</w:t>
            </w:r>
          </w:p>
        </w:tc>
        <w:tc>
          <w:tcPr>
            <w:tcW w:w="20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kern w:val="0"/>
                <w:sz w:val="32"/>
                <w:szCs w:val="32"/>
                <w:u w:val="none"/>
                <w:lang w:val="en-US" w:eastAsia="zh-CN" w:bidi="ar"/>
              </w:rPr>
            </w:pPr>
            <w:r>
              <w:rPr>
                <w:rFonts w:hint="eastAsia" w:ascii="仿宋" w:hAnsi="仿宋" w:eastAsia="仿宋" w:cs="仿宋"/>
                <w:i w:val="0"/>
                <w:color w:val="auto"/>
                <w:kern w:val="0"/>
                <w:sz w:val="32"/>
                <w:szCs w:val="32"/>
                <w:u w:val="none"/>
                <w:lang w:val="en-US" w:eastAsia="zh-CN" w:bidi="ar"/>
              </w:rPr>
              <w:t>20000</w:t>
            </w:r>
          </w:p>
        </w:tc>
        <w:tc>
          <w:tcPr>
            <w:tcW w:w="14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kern w:val="0"/>
                <w:sz w:val="32"/>
                <w:szCs w:val="32"/>
                <w:u w:val="none"/>
                <w:lang w:val="en-US" w:eastAsia="zh-CN" w:bidi="ar"/>
              </w:rPr>
            </w:pPr>
            <w:r>
              <w:rPr>
                <w:rFonts w:hint="eastAsia" w:ascii="仿宋" w:hAnsi="仿宋" w:eastAsia="仿宋" w:cs="仿宋"/>
                <w:i w:val="0"/>
                <w:color w:val="auto"/>
                <w:kern w:val="0"/>
                <w:sz w:val="32"/>
                <w:szCs w:val="32"/>
                <w:u w:val="none"/>
                <w:lang w:val="en-US" w:eastAsia="zh-CN" w:bidi="ar"/>
              </w:rPr>
              <w:t>78</w:t>
            </w:r>
          </w:p>
        </w:tc>
        <w:tc>
          <w:tcPr>
            <w:tcW w:w="13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kern w:val="0"/>
                <w:sz w:val="32"/>
                <w:szCs w:val="32"/>
                <w:u w:val="none"/>
                <w:lang w:val="en-US" w:eastAsia="zh-CN" w:bidi="ar"/>
              </w:rPr>
            </w:pPr>
            <w:r>
              <w:rPr>
                <w:rFonts w:hint="eastAsia" w:ascii="仿宋" w:hAnsi="仿宋" w:eastAsia="仿宋" w:cs="仿宋"/>
                <w:i w:val="0"/>
                <w:color w:val="auto"/>
                <w:kern w:val="0"/>
                <w:sz w:val="32"/>
                <w:szCs w:val="32"/>
                <w:u w:val="none"/>
                <w:lang w:val="en-US" w:eastAsia="zh-CN" w:bidi="ar"/>
              </w:rPr>
              <w:t>522</w:t>
            </w:r>
          </w:p>
        </w:tc>
      </w:tr>
    </w:tbl>
    <w:p>
      <w:pPr>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drawing>
          <wp:inline distT="0" distB="0" distL="114300" distR="114300">
            <wp:extent cx="5080000" cy="3810000"/>
            <wp:effectExtent l="4445" t="4445" r="20955" b="146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根据折线图可以看出本单位</w:t>
      </w:r>
      <w:r>
        <w:rPr>
          <w:rFonts w:hint="eastAsia" w:ascii="仿宋" w:hAnsi="仿宋" w:eastAsia="仿宋" w:cs="仿宋"/>
          <w:sz w:val="32"/>
          <w:szCs w:val="32"/>
          <w:lang w:val="en-US" w:eastAsia="zh-CN"/>
        </w:rPr>
        <w:t>2021年的公务接待费的开支、接待批次和接待人数与2020年相比都呈下降趋势，主要原因为2021年严格遵守中央八项规定，贯彻落实“厉行节约、反对浪费”的精神。</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会议费支出情况：</w:t>
      </w:r>
    </w:p>
    <w:tbl>
      <w:tblPr>
        <w:tblStyle w:val="4"/>
        <w:tblW w:w="8359" w:type="dxa"/>
        <w:jc w:val="center"/>
        <w:tblLayout w:type="fixed"/>
        <w:tblCellMar>
          <w:top w:w="0" w:type="dxa"/>
          <w:left w:w="0" w:type="dxa"/>
          <w:bottom w:w="0" w:type="dxa"/>
          <w:right w:w="0" w:type="dxa"/>
        </w:tblCellMar>
      </w:tblPr>
      <w:tblGrid>
        <w:gridCol w:w="2346"/>
        <w:gridCol w:w="2896"/>
        <w:gridCol w:w="3117"/>
      </w:tblGrid>
      <w:tr>
        <w:tblPrEx>
          <w:tblCellMar>
            <w:top w:w="0" w:type="dxa"/>
            <w:left w:w="0" w:type="dxa"/>
            <w:bottom w:w="0" w:type="dxa"/>
            <w:right w:w="0" w:type="dxa"/>
          </w:tblCellMar>
        </w:tblPrEx>
        <w:trPr>
          <w:trHeight w:val="808" w:hRule="atLeast"/>
          <w:jc w:val="center"/>
        </w:trPr>
        <w:tc>
          <w:tcPr>
            <w:tcW w:w="23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年度</w:t>
            </w:r>
          </w:p>
        </w:tc>
        <w:tc>
          <w:tcPr>
            <w:tcW w:w="28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预算情况</w:t>
            </w:r>
          </w:p>
        </w:tc>
        <w:tc>
          <w:tcPr>
            <w:tcW w:w="31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决算情况</w:t>
            </w:r>
          </w:p>
        </w:tc>
      </w:tr>
      <w:tr>
        <w:tblPrEx>
          <w:tblCellMar>
            <w:top w:w="0" w:type="dxa"/>
            <w:left w:w="0" w:type="dxa"/>
            <w:bottom w:w="0" w:type="dxa"/>
            <w:right w:w="0" w:type="dxa"/>
          </w:tblCellMar>
        </w:tblPrEx>
        <w:trPr>
          <w:trHeight w:val="840" w:hRule="atLeast"/>
          <w:jc w:val="center"/>
        </w:trPr>
        <w:tc>
          <w:tcPr>
            <w:tcW w:w="23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2020年</w:t>
            </w:r>
          </w:p>
        </w:tc>
        <w:tc>
          <w:tcPr>
            <w:tcW w:w="28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lang w:val="en-US"/>
              </w:rPr>
            </w:pPr>
            <w:r>
              <w:rPr>
                <w:rFonts w:hint="eastAsia" w:ascii="仿宋" w:hAnsi="仿宋" w:eastAsia="仿宋" w:cs="仿宋"/>
                <w:i w:val="0"/>
                <w:color w:val="auto"/>
                <w:kern w:val="0"/>
                <w:sz w:val="32"/>
                <w:szCs w:val="32"/>
                <w:u w:val="none"/>
                <w:lang w:val="en-US" w:eastAsia="zh-CN" w:bidi="ar"/>
              </w:rPr>
              <w:t>90480</w:t>
            </w:r>
          </w:p>
        </w:tc>
        <w:tc>
          <w:tcPr>
            <w:tcW w:w="31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lang w:val="en-US"/>
              </w:rPr>
            </w:pPr>
            <w:r>
              <w:rPr>
                <w:rFonts w:hint="eastAsia" w:ascii="仿宋" w:hAnsi="仿宋" w:eastAsia="仿宋" w:cs="仿宋"/>
                <w:i w:val="0"/>
                <w:color w:val="auto"/>
                <w:kern w:val="0"/>
                <w:sz w:val="32"/>
                <w:szCs w:val="32"/>
                <w:u w:val="none"/>
                <w:lang w:val="en-US" w:eastAsia="zh-CN" w:bidi="ar"/>
              </w:rPr>
              <w:t>65290</w:t>
            </w:r>
          </w:p>
        </w:tc>
      </w:tr>
      <w:tr>
        <w:tblPrEx>
          <w:tblCellMar>
            <w:top w:w="0" w:type="dxa"/>
            <w:left w:w="0" w:type="dxa"/>
            <w:bottom w:w="0" w:type="dxa"/>
            <w:right w:w="0" w:type="dxa"/>
          </w:tblCellMar>
        </w:tblPrEx>
        <w:trPr>
          <w:trHeight w:val="860" w:hRule="atLeast"/>
          <w:jc w:val="center"/>
        </w:trPr>
        <w:tc>
          <w:tcPr>
            <w:tcW w:w="23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kern w:val="0"/>
                <w:sz w:val="32"/>
                <w:szCs w:val="32"/>
                <w:u w:val="none"/>
                <w:lang w:val="en-US" w:eastAsia="zh-CN" w:bidi="ar"/>
              </w:rPr>
            </w:pPr>
            <w:r>
              <w:rPr>
                <w:rFonts w:hint="eastAsia" w:ascii="仿宋" w:hAnsi="仿宋" w:eastAsia="仿宋" w:cs="仿宋"/>
                <w:i w:val="0"/>
                <w:color w:val="auto"/>
                <w:kern w:val="0"/>
                <w:sz w:val="32"/>
                <w:szCs w:val="32"/>
                <w:u w:val="none"/>
                <w:lang w:val="en-US" w:eastAsia="zh-CN" w:bidi="ar"/>
              </w:rPr>
              <w:t>2021年</w:t>
            </w:r>
          </w:p>
        </w:tc>
        <w:tc>
          <w:tcPr>
            <w:tcW w:w="28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kern w:val="0"/>
                <w:sz w:val="32"/>
                <w:szCs w:val="32"/>
                <w:u w:val="none"/>
                <w:lang w:val="en-US" w:eastAsia="zh-CN" w:bidi="ar"/>
              </w:rPr>
            </w:pPr>
            <w:r>
              <w:rPr>
                <w:rFonts w:hint="eastAsia" w:ascii="仿宋" w:hAnsi="仿宋" w:eastAsia="仿宋" w:cs="仿宋"/>
                <w:i w:val="0"/>
                <w:color w:val="auto"/>
                <w:kern w:val="0"/>
                <w:sz w:val="32"/>
                <w:szCs w:val="32"/>
                <w:u w:val="none"/>
                <w:lang w:val="en-US" w:eastAsia="zh-CN" w:bidi="ar"/>
              </w:rPr>
              <w:t>90000</w:t>
            </w:r>
          </w:p>
        </w:tc>
        <w:tc>
          <w:tcPr>
            <w:tcW w:w="31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kern w:val="0"/>
                <w:sz w:val="32"/>
                <w:szCs w:val="32"/>
                <w:u w:val="none"/>
                <w:lang w:val="en-US" w:eastAsia="zh-CN" w:bidi="ar"/>
              </w:rPr>
            </w:pPr>
            <w:r>
              <w:rPr>
                <w:rFonts w:hint="eastAsia" w:ascii="仿宋" w:hAnsi="仿宋" w:eastAsia="仿宋" w:cs="仿宋"/>
                <w:i w:val="0"/>
                <w:color w:val="auto"/>
                <w:kern w:val="0"/>
                <w:sz w:val="32"/>
                <w:szCs w:val="32"/>
                <w:u w:val="none"/>
                <w:lang w:val="en-US" w:eastAsia="zh-CN" w:bidi="ar"/>
              </w:rPr>
              <w:t>70000</w:t>
            </w:r>
          </w:p>
        </w:tc>
      </w:tr>
    </w:tbl>
    <w:p>
      <w:pPr>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drawing>
          <wp:inline distT="0" distB="0" distL="114300" distR="114300">
            <wp:extent cx="5080000" cy="3810000"/>
            <wp:effectExtent l="4445" t="4445" r="2095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根据柱形图反映出</w:t>
      </w:r>
      <w:r>
        <w:rPr>
          <w:rFonts w:hint="eastAsia" w:ascii="仿宋" w:hAnsi="仿宋" w:eastAsia="仿宋" w:cs="仿宋"/>
          <w:sz w:val="32"/>
          <w:szCs w:val="32"/>
          <w:lang w:val="en-US" w:eastAsia="zh-CN"/>
        </w:rPr>
        <w:t>2021年的</w:t>
      </w:r>
      <w:r>
        <w:rPr>
          <w:rFonts w:hint="eastAsia" w:ascii="仿宋" w:hAnsi="仿宋" w:eastAsia="仿宋" w:cs="仿宋"/>
          <w:sz w:val="32"/>
          <w:szCs w:val="32"/>
        </w:rPr>
        <w:t>会议费支出较</w:t>
      </w:r>
      <w:r>
        <w:rPr>
          <w:rFonts w:hint="eastAsia" w:ascii="仿宋" w:hAnsi="仿宋" w:eastAsia="仿宋" w:cs="仿宋"/>
          <w:sz w:val="32"/>
          <w:szCs w:val="32"/>
          <w:lang w:val="en-US" w:eastAsia="zh-CN"/>
        </w:rPr>
        <w:t>2020年略微增加</w:t>
      </w:r>
      <w:r>
        <w:rPr>
          <w:rFonts w:hint="eastAsia" w:ascii="仿宋" w:hAnsi="仿宋" w:eastAsia="仿宋" w:cs="仿宋"/>
          <w:sz w:val="32"/>
          <w:szCs w:val="32"/>
        </w:rPr>
        <w:t>，主要原因为202</w:t>
      </w:r>
      <w:r>
        <w:rPr>
          <w:rFonts w:hint="eastAsia" w:ascii="仿宋" w:hAnsi="仿宋" w:eastAsia="仿宋" w:cs="仿宋"/>
          <w:sz w:val="32"/>
          <w:szCs w:val="32"/>
          <w:lang w:val="en-US" w:eastAsia="zh-CN"/>
        </w:rPr>
        <w:t>1</w:t>
      </w:r>
      <w:r>
        <w:rPr>
          <w:rFonts w:hint="eastAsia" w:ascii="仿宋" w:hAnsi="仿宋" w:eastAsia="仿宋" w:cs="仿宋"/>
          <w:sz w:val="32"/>
          <w:szCs w:val="32"/>
        </w:rPr>
        <w:t>年</w:t>
      </w:r>
      <w:r>
        <w:rPr>
          <w:rFonts w:hint="eastAsia" w:ascii="仿宋" w:hAnsi="仿宋" w:eastAsia="仿宋" w:cs="仿宋"/>
          <w:sz w:val="32"/>
          <w:szCs w:val="32"/>
          <w:lang w:eastAsia="zh-CN"/>
        </w:rPr>
        <w:t>换届选举会议费有所增加</w:t>
      </w:r>
      <w:r>
        <w:rPr>
          <w:rFonts w:hint="eastAsia" w:ascii="仿宋" w:hAnsi="仿宋" w:eastAsia="仿宋" w:cs="仿宋"/>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z w:val="32"/>
          <w:szCs w:val="32"/>
        </w:rPr>
        <w:t>培训费支出情况。</w:t>
      </w:r>
    </w:p>
    <w:tbl>
      <w:tblPr>
        <w:tblStyle w:val="4"/>
        <w:tblW w:w="8539" w:type="dxa"/>
        <w:jc w:val="center"/>
        <w:tblLayout w:type="fixed"/>
        <w:tblCellMar>
          <w:top w:w="0" w:type="dxa"/>
          <w:left w:w="0" w:type="dxa"/>
          <w:bottom w:w="0" w:type="dxa"/>
          <w:right w:w="0" w:type="dxa"/>
        </w:tblCellMar>
      </w:tblPr>
      <w:tblGrid>
        <w:gridCol w:w="2396"/>
        <w:gridCol w:w="2958"/>
        <w:gridCol w:w="3185"/>
      </w:tblGrid>
      <w:tr>
        <w:tblPrEx>
          <w:tblCellMar>
            <w:top w:w="0" w:type="dxa"/>
            <w:left w:w="0" w:type="dxa"/>
            <w:bottom w:w="0" w:type="dxa"/>
            <w:right w:w="0" w:type="dxa"/>
          </w:tblCellMar>
        </w:tblPrEx>
        <w:trPr>
          <w:trHeight w:val="440" w:hRule="atLeast"/>
          <w:jc w:val="center"/>
        </w:trPr>
        <w:tc>
          <w:tcPr>
            <w:tcW w:w="23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年度</w:t>
            </w:r>
          </w:p>
        </w:tc>
        <w:tc>
          <w:tcPr>
            <w:tcW w:w="29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预算情况</w:t>
            </w:r>
          </w:p>
        </w:tc>
        <w:tc>
          <w:tcPr>
            <w:tcW w:w="31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决算情况</w:t>
            </w:r>
          </w:p>
        </w:tc>
      </w:tr>
      <w:tr>
        <w:tblPrEx>
          <w:tblCellMar>
            <w:top w:w="0" w:type="dxa"/>
            <w:left w:w="0" w:type="dxa"/>
            <w:bottom w:w="0" w:type="dxa"/>
            <w:right w:w="0" w:type="dxa"/>
          </w:tblCellMar>
        </w:tblPrEx>
        <w:trPr>
          <w:trHeight w:val="463" w:hRule="atLeast"/>
          <w:jc w:val="center"/>
        </w:trPr>
        <w:tc>
          <w:tcPr>
            <w:tcW w:w="23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rPr>
            </w:pPr>
            <w:r>
              <w:rPr>
                <w:rFonts w:hint="eastAsia" w:ascii="仿宋" w:hAnsi="仿宋" w:eastAsia="仿宋" w:cs="仿宋"/>
                <w:i w:val="0"/>
                <w:color w:val="auto"/>
                <w:kern w:val="0"/>
                <w:sz w:val="32"/>
                <w:szCs w:val="32"/>
                <w:u w:val="none"/>
                <w:lang w:val="en-US" w:eastAsia="zh-CN" w:bidi="ar"/>
              </w:rPr>
              <w:t>2020年</w:t>
            </w:r>
          </w:p>
        </w:tc>
        <w:tc>
          <w:tcPr>
            <w:tcW w:w="29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lang w:val="en-US"/>
              </w:rPr>
            </w:pPr>
            <w:r>
              <w:rPr>
                <w:rFonts w:hint="eastAsia" w:ascii="仿宋" w:hAnsi="仿宋" w:eastAsia="仿宋" w:cs="仿宋"/>
                <w:i w:val="0"/>
                <w:color w:val="auto"/>
                <w:kern w:val="0"/>
                <w:sz w:val="32"/>
                <w:szCs w:val="32"/>
                <w:u w:val="none"/>
                <w:lang w:val="en-US" w:eastAsia="zh-CN" w:bidi="ar"/>
              </w:rPr>
              <w:t>11500</w:t>
            </w:r>
          </w:p>
        </w:tc>
        <w:tc>
          <w:tcPr>
            <w:tcW w:w="31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sz w:val="32"/>
                <w:szCs w:val="32"/>
                <w:u w:val="none"/>
                <w:lang w:val="en-US"/>
              </w:rPr>
            </w:pPr>
            <w:r>
              <w:rPr>
                <w:rFonts w:hint="eastAsia" w:ascii="仿宋" w:hAnsi="仿宋" w:eastAsia="仿宋" w:cs="仿宋"/>
                <w:i w:val="0"/>
                <w:color w:val="auto"/>
                <w:kern w:val="0"/>
                <w:sz w:val="32"/>
                <w:szCs w:val="32"/>
                <w:u w:val="none"/>
                <w:lang w:val="en-US" w:eastAsia="zh-CN" w:bidi="ar"/>
              </w:rPr>
              <w:t>36500</w:t>
            </w:r>
          </w:p>
        </w:tc>
      </w:tr>
      <w:tr>
        <w:tblPrEx>
          <w:tblCellMar>
            <w:top w:w="0" w:type="dxa"/>
            <w:left w:w="0" w:type="dxa"/>
            <w:bottom w:w="0" w:type="dxa"/>
            <w:right w:w="0" w:type="dxa"/>
          </w:tblCellMar>
        </w:tblPrEx>
        <w:trPr>
          <w:trHeight w:val="463" w:hRule="atLeast"/>
          <w:jc w:val="center"/>
        </w:trPr>
        <w:tc>
          <w:tcPr>
            <w:tcW w:w="23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i w:val="0"/>
                <w:color w:val="auto"/>
                <w:kern w:val="0"/>
                <w:sz w:val="32"/>
                <w:szCs w:val="32"/>
                <w:u w:val="none"/>
                <w:lang w:val="en-US" w:eastAsia="zh-CN" w:bidi="ar"/>
              </w:rPr>
            </w:pPr>
            <w:r>
              <w:rPr>
                <w:rFonts w:hint="eastAsia" w:ascii="仿宋" w:hAnsi="仿宋" w:eastAsia="仿宋" w:cs="仿宋"/>
                <w:i w:val="0"/>
                <w:color w:val="auto"/>
                <w:kern w:val="0"/>
                <w:sz w:val="32"/>
                <w:szCs w:val="32"/>
                <w:u w:val="none"/>
                <w:lang w:val="en-US" w:eastAsia="zh-CN" w:bidi="ar"/>
              </w:rPr>
              <w:t>2021年</w:t>
            </w:r>
          </w:p>
        </w:tc>
        <w:tc>
          <w:tcPr>
            <w:tcW w:w="29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kern w:val="0"/>
                <w:sz w:val="32"/>
                <w:szCs w:val="32"/>
                <w:u w:val="none"/>
                <w:lang w:val="en-US" w:eastAsia="zh-CN" w:bidi="ar"/>
              </w:rPr>
            </w:pPr>
            <w:r>
              <w:rPr>
                <w:rFonts w:hint="eastAsia" w:ascii="仿宋" w:hAnsi="仿宋" w:eastAsia="仿宋" w:cs="仿宋"/>
                <w:i w:val="0"/>
                <w:color w:val="auto"/>
                <w:kern w:val="0"/>
                <w:sz w:val="32"/>
                <w:szCs w:val="32"/>
                <w:u w:val="none"/>
                <w:lang w:val="en-US" w:eastAsia="zh-CN" w:bidi="ar"/>
              </w:rPr>
              <w:t>10000</w:t>
            </w:r>
          </w:p>
        </w:tc>
        <w:tc>
          <w:tcPr>
            <w:tcW w:w="31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default" w:ascii="仿宋" w:hAnsi="仿宋" w:eastAsia="仿宋" w:cs="仿宋"/>
                <w:i w:val="0"/>
                <w:color w:val="auto"/>
                <w:kern w:val="0"/>
                <w:sz w:val="32"/>
                <w:szCs w:val="32"/>
                <w:u w:val="none"/>
                <w:lang w:val="en-US" w:eastAsia="zh-CN" w:bidi="ar"/>
              </w:rPr>
            </w:pPr>
            <w:r>
              <w:rPr>
                <w:rFonts w:hint="eastAsia" w:ascii="仿宋" w:hAnsi="仿宋" w:eastAsia="仿宋" w:cs="仿宋"/>
                <w:i w:val="0"/>
                <w:color w:val="auto"/>
                <w:kern w:val="0"/>
                <w:sz w:val="32"/>
                <w:szCs w:val="32"/>
                <w:u w:val="none"/>
                <w:lang w:val="en-US" w:eastAsia="zh-CN" w:bidi="ar"/>
              </w:rPr>
              <w:t>5320</w:t>
            </w:r>
          </w:p>
        </w:tc>
      </w:tr>
    </w:tbl>
    <w:p>
      <w:pPr>
        <w:numPr>
          <w:ilvl w:val="0"/>
          <w:numId w:val="0"/>
        </w:numPr>
        <w:ind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drawing>
          <wp:inline distT="0" distB="0" distL="114300" distR="114300">
            <wp:extent cx="5080000" cy="3810000"/>
            <wp:effectExtent l="4445" t="4445" r="20955" b="1460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根据图表信息，</w:t>
      </w: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w:t>
      </w:r>
      <w:r>
        <w:rPr>
          <w:rFonts w:hint="eastAsia" w:ascii="仿宋" w:hAnsi="仿宋" w:eastAsia="仿宋" w:cs="仿宋"/>
          <w:sz w:val="32"/>
          <w:szCs w:val="32"/>
          <w:lang w:eastAsia="zh-CN"/>
        </w:rPr>
        <w:t>的</w:t>
      </w:r>
      <w:r>
        <w:rPr>
          <w:rFonts w:hint="eastAsia" w:ascii="仿宋" w:hAnsi="仿宋" w:eastAsia="仿宋" w:cs="仿宋"/>
          <w:sz w:val="32"/>
          <w:szCs w:val="32"/>
        </w:rPr>
        <w:t>培训费</w:t>
      </w:r>
      <w:r>
        <w:rPr>
          <w:rFonts w:hint="eastAsia" w:ascii="仿宋" w:hAnsi="仿宋" w:eastAsia="仿宋" w:cs="仿宋"/>
          <w:sz w:val="32"/>
          <w:szCs w:val="32"/>
          <w:lang w:eastAsia="zh-CN"/>
        </w:rPr>
        <w:t>支出</w:t>
      </w:r>
      <w:r>
        <w:rPr>
          <w:rFonts w:hint="eastAsia" w:ascii="仿宋" w:hAnsi="仿宋" w:eastAsia="仿宋" w:cs="仿宋"/>
          <w:sz w:val="32"/>
          <w:szCs w:val="32"/>
        </w:rPr>
        <w:t>较20</w:t>
      </w:r>
      <w:r>
        <w:rPr>
          <w:rFonts w:hint="eastAsia" w:ascii="仿宋" w:hAnsi="仿宋" w:eastAsia="仿宋" w:cs="仿宋"/>
          <w:sz w:val="32"/>
          <w:szCs w:val="32"/>
          <w:lang w:val="en-US" w:eastAsia="zh-CN"/>
        </w:rPr>
        <w:t>20</w:t>
      </w:r>
      <w:r>
        <w:rPr>
          <w:rFonts w:hint="eastAsia" w:ascii="仿宋" w:hAnsi="仿宋" w:eastAsia="仿宋" w:cs="仿宋"/>
          <w:sz w:val="32"/>
          <w:szCs w:val="32"/>
        </w:rPr>
        <w:t>年</w:t>
      </w:r>
      <w:r>
        <w:rPr>
          <w:rFonts w:hint="eastAsia" w:ascii="仿宋" w:hAnsi="仿宋" w:eastAsia="仿宋" w:cs="仿宋"/>
          <w:sz w:val="32"/>
          <w:szCs w:val="32"/>
          <w:lang w:eastAsia="zh-CN"/>
        </w:rPr>
        <w:t>大幅减少</w:t>
      </w:r>
      <w:r>
        <w:rPr>
          <w:rFonts w:hint="eastAsia" w:ascii="仿宋" w:hAnsi="仿宋" w:eastAsia="仿宋" w:cs="仿宋"/>
          <w:sz w:val="32"/>
          <w:szCs w:val="32"/>
        </w:rPr>
        <w:t>，主要原因为202</w:t>
      </w:r>
      <w:r>
        <w:rPr>
          <w:rFonts w:hint="eastAsia" w:ascii="仿宋" w:hAnsi="仿宋" w:eastAsia="仿宋" w:cs="仿宋"/>
          <w:sz w:val="32"/>
          <w:szCs w:val="32"/>
          <w:lang w:val="en-US" w:eastAsia="zh-CN"/>
        </w:rPr>
        <w:t>1</w:t>
      </w:r>
      <w:r>
        <w:rPr>
          <w:rFonts w:hint="eastAsia" w:ascii="仿宋" w:hAnsi="仿宋" w:eastAsia="仿宋" w:cs="仿宋"/>
          <w:sz w:val="32"/>
          <w:szCs w:val="32"/>
        </w:rPr>
        <w:t>年</w:t>
      </w:r>
      <w:r>
        <w:rPr>
          <w:rFonts w:hint="eastAsia" w:ascii="仿宋" w:hAnsi="仿宋" w:eastAsia="仿宋" w:cs="仿宋"/>
          <w:sz w:val="32"/>
          <w:szCs w:val="32"/>
          <w:lang w:eastAsia="zh-CN"/>
        </w:rPr>
        <w:t>本单位</w:t>
      </w:r>
      <w:r>
        <w:rPr>
          <w:rFonts w:hint="eastAsia" w:ascii="仿宋" w:hAnsi="仿宋" w:eastAsia="仿宋" w:cs="仿宋"/>
          <w:sz w:val="32"/>
          <w:szCs w:val="32"/>
        </w:rPr>
        <w:t>培训次数</w:t>
      </w:r>
      <w:r>
        <w:rPr>
          <w:rFonts w:hint="eastAsia" w:ascii="仿宋" w:hAnsi="仿宋" w:eastAsia="仿宋" w:cs="仿宋"/>
          <w:sz w:val="32"/>
          <w:szCs w:val="32"/>
          <w:lang w:eastAsia="zh-CN"/>
        </w:rPr>
        <w:t>减少</w:t>
      </w:r>
      <w:r>
        <w:rPr>
          <w:rFonts w:hint="eastAsia" w:ascii="仿宋" w:hAnsi="仿宋" w:eastAsia="仿宋" w:cs="仿宋"/>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4.财政拨款收入、支出分析。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分析财政拨款收入</w:t>
      </w:r>
      <w:r>
        <w:rPr>
          <w:rFonts w:hint="eastAsia" w:ascii="仿宋" w:hAnsi="仿宋" w:eastAsia="仿宋" w:cs="仿宋"/>
          <w:sz w:val="32"/>
          <w:szCs w:val="32"/>
          <w:lang w:val="en-US" w:eastAsia="zh-CN"/>
        </w:rPr>
        <w:t>61734193.26</w:t>
      </w:r>
      <w:r>
        <w:rPr>
          <w:rFonts w:hint="eastAsia" w:ascii="仿宋" w:hAnsi="仿宋" w:eastAsia="仿宋" w:cs="仿宋"/>
          <w:sz w:val="32"/>
          <w:szCs w:val="32"/>
        </w:rPr>
        <w:t>元、支出总体情况</w:t>
      </w:r>
      <w:r>
        <w:rPr>
          <w:rFonts w:hint="eastAsia" w:ascii="仿宋" w:hAnsi="仿宋" w:eastAsia="仿宋" w:cs="仿宋"/>
          <w:sz w:val="32"/>
          <w:szCs w:val="32"/>
          <w:lang w:val="en-US" w:eastAsia="zh-CN"/>
        </w:rPr>
        <w:t>61734193.26</w:t>
      </w:r>
      <w:r>
        <w:rPr>
          <w:rFonts w:hint="eastAsia" w:ascii="仿宋" w:hAnsi="仿宋" w:eastAsia="仿宋" w:cs="仿宋"/>
          <w:sz w:val="32"/>
          <w:szCs w:val="32"/>
        </w:rPr>
        <w:t>元。基本支出</w:t>
      </w:r>
      <w:r>
        <w:rPr>
          <w:rFonts w:hint="eastAsia" w:ascii="仿宋" w:hAnsi="仿宋" w:eastAsia="仿宋" w:cs="仿宋"/>
          <w:sz w:val="32"/>
          <w:szCs w:val="32"/>
          <w:lang w:val="en-US" w:eastAsia="zh-CN"/>
        </w:rPr>
        <w:t>15941472.51</w:t>
      </w:r>
      <w:r>
        <w:rPr>
          <w:rFonts w:hint="eastAsia" w:ascii="仿宋" w:hAnsi="仿宋" w:eastAsia="仿宋" w:cs="仿宋"/>
          <w:sz w:val="32"/>
          <w:szCs w:val="32"/>
        </w:rPr>
        <w:t>元，其中：人员经费</w:t>
      </w:r>
      <w:r>
        <w:rPr>
          <w:rFonts w:hint="eastAsia" w:ascii="仿宋" w:hAnsi="仿宋" w:eastAsia="仿宋" w:cs="仿宋"/>
          <w:sz w:val="32"/>
          <w:szCs w:val="32"/>
          <w:lang w:val="en-US" w:eastAsia="zh-CN"/>
        </w:rPr>
        <w:t>11580027.51</w:t>
      </w:r>
      <w:r>
        <w:rPr>
          <w:rFonts w:hint="eastAsia" w:ascii="仿宋" w:hAnsi="仿宋" w:eastAsia="仿宋" w:cs="仿宋"/>
          <w:sz w:val="32"/>
          <w:szCs w:val="32"/>
        </w:rPr>
        <w:t>元，日常公用经费</w:t>
      </w:r>
      <w:r>
        <w:rPr>
          <w:rFonts w:hint="eastAsia" w:ascii="仿宋" w:hAnsi="仿宋" w:eastAsia="仿宋" w:cs="仿宋"/>
          <w:sz w:val="32"/>
          <w:szCs w:val="32"/>
          <w:lang w:val="en-US" w:eastAsia="zh-CN"/>
        </w:rPr>
        <w:t>4361445</w:t>
      </w:r>
      <w:r>
        <w:rPr>
          <w:rFonts w:hint="eastAsia" w:ascii="仿宋" w:hAnsi="仿宋" w:eastAsia="仿宋" w:cs="仿宋"/>
          <w:sz w:val="32"/>
          <w:szCs w:val="32"/>
        </w:rPr>
        <w:t>。项目支出</w:t>
      </w:r>
      <w:r>
        <w:rPr>
          <w:rFonts w:hint="eastAsia" w:ascii="仿宋" w:hAnsi="仿宋" w:eastAsia="仿宋" w:cs="仿宋"/>
          <w:sz w:val="32"/>
          <w:szCs w:val="32"/>
          <w:lang w:val="en-US" w:eastAsia="zh-CN"/>
        </w:rPr>
        <w:t>45792720.75</w:t>
      </w:r>
      <w:r>
        <w:rPr>
          <w:rFonts w:hint="eastAsia" w:ascii="仿宋" w:hAnsi="仿宋" w:eastAsia="仿宋" w:cs="仿宋"/>
          <w:sz w:val="32"/>
          <w:szCs w:val="32"/>
        </w:rPr>
        <w:t>元。项目支出占比</w:t>
      </w:r>
      <w:r>
        <w:rPr>
          <w:rFonts w:hint="eastAsia" w:ascii="仿宋" w:hAnsi="仿宋" w:eastAsia="仿宋" w:cs="仿宋"/>
          <w:sz w:val="32"/>
          <w:szCs w:val="32"/>
          <w:lang w:eastAsia="zh-CN"/>
        </w:rPr>
        <w:t>约为</w:t>
      </w:r>
      <w:r>
        <w:rPr>
          <w:rFonts w:hint="eastAsia" w:ascii="仿宋" w:hAnsi="仿宋" w:eastAsia="仿宋" w:cs="仿宋"/>
          <w:sz w:val="32"/>
          <w:szCs w:val="32"/>
          <w:lang w:val="en-US" w:eastAsia="zh-CN"/>
        </w:rPr>
        <w:t>74</w:t>
      </w:r>
      <w:r>
        <w:rPr>
          <w:rFonts w:hint="eastAsia" w:ascii="仿宋" w:hAnsi="仿宋" w:eastAsia="仿宋" w:cs="仿宋"/>
          <w:sz w:val="32"/>
          <w:szCs w:val="32"/>
        </w:rPr>
        <w:t>%，基本支出占比</w:t>
      </w:r>
      <w:r>
        <w:rPr>
          <w:rFonts w:hint="eastAsia" w:ascii="仿宋" w:hAnsi="仿宋" w:eastAsia="仿宋" w:cs="仿宋"/>
          <w:sz w:val="32"/>
          <w:szCs w:val="32"/>
          <w:lang w:val="en-US" w:eastAsia="zh-CN"/>
        </w:rPr>
        <w:t>26</w:t>
      </w:r>
      <w:r>
        <w:rPr>
          <w:rFonts w:hint="eastAsia" w:ascii="仿宋" w:hAnsi="仿宋" w:eastAsia="仿宋" w:cs="仿宋"/>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rPr>
        <w:t>（三）年末结转和结余情况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1．202</w:t>
      </w:r>
      <w:r>
        <w:rPr>
          <w:rFonts w:hint="eastAsia" w:ascii="仿宋" w:hAnsi="仿宋" w:eastAsia="仿宋" w:cs="仿宋"/>
          <w:sz w:val="32"/>
          <w:szCs w:val="32"/>
          <w:lang w:val="en-US" w:eastAsia="zh-CN"/>
        </w:rPr>
        <w:t>1</w:t>
      </w:r>
      <w:r>
        <w:rPr>
          <w:rFonts w:hint="eastAsia" w:ascii="仿宋" w:hAnsi="仿宋" w:eastAsia="仿宋" w:cs="仿宋"/>
          <w:sz w:val="32"/>
          <w:szCs w:val="32"/>
        </w:rPr>
        <w:t>年无分资金来源、资金性质结转和结余情况</w:t>
      </w:r>
      <w:r>
        <w:rPr>
          <w:rFonts w:hint="eastAsia" w:ascii="仿宋" w:hAnsi="仿宋" w:eastAsia="仿宋" w:cs="仿宋"/>
          <w:sz w:val="32"/>
          <w:szCs w:val="32"/>
          <w:lang w:eastAsia="zh-CN"/>
        </w:rPr>
        <w:t>，也无</w:t>
      </w:r>
      <w:r>
        <w:rPr>
          <w:rFonts w:hint="eastAsia" w:ascii="仿宋" w:hAnsi="仿宋" w:eastAsia="仿宋" w:cs="仿宋"/>
          <w:sz w:val="32"/>
          <w:szCs w:val="32"/>
        </w:rPr>
        <w:t>项目经费结转和结余情况。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rPr>
        <w:t>（四）与预算支出相关的其他指标分析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对资产、负债信息进行分析，主要分析与上年度对比情况，包括增减绝对值与幅度，增减变动主要原因(可用柱形图或折线图)，对预算编制和执行的影响等。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1、资产信息情况。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2021年年末资产总值为18874733.57元，</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年年末资产总值为</w:t>
      </w:r>
      <w:r>
        <w:rPr>
          <w:rFonts w:hint="eastAsia" w:ascii="仿宋" w:hAnsi="仿宋" w:eastAsia="仿宋" w:cs="仿宋"/>
          <w:sz w:val="32"/>
          <w:szCs w:val="32"/>
          <w:lang w:val="en-US" w:eastAsia="zh-CN"/>
        </w:rPr>
        <w:t>18896733.57</w:t>
      </w:r>
      <w:r>
        <w:rPr>
          <w:rFonts w:hint="eastAsia" w:ascii="仿宋" w:hAnsi="仿宋" w:eastAsia="仿宋" w:cs="仿宋"/>
          <w:sz w:val="32"/>
          <w:szCs w:val="32"/>
        </w:rPr>
        <w:t>元，</w:t>
      </w:r>
      <w:r>
        <w:rPr>
          <w:rFonts w:hint="eastAsia" w:ascii="仿宋" w:hAnsi="仿宋" w:eastAsia="仿宋" w:cs="仿宋"/>
          <w:sz w:val="32"/>
          <w:szCs w:val="32"/>
          <w:lang w:eastAsia="zh-CN"/>
        </w:rPr>
        <w:t>与上年相比</w:t>
      </w:r>
      <w:r>
        <w:rPr>
          <w:rFonts w:hint="eastAsia" w:ascii="仿宋" w:hAnsi="仿宋" w:eastAsia="仿宋" w:cs="仿宋"/>
          <w:sz w:val="32"/>
          <w:szCs w:val="32"/>
        </w:rPr>
        <w:t>下降</w:t>
      </w:r>
      <w:r>
        <w:rPr>
          <w:rFonts w:hint="eastAsia" w:ascii="仿宋" w:hAnsi="仿宋" w:eastAsia="仿宋" w:cs="仿宋"/>
          <w:sz w:val="32"/>
          <w:szCs w:val="32"/>
          <w:lang w:val="en-US" w:eastAsia="zh-CN"/>
        </w:rPr>
        <w:t>0.1</w:t>
      </w:r>
      <w:r>
        <w:rPr>
          <w:rFonts w:hint="eastAsia" w:ascii="仿宋" w:hAnsi="仿宋" w:eastAsia="仿宋" w:cs="仿宋"/>
          <w:sz w:val="32"/>
          <w:szCs w:val="32"/>
        </w:rPr>
        <w:t>%，</w:t>
      </w:r>
      <w:r>
        <w:rPr>
          <w:rFonts w:hint="eastAsia" w:ascii="仿宋" w:hAnsi="仿宋" w:eastAsia="仿宋" w:cs="仿宋"/>
          <w:color w:val="auto"/>
          <w:sz w:val="32"/>
          <w:szCs w:val="32"/>
        </w:rPr>
        <w:t>主要原因为</w:t>
      </w:r>
      <w:r>
        <w:rPr>
          <w:rFonts w:hint="eastAsia" w:ascii="仿宋" w:hAnsi="仿宋" w:eastAsia="仿宋" w:cs="仿宋"/>
          <w:color w:val="auto"/>
          <w:sz w:val="32"/>
          <w:szCs w:val="32"/>
          <w:lang w:eastAsia="zh-CN"/>
        </w:rPr>
        <w:t>银行存款减少</w:t>
      </w:r>
      <w:r>
        <w:rPr>
          <w:rFonts w:hint="eastAsia" w:ascii="仿宋" w:hAnsi="仿宋" w:eastAsia="仿宋" w:cs="仿宋"/>
          <w:color w:val="auto"/>
          <w:sz w:val="32"/>
          <w:szCs w:val="32"/>
        </w:rPr>
        <w:t>。资产</w:t>
      </w:r>
      <w:r>
        <w:rPr>
          <w:rFonts w:hint="eastAsia" w:ascii="仿宋" w:hAnsi="仿宋" w:eastAsia="仿宋" w:cs="仿宋"/>
          <w:sz w:val="32"/>
          <w:szCs w:val="32"/>
        </w:rPr>
        <w:t>构成情况如下表</w:t>
      </w:r>
      <w:r>
        <w:rPr>
          <w:rFonts w:hint="eastAsia" w:ascii="仿宋" w:hAnsi="仿宋" w:eastAsia="仿宋" w:cs="仿宋"/>
          <w:sz w:val="32"/>
          <w:szCs w:val="32"/>
          <w:lang w:eastAsia="zh-CN"/>
        </w:rPr>
        <w:t>（</w:t>
      </w:r>
      <w:r>
        <w:rPr>
          <w:rFonts w:hint="eastAsia" w:ascii="仿宋" w:hAnsi="仿宋" w:eastAsia="仿宋" w:cs="仿宋"/>
          <w:sz w:val="32"/>
          <w:szCs w:val="32"/>
        </w:rPr>
        <w:t>单位：元</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p>
    <w:tbl>
      <w:tblPr>
        <w:tblStyle w:val="4"/>
        <w:tblW w:w="8865" w:type="dxa"/>
        <w:jc w:val="center"/>
        <w:tblLayout w:type="fixed"/>
        <w:tblCellMar>
          <w:top w:w="0" w:type="dxa"/>
          <w:left w:w="0" w:type="dxa"/>
          <w:bottom w:w="0" w:type="dxa"/>
          <w:right w:w="0" w:type="dxa"/>
        </w:tblCellMar>
      </w:tblPr>
      <w:tblGrid>
        <w:gridCol w:w="1339"/>
        <w:gridCol w:w="1601"/>
        <w:gridCol w:w="2194"/>
        <w:gridCol w:w="1886"/>
        <w:gridCol w:w="1845"/>
      </w:tblGrid>
      <w:tr>
        <w:tblPrEx>
          <w:tblCellMar>
            <w:top w:w="0" w:type="dxa"/>
            <w:left w:w="0" w:type="dxa"/>
            <w:bottom w:w="0" w:type="dxa"/>
            <w:right w:w="0" w:type="dxa"/>
          </w:tblCellMar>
        </w:tblPrEx>
        <w:trPr>
          <w:trHeight w:val="757" w:hRule="atLeast"/>
          <w:jc w:val="center"/>
        </w:trPr>
        <w:tc>
          <w:tcPr>
            <w:tcW w:w="13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年度</w:t>
            </w:r>
          </w:p>
        </w:tc>
        <w:tc>
          <w:tcPr>
            <w:tcW w:w="16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货币资金</w:t>
            </w:r>
          </w:p>
        </w:tc>
        <w:tc>
          <w:tcPr>
            <w:tcW w:w="21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其他应收款净额</w:t>
            </w:r>
          </w:p>
        </w:tc>
        <w:tc>
          <w:tcPr>
            <w:tcW w:w="18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固定资产净值</w:t>
            </w: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受托代理资产</w:t>
            </w:r>
          </w:p>
        </w:tc>
      </w:tr>
      <w:tr>
        <w:tblPrEx>
          <w:tblCellMar>
            <w:top w:w="0" w:type="dxa"/>
            <w:left w:w="0" w:type="dxa"/>
            <w:bottom w:w="0" w:type="dxa"/>
            <w:right w:w="0" w:type="dxa"/>
          </w:tblCellMar>
        </w:tblPrEx>
        <w:trPr>
          <w:trHeight w:val="762" w:hRule="atLeast"/>
          <w:jc w:val="center"/>
        </w:trPr>
        <w:tc>
          <w:tcPr>
            <w:tcW w:w="13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20</w:t>
            </w:r>
            <w:r>
              <w:rPr>
                <w:rFonts w:hint="eastAsia" w:ascii="宋体" w:hAnsi="宋体" w:cs="宋体"/>
                <w:i w:val="0"/>
                <w:color w:val="000000"/>
                <w:kern w:val="0"/>
                <w:sz w:val="28"/>
                <w:szCs w:val="28"/>
                <w:u w:val="none"/>
                <w:lang w:val="en-US" w:eastAsia="zh-CN" w:bidi="ar"/>
              </w:rPr>
              <w:t>20</w:t>
            </w:r>
            <w:r>
              <w:rPr>
                <w:rFonts w:hint="eastAsia" w:ascii="宋体" w:hAnsi="宋体" w:eastAsia="宋体" w:cs="宋体"/>
                <w:i w:val="0"/>
                <w:color w:val="000000"/>
                <w:kern w:val="0"/>
                <w:sz w:val="28"/>
                <w:szCs w:val="28"/>
                <w:u w:val="none"/>
                <w:lang w:val="en-US" w:eastAsia="zh-CN" w:bidi="ar"/>
              </w:rPr>
              <w:t>年</w:t>
            </w:r>
          </w:p>
        </w:tc>
        <w:tc>
          <w:tcPr>
            <w:tcW w:w="16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cs="宋体"/>
                <w:i w:val="0"/>
                <w:color w:val="000000" w:themeColor="text1"/>
                <w:sz w:val="28"/>
                <w:szCs w:val="28"/>
                <w:u w:val="none"/>
                <w:lang w:val="en-US" w:eastAsia="zh-CN"/>
                <w14:textFill>
                  <w14:solidFill>
                    <w14:schemeClr w14:val="tx1"/>
                  </w14:solidFill>
                </w14:textFill>
              </w:rPr>
            </w:pPr>
            <w:r>
              <w:rPr>
                <w:rFonts w:hint="eastAsia" w:ascii="宋体" w:hAnsi="宋体" w:cs="宋体"/>
                <w:i w:val="0"/>
                <w:color w:val="000000" w:themeColor="text1"/>
                <w:sz w:val="28"/>
                <w:szCs w:val="28"/>
                <w:u w:val="none"/>
                <w:lang w:val="en-US" w:eastAsia="zh-CN"/>
                <w14:textFill>
                  <w14:solidFill>
                    <w14:schemeClr w14:val="tx1"/>
                  </w14:solidFill>
                </w14:textFill>
              </w:rPr>
              <w:t>514907.89</w:t>
            </w:r>
          </w:p>
        </w:tc>
        <w:tc>
          <w:tcPr>
            <w:tcW w:w="21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cs="宋体"/>
                <w:i w:val="0"/>
                <w:color w:val="000000" w:themeColor="text1"/>
                <w:sz w:val="28"/>
                <w:szCs w:val="28"/>
                <w:u w:val="none"/>
                <w:lang w:val="en-US" w:eastAsia="zh-CN"/>
                <w14:textFill>
                  <w14:solidFill>
                    <w14:schemeClr w14:val="tx1"/>
                  </w14:solidFill>
                </w14:textFill>
              </w:rPr>
            </w:pPr>
            <w:r>
              <w:rPr>
                <w:rFonts w:hint="eastAsia" w:ascii="宋体" w:hAnsi="宋体" w:cs="宋体"/>
                <w:i w:val="0"/>
                <w:color w:val="000000" w:themeColor="text1"/>
                <w:sz w:val="28"/>
                <w:szCs w:val="28"/>
                <w:u w:val="none"/>
                <w:lang w:val="en-US" w:eastAsia="zh-CN"/>
                <w14:textFill>
                  <w14:solidFill>
                    <w14:schemeClr w14:val="tx1"/>
                  </w14:solidFill>
                </w14:textFill>
              </w:rPr>
              <w:t>15493511.96</w:t>
            </w:r>
          </w:p>
        </w:tc>
        <w:tc>
          <w:tcPr>
            <w:tcW w:w="18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eastAsia="宋体" w:cs="宋体"/>
                <w:i w:val="0"/>
                <w:color w:val="000000" w:themeColor="text1"/>
                <w:sz w:val="28"/>
                <w:szCs w:val="28"/>
                <w:u w:val="none"/>
                <w:lang w:val="en-US" w:eastAsia="zh-CN"/>
                <w14:textFill>
                  <w14:solidFill>
                    <w14:schemeClr w14:val="tx1"/>
                  </w14:solidFill>
                </w14:textFill>
              </w:rPr>
            </w:pPr>
            <w:r>
              <w:rPr>
                <w:rFonts w:hint="eastAsia" w:ascii="宋体" w:hAnsi="宋体" w:cs="宋体"/>
                <w:i w:val="0"/>
                <w:color w:val="000000" w:themeColor="text1"/>
                <w:sz w:val="28"/>
                <w:szCs w:val="28"/>
                <w:u w:val="none"/>
                <w:lang w:val="en-US" w:eastAsia="zh-CN"/>
                <w14:textFill>
                  <w14:solidFill>
                    <w14:schemeClr w14:val="tx1"/>
                  </w14:solidFill>
                </w14:textFill>
              </w:rPr>
              <w:t>237724</w:t>
            </w: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themeColor="text1"/>
                <w:sz w:val="28"/>
                <w:szCs w:val="28"/>
                <w:u w:val="none"/>
                <w:lang w:val="en-US" w:eastAsia="zh-CN"/>
                <w14:textFill>
                  <w14:solidFill>
                    <w14:schemeClr w14:val="tx1"/>
                  </w14:solidFill>
                </w14:textFill>
              </w:rPr>
            </w:pPr>
            <w:r>
              <w:rPr>
                <w:rFonts w:hint="eastAsia" w:ascii="宋体" w:hAnsi="宋体" w:eastAsia="宋体" w:cs="宋体"/>
                <w:i w:val="0"/>
                <w:color w:val="000000"/>
                <w:kern w:val="0"/>
                <w:sz w:val="28"/>
                <w:szCs w:val="28"/>
                <w:u w:val="none"/>
                <w:lang w:val="en-US" w:eastAsia="zh-CN" w:bidi="ar"/>
              </w:rPr>
              <w:t>2650589.72</w:t>
            </w:r>
          </w:p>
        </w:tc>
      </w:tr>
      <w:tr>
        <w:tblPrEx>
          <w:tblCellMar>
            <w:top w:w="0" w:type="dxa"/>
            <w:left w:w="0" w:type="dxa"/>
            <w:bottom w:w="0" w:type="dxa"/>
            <w:right w:w="0" w:type="dxa"/>
          </w:tblCellMar>
        </w:tblPrEx>
        <w:trPr>
          <w:trHeight w:val="747" w:hRule="atLeast"/>
          <w:jc w:val="center"/>
        </w:trPr>
        <w:tc>
          <w:tcPr>
            <w:tcW w:w="13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202</w:t>
            </w:r>
            <w:r>
              <w:rPr>
                <w:rFonts w:hint="eastAsia" w:ascii="宋体" w:hAnsi="宋体" w:cs="宋体"/>
                <w:i w:val="0"/>
                <w:color w:val="000000"/>
                <w:kern w:val="0"/>
                <w:sz w:val="28"/>
                <w:szCs w:val="28"/>
                <w:u w:val="none"/>
                <w:lang w:val="en-US" w:eastAsia="zh-CN" w:bidi="ar"/>
              </w:rPr>
              <w:t>1</w:t>
            </w:r>
            <w:r>
              <w:rPr>
                <w:rFonts w:hint="eastAsia" w:ascii="宋体" w:hAnsi="宋体" w:eastAsia="宋体" w:cs="宋体"/>
                <w:i w:val="0"/>
                <w:color w:val="000000"/>
                <w:kern w:val="0"/>
                <w:sz w:val="28"/>
                <w:szCs w:val="28"/>
                <w:u w:val="none"/>
                <w:lang w:val="en-US" w:eastAsia="zh-CN" w:bidi="ar"/>
              </w:rPr>
              <w:t>年</w:t>
            </w:r>
          </w:p>
        </w:tc>
        <w:tc>
          <w:tcPr>
            <w:tcW w:w="16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default" w:ascii="宋体" w:hAnsi="宋体" w:cs="宋体"/>
                <w:i w:val="0"/>
                <w:color w:val="000000" w:themeColor="text1"/>
                <w:sz w:val="28"/>
                <w:szCs w:val="28"/>
                <w:u w:val="none"/>
                <w:lang w:val="en-US" w:eastAsia="zh-CN"/>
                <w14:textFill>
                  <w14:solidFill>
                    <w14:schemeClr w14:val="tx1"/>
                  </w14:solidFill>
                </w14:textFill>
              </w:rPr>
            </w:pPr>
            <w:r>
              <w:rPr>
                <w:rFonts w:hint="eastAsia" w:ascii="宋体" w:hAnsi="宋体" w:cs="宋体"/>
                <w:i w:val="0"/>
                <w:color w:val="000000" w:themeColor="text1"/>
                <w:sz w:val="28"/>
                <w:szCs w:val="28"/>
                <w:u w:val="none"/>
                <w:lang w:val="en-US" w:eastAsia="zh-CN"/>
                <w14:textFill>
                  <w14:solidFill>
                    <w14:schemeClr w14:val="tx1"/>
                  </w14:solidFill>
                </w14:textFill>
              </w:rPr>
              <w:t>492907.89</w:t>
            </w:r>
          </w:p>
        </w:tc>
        <w:tc>
          <w:tcPr>
            <w:tcW w:w="21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cs="宋体"/>
                <w:i w:val="0"/>
                <w:color w:val="000000" w:themeColor="text1"/>
                <w:sz w:val="28"/>
                <w:szCs w:val="28"/>
                <w:u w:val="none"/>
                <w:lang w:val="en-US" w:eastAsia="zh-CN"/>
                <w14:textFill>
                  <w14:solidFill>
                    <w14:schemeClr w14:val="tx1"/>
                  </w14:solidFill>
                </w14:textFill>
              </w:rPr>
            </w:pPr>
            <w:r>
              <w:rPr>
                <w:rFonts w:hint="eastAsia" w:ascii="宋体" w:hAnsi="宋体" w:cs="宋体"/>
                <w:i w:val="0"/>
                <w:color w:val="000000" w:themeColor="text1"/>
                <w:sz w:val="28"/>
                <w:szCs w:val="28"/>
                <w:u w:val="none"/>
                <w:lang w:val="en-US" w:eastAsia="zh-CN"/>
                <w14:textFill>
                  <w14:solidFill>
                    <w14:schemeClr w14:val="tx1"/>
                  </w14:solidFill>
                </w14:textFill>
              </w:rPr>
              <w:t>15493511.96</w:t>
            </w:r>
          </w:p>
        </w:tc>
        <w:tc>
          <w:tcPr>
            <w:tcW w:w="18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560" w:firstLineChars="200"/>
              <w:jc w:val="both"/>
              <w:textAlignment w:val="center"/>
              <w:rPr>
                <w:rFonts w:hint="default" w:ascii="宋体" w:hAnsi="宋体" w:eastAsia="宋体" w:cs="宋体"/>
                <w:i w:val="0"/>
                <w:color w:val="000000"/>
                <w:kern w:val="2"/>
                <w:sz w:val="28"/>
                <w:szCs w:val="28"/>
                <w:u w:val="none"/>
                <w:lang w:val="en-US" w:eastAsia="zh-CN" w:bidi="ar-SA"/>
              </w:rPr>
            </w:pPr>
            <w:r>
              <w:rPr>
                <w:rFonts w:hint="eastAsia" w:ascii="宋体" w:hAnsi="宋体" w:cs="宋体"/>
                <w:i w:val="0"/>
                <w:color w:val="000000"/>
                <w:kern w:val="2"/>
                <w:sz w:val="28"/>
                <w:szCs w:val="28"/>
                <w:u w:val="none"/>
                <w:lang w:val="en-US" w:eastAsia="zh-CN" w:bidi="ar-SA"/>
              </w:rPr>
              <w:t>237724</w:t>
            </w:r>
          </w:p>
        </w:tc>
        <w:tc>
          <w:tcPr>
            <w:tcW w:w="18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8"/>
                <w:szCs w:val="28"/>
                <w:u w:val="none"/>
                <w:lang w:val="en-US" w:eastAsia="zh-CN" w:bidi="ar-SA"/>
              </w:rPr>
            </w:pPr>
            <w:r>
              <w:rPr>
                <w:rFonts w:hint="eastAsia" w:ascii="宋体" w:hAnsi="宋体" w:eastAsia="宋体" w:cs="宋体"/>
                <w:i w:val="0"/>
                <w:color w:val="000000"/>
                <w:kern w:val="0"/>
                <w:sz w:val="28"/>
                <w:szCs w:val="28"/>
                <w:u w:val="none"/>
                <w:lang w:val="en-US" w:eastAsia="zh-CN" w:bidi="ar"/>
              </w:rPr>
              <w:t>2650589.72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2、负债信息情况。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sz w:val="32"/>
          <w:szCs w:val="32"/>
          <w:lang w:val="en-US" w:eastAsia="zh-CN"/>
        </w:rPr>
        <w:t>2021年年末负债总值为15320203.59元，</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年年末负债总值为</w:t>
      </w:r>
      <w:r>
        <w:rPr>
          <w:rFonts w:hint="eastAsia" w:ascii="仿宋" w:hAnsi="仿宋" w:eastAsia="仿宋" w:cs="仿宋"/>
          <w:sz w:val="32"/>
          <w:szCs w:val="32"/>
          <w:lang w:val="en-US" w:eastAsia="zh-CN"/>
        </w:rPr>
        <w:t>16528329.59</w:t>
      </w:r>
      <w:r>
        <w:rPr>
          <w:rFonts w:hint="eastAsia" w:ascii="仿宋" w:hAnsi="仿宋" w:eastAsia="仿宋" w:cs="仿宋"/>
          <w:sz w:val="32"/>
          <w:szCs w:val="32"/>
        </w:rPr>
        <w:t>元，</w:t>
      </w:r>
      <w:r>
        <w:rPr>
          <w:rFonts w:hint="eastAsia" w:ascii="仿宋" w:hAnsi="仿宋" w:eastAsia="仿宋" w:cs="仿宋"/>
          <w:sz w:val="32"/>
          <w:szCs w:val="32"/>
          <w:lang w:eastAsia="zh-CN"/>
        </w:rPr>
        <w:t>与上年相比下降</w:t>
      </w:r>
      <w:r>
        <w:rPr>
          <w:rFonts w:hint="eastAsia" w:ascii="仿宋" w:hAnsi="仿宋" w:eastAsia="仿宋" w:cs="仿宋"/>
          <w:sz w:val="32"/>
          <w:szCs w:val="32"/>
          <w:lang w:val="en-US" w:eastAsia="zh-CN"/>
        </w:rPr>
        <w:t>7.3</w:t>
      </w:r>
      <w:r>
        <w:rPr>
          <w:rFonts w:hint="eastAsia" w:ascii="仿宋" w:hAnsi="仿宋" w:eastAsia="仿宋" w:cs="仿宋"/>
          <w:sz w:val="32"/>
          <w:szCs w:val="32"/>
        </w:rPr>
        <w:t>%，</w:t>
      </w:r>
      <w:r>
        <w:rPr>
          <w:rFonts w:hint="eastAsia" w:ascii="仿宋" w:hAnsi="仿宋" w:eastAsia="仿宋" w:cs="仿宋"/>
          <w:color w:val="auto"/>
          <w:sz w:val="32"/>
          <w:szCs w:val="32"/>
        </w:rPr>
        <w:t>主要原因为</w:t>
      </w:r>
      <w:r>
        <w:rPr>
          <w:rFonts w:hint="eastAsia" w:ascii="仿宋" w:hAnsi="仿宋" w:eastAsia="仿宋" w:cs="仿宋"/>
          <w:color w:val="auto"/>
          <w:sz w:val="32"/>
          <w:szCs w:val="32"/>
          <w:lang w:eastAsia="zh-CN"/>
        </w:rPr>
        <w:t>应缴财政款全额上缴</w:t>
      </w:r>
      <w:r>
        <w:rPr>
          <w:rFonts w:hint="eastAsia" w:ascii="仿宋" w:hAnsi="仿宋" w:eastAsia="仿宋" w:cs="仿宋"/>
          <w:color w:val="auto"/>
          <w:sz w:val="32"/>
          <w:szCs w:val="32"/>
        </w:rPr>
        <w:t>。负债构成情况如下表：</w:t>
      </w:r>
    </w:p>
    <w:tbl>
      <w:tblPr>
        <w:tblStyle w:val="4"/>
        <w:tblW w:w="7749" w:type="dxa"/>
        <w:jc w:val="center"/>
        <w:tblLayout w:type="fixed"/>
        <w:tblCellMar>
          <w:top w:w="0" w:type="dxa"/>
          <w:left w:w="0" w:type="dxa"/>
          <w:bottom w:w="0" w:type="dxa"/>
          <w:right w:w="0" w:type="dxa"/>
        </w:tblCellMar>
      </w:tblPr>
      <w:tblGrid>
        <w:gridCol w:w="2049"/>
        <w:gridCol w:w="2835"/>
        <w:gridCol w:w="2865"/>
      </w:tblGrid>
      <w:tr>
        <w:tblPrEx>
          <w:tblCellMar>
            <w:top w:w="0" w:type="dxa"/>
            <w:left w:w="0" w:type="dxa"/>
            <w:bottom w:w="0" w:type="dxa"/>
            <w:right w:w="0" w:type="dxa"/>
          </w:tblCellMar>
        </w:tblPrEx>
        <w:trPr>
          <w:trHeight w:val="255" w:hRule="atLeast"/>
          <w:jc w:val="center"/>
        </w:trPr>
        <w:tc>
          <w:tcPr>
            <w:tcW w:w="20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年度</w:t>
            </w:r>
          </w:p>
        </w:tc>
        <w:tc>
          <w:tcPr>
            <w:tcW w:w="28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应缴财政款</w:t>
            </w:r>
          </w:p>
        </w:tc>
        <w:tc>
          <w:tcPr>
            <w:tcW w:w="28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受托代理负债</w:t>
            </w:r>
          </w:p>
        </w:tc>
      </w:tr>
      <w:tr>
        <w:tblPrEx>
          <w:tblCellMar>
            <w:top w:w="0" w:type="dxa"/>
            <w:left w:w="0" w:type="dxa"/>
            <w:bottom w:w="0" w:type="dxa"/>
            <w:right w:w="0" w:type="dxa"/>
          </w:tblCellMar>
        </w:tblPrEx>
        <w:trPr>
          <w:trHeight w:val="255" w:hRule="atLeast"/>
          <w:jc w:val="center"/>
        </w:trPr>
        <w:tc>
          <w:tcPr>
            <w:tcW w:w="20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20</w:t>
            </w:r>
            <w:r>
              <w:rPr>
                <w:rFonts w:hint="eastAsia" w:ascii="宋体" w:hAnsi="宋体" w:cs="宋体"/>
                <w:i w:val="0"/>
                <w:color w:val="000000"/>
                <w:kern w:val="0"/>
                <w:sz w:val="28"/>
                <w:szCs w:val="28"/>
                <w:u w:val="none"/>
                <w:lang w:val="en-US" w:eastAsia="zh-CN" w:bidi="ar"/>
              </w:rPr>
              <w:t>20</w:t>
            </w:r>
            <w:r>
              <w:rPr>
                <w:rFonts w:hint="eastAsia" w:ascii="宋体" w:hAnsi="宋体" w:eastAsia="宋体" w:cs="宋体"/>
                <w:i w:val="0"/>
                <w:color w:val="000000"/>
                <w:kern w:val="0"/>
                <w:sz w:val="28"/>
                <w:szCs w:val="28"/>
                <w:u w:val="none"/>
                <w:lang w:val="en-US" w:eastAsia="zh-CN" w:bidi="ar"/>
              </w:rPr>
              <w:t>年</w:t>
            </w:r>
          </w:p>
        </w:tc>
        <w:tc>
          <w:tcPr>
            <w:tcW w:w="28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1208126.00</w:t>
            </w:r>
          </w:p>
        </w:tc>
        <w:tc>
          <w:tcPr>
            <w:tcW w:w="28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15320203.59</w:t>
            </w:r>
          </w:p>
        </w:tc>
      </w:tr>
      <w:tr>
        <w:tblPrEx>
          <w:tblCellMar>
            <w:top w:w="0" w:type="dxa"/>
            <w:left w:w="0" w:type="dxa"/>
            <w:bottom w:w="0" w:type="dxa"/>
            <w:right w:w="0" w:type="dxa"/>
          </w:tblCellMar>
        </w:tblPrEx>
        <w:trPr>
          <w:trHeight w:val="255" w:hRule="atLeast"/>
          <w:jc w:val="center"/>
        </w:trPr>
        <w:tc>
          <w:tcPr>
            <w:tcW w:w="20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202</w:t>
            </w:r>
            <w:r>
              <w:rPr>
                <w:rFonts w:hint="eastAsia" w:ascii="宋体" w:hAnsi="宋体" w:cs="宋体"/>
                <w:i w:val="0"/>
                <w:color w:val="000000"/>
                <w:kern w:val="0"/>
                <w:sz w:val="28"/>
                <w:szCs w:val="28"/>
                <w:u w:val="none"/>
                <w:lang w:val="en-US" w:eastAsia="zh-CN" w:bidi="ar"/>
              </w:rPr>
              <w:t>1</w:t>
            </w:r>
            <w:r>
              <w:rPr>
                <w:rFonts w:hint="eastAsia" w:ascii="宋体" w:hAnsi="宋体" w:eastAsia="宋体" w:cs="宋体"/>
                <w:i w:val="0"/>
                <w:color w:val="000000"/>
                <w:kern w:val="0"/>
                <w:sz w:val="28"/>
                <w:szCs w:val="28"/>
                <w:u w:val="none"/>
                <w:lang w:val="en-US" w:eastAsia="zh-CN" w:bidi="ar"/>
              </w:rPr>
              <w:t>年</w:t>
            </w:r>
          </w:p>
        </w:tc>
        <w:tc>
          <w:tcPr>
            <w:tcW w:w="28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cs="宋体"/>
                <w:i w:val="0"/>
                <w:color w:val="000000"/>
                <w:kern w:val="0"/>
                <w:sz w:val="28"/>
                <w:szCs w:val="28"/>
                <w:u w:val="none"/>
                <w:lang w:val="en-US" w:eastAsia="zh-CN" w:bidi="ar"/>
              </w:rPr>
              <w:t>0</w:t>
            </w:r>
          </w:p>
        </w:tc>
        <w:tc>
          <w:tcPr>
            <w:tcW w:w="28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bottom"/>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15320203.59</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（五）绩效目标完成情况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1.项目绩效目标完成情况100%。</w:t>
      </w:r>
      <w:r>
        <w:rPr>
          <w:rFonts w:hint="eastAsia" w:ascii="仿宋" w:hAnsi="仿宋" w:eastAsia="仿宋" w:cs="仿宋"/>
          <w:color w:val="000000" w:themeColor="text1"/>
          <w:sz w:val="32"/>
          <w:szCs w:val="32"/>
          <w:lang w:val="en-US" w:eastAsia="zh-CN"/>
          <w14:textFill>
            <w14:solidFill>
              <w14:schemeClr w14:val="tx1"/>
            </w14:solidFill>
          </w14:textFill>
        </w:rPr>
        <w:t>2021</w:t>
      </w:r>
      <w:r>
        <w:rPr>
          <w:rFonts w:hint="eastAsia" w:ascii="仿宋" w:hAnsi="仿宋" w:eastAsia="仿宋" w:cs="仿宋"/>
          <w:color w:val="000000" w:themeColor="text1"/>
          <w:sz w:val="32"/>
          <w:szCs w:val="32"/>
          <w14:textFill>
            <w14:solidFill>
              <w14:schemeClr w14:val="tx1"/>
            </w14:solidFill>
          </w14:textFill>
        </w:rPr>
        <w:t>年预算项目收入为</w:t>
      </w:r>
      <w:r>
        <w:rPr>
          <w:rFonts w:hint="eastAsia" w:ascii="仿宋" w:hAnsi="仿宋" w:eastAsia="仿宋" w:cs="仿宋"/>
          <w:sz w:val="32"/>
          <w:szCs w:val="32"/>
          <w:lang w:val="en-US" w:eastAsia="zh-CN"/>
        </w:rPr>
        <w:t>45792720.75</w:t>
      </w:r>
      <w:r>
        <w:rPr>
          <w:rFonts w:hint="eastAsia" w:ascii="仿宋" w:hAnsi="仿宋" w:eastAsia="仿宋" w:cs="仿宋"/>
          <w:color w:val="auto"/>
          <w:sz w:val="32"/>
          <w:szCs w:val="32"/>
        </w:rPr>
        <w:t>元，支出为</w:t>
      </w:r>
      <w:r>
        <w:rPr>
          <w:rFonts w:hint="eastAsia" w:ascii="仿宋" w:hAnsi="仿宋" w:eastAsia="仿宋" w:cs="仿宋"/>
          <w:sz w:val="32"/>
          <w:szCs w:val="32"/>
          <w:lang w:val="en-US" w:eastAsia="zh-CN"/>
        </w:rPr>
        <w:t>45792720.75</w:t>
      </w:r>
      <w:r>
        <w:rPr>
          <w:rFonts w:hint="eastAsia" w:ascii="仿宋" w:hAnsi="仿宋" w:eastAsia="仿宋" w:cs="仿宋"/>
          <w:color w:val="auto"/>
          <w:sz w:val="32"/>
          <w:szCs w:val="32"/>
        </w:rPr>
        <w:t>元。</w:t>
      </w:r>
      <w:r>
        <w:rPr>
          <w:rFonts w:hint="eastAsia" w:ascii="仿宋" w:hAnsi="仿宋" w:eastAsia="仿宋" w:cs="仿宋"/>
          <w:color w:val="000000" w:themeColor="text1"/>
          <w:sz w:val="32"/>
          <w:szCs w:val="32"/>
          <w14:textFill>
            <w14:solidFill>
              <w14:schemeClr w14:val="tx1"/>
            </w14:solidFill>
          </w14:textFill>
        </w:rPr>
        <w:t>我单位支出绩效水平较高，整体完成了年初设定的绩效目标，保障了本单位各部门的正常运转，促进了宝林镇整体经济的平稳发展，充分发挥了财政资金的经济效益和社会效益</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rPr>
        <w:t>（六）当年预算执行及绩效管理中存在问题、原因及改进措施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编制预算绩效目标量化指标的设定有待加强，绩效考核方案不够到位，自评结果应用不充分，总结经验反馈问题不够及时，绩效考核工作痕迹管理不完备，考核结果有效性有待加强和完善。部分项目当年没有支付资金，预算执行率不够高。在今后的工作中，我单位将严格按照《预算法》、《省人民政府关于推进预算绩效管理意见》和《县人民政府办公室关于推进实施预算绩效管理的通知》的要求，针对存在的问题，大力加强预算绩效监督管理力度，加快资金支付进度，重视绩效考核管理，认真做好绩效目标管理工作。</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四、本年度部门决算等财务工作开展情况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（一）本单位对财务工作进行规范化管理，积极同财政部门及时沟通学习，进行财政部门组织的预决算、编报、审核等方面工作，按时完成，认真如实填报。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（二）本部门（单位）决算公开工作、主管部门对所属单位按规定批复决算工作开展情况。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本单位对预算和决算公开工作按规定认真执行，该填制及时填制，该公开及时公开，该上报及时上报。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（三）对部门（单位）决算管理及报表设计的意见建议。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本单位无建议。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（四）对加强部门决算数据分析利用工作的建议。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本单位无建议。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注：收入支出预算执行情况分析可参考部门决算分析评价表（见软件查询模板）及行政事业单位财务分析指标（附后）。</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行政事业单位财务分析指标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一、行政单位财务分析指标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1.支出增长率，衡量行政单位支出的增长水平。计算公式为：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支出增长率＝(本期支出总额÷上期支出总额-1)×100%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2.当年预算支出完成率，衡量行政单位当年支出总预算及分项预算完成的程度。计算公式为：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当年预算支出完成率＝年终执行数÷（年初预算数±年中预算调整数）×100%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年终执行数不含上年结转和结余支出数。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3.人均开支，衡量行政单位人均年消耗经费水平。计算公式为：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人均开支＝本期支出数÷本期平均在职人员数×100%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4.项目支出占总支出的比率，衡量行政单位的支出结构。计算公式为：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项目支出比率=本期项目支出数÷本期支出总数×100%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5.人员支出、公用支出占总支出的比率，衡量行政单位的支出结构。计算公式为：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人员支出比率=本期人员支出数÷本期支出总数×100%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公用支出比率=本期公用支出数÷本期支出总数×100%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6.人均办公使用面积，衡量行政单位办公用房配备情况。计算公式为：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人均办公使用面积=本期末单位办公用房使用面积÷本期末在职人员数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7.人车比例，衡量行政单位公务用车配备情况。计算公式为：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人车比例=本期末在职人员数÷本期末公务用车实有数:1</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二、事业单位财务分析指标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1.预算收入和支出完成率，衡量事业单位收入和支出总预算及分项预算完成的程度。计算公式为：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预算收入完成率＝年终执行数÷（年初预算数±年中预算调整数）×100%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年终执行数不含上年结转和结余收入数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预算支出完成率＝年终执行数÷（年初预算数±年中预算调整数）×100%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年终执行数不含上年结转和结余支出数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2.人员支出、公用支出占事业支出的比率，衡量事业单位事业支出结构。计算公式为：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人员支出比率＝人员支出÷事业支出×100%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公用支出比率＝公用支出÷事业支出×100%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3.人均基本支出，衡量事业单位按照实际在编人数平均的基本支出水平。计算公式为：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人均基本支出＝（基本支出-离退休人员支出）÷实际在编人数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此外，行业事业单位还可根据相关财务制度规定和分析需要增加相关分析指标，如：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1.财政拨款依存度, 衡量部门（单位）对财政拨款的依赖程度。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t>财政拨款依存度＝财政拨款收入÷收入总额×100%</w:t>
      </w:r>
    </w:p>
    <w:sectPr>
      <w:footerReference r:id="rId3" w:type="default"/>
      <w:pgSz w:w="11906" w:h="16838"/>
      <w:pgMar w:top="2098" w:right="1474" w:bottom="1928"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14059E"/>
    <w:rsid w:val="153763F8"/>
    <w:rsid w:val="1A4E4F75"/>
    <w:rsid w:val="1CEF6249"/>
    <w:rsid w:val="29D17DDA"/>
    <w:rsid w:val="31850799"/>
    <w:rsid w:val="32D1552E"/>
    <w:rsid w:val="360171DE"/>
    <w:rsid w:val="36D853BB"/>
    <w:rsid w:val="3C5C2ED3"/>
    <w:rsid w:val="410E01A8"/>
    <w:rsid w:val="43597AF3"/>
    <w:rsid w:val="436A321B"/>
    <w:rsid w:val="43A47E34"/>
    <w:rsid w:val="444B456D"/>
    <w:rsid w:val="4638183E"/>
    <w:rsid w:val="46D529F0"/>
    <w:rsid w:val="49C76B90"/>
    <w:rsid w:val="4E7E162E"/>
    <w:rsid w:val="4F610F95"/>
    <w:rsid w:val="528A6285"/>
    <w:rsid w:val="52C83AFF"/>
    <w:rsid w:val="56085172"/>
    <w:rsid w:val="560B46D3"/>
    <w:rsid w:val="61DC4623"/>
    <w:rsid w:val="652D1791"/>
    <w:rsid w:val="6C3A7E46"/>
    <w:rsid w:val="6CF26ADA"/>
    <w:rsid w:val="6F8560B6"/>
    <w:rsid w:val="71927BE5"/>
    <w:rsid w:val="71F906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1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2021</a:t>
            </a:r>
            <a:r>
              <a:rPr altLang="en-US"/>
              <a:t>年预算数据与决算数据</a:t>
            </a:r>
            <a:endParaRPr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2021预算</c:v>
                </c:pt>
              </c:strCache>
            </c:strRef>
          </c:tx>
          <c:spPr>
            <a:solidFill>
              <a:schemeClr val="accent1"/>
            </a:solidFill>
            <a:ln>
              <a:noFill/>
            </a:ln>
            <a:effectLst/>
          </c:spPr>
          <c:invertIfNegative val="0"/>
          <c:dLbls>
            <c:delete val="1"/>
          </c:dLbls>
          <c:cat>
            <c:strRef>
              <c:f>Sheet1!$A$3:$A$13</c:f>
              <c:strCache>
                <c:ptCount val="11"/>
                <c:pt idx="0">
                  <c:v>国防支出</c:v>
                </c:pt>
                <c:pt idx="1">
                  <c:v>文化旅游体育与传媒</c:v>
                </c:pt>
                <c:pt idx="2">
                  <c:v>社保和就业支出</c:v>
                </c:pt>
                <c:pt idx="3">
                  <c:v>卫生健康支出</c:v>
                </c:pt>
                <c:pt idx="4">
                  <c:v>节能环保支出</c:v>
                </c:pt>
                <c:pt idx="5">
                  <c:v>城乡社区支出</c:v>
                </c:pt>
                <c:pt idx="6">
                  <c:v>农林水支出</c:v>
                </c:pt>
                <c:pt idx="7">
                  <c:v>交通运输支出</c:v>
                </c:pt>
                <c:pt idx="8">
                  <c:v>住房保障支出</c:v>
                </c:pt>
                <c:pt idx="9">
                  <c:v>应急管理支出</c:v>
                </c:pt>
                <c:pt idx="10">
                  <c:v>抗疫特别国债安排的支出</c:v>
                </c:pt>
              </c:strCache>
            </c:strRef>
          </c:cat>
          <c:val>
            <c:numRef>
              <c:f>Sheet1!$B$3:$B$13</c:f>
              <c:numCache>
                <c:formatCode>General</c:formatCode>
                <c:ptCount val="11"/>
                <c:pt idx="0">
                  <c:v>0</c:v>
                </c:pt>
                <c:pt idx="1">
                  <c:v>76.33</c:v>
                </c:pt>
                <c:pt idx="2">
                  <c:v>42.26</c:v>
                </c:pt>
                <c:pt idx="3">
                  <c:v>7.9</c:v>
                </c:pt>
                <c:pt idx="4">
                  <c:v>0</c:v>
                </c:pt>
                <c:pt idx="5">
                  <c:v>0</c:v>
                </c:pt>
                <c:pt idx="6">
                  <c:v>713.67</c:v>
                </c:pt>
                <c:pt idx="7">
                  <c:v>0</c:v>
                </c:pt>
                <c:pt idx="8">
                  <c:v>42.59</c:v>
                </c:pt>
                <c:pt idx="9">
                  <c:v>0</c:v>
                </c:pt>
                <c:pt idx="10">
                  <c:v>0</c:v>
                </c:pt>
              </c:numCache>
            </c:numRef>
          </c:val>
        </c:ser>
        <c:ser>
          <c:idx val="1"/>
          <c:order val="1"/>
          <c:tx>
            <c:strRef>
              <c:f>Sheet1!$C$1</c:f>
              <c:strCache>
                <c:ptCount val="1"/>
                <c:pt idx="0">
                  <c:v>2021决算</c:v>
                </c:pt>
              </c:strCache>
            </c:strRef>
          </c:tx>
          <c:spPr>
            <a:solidFill>
              <a:schemeClr val="accent2"/>
            </a:solidFill>
            <a:ln>
              <a:noFill/>
            </a:ln>
            <a:effectLst/>
          </c:spPr>
          <c:invertIfNegative val="0"/>
          <c:dLbls>
            <c:delete val="1"/>
          </c:dLbls>
          <c:cat>
            <c:strRef>
              <c:f>Sheet1!$A$3:$A$13</c:f>
              <c:strCache>
                <c:ptCount val="11"/>
                <c:pt idx="0">
                  <c:v>国防支出</c:v>
                </c:pt>
                <c:pt idx="1">
                  <c:v>文化旅游体育与传媒</c:v>
                </c:pt>
                <c:pt idx="2">
                  <c:v>社保和就业支出</c:v>
                </c:pt>
                <c:pt idx="3">
                  <c:v>卫生健康支出</c:v>
                </c:pt>
                <c:pt idx="4">
                  <c:v>节能环保支出</c:v>
                </c:pt>
                <c:pt idx="5">
                  <c:v>城乡社区支出</c:v>
                </c:pt>
                <c:pt idx="6">
                  <c:v>农林水支出</c:v>
                </c:pt>
                <c:pt idx="7">
                  <c:v>交通运输支出</c:v>
                </c:pt>
                <c:pt idx="8">
                  <c:v>住房保障支出</c:v>
                </c:pt>
                <c:pt idx="9">
                  <c:v>应急管理支出</c:v>
                </c:pt>
                <c:pt idx="10">
                  <c:v>抗疫特别国债安排的支出</c:v>
                </c:pt>
              </c:strCache>
            </c:strRef>
          </c:cat>
          <c:val>
            <c:numRef>
              <c:f>Sheet1!$C$3:$C$13</c:f>
              <c:numCache>
                <c:formatCode>General</c:formatCode>
                <c:ptCount val="11"/>
                <c:pt idx="0">
                  <c:v>5</c:v>
                </c:pt>
                <c:pt idx="1">
                  <c:v>105.79</c:v>
                </c:pt>
                <c:pt idx="2">
                  <c:v>1665.95</c:v>
                </c:pt>
                <c:pt idx="3">
                  <c:v>397.5</c:v>
                </c:pt>
                <c:pt idx="4">
                  <c:v>8.1</c:v>
                </c:pt>
                <c:pt idx="5">
                  <c:v>112</c:v>
                </c:pt>
                <c:pt idx="6">
                  <c:v>3205.29</c:v>
                </c:pt>
                <c:pt idx="7">
                  <c:v>48.4</c:v>
                </c:pt>
                <c:pt idx="8">
                  <c:v>147.64</c:v>
                </c:pt>
                <c:pt idx="9">
                  <c:v>17.96</c:v>
                </c:pt>
                <c:pt idx="10">
                  <c:v>0</c:v>
                </c:pt>
              </c:numCache>
            </c:numRef>
          </c:val>
        </c:ser>
        <c:dLbls>
          <c:showLegendKey val="0"/>
          <c:showVal val="0"/>
          <c:showCatName val="0"/>
          <c:showSerName val="0"/>
          <c:showPercent val="0"/>
          <c:showBubbleSize val="0"/>
        </c:dLbls>
        <c:gapWidth val="219"/>
        <c:overlap val="-27"/>
        <c:axId val="423640188"/>
        <c:axId val="864641224"/>
      </c:barChart>
      <c:catAx>
        <c:axId val="42364018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4641224"/>
        <c:crosses val="autoZero"/>
        <c:auto val="1"/>
        <c:lblAlgn val="ctr"/>
        <c:lblOffset val="100"/>
        <c:noMultiLvlLbl val="0"/>
      </c:catAx>
      <c:valAx>
        <c:axId val="864641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364018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各项收支</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Pt>
            <c:idx val="8"/>
            <c:bubble3D val="0"/>
            <c:spPr>
              <a:solidFill>
                <a:schemeClr val="accent3">
                  <a:lumMod val="60000"/>
                </a:schemeClr>
              </a:solidFill>
              <a:ln w="19050">
                <a:solidFill>
                  <a:schemeClr val="lt1"/>
                </a:solidFill>
              </a:ln>
              <a:effectLst/>
            </c:spPr>
          </c:dPt>
          <c:dPt>
            <c:idx val="9"/>
            <c:bubble3D val="0"/>
            <c:spPr>
              <a:solidFill>
                <a:schemeClr val="accent4">
                  <a:lumMod val="60000"/>
                </a:schemeClr>
              </a:solidFill>
              <a:ln w="19050">
                <a:solidFill>
                  <a:schemeClr val="lt1"/>
                </a:solidFill>
              </a:ln>
              <a:effectLst/>
            </c:spPr>
          </c:dPt>
          <c:dPt>
            <c:idx val="10"/>
            <c:bubble3D val="0"/>
            <c:spPr>
              <a:solidFill>
                <a:schemeClr val="accent5">
                  <a:lumMod val="60000"/>
                </a:schemeClr>
              </a:solidFill>
              <a:ln w="19050">
                <a:solidFill>
                  <a:schemeClr val="lt1"/>
                </a:solidFill>
              </a:ln>
              <a:effectLst/>
            </c:spPr>
          </c:dPt>
          <c:dPt>
            <c:idx val="11"/>
            <c:bubble3D val="0"/>
            <c:spPr>
              <a:solidFill>
                <a:schemeClr val="accent6">
                  <a:lumMod val="60000"/>
                </a:schemeClr>
              </a:solidFill>
              <a:ln w="19050">
                <a:solidFill>
                  <a:schemeClr val="lt1"/>
                </a:solidFill>
              </a:ln>
              <a:effectLst/>
            </c:spPr>
          </c:dPt>
          <c:dLbls>
            <c:delete val="1"/>
          </c:dLbls>
          <c:cat>
            <c:strRef>
              <c:f>Sheet1!$A$2:$A$13</c:f>
              <c:strCache>
                <c:ptCount val="12"/>
                <c:pt idx="0">
                  <c:v>一般公共服务支出</c:v>
                </c:pt>
                <c:pt idx="1">
                  <c:v>国防支出</c:v>
                </c:pt>
                <c:pt idx="2">
                  <c:v>文化旅游体育与传媒</c:v>
                </c:pt>
                <c:pt idx="3">
                  <c:v>社保和就业支出</c:v>
                </c:pt>
                <c:pt idx="4">
                  <c:v>卫生健康支出</c:v>
                </c:pt>
                <c:pt idx="5">
                  <c:v>节能环保支出</c:v>
                </c:pt>
                <c:pt idx="6">
                  <c:v>城乡社区支出</c:v>
                </c:pt>
                <c:pt idx="7">
                  <c:v>农林水支出</c:v>
                </c:pt>
                <c:pt idx="8">
                  <c:v>交通运输支出</c:v>
                </c:pt>
                <c:pt idx="9">
                  <c:v>住房保障支出</c:v>
                </c:pt>
                <c:pt idx="10">
                  <c:v>应急管理支出</c:v>
                </c:pt>
                <c:pt idx="11">
                  <c:v>抗疫特别国债安排的支出</c:v>
                </c:pt>
              </c:strCache>
            </c:strRef>
          </c:cat>
          <c:val>
            <c:numRef>
              <c:f>Sheet1!$B$2:$B$13</c:f>
              <c:numCache>
                <c:formatCode>General</c:formatCode>
                <c:ptCount val="12"/>
                <c:pt idx="0">
                  <c:v>459.78</c:v>
                </c:pt>
                <c:pt idx="1">
                  <c:v>5</c:v>
                </c:pt>
                <c:pt idx="2">
                  <c:v>105.79</c:v>
                </c:pt>
                <c:pt idx="3">
                  <c:v>1665.95</c:v>
                </c:pt>
                <c:pt idx="4">
                  <c:v>397.5</c:v>
                </c:pt>
                <c:pt idx="5">
                  <c:v>8.1</c:v>
                </c:pt>
                <c:pt idx="6">
                  <c:v>112</c:v>
                </c:pt>
                <c:pt idx="7">
                  <c:v>3205.29</c:v>
                </c:pt>
                <c:pt idx="8">
                  <c:v>48.4</c:v>
                </c:pt>
                <c:pt idx="9">
                  <c:v>147.64</c:v>
                </c:pt>
                <c:pt idx="10">
                  <c:v>17.96</c:v>
                </c:pt>
                <c:pt idx="11">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2020</a:t>
            </a:r>
            <a:r>
              <a:rPr altLang="en-US"/>
              <a:t>年与</a:t>
            </a:r>
            <a:r>
              <a:rPr lang="en-US" altLang="zh-CN"/>
              <a:t>2021</a:t>
            </a:r>
            <a:r>
              <a:rPr altLang="en-US"/>
              <a:t>年的决算数据</a:t>
            </a:r>
            <a:endParaRPr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2020年决算</c:v>
                </c:pt>
              </c:strCache>
            </c:strRef>
          </c:tx>
          <c:spPr>
            <a:solidFill>
              <a:schemeClr val="accent1"/>
            </a:solidFill>
            <a:ln>
              <a:noFill/>
            </a:ln>
            <a:effectLst/>
          </c:spPr>
          <c:invertIfNegative val="0"/>
          <c:dLbls>
            <c:delete val="1"/>
          </c:dLbls>
          <c:cat>
            <c:strRef>
              <c:f>Sheet1!$A$2:$A$11</c:f>
              <c:strCache>
                <c:ptCount val="10"/>
                <c:pt idx="0">
                  <c:v>一般公共服务支出</c:v>
                </c:pt>
                <c:pt idx="1">
                  <c:v>文化体育与传媒</c:v>
                </c:pt>
                <c:pt idx="2">
                  <c:v>社保和就业</c:v>
                </c:pt>
                <c:pt idx="3">
                  <c:v>卫生健康支出</c:v>
                </c:pt>
                <c:pt idx="4">
                  <c:v>节能环保支出</c:v>
                </c:pt>
                <c:pt idx="5">
                  <c:v>城乡社区支出</c:v>
                </c:pt>
                <c:pt idx="6">
                  <c:v>农林水支出</c:v>
                </c:pt>
                <c:pt idx="7">
                  <c:v>交通运输支出</c:v>
                </c:pt>
                <c:pt idx="8">
                  <c:v>住房保障支出</c:v>
                </c:pt>
                <c:pt idx="9">
                  <c:v>应急管理支出</c:v>
                </c:pt>
              </c:strCache>
            </c:strRef>
          </c:cat>
          <c:val>
            <c:numRef>
              <c:f>Sheet1!$B$2:$B$11</c:f>
              <c:numCache>
                <c:formatCode>General</c:formatCode>
                <c:ptCount val="10"/>
                <c:pt idx="0">
                  <c:v>426.57</c:v>
                </c:pt>
                <c:pt idx="1">
                  <c:v>132.48</c:v>
                </c:pt>
                <c:pt idx="2">
                  <c:v>2695.01</c:v>
                </c:pt>
                <c:pt idx="3">
                  <c:v>322.48</c:v>
                </c:pt>
                <c:pt idx="4">
                  <c:v>150.83</c:v>
                </c:pt>
                <c:pt idx="5">
                  <c:v>30.75</c:v>
                </c:pt>
                <c:pt idx="6">
                  <c:v>2732.56</c:v>
                </c:pt>
                <c:pt idx="7">
                  <c:v>42.72</c:v>
                </c:pt>
                <c:pt idx="8">
                  <c:v>182.41</c:v>
                </c:pt>
                <c:pt idx="9">
                  <c:v>83.79</c:v>
                </c:pt>
              </c:numCache>
            </c:numRef>
          </c:val>
        </c:ser>
        <c:ser>
          <c:idx val="1"/>
          <c:order val="1"/>
          <c:tx>
            <c:strRef>
              <c:f>Sheet1!$C$1</c:f>
              <c:strCache>
                <c:ptCount val="1"/>
                <c:pt idx="0">
                  <c:v>2021年决算</c:v>
                </c:pt>
              </c:strCache>
            </c:strRef>
          </c:tx>
          <c:spPr>
            <a:solidFill>
              <a:schemeClr val="accent2"/>
            </a:solidFill>
            <a:ln>
              <a:noFill/>
            </a:ln>
            <a:effectLst/>
          </c:spPr>
          <c:invertIfNegative val="0"/>
          <c:dLbls>
            <c:delete val="1"/>
          </c:dLbls>
          <c:cat>
            <c:strRef>
              <c:f>Sheet1!$A$2:$A$11</c:f>
              <c:strCache>
                <c:ptCount val="10"/>
                <c:pt idx="0">
                  <c:v>一般公共服务支出</c:v>
                </c:pt>
                <c:pt idx="1">
                  <c:v>文化体育与传媒</c:v>
                </c:pt>
                <c:pt idx="2">
                  <c:v>社保和就业</c:v>
                </c:pt>
                <c:pt idx="3">
                  <c:v>卫生健康支出</c:v>
                </c:pt>
                <c:pt idx="4">
                  <c:v>节能环保支出</c:v>
                </c:pt>
                <c:pt idx="5">
                  <c:v>城乡社区支出</c:v>
                </c:pt>
                <c:pt idx="6">
                  <c:v>农林水支出</c:v>
                </c:pt>
                <c:pt idx="7">
                  <c:v>交通运输支出</c:v>
                </c:pt>
                <c:pt idx="8">
                  <c:v>住房保障支出</c:v>
                </c:pt>
                <c:pt idx="9">
                  <c:v>应急管理支出</c:v>
                </c:pt>
              </c:strCache>
            </c:strRef>
          </c:cat>
          <c:val>
            <c:numRef>
              <c:f>Sheet1!$C$2:$C$11</c:f>
              <c:numCache>
                <c:formatCode>General</c:formatCode>
                <c:ptCount val="10"/>
                <c:pt idx="0">
                  <c:v>459.78</c:v>
                </c:pt>
                <c:pt idx="1">
                  <c:v>105.79</c:v>
                </c:pt>
                <c:pt idx="2">
                  <c:v>1665.95</c:v>
                </c:pt>
                <c:pt idx="3">
                  <c:v>397.5</c:v>
                </c:pt>
                <c:pt idx="4">
                  <c:v>8.1</c:v>
                </c:pt>
                <c:pt idx="5">
                  <c:v>112</c:v>
                </c:pt>
                <c:pt idx="6">
                  <c:v>3205.29</c:v>
                </c:pt>
                <c:pt idx="7">
                  <c:v>48.4</c:v>
                </c:pt>
                <c:pt idx="8">
                  <c:v>147.64</c:v>
                </c:pt>
                <c:pt idx="9">
                  <c:v>17.96</c:v>
                </c:pt>
              </c:numCache>
            </c:numRef>
          </c:val>
        </c:ser>
        <c:dLbls>
          <c:showLegendKey val="0"/>
          <c:showVal val="0"/>
          <c:showCatName val="0"/>
          <c:showSerName val="0"/>
          <c:showPercent val="0"/>
          <c:showBubbleSize val="0"/>
        </c:dLbls>
        <c:gapWidth val="219"/>
        <c:overlap val="-27"/>
        <c:axId val="464023020"/>
        <c:axId val="672043489"/>
      </c:barChart>
      <c:catAx>
        <c:axId val="46402302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72043489"/>
        <c:crosses val="autoZero"/>
        <c:auto val="1"/>
        <c:lblAlgn val="ctr"/>
        <c:lblOffset val="100"/>
        <c:noMultiLvlLbl val="0"/>
      </c:catAx>
      <c:valAx>
        <c:axId val="67204348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402302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2020</a:t>
            </a:r>
            <a:r>
              <a:rPr altLang="en-US"/>
              <a:t>年与</a:t>
            </a:r>
            <a:r>
              <a:rPr lang="en-US" altLang="zh-CN"/>
              <a:t>2021</a:t>
            </a:r>
            <a:r>
              <a:rPr altLang="en-US"/>
              <a:t>年公务接待费开支情况</a:t>
            </a:r>
            <a:endParaRPr altLang="en-US"/>
          </a:p>
        </c:rich>
      </c:tx>
      <c:layout/>
      <c:overlay val="0"/>
      <c:spPr>
        <a:noFill/>
        <a:ln>
          <a:noFill/>
        </a:ln>
        <a:effectLst/>
      </c:spPr>
    </c:title>
    <c:autoTitleDeleted val="0"/>
    <c:plotArea>
      <c:layout/>
      <c:lineChart>
        <c:grouping val="standard"/>
        <c:varyColors val="0"/>
        <c:ser>
          <c:idx val="0"/>
          <c:order val="0"/>
          <c:tx>
            <c:strRef>
              <c:f>Sheet1!$B$1</c:f>
              <c:strCache>
                <c:ptCount val="1"/>
                <c:pt idx="0">
                  <c:v>2020年</c:v>
                </c:pt>
              </c:strCache>
            </c:strRef>
          </c:tx>
          <c:spPr>
            <a:ln w="28575" cap="rnd">
              <a:solidFill>
                <a:schemeClr val="accent1"/>
              </a:solidFill>
              <a:round/>
            </a:ln>
            <a:effectLst/>
          </c:spPr>
          <c:marker>
            <c:symbol val="none"/>
          </c:marker>
          <c:dLbls>
            <c:delete val="1"/>
          </c:dLbls>
          <c:cat>
            <c:strRef>
              <c:f>Sheet1!$A$2:$A$5</c:f>
              <c:strCache>
                <c:ptCount val="4"/>
                <c:pt idx="0">
                  <c:v>预算数据</c:v>
                </c:pt>
                <c:pt idx="1">
                  <c:v>决算数据</c:v>
                </c:pt>
                <c:pt idx="2">
                  <c:v>接待批次</c:v>
                </c:pt>
                <c:pt idx="3">
                  <c:v>接待人数</c:v>
                </c:pt>
              </c:strCache>
            </c:strRef>
          </c:cat>
          <c:val>
            <c:numRef>
              <c:f>Sheet1!$B$2:$B$5</c:f>
              <c:numCache>
                <c:formatCode>General</c:formatCode>
                <c:ptCount val="4"/>
                <c:pt idx="0">
                  <c:v>46000</c:v>
                </c:pt>
                <c:pt idx="1">
                  <c:v>46000</c:v>
                </c:pt>
                <c:pt idx="2">
                  <c:v>153</c:v>
                </c:pt>
                <c:pt idx="3">
                  <c:v>1071</c:v>
                </c:pt>
              </c:numCache>
            </c:numRef>
          </c:val>
          <c:smooth val="0"/>
        </c:ser>
        <c:ser>
          <c:idx val="1"/>
          <c:order val="1"/>
          <c:tx>
            <c:strRef>
              <c:f>Sheet1!$C$1</c:f>
              <c:strCache>
                <c:ptCount val="1"/>
                <c:pt idx="0">
                  <c:v>2021年</c:v>
                </c:pt>
              </c:strCache>
            </c:strRef>
          </c:tx>
          <c:spPr>
            <a:ln w="28575" cap="rnd">
              <a:solidFill>
                <a:schemeClr val="accent2"/>
              </a:solidFill>
              <a:round/>
            </a:ln>
            <a:effectLst/>
          </c:spPr>
          <c:marker>
            <c:symbol val="none"/>
          </c:marker>
          <c:dLbls>
            <c:delete val="1"/>
          </c:dLbls>
          <c:cat>
            <c:strRef>
              <c:f>Sheet1!$A$2:$A$5</c:f>
              <c:strCache>
                <c:ptCount val="4"/>
                <c:pt idx="0">
                  <c:v>预算数据</c:v>
                </c:pt>
                <c:pt idx="1">
                  <c:v>决算数据</c:v>
                </c:pt>
                <c:pt idx="2">
                  <c:v>接待批次</c:v>
                </c:pt>
                <c:pt idx="3">
                  <c:v>接待人数</c:v>
                </c:pt>
              </c:strCache>
            </c:strRef>
          </c:cat>
          <c:val>
            <c:numRef>
              <c:f>Sheet1!$C$2:$C$5</c:f>
              <c:numCache>
                <c:formatCode>General</c:formatCode>
                <c:ptCount val="4"/>
                <c:pt idx="0">
                  <c:v>40000</c:v>
                </c:pt>
                <c:pt idx="1">
                  <c:v>20000</c:v>
                </c:pt>
                <c:pt idx="2">
                  <c:v>78</c:v>
                </c:pt>
                <c:pt idx="3">
                  <c:v>522</c:v>
                </c:pt>
              </c:numCache>
            </c:numRef>
          </c:val>
          <c:smooth val="0"/>
        </c:ser>
        <c:dLbls>
          <c:showLegendKey val="0"/>
          <c:showVal val="0"/>
          <c:showCatName val="0"/>
          <c:showSerName val="0"/>
          <c:showPercent val="0"/>
          <c:showBubbleSize val="0"/>
        </c:dLbls>
        <c:marker val="0"/>
        <c:smooth val="0"/>
        <c:axId val="381078290"/>
        <c:axId val="23586322"/>
      </c:lineChart>
      <c:catAx>
        <c:axId val="38107829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586322"/>
        <c:crosses val="autoZero"/>
        <c:auto val="1"/>
        <c:lblAlgn val="ctr"/>
        <c:lblOffset val="100"/>
        <c:noMultiLvlLbl val="0"/>
      </c:catAx>
      <c:valAx>
        <c:axId val="2358632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107829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2020</a:t>
            </a:r>
            <a:r>
              <a:rPr altLang="en-US"/>
              <a:t>年与</a:t>
            </a:r>
            <a:r>
              <a:rPr lang="en-US" altLang="zh-CN"/>
              <a:t>2021</a:t>
            </a:r>
            <a:r>
              <a:rPr altLang="en-US"/>
              <a:t>年会议费的预算和决算数据</a:t>
            </a:r>
            <a:endParaRPr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2020年</c:v>
                </c:pt>
              </c:strCache>
            </c:strRef>
          </c:tx>
          <c:spPr>
            <a:solidFill>
              <a:schemeClr val="accent1"/>
            </a:solidFill>
            <a:ln>
              <a:noFill/>
            </a:ln>
            <a:effectLst/>
          </c:spPr>
          <c:invertIfNegative val="0"/>
          <c:dLbls>
            <c:delete val="1"/>
          </c:dLbls>
          <c:cat>
            <c:strRef>
              <c:f>Sheet1!$A$2:$A$3</c:f>
              <c:strCache>
                <c:ptCount val="2"/>
                <c:pt idx="0">
                  <c:v>预算情况</c:v>
                </c:pt>
                <c:pt idx="1">
                  <c:v>决算情况</c:v>
                </c:pt>
              </c:strCache>
            </c:strRef>
          </c:cat>
          <c:val>
            <c:numRef>
              <c:f>Sheet1!$B$2:$B$3</c:f>
              <c:numCache>
                <c:formatCode>General</c:formatCode>
                <c:ptCount val="2"/>
                <c:pt idx="0">
                  <c:v>90480</c:v>
                </c:pt>
                <c:pt idx="1">
                  <c:v>65290</c:v>
                </c:pt>
              </c:numCache>
            </c:numRef>
          </c:val>
        </c:ser>
        <c:ser>
          <c:idx val="1"/>
          <c:order val="1"/>
          <c:tx>
            <c:strRef>
              <c:f>Sheet1!$C$1</c:f>
              <c:strCache>
                <c:ptCount val="1"/>
                <c:pt idx="0">
                  <c:v>2021年</c:v>
                </c:pt>
              </c:strCache>
            </c:strRef>
          </c:tx>
          <c:spPr>
            <a:solidFill>
              <a:schemeClr val="accent2"/>
            </a:solidFill>
            <a:ln>
              <a:noFill/>
            </a:ln>
            <a:effectLst/>
          </c:spPr>
          <c:invertIfNegative val="0"/>
          <c:dLbls>
            <c:delete val="1"/>
          </c:dLbls>
          <c:cat>
            <c:strRef>
              <c:f>Sheet1!$A$2:$A$3</c:f>
              <c:strCache>
                <c:ptCount val="2"/>
                <c:pt idx="0">
                  <c:v>预算情况</c:v>
                </c:pt>
                <c:pt idx="1">
                  <c:v>决算情况</c:v>
                </c:pt>
              </c:strCache>
            </c:strRef>
          </c:cat>
          <c:val>
            <c:numRef>
              <c:f>Sheet1!$C$2:$C$3</c:f>
              <c:numCache>
                <c:formatCode>General</c:formatCode>
                <c:ptCount val="2"/>
                <c:pt idx="0">
                  <c:v>90000</c:v>
                </c:pt>
                <c:pt idx="1">
                  <c:v>70000</c:v>
                </c:pt>
              </c:numCache>
            </c:numRef>
          </c:val>
        </c:ser>
        <c:dLbls>
          <c:showLegendKey val="0"/>
          <c:showVal val="0"/>
          <c:showCatName val="0"/>
          <c:showSerName val="0"/>
          <c:showPercent val="0"/>
          <c:showBubbleSize val="0"/>
        </c:dLbls>
        <c:gapWidth val="219"/>
        <c:overlap val="-27"/>
        <c:axId val="237533729"/>
        <c:axId val="664929547"/>
      </c:barChart>
      <c:catAx>
        <c:axId val="23753372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4929547"/>
        <c:crosses val="autoZero"/>
        <c:auto val="1"/>
        <c:lblAlgn val="ctr"/>
        <c:lblOffset val="100"/>
        <c:noMultiLvlLbl val="0"/>
      </c:catAx>
      <c:valAx>
        <c:axId val="6649295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753372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2020</a:t>
            </a:r>
            <a:r>
              <a:rPr altLang="en-US"/>
              <a:t>年与</a:t>
            </a:r>
            <a:r>
              <a:rPr lang="en-US" altLang="zh-CN"/>
              <a:t>2021</a:t>
            </a:r>
            <a:r>
              <a:rPr altLang="en-US"/>
              <a:t>年培训费的预算和决算情况</a:t>
            </a:r>
            <a:endParaRPr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2020年</c:v>
                </c:pt>
              </c:strCache>
            </c:strRef>
          </c:tx>
          <c:spPr>
            <a:solidFill>
              <a:schemeClr val="accent1"/>
            </a:solidFill>
            <a:ln>
              <a:noFill/>
            </a:ln>
            <a:effectLst/>
          </c:spPr>
          <c:invertIfNegative val="0"/>
          <c:dLbls>
            <c:delete val="1"/>
          </c:dLbls>
          <c:cat>
            <c:strRef>
              <c:f>Sheet1!$A$2:$A$3</c:f>
              <c:strCache>
                <c:ptCount val="2"/>
                <c:pt idx="0">
                  <c:v>预算情况</c:v>
                </c:pt>
                <c:pt idx="1">
                  <c:v>决算情况</c:v>
                </c:pt>
              </c:strCache>
            </c:strRef>
          </c:cat>
          <c:val>
            <c:numRef>
              <c:f>Sheet1!$B$2:$B$3</c:f>
              <c:numCache>
                <c:formatCode>General</c:formatCode>
                <c:ptCount val="2"/>
                <c:pt idx="0">
                  <c:v>11500</c:v>
                </c:pt>
                <c:pt idx="1">
                  <c:v>36500</c:v>
                </c:pt>
              </c:numCache>
            </c:numRef>
          </c:val>
        </c:ser>
        <c:ser>
          <c:idx val="1"/>
          <c:order val="1"/>
          <c:tx>
            <c:strRef>
              <c:f>Sheet1!$C$1</c:f>
              <c:strCache>
                <c:ptCount val="1"/>
                <c:pt idx="0">
                  <c:v>2021年</c:v>
                </c:pt>
              </c:strCache>
            </c:strRef>
          </c:tx>
          <c:spPr>
            <a:solidFill>
              <a:schemeClr val="accent2"/>
            </a:solidFill>
            <a:ln>
              <a:noFill/>
            </a:ln>
            <a:effectLst/>
          </c:spPr>
          <c:invertIfNegative val="0"/>
          <c:dLbls>
            <c:delete val="1"/>
          </c:dLbls>
          <c:cat>
            <c:strRef>
              <c:f>Sheet1!$A$2:$A$3</c:f>
              <c:strCache>
                <c:ptCount val="2"/>
                <c:pt idx="0">
                  <c:v>预算情况</c:v>
                </c:pt>
                <c:pt idx="1">
                  <c:v>决算情况</c:v>
                </c:pt>
              </c:strCache>
            </c:strRef>
          </c:cat>
          <c:val>
            <c:numRef>
              <c:f>Sheet1!$C$2:$C$3</c:f>
              <c:numCache>
                <c:formatCode>General</c:formatCode>
                <c:ptCount val="2"/>
                <c:pt idx="0">
                  <c:v>10000</c:v>
                </c:pt>
                <c:pt idx="1">
                  <c:v>5320</c:v>
                </c:pt>
              </c:numCache>
            </c:numRef>
          </c:val>
        </c:ser>
        <c:dLbls>
          <c:showLegendKey val="0"/>
          <c:showVal val="0"/>
          <c:showCatName val="0"/>
          <c:showSerName val="0"/>
          <c:showPercent val="0"/>
          <c:showBubbleSize val="0"/>
        </c:dLbls>
        <c:gapWidth val="219"/>
        <c:overlap val="-27"/>
        <c:axId val="128990230"/>
        <c:axId val="405686961"/>
      </c:barChart>
      <c:catAx>
        <c:axId val="1289902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5686961"/>
        <c:crosses val="autoZero"/>
        <c:auto val="1"/>
        <c:lblAlgn val="ctr"/>
        <c:lblOffset val="100"/>
        <c:noMultiLvlLbl val="0"/>
      </c:catAx>
      <c:valAx>
        <c:axId val="40568696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899023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ACER</dc:creator>
  <cp:lastModifiedBy>Administrator</cp:lastModifiedBy>
  <dcterms:modified xsi:type="dcterms:W3CDTF">2022-03-08T03:21:25Z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A42D27EF663445BD89F3B9ADC078EF41</vt:lpwstr>
  </property>
</Properties>
</file>