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425"/>
      <w:bookmarkStart w:id="1" w:name="_Toc15396475"/>
      <w:bookmarkStart w:id="2" w:name="_Toc15377193"/>
      <w:bookmarkStart w:id="3" w:name="_Toc15396597"/>
      <w:bookmarkStart w:id="4" w:name="_Toc15378441"/>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78442"/>
      <w:bookmarkStart w:id="8" w:name="_Toc15396598"/>
      <w:bookmarkStart w:id="9" w:name="_Toc15377426"/>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val="en-US" w:eastAsia="zh-CN"/>
        </w:rPr>
        <w:t>资阳市乐至县国家农村产业融合发展示范园管理委员会</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hint="eastAsia" w:ascii="黑体" w:hAnsi="黑体" w:eastAsia="黑体"/>
          <w:sz w:val="48"/>
          <w:szCs w:val="48"/>
        </w:rPr>
        <w:sectPr>
          <w:footerReference r:id="rId4" w:type="first"/>
          <w:footerReference r:id="rId3" w:type="default"/>
          <w:pgSz w:w="11907" w:h="16840"/>
          <w:pgMar w:top="2098" w:right="1474" w:bottom="1928" w:left="1588" w:header="851" w:footer="992" w:gutter="0"/>
          <w:pgNumType w:fmt="decimal" w:start="1"/>
          <w:cols w:space="720" w:num="1"/>
          <w:titlePg/>
          <w:docGrid w:type="lines" w:linePitch="312" w:charSpace="0"/>
        </w:sect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8"/>
      </w:pPr>
      <w:r>
        <w:rPr>
          <w:rFonts w:hint="eastAsia"/>
        </w:rPr>
        <w:t>公开时间：2023年</w:t>
      </w:r>
      <w:r>
        <w:t xml:space="preserve"> </w:t>
      </w:r>
      <w:r>
        <w:rPr>
          <w:rFonts w:hint="eastAsia"/>
          <w:lang w:val="en-US" w:eastAsia="zh-CN"/>
        </w:rPr>
        <w:t>10</w:t>
      </w:r>
      <w:r>
        <w:rPr>
          <w:rFonts w:hint="eastAsia"/>
        </w:rPr>
        <w:t>月</w:t>
      </w:r>
      <w:r>
        <w:rPr>
          <w:rFonts w:hint="eastAsia"/>
          <w:lang w:val="en-US" w:eastAsia="zh-CN"/>
        </w:rPr>
        <w:t>20</w:t>
      </w:r>
      <w:bookmarkStart w:id="69" w:name="_GoBack"/>
      <w:bookmarkEnd w:id="69"/>
      <w:r>
        <w:rPr>
          <w:rFonts w:hint="eastAsia"/>
        </w:rPr>
        <w:t>日</w:t>
      </w:r>
    </w:p>
    <w:p/>
    <w:p>
      <w:pPr>
        <w:pStyle w:val="8"/>
        <w:adjustRightInd w:val="0"/>
        <w:snapToGrid w:val="0"/>
        <w:spacing w:before="0" w:line="440" w:lineRule="exact"/>
        <w:jc w:val="left"/>
        <w:rPr>
          <w:rFonts w:hint="default" w:eastAsia="仿宋" w:cstheme="minorBidi"/>
          <w:sz w:val="24"/>
          <w:szCs w:val="24"/>
          <w:lang w:val="en-US" w:eastAsia="zh-CN"/>
        </w:rPr>
      </w:pPr>
      <w:r>
        <w:rPr>
          <w:rFonts w:hint="eastAsia"/>
          <w:sz w:val="24"/>
        </w:rPr>
        <w:t>第一部分</w:t>
      </w:r>
      <w:r>
        <w:rPr>
          <w:sz w:val="24"/>
        </w:rPr>
        <w:t xml:space="preserve"> </w:t>
      </w:r>
      <w:r>
        <w:rPr>
          <w:rFonts w:hint="eastAsia"/>
          <w:sz w:val="24"/>
        </w:rPr>
        <w:t>部门概况</w:t>
      </w:r>
      <w:r>
        <w:rPr>
          <w:rFonts w:hint="eastAsia"/>
          <w:sz w:val="24"/>
          <w:lang w:val="en-US" w:eastAsia="zh-CN"/>
        </w:rPr>
        <w:t>.................................................3</w:t>
      </w:r>
    </w:p>
    <w:p>
      <w:pPr>
        <w:pStyle w:val="14"/>
        <w:adjustRightInd w:val="0"/>
        <w:snapToGrid w:val="0"/>
        <w:spacing w:line="440" w:lineRule="exact"/>
        <w:jc w:val="left"/>
        <w:rPr>
          <w:rFonts w:hint="default" w:eastAsia="宋体"/>
          <w:lang w:val="en-US" w:eastAsia="zh-CN"/>
        </w:rPr>
      </w:pPr>
      <w:r>
        <w:rPr>
          <w:rFonts w:hint="eastAsia"/>
          <w:sz w:val="24"/>
        </w:rPr>
        <w:t>一、部门职责</w:t>
      </w:r>
      <w:r>
        <w:rPr>
          <w:rFonts w:hint="eastAsia" w:ascii="仿宋" w:hAnsi="仿宋" w:eastAsia="仿宋" w:cs="Times New Roman"/>
          <w:kern w:val="2"/>
          <w:sz w:val="24"/>
          <w:szCs w:val="28"/>
          <w:lang w:val="en-US" w:eastAsia="zh-CN" w:bidi="ar-SA"/>
        </w:rPr>
        <w:t>...................................................</w:t>
      </w:r>
      <w:r>
        <w:rPr>
          <w:rFonts w:hint="eastAsia"/>
          <w:sz w:val="24"/>
          <w:lang w:val="en-US" w:eastAsia="zh-CN"/>
        </w:rPr>
        <w:t>3</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ascii="仿宋" w:hAnsi="仿宋" w:eastAsia="仿宋" w:cs="Times New Roman"/>
          <w:kern w:val="2"/>
          <w:sz w:val="24"/>
          <w:szCs w:val="28"/>
          <w:lang w:val="en-US" w:eastAsia="zh-CN" w:bidi="ar-SA"/>
        </w:rPr>
        <w:t>...................................................</w:t>
      </w:r>
      <w:r>
        <w:rPr>
          <w:rFonts w:hint="eastAsia"/>
          <w:sz w:val="24"/>
          <w:lang w:val="en-US" w:eastAsia="zh-CN"/>
        </w:rPr>
        <w:t>3</w:t>
      </w:r>
    </w:p>
    <w:p>
      <w:pPr>
        <w:pStyle w:val="8"/>
        <w:adjustRightInd w:val="0"/>
        <w:snapToGrid w:val="0"/>
        <w:spacing w:before="0" w:line="440" w:lineRule="exact"/>
        <w:jc w:val="left"/>
        <w:rPr>
          <w:rFonts w:hint="default" w:eastAsia="仿宋"/>
          <w:sz w:val="24"/>
          <w:szCs w:val="24"/>
          <w:lang w:val="en-US" w:eastAsia="zh-CN"/>
        </w:rPr>
      </w:pPr>
      <w:r>
        <w:rPr>
          <w:rFonts w:hint="eastAsia"/>
          <w:sz w:val="24"/>
        </w:rPr>
        <w:t>第二部分 2022年度部门决算情况说明</w:t>
      </w:r>
      <w:r>
        <w:rPr>
          <w:rFonts w:hint="eastAsia"/>
          <w:sz w:val="24"/>
          <w:lang w:val="en-US" w:eastAsia="zh-CN"/>
        </w:rPr>
        <w:t>.................................4</w:t>
      </w:r>
    </w:p>
    <w:p>
      <w:pPr>
        <w:pStyle w:val="14"/>
        <w:adjustRightInd w:val="0"/>
        <w:snapToGrid w:val="0"/>
        <w:spacing w:line="240" w:lineRule="auto"/>
        <w:ind w:left="0" w:leftChars="0" w:firstLine="480" w:firstLineChars="200"/>
        <w:jc w:val="left"/>
        <w:rPr>
          <w:rFonts w:hint="default" w:ascii="仿宋" w:hAnsi="仿宋" w:eastAsia="宋体" w:cstheme="minorBidi"/>
          <w:sz w:val="24"/>
          <w:lang w:val="en-US" w:eastAsia="zh-CN"/>
        </w:rPr>
      </w:pPr>
      <w:r>
        <w:rPr>
          <w:rFonts w:hint="eastAsia"/>
          <w:sz w:val="24"/>
        </w:rPr>
        <w:t>一、收入支出决算总体情况说明</w:t>
      </w:r>
      <w:r>
        <w:rPr>
          <w:rFonts w:hint="eastAsia" w:ascii="仿宋" w:hAnsi="仿宋" w:eastAsia="仿宋" w:cs="Times New Roman"/>
          <w:kern w:val="2"/>
          <w:sz w:val="24"/>
          <w:szCs w:val="28"/>
          <w:lang w:val="en-US" w:eastAsia="zh-CN" w:bidi="ar-SA"/>
        </w:rPr>
        <w:t>............................ ......4</w:t>
      </w:r>
    </w:p>
    <w:p>
      <w:pPr>
        <w:pStyle w:val="14"/>
        <w:adjustRightInd w:val="0"/>
        <w:snapToGrid w:val="0"/>
        <w:spacing w:line="440" w:lineRule="exact"/>
        <w:ind w:left="0" w:leftChars="0" w:firstLine="480" w:firstLineChars="200"/>
        <w:jc w:val="left"/>
        <w:rPr>
          <w:rFonts w:hint="default" w:ascii="仿宋" w:hAnsi="仿宋" w:eastAsia="宋体" w:cstheme="minorBidi"/>
          <w:sz w:val="24"/>
          <w:lang w:val="en-US" w:eastAsia="zh-CN"/>
        </w:rPr>
      </w:pPr>
      <w:r>
        <w:rPr>
          <w:rFonts w:hint="eastAsia"/>
          <w:sz w:val="24"/>
        </w:rPr>
        <w:t>二、收入决算情况说明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5</w:t>
      </w:r>
    </w:p>
    <w:p>
      <w:pPr>
        <w:pStyle w:val="14"/>
        <w:adjustRightInd w:val="0"/>
        <w:snapToGrid w:val="0"/>
        <w:spacing w:line="440" w:lineRule="exact"/>
        <w:ind w:left="0" w:leftChars="0" w:firstLine="480" w:firstLineChars="200"/>
        <w:jc w:val="left"/>
        <w:rPr>
          <w:rFonts w:hint="default" w:ascii="仿宋" w:hAnsi="仿宋" w:eastAsia="宋体" w:cstheme="minorBidi"/>
          <w:sz w:val="24"/>
          <w:lang w:val="en-US" w:eastAsia="zh-CN"/>
        </w:rPr>
      </w:pPr>
      <w:r>
        <w:rPr>
          <w:rFonts w:hint="eastAsia"/>
          <w:sz w:val="24"/>
        </w:rPr>
        <w:t>三、支出决算情况说明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5</w:t>
      </w:r>
    </w:p>
    <w:p>
      <w:pPr>
        <w:pStyle w:val="14"/>
        <w:adjustRightInd w:val="0"/>
        <w:snapToGrid w:val="0"/>
        <w:spacing w:line="440" w:lineRule="exact"/>
        <w:ind w:left="0" w:leftChars="0" w:firstLine="480" w:firstLineChars="200"/>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ascii="仿宋" w:hAnsi="仿宋" w:eastAsia="仿宋" w:cs="Times New Roman"/>
          <w:kern w:val="2"/>
          <w:sz w:val="24"/>
          <w:szCs w:val="28"/>
          <w:lang w:val="en-US" w:eastAsia="zh-CN" w:bidi="ar-SA"/>
        </w:rPr>
        <w:t>...........................</w:t>
      </w:r>
      <w:r>
        <w:rPr>
          <w:rFonts w:hint="eastAsia"/>
          <w:sz w:val="24"/>
          <w:lang w:val="en-US" w:eastAsia="zh-CN"/>
        </w:rPr>
        <w:t>6</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6</w:t>
      </w:r>
    </w:p>
    <w:p>
      <w:pPr>
        <w:pStyle w:val="14"/>
        <w:adjustRightInd w:val="0"/>
        <w:snapToGrid w:val="0"/>
        <w:spacing w:line="240" w:lineRule="auto"/>
        <w:ind w:left="0" w:leftChars="0" w:firstLine="480" w:firstLineChars="200"/>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.9</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10</w:t>
      </w:r>
    </w:p>
    <w:p>
      <w:pPr>
        <w:pStyle w:val="14"/>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ascii="仿宋" w:hAnsi="仿宋" w:eastAsia="仿宋" w:cs="Times New Roman"/>
          <w:kern w:val="2"/>
          <w:sz w:val="24"/>
          <w:szCs w:val="28"/>
          <w:lang w:val="en-US" w:eastAsia="zh-CN" w:bidi="ar-SA"/>
        </w:rPr>
        <w:t>.............................</w:t>
      </w:r>
      <w:r>
        <w:rPr>
          <w:rFonts w:hint="eastAsia"/>
          <w:sz w:val="24"/>
          <w:lang w:val="en-US" w:eastAsia="zh-CN"/>
        </w:rPr>
        <w:t>12</w:t>
      </w:r>
    </w:p>
    <w:p>
      <w:pPr>
        <w:pStyle w:val="14"/>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asciiTheme="minorEastAsia" w:hAnsiTheme="minorEastAsia" w:eastAsiaTheme="minorEastAsia" w:cstheme="minorEastAsia"/>
          <w:sz w:val="24"/>
          <w:lang w:val="en-US" w:eastAsia="zh-CN"/>
        </w:rPr>
        <w:t>...........................12</w:t>
      </w:r>
    </w:p>
    <w:p>
      <w:pPr>
        <w:adjustRightInd w:val="0"/>
        <w:snapToGrid w:val="0"/>
        <w:spacing w:line="440" w:lineRule="exact"/>
        <w:ind w:firstLine="420" w:firstLineChars="175"/>
        <w:jc w:val="left"/>
        <w:rPr>
          <w:rFonts w:hint="default" w:asciiTheme="minorEastAsia" w:hAnsiTheme="minorEastAsia" w:eastAsiaTheme="minorEastAsia" w:cstheme="minorEastAsia"/>
          <w:sz w:val="24"/>
          <w:lang w:val="en-US" w:eastAsia="zh-CN"/>
        </w:rPr>
      </w:pPr>
      <w:r>
        <w:rPr>
          <w:rStyle w:val="19"/>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lang w:val="en-US" w:eastAsia="zh-CN"/>
        </w:rPr>
        <w:t>....................................</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13</w:t>
      </w:r>
    </w:p>
    <w:p>
      <w:pPr>
        <w:pStyle w:val="8"/>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.................................................15</w:t>
      </w:r>
    </w:p>
    <w:p>
      <w:pPr>
        <w:pStyle w:val="8"/>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.....................................................18</w:t>
      </w:r>
    </w:p>
    <w:p>
      <w:pPr>
        <w:pStyle w:val="8"/>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.....................................................83</w:t>
      </w:r>
    </w:p>
    <w:p>
      <w:pPr>
        <w:pStyle w:val="14"/>
        <w:adjustRightInd w:val="0"/>
        <w:snapToGrid w:val="0"/>
        <w:spacing w:line="440" w:lineRule="exact"/>
        <w:jc w:val="left"/>
        <w:rPr>
          <w:sz w:val="24"/>
        </w:rPr>
      </w:pPr>
      <w:r>
        <w:rPr>
          <w:rFonts w:hint="eastAsia"/>
          <w:sz w:val="24"/>
        </w:rPr>
        <w:t>一、收入支出决算总表</w:t>
      </w:r>
    </w:p>
    <w:p>
      <w:pPr>
        <w:pStyle w:val="14"/>
        <w:adjustRightInd w:val="0"/>
        <w:snapToGrid w:val="0"/>
        <w:spacing w:line="440" w:lineRule="exact"/>
        <w:jc w:val="left"/>
        <w:rPr>
          <w:sz w:val="24"/>
        </w:rPr>
      </w:pPr>
      <w:r>
        <w:rPr>
          <w:rFonts w:hint="eastAsia"/>
          <w:sz w:val="24"/>
        </w:rPr>
        <w:t>二、收入决算表</w:t>
      </w:r>
    </w:p>
    <w:p>
      <w:pPr>
        <w:pStyle w:val="14"/>
        <w:adjustRightInd w:val="0"/>
        <w:snapToGrid w:val="0"/>
        <w:spacing w:line="440" w:lineRule="exact"/>
        <w:jc w:val="left"/>
        <w:rPr>
          <w:sz w:val="24"/>
        </w:rPr>
      </w:pPr>
      <w:r>
        <w:rPr>
          <w:rFonts w:hint="eastAsia"/>
          <w:sz w:val="24"/>
        </w:rPr>
        <w:t>三、支出决算表</w:t>
      </w:r>
    </w:p>
    <w:p>
      <w:pPr>
        <w:pStyle w:val="14"/>
        <w:adjustRightInd w:val="0"/>
        <w:snapToGrid w:val="0"/>
        <w:spacing w:line="440" w:lineRule="exact"/>
        <w:jc w:val="left"/>
        <w:rPr>
          <w:sz w:val="24"/>
        </w:rPr>
      </w:pPr>
      <w:r>
        <w:rPr>
          <w:rFonts w:hint="eastAsia"/>
          <w:sz w:val="24"/>
        </w:rPr>
        <w:t>四、财政拨款收入支出决算总表</w:t>
      </w:r>
    </w:p>
    <w:p>
      <w:pPr>
        <w:pStyle w:val="14"/>
        <w:adjustRightInd w:val="0"/>
        <w:snapToGrid w:val="0"/>
        <w:spacing w:line="440" w:lineRule="exact"/>
        <w:jc w:val="left"/>
        <w:rPr>
          <w:sz w:val="24"/>
        </w:rPr>
      </w:pPr>
      <w:r>
        <w:rPr>
          <w:rFonts w:hint="eastAsia"/>
          <w:sz w:val="24"/>
        </w:rPr>
        <w:t>五、财政拨款支出决算明细表</w:t>
      </w:r>
    </w:p>
    <w:p>
      <w:pPr>
        <w:pStyle w:val="14"/>
        <w:adjustRightInd w:val="0"/>
        <w:snapToGrid w:val="0"/>
        <w:spacing w:line="440" w:lineRule="exact"/>
        <w:jc w:val="left"/>
        <w:rPr>
          <w:sz w:val="24"/>
        </w:rPr>
      </w:pPr>
      <w:r>
        <w:rPr>
          <w:rFonts w:hint="eastAsia"/>
          <w:sz w:val="24"/>
        </w:rPr>
        <w:t>六、一般公共预算财政拨款支出决算表</w:t>
      </w:r>
    </w:p>
    <w:p>
      <w:pPr>
        <w:pStyle w:val="14"/>
        <w:adjustRightInd w:val="0"/>
        <w:snapToGrid w:val="0"/>
        <w:spacing w:line="440" w:lineRule="exact"/>
        <w:jc w:val="left"/>
        <w:rPr>
          <w:sz w:val="24"/>
        </w:rPr>
      </w:pPr>
      <w:r>
        <w:rPr>
          <w:rFonts w:hint="eastAsia"/>
          <w:sz w:val="24"/>
        </w:rPr>
        <w:t>七、一般公共预算财政拨款支出决算明细表</w:t>
      </w:r>
    </w:p>
    <w:p>
      <w:pPr>
        <w:pStyle w:val="14"/>
        <w:adjustRightInd w:val="0"/>
        <w:snapToGrid w:val="0"/>
        <w:spacing w:line="440" w:lineRule="exact"/>
        <w:jc w:val="left"/>
        <w:rPr>
          <w:sz w:val="24"/>
        </w:rPr>
      </w:pPr>
      <w:r>
        <w:rPr>
          <w:rFonts w:hint="eastAsia"/>
          <w:sz w:val="24"/>
        </w:rPr>
        <w:t>八、一般公共预算财政拨款基本支出决算明细表</w:t>
      </w:r>
    </w:p>
    <w:p>
      <w:pPr>
        <w:pStyle w:val="14"/>
        <w:adjustRightInd w:val="0"/>
        <w:snapToGrid w:val="0"/>
        <w:spacing w:line="440" w:lineRule="exact"/>
        <w:jc w:val="left"/>
        <w:rPr>
          <w:sz w:val="24"/>
        </w:rPr>
      </w:pPr>
      <w:r>
        <w:rPr>
          <w:rFonts w:hint="eastAsia"/>
          <w:sz w:val="24"/>
        </w:rPr>
        <w:t>九、一般公共预算财政拨款项目支出决算表</w:t>
      </w:r>
    </w:p>
    <w:p>
      <w:pPr>
        <w:pStyle w:val="14"/>
        <w:adjustRightInd w:val="0"/>
        <w:snapToGrid w:val="0"/>
        <w:spacing w:line="440" w:lineRule="exact"/>
        <w:jc w:val="left"/>
        <w:rPr>
          <w:sz w:val="24"/>
        </w:rPr>
      </w:pPr>
      <w:r>
        <w:rPr>
          <w:rFonts w:hint="eastAsia"/>
          <w:sz w:val="24"/>
        </w:rPr>
        <w:t>十、政府性基金预算财政拨款收入支出决算表</w:t>
      </w:r>
    </w:p>
    <w:p>
      <w:pPr>
        <w:pStyle w:val="14"/>
        <w:adjustRightInd w:val="0"/>
        <w:snapToGrid w:val="0"/>
        <w:spacing w:line="440" w:lineRule="exact"/>
        <w:jc w:val="left"/>
        <w:rPr>
          <w:sz w:val="24"/>
        </w:rPr>
      </w:pPr>
      <w:r>
        <w:rPr>
          <w:rFonts w:hint="eastAsia"/>
          <w:sz w:val="24"/>
        </w:rPr>
        <w:t>十一、国有资本经营预算财政拨款收入支出决算表</w:t>
      </w:r>
    </w:p>
    <w:p>
      <w:pPr>
        <w:pStyle w:val="14"/>
        <w:adjustRightInd w:val="0"/>
        <w:snapToGrid w:val="0"/>
        <w:spacing w:line="440" w:lineRule="exact"/>
        <w:jc w:val="left"/>
        <w:rPr>
          <w:sz w:val="24"/>
        </w:rPr>
      </w:pPr>
      <w:r>
        <w:rPr>
          <w:rFonts w:hint="eastAsia"/>
          <w:sz w:val="24"/>
        </w:rPr>
        <w:t>十二、国有资本经营预算财政拨款支出决算表</w:t>
      </w:r>
    </w:p>
    <w:p>
      <w:pPr>
        <w:pStyle w:val="14"/>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pStyle w:val="2"/>
        <w:jc w:val="center"/>
        <w:rPr>
          <w:rFonts w:hint="eastAsia" w:ascii="黑体" w:hAnsi="黑体" w:eastAsia="黑体"/>
          <w:b w:val="0"/>
        </w:rPr>
      </w:pPr>
      <w:bookmarkStart w:id="12" w:name="_Toc15396599"/>
      <w:bookmarkStart w:id="13" w:name="_Toc15377196"/>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pStyle w:val="2"/>
        <w:jc w:val="center"/>
        <w:rPr>
          <w:rFonts w:hint="eastAsia" w:ascii="黑体" w:hAnsi="黑体" w:eastAsia="黑体"/>
          <w:b w:val="0"/>
        </w:rPr>
      </w:pPr>
    </w:p>
    <w:p>
      <w:pPr>
        <w:rPr>
          <w:rFonts w:hint="eastAsia"/>
        </w:rPr>
      </w:pPr>
    </w:p>
    <w:p>
      <w:pPr>
        <w:pStyle w:val="2"/>
        <w:jc w:val="center"/>
        <w:rPr>
          <w:rFonts w:ascii="黑体" w:eastAsia="黑体"/>
          <w:sz w:val="32"/>
          <w:szCs w:val="32"/>
        </w:rPr>
      </w:pPr>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p>
    <w:p>
      <w:pPr>
        <w:pStyle w:val="3"/>
        <w:rPr>
          <w:rStyle w:val="30"/>
          <w:rFonts w:hint="eastAsia" w:ascii="黑体" w:hAnsi="黑体" w:eastAsia="黑体"/>
          <w:b w:val="0"/>
          <w:bCs w:val="0"/>
          <w:lang w:val="en-US" w:eastAsia="zh-CN"/>
        </w:rPr>
      </w:pPr>
      <w:r>
        <w:rPr>
          <w:rStyle w:val="30"/>
          <w:rFonts w:hint="eastAsia" w:ascii="黑体" w:hAnsi="黑体" w:eastAsia="黑体"/>
          <w:b w:val="0"/>
          <w:bCs w:val="0"/>
          <w:lang w:val="en-US" w:eastAsia="zh-CN"/>
        </w:rPr>
        <w:t>一、</w:t>
      </w:r>
      <w:r>
        <w:rPr>
          <w:rStyle w:val="30"/>
          <w:rFonts w:hint="eastAsia" w:ascii="黑体" w:hAnsi="黑体" w:eastAsia="黑体"/>
          <w:b w:val="0"/>
          <w:bCs w:val="0"/>
        </w:rPr>
        <w:t>部门职责</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乐至县国家农村产业融合发展示范园管理委员会</w:t>
      </w:r>
      <w:r>
        <w:rPr>
          <w:rFonts w:hint="eastAsia" w:ascii="仿宋_GB2312" w:hAnsi="仿宋_GB2312" w:eastAsia="仿宋_GB2312" w:cs="仿宋_GB2312"/>
          <w:sz w:val="32"/>
          <w:szCs w:val="32"/>
          <w:lang w:val="en-US" w:eastAsia="zh-CN"/>
        </w:rPr>
        <w:t>在2021年单位性质由</w:t>
      </w:r>
      <w:r>
        <w:rPr>
          <w:rFonts w:hint="eastAsia" w:ascii="仿宋_GB2312" w:hAnsi="仿宋_GB2312" w:eastAsia="仿宋_GB2312" w:cs="仿宋_GB2312"/>
          <w:sz w:val="32"/>
          <w:szCs w:val="32"/>
        </w:rPr>
        <w:t>县政府直属正科级公益一类事业单位</w:t>
      </w:r>
      <w:r>
        <w:rPr>
          <w:rFonts w:hint="eastAsia" w:ascii="仿宋_GB2312" w:hAnsi="仿宋_GB2312" w:eastAsia="仿宋_GB2312" w:cs="仿宋_GB2312"/>
          <w:sz w:val="32"/>
          <w:szCs w:val="32"/>
          <w:lang w:val="en-US" w:eastAsia="zh-CN"/>
        </w:rPr>
        <w:t>变更为</w:t>
      </w: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val="en-US" w:eastAsia="zh-CN"/>
        </w:rPr>
        <w:t>派出机构，为行政机关。</w:t>
      </w:r>
    </w:p>
    <w:p>
      <w:pPr>
        <w:numPr>
          <w:ilvl w:val="0"/>
          <w:numId w:val="0"/>
        </w:numPr>
        <w:ind w:firstLine="640" w:firstLineChars="200"/>
        <w:rPr>
          <w:rFonts w:hint="eastAsia"/>
        </w:rPr>
      </w:pP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主要职责为制定园区发展规划、编制园区的建设方案,承担园区各项基础设施、公用设施和其他建设项目的建设、监督和管理;制定园区招商引资政策,编制招商规划,发布对外招商项目;组织对外招商活动和协助园区企业办理各项行政审批事项，承办土地管理的前期具体事务性工作;负责“中国西部珍稀花卉苗木集散地”建设项目的推动和品牌打造;负责园区农文旅节庆活动的策划和组织协调工作;负责园区财政预决算和国有资产管理;负责园区所辖经营主体的安全管理工作,负责园区所辖范围与工程建设、土地流转等有关的信访维稳工作;完成县委和县政府交办的其他工作。</w:t>
      </w:r>
    </w:p>
    <w:p>
      <w:pPr>
        <w:pStyle w:val="3"/>
        <w:rPr>
          <w:rStyle w:val="30"/>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14"/>
      <w:bookmarkEnd w:id="15"/>
    </w:p>
    <w:p>
      <w:pPr>
        <w:ind w:firstLine="800" w:firstLineChars="250"/>
        <w:rPr>
          <w:rFonts w:eastAsia="仿宋"/>
          <w:sz w:val="32"/>
          <w:szCs w:val="32"/>
        </w:rPr>
      </w:pPr>
      <w:r>
        <w:rPr>
          <w:rFonts w:hint="eastAsia" w:ascii="仿宋" w:hAnsi="仿宋" w:eastAsia="仿宋"/>
          <w:sz w:val="32"/>
          <w:szCs w:val="32"/>
          <w:lang w:val="en-US" w:eastAsia="zh-CN"/>
        </w:rPr>
        <w:t>乐至县国家农村产业融合发展示范园管理委员会</w:t>
      </w:r>
      <w:r>
        <w:rPr>
          <w:rFonts w:hint="eastAsia" w:ascii="仿宋" w:hAnsi="仿宋" w:eastAsia="仿宋"/>
          <w:sz w:val="32"/>
          <w:szCs w:val="32"/>
        </w:rPr>
        <w:t>下属二级预算单位</w:t>
      </w:r>
      <w:r>
        <w:rPr>
          <w:rFonts w:hint="eastAsia" w:ascii="仿宋" w:hAnsi="仿宋" w:eastAsia="仿宋"/>
          <w:sz w:val="32"/>
          <w:szCs w:val="32"/>
          <w:lang w:val="en-US" w:eastAsia="zh-CN"/>
        </w:rPr>
        <w:t>0</w:t>
      </w:r>
      <w:r>
        <w:rPr>
          <w:rFonts w:hint="eastAsia" w:ascii="仿宋" w:hAnsi="仿宋" w:eastAsia="仿宋"/>
          <w:sz w:val="32"/>
          <w:szCs w:val="32"/>
        </w:rPr>
        <w:t>个，其中行政单位</w:t>
      </w:r>
      <w:r>
        <w:rPr>
          <w:rFonts w:hint="eastAsia" w:ascii="仿宋" w:hAnsi="仿宋" w:eastAsia="仿宋"/>
          <w:sz w:val="32"/>
          <w:szCs w:val="32"/>
          <w:lang w:val="en-US" w:eastAsia="zh-CN"/>
        </w:rPr>
        <w:t>0</w:t>
      </w:r>
      <w:r>
        <w:rPr>
          <w:rFonts w:hint="eastAsia" w:ascii="仿宋" w:hAnsi="仿宋" w:eastAsia="仿宋"/>
          <w:sz w:val="32"/>
          <w:szCs w:val="32"/>
        </w:rPr>
        <w:t>个，参照公务员法管理的事业单位</w:t>
      </w:r>
      <w:r>
        <w:rPr>
          <w:rFonts w:hint="eastAsia" w:ascii="仿宋" w:hAnsi="仿宋" w:eastAsia="仿宋"/>
          <w:bCs/>
          <w:sz w:val="32"/>
          <w:szCs w:val="32"/>
          <w:lang w:val="en-US" w:eastAsia="zh-CN"/>
        </w:rPr>
        <w:t>0</w:t>
      </w:r>
      <w:r>
        <w:rPr>
          <w:rFonts w:hint="eastAsia" w:ascii="仿宋" w:hAnsi="仿宋" w:eastAsia="仿宋"/>
          <w:sz w:val="32"/>
          <w:szCs w:val="32"/>
        </w:rPr>
        <w:t>个，其他事业单位</w:t>
      </w:r>
      <w:r>
        <w:rPr>
          <w:rFonts w:hint="eastAsia" w:ascii="仿宋" w:hAnsi="仿宋" w:eastAsia="仿宋"/>
          <w:sz w:val="32"/>
          <w:szCs w:val="32"/>
          <w:lang w:val="en-US" w:eastAsia="zh-CN"/>
        </w:rPr>
        <w:t>0</w:t>
      </w:r>
      <w:r>
        <w:rPr>
          <w:rFonts w:hint="eastAsia" w:ascii="仿宋" w:hAnsi="仿宋" w:eastAsia="仿宋"/>
          <w:sz w:val="32"/>
          <w:szCs w:val="32"/>
        </w:rPr>
        <w:t>个。</w:t>
      </w:r>
    </w:p>
    <w:p>
      <w:pPr>
        <w:ind w:firstLine="800" w:firstLineChars="250"/>
      </w:pPr>
      <w:r>
        <w:rPr>
          <w:rFonts w:hint="eastAsia" w:ascii="仿宋" w:hAnsi="仿宋" w:eastAsia="仿宋"/>
          <w:sz w:val="32"/>
          <w:szCs w:val="32"/>
        </w:rPr>
        <w:t>纳入</w:t>
      </w:r>
      <w:r>
        <w:rPr>
          <w:rFonts w:hint="eastAsia" w:ascii="仿宋" w:hAnsi="仿宋" w:eastAsia="仿宋"/>
          <w:sz w:val="32"/>
          <w:szCs w:val="32"/>
          <w:lang w:val="en-US" w:eastAsia="zh-CN"/>
        </w:rPr>
        <w:t>乐至县国家农村产业融合发展示范园管理委员会</w:t>
      </w:r>
      <w:r>
        <w:rPr>
          <w:rFonts w:hint="eastAsia" w:ascii="仿宋" w:hAnsi="仿宋" w:eastAsia="仿宋"/>
          <w:sz w:val="32"/>
          <w:szCs w:val="32"/>
        </w:rPr>
        <w:t>2022年度部门决算编制范围的二级预算单位包括：</w:t>
      </w:r>
      <w:r>
        <w:rPr>
          <w:rFonts w:hint="eastAsia" w:ascii="仿宋" w:hAnsi="仿宋" w:eastAsia="仿宋"/>
          <w:sz w:val="32"/>
          <w:szCs w:val="32"/>
          <w:lang w:val="en-US" w:eastAsia="zh-CN"/>
        </w:rPr>
        <w:t>乐至县国家农村产业融合发展示范园管理委员会。</w:t>
      </w:r>
    </w:p>
    <w:p>
      <w:pPr>
        <w:pStyle w:val="2"/>
        <w:ind w:right="440"/>
        <w:jc w:val="center"/>
        <w:rPr>
          <w:rStyle w:val="29"/>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9"/>
          <w:rFonts w:hint="eastAsia" w:ascii="黑体" w:hAnsi="黑体" w:eastAsia="黑体"/>
          <w:b w:val="0"/>
          <w:bCs/>
        </w:rPr>
        <w:t>部门决算情况说明</w:t>
      </w:r>
      <w:bookmarkEnd w:id="16"/>
      <w:bookmarkEnd w:id="17"/>
    </w:p>
    <w:p/>
    <w:p>
      <w:pPr>
        <w:pStyle w:val="28"/>
        <w:numPr>
          <w:ilvl w:val="0"/>
          <w:numId w:val="1"/>
        </w:numPr>
        <w:spacing w:line="600" w:lineRule="exact"/>
        <w:ind w:firstLineChars="0"/>
        <w:outlineLvl w:val="1"/>
        <w:rPr>
          <w:rStyle w:val="30"/>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3226.94</w:t>
      </w:r>
      <w:r>
        <w:rPr>
          <w:rFonts w:hint="eastAsia" w:ascii="仿宋" w:hAnsi="仿宋" w:eastAsia="仿宋"/>
          <w:sz w:val="32"/>
          <w:szCs w:val="32"/>
        </w:rPr>
        <w:t>万元。与2021年相比，收、支总计各减少</w:t>
      </w:r>
      <w:r>
        <w:rPr>
          <w:rFonts w:hint="eastAsia" w:ascii="仿宋" w:hAnsi="仿宋" w:eastAsia="仿宋"/>
          <w:sz w:val="32"/>
          <w:szCs w:val="32"/>
          <w:lang w:val="en-US" w:eastAsia="zh-CN"/>
        </w:rPr>
        <w:t>26815.90</w:t>
      </w:r>
      <w:r>
        <w:rPr>
          <w:rFonts w:hint="eastAsia" w:ascii="仿宋" w:hAnsi="仿宋" w:eastAsia="仿宋"/>
          <w:sz w:val="32"/>
          <w:szCs w:val="32"/>
        </w:rPr>
        <w:t>万元，下降</w:t>
      </w:r>
      <w:r>
        <w:rPr>
          <w:rFonts w:hint="eastAsia" w:ascii="仿宋" w:hAnsi="仿宋" w:eastAsia="仿宋"/>
          <w:sz w:val="32"/>
          <w:szCs w:val="32"/>
          <w:lang w:val="en-US" w:eastAsia="zh-CN"/>
        </w:rPr>
        <w:t>89.3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一般公共预算财政拨款收、支由2021年的342.84万元减少至2022年的226.94万元，下降33.8%；政府性基本预算财政拨款收、支由2021年的29700万元减少至2022年的3000万元，下降89.9%，造成与上一年度变化幅度增大</w:t>
      </w:r>
      <w:r>
        <w:rPr>
          <w:rFonts w:hint="eastAsia" w:ascii="仿宋" w:hAnsi="仿宋" w:eastAsia="仿宋"/>
          <w:sz w:val="32"/>
          <w:szCs w:val="32"/>
        </w:rPr>
        <w:t>。</w:t>
      </w:r>
    </w:p>
    <w:p>
      <w:pPr>
        <w:spacing w:line="600" w:lineRule="exact"/>
        <w:ind w:firstLine="420" w:firstLineChars="200"/>
        <w:rPr>
          <w:rFonts w:eastAsia="仿宋"/>
          <w:i/>
          <w:color w:val="000000"/>
          <w:sz w:val="32"/>
          <w:szCs w:val="32"/>
          <w:highlight w:val="yellow"/>
        </w:rPr>
      </w:pPr>
      <w:r>
        <w:drawing>
          <wp:anchor distT="0" distB="0" distL="114300" distR="114300" simplePos="0" relativeHeight="251660288" behindDoc="1" locked="0" layoutInCell="1" allowOverlap="1">
            <wp:simplePos x="0" y="0"/>
            <wp:positionH relativeFrom="column">
              <wp:posOffset>775970</wp:posOffset>
            </wp:positionH>
            <wp:positionV relativeFrom="paragraph">
              <wp:posOffset>101600</wp:posOffset>
            </wp:positionV>
            <wp:extent cx="4099560" cy="2732405"/>
            <wp:effectExtent l="4445" t="4445" r="10795" b="635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pStyle w:val="28"/>
        <w:numPr>
          <w:ilvl w:val="0"/>
          <w:numId w:val="1"/>
        </w:numPr>
        <w:spacing w:line="600" w:lineRule="exact"/>
        <w:ind w:firstLineChars="0"/>
        <w:outlineLvl w:val="1"/>
        <w:rPr>
          <w:rStyle w:val="30"/>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30"/>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highlight w:val="yellow"/>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3226.94</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226.94</w:t>
      </w:r>
      <w:r>
        <w:rPr>
          <w:rFonts w:hint="eastAsia" w:ascii="仿宋" w:hAnsi="仿宋" w:eastAsia="仿宋"/>
          <w:sz w:val="32"/>
          <w:szCs w:val="32"/>
        </w:rPr>
        <w:t>万元，占</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3000</w:t>
      </w:r>
      <w:r>
        <w:rPr>
          <w:rFonts w:hint="eastAsia" w:ascii="仿宋" w:hAnsi="仿宋" w:eastAsia="仿宋"/>
          <w:sz w:val="32"/>
          <w:szCs w:val="32"/>
        </w:rPr>
        <w:t>万元，占</w:t>
      </w:r>
      <w:r>
        <w:rPr>
          <w:rFonts w:hint="eastAsia" w:ascii="仿宋" w:hAnsi="仿宋" w:eastAsia="仿宋"/>
          <w:sz w:val="32"/>
          <w:szCs w:val="32"/>
          <w:lang w:val="en-US" w:eastAsia="zh-CN"/>
        </w:rPr>
        <w:t>93.0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outlineLvl w:val="1"/>
        <w:rPr>
          <w:rFonts w:hint="eastAsia" w:ascii="仿宋" w:hAnsi="仿宋" w:eastAsia="仿宋"/>
          <w:sz w:val="32"/>
          <w:szCs w:val="32"/>
          <w:highlight w:val="yellow"/>
        </w:rPr>
      </w:pPr>
      <w:r>
        <w:drawing>
          <wp:anchor distT="0" distB="0" distL="114300" distR="114300" simplePos="0" relativeHeight="251661312" behindDoc="1" locked="0" layoutInCell="1" allowOverlap="1">
            <wp:simplePos x="0" y="0"/>
            <wp:positionH relativeFrom="column">
              <wp:posOffset>333375</wp:posOffset>
            </wp:positionH>
            <wp:positionV relativeFrom="paragraph">
              <wp:posOffset>119380</wp:posOffset>
            </wp:positionV>
            <wp:extent cx="4420235" cy="2810510"/>
            <wp:effectExtent l="0" t="0" r="1841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420235" cy="2810510"/>
                    </a:xfrm>
                    <a:prstGeom prst="rect">
                      <a:avLst/>
                    </a:prstGeom>
                    <a:noFill/>
                    <a:ln>
                      <a:noFill/>
                    </a:ln>
                  </pic:spPr>
                </pic:pic>
              </a:graphicData>
            </a:graphic>
          </wp:anchor>
        </w:drawing>
      </w:r>
    </w:p>
    <w:p>
      <w:pPr>
        <w:spacing w:line="600" w:lineRule="exact"/>
        <w:ind w:firstLine="640" w:firstLineChars="200"/>
        <w:outlineLvl w:val="1"/>
        <w:rPr>
          <w:rFonts w:hint="eastAsia" w:ascii="仿宋" w:hAnsi="仿宋" w:eastAsia="仿宋"/>
          <w:sz w:val="32"/>
          <w:szCs w:val="32"/>
          <w:highlight w:val="yellow"/>
        </w:rPr>
      </w:pPr>
    </w:p>
    <w:p>
      <w:pPr>
        <w:spacing w:line="600" w:lineRule="exact"/>
        <w:ind w:firstLine="640" w:firstLineChars="200"/>
        <w:outlineLvl w:val="1"/>
        <w:rPr>
          <w:rFonts w:hint="eastAsia" w:ascii="仿宋" w:hAnsi="仿宋" w:eastAsia="仿宋"/>
          <w:sz w:val="32"/>
          <w:szCs w:val="32"/>
          <w:highlight w:val="yellow"/>
        </w:rPr>
      </w:pPr>
    </w:p>
    <w:p>
      <w:pPr>
        <w:spacing w:line="600" w:lineRule="exact"/>
        <w:ind w:firstLine="640" w:firstLineChars="200"/>
        <w:outlineLvl w:val="1"/>
        <w:rPr>
          <w:rFonts w:hint="eastAsia" w:ascii="仿宋" w:hAnsi="仿宋" w:eastAsia="仿宋"/>
          <w:sz w:val="32"/>
          <w:szCs w:val="32"/>
          <w:highlight w:val="yellow"/>
        </w:rPr>
      </w:pPr>
    </w:p>
    <w:p>
      <w:pPr>
        <w:spacing w:line="600" w:lineRule="exact"/>
        <w:ind w:firstLine="640" w:firstLineChars="200"/>
        <w:outlineLvl w:val="1"/>
        <w:rPr>
          <w:rFonts w:hint="eastAsia" w:ascii="仿宋" w:hAnsi="仿宋" w:eastAsia="仿宋"/>
          <w:sz w:val="32"/>
          <w:szCs w:val="32"/>
          <w:highlight w:val="yellow"/>
        </w:rPr>
      </w:pPr>
    </w:p>
    <w:p>
      <w:pPr>
        <w:spacing w:line="600" w:lineRule="exact"/>
        <w:ind w:firstLine="640" w:firstLineChars="200"/>
        <w:outlineLvl w:val="1"/>
        <w:rPr>
          <w:rFonts w:hint="eastAsia" w:ascii="仿宋" w:hAnsi="仿宋" w:eastAsia="仿宋"/>
          <w:sz w:val="32"/>
          <w:szCs w:val="32"/>
          <w:highlight w:val="yellow"/>
        </w:rPr>
      </w:pPr>
    </w:p>
    <w:p>
      <w:pPr>
        <w:spacing w:line="600" w:lineRule="exact"/>
        <w:ind w:firstLine="640" w:firstLineChars="200"/>
        <w:outlineLvl w:val="1"/>
        <w:rPr>
          <w:rFonts w:hint="eastAsia" w:ascii="仿宋" w:hAnsi="仿宋" w:eastAsia="仿宋"/>
          <w:sz w:val="32"/>
          <w:szCs w:val="32"/>
          <w:highlight w:val="yellow"/>
        </w:rPr>
      </w:pPr>
    </w:p>
    <w:p>
      <w:pPr>
        <w:spacing w:line="600" w:lineRule="exact"/>
        <w:outlineLvl w:val="1"/>
        <w:rPr>
          <w:rFonts w:hint="eastAsia" w:ascii="仿宋" w:hAnsi="仿宋" w:eastAsia="仿宋"/>
          <w:sz w:val="32"/>
          <w:szCs w:val="32"/>
          <w:highlight w:val="yellow"/>
        </w:rPr>
      </w:pPr>
    </w:p>
    <w:p>
      <w:pPr>
        <w:pStyle w:val="28"/>
        <w:numPr>
          <w:ilvl w:val="0"/>
          <w:numId w:val="1"/>
        </w:numPr>
        <w:spacing w:line="600" w:lineRule="exact"/>
        <w:ind w:firstLineChars="0"/>
        <w:outlineLvl w:val="1"/>
        <w:rPr>
          <w:rStyle w:val="30"/>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30"/>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highlight w:val="yellow"/>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3226.94</w:t>
      </w:r>
      <w:r>
        <w:rPr>
          <w:rFonts w:hint="eastAsia" w:ascii="仿宋" w:hAnsi="仿宋" w:eastAsia="仿宋"/>
          <w:sz w:val="32"/>
          <w:szCs w:val="32"/>
        </w:rPr>
        <w:t>万元，其中：基本支出</w:t>
      </w:r>
      <w:r>
        <w:rPr>
          <w:rFonts w:hint="eastAsia" w:ascii="仿宋" w:hAnsi="仿宋" w:eastAsia="仿宋"/>
          <w:sz w:val="32"/>
          <w:szCs w:val="32"/>
          <w:lang w:val="en-US" w:eastAsia="zh-CN"/>
        </w:rPr>
        <w:t>226.94</w:t>
      </w:r>
      <w:r>
        <w:rPr>
          <w:rFonts w:hint="eastAsia" w:ascii="仿宋" w:hAnsi="仿宋" w:eastAsia="仿宋"/>
          <w:sz w:val="32"/>
          <w:szCs w:val="32"/>
        </w:rPr>
        <w:t>万元，占</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3000</w:t>
      </w:r>
      <w:r>
        <w:rPr>
          <w:rFonts w:hint="eastAsia" w:ascii="仿宋" w:hAnsi="仿宋" w:eastAsia="仿宋"/>
          <w:sz w:val="32"/>
          <w:szCs w:val="32"/>
        </w:rPr>
        <w:t>万元，占</w:t>
      </w:r>
      <w:r>
        <w:rPr>
          <w:rFonts w:hint="eastAsia" w:ascii="仿宋" w:hAnsi="仿宋" w:eastAsia="仿宋"/>
          <w:sz w:val="32"/>
          <w:szCs w:val="32"/>
          <w:lang w:val="en-US" w:eastAsia="zh-CN"/>
        </w:rPr>
        <w:t>93.0</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rPr>
          <w:rFonts w:eastAsia="仿宋"/>
          <w:i/>
          <w:color w:val="000000"/>
          <w:sz w:val="32"/>
          <w:szCs w:val="32"/>
          <w:highlight w:val="yellow"/>
        </w:rPr>
      </w:pPr>
      <w:r>
        <w:drawing>
          <wp:anchor distT="0" distB="0" distL="114300" distR="114300" simplePos="0" relativeHeight="251662336" behindDoc="1" locked="0" layoutInCell="1" allowOverlap="1">
            <wp:simplePos x="0" y="0"/>
            <wp:positionH relativeFrom="column">
              <wp:posOffset>380365</wp:posOffset>
            </wp:positionH>
            <wp:positionV relativeFrom="paragraph">
              <wp:posOffset>23495</wp:posOffset>
            </wp:positionV>
            <wp:extent cx="4450715" cy="2442210"/>
            <wp:effectExtent l="4445" t="4445" r="21590" b="10795"/>
            <wp:wrapNone/>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ind w:firstLine="640" w:firstLineChars="200"/>
        <w:outlineLvl w:val="1"/>
        <w:rPr>
          <w:rStyle w:val="30"/>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24"/>
      <w:bookmarkEnd w:id="25"/>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3226.94</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21年相比，财政拨款收、支总计减少</w:t>
      </w:r>
      <w:r>
        <w:rPr>
          <w:rFonts w:hint="eastAsia" w:ascii="仿宋" w:hAnsi="仿宋" w:eastAsia="仿宋"/>
          <w:sz w:val="32"/>
          <w:szCs w:val="32"/>
          <w:lang w:val="en-US" w:eastAsia="zh-CN"/>
        </w:rPr>
        <w:t>26815.90</w:t>
      </w:r>
      <w:r>
        <w:rPr>
          <w:rFonts w:hint="eastAsia" w:ascii="仿宋" w:hAnsi="仿宋" w:eastAsia="仿宋"/>
          <w:sz w:val="32"/>
          <w:szCs w:val="32"/>
        </w:rPr>
        <w:t>万元，下降</w:t>
      </w:r>
      <w:r>
        <w:rPr>
          <w:rFonts w:hint="eastAsia" w:ascii="仿宋" w:hAnsi="仿宋" w:eastAsia="仿宋"/>
          <w:sz w:val="32"/>
          <w:szCs w:val="32"/>
          <w:lang w:val="en-US" w:eastAsia="zh-CN"/>
        </w:rPr>
        <w:t>89.3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一般公共预算财政拨款收、支由2021年的342.84万元减少至226.94万元，下降33.8%；政府性基本预算财政拨款收、支由2021年的29700万元减少至3000万元，下降89.9%，造成与上一年度变化幅度增大</w:t>
      </w:r>
      <w:r>
        <w:rPr>
          <w:rFonts w:hint="eastAsia" w:ascii="仿宋" w:hAnsi="仿宋" w:eastAsia="仿宋"/>
          <w:sz w:val="32"/>
          <w:szCs w:val="32"/>
        </w:rPr>
        <w:t>。</w:t>
      </w:r>
    </w:p>
    <w:p>
      <w:pPr>
        <w:spacing w:line="600" w:lineRule="exact"/>
        <w:ind w:firstLine="420" w:firstLineChars="200"/>
        <w:rPr>
          <w:rFonts w:eastAsia="仿宋"/>
          <w:i/>
          <w:color w:val="000000"/>
          <w:sz w:val="32"/>
          <w:szCs w:val="32"/>
          <w:highlight w:val="yellow"/>
        </w:rPr>
      </w:pPr>
      <w:r>
        <w:drawing>
          <wp:anchor distT="0" distB="0" distL="114300" distR="114300" simplePos="0" relativeHeight="251663360" behindDoc="1" locked="0" layoutInCell="1" allowOverlap="1">
            <wp:simplePos x="0" y="0"/>
            <wp:positionH relativeFrom="column">
              <wp:posOffset>437515</wp:posOffset>
            </wp:positionH>
            <wp:positionV relativeFrom="paragraph">
              <wp:posOffset>142875</wp:posOffset>
            </wp:positionV>
            <wp:extent cx="4896485" cy="3432175"/>
            <wp:effectExtent l="4445" t="4445" r="13970" b="1143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rPr>
          <w:rFonts w:ascii="仿宋" w:hAnsi="仿宋" w:eastAsia="仿宋"/>
          <w:b/>
          <w:sz w:val="32"/>
          <w:szCs w:val="32"/>
        </w:rPr>
      </w:pPr>
    </w:p>
    <w:p>
      <w:pPr>
        <w:spacing w:line="600" w:lineRule="exact"/>
        <w:ind w:firstLine="640" w:firstLineChars="200"/>
        <w:outlineLvl w:val="1"/>
        <w:rPr>
          <w:rStyle w:val="30"/>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226.94</w:t>
      </w:r>
      <w:r>
        <w:rPr>
          <w:rFonts w:hint="eastAsia" w:ascii="仿宋" w:hAnsi="仿宋" w:eastAsia="仿宋"/>
          <w:sz w:val="32"/>
          <w:szCs w:val="32"/>
        </w:rPr>
        <w:t>万元，占本年支出合计的</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115.90</w:t>
      </w:r>
      <w:r>
        <w:rPr>
          <w:rFonts w:hint="eastAsia" w:ascii="仿宋" w:hAnsi="仿宋" w:eastAsia="仿宋"/>
          <w:sz w:val="32"/>
          <w:szCs w:val="32"/>
        </w:rPr>
        <w:t>万元，下降</w:t>
      </w:r>
      <w:r>
        <w:rPr>
          <w:rFonts w:hint="eastAsia" w:ascii="仿宋" w:hAnsi="仿宋" w:eastAsia="仿宋"/>
          <w:sz w:val="32"/>
          <w:szCs w:val="32"/>
          <w:lang w:val="en-US" w:eastAsia="zh-CN"/>
        </w:rPr>
        <w:t>33.8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2021年一般公共预算财政拨款支出中包含用于水体污染防治的项目款200万元，占当年比例58.3%。</w:t>
      </w:r>
    </w:p>
    <w:p>
      <w:pPr>
        <w:spacing w:line="600" w:lineRule="exact"/>
        <w:ind w:firstLine="420" w:firstLineChars="200"/>
        <w:rPr>
          <w:rFonts w:eastAsia="仿宋"/>
          <w:i/>
          <w:color w:val="000000"/>
          <w:sz w:val="32"/>
          <w:szCs w:val="32"/>
          <w:highlight w:val="yellow"/>
        </w:rPr>
      </w:pPr>
      <w:r>
        <w:drawing>
          <wp:anchor distT="0" distB="0" distL="114300" distR="114300" simplePos="0" relativeHeight="251664384" behindDoc="1" locked="0" layoutInCell="1" allowOverlap="1">
            <wp:simplePos x="0" y="0"/>
            <wp:positionH relativeFrom="column">
              <wp:posOffset>328295</wp:posOffset>
            </wp:positionH>
            <wp:positionV relativeFrom="paragraph">
              <wp:posOffset>169545</wp:posOffset>
            </wp:positionV>
            <wp:extent cx="4438650" cy="2438400"/>
            <wp:effectExtent l="4445" t="4445" r="1460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rPr>
          <w:rFonts w:eastAsia="仿宋"/>
          <w:i/>
          <w:color w:val="000000"/>
          <w:sz w:val="32"/>
          <w:szCs w:val="32"/>
          <w:highlight w:val="yellow"/>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226.94</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19.23</w:t>
      </w:r>
      <w:r>
        <w:rPr>
          <w:rFonts w:hint="eastAsia" w:ascii="仿宋" w:hAnsi="仿宋" w:eastAsia="仿宋"/>
          <w:sz w:val="32"/>
          <w:szCs w:val="32"/>
        </w:rPr>
        <w:t>万元，占</w:t>
      </w:r>
      <w:r>
        <w:rPr>
          <w:rFonts w:hint="eastAsia" w:ascii="仿宋" w:hAnsi="仿宋" w:eastAsia="仿宋"/>
          <w:sz w:val="32"/>
          <w:szCs w:val="32"/>
          <w:lang w:val="en-US" w:eastAsia="zh-CN"/>
        </w:rPr>
        <w:t>8.5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8.21</w:t>
      </w:r>
      <w:r>
        <w:rPr>
          <w:rFonts w:hint="eastAsia" w:ascii="仿宋" w:hAnsi="仿宋" w:eastAsia="仿宋"/>
          <w:sz w:val="32"/>
          <w:szCs w:val="32"/>
        </w:rPr>
        <w:t>万元，占</w:t>
      </w:r>
      <w:r>
        <w:rPr>
          <w:rFonts w:hint="eastAsia" w:ascii="仿宋" w:hAnsi="仿宋" w:eastAsia="仿宋"/>
          <w:sz w:val="32"/>
          <w:szCs w:val="32"/>
          <w:lang w:val="en-US" w:eastAsia="zh-CN"/>
        </w:rPr>
        <w:t>3.6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15.94</w:t>
      </w:r>
      <w:r>
        <w:rPr>
          <w:rFonts w:hint="eastAsia" w:ascii="仿宋" w:hAnsi="仿宋" w:eastAsia="仿宋"/>
          <w:sz w:val="32"/>
          <w:szCs w:val="32"/>
        </w:rPr>
        <w:t>万元，占</w:t>
      </w:r>
      <w:r>
        <w:rPr>
          <w:rFonts w:hint="eastAsia" w:ascii="仿宋" w:hAnsi="仿宋" w:eastAsia="仿宋"/>
          <w:sz w:val="32"/>
          <w:szCs w:val="32"/>
          <w:lang w:val="en-US" w:eastAsia="zh-CN"/>
        </w:rPr>
        <w:t>7.0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农林水支出</w:t>
      </w:r>
      <w:r>
        <w:rPr>
          <w:rFonts w:hint="eastAsia" w:ascii="仿宋" w:hAnsi="仿宋" w:eastAsia="仿宋"/>
          <w:b w:val="0"/>
          <w:bCs w:val="0"/>
          <w:sz w:val="32"/>
          <w:szCs w:val="32"/>
          <w:lang w:val="en-US" w:eastAsia="zh-CN"/>
        </w:rPr>
        <w:t>183.56万元，占</w:t>
      </w:r>
      <w:r>
        <w:rPr>
          <w:rFonts w:hint="eastAsia" w:ascii="仿宋" w:hAnsi="仿宋" w:eastAsia="仿宋"/>
          <w:sz w:val="32"/>
          <w:szCs w:val="32"/>
          <w:lang w:val="en-US" w:eastAsia="zh-CN"/>
        </w:rPr>
        <w:t>80.9%</w:t>
      </w:r>
      <w:r>
        <w:rPr>
          <w:rFonts w:hint="eastAsia" w:ascii="仿宋" w:hAnsi="仿宋" w:eastAsia="仿宋"/>
          <w:sz w:val="32"/>
          <w:szCs w:val="32"/>
        </w:rPr>
        <w:t>。</w:t>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420" w:firstLineChars="200"/>
        <w:rPr>
          <w:rFonts w:eastAsia="仿宋"/>
          <w:i/>
          <w:color w:val="000000"/>
          <w:sz w:val="32"/>
          <w:szCs w:val="32"/>
          <w:highlight w:val="yellow"/>
        </w:rPr>
      </w:pPr>
      <w:r>
        <w:drawing>
          <wp:anchor distT="0" distB="0" distL="114300" distR="114300" simplePos="0" relativeHeight="251665408" behindDoc="1" locked="0" layoutInCell="1" allowOverlap="1">
            <wp:simplePos x="0" y="0"/>
            <wp:positionH relativeFrom="column">
              <wp:posOffset>318770</wp:posOffset>
            </wp:positionH>
            <wp:positionV relativeFrom="paragraph">
              <wp:posOffset>82550</wp:posOffset>
            </wp:positionV>
            <wp:extent cx="4194810" cy="2527300"/>
            <wp:effectExtent l="4445" t="5080" r="10795" b="20320"/>
            <wp:wrapNone/>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0" w:firstLineChars="200"/>
        <w:rPr>
          <w:rFonts w:eastAsia="仿宋"/>
          <w:i/>
          <w:color w:val="000000"/>
          <w:sz w:val="32"/>
          <w:szCs w:val="32"/>
          <w:highlight w:val="yellow"/>
        </w:rPr>
      </w:pPr>
    </w:p>
    <w:p>
      <w:pPr>
        <w:spacing w:line="600" w:lineRule="exact"/>
        <w:ind w:firstLine="643" w:firstLineChars="200"/>
        <w:outlineLvl w:val="2"/>
        <w:rPr>
          <w:rFonts w:hint="eastAsia" w:ascii="仿宋" w:hAnsi="仿宋" w:eastAsia="仿宋"/>
          <w:b/>
          <w:sz w:val="32"/>
          <w:szCs w:val="32"/>
        </w:rPr>
      </w:pPr>
      <w:bookmarkStart w:id="30" w:name="_Toc15377212"/>
    </w:p>
    <w:p>
      <w:pPr>
        <w:spacing w:line="600" w:lineRule="exact"/>
        <w:ind w:firstLine="643" w:firstLineChars="200"/>
        <w:outlineLvl w:val="2"/>
        <w:rPr>
          <w:rFonts w:hint="eastAsia" w:ascii="仿宋" w:hAnsi="仿宋" w:eastAsia="仿宋"/>
          <w:b/>
          <w:sz w:val="32"/>
          <w:szCs w:val="32"/>
        </w:rPr>
      </w:pPr>
    </w:p>
    <w:p>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213"/>
      <w:bookmarkStart w:id="33" w:name="_Toc15377444"/>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226.94万元</w:t>
      </w:r>
      <w:r>
        <w:rPr>
          <w:rFonts w:hint="eastAsia" w:ascii="仿宋" w:hAnsi="仿宋" w:eastAsia="仿宋"/>
          <w:sz w:val="32"/>
          <w:szCs w:val="32"/>
        </w:rPr>
        <w:t>，</w:t>
      </w:r>
      <w:r>
        <w:rPr>
          <w:rStyle w:val="18"/>
          <w:rFonts w:hint="eastAsia" w:ascii="仿宋" w:hAnsi="仿宋" w:eastAsia="仿宋"/>
          <w:bCs/>
          <w:sz w:val="32"/>
          <w:szCs w:val="32"/>
        </w:rPr>
        <w:t>完成预算</w:t>
      </w:r>
      <w:r>
        <w:rPr>
          <w:rStyle w:val="18"/>
          <w:rFonts w:hint="eastAsia" w:ascii="仿宋" w:hAnsi="仿宋" w:eastAsia="仿宋"/>
          <w:bCs/>
          <w:sz w:val="32"/>
          <w:szCs w:val="32"/>
          <w:lang w:val="en-US" w:eastAsia="zh-CN"/>
        </w:rPr>
        <w:t>100</w:t>
      </w:r>
      <w:r>
        <w:rPr>
          <w:rStyle w:val="18"/>
          <w:rFonts w:ascii="仿宋" w:hAnsi="仿宋" w:eastAsia="仿宋"/>
          <w:bCs/>
          <w:sz w:val="32"/>
          <w:szCs w:val="32"/>
        </w:rPr>
        <w:t>%</w:t>
      </w:r>
      <w:r>
        <w:rPr>
          <w:rStyle w:val="18"/>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lang w:val="en-US" w:eastAsia="zh-CN"/>
        </w:rPr>
        <w:t>1</w:t>
      </w:r>
      <w:r>
        <w:rPr>
          <w:rStyle w:val="18"/>
          <w:rFonts w:ascii="仿宋" w:hAnsi="仿宋" w:eastAsia="仿宋"/>
          <w:bCs/>
          <w:sz w:val="32"/>
          <w:szCs w:val="32"/>
        </w:rPr>
        <w:t>.</w:t>
      </w:r>
      <w:r>
        <w:rPr>
          <w:rStyle w:val="18"/>
          <w:rFonts w:hint="eastAsia" w:ascii="仿宋" w:hAnsi="仿宋" w:eastAsia="仿宋"/>
          <w:bCs/>
          <w:sz w:val="32"/>
          <w:szCs w:val="32"/>
        </w:rPr>
        <w:t>住房保障支出（类）住房改革支出（款）住房公积金（项）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15.94</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2</w:t>
      </w:r>
      <w:r>
        <w:rPr>
          <w:rStyle w:val="18"/>
          <w:rFonts w:ascii="仿宋" w:hAnsi="仿宋" w:eastAsia="仿宋"/>
          <w:bCs/>
          <w:sz w:val="32"/>
          <w:szCs w:val="32"/>
        </w:rPr>
        <w:t>.</w:t>
      </w:r>
      <w:r>
        <w:rPr>
          <w:rStyle w:val="18"/>
          <w:rFonts w:hint="eastAsia" w:ascii="仿宋" w:hAnsi="仿宋" w:eastAsia="仿宋"/>
          <w:bCs/>
          <w:sz w:val="32"/>
          <w:szCs w:val="32"/>
          <w:lang w:val="en-US" w:eastAsia="zh-CN"/>
        </w:rPr>
        <w:t>农林水支出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农业农村</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事业运行</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20.83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3" w:firstLineChars="200"/>
        <w:rPr>
          <w:rStyle w:val="18"/>
          <w:rFonts w:hint="eastAsia" w:ascii="仿宋" w:hAnsi="仿宋" w:eastAsia="仿宋"/>
          <w:b w:val="0"/>
          <w:bCs/>
          <w:sz w:val="32"/>
          <w:szCs w:val="32"/>
        </w:rPr>
      </w:pPr>
      <w:r>
        <w:rPr>
          <w:rStyle w:val="18"/>
          <w:rFonts w:hint="eastAsia" w:ascii="仿宋" w:hAnsi="仿宋" w:eastAsia="仿宋"/>
          <w:bCs/>
          <w:sz w:val="32"/>
          <w:szCs w:val="32"/>
          <w:lang w:val="en-US" w:eastAsia="zh-CN"/>
        </w:rPr>
        <w:t>3</w:t>
      </w:r>
      <w:r>
        <w:rPr>
          <w:rStyle w:val="18"/>
          <w:rFonts w:ascii="仿宋" w:hAnsi="仿宋" w:eastAsia="仿宋"/>
          <w:bCs/>
          <w:sz w:val="32"/>
          <w:szCs w:val="32"/>
        </w:rPr>
        <w:t>.</w:t>
      </w:r>
      <w:r>
        <w:rPr>
          <w:rStyle w:val="18"/>
          <w:rFonts w:hint="eastAsia" w:ascii="仿宋" w:hAnsi="仿宋" w:eastAsia="仿宋"/>
          <w:bCs/>
          <w:sz w:val="32"/>
          <w:szCs w:val="32"/>
          <w:lang w:val="en-US" w:eastAsia="zh-CN"/>
        </w:rPr>
        <w:t>农林水支出</w:t>
      </w:r>
      <w:r>
        <w:rPr>
          <w:rStyle w:val="18"/>
          <w:rFonts w:hint="eastAsia" w:ascii="仿宋" w:hAnsi="仿宋" w:eastAsia="仿宋"/>
          <w:bCs/>
          <w:sz w:val="32"/>
          <w:szCs w:val="32"/>
        </w:rPr>
        <w:t>（类）</w:t>
      </w:r>
      <w:r>
        <w:rPr>
          <w:rStyle w:val="18"/>
          <w:rFonts w:hint="eastAsia" w:ascii="仿宋" w:hAnsi="仿宋" w:eastAsia="仿宋"/>
          <w:bCs/>
          <w:sz w:val="32"/>
          <w:szCs w:val="32"/>
          <w:lang w:val="en-US" w:eastAsia="zh-CN"/>
        </w:rPr>
        <w:t>林业和草原</w:t>
      </w:r>
      <w:r>
        <w:rPr>
          <w:rStyle w:val="18"/>
          <w:rFonts w:hint="eastAsia" w:ascii="仿宋" w:hAnsi="仿宋" w:eastAsia="仿宋"/>
          <w:bCs/>
          <w:sz w:val="32"/>
          <w:szCs w:val="32"/>
        </w:rPr>
        <w:t>（款）</w:t>
      </w:r>
      <w:r>
        <w:rPr>
          <w:rStyle w:val="18"/>
          <w:rFonts w:hint="eastAsia" w:ascii="仿宋" w:hAnsi="仿宋" w:eastAsia="仿宋"/>
          <w:bCs/>
          <w:sz w:val="32"/>
          <w:szCs w:val="32"/>
          <w:lang w:val="en-US" w:eastAsia="zh-CN"/>
        </w:rPr>
        <w:t>事业机构</w:t>
      </w:r>
      <w:r>
        <w:rPr>
          <w:rStyle w:val="18"/>
          <w:rFonts w:hint="eastAsia" w:ascii="仿宋" w:hAnsi="仿宋" w:eastAsia="仿宋"/>
          <w:bCs/>
          <w:sz w:val="32"/>
          <w:szCs w:val="32"/>
        </w:rPr>
        <w:t>（项）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162.73</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p>
    <w:p>
      <w:pPr>
        <w:spacing w:line="600" w:lineRule="exact"/>
        <w:ind w:firstLine="643" w:firstLineChars="200"/>
        <w:rPr>
          <w:rStyle w:val="18"/>
          <w:rFonts w:hint="eastAsia" w:ascii="仿宋" w:hAnsi="仿宋" w:eastAsia="仿宋"/>
          <w:b w:val="0"/>
          <w:bCs/>
          <w:sz w:val="32"/>
          <w:szCs w:val="32"/>
          <w:lang w:val="en-US" w:eastAsia="zh-CN"/>
        </w:rPr>
      </w:pPr>
      <w:r>
        <w:rPr>
          <w:rStyle w:val="18"/>
          <w:rFonts w:hint="eastAsia" w:ascii="仿宋" w:hAnsi="仿宋" w:eastAsia="仿宋"/>
          <w:bCs/>
          <w:sz w:val="32"/>
          <w:szCs w:val="32"/>
          <w:lang w:val="en-US" w:eastAsia="zh-CN"/>
        </w:rPr>
        <w:t>4</w:t>
      </w:r>
      <w:r>
        <w:rPr>
          <w:rStyle w:val="18"/>
          <w:rFonts w:ascii="仿宋" w:hAnsi="仿宋" w:eastAsia="仿宋"/>
          <w:bCs/>
          <w:sz w:val="32"/>
          <w:szCs w:val="32"/>
        </w:rPr>
        <w:t>.</w:t>
      </w:r>
      <w:r>
        <w:rPr>
          <w:rStyle w:val="18"/>
          <w:rFonts w:hint="eastAsia" w:ascii="仿宋" w:hAnsi="仿宋" w:eastAsia="仿宋"/>
          <w:bCs/>
          <w:sz w:val="32"/>
          <w:szCs w:val="32"/>
        </w:rPr>
        <w:t>社会保障和就业（类）行政事业单位养老支出（款）  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14.47</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val="en-US" w:eastAsia="zh-CN"/>
        </w:rPr>
        <w:t>.</w:t>
      </w:r>
    </w:p>
    <w:p>
      <w:pPr>
        <w:spacing w:line="600" w:lineRule="exact"/>
        <w:ind w:firstLine="640" w:firstLineChars="200"/>
        <w:rPr>
          <w:rStyle w:val="18"/>
          <w:rFonts w:hint="eastAsia" w:ascii="仿宋" w:hAnsi="仿宋" w:eastAsia="仿宋"/>
          <w:b w:val="0"/>
          <w:bCs/>
          <w:sz w:val="32"/>
          <w:szCs w:val="32"/>
          <w:lang w:val="en-US" w:eastAsia="zh-CN"/>
        </w:rPr>
      </w:pPr>
      <w:r>
        <w:rPr>
          <w:rStyle w:val="18"/>
          <w:rFonts w:hint="eastAsia" w:ascii="仿宋" w:hAnsi="仿宋" w:eastAsia="仿宋"/>
          <w:b w:val="0"/>
          <w:bCs/>
          <w:sz w:val="32"/>
          <w:szCs w:val="32"/>
          <w:lang w:val="en-US" w:eastAsia="zh-CN"/>
        </w:rPr>
        <w:t>5.</w:t>
      </w:r>
      <w:r>
        <w:rPr>
          <w:rStyle w:val="18"/>
          <w:rFonts w:hint="eastAsia" w:ascii="仿宋" w:hAnsi="仿宋" w:eastAsia="仿宋"/>
          <w:bCs/>
          <w:sz w:val="32"/>
          <w:szCs w:val="32"/>
        </w:rPr>
        <w:t>社会保障和就业（类）行政事业单位养老支出（款）  机关事业单位职业年金缴费支出（项）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4.76</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val="en-US" w:eastAsia="zh-CN"/>
        </w:rPr>
        <w:t>.</w:t>
      </w:r>
    </w:p>
    <w:p>
      <w:pPr>
        <w:spacing w:line="600" w:lineRule="exact"/>
        <w:ind w:firstLine="643" w:firstLineChars="200"/>
        <w:rPr>
          <w:rFonts w:hint="eastAsia" w:ascii="仿宋" w:hAnsi="仿宋" w:eastAsia="仿宋"/>
          <w:b/>
          <w:sz w:val="32"/>
          <w:szCs w:val="32"/>
          <w:lang w:val="en-US" w:eastAsia="zh-CN"/>
        </w:rPr>
      </w:pPr>
      <w:r>
        <w:rPr>
          <w:rStyle w:val="18"/>
          <w:rFonts w:ascii="仿宋" w:hAnsi="仿宋" w:eastAsia="仿宋"/>
          <w:bCs/>
          <w:sz w:val="32"/>
          <w:szCs w:val="32"/>
        </w:rPr>
        <w:t>6.</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（类）行政事业单位医疗（款）事业单位医疗（项）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7.70</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val="en-US" w:eastAsia="zh-CN"/>
        </w:rPr>
        <w:t>.</w:t>
      </w:r>
    </w:p>
    <w:p>
      <w:pPr>
        <w:spacing w:line="600" w:lineRule="exact"/>
        <w:ind w:firstLine="643" w:firstLineChars="200"/>
        <w:rPr>
          <w:rFonts w:hint="eastAsia" w:ascii="仿宋" w:hAnsi="仿宋" w:eastAsia="仿宋"/>
          <w:b/>
          <w:sz w:val="32"/>
          <w:szCs w:val="32"/>
          <w:lang w:val="en-US" w:eastAsia="zh-CN"/>
        </w:rPr>
      </w:pPr>
      <w:r>
        <w:rPr>
          <w:rStyle w:val="18"/>
          <w:rFonts w:hint="eastAsia" w:ascii="仿宋" w:hAnsi="仿宋" w:eastAsia="仿宋"/>
          <w:bCs/>
          <w:sz w:val="32"/>
          <w:szCs w:val="32"/>
          <w:lang w:val="en-US" w:eastAsia="zh-CN"/>
        </w:rPr>
        <w:t>7</w:t>
      </w:r>
      <w:r>
        <w:rPr>
          <w:rStyle w:val="18"/>
          <w:rFonts w:ascii="仿宋" w:hAnsi="仿宋" w:eastAsia="仿宋"/>
          <w:bCs/>
          <w:sz w:val="32"/>
          <w:szCs w:val="32"/>
        </w:rPr>
        <w:t>.</w:t>
      </w:r>
      <w:r>
        <w:rPr>
          <w:rFonts w:hint="eastAsia" w:ascii="仿宋" w:hAnsi="仿宋" w:eastAsia="仿宋"/>
          <w:b/>
          <w:bCs/>
          <w:sz w:val="32"/>
          <w:szCs w:val="32"/>
        </w:rPr>
        <w:t>卫生健康</w:t>
      </w:r>
      <w:r>
        <w:rPr>
          <w:rStyle w:val="18"/>
          <w:rFonts w:hint="eastAsia" w:ascii="仿宋" w:hAnsi="仿宋" w:eastAsia="仿宋"/>
          <w:bCs/>
          <w:sz w:val="32"/>
          <w:szCs w:val="32"/>
        </w:rPr>
        <w:t>（类）行政事业单位医疗（款）公务员医疗补助（项）</w:t>
      </w:r>
      <w:r>
        <w:rPr>
          <w:rStyle w:val="18"/>
          <w:rFonts w:ascii="仿宋" w:hAnsi="仿宋" w:eastAsia="仿宋"/>
          <w:bCs/>
          <w:sz w:val="32"/>
          <w:szCs w:val="32"/>
        </w:rPr>
        <w:t>:</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0.51</w:t>
      </w:r>
      <w:r>
        <w:rPr>
          <w:rStyle w:val="18"/>
          <w:rFonts w:hint="eastAsia" w:ascii="仿宋" w:hAnsi="仿宋" w:eastAsia="仿宋"/>
          <w:b w:val="0"/>
          <w:bCs/>
          <w:sz w:val="32"/>
          <w:szCs w:val="32"/>
        </w:rPr>
        <w:t>万元，完成预算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lang w:val="en-US" w:eastAsia="zh-CN"/>
        </w:rPr>
        <w:t>.</w:t>
      </w:r>
    </w:p>
    <w:p>
      <w:pPr>
        <w:tabs>
          <w:tab w:val="right" w:pos="8306"/>
        </w:tabs>
        <w:spacing w:line="600" w:lineRule="exact"/>
        <w:ind w:firstLine="640"/>
        <w:outlineLvl w:val="1"/>
        <w:rPr>
          <w:rStyle w:val="30"/>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34"/>
      <w:bookmarkEnd w:id="35"/>
      <w:r>
        <w:rPr>
          <w:rStyle w:val="30"/>
          <w:rFonts w:ascii="黑体" w:hAnsi="黑体" w:eastAsia="黑体"/>
          <w:b w:val="0"/>
        </w:rPr>
        <w:tab/>
      </w:r>
    </w:p>
    <w:p>
      <w:pPr>
        <w:spacing w:line="600" w:lineRule="exact"/>
        <w:ind w:firstLine="645"/>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226.94</w:t>
      </w:r>
      <w:r>
        <w:rPr>
          <w:rFonts w:hint="eastAsia" w:ascii="仿宋" w:hAnsi="仿宋" w:eastAsia="仿宋"/>
          <w:sz w:val="32"/>
          <w:szCs w:val="32"/>
        </w:rPr>
        <w:t>万元，其中：人员经费</w:t>
      </w:r>
      <w:r>
        <w:rPr>
          <w:rFonts w:hint="eastAsia" w:ascii="仿宋" w:hAnsi="仿宋" w:eastAsia="仿宋"/>
          <w:sz w:val="32"/>
          <w:szCs w:val="32"/>
          <w:lang w:val="en-US" w:eastAsia="zh-CN"/>
        </w:rPr>
        <w:t>184.67</w:t>
      </w:r>
      <w:r>
        <w:rPr>
          <w:rFonts w:hint="eastAsia" w:ascii="仿宋" w:hAnsi="仿宋" w:eastAsia="仿宋"/>
          <w:sz w:val="32"/>
          <w:szCs w:val="32"/>
        </w:rPr>
        <w:t>万元，主要包括：基本工资</w:t>
      </w:r>
      <w:r>
        <w:rPr>
          <w:rFonts w:hint="eastAsia" w:ascii="仿宋" w:hAnsi="仿宋" w:eastAsia="仿宋"/>
          <w:sz w:val="32"/>
          <w:szCs w:val="32"/>
          <w:lang w:val="en-US" w:eastAsia="zh-CN"/>
        </w:rPr>
        <w:t>58.38万</w:t>
      </w:r>
      <w:r>
        <w:rPr>
          <w:rFonts w:hint="eastAsia" w:ascii="仿宋" w:hAnsi="仿宋" w:eastAsia="仿宋"/>
          <w:sz w:val="32"/>
          <w:szCs w:val="32"/>
        </w:rPr>
        <w:t>、津贴补贴</w:t>
      </w:r>
      <w:r>
        <w:rPr>
          <w:rFonts w:hint="eastAsia" w:ascii="仿宋" w:hAnsi="仿宋" w:eastAsia="仿宋"/>
          <w:sz w:val="32"/>
          <w:szCs w:val="32"/>
          <w:lang w:val="en-US" w:eastAsia="zh-CN"/>
        </w:rPr>
        <w:t>6.03万</w:t>
      </w:r>
      <w:r>
        <w:rPr>
          <w:rFonts w:hint="eastAsia" w:ascii="仿宋" w:hAnsi="仿宋" w:eastAsia="仿宋"/>
          <w:sz w:val="32"/>
          <w:szCs w:val="32"/>
        </w:rPr>
        <w:t>、奖金</w:t>
      </w:r>
      <w:r>
        <w:rPr>
          <w:rFonts w:hint="eastAsia" w:ascii="仿宋" w:hAnsi="仿宋" w:eastAsia="仿宋"/>
          <w:sz w:val="32"/>
          <w:szCs w:val="32"/>
          <w:lang w:val="en-US" w:eastAsia="zh-CN"/>
        </w:rPr>
        <w:t>0</w:t>
      </w:r>
      <w:r>
        <w:rPr>
          <w:rFonts w:hint="eastAsia" w:ascii="仿宋" w:hAnsi="仿宋" w:eastAsia="仿宋"/>
          <w:sz w:val="32"/>
          <w:szCs w:val="32"/>
        </w:rPr>
        <w:t>、伙食补助费</w:t>
      </w:r>
      <w:r>
        <w:rPr>
          <w:rFonts w:hint="eastAsia" w:ascii="仿宋" w:hAnsi="仿宋" w:eastAsia="仿宋"/>
          <w:sz w:val="32"/>
          <w:szCs w:val="32"/>
          <w:lang w:val="en-US" w:eastAsia="zh-CN"/>
        </w:rPr>
        <w:t>0</w:t>
      </w:r>
      <w:r>
        <w:rPr>
          <w:rFonts w:hint="eastAsia" w:ascii="仿宋" w:hAnsi="仿宋" w:eastAsia="仿宋"/>
          <w:sz w:val="32"/>
          <w:szCs w:val="32"/>
        </w:rPr>
        <w:t>、绩效工资</w:t>
      </w:r>
      <w:r>
        <w:rPr>
          <w:rFonts w:hint="eastAsia" w:ascii="仿宋" w:hAnsi="仿宋" w:eastAsia="仿宋"/>
          <w:sz w:val="32"/>
          <w:szCs w:val="32"/>
          <w:lang w:val="en-US" w:eastAsia="zh-CN"/>
        </w:rPr>
        <w:t>39.95万</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14.46万</w:t>
      </w:r>
      <w:r>
        <w:rPr>
          <w:rFonts w:hint="eastAsia" w:ascii="仿宋" w:hAnsi="仿宋" w:eastAsia="仿宋"/>
          <w:sz w:val="32"/>
          <w:szCs w:val="32"/>
        </w:rPr>
        <w:t>、职业年金缴费</w:t>
      </w:r>
      <w:r>
        <w:rPr>
          <w:rFonts w:hint="eastAsia" w:ascii="仿宋" w:hAnsi="仿宋" w:eastAsia="仿宋"/>
          <w:sz w:val="32"/>
          <w:szCs w:val="32"/>
          <w:lang w:val="en-US" w:eastAsia="zh-CN"/>
        </w:rPr>
        <w:t>4.77万</w:t>
      </w:r>
      <w:r>
        <w:rPr>
          <w:rFonts w:hint="eastAsia" w:ascii="仿宋" w:hAnsi="仿宋" w:eastAsia="仿宋"/>
          <w:sz w:val="32"/>
          <w:szCs w:val="32"/>
        </w:rPr>
        <w:t>、职工基本医疗保险缴费</w:t>
      </w:r>
      <w:r>
        <w:rPr>
          <w:rFonts w:hint="eastAsia" w:ascii="仿宋" w:hAnsi="仿宋" w:eastAsia="仿宋"/>
          <w:sz w:val="32"/>
          <w:szCs w:val="32"/>
          <w:lang w:val="en-US" w:eastAsia="zh-CN"/>
        </w:rPr>
        <w:t>7.70万、</w:t>
      </w:r>
      <w:r>
        <w:rPr>
          <w:rFonts w:hint="eastAsia" w:ascii="仿宋" w:hAnsi="仿宋" w:eastAsia="仿宋"/>
          <w:sz w:val="32"/>
          <w:szCs w:val="32"/>
        </w:rPr>
        <w:t>其他社会保障缴费</w:t>
      </w:r>
      <w:r>
        <w:rPr>
          <w:rFonts w:hint="eastAsia" w:ascii="仿宋" w:hAnsi="仿宋" w:eastAsia="仿宋"/>
          <w:sz w:val="32"/>
          <w:szCs w:val="32"/>
          <w:lang w:val="en-US" w:eastAsia="zh-CN"/>
        </w:rPr>
        <w:t>1.98万</w:t>
      </w:r>
      <w:r>
        <w:rPr>
          <w:rFonts w:hint="eastAsia" w:ascii="仿宋" w:hAnsi="仿宋" w:eastAsia="仿宋"/>
          <w:sz w:val="32"/>
          <w:szCs w:val="32"/>
        </w:rPr>
        <w:t>、公务员医疗补助缴费</w:t>
      </w:r>
      <w:r>
        <w:rPr>
          <w:rFonts w:hint="eastAsia" w:ascii="仿宋" w:hAnsi="仿宋" w:eastAsia="仿宋"/>
          <w:sz w:val="32"/>
          <w:szCs w:val="32"/>
          <w:lang w:val="en-US" w:eastAsia="zh-CN"/>
        </w:rPr>
        <w:t>0.51万、</w:t>
      </w:r>
      <w:r>
        <w:rPr>
          <w:rFonts w:hint="eastAsia" w:ascii="仿宋" w:hAnsi="仿宋" w:eastAsia="仿宋"/>
          <w:sz w:val="32"/>
          <w:szCs w:val="32"/>
        </w:rPr>
        <w:t>抚恤金</w:t>
      </w:r>
      <w:r>
        <w:rPr>
          <w:rFonts w:hint="eastAsia" w:ascii="仿宋" w:hAnsi="仿宋" w:eastAsia="仿宋"/>
          <w:sz w:val="32"/>
          <w:szCs w:val="32"/>
          <w:lang w:val="en-US" w:eastAsia="zh-CN"/>
        </w:rPr>
        <w:t>13.29万</w:t>
      </w:r>
      <w:r>
        <w:rPr>
          <w:rFonts w:hint="eastAsia" w:ascii="仿宋" w:hAnsi="仿宋" w:eastAsia="仿宋"/>
          <w:sz w:val="32"/>
          <w:szCs w:val="32"/>
        </w:rPr>
        <w:t>、生活补助</w:t>
      </w:r>
      <w:r>
        <w:rPr>
          <w:rFonts w:hint="eastAsia" w:ascii="仿宋" w:hAnsi="仿宋" w:eastAsia="仿宋"/>
          <w:sz w:val="32"/>
          <w:szCs w:val="32"/>
          <w:lang w:val="en-US" w:eastAsia="zh-CN"/>
        </w:rPr>
        <w:t>0.42万</w:t>
      </w:r>
      <w:r>
        <w:rPr>
          <w:rFonts w:hint="eastAsia" w:ascii="仿宋" w:hAnsi="仿宋" w:eastAsia="仿宋"/>
          <w:sz w:val="32"/>
          <w:szCs w:val="32"/>
        </w:rPr>
        <w:t>、奖励金</w:t>
      </w:r>
      <w:r>
        <w:rPr>
          <w:rFonts w:hint="eastAsia" w:ascii="仿宋" w:hAnsi="仿宋" w:eastAsia="仿宋"/>
          <w:sz w:val="32"/>
          <w:szCs w:val="32"/>
          <w:lang w:val="en-US" w:eastAsia="zh-CN"/>
        </w:rPr>
        <w:t>21.09万</w:t>
      </w:r>
      <w:r>
        <w:rPr>
          <w:rFonts w:hint="eastAsia" w:ascii="仿宋" w:hAnsi="仿宋" w:eastAsia="仿宋"/>
          <w:sz w:val="32"/>
          <w:szCs w:val="32"/>
        </w:rPr>
        <w:t>、住房公积金</w:t>
      </w:r>
      <w:r>
        <w:rPr>
          <w:rFonts w:hint="eastAsia" w:ascii="仿宋" w:hAnsi="仿宋" w:eastAsia="仿宋"/>
          <w:sz w:val="32"/>
          <w:szCs w:val="32"/>
          <w:lang w:val="en-US" w:eastAsia="zh-CN"/>
        </w:rPr>
        <w:t>15.94万</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0.15万</w:t>
      </w:r>
      <w:r>
        <w:rPr>
          <w:rFonts w:hint="eastAsia" w:ascii="仿宋" w:hAnsi="仿宋" w:eastAsia="仿宋"/>
          <w:sz w:val="32"/>
          <w:szCs w:val="32"/>
        </w:rPr>
        <w:t>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42.27</w:t>
      </w:r>
      <w:r>
        <w:rPr>
          <w:rFonts w:hint="eastAsia" w:ascii="仿宋" w:hAnsi="仿宋" w:eastAsia="仿宋"/>
          <w:sz w:val="32"/>
          <w:szCs w:val="32"/>
        </w:rPr>
        <w:t>万元，主要包括：办公费</w:t>
      </w:r>
      <w:r>
        <w:rPr>
          <w:rFonts w:hint="eastAsia" w:ascii="仿宋" w:hAnsi="仿宋" w:eastAsia="仿宋"/>
          <w:sz w:val="32"/>
          <w:szCs w:val="32"/>
          <w:lang w:val="en-US" w:eastAsia="zh-CN"/>
        </w:rPr>
        <w:t>0.17万</w:t>
      </w:r>
      <w:r>
        <w:rPr>
          <w:rFonts w:hint="eastAsia" w:ascii="仿宋" w:hAnsi="仿宋" w:eastAsia="仿宋"/>
          <w:sz w:val="32"/>
          <w:szCs w:val="32"/>
        </w:rPr>
        <w:t>、印刷费</w:t>
      </w:r>
      <w:r>
        <w:rPr>
          <w:rFonts w:hint="eastAsia" w:ascii="仿宋" w:hAnsi="仿宋" w:eastAsia="仿宋"/>
          <w:sz w:val="32"/>
          <w:szCs w:val="32"/>
          <w:lang w:val="en-US" w:eastAsia="zh-CN"/>
        </w:rPr>
        <w:t>1.70万</w:t>
      </w:r>
      <w:r>
        <w:rPr>
          <w:rFonts w:hint="eastAsia" w:ascii="仿宋" w:hAnsi="仿宋" w:eastAsia="仿宋"/>
          <w:sz w:val="32"/>
          <w:szCs w:val="32"/>
        </w:rPr>
        <w:t>、咨询费、手续费、水费</w:t>
      </w:r>
      <w:r>
        <w:rPr>
          <w:rFonts w:hint="eastAsia" w:ascii="仿宋" w:hAnsi="仿宋" w:eastAsia="仿宋"/>
          <w:sz w:val="32"/>
          <w:szCs w:val="32"/>
          <w:lang w:val="en-US" w:eastAsia="zh-CN"/>
        </w:rPr>
        <w:t>0.40万</w:t>
      </w:r>
      <w:r>
        <w:rPr>
          <w:rFonts w:hint="eastAsia" w:ascii="仿宋" w:hAnsi="仿宋" w:eastAsia="仿宋"/>
          <w:sz w:val="32"/>
          <w:szCs w:val="32"/>
        </w:rPr>
        <w:t>、电费</w:t>
      </w:r>
      <w:r>
        <w:rPr>
          <w:rFonts w:hint="eastAsia" w:ascii="仿宋" w:hAnsi="仿宋" w:eastAsia="仿宋"/>
          <w:sz w:val="32"/>
          <w:szCs w:val="32"/>
          <w:lang w:val="en-US" w:eastAsia="zh-CN"/>
        </w:rPr>
        <w:t>1.4万</w:t>
      </w:r>
      <w:r>
        <w:rPr>
          <w:rFonts w:hint="eastAsia" w:ascii="仿宋" w:hAnsi="仿宋" w:eastAsia="仿宋"/>
          <w:sz w:val="32"/>
          <w:szCs w:val="32"/>
        </w:rPr>
        <w:t>、邮电费</w:t>
      </w:r>
      <w:r>
        <w:rPr>
          <w:rFonts w:hint="eastAsia" w:ascii="仿宋" w:hAnsi="仿宋" w:eastAsia="仿宋"/>
          <w:sz w:val="32"/>
          <w:szCs w:val="32"/>
          <w:lang w:val="en-US" w:eastAsia="zh-CN"/>
        </w:rPr>
        <w:t>1.95万</w:t>
      </w:r>
      <w:r>
        <w:rPr>
          <w:rFonts w:hint="eastAsia" w:ascii="仿宋" w:hAnsi="仿宋" w:eastAsia="仿宋"/>
          <w:sz w:val="32"/>
          <w:szCs w:val="32"/>
        </w:rPr>
        <w:t>、取暖费、物业管理费、差旅费</w:t>
      </w:r>
      <w:r>
        <w:rPr>
          <w:rFonts w:hint="eastAsia" w:ascii="仿宋" w:hAnsi="仿宋" w:eastAsia="仿宋"/>
          <w:sz w:val="32"/>
          <w:szCs w:val="32"/>
          <w:lang w:val="en-US" w:eastAsia="zh-CN"/>
        </w:rPr>
        <w:t>4.6万</w:t>
      </w:r>
      <w:r>
        <w:rPr>
          <w:rFonts w:hint="eastAsia" w:ascii="仿宋" w:hAnsi="仿宋" w:eastAsia="仿宋"/>
          <w:sz w:val="32"/>
          <w:szCs w:val="32"/>
        </w:rPr>
        <w:t>、因公出国（境）费用、维修（护）费</w:t>
      </w:r>
      <w:r>
        <w:rPr>
          <w:rFonts w:hint="eastAsia" w:ascii="仿宋" w:hAnsi="仿宋" w:eastAsia="仿宋"/>
          <w:sz w:val="32"/>
          <w:szCs w:val="32"/>
          <w:lang w:val="en-US" w:eastAsia="zh-CN"/>
        </w:rPr>
        <w:t>0.5万</w:t>
      </w:r>
      <w:r>
        <w:rPr>
          <w:rFonts w:hint="eastAsia" w:ascii="仿宋" w:hAnsi="仿宋" w:eastAsia="仿宋"/>
          <w:sz w:val="32"/>
          <w:szCs w:val="32"/>
        </w:rPr>
        <w:t>、租赁费、会议费、培训费、公务接待费</w:t>
      </w:r>
      <w:r>
        <w:rPr>
          <w:rFonts w:hint="eastAsia" w:ascii="仿宋" w:hAnsi="仿宋" w:eastAsia="仿宋"/>
          <w:sz w:val="32"/>
          <w:szCs w:val="32"/>
          <w:lang w:val="en-US" w:eastAsia="zh-CN"/>
        </w:rPr>
        <w:t>2万</w:t>
      </w:r>
      <w:r>
        <w:rPr>
          <w:rFonts w:hint="eastAsia" w:ascii="仿宋" w:hAnsi="仿宋" w:eastAsia="仿宋"/>
          <w:sz w:val="32"/>
          <w:szCs w:val="32"/>
        </w:rPr>
        <w:t>、劳务费、委托业务费、工会经费</w:t>
      </w:r>
      <w:r>
        <w:rPr>
          <w:rFonts w:hint="eastAsia" w:ascii="仿宋" w:hAnsi="仿宋" w:eastAsia="仿宋"/>
          <w:sz w:val="32"/>
          <w:szCs w:val="32"/>
          <w:lang w:val="en-US" w:eastAsia="zh-CN"/>
        </w:rPr>
        <w:t>2.19万</w:t>
      </w:r>
      <w:r>
        <w:rPr>
          <w:rFonts w:hint="eastAsia" w:ascii="仿宋" w:hAnsi="仿宋" w:eastAsia="仿宋"/>
          <w:sz w:val="32"/>
          <w:szCs w:val="32"/>
        </w:rPr>
        <w:t>、福利费</w:t>
      </w:r>
      <w:r>
        <w:rPr>
          <w:rFonts w:hint="eastAsia" w:ascii="仿宋" w:hAnsi="仿宋" w:eastAsia="仿宋"/>
          <w:sz w:val="32"/>
          <w:szCs w:val="32"/>
          <w:lang w:val="en-US" w:eastAsia="zh-CN"/>
        </w:rPr>
        <w:t>2.52万</w:t>
      </w:r>
      <w:r>
        <w:rPr>
          <w:rFonts w:hint="eastAsia" w:ascii="仿宋" w:hAnsi="仿宋" w:eastAsia="仿宋"/>
          <w:sz w:val="32"/>
          <w:szCs w:val="32"/>
        </w:rPr>
        <w:t>、公务用车运行维护费、其他交通费</w:t>
      </w:r>
      <w:r>
        <w:rPr>
          <w:rFonts w:hint="eastAsia" w:ascii="仿宋" w:hAnsi="仿宋" w:eastAsia="仿宋"/>
          <w:sz w:val="32"/>
          <w:szCs w:val="32"/>
          <w:lang w:val="en-US" w:eastAsia="zh-CN"/>
        </w:rPr>
        <w:t>1万</w:t>
      </w:r>
      <w:r>
        <w:rPr>
          <w:rFonts w:hint="eastAsia" w:ascii="仿宋" w:hAnsi="仿宋" w:eastAsia="仿宋"/>
          <w:sz w:val="32"/>
          <w:szCs w:val="32"/>
        </w:rPr>
        <w:t>、税金及附加费用、其他商品和服务支出</w:t>
      </w:r>
      <w:r>
        <w:rPr>
          <w:rFonts w:hint="eastAsia" w:ascii="仿宋" w:hAnsi="仿宋" w:eastAsia="仿宋"/>
          <w:sz w:val="32"/>
          <w:szCs w:val="32"/>
          <w:lang w:val="en-US" w:eastAsia="zh-CN"/>
        </w:rPr>
        <w:t>19.84万</w:t>
      </w:r>
      <w:r>
        <w:rPr>
          <w:rFonts w:hint="eastAsia" w:ascii="仿宋" w:hAnsi="仿宋" w:eastAsia="仿宋"/>
          <w:sz w:val="32"/>
          <w:szCs w:val="32"/>
        </w:rPr>
        <w:t>、办公设备购置</w:t>
      </w:r>
      <w:r>
        <w:rPr>
          <w:rFonts w:hint="eastAsia" w:ascii="仿宋" w:hAnsi="仿宋" w:eastAsia="仿宋"/>
          <w:sz w:val="32"/>
          <w:szCs w:val="32"/>
          <w:lang w:val="en-US" w:eastAsia="zh-CN"/>
        </w:rPr>
        <w:t>4万</w:t>
      </w:r>
      <w:r>
        <w:rPr>
          <w:rFonts w:hint="eastAsia" w:ascii="仿宋" w:hAnsi="仿宋" w:eastAsia="仿宋"/>
          <w:sz w:val="32"/>
          <w:szCs w:val="32"/>
        </w:rPr>
        <w:t>、专用设备购置、信息网络及软件购置更新、其他资本性支出等。</w:t>
      </w:r>
    </w:p>
    <w:p>
      <w:pPr>
        <w:spacing w:line="600" w:lineRule="exact"/>
        <w:ind w:firstLine="640"/>
        <w:outlineLvl w:val="1"/>
        <w:rPr>
          <w:rStyle w:val="30"/>
          <w:rFonts w:ascii="黑体" w:hAnsi="黑体" w:eastAsia="黑体"/>
          <w:b w:val="0"/>
        </w:rPr>
      </w:pPr>
      <w:bookmarkStart w:id="36" w:name="_Toc15377215"/>
      <w:bookmarkStart w:id="37" w:name="_Toc15396609"/>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2</w:t>
      </w:r>
      <w:r>
        <w:rPr>
          <w:rFonts w:hint="eastAsia" w:ascii="仿宋" w:hAnsi="仿宋" w:eastAsia="仿宋"/>
          <w:sz w:val="32"/>
          <w:szCs w:val="32"/>
        </w:rPr>
        <w:t>万元，</w:t>
      </w:r>
      <w:r>
        <w:rPr>
          <w:rFonts w:hint="eastAsia" w:ascii="仿宋" w:hAnsi="仿宋" w:eastAsia="仿宋"/>
          <w:sz w:val="32"/>
          <w:szCs w:val="32"/>
          <w:lang w:val="en-US" w:eastAsia="zh-CN"/>
        </w:rPr>
        <w:t>为一般预算财政拨款支出，</w:t>
      </w:r>
      <w:r>
        <w:rPr>
          <w:rFonts w:hint="eastAsia" w:ascii="仿宋" w:hAnsi="仿宋" w:eastAsia="仿宋"/>
          <w:sz w:val="32"/>
          <w:szCs w:val="32"/>
        </w:rPr>
        <w:t>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，较上年增加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%。决算数与预算数持平的主要原因是</w:t>
      </w:r>
      <w:r>
        <w:rPr>
          <w:rFonts w:hint="eastAsia" w:ascii="仿宋" w:hAnsi="仿宋" w:eastAsia="仿宋"/>
          <w:sz w:val="32"/>
          <w:szCs w:val="32"/>
          <w:lang w:val="en-US" w:eastAsia="zh-CN"/>
        </w:rPr>
        <w:t>单位内部严格把控公务接待的频次和人数</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p>
    <w:p>
      <w:pPr>
        <w:spacing w:line="600" w:lineRule="exact"/>
        <w:ind w:firstLine="640"/>
        <w:rPr>
          <w:rFonts w:eastAsia="仿宋"/>
          <w:i/>
          <w:color w:val="000000"/>
          <w:sz w:val="32"/>
          <w:szCs w:val="32"/>
        </w:rPr>
      </w:pPr>
      <w:r>
        <w:drawing>
          <wp:anchor distT="0" distB="0" distL="114300" distR="114300" simplePos="0" relativeHeight="251666432" behindDoc="1" locked="0" layoutInCell="1" allowOverlap="1">
            <wp:simplePos x="0" y="0"/>
            <wp:positionH relativeFrom="column">
              <wp:posOffset>410845</wp:posOffset>
            </wp:positionH>
            <wp:positionV relativeFrom="paragraph">
              <wp:posOffset>-2586355</wp:posOffset>
            </wp:positionV>
            <wp:extent cx="4707890" cy="2339340"/>
            <wp:effectExtent l="4445" t="4445" r="12065" b="18415"/>
            <wp:wrapNone/>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eastAsia="仿宋"/>
          <w:color w:val="000000"/>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w:t>
      </w:r>
      <w:r>
        <w:rPr>
          <w:rFonts w:hint="eastAsia" w:ascii="仿宋_GB2312" w:eastAsia="仿宋_GB2312"/>
          <w:sz w:val="32"/>
          <w:szCs w:val="32"/>
        </w:rPr>
        <w:t>万元，</w:t>
      </w:r>
      <w:r>
        <w:rPr>
          <w:rStyle w:val="18"/>
          <w:rFonts w:hint="eastAsia" w:ascii="仿宋" w:hAnsi="仿宋" w:eastAsia="仿宋"/>
          <w:b w:val="0"/>
          <w:bCs/>
          <w:sz w:val="32"/>
          <w:szCs w:val="32"/>
        </w:rPr>
        <w:t>完成预算</w:t>
      </w:r>
      <w:r>
        <w:rPr>
          <w:rStyle w:val="18"/>
          <w:rFonts w:hint="eastAsia" w:ascii="仿宋" w:hAnsi="仿宋" w:eastAsia="仿宋"/>
          <w:b w:val="0"/>
          <w:bCs/>
          <w:sz w:val="32"/>
          <w:szCs w:val="32"/>
          <w:lang w:val="en-US" w:eastAsia="zh-CN"/>
        </w:rPr>
        <w:t>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。主要原因是</w:t>
      </w:r>
      <w:r>
        <w:rPr>
          <w:rFonts w:hint="eastAsia" w:ascii="仿宋" w:hAnsi="仿宋" w:eastAsia="仿宋"/>
          <w:sz w:val="32"/>
          <w:szCs w:val="32"/>
          <w:lang w:val="en-US" w:eastAsia="zh-CN"/>
        </w:rPr>
        <w:t>单位内部严格把控公务接待的频次和人数</w:t>
      </w:r>
      <w:r>
        <w:rPr>
          <w:rFonts w:hint="eastAsia" w:ascii="仿宋" w:hAnsi="仿宋" w:eastAsia="仿宋"/>
          <w:sz w:val="32"/>
          <w:szCs w:val="32"/>
        </w:rPr>
        <w:t>。</w:t>
      </w:r>
      <w:r>
        <w:rPr>
          <w:rFonts w:hint="eastAsia" w:ascii="仿宋_GB2312" w:eastAsia="仿宋_GB2312"/>
          <w:sz w:val="32"/>
          <w:szCs w:val="32"/>
        </w:rPr>
        <w:t>其中：</w:t>
      </w:r>
    </w:p>
    <w:p>
      <w:pPr>
        <w:spacing w:line="600" w:lineRule="exact"/>
        <w:ind w:firstLine="640"/>
        <w:rPr>
          <w:rFonts w:hint="eastAsia"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w:t>
      </w:r>
      <w:r>
        <w:rPr>
          <w:rFonts w:hint="eastAsia" w:ascii="仿宋_GB2312" w:eastAsia="仿宋_GB2312"/>
          <w:sz w:val="32"/>
          <w:szCs w:val="32"/>
        </w:rPr>
        <w:t>万元，主要用于</w:t>
      </w:r>
      <w:r>
        <w:rPr>
          <w:rFonts w:hint="eastAsia" w:ascii="仿宋_GB2312" w:eastAsia="仿宋_GB2312"/>
          <w:sz w:val="32"/>
          <w:szCs w:val="32"/>
          <w:lang w:val="en-US" w:eastAsia="zh-CN"/>
        </w:rPr>
        <w:t>执行公务、开展招商引资活动开支的用餐费等</w:t>
      </w:r>
      <w:r>
        <w:rPr>
          <w:rFonts w:hint="eastAsia" w:ascii="仿宋_GB2312" w:eastAsia="仿宋_GB2312"/>
          <w:sz w:val="32"/>
          <w:szCs w:val="32"/>
        </w:rPr>
        <w:t>。国内公务接待</w:t>
      </w:r>
      <w:r>
        <w:rPr>
          <w:rFonts w:hint="eastAsia" w:ascii="仿宋_GB2312" w:eastAsia="仿宋_GB2312"/>
          <w:sz w:val="32"/>
          <w:szCs w:val="32"/>
          <w:lang w:val="en-US" w:eastAsia="zh-CN"/>
        </w:rPr>
        <w:t>29</w:t>
      </w:r>
      <w:r>
        <w:rPr>
          <w:rFonts w:hint="eastAsia" w:ascii="仿宋_GB2312" w:eastAsia="仿宋_GB2312"/>
          <w:sz w:val="32"/>
          <w:szCs w:val="32"/>
        </w:rPr>
        <w:t>批次，</w:t>
      </w:r>
      <w:r>
        <w:rPr>
          <w:rFonts w:hint="eastAsia" w:ascii="仿宋_GB2312" w:eastAsia="仿宋_GB2312"/>
          <w:sz w:val="32"/>
          <w:szCs w:val="32"/>
          <w:lang w:val="en-US" w:eastAsia="zh-CN"/>
        </w:rPr>
        <w:t>286</w:t>
      </w:r>
      <w:r>
        <w:rPr>
          <w:rFonts w:hint="eastAsia" w:ascii="仿宋_GB2312" w:eastAsia="仿宋_GB2312"/>
          <w:sz w:val="32"/>
          <w:szCs w:val="32"/>
        </w:rPr>
        <w:t>人次，共计支出</w:t>
      </w:r>
      <w:r>
        <w:rPr>
          <w:rFonts w:hint="eastAsia" w:ascii="仿宋_GB2312" w:eastAsia="仿宋_GB2312"/>
          <w:sz w:val="32"/>
          <w:szCs w:val="32"/>
          <w:lang w:val="en-US" w:eastAsia="zh-CN"/>
        </w:rPr>
        <w:t>2</w:t>
      </w:r>
      <w:r>
        <w:rPr>
          <w:rFonts w:hint="eastAsia" w:ascii="仿宋_GB2312" w:eastAsia="仿宋_GB2312"/>
          <w:sz w:val="32"/>
          <w:szCs w:val="32"/>
        </w:rPr>
        <w:t>万元，具体内容包括：</w:t>
      </w: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p>
      <w:pPr>
        <w:spacing w:line="600" w:lineRule="exact"/>
        <w:ind w:firstLine="640"/>
        <w:rPr>
          <w:rFonts w:hint="eastAsia" w:ascii="仿宋_GB2312" w:eastAsia="仿宋_GB2312"/>
          <w:sz w:val="32"/>
          <w:szCs w:val="32"/>
        </w:rPr>
      </w:pPr>
    </w:p>
    <w:tbl>
      <w:tblPr>
        <w:tblStyle w:val="16"/>
        <w:tblW w:w="8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9"/>
        <w:gridCol w:w="810"/>
        <w:gridCol w:w="810"/>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265"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2022年度国内公务接待明细表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省林科院来园研究园区建设工作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四川港航集团来园考察项目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项目绩效评价现场检查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成都丽天花园酒店来园洽谈项目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兰月科技来园考察洽谈项目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四川濠江酒店来园考察洽谈项目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绿之芳公司来园洽谈项目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成都葆胜新能源来园考察洽谈项目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成都红叶生物科技有限公司来园考察洽谈项目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金堂华美达安可酒店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重庆贝迪农业来园考察洽谈项目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华可都市文旅集团来园考察洽谈项目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重庆丽苑维景国际大酒店来园考察洽谈项目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四川希望花舞集团来园区洽谈合作项目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中旅集团来园考察洽谈项目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成都温江华亨酒店来园考察洽谈项目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成都途远智能科技来园考察洽谈项目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中金寰华来园考察洽谈项目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bl>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30"/>
          <w:rFonts w:ascii="黑体" w:hAnsi="黑体" w:eastAsia="黑体"/>
        </w:rPr>
      </w:pPr>
      <w:r>
        <w:rPr>
          <w:rFonts w:hint="eastAsia" w:ascii="黑体" w:eastAsia="黑体"/>
          <w:sz w:val="32"/>
          <w:szCs w:val="32"/>
        </w:rPr>
        <w:t>八、</w:t>
      </w:r>
      <w:r>
        <w:rPr>
          <w:rStyle w:val="30"/>
          <w:rFonts w:hint="eastAsia" w:ascii="黑体" w:hAnsi="黑体" w:eastAsia="黑体"/>
          <w:b w:val="0"/>
        </w:rPr>
        <w:t>政府性基金预算支出决算情况说明</w:t>
      </w:r>
      <w:bookmarkEnd w:id="40"/>
      <w:bookmarkEnd w:id="41"/>
    </w:p>
    <w:p>
      <w:pPr>
        <w:keepNext w:val="0"/>
        <w:keepLines w:val="0"/>
        <w:pageBreakBefore w:val="0"/>
        <w:widowControl w:val="0"/>
        <w:kinsoku/>
        <w:wordWrap/>
        <w:overflowPunct/>
        <w:topLinePunct w:val="0"/>
        <w:autoSpaceDE/>
        <w:autoSpaceDN/>
        <w:bidi w:val="0"/>
        <w:spacing w:line="590" w:lineRule="exact"/>
        <w:ind w:left="0" w:leftChars="0" w:firstLine="640" w:firstLineChars="200"/>
        <w:textAlignment w:val="auto"/>
        <w:rPr>
          <w:rFonts w:eastAsia="仿宋_GB2312"/>
          <w:color w:val="000000"/>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3000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主要用于园区专项债券项目建设。</w:t>
      </w:r>
    </w:p>
    <w:p>
      <w:pPr>
        <w:numPr>
          <w:ilvl w:val="0"/>
          <w:numId w:val="2"/>
        </w:numPr>
        <w:spacing w:line="600" w:lineRule="exact"/>
        <w:ind w:firstLine="640"/>
        <w:outlineLvl w:val="1"/>
        <w:rPr>
          <w:rStyle w:val="30"/>
          <w:rFonts w:ascii="黑体" w:hAnsi="黑体" w:eastAsia="黑体"/>
          <w:b w:val="0"/>
        </w:rPr>
      </w:pPr>
      <w:bookmarkStart w:id="42" w:name="_Toc15377219"/>
      <w:bookmarkStart w:id="43" w:name="_Toc15396611"/>
      <w:r>
        <w:rPr>
          <w:rStyle w:val="30"/>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2"/>
        </w:numPr>
        <w:spacing w:line="600" w:lineRule="exact"/>
        <w:ind w:firstLine="640"/>
        <w:outlineLvl w:val="1"/>
        <w:rPr>
          <w:rStyle w:val="30"/>
          <w:rFonts w:ascii="黑体" w:hAnsi="黑体" w:eastAsia="黑体"/>
          <w:b w:val="0"/>
        </w:rPr>
      </w:pPr>
      <w:bookmarkStart w:id="44" w:name="_Toc15396612"/>
      <w:bookmarkStart w:id="45" w:name="_Toc15377221"/>
      <w:r>
        <w:rPr>
          <w:rStyle w:val="30"/>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乐至县国家农村产业融合发展示范园管理委员会</w:t>
      </w:r>
      <w:r>
        <w:rPr>
          <w:rFonts w:hint="eastAsia" w:ascii="仿宋_GB2312" w:eastAsia="仿宋_GB2312"/>
          <w:sz w:val="32"/>
          <w:szCs w:val="32"/>
        </w:rPr>
        <w:t>机关运行经费支出</w:t>
      </w:r>
      <w:r>
        <w:rPr>
          <w:rFonts w:hint="eastAsia" w:ascii="仿宋_GB2312" w:eastAsia="仿宋_GB2312"/>
          <w:sz w:val="32"/>
          <w:szCs w:val="32"/>
          <w:lang w:val="en-US" w:eastAsia="zh-CN"/>
        </w:rPr>
        <w:t>42.27</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21年增加</w:t>
      </w:r>
      <w:r>
        <w:rPr>
          <w:rFonts w:hint="eastAsia" w:ascii="仿宋_GB2312" w:eastAsia="仿宋_GB2312"/>
          <w:sz w:val="32"/>
          <w:szCs w:val="32"/>
          <w:lang w:val="en-US" w:eastAsia="zh-CN"/>
        </w:rPr>
        <w:t>10.47</w:t>
      </w:r>
      <w:r>
        <w:rPr>
          <w:rFonts w:hint="eastAsia" w:ascii="仿宋_GB2312" w:eastAsia="仿宋_GB2312"/>
          <w:sz w:val="32"/>
          <w:szCs w:val="32"/>
        </w:rPr>
        <w:t>万元，增长</w:t>
      </w:r>
      <w:r>
        <w:rPr>
          <w:rFonts w:hint="eastAsia" w:ascii="仿宋_GB2312" w:eastAsia="仿宋_GB2312"/>
          <w:sz w:val="32"/>
          <w:szCs w:val="32"/>
          <w:lang w:val="en-US" w:eastAsia="zh-CN"/>
        </w:rPr>
        <w:t>32.9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加强了机关内部管理和管理力度</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乐至县国家农村产业融合发展示范园管理委员会</w:t>
      </w:r>
      <w:r>
        <w:rPr>
          <w:rFonts w:hint="eastAsia" w:ascii="仿宋_GB2312" w:eastAsia="仿宋_GB2312"/>
          <w:sz w:val="32"/>
          <w:szCs w:val="32"/>
        </w:rPr>
        <w:t>政府采购支出总额</w:t>
      </w:r>
      <w:r>
        <w:rPr>
          <w:rFonts w:hint="eastAsia" w:ascii="仿宋_GB2312" w:eastAsia="仿宋_GB2312"/>
          <w:sz w:val="32"/>
          <w:szCs w:val="32"/>
          <w:lang w:val="en-US" w:eastAsia="zh-CN"/>
        </w:rPr>
        <w:t>2.26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2.26</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万元。主要用于</w:t>
      </w:r>
      <w:r>
        <w:rPr>
          <w:rFonts w:hint="eastAsia" w:ascii="仿宋_GB2312" w:eastAsia="仿宋_GB2312"/>
          <w:sz w:val="32"/>
          <w:szCs w:val="32"/>
          <w:lang w:val="en-US" w:eastAsia="zh-CN"/>
        </w:rPr>
        <w:t>单位新增人员办公设备购置</w:t>
      </w:r>
      <w:r>
        <w:rPr>
          <w:rFonts w:hint="eastAsia" w:ascii="仿宋_GB2312" w:eastAsia="仿宋_GB2312"/>
          <w:sz w:val="32"/>
          <w:szCs w:val="32"/>
        </w:rPr>
        <w:t>。授予中小企业合同金额</w:t>
      </w:r>
      <w:r>
        <w:rPr>
          <w:rFonts w:hint="eastAsia" w:ascii="仿宋_GB2312" w:eastAsia="仿宋_GB2312"/>
          <w:sz w:val="32"/>
          <w:szCs w:val="32"/>
          <w:lang w:val="en-US" w:eastAsia="zh-CN"/>
        </w:rPr>
        <w:t>2.26</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乐至县国家农村产业融合发展示范园管理委员会</w:t>
      </w:r>
      <w:r>
        <w:rPr>
          <w:rFonts w:hint="eastAsia" w:ascii="仿宋_GB2312" w:eastAsia="仿宋_GB2312"/>
          <w:sz w:val="32"/>
          <w:szCs w:val="32"/>
        </w:rPr>
        <w:t>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val="en-US" w:eastAsia="zh-CN"/>
        </w:rPr>
        <w:t>国家林业科技示范园区扶贫建设</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个项目开展绩效监控。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eastAsia="仿宋_GB2312"/>
          <w:iCs/>
          <w:sz w:val="32"/>
          <w:szCs w:val="32"/>
          <w:highlight w:val="yellow"/>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val="en-US" w:eastAsia="zh-CN"/>
        </w:rPr>
        <w:t>乐至县国家农村产业融合发展示范园管理委员会2022年度预算绩效管理工作总结报告，</w:t>
      </w:r>
      <w:r>
        <w:rPr>
          <w:rFonts w:hint="eastAsia" w:ascii="仿宋_GB2312" w:hAnsi="仿宋_GB2312" w:eastAsia="仿宋_GB2312" w:cs="仿宋_GB2312"/>
          <w:sz w:val="32"/>
          <w:szCs w:val="32"/>
        </w:rPr>
        <w:t>部门整体绩效自评报告、项目绩效自评报告，其中，</w:t>
      </w:r>
      <w:r>
        <w:rPr>
          <w:rFonts w:hint="eastAsia" w:ascii="仿宋_GB2312" w:hAnsi="仿宋_GB2312" w:eastAsia="仿宋_GB2312" w:cs="仿宋_GB2312"/>
          <w:sz w:val="32"/>
          <w:szCs w:val="32"/>
          <w:lang w:val="en-US" w:eastAsia="zh-CN"/>
        </w:rPr>
        <w:t>乐至县国家农村产业融合发展示范园管理委员会</w:t>
      </w:r>
      <w:r>
        <w:rPr>
          <w:rFonts w:hint="eastAsia" w:ascii="仿宋_GB2312" w:hAnsi="仿宋_GB2312" w:eastAsia="仿宋_GB2312" w:cs="仿宋_GB2312"/>
          <w:sz w:val="32"/>
          <w:szCs w:val="32"/>
        </w:rPr>
        <w:t>部门整体绩效自评得分为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分，绩效自评综述：</w:t>
      </w:r>
      <w:r>
        <w:rPr>
          <w:rFonts w:hint="eastAsia" w:ascii="仿宋_GB2312" w:hAnsi="仿宋_GB2312" w:eastAsia="仿宋_GB2312" w:cs="仿宋_GB2312"/>
          <w:sz w:val="32"/>
          <w:szCs w:val="32"/>
          <w:lang w:val="en-US" w:eastAsia="zh-CN"/>
        </w:rPr>
        <w:t>根据乐财监督绩效〔2023〕14号文件精神，我单位成立以分管领导为组长，各科室负责人为成员的财政支出绩效评价领导小组，对我单位2022年度财政支出进行认真梳理和查看，完善支出绩效目标自评表册。从整体情况来看，我单位2022年整体支出目标基本实现，资金使用绩效良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三个</w:t>
      </w:r>
      <w:r>
        <w:rPr>
          <w:rFonts w:hint="eastAsia" w:ascii="仿宋_GB2312" w:hAnsi="仿宋_GB2312" w:eastAsia="仿宋_GB2312" w:cs="仿宋_GB2312"/>
          <w:sz w:val="32"/>
          <w:szCs w:val="32"/>
        </w:rPr>
        <w:t>项目绩效自评</w:t>
      </w:r>
      <w:r>
        <w:rPr>
          <w:rFonts w:hint="eastAsia" w:ascii="仿宋_GB2312" w:hAnsi="仿宋_GB2312" w:eastAsia="仿宋_GB2312" w:cs="仿宋_GB2312"/>
          <w:sz w:val="32"/>
          <w:szCs w:val="32"/>
          <w:lang w:val="en-US" w:eastAsia="zh-CN"/>
        </w:rPr>
        <w:t>等级均为优秀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绩效自评报告详见附件。</w:t>
      </w:r>
      <w:bookmarkStart w:id="49" w:name="_Hlk113349417"/>
    </w:p>
    <w:bookmarkEnd w:id="49"/>
    <w:p>
      <w:pPr>
        <w:widowControl/>
        <w:ind w:firstLine="643" w:firstLineChars="200"/>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9"/>
          <w:rFonts w:ascii="黑体" w:hAnsi="黑体" w:eastAsia="黑体"/>
          <w:b w:val="0"/>
        </w:rPr>
      </w:pPr>
      <w:bookmarkStart w:id="50" w:name="_Toc15396613"/>
      <w:bookmarkStart w:id="51" w:name="_Toc15377225"/>
      <w:r>
        <w:rPr>
          <w:rFonts w:hint="eastAsia" w:ascii="黑体" w:hAnsi="黑体" w:eastAsia="黑体"/>
          <w:sz w:val="44"/>
          <w:szCs w:val="44"/>
        </w:rPr>
        <w:t>名</w:t>
      </w:r>
      <w:r>
        <w:rPr>
          <w:rStyle w:val="29"/>
          <w:rFonts w:hint="eastAsia" w:ascii="黑体" w:hAnsi="黑体" w:eastAsia="黑体"/>
          <w:b w:val="0"/>
        </w:rPr>
        <w:t>词解释</w:t>
      </w:r>
      <w:bookmarkEnd w:id="50"/>
      <w:bookmarkEnd w:id="51"/>
    </w:p>
    <w:p>
      <w:pPr>
        <w:spacing w:line="600" w:lineRule="exact"/>
        <w:jc w:val="left"/>
        <w:rPr>
          <w:rFonts w:ascii="宋体"/>
          <w:b/>
          <w:sz w:val="44"/>
          <w:szCs w:val="44"/>
        </w:rPr>
      </w:pP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.社会保障和就业（类）行政事业单位养老支出（款）机关事业单位职业年金缴费支出（项）：指</w:t>
      </w:r>
      <w:r>
        <w:rPr>
          <w:rFonts w:hint="eastAsia" w:ascii="仿宋_GB2312" w:eastAsia="仿宋_GB2312"/>
          <w:sz w:val="32"/>
          <w:szCs w:val="32"/>
          <w:lang w:val="en-US" w:eastAsia="zh-CN"/>
        </w:rPr>
        <w:t>单位实施养老保险制度由单位实际缴纳的职业年金支出</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社会保障和就业（类）行政事业单位养老支出（款）机关事业单位基本养老保险缴费支出（项）：指</w:t>
      </w:r>
      <w:r>
        <w:rPr>
          <w:rFonts w:hint="eastAsia" w:ascii="仿宋_GB2312" w:eastAsia="仿宋_GB2312"/>
          <w:sz w:val="32"/>
          <w:szCs w:val="32"/>
          <w:lang w:val="en-US" w:eastAsia="zh-CN"/>
        </w:rPr>
        <w:t>单位实施养老保险制度由单位缴纳的基本养老保险支出</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卫生健康（类）行政事业单位医疗（款）事业单位医疗（项）：指</w:t>
      </w:r>
      <w:r>
        <w:rPr>
          <w:rFonts w:hint="eastAsia" w:ascii="仿宋_GB2312" w:eastAsia="仿宋_GB2312"/>
          <w:sz w:val="32"/>
          <w:szCs w:val="32"/>
          <w:lang w:val="en-US" w:eastAsia="zh-CN"/>
        </w:rPr>
        <w:t>财政部门安排的事业单位基本医疗保险缴费经费</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.卫生健康（类）行政事业单位医疗（款）公务员医疗补助（项）：指</w:t>
      </w:r>
      <w:r>
        <w:rPr>
          <w:rFonts w:hint="eastAsia" w:ascii="仿宋_GB2312" w:eastAsia="仿宋_GB2312"/>
          <w:sz w:val="32"/>
          <w:szCs w:val="32"/>
          <w:lang w:val="en-US" w:eastAsia="zh-CN"/>
        </w:rPr>
        <w:t>财政部门安排的公务员医疗补助经费</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农林水（类）</w:t>
      </w:r>
      <w:r>
        <w:rPr>
          <w:rFonts w:hint="eastAsia" w:ascii="仿宋_GB2312" w:eastAsia="仿宋_GB2312"/>
          <w:sz w:val="32"/>
          <w:szCs w:val="32"/>
          <w:lang w:val="en-US" w:eastAsia="zh-CN"/>
        </w:rPr>
        <w:t>农业农村</w:t>
      </w:r>
      <w:r>
        <w:rPr>
          <w:rFonts w:hint="eastAsia" w:ascii="仿宋_GB2312" w:eastAsia="仿宋_GB2312"/>
          <w:sz w:val="32"/>
          <w:szCs w:val="32"/>
        </w:rPr>
        <w:t>（款）</w:t>
      </w:r>
      <w:r>
        <w:rPr>
          <w:rFonts w:hint="eastAsia" w:ascii="仿宋_GB2312" w:eastAsia="仿宋_GB2312"/>
          <w:sz w:val="32"/>
          <w:szCs w:val="32"/>
          <w:lang w:val="en-US" w:eastAsia="zh-CN"/>
        </w:rPr>
        <w:t>事业运行</w:t>
      </w:r>
      <w:r>
        <w:rPr>
          <w:rFonts w:hint="eastAsia" w:ascii="仿宋_GB2312" w:eastAsia="仿宋_GB2312"/>
          <w:sz w:val="32"/>
          <w:szCs w:val="32"/>
        </w:rPr>
        <w:t>（项）：指</w:t>
      </w:r>
      <w:r>
        <w:rPr>
          <w:rFonts w:hint="eastAsia" w:ascii="仿宋_GB2312" w:eastAsia="仿宋_GB2312"/>
          <w:sz w:val="32"/>
          <w:szCs w:val="32"/>
          <w:lang w:val="en-US" w:eastAsia="zh-CN"/>
        </w:rPr>
        <w:t>反映用于农业事业单位基本支出，事业单位设施、系统运行与资产维护等方面的支出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lang w:val="en-US" w:eastAsia="zh-CN"/>
        </w:rPr>
        <w:t>农林水</w:t>
      </w:r>
      <w:r>
        <w:rPr>
          <w:rFonts w:hint="eastAsia" w:ascii="仿宋_GB2312" w:eastAsia="仿宋_GB2312"/>
          <w:sz w:val="32"/>
          <w:szCs w:val="32"/>
        </w:rPr>
        <w:t>（类）</w:t>
      </w:r>
      <w:r>
        <w:rPr>
          <w:rFonts w:hint="eastAsia" w:ascii="仿宋_GB2312" w:eastAsia="仿宋_GB2312"/>
          <w:sz w:val="32"/>
          <w:szCs w:val="32"/>
          <w:lang w:val="en-US" w:eastAsia="zh-CN"/>
        </w:rPr>
        <w:t>林业和草原</w:t>
      </w:r>
      <w:r>
        <w:rPr>
          <w:rFonts w:hint="eastAsia" w:ascii="仿宋_GB2312" w:eastAsia="仿宋_GB2312"/>
          <w:sz w:val="32"/>
          <w:szCs w:val="32"/>
        </w:rPr>
        <w:t>（款）</w:t>
      </w:r>
      <w:r>
        <w:rPr>
          <w:rFonts w:hint="eastAsia" w:ascii="仿宋_GB2312" w:eastAsia="仿宋_GB2312"/>
          <w:sz w:val="32"/>
          <w:szCs w:val="32"/>
          <w:lang w:val="en-US" w:eastAsia="zh-CN"/>
        </w:rPr>
        <w:t>事业机构</w:t>
      </w:r>
      <w:r>
        <w:rPr>
          <w:rFonts w:hint="eastAsia" w:ascii="仿宋_GB2312" w:eastAsia="仿宋_GB2312"/>
          <w:sz w:val="32"/>
          <w:szCs w:val="32"/>
        </w:rPr>
        <w:t>（项）：指</w:t>
      </w:r>
      <w:r>
        <w:rPr>
          <w:rFonts w:hint="eastAsia" w:ascii="仿宋_GB2312" w:eastAsia="仿宋_GB2312"/>
          <w:sz w:val="32"/>
          <w:szCs w:val="32"/>
          <w:lang w:val="en-US" w:eastAsia="zh-CN"/>
        </w:rPr>
        <w:t>反映事业单位的基本支出，不包括行政单位（含实行公务员管理的事业单位）后勤服务中心等附属事业单位的支出</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5.</w:t>
      </w:r>
      <w:r>
        <w:rPr>
          <w:rFonts w:hint="eastAsia" w:ascii="仿宋_GB2312" w:eastAsia="仿宋_GB2312"/>
          <w:sz w:val="32"/>
          <w:szCs w:val="32"/>
        </w:rPr>
        <w:t>住房保障（类）</w:t>
      </w:r>
      <w:r>
        <w:rPr>
          <w:rFonts w:hint="eastAsia" w:ascii="仿宋_GB2312" w:eastAsia="仿宋_GB2312"/>
          <w:sz w:val="32"/>
          <w:szCs w:val="32"/>
          <w:lang w:val="en-US" w:eastAsia="zh-CN"/>
        </w:rPr>
        <w:t>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（项）：指</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18</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9"/>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9"/>
          <w:rFonts w:hint="eastAsia" w:ascii="黑体" w:hAnsi="黑体" w:eastAsia="黑体"/>
          <w:b w:val="0"/>
        </w:rPr>
        <w:t>四部分 附件</w:t>
      </w:r>
      <w:bookmarkEnd w:id="53"/>
    </w:p>
    <w:p>
      <w:pPr>
        <w:spacing w:line="572" w:lineRule="exact"/>
        <w:jc w:val="left"/>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72" w:lineRule="exact"/>
        <w:jc w:val="left"/>
        <w:outlineLvl w:val="0"/>
        <w:rPr>
          <w:rFonts w:hint="default" w:ascii="黑体" w:hAnsi="黑体" w:eastAsia="黑体" w:cs="黑体"/>
          <w:sz w:val="32"/>
          <w:szCs w:val="32"/>
          <w:lang w:val="en-US" w:eastAsia="zh-CN"/>
        </w:rPr>
      </w:pPr>
    </w:p>
    <w:p>
      <w:pPr>
        <w:spacing w:line="580" w:lineRule="exact"/>
        <w:jc w:val="center"/>
        <w:rPr>
          <w:rFonts w:eastAsia="方正小标宋简体"/>
          <w:sz w:val="44"/>
          <w:szCs w:val="44"/>
        </w:rPr>
      </w:pPr>
      <w:r>
        <w:rPr>
          <w:rFonts w:hint="eastAsia" w:ascii="方正小标宋简体" w:hAnsi="方正小标宋简体" w:eastAsia="方正小标宋简体" w:cs="方正小标宋简体"/>
          <w:spacing w:val="-20"/>
          <w:sz w:val="44"/>
          <w:szCs w:val="44"/>
        </w:rPr>
        <w:t>乐至县国家农村产业融合发展示范园管理委员会</w:t>
      </w:r>
      <w:r>
        <w:rPr>
          <w:rFonts w:eastAsia="方正小标宋简体"/>
          <w:sz w:val="44"/>
          <w:szCs w:val="44"/>
        </w:rPr>
        <w:t>202</w:t>
      </w:r>
      <w:r>
        <w:rPr>
          <w:rFonts w:hint="eastAsia" w:eastAsia="方正小标宋简体"/>
          <w:sz w:val="44"/>
          <w:szCs w:val="44"/>
        </w:rPr>
        <w:t>2年度部门整体支出绩效自评报告</w:t>
      </w:r>
    </w:p>
    <w:p>
      <w:pPr>
        <w:spacing w:line="580" w:lineRule="exact"/>
        <w:ind w:firstLine="640" w:firstLineChars="200"/>
        <w:rPr>
          <w:rFonts w:eastAsia="方正仿宋简体"/>
          <w:sz w:val="32"/>
          <w:szCs w:val="32"/>
        </w:rPr>
      </w:pPr>
    </w:p>
    <w:p>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eastAsia="方正仿宋简体"/>
          <w:sz w:val="32"/>
          <w:szCs w:val="32"/>
        </w:rPr>
      </w:pPr>
      <w:r>
        <w:rPr>
          <w:rFonts w:hint="eastAsia" w:ascii="仿宋_GB2312" w:hAnsi="仿宋_GB2312" w:eastAsia="仿宋_GB2312" w:cs="仿宋_GB2312"/>
          <w:sz w:val="32"/>
          <w:szCs w:val="32"/>
          <w:lang w:val="en-US" w:eastAsia="zh-CN"/>
        </w:rPr>
        <w:t>为确实做好2022年度部门整体支出绩效自评工作，提高财政资金使用效益，根据《乐至县财政局关于开展2022年度财政支出绩效评价工作的通知》（乐财监督绩效〔2023〕14号）文件精神，结合实际，我们对财政资金整体支出绩效进行了认真自评，现将我单位整体支出绩效自评结果报告如下：</w:t>
      </w:r>
    </w:p>
    <w:p>
      <w:pPr>
        <w:spacing w:line="580" w:lineRule="exact"/>
        <w:ind w:firstLine="640" w:firstLineChars="200"/>
        <w:rPr>
          <w:rFonts w:eastAsia="方正黑体简体"/>
          <w:sz w:val="32"/>
          <w:szCs w:val="32"/>
        </w:rPr>
      </w:pPr>
      <w:r>
        <w:rPr>
          <w:rFonts w:hint="eastAsia" w:eastAsia="方正黑体简体"/>
          <w:sz w:val="32"/>
          <w:szCs w:val="32"/>
        </w:rPr>
        <w:t>一、部门（单位）概况</w:t>
      </w:r>
    </w:p>
    <w:p>
      <w:pPr>
        <w:spacing w:line="580" w:lineRule="exact"/>
        <w:ind w:firstLine="643" w:firstLineChars="200"/>
        <w:rPr>
          <w:rFonts w:hint="eastAsia" w:eastAsia="方正楷体简体"/>
          <w:b/>
          <w:sz w:val="32"/>
          <w:szCs w:val="32"/>
        </w:rPr>
      </w:pPr>
      <w:r>
        <w:rPr>
          <w:rFonts w:hint="eastAsia" w:eastAsia="方正楷体简体"/>
          <w:b/>
          <w:sz w:val="32"/>
          <w:szCs w:val="32"/>
        </w:rPr>
        <w:t>（一）机构组成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楷体简体"/>
          <w:b/>
          <w:sz w:val="32"/>
          <w:szCs w:val="32"/>
        </w:rPr>
      </w:pPr>
      <w:r>
        <w:rPr>
          <w:rFonts w:hint="eastAsia" w:ascii="仿宋_GB2312" w:hAnsi="仿宋_GB2312" w:eastAsia="仿宋_GB2312" w:cs="仿宋_GB2312"/>
          <w:sz w:val="32"/>
          <w:szCs w:val="32"/>
          <w:lang w:val="en-US" w:eastAsia="zh-CN"/>
        </w:rPr>
        <w:t>主要设置4个办公室，分别为综合办公室、产业发展部、项目管理部和农旅产品开发部，没有下属单位。</w:t>
      </w:r>
    </w:p>
    <w:p>
      <w:pPr>
        <w:numPr>
          <w:ilvl w:val="0"/>
          <w:numId w:val="4"/>
        </w:numPr>
        <w:spacing w:line="580" w:lineRule="exact"/>
        <w:ind w:firstLine="643" w:firstLineChars="200"/>
        <w:rPr>
          <w:rFonts w:hint="eastAsia" w:eastAsia="方正楷体简体"/>
          <w:b/>
          <w:sz w:val="32"/>
          <w:szCs w:val="32"/>
        </w:rPr>
      </w:pPr>
      <w:r>
        <w:rPr>
          <w:rFonts w:hint="eastAsia" w:eastAsia="方正楷体简体"/>
          <w:b/>
          <w:sz w:val="32"/>
          <w:szCs w:val="32"/>
        </w:rPr>
        <w:t>机构职能</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乐至县国家农村产业融合发展示范园管理委员会</w:t>
      </w:r>
      <w:r>
        <w:rPr>
          <w:rFonts w:hint="eastAsia" w:ascii="仿宋_GB2312" w:hAnsi="仿宋_GB2312" w:eastAsia="仿宋_GB2312" w:cs="仿宋_GB2312"/>
          <w:sz w:val="32"/>
          <w:szCs w:val="32"/>
          <w:lang w:val="en-US" w:eastAsia="zh-CN"/>
        </w:rPr>
        <w:t>在2021年单位性质由</w:t>
      </w:r>
      <w:r>
        <w:rPr>
          <w:rFonts w:hint="eastAsia" w:ascii="仿宋_GB2312" w:hAnsi="仿宋_GB2312" w:eastAsia="仿宋_GB2312" w:cs="仿宋_GB2312"/>
          <w:sz w:val="32"/>
          <w:szCs w:val="32"/>
        </w:rPr>
        <w:t>县政府直属正科级公益一类事业单位</w:t>
      </w:r>
      <w:r>
        <w:rPr>
          <w:rFonts w:hint="eastAsia" w:ascii="仿宋_GB2312" w:hAnsi="仿宋_GB2312" w:eastAsia="仿宋_GB2312" w:cs="仿宋_GB2312"/>
          <w:sz w:val="32"/>
          <w:szCs w:val="32"/>
          <w:lang w:val="en-US" w:eastAsia="zh-CN"/>
        </w:rPr>
        <w:t>变更为</w:t>
      </w:r>
      <w:r>
        <w:rPr>
          <w:rFonts w:hint="eastAsia" w:ascii="仿宋_GB2312" w:hAnsi="仿宋_GB2312" w:eastAsia="仿宋_GB2312" w:cs="仿宋_GB2312"/>
          <w:sz w:val="32"/>
          <w:szCs w:val="32"/>
        </w:rPr>
        <w:t>县政府</w:t>
      </w:r>
      <w:r>
        <w:rPr>
          <w:rFonts w:hint="eastAsia" w:ascii="仿宋_GB2312" w:hAnsi="仿宋_GB2312" w:eastAsia="仿宋_GB2312" w:cs="仿宋_GB2312"/>
          <w:sz w:val="32"/>
          <w:szCs w:val="32"/>
          <w:lang w:val="en-US" w:eastAsia="zh-CN"/>
        </w:rPr>
        <w:t>派出机构，为行政机关。</w:t>
      </w:r>
    </w:p>
    <w:p>
      <w:pPr>
        <w:numPr>
          <w:ilvl w:val="0"/>
          <w:numId w:val="0"/>
        </w:numPr>
        <w:ind w:firstLine="640" w:firstLineChars="200"/>
        <w:rPr>
          <w:rFonts w:hint="eastAsia" w:eastAsia="方正楷体简体"/>
          <w:b/>
          <w:sz w:val="32"/>
          <w:szCs w:val="32"/>
        </w:rPr>
      </w:pP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主要职责为制定园区发展规划、编制园区的建设方案,承担园区各项基础设施、公用设施和其他建设项目的建设、监督和管理;制定园区招商引资政策,编制招商规划,发布对外招商项目;组织对外招商活动和协助园区企业办理各项行政审批事项，承办土地管理的前期具体事务性工作;负责“中国西部珍稀花卉苗木集散地”建设项目的推动和品牌打造;负责园区农文旅节庆活动的策划和组织协调工作;负责园区财政预决算和国有资产管理;负责园区所辖经营主体的安全管理工作,负责园区所辖范围与工程建设、土地流转等有关的信访维稳工作;完成县委和县政府交办的其他工作。</w:t>
      </w:r>
    </w:p>
    <w:p>
      <w:pPr>
        <w:numPr>
          <w:ilvl w:val="0"/>
          <w:numId w:val="4"/>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人员概况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eastAsia="方正楷体简体"/>
          <w:b/>
          <w:sz w:val="32"/>
          <w:szCs w:val="32"/>
          <w:lang w:val="en-US"/>
        </w:rPr>
      </w:pPr>
      <w:r>
        <w:rPr>
          <w:rFonts w:hint="eastAsia" w:ascii="仿宋_GB2312" w:hAnsi="仿宋_GB2312" w:eastAsia="仿宋_GB2312" w:cs="仿宋_GB2312"/>
          <w:sz w:val="32"/>
          <w:szCs w:val="32"/>
          <w:lang w:val="en-US" w:eastAsia="zh-CN"/>
        </w:rPr>
        <w:t>乐至县国家农村产业融合发展示范园管理委员会事业编制16名，年初实有人员15名，到2022年底，共有15名人员，人员数量没变，但人员出现变动，年初一名同志因病逝世，年底人才引进一名研究生。</w:t>
      </w:r>
    </w:p>
    <w:p>
      <w:pPr>
        <w:spacing w:line="580" w:lineRule="exact"/>
        <w:ind w:firstLine="640" w:firstLineChars="200"/>
        <w:rPr>
          <w:rFonts w:eastAsia="方正黑体简体"/>
          <w:sz w:val="32"/>
          <w:szCs w:val="32"/>
        </w:rPr>
      </w:pPr>
      <w:r>
        <w:rPr>
          <w:rFonts w:hint="eastAsia" w:eastAsia="方正黑体简体"/>
          <w:sz w:val="32"/>
          <w:szCs w:val="32"/>
        </w:rPr>
        <w:t>二、部门财政资金收支情况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（一）部门财政资金收入情况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2022年年初本单位预算为118.28万元，为一般性财政拨款（补助）安排支出，其中：社会保障和就业支出12.38万元，卫生健康支出6.57万元，农林水支出99.33万元。年终，预算调整数为3226.94万元，增加3108.66万元，增加2628.17%，预算收入中没有非税收入项目，全部为一般性财政拨款。预算收入完成率100%。</w:t>
      </w:r>
    </w:p>
    <w:p>
      <w:pPr>
        <w:numPr>
          <w:ilvl w:val="0"/>
          <w:numId w:val="5"/>
        </w:numPr>
        <w:spacing w:line="580" w:lineRule="exact"/>
        <w:ind w:firstLine="643" w:firstLineChars="200"/>
        <w:rPr>
          <w:rFonts w:hint="eastAsia" w:eastAsia="方正楷体简体"/>
          <w:b/>
          <w:sz w:val="32"/>
          <w:szCs w:val="32"/>
        </w:rPr>
      </w:pPr>
      <w:r>
        <w:rPr>
          <w:rFonts w:hint="eastAsia" w:eastAsia="方正楷体简体"/>
          <w:b/>
          <w:sz w:val="32"/>
          <w:szCs w:val="32"/>
        </w:rPr>
        <w:t>部门财政资金支出情况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楷体简体"/>
          <w:b/>
          <w:sz w:val="32"/>
          <w:szCs w:val="32"/>
        </w:rPr>
      </w:pPr>
      <w:r>
        <w:rPr>
          <w:rFonts w:hint="eastAsia" w:ascii="仿宋_GB2312" w:hAnsi="仿宋_GB2312" w:eastAsia="仿宋_GB2312" w:cs="仿宋_GB2312"/>
          <w:sz w:val="32"/>
          <w:szCs w:val="32"/>
          <w:lang w:val="en-US" w:eastAsia="zh-CN"/>
        </w:rPr>
        <w:t>2022年预算总支出3226.94万元，按照经济支出性质来分：工资福利支出149.72万元；商品和服务支出38.27万元；对个人和家庭补助34.95万元；资本性支出3004万元。预算支出完成率100%。</w:t>
      </w:r>
    </w:p>
    <w:p>
      <w:pPr>
        <w:spacing w:line="580" w:lineRule="exact"/>
        <w:ind w:firstLine="640" w:firstLineChars="200"/>
        <w:rPr>
          <w:rFonts w:eastAsia="方正黑体简体"/>
          <w:sz w:val="32"/>
          <w:szCs w:val="32"/>
        </w:rPr>
      </w:pPr>
      <w:r>
        <w:rPr>
          <w:rFonts w:hint="eastAsia" w:eastAsia="方正黑体简体"/>
          <w:sz w:val="32"/>
          <w:szCs w:val="32"/>
        </w:rPr>
        <w:t>三、评价工作开展情况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楷体简体"/>
          <w:b/>
          <w:sz w:val="32"/>
          <w:szCs w:val="32"/>
        </w:rPr>
      </w:pPr>
      <w:r>
        <w:rPr>
          <w:rFonts w:hint="eastAsia" w:ascii="仿宋_GB2312" w:hAnsi="仿宋_GB2312" w:eastAsia="仿宋_GB2312" w:cs="仿宋_GB2312"/>
          <w:sz w:val="32"/>
          <w:szCs w:val="32"/>
          <w:lang w:val="en-US" w:eastAsia="zh-CN"/>
        </w:rPr>
        <w:t>根据乐财监督绩效〔2023〕14号文件精神，我单位成立以分管领导为组长，各科室负责人为成员的财政支出绩效评价领导小组，对我单位2022年度财政支出进行认真梳理和查看，完善支出绩效目标自评表册。</w:t>
      </w:r>
    </w:p>
    <w:p>
      <w:pPr>
        <w:numPr>
          <w:ilvl w:val="0"/>
          <w:numId w:val="6"/>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自评方式、方法、重点等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eastAsia="方正楷体简体"/>
          <w:b/>
          <w:sz w:val="32"/>
          <w:szCs w:val="32"/>
        </w:rPr>
      </w:pPr>
      <w:r>
        <w:rPr>
          <w:rFonts w:hint="eastAsia" w:ascii="仿宋_GB2312" w:hAnsi="仿宋_GB2312" w:eastAsia="仿宋_GB2312" w:cs="仿宋_GB2312"/>
          <w:sz w:val="32"/>
          <w:szCs w:val="32"/>
          <w:lang w:val="en-US" w:eastAsia="zh-CN"/>
        </w:rPr>
        <w:t>根据绩效评价的要求，评价小组此次采用座谈等方式听取情况，对照各实施项目的内容逐条逐项自评，并检查基本支出相关账目，收集整理支出相关资料，进行分析和总结。</w:t>
      </w:r>
    </w:p>
    <w:p>
      <w:pPr>
        <w:spacing w:line="580" w:lineRule="exact"/>
        <w:ind w:firstLine="640" w:firstLineChars="200"/>
        <w:rPr>
          <w:rFonts w:eastAsia="方正黑体简体"/>
          <w:sz w:val="32"/>
          <w:szCs w:val="32"/>
        </w:rPr>
      </w:pPr>
      <w:r>
        <w:rPr>
          <w:rFonts w:hint="eastAsia" w:eastAsia="方正黑体简体"/>
          <w:sz w:val="32"/>
          <w:szCs w:val="32"/>
        </w:rPr>
        <w:t>四、评价结论</w:t>
      </w:r>
    </w:p>
    <w:p>
      <w:pPr>
        <w:spacing w:line="580" w:lineRule="exact"/>
        <w:ind w:firstLine="640" w:firstLineChars="200"/>
        <w:rPr>
          <w:rFonts w:hint="eastAsia" w:eastAsia="方正仿宋简体"/>
          <w:sz w:val="32"/>
          <w:szCs w:val="32"/>
        </w:rPr>
      </w:pPr>
      <w:r>
        <w:rPr>
          <w:rFonts w:hint="eastAsia" w:eastAsia="方正仿宋简体"/>
          <w:sz w:val="32"/>
          <w:szCs w:val="32"/>
        </w:rPr>
        <w:t>总体介绍绩效评价结果情况，按照综合评分结果，依据《乐至县财政支出绩效评价管理办法》规定确定绩效等级。</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从整体情况来看，我单位2022年整体支出目标基本实现，资金使用绩效良好。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1.预算编制符合要求。</w:t>
      </w:r>
      <w:r>
        <w:rPr>
          <w:rFonts w:hint="eastAsia" w:ascii="仿宋_GB2312" w:hAnsi="仿宋_GB2312" w:eastAsia="仿宋_GB2312" w:cs="仿宋_GB2312"/>
          <w:sz w:val="32"/>
          <w:szCs w:val="32"/>
          <w:lang w:val="en-US" w:eastAsia="zh-CN"/>
        </w:rPr>
        <w:t>我单位严格按照县财政预算编制的原则和要求，结合2022年度部门履职需要在不同用途之间合理分配预算资金。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2.资产管理规范有序。</w:t>
      </w:r>
      <w:r>
        <w:rPr>
          <w:rFonts w:hint="eastAsia" w:ascii="仿宋_GB2312" w:hAnsi="仿宋_GB2312" w:eastAsia="仿宋_GB2312" w:cs="仿宋_GB2312"/>
          <w:sz w:val="32"/>
          <w:szCs w:val="32"/>
          <w:lang w:val="en-US" w:eastAsia="zh-CN"/>
        </w:rPr>
        <w:t>我单位对所有固定资产进行全面盘点和清查，建立了较为完备资产管理制度，登记管理工作严格有序。</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eastAsia="方正仿宋简体"/>
          <w:sz w:val="32"/>
          <w:szCs w:val="32"/>
        </w:rPr>
      </w:pPr>
      <w:r>
        <w:rPr>
          <w:rFonts w:hint="eastAsia" w:ascii="仿宋_GB2312" w:hAnsi="仿宋_GB2312" w:eastAsia="仿宋_GB2312" w:cs="仿宋_GB2312"/>
          <w:b/>
          <w:bCs/>
          <w:sz w:val="32"/>
          <w:szCs w:val="32"/>
          <w:lang w:val="en-US" w:eastAsia="zh-CN"/>
        </w:rPr>
        <w:t>3.内部管理制度基本健全。</w:t>
      </w:r>
      <w:r>
        <w:rPr>
          <w:rFonts w:hint="eastAsia" w:ascii="仿宋_GB2312" w:hAnsi="仿宋_GB2312" w:eastAsia="仿宋_GB2312" w:cs="仿宋_GB2312"/>
          <w:sz w:val="32"/>
          <w:szCs w:val="32"/>
          <w:lang w:val="en-US" w:eastAsia="zh-CN"/>
        </w:rPr>
        <w:t>我单位内部管理制度与工作职能衔接程度较好，相关制度规范随工作开展情况不断完善。</w:t>
      </w:r>
    </w:p>
    <w:p>
      <w:pPr>
        <w:spacing w:line="580" w:lineRule="exact"/>
        <w:ind w:firstLine="640" w:firstLineChars="200"/>
        <w:rPr>
          <w:rFonts w:eastAsia="方正黑体简体"/>
          <w:sz w:val="32"/>
          <w:szCs w:val="32"/>
        </w:rPr>
      </w:pPr>
      <w:r>
        <w:rPr>
          <w:rFonts w:hint="eastAsia" w:eastAsia="方正黑体简体"/>
          <w:sz w:val="32"/>
          <w:szCs w:val="32"/>
        </w:rPr>
        <w:t>五、绩效分析</w:t>
      </w:r>
    </w:p>
    <w:p>
      <w:pPr>
        <w:spacing w:line="580" w:lineRule="exact"/>
        <w:ind w:firstLine="643" w:firstLineChars="200"/>
        <w:rPr>
          <w:rFonts w:eastAsia="方正楷体简体"/>
          <w:b/>
          <w:sz w:val="32"/>
          <w:szCs w:val="32"/>
        </w:rPr>
      </w:pPr>
      <w:r>
        <w:rPr>
          <w:rFonts w:hint="eastAsia" w:eastAsia="方正楷体简体"/>
          <w:b/>
          <w:sz w:val="32"/>
          <w:szCs w:val="32"/>
        </w:rPr>
        <w:t>（一）指标分析</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2022年，我单位积极履职，强化管理，较好地完成了年度工作目标。根据部门整体支出绩效评价指标体系，我单位2022年度评价得分为95分。部门整体支出绩效情况如下：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（一）投入20分，自评分20分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标设定5分，预算配置5分。我单位2022年三公经费2万元，与2021年度三公经费持平，“三公经费”变动率得5分，单位本年度重点项目是国家农村产业融合发展示范园区建设项目，保证了重点项目支出，重点支出安排率得5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（二）过程30分，自评分25分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1.预算执行15分。</w:t>
      </w:r>
      <w:r>
        <w:rPr>
          <w:rFonts w:hint="eastAsia" w:ascii="仿宋_GB2312" w:hAnsi="仿宋_GB2312" w:eastAsia="仿宋_GB2312" w:cs="仿宋_GB2312"/>
          <w:sz w:val="32"/>
          <w:szCs w:val="32"/>
          <w:lang w:val="en-US" w:eastAsia="zh-CN"/>
        </w:rPr>
        <w:t>预算完成率为100%得4分；因人员增加造成追加预算，属于正常追加，预算调整率得2分。支付进度率为100%得2分；结转结余率为0，低于5%得1分；结转结余没有变动，变动率为0低于15%得2分；公用经费控制率为100%得2分；“三公经费”控制率为100%得2分；政府采购执行率为56.5%得0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2.预算管理5分。</w:t>
      </w:r>
      <w:r>
        <w:rPr>
          <w:rFonts w:hint="eastAsia" w:ascii="仿宋_GB2312" w:hAnsi="仿宋_GB2312" w:eastAsia="仿宋_GB2312" w:cs="仿宋_GB2312"/>
          <w:sz w:val="32"/>
          <w:szCs w:val="32"/>
          <w:lang w:val="en-US" w:eastAsia="zh-CN"/>
        </w:rPr>
        <w:t>管理制度健全得2分；资金使用合规得1分；预决算信息公开在规定时限内按规定内容公开得1分，单位基础信息完善得1分。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3.资产管理5分。</w:t>
      </w:r>
      <w:r>
        <w:rPr>
          <w:rFonts w:hint="eastAsia" w:ascii="仿宋_GB2312" w:hAnsi="仿宋_GB2312" w:eastAsia="仿宋_GB2312" w:cs="仿宋_GB2312"/>
          <w:sz w:val="32"/>
          <w:szCs w:val="32"/>
          <w:lang w:val="en-US" w:eastAsia="zh-CN"/>
        </w:rPr>
        <w:t>管理制度健全得2分；资产管理安全得2分；固定资产利用率100%得1分。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（三）产出30分，自评分30分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工作实际完成率为100%得8分；工作完成及时率为100%得4分；工作质量达标率为100%得8分；重点工作办结率为100%得10分。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（四）效果20分，自评分20分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eastAsia="方正仿宋简体"/>
          <w:sz w:val="32"/>
          <w:szCs w:val="32"/>
        </w:rPr>
      </w:pPr>
      <w:r>
        <w:rPr>
          <w:rFonts w:hint="eastAsia" w:ascii="仿宋_GB2312" w:hAnsi="仿宋_GB2312" w:eastAsia="仿宋_GB2312" w:cs="仿宋_GB2312"/>
          <w:sz w:val="32"/>
          <w:szCs w:val="32"/>
          <w:lang w:val="en-US" w:eastAsia="zh-CN"/>
        </w:rPr>
        <w:t>经济效益方面提高园区农民人均收入得5分；社会效益方面为群众提供休闲旅游场所得5分；生态效益方面改善园区人居环境得5分；满意度方面单位职工对工作开展的满意度为100%得5分。</w:t>
      </w:r>
    </w:p>
    <w:p>
      <w:pPr>
        <w:spacing w:line="580" w:lineRule="exact"/>
        <w:ind w:firstLine="643" w:firstLineChars="200"/>
        <w:rPr>
          <w:rFonts w:eastAsia="方正楷体简体"/>
          <w:b/>
          <w:sz w:val="32"/>
          <w:szCs w:val="32"/>
        </w:rPr>
      </w:pPr>
      <w:r>
        <w:rPr>
          <w:rFonts w:hint="eastAsia" w:eastAsia="方正楷体简体"/>
          <w:b/>
          <w:sz w:val="32"/>
          <w:szCs w:val="32"/>
        </w:rPr>
        <w:t>（二）综合绩效分析</w:t>
      </w:r>
    </w:p>
    <w:p>
      <w:pPr>
        <w:spacing w:line="580" w:lineRule="exact"/>
        <w:ind w:firstLine="643" w:firstLineChars="200"/>
        <w:rPr>
          <w:rFonts w:hint="eastAsia" w:eastAsia="方正仿宋简体"/>
          <w:sz w:val="32"/>
          <w:szCs w:val="32"/>
          <w:highlight w:val="yellow"/>
        </w:rPr>
      </w:pPr>
      <w:r>
        <w:rPr>
          <w:rFonts w:eastAsia="方正仿宋简体"/>
          <w:b/>
          <w:sz w:val="32"/>
          <w:szCs w:val="32"/>
        </w:rPr>
        <w:t>1.</w:t>
      </w:r>
      <w:r>
        <w:rPr>
          <w:rFonts w:hint="eastAsia" w:eastAsia="方正仿宋简体"/>
          <w:b/>
          <w:sz w:val="32"/>
          <w:szCs w:val="32"/>
        </w:rPr>
        <w:t>部门职能履行情况。</w:t>
      </w:r>
    </w:p>
    <w:p>
      <w:pPr>
        <w:spacing w:line="580" w:lineRule="exact"/>
        <w:ind w:firstLine="640" w:firstLineChars="200"/>
        <w:rPr>
          <w:rFonts w:hint="eastAsia" w:eastAsia="方正仿宋简体"/>
          <w:sz w:val="32"/>
          <w:szCs w:val="32"/>
        </w:rPr>
      </w:pPr>
      <w:r>
        <w:rPr>
          <w:rFonts w:hint="eastAsia" w:ascii="仿宋_GB2312" w:hAnsi="仿宋_GB2312" w:eastAsia="仿宋_GB2312" w:cs="仿宋_GB2312"/>
          <w:sz w:val="32"/>
          <w:szCs w:val="32"/>
          <w:lang w:val="en-US" w:eastAsia="zh-CN"/>
        </w:rPr>
        <w:t>在县委、县政府的坚强领导下，我单位坚持稳中求进总基调，立足园区实际，狠抓落实，一方面狠抓园区基础设施建设，大力开展招商引资活动，为园区发展注入活力。积极推进园区项目建设，启动园区主干道路路基建设，基本完成旅游接待及科教博览展示中心主体框架修建，高质量完成园区扶贫建设项目一道路三标段，产业基础设施及道路绿化等建设全面竣工；另一方面齐抓管委会日常运转，有力地推动了各项工作持续高效发展。按月支付员工工资和缴纳政策性社会保障资金，严格控制“三公经费”，按照县财政文件要求及时编制年初预算，并在政府门户网站上公开，严格执行政府采购制度。</w:t>
      </w:r>
    </w:p>
    <w:p>
      <w:pPr>
        <w:numPr>
          <w:ilvl w:val="0"/>
          <w:numId w:val="7"/>
        </w:numPr>
        <w:spacing w:line="580" w:lineRule="exact"/>
        <w:ind w:firstLine="643" w:firstLineChars="200"/>
        <w:rPr>
          <w:rFonts w:hint="eastAsia" w:eastAsia="方正仿宋简体"/>
          <w:sz w:val="32"/>
          <w:szCs w:val="32"/>
          <w:highlight w:val="none"/>
        </w:rPr>
      </w:pPr>
      <w:r>
        <w:rPr>
          <w:rFonts w:hint="eastAsia" w:eastAsia="方正仿宋简体"/>
          <w:b/>
          <w:sz w:val="32"/>
          <w:szCs w:val="32"/>
          <w:highlight w:val="none"/>
        </w:rPr>
        <w:t>部门履职有效性。</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本单位在部门履职过程中的有效性主要体现在以下三方面：一是提高部门日常运行效率，通过加强单位内部日常考核，加大对职工上下班考勤、日常工作状态、工作成果进行分类考核，不断提高职工工作的主动性，形成良好的工作氛围；二是加强项目管理水平，针对园区建设的各个项目的不同进度管理，由部室负责人牵头，一般工作人员协同配合，对项目施工的进度逐一管理；面对施工中遇到的问题和困难及时与施工方、设计方、监理方沟通，快速寻找最优解决办法；三是注重节约资源，在日常办公中做到节约用水，节约用电，节约办公用纸、打印粉墨等，科学规范使用固定资产，不让资产闲置浪费，合理运用，节约资源。</w:t>
      </w:r>
    </w:p>
    <w:p>
      <w:pPr>
        <w:numPr>
          <w:ilvl w:val="0"/>
          <w:numId w:val="7"/>
        </w:numPr>
        <w:spacing w:line="580" w:lineRule="exact"/>
        <w:ind w:left="0" w:leftChars="0" w:firstLine="643" w:firstLineChars="200"/>
        <w:rPr>
          <w:rFonts w:hint="eastAsia" w:eastAsia="方正仿宋简体"/>
          <w:sz w:val="32"/>
          <w:szCs w:val="32"/>
          <w:highlight w:val="none"/>
        </w:rPr>
      </w:pPr>
      <w:r>
        <w:rPr>
          <w:rFonts w:hint="eastAsia" w:eastAsia="方正仿宋简体"/>
          <w:b/>
          <w:sz w:val="32"/>
          <w:szCs w:val="32"/>
          <w:highlight w:val="none"/>
        </w:rPr>
        <w:t>部门职能实现程度。</w:t>
      </w:r>
    </w:p>
    <w:p>
      <w:pPr>
        <w:numPr>
          <w:ilvl w:val="0"/>
          <w:numId w:val="0"/>
        </w:numPr>
        <w:ind w:firstLine="640" w:firstLineChars="200"/>
        <w:rPr>
          <w:rFonts w:hint="eastAsia" w:eastAsia="方正仿宋简体"/>
          <w:sz w:val="32"/>
          <w:szCs w:val="32"/>
          <w:highlight w:val="yellow"/>
        </w:rPr>
      </w:pPr>
      <w:r>
        <w:rPr>
          <w:rFonts w:hint="eastAsia" w:ascii="仿宋_GB2312" w:hAnsi="仿宋_GB2312" w:eastAsia="仿宋_GB2312" w:cs="仿宋_GB2312"/>
          <w:sz w:val="32"/>
          <w:szCs w:val="32"/>
          <w:lang w:val="en-US" w:eastAsia="zh-CN"/>
        </w:rPr>
        <w:t>2022年我单位部门职能基本实现，部门工作的整体效果得到体现，部门目标基本实现，社会满意度较好。</w:t>
      </w:r>
    </w:p>
    <w:p>
      <w:pPr>
        <w:spacing w:line="580" w:lineRule="exact"/>
        <w:ind w:firstLine="640" w:firstLineChars="200"/>
        <w:rPr>
          <w:rFonts w:eastAsia="方正黑体简体"/>
          <w:sz w:val="32"/>
          <w:szCs w:val="32"/>
        </w:rPr>
      </w:pPr>
      <w:r>
        <w:rPr>
          <w:rFonts w:hint="eastAsia" w:eastAsia="方正黑体简体"/>
          <w:sz w:val="32"/>
          <w:szCs w:val="32"/>
        </w:rPr>
        <w:t>六、问题分析</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2022年度园区部门整体支出带来了较为明显的经济性和社会效益，财政资金实际支出总体绩效情况良好。但是在预算编制、绩效管理等方面也存在一定不足，影响了部门整体资金使用效益。具体表现如下：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1.预算编制准确性不足</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编制准确性有待提高，主要体现为年初预算数与实际支出数差异较大，年中追加预算占比高。2022年批复预算118.28万元，只包含人员类和公用经费，当年实际支出3226.94万元，年中追加预算3108.66万元，包含项目预算3000万，其他108.66万，除去项目增加的，增长91.86%，主要是大力开展招商引资活动，和园区基础建设更进一步。</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2.绩效管理体系不够完善，预算与绩效管理的程度有待提高。</w:t>
      </w:r>
    </w:p>
    <w:p>
      <w:pPr>
        <w:numPr>
          <w:ilvl w:val="0"/>
          <w:numId w:val="0"/>
        </w:numPr>
        <w:ind w:firstLine="640" w:firstLineChars="200"/>
        <w:rPr>
          <w:rFonts w:hint="eastAsia" w:eastAsia="方正仿宋简体"/>
          <w:sz w:val="32"/>
          <w:szCs w:val="32"/>
        </w:rPr>
      </w:pPr>
      <w:r>
        <w:rPr>
          <w:rFonts w:hint="eastAsia" w:ascii="仿宋_GB2312" w:hAnsi="仿宋_GB2312" w:eastAsia="仿宋_GB2312" w:cs="仿宋_GB2312"/>
          <w:sz w:val="32"/>
          <w:szCs w:val="32"/>
          <w:lang w:val="en-US" w:eastAsia="zh-CN"/>
        </w:rPr>
        <w:t>我单位绩效指标填报不够规范、不够准确、不够全面，绩效指标没有紧紧围绕各项目标任务进行细化和量化，绩效指标的产出指标不能反映财政预算资金计划在一定期限内达到的产出。</w:t>
      </w:r>
    </w:p>
    <w:p>
      <w:pPr>
        <w:spacing w:line="580" w:lineRule="exact"/>
        <w:ind w:firstLine="640" w:firstLineChars="200"/>
        <w:rPr>
          <w:rFonts w:eastAsia="方正黑体简体"/>
          <w:sz w:val="32"/>
          <w:szCs w:val="32"/>
        </w:rPr>
      </w:pPr>
      <w:r>
        <w:rPr>
          <w:rFonts w:hint="eastAsia" w:eastAsia="方正黑体简体"/>
          <w:sz w:val="32"/>
          <w:szCs w:val="32"/>
        </w:rPr>
        <w:t>七、建议</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规划，提高预算编制精确性。根据单位实际支出情况，合理测算各职能模块各类别支出的占比情况，依据园区中长期发展工作目标，结合部门年度工作方向，调整部门整体支出预算项目分类占比，优化支出预算结构。</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强财务规范化管理。一是是定期对账目进行核查，及时对不合规账目进行调整处理，注意数字的严谨性和勾稽关系；二是建立并完善内部资产管理制度、风险防控及处置制度等重要的内部控制体系。将发生的各项经济业务或者事项全部纳入会计核算，确保会计信息全面反映单位内部的财务状况和预算执行情况，堵上财务管理和固定资产管理的漏洞</w:t>
      </w:r>
    </w:p>
    <w:p>
      <w:pPr>
        <w:spacing w:line="580" w:lineRule="exact"/>
        <w:ind w:firstLine="640" w:firstLineChars="200"/>
        <w:rPr>
          <w:rFonts w:hint="eastAsia" w:eastAsia="方正仿宋简体"/>
          <w:sz w:val="32"/>
          <w:szCs w:val="32"/>
        </w:rPr>
      </w:pPr>
    </w:p>
    <w:p>
      <w:pPr>
        <w:spacing w:line="580" w:lineRule="exact"/>
        <w:ind w:firstLine="640" w:firstLineChars="200"/>
        <w:rPr>
          <w:rFonts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1</w:t>
      </w:r>
      <w:r>
        <w:rPr>
          <w:rFonts w:eastAsia="方正仿宋简体"/>
          <w:sz w:val="32"/>
          <w:szCs w:val="32"/>
        </w:rPr>
        <w:t>-1.202</w:t>
      </w:r>
      <w:r>
        <w:rPr>
          <w:rFonts w:hint="eastAsia" w:eastAsia="方正仿宋简体"/>
          <w:sz w:val="32"/>
          <w:szCs w:val="32"/>
        </w:rPr>
        <w:t>2年度乐至县部门整体支出绩效自评计分表</w:t>
      </w:r>
    </w:p>
    <w:p>
      <w:pPr>
        <w:spacing w:line="580" w:lineRule="exact"/>
        <w:ind w:firstLine="1600" w:firstLineChars="500"/>
        <w:rPr>
          <w:w w:val="90"/>
        </w:rPr>
      </w:pPr>
      <w:r>
        <w:rPr>
          <w:rFonts w:hint="eastAsia" w:eastAsia="方正仿宋简体"/>
          <w:sz w:val="32"/>
          <w:szCs w:val="32"/>
          <w:lang w:val="en-US" w:eastAsia="zh-CN"/>
        </w:rPr>
        <w:t>1</w:t>
      </w:r>
      <w:r>
        <w:rPr>
          <w:rFonts w:eastAsia="方正仿宋简体"/>
          <w:sz w:val="32"/>
          <w:szCs w:val="32"/>
        </w:rPr>
        <w:t>-2.</w:t>
      </w:r>
      <w:r>
        <w:rPr>
          <w:rFonts w:eastAsia="方正仿宋简体"/>
          <w:w w:val="90"/>
          <w:sz w:val="32"/>
          <w:szCs w:val="32"/>
        </w:rPr>
        <w:t>202</w:t>
      </w:r>
      <w:r>
        <w:rPr>
          <w:rFonts w:hint="eastAsia" w:eastAsia="方正仿宋简体"/>
          <w:w w:val="90"/>
          <w:sz w:val="32"/>
          <w:szCs w:val="32"/>
        </w:rPr>
        <w:t>2年度乐至县部门整体支出绩效目标完成情况表</w:t>
      </w:r>
    </w:p>
    <w:p>
      <w:pPr>
        <w:widowControl/>
        <w:jc w:val="left"/>
        <w:rPr>
          <w:rFonts w:ascii="??????" w:hAnsi="宋体" w:eastAsia="Times New Roman" w:cs="宋体"/>
          <w:color w:val="000000"/>
          <w:kern w:val="0"/>
          <w:sz w:val="33"/>
          <w:szCs w:val="33"/>
        </w:rPr>
      </w:pPr>
    </w:p>
    <w:p>
      <w:pPr>
        <w:spacing w:line="620" w:lineRule="exact"/>
        <w:ind w:firstLine="400" w:firstLineChars="100"/>
        <w:jc w:val="left"/>
        <w:rPr>
          <w:rFonts w:ascii="宋体" w:hAnsi="宋体" w:eastAsia="方正小标宋简体"/>
          <w:bCs/>
          <w:kern w:val="0"/>
          <w:sz w:val="40"/>
          <w:szCs w:val="40"/>
        </w:rPr>
        <w:sectPr>
          <w:footerReference r:id="rId6" w:type="first"/>
          <w:footerReference r:id="rId5" w:type="default"/>
          <w:pgSz w:w="11907" w:h="16840"/>
          <w:pgMar w:top="2098" w:right="1474" w:bottom="1928" w:left="1588" w:header="851" w:footer="992" w:gutter="0"/>
          <w:pgNumType w:fmt="decimal" w:start="1"/>
          <w:cols w:space="720" w:num="1"/>
          <w:docGrid w:type="lines" w:linePitch="312" w:charSpace="0"/>
        </w:sectPr>
      </w:pPr>
    </w:p>
    <w:p>
      <w:pPr>
        <w:spacing w:line="620" w:lineRule="exact"/>
        <w:jc w:val="left"/>
        <w:rPr>
          <w:rFonts w:eastAsia="方正黑体简体"/>
          <w:bCs/>
          <w:kern w:val="0"/>
          <w:sz w:val="32"/>
          <w:szCs w:val="32"/>
        </w:rPr>
      </w:pPr>
      <w:r>
        <w:rPr>
          <w:rFonts w:hint="eastAsia" w:eastAsia="方正黑体简体"/>
          <w:bCs/>
          <w:kern w:val="0"/>
          <w:sz w:val="32"/>
          <w:szCs w:val="32"/>
        </w:rPr>
        <w:t>附件</w:t>
      </w:r>
      <w:r>
        <w:rPr>
          <w:rFonts w:hint="eastAsia" w:eastAsia="方正黑体简体"/>
          <w:bCs/>
          <w:kern w:val="0"/>
          <w:sz w:val="32"/>
          <w:szCs w:val="32"/>
          <w:lang w:val="en-US" w:eastAsia="zh-CN"/>
        </w:rPr>
        <w:t>1</w:t>
      </w:r>
      <w:r>
        <w:rPr>
          <w:rFonts w:eastAsia="方正黑体简体"/>
          <w:bCs/>
          <w:kern w:val="0"/>
          <w:sz w:val="32"/>
          <w:szCs w:val="32"/>
        </w:rPr>
        <w:t>-1</w:t>
      </w:r>
    </w:p>
    <w:p>
      <w:pPr>
        <w:spacing w:line="620" w:lineRule="exact"/>
        <w:jc w:val="center"/>
        <w:rPr>
          <w:rFonts w:eastAsia="方正小标宋简体"/>
          <w:w w:val="90"/>
          <w:kern w:val="0"/>
          <w:sz w:val="44"/>
          <w:szCs w:val="44"/>
        </w:rPr>
      </w:pPr>
      <w:r>
        <w:rPr>
          <w:rFonts w:eastAsia="方正小标宋简体"/>
          <w:bCs/>
          <w:w w:val="90"/>
          <w:kern w:val="0"/>
          <w:sz w:val="44"/>
          <w:szCs w:val="44"/>
        </w:rPr>
        <w:t>202</w:t>
      </w:r>
      <w:r>
        <w:rPr>
          <w:rFonts w:hint="eastAsia" w:eastAsia="方正小标宋简体"/>
          <w:bCs/>
          <w:w w:val="90"/>
          <w:kern w:val="0"/>
          <w:sz w:val="44"/>
          <w:szCs w:val="44"/>
        </w:rPr>
        <w:t>2年度乐至县部门整体支出绩效自评计分表</w:t>
      </w:r>
    </w:p>
    <w:p>
      <w:pPr>
        <w:spacing w:line="620" w:lineRule="exact"/>
        <w:rPr>
          <w:rFonts w:hint="eastAsia"/>
          <w:color w:val="000000"/>
          <w:kern w:val="0"/>
          <w:sz w:val="24"/>
          <w:lang w:val="en-US" w:eastAsia="zh-CN"/>
        </w:rPr>
      </w:pPr>
      <w:r>
        <w:rPr>
          <w:rFonts w:hint="eastAsia"/>
          <w:color w:val="000000"/>
          <w:kern w:val="0"/>
          <w:sz w:val="24"/>
        </w:rPr>
        <w:t>单位名称：</w:t>
      </w:r>
      <w:r>
        <w:rPr>
          <w:rFonts w:hint="eastAsia"/>
          <w:color w:val="000000"/>
          <w:kern w:val="0"/>
          <w:sz w:val="24"/>
          <w:lang w:val="en-US" w:eastAsia="zh-CN"/>
        </w:rPr>
        <w:t>乐至县国家农村产业融合发展示范园管理委员会</w:t>
      </w:r>
    </w:p>
    <w:p>
      <w:pPr>
        <w:spacing w:line="620" w:lineRule="exact"/>
        <w:rPr>
          <w:rFonts w:hint="eastAsia" w:eastAsia="宋体"/>
          <w:color w:val="000000"/>
          <w:kern w:val="0"/>
          <w:sz w:val="24"/>
          <w:lang w:val="en-US" w:eastAsia="zh-CN"/>
        </w:rPr>
      </w:pPr>
      <w:r>
        <w:rPr>
          <w:rFonts w:hint="eastAsia"/>
          <w:color w:val="000000"/>
          <w:kern w:val="0"/>
          <w:sz w:val="24"/>
        </w:rPr>
        <w:t>预算单位编码：</w:t>
      </w:r>
      <w:r>
        <w:rPr>
          <w:rFonts w:hint="eastAsia"/>
          <w:color w:val="000000"/>
          <w:kern w:val="0"/>
          <w:sz w:val="24"/>
          <w:lang w:val="en-US" w:eastAsia="zh-CN"/>
        </w:rPr>
        <w:t>150001</w:t>
      </w:r>
      <w:r>
        <w:rPr>
          <w:color w:val="000000"/>
          <w:kern w:val="0"/>
          <w:sz w:val="24"/>
        </w:rPr>
        <w:t xml:space="preserve">             </w:t>
      </w:r>
      <w:r>
        <w:rPr>
          <w:rFonts w:hint="eastAsia"/>
          <w:color w:val="000000"/>
          <w:kern w:val="0"/>
          <w:sz w:val="24"/>
        </w:rPr>
        <w:t>自评等级：</w:t>
      </w:r>
      <w:r>
        <w:rPr>
          <w:rFonts w:hint="eastAsia"/>
          <w:color w:val="000000"/>
          <w:kern w:val="0"/>
          <w:sz w:val="24"/>
          <w:lang w:val="en-US" w:eastAsia="zh-CN"/>
        </w:rPr>
        <w:t>优</w:t>
      </w:r>
    </w:p>
    <w:tbl>
      <w:tblPr>
        <w:tblStyle w:val="16"/>
        <w:tblW w:w="5329" w:type="pct"/>
        <w:jc w:val="center"/>
        <w:tblLayout w:type="fixed"/>
        <w:tblCellMar>
          <w:top w:w="0" w:type="dxa"/>
          <w:left w:w="28" w:type="dxa"/>
          <w:bottom w:w="0" w:type="dxa"/>
          <w:right w:w="28" w:type="dxa"/>
        </w:tblCellMar>
      </w:tblPr>
      <w:tblGrid>
        <w:gridCol w:w="1473"/>
        <w:gridCol w:w="475"/>
        <w:gridCol w:w="478"/>
        <w:gridCol w:w="2037"/>
        <w:gridCol w:w="2973"/>
        <w:gridCol w:w="555"/>
        <w:gridCol w:w="1496"/>
      </w:tblGrid>
      <w:tr>
        <w:tblPrEx>
          <w:tblCellMar>
            <w:top w:w="0" w:type="dxa"/>
            <w:left w:w="28" w:type="dxa"/>
            <w:bottom w:w="0" w:type="dxa"/>
            <w:right w:w="28" w:type="dxa"/>
          </w:tblCellMar>
        </w:tblPrEx>
        <w:trPr>
          <w:trHeight w:val="518" w:hRule="atLeast"/>
          <w:tblHeader/>
          <w:jc w:val="center"/>
        </w:trPr>
        <w:tc>
          <w:tcPr>
            <w:tcW w:w="776" w:type="pct"/>
            <w:tcBorders>
              <w:top w:val="single" w:color="auto" w:sz="12" w:space="0"/>
              <w:left w:val="single" w:color="auto" w:sz="12" w:space="0"/>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一级指标</w:t>
            </w:r>
          </w:p>
        </w:tc>
        <w:tc>
          <w:tcPr>
            <w:tcW w:w="250"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二级指标</w:t>
            </w:r>
          </w:p>
        </w:tc>
        <w:tc>
          <w:tcPr>
            <w:tcW w:w="251"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三级指标</w:t>
            </w:r>
          </w:p>
        </w:tc>
        <w:tc>
          <w:tcPr>
            <w:tcW w:w="1073"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指标解释</w:t>
            </w:r>
          </w:p>
        </w:tc>
        <w:tc>
          <w:tcPr>
            <w:tcW w:w="1566"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指标说明</w:t>
            </w:r>
            <w:r>
              <w:rPr>
                <w:rFonts w:eastAsia="方正黑体简体"/>
                <w:szCs w:val="21"/>
              </w:rPr>
              <w:t>(</w:t>
            </w:r>
            <w:r>
              <w:rPr>
                <w:rFonts w:hint="eastAsia" w:eastAsia="方正黑体简体"/>
                <w:szCs w:val="21"/>
              </w:rPr>
              <w:t>评价计分标准）</w:t>
            </w:r>
          </w:p>
        </w:tc>
        <w:tc>
          <w:tcPr>
            <w:tcW w:w="292" w:type="pct"/>
            <w:tcBorders>
              <w:top w:val="single" w:color="auto" w:sz="12" w:space="0"/>
              <w:left w:val="nil"/>
              <w:bottom w:val="single" w:color="auto" w:sz="4" w:space="0"/>
              <w:right w:val="single" w:color="auto" w:sz="4" w:space="0"/>
            </w:tcBorders>
            <w:noWrap w:val="0"/>
            <w:vAlign w:val="center"/>
          </w:tcPr>
          <w:p>
            <w:pPr>
              <w:spacing w:line="240" w:lineRule="exact"/>
              <w:jc w:val="center"/>
              <w:rPr>
                <w:rFonts w:eastAsia="方正黑体简体"/>
                <w:szCs w:val="21"/>
              </w:rPr>
            </w:pPr>
            <w:r>
              <w:rPr>
                <w:rFonts w:hint="eastAsia" w:eastAsia="方正黑体简体"/>
                <w:szCs w:val="21"/>
              </w:rPr>
              <w:t>自评</w:t>
            </w:r>
          </w:p>
          <w:p>
            <w:pPr>
              <w:spacing w:line="240" w:lineRule="exact"/>
              <w:jc w:val="center"/>
              <w:rPr>
                <w:rFonts w:eastAsia="方正黑体简体"/>
                <w:szCs w:val="21"/>
              </w:rPr>
            </w:pPr>
            <w:r>
              <w:rPr>
                <w:rFonts w:hint="eastAsia" w:eastAsia="方正黑体简体"/>
                <w:szCs w:val="21"/>
              </w:rPr>
              <w:t>分数</w:t>
            </w:r>
          </w:p>
        </w:tc>
        <w:tc>
          <w:tcPr>
            <w:tcW w:w="788" w:type="pct"/>
            <w:tcBorders>
              <w:top w:val="single" w:color="auto" w:sz="12" w:space="0"/>
              <w:left w:val="nil"/>
              <w:bottom w:val="single" w:color="auto" w:sz="4" w:space="0"/>
              <w:right w:val="single" w:color="auto" w:sz="12" w:space="0"/>
            </w:tcBorders>
            <w:noWrap w:val="0"/>
            <w:vAlign w:val="center"/>
          </w:tcPr>
          <w:p>
            <w:pPr>
              <w:spacing w:line="240" w:lineRule="exact"/>
              <w:jc w:val="center"/>
              <w:rPr>
                <w:rFonts w:eastAsia="方正黑体简体"/>
                <w:szCs w:val="21"/>
              </w:rPr>
            </w:pPr>
            <w:r>
              <w:rPr>
                <w:rFonts w:hint="eastAsia" w:eastAsia="方正黑体简体"/>
                <w:szCs w:val="21"/>
              </w:rPr>
              <w:t>自评</w:t>
            </w:r>
          </w:p>
          <w:p>
            <w:pPr>
              <w:spacing w:line="240" w:lineRule="exact"/>
              <w:jc w:val="center"/>
              <w:rPr>
                <w:rFonts w:eastAsia="方正黑体简体"/>
                <w:szCs w:val="21"/>
              </w:rPr>
            </w:pPr>
            <w:r>
              <w:rPr>
                <w:rFonts w:hint="eastAsia" w:eastAsia="方正黑体简体"/>
                <w:szCs w:val="21"/>
              </w:rPr>
              <w:t>依据及说明</w:t>
            </w:r>
          </w:p>
        </w:tc>
      </w:tr>
      <w:tr>
        <w:tblPrEx>
          <w:tblCellMar>
            <w:top w:w="0" w:type="dxa"/>
            <w:left w:w="28" w:type="dxa"/>
            <w:bottom w:w="0" w:type="dxa"/>
            <w:right w:w="28" w:type="dxa"/>
          </w:tblCellMar>
        </w:tblPrEx>
        <w:trPr>
          <w:trHeight w:val="1330" w:hRule="atLeast"/>
          <w:jc w:val="center"/>
        </w:trPr>
        <w:tc>
          <w:tcPr>
            <w:tcW w:w="776" w:type="pct"/>
            <w:vMerge w:val="restart"/>
            <w:tcBorders>
              <w:top w:val="nil"/>
              <w:left w:val="single" w:color="auto" w:sz="12" w:space="0"/>
              <w:bottom w:val="single" w:color="000000" w:sz="4" w:space="0"/>
              <w:right w:val="single" w:color="auto" w:sz="4" w:space="0"/>
            </w:tcBorders>
            <w:noWrap/>
            <w:vAlign w:val="center"/>
          </w:tcPr>
          <w:p>
            <w:pPr>
              <w:spacing w:line="240" w:lineRule="exact"/>
              <w:jc w:val="center"/>
              <w:rPr>
                <w:szCs w:val="21"/>
              </w:rPr>
            </w:pPr>
            <w:r>
              <w:rPr>
                <w:rFonts w:hint="eastAsia"/>
                <w:szCs w:val="21"/>
              </w:rPr>
              <w:t>投入（</w:t>
            </w:r>
            <w:r>
              <w:rPr>
                <w:szCs w:val="21"/>
              </w:rPr>
              <w:t>20</w:t>
            </w:r>
            <w:r>
              <w:rPr>
                <w:rFonts w:hint="eastAsia"/>
                <w:szCs w:val="21"/>
              </w:rPr>
              <w:t>分）</w:t>
            </w:r>
          </w:p>
        </w:tc>
        <w:tc>
          <w:tcPr>
            <w:tcW w:w="250" w:type="pct"/>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目标设定（</w:t>
            </w:r>
            <w:r>
              <w:rPr>
                <w:szCs w:val="21"/>
              </w:rPr>
              <w:t>5</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绩效目标合理性（</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部门（单位）所设立的整体绩效目标依据是否充分，是否符合客观实际，用以反映和考核部门（单位）整体绩效目标与部门履职、年度工作任务的相符性情况。</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①是否符合国家法律法规、国民经济和社会发展总体规划；</w:t>
            </w:r>
            <w:r>
              <w:rPr>
                <w:szCs w:val="21"/>
              </w:rPr>
              <w:t>(1</w:t>
            </w:r>
            <w:r>
              <w:rPr>
                <w:rFonts w:hint="eastAsia"/>
                <w:szCs w:val="21"/>
              </w:rPr>
              <w:t>分）</w:t>
            </w:r>
          </w:p>
          <w:p>
            <w:pPr>
              <w:spacing w:line="240" w:lineRule="exact"/>
              <w:rPr>
                <w:szCs w:val="21"/>
              </w:rPr>
            </w:pPr>
            <w:r>
              <w:rPr>
                <w:rFonts w:hint="eastAsia"/>
                <w:szCs w:val="21"/>
              </w:rPr>
              <w:t>②是否符合部门“三定”方案确定的职责；（</w:t>
            </w:r>
            <w:r>
              <w:rPr>
                <w:szCs w:val="21"/>
              </w:rPr>
              <w:t>0.5</w:t>
            </w:r>
            <w:r>
              <w:rPr>
                <w:rFonts w:hint="eastAsia"/>
                <w:szCs w:val="21"/>
              </w:rPr>
              <w:t>分）</w:t>
            </w:r>
          </w:p>
          <w:p>
            <w:pPr>
              <w:spacing w:line="240" w:lineRule="exact"/>
              <w:rPr>
                <w:szCs w:val="21"/>
              </w:rPr>
            </w:pPr>
            <w:r>
              <w:rPr>
                <w:rFonts w:hint="eastAsia"/>
                <w:szCs w:val="21"/>
              </w:rPr>
              <w:t>③是否符合部门制定的中长期实施规划。（</w:t>
            </w:r>
            <w:r>
              <w:rPr>
                <w:szCs w:val="21"/>
              </w:rPr>
              <w:t>0.5</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单位绩效目标设置合理</w:t>
            </w:r>
          </w:p>
        </w:tc>
      </w:tr>
      <w:tr>
        <w:tblPrEx>
          <w:tblCellMar>
            <w:top w:w="0" w:type="dxa"/>
            <w:left w:w="28" w:type="dxa"/>
            <w:bottom w:w="0" w:type="dxa"/>
            <w:right w:w="28" w:type="dxa"/>
          </w:tblCellMar>
        </w:tblPrEx>
        <w:trPr>
          <w:trHeight w:val="1447" w:hRule="atLeast"/>
          <w:jc w:val="center"/>
        </w:trPr>
        <w:tc>
          <w:tcPr>
            <w:tcW w:w="776"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绩效指标明确性（</w:t>
            </w:r>
            <w:r>
              <w:rPr>
                <w:szCs w:val="21"/>
              </w:rPr>
              <w:t>3</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部门（单位）依据整体绩效目标所设定的绩效指标是否清晰、细化、可衡量，用以反映和考核部门（单位）整体绩效目标的明细化情况。</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①是否将部门整体的绩效目标细化分解为具体的工作任务；（</w:t>
            </w:r>
            <w:r>
              <w:rPr>
                <w:szCs w:val="21"/>
              </w:rPr>
              <w:t>1</w:t>
            </w:r>
            <w:r>
              <w:rPr>
                <w:rFonts w:hint="eastAsia"/>
                <w:szCs w:val="21"/>
              </w:rPr>
              <w:t>分）</w:t>
            </w:r>
          </w:p>
          <w:p>
            <w:pPr>
              <w:spacing w:line="240" w:lineRule="exact"/>
              <w:rPr>
                <w:szCs w:val="21"/>
              </w:rPr>
            </w:pPr>
            <w:r>
              <w:rPr>
                <w:rFonts w:hint="eastAsia"/>
                <w:szCs w:val="21"/>
              </w:rPr>
              <w:t>②是否通过清晰、可衡量的指标值予以体现</w:t>
            </w:r>
            <w:r>
              <w:rPr>
                <w:szCs w:val="21"/>
              </w:rPr>
              <w:t>;(0.5</w:t>
            </w:r>
            <w:r>
              <w:rPr>
                <w:rFonts w:hint="eastAsia"/>
                <w:szCs w:val="21"/>
              </w:rPr>
              <w:t>分）</w:t>
            </w:r>
            <w:r>
              <w:rPr>
                <w:szCs w:val="21"/>
              </w:rPr>
              <w:t xml:space="preserve">    </w:t>
            </w:r>
            <w:r>
              <w:rPr>
                <w:rFonts w:hint="eastAsia"/>
                <w:szCs w:val="21"/>
              </w:rPr>
              <w:t>③是否与部门年度的任务数或计划数相对应；（</w:t>
            </w:r>
            <w:r>
              <w:rPr>
                <w:szCs w:val="21"/>
              </w:rPr>
              <w:t>0.5</w:t>
            </w:r>
            <w:r>
              <w:rPr>
                <w:rFonts w:hint="eastAsia"/>
                <w:szCs w:val="21"/>
              </w:rPr>
              <w:t>分）</w:t>
            </w:r>
          </w:p>
          <w:p>
            <w:pPr>
              <w:spacing w:line="240" w:lineRule="exact"/>
              <w:rPr>
                <w:szCs w:val="21"/>
              </w:rPr>
            </w:pPr>
            <w:r>
              <w:rPr>
                <w:rFonts w:hint="eastAsia"/>
                <w:szCs w:val="21"/>
              </w:rPr>
              <w:t>④是否与本年度部门预算资金相匹配。（</w:t>
            </w:r>
            <w:r>
              <w:rPr>
                <w:szCs w:val="21"/>
              </w:rPr>
              <w:t>1</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3</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单位绩效指标细化较好</w:t>
            </w:r>
          </w:p>
        </w:tc>
      </w:tr>
      <w:tr>
        <w:tblPrEx>
          <w:tblCellMar>
            <w:top w:w="0" w:type="dxa"/>
            <w:left w:w="28" w:type="dxa"/>
            <w:bottom w:w="0" w:type="dxa"/>
            <w:right w:w="28" w:type="dxa"/>
          </w:tblCellMar>
        </w:tblPrEx>
        <w:trPr>
          <w:trHeight w:val="1200" w:hRule="atLeast"/>
          <w:jc w:val="center"/>
        </w:trPr>
        <w:tc>
          <w:tcPr>
            <w:tcW w:w="776"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50" w:type="pct"/>
            <w:vMerge w:val="restart"/>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r>
              <w:rPr>
                <w:rFonts w:hint="eastAsia"/>
                <w:szCs w:val="21"/>
              </w:rPr>
              <w:t>预算配置（</w:t>
            </w:r>
            <w:r>
              <w:rPr>
                <w:szCs w:val="21"/>
              </w:rPr>
              <w:t>15</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在职人员控制率（</w:t>
            </w:r>
            <w:r>
              <w:rPr>
                <w:szCs w:val="21"/>
              </w:rPr>
              <w:t>5</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部门（单位）本年度实际在职人员数与编制数的比率，用以反映和考核部门（单位）对人员成本的控制程度。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在职人员控制率</w:t>
            </w:r>
            <w:r>
              <w:rPr>
                <w:szCs w:val="21"/>
              </w:rPr>
              <w:t>=</w:t>
            </w:r>
            <w:r>
              <w:rPr>
                <w:rFonts w:hint="eastAsia"/>
                <w:szCs w:val="21"/>
              </w:rPr>
              <w:t>（在职人员数</w:t>
            </w:r>
            <w:r>
              <w:rPr>
                <w:szCs w:val="21"/>
              </w:rPr>
              <w:t>/</w:t>
            </w:r>
            <w:r>
              <w:rPr>
                <w:rFonts w:hint="eastAsia"/>
                <w:szCs w:val="21"/>
              </w:rPr>
              <w:t>编制数）×</w:t>
            </w:r>
            <w:r>
              <w:rPr>
                <w:szCs w:val="21"/>
              </w:rPr>
              <w:t>100%</w:t>
            </w:r>
            <w:r>
              <w:rPr>
                <w:rFonts w:hint="eastAsia"/>
                <w:szCs w:val="21"/>
              </w:rPr>
              <w:t>。（小于或等于</w:t>
            </w:r>
            <w:r>
              <w:rPr>
                <w:szCs w:val="21"/>
              </w:rPr>
              <w:t>1</w:t>
            </w:r>
            <w:r>
              <w:rPr>
                <w:rFonts w:hint="eastAsia"/>
                <w:szCs w:val="21"/>
              </w:rPr>
              <w:t>计</w:t>
            </w:r>
            <w:r>
              <w:rPr>
                <w:szCs w:val="21"/>
              </w:rPr>
              <w:t>5</w:t>
            </w:r>
            <w:r>
              <w:rPr>
                <w:rFonts w:hint="eastAsia"/>
                <w:szCs w:val="21"/>
              </w:rPr>
              <w:t>分，否则按比例计分）</w:t>
            </w:r>
          </w:p>
          <w:p>
            <w:pPr>
              <w:spacing w:line="240" w:lineRule="exact"/>
              <w:rPr>
                <w:szCs w:val="21"/>
              </w:rPr>
            </w:pPr>
            <w:r>
              <w:rPr>
                <w:rFonts w:hint="eastAsia"/>
                <w:szCs w:val="21"/>
              </w:rPr>
              <w:t>在职人员数：部门（单位）实际在职人数，以财政部确定的部门决算编制口径为准。</w:t>
            </w:r>
          </w:p>
          <w:p>
            <w:pPr>
              <w:spacing w:line="240" w:lineRule="exact"/>
              <w:rPr>
                <w:szCs w:val="21"/>
              </w:rPr>
            </w:pPr>
            <w:r>
              <w:rPr>
                <w:rFonts w:hint="eastAsia"/>
                <w:szCs w:val="21"/>
              </w:rPr>
              <w:t>编制数：机构编制部门核定批复的部门（单位）的人员编制数。</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nil"/>
              <w:left w:val="nil"/>
              <w:bottom w:val="single" w:color="auto" w:sz="4" w:space="0"/>
              <w:right w:val="single" w:color="auto" w:sz="12" w:space="0"/>
            </w:tcBorders>
            <w:noWrap/>
            <w:vAlign w:val="center"/>
          </w:tcPr>
          <w:p>
            <w:pPr>
              <w:spacing w:line="240" w:lineRule="exact"/>
              <w:jc w:val="center"/>
              <w:rPr>
                <w:rFonts w:hint="eastAsia"/>
                <w:szCs w:val="21"/>
                <w:lang w:val="en-US" w:eastAsia="zh-CN"/>
              </w:rPr>
            </w:pPr>
            <w:r>
              <w:rPr>
                <w:rFonts w:hint="eastAsia"/>
                <w:szCs w:val="21"/>
                <w:lang w:val="en-US" w:eastAsia="zh-CN"/>
              </w:rPr>
              <w:t>我单位截止</w:t>
            </w:r>
          </w:p>
          <w:p>
            <w:pPr>
              <w:spacing w:line="240" w:lineRule="exact"/>
              <w:jc w:val="center"/>
              <w:rPr>
                <w:rFonts w:hint="default"/>
                <w:szCs w:val="21"/>
                <w:lang w:val="en-US" w:eastAsia="zh-CN"/>
              </w:rPr>
            </w:pPr>
            <w:r>
              <w:rPr>
                <w:rFonts w:hint="eastAsia"/>
                <w:szCs w:val="21"/>
                <w:lang w:val="en-US" w:eastAsia="zh-CN"/>
              </w:rPr>
              <w:t>2022年底</w:t>
            </w:r>
          </w:p>
          <w:p>
            <w:pPr>
              <w:spacing w:line="240" w:lineRule="exact"/>
              <w:jc w:val="center"/>
              <w:rPr>
                <w:rFonts w:hint="eastAsia"/>
                <w:szCs w:val="21"/>
                <w:lang w:val="en-US" w:eastAsia="zh-CN"/>
              </w:rPr>
            </w:pPr>
            <w:r>
              <w:rPr>
                <w:rFonts w:hint="eastAsia"/>
                <w:szCs w:val="21"/>
                <w:lang w:val="en-US" w:eastAsia="zh-CN"/>
              </w:rPr>
              <w:t>在职人员15人</w:t>
            </w:r>
          </w:p>
          <w:p>
            <w:pPr>
              <w:spacing w:line="240" w:lineRule="exact"/>
              <w:jc w:val="center"/>
              <w:rPr>
                <w:rFonts w:hint="default" w:eastAsia="宋体"/>
                <w:szCs w:val="21"/>
                <w:lang w:val="en-US" w:eastAsia="zh-CN"/>
              </w:rPr>
            </w:pPr>
            <w:r>
              <w:rPr>
                <w:rFonts w:hint="eastAsia"/>
                <w:szCs w:val="21"/>
                <w:lang w:val="en-US" w:eastAsia="zh-CN"/>
              </w:rPr>
              <w:t>小于人员编制数16</w:t>
            </w:r>
          </w:p>
        </w:tc>
      </w:tr>
      <w:tr>
        <w:tblPrEx>
          <w:tblCellMar>
            <w:top w:w="0" w:type="dxa"/>
            <w:left w:w="28" w:type="dxa"/>
            <w:bottom w:w="0" w:type="dxa"/>
            <w:right w:w="28" w:type="dxa"/>
          </w:tblCellMar>
        </w:tblPrEx>
        <w:trPr>
          <w:trHeight w:val="1259" w:hRule="atLeast"/>
          <w:jc w:val="center"/>
        </w:trPr>
        <w:tc>
          <w:tcPr>
            <w:tcW w:w="776"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“三公经费”变动率（</w:t>
            </w:r>
            <w:r>
              <w:rPr>
                <w:szCs w:val="21"/>
              </w:rPr>
              <w:t>5</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部门（单位）本年度“三公经费”预算数与上年度“三公经费”预算数的变动比率，用以反映和考核部门（单位）对控制重点行政成本的努力程度。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“三公经费”变动率</w:t>
            </w:r>
            <w:r>
              <w:rPr>
                <w:szCs w:val="21"/>
              </w:rPr>
              <w:t>=[</w:t>
            </w:r>
            <w:r>
              <w:rPr>
                <w:rFonts w:hint="eastAsia"/>
                <w:szCs w:val="21"/>
              </w:rPr>
              <w:t>（本年度“三公经费”总额</w:t>
            </w:r>
            <w:r>
              <w:rPr>
                <w:szCs w:val="21"/>
              </w:rPr>
              <w:t>-</w:t>
            </w:r>
            <w:r>
              <w:rPr>
                <w:rFonts w:hint="eastAsia"/>
                <w:szCs w:val="21"/>
              </w:rPr>
              <w:t>上年度“三公经费”总额）</w:t>
            </w:r>
            <w:r>
              <w:rPr>
                <w:szCs w:val="21"/>
              </w:rPr>
              <w:t>/</w:t>
            </w:r>
            <w:r>
              <w:rPr>
                <w:rFonts w:hint="eastAsia"/>
                <w:szCs w:val="21"/>
              </w:rPr>
              <w:t>上年度“三公经费”总额</w:t>
            </w:r>
            <w:r>
              <w:rPr>
                <w:szCs w:val="21"/>
              </w:rPr>
              <w:t>]</w:t>
            </w:r>
            <w:r>
              <w:rPr>
                <w:rFonts w:hint="eastAsia"/>
                <w:szCs w:val="21"/>
              </w:rPr>
              <w:t>×</w:t>
            </w:r>
            <w:r>
              <w:rPr>
                <w:szCs w:val="21"/>
              </w:rPr>
              <w:t>100%</w:t>
            </w:r>
            <w:r>
              <w:rPr>
                <w:rFonts w:hint="eastAsia"/>
                <w:szCs w:val="21"/>
              </w:rPr>
              <w:t>。（下降的计</w:t>
            </w:r>
            <w:r>
              <w:rPr>
                <w:szCs w:val="21"/>
              </w:rPr>
              <w:t>5</w:t>
            </w:r>
            <w:r>
              <w:rPr>
                <w:rFonts w:hint="eastAsia"/>
                <w:szCs w:val="21"/>
              </w:rPr>
              <w:t>分，增加的按比例扣减）</w:t>
            </w:r>
          </w:p>
          <w:p>
            <w:pPr>
              <w:spacing w:line="240" w:lineRule="exact"/>
              <w:rPr>
                <w:szCs w:val="21"/>
              </w:rPr>
            </w:pPr>
            <w:r>
              <w:rPr>
                <w:rFonts w:hint="eastAsia"/>
                <w:szCs w:val="21"/>
              </w:rPr>
              <w:t>“三公经费”：年度预算安排的因公出国（境）费、公务车辆购置及运行费和公务招待费。</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nil"/>
              <w:left w:val="nil"/>
              <w:bottom w:val="single" w:color="auto" w:sz="4" w:space="0"/>
              <w:right w:val="single" w:color="auto" w:sz="12"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2022年三公经费2万元，与2021年三公经费2万元持平。</w:t>
            </w:r>
          </w:p>
        </w:tc>
      </w:tr>
      <w:tr>
        <w:tblPrEx>
          <w:tblCellMar>
            <w:top w:w="0" w:type="dxa"/>
            <w:left w:w="28" w:type="dxa"/>
            <w:bottom w:w="0" w:type="dxa"/>
            <w:right w:w="28" w:type="dxa"/>
          </w:tblCellMar>
        </w:tblPrEx>
        <w:trPr>
          <w:trHeight w:val="1534" w:hRule="atLeast"/>
          <w:jc w:val="center"/>
        </w:trPr>
        <w:tc>
          <w:tcPr>
            <w:tcW w:w="776" w:type="pct"/>
            <w:vMerge w:val="continue"/>
            <w:tcBorders>
              <w:top w:val="nil"/>
              <w:left w:val="single" w:color="auto" w:sz="12" w:space="0"/>
              <w:bottom w:val="single" w:color="000000"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000000"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重点支出安排率（</w:t>
            </w:r>
            <w:r>
              <w:rPr>
                <w:szCs w:val="21"/>
              </w:rPr>
              <w:t>5</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部门（单位）本年度预算安排的重点项目支出与部门项目总支出的比率，用以反映和考核部门（单位）对履行主要职责或完成重点任务的保障程度。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重点支出安排率</w:t>
            </w:r>
            <w:r>
              <w:rPr>
                <w:szCs w:val="21"/>
              </w:rPr>
              <w:t>=</w:t>
            </w:r>
            <w:r>
              <w:rPr>
                <w:rFonts w:hint="eastAsia"/>
                <w:szCs w:val="21"/>
              </w:rPr>
              <w:t>（重点项目支出</w:t>
            </w:r>
            <w:r>
              <w:rPr>
                <w:szCs w:val="21"/>
              </w:rPr>
              <w:t>/</w:t>
            </w:r>
            <w:r>
              <w:rPr>
                <w:rFonts w:hint="eastAsia"/>
                <w:szCs w:val="21"/>
              </w:rPr>
              <w:t>项目总支出）×</w:t>
            </w:r>
            <w:r>
              <w:rPr>
                <w:szCs w:val="21"/>
              </w:rPr>
              <w:t>100%</w:t>
            </w:r>
            <w:r>
              <w:rPr>
                <w:rFonts w:hint="eastAsia"/>
                <w:szCs w:val="21"/>
              </w:rPr>
              <w:t>。（实际得分</w:t>
            </w:r>
            <w:r>
              <w:rPr>
                <w:szCs w:val="21"/>
              </w:rPr>
              <w:t>=</w:t>
            </w:r>
            <w:r>
              <w:rPr>
                <w:rFonts w:hint="eastAsia"/>
                <w:szCs w:val="21"/>
              </w:rPr>
              <w:t>支出安排率</w:t>
            </w:r>
            <w:r>
              <w:rPr>
                <w:szCs w:val="21"/>
              </w:rPr>
              <w:t>*5</w:t>
            </w:r>
            <w:r>
              <w:rPr>
                <w:rFonts w:hint="eastAsia"/>
                <w:szCs w:val="21"/>
              </w:rPr>
              <w:t>分）</w:t>
            </w:r>
          </w:p>
          <w:p>
            <w:pPr>
              <w:spacing w:line="240" w:lineRule="exact"/>
              <w:rPr>
                <w:szCs w:val="21"/>
              </w:rPr>
            </w:pPr>
            <w:r>
              <w:rPr>
                <w:rFonts w:hint="eastAsia"/>
                <w:szCs w:val="21"/>
              </w:rPr>
              <w:t>重点项目支出：部门（单位）年度预算安排的，与本部门履职和发展密切相关、具有明显社会和经济影响、党委政府关心或社会比较关注的项目支出总额。</w:t>
            </w:r>
          </w:p>
          <w:p>
            <w:pPr>
              <w:spacing w:line="240" w:lineRule="exact"/>
              <w:rPr>
                <w:szCs w:val="21"/>
              </w:rPr>
            </w:pPr>
            <w:r>
              <w:rPr>
                <w:rFonts w:hint="eastAsia"/>
                <w:szCs w:val="21"/>
              </w:rPr>
              <w:t>项目总支出：部门（单位）年度预算安排的项目支出总额。</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nil"/>
              <w:left w:val="nil"/>
              <w:bottom w:val="single" w:color="auto" w:sz="4" w:space="0"/>
              <w:right w:val="single" w:color="auto" w:sz="12"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保证重点项目支出</w:t>
            </w:r>
          </w:p>
        </w:tc>
      </w:tr>
      <w:tr>
        <w:tblPrEx>
          <w:tblCellMar>
            <w:top w:w="0" w:type="dxa"/>
            <w:left w:w="28" w:type="dxa"/>
            <w:bottom w:w="0" w:type="dxa"/>
            <w:right w:w="28" w:type="dxa"/>
          </w:tblCellMar>
        </w:tblPrEx>
        <w:trPr>
          <w:trHeight w:val="1330" w:hRule="atLeast"/>
          <w:jc w:val="center"/>
        </w:trPr>
        <w:tc>
          <w:tcPr>
            <w:tcW w:w="776" w:type="pct"/>
            <w:vMerge w:val="restart"/>
            <w:tcBorders>
              <w:top w:val="nil"/>
              <w:left w:val="single" w:color="auto" w:sz="12" w:space="0"/>
              <w:right w:val="single" w:color="auto" w:sz="4" w:space="0"/>
            </w:tcBorders>
            <w:noWrap/>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50" w:type="pct"/>
            <w:vMerge w:val="restart"/>
            <w:tcBorders>
              <w:top w:val="nil"/>
              <w:left w:val="single" w:color="auto" w:sz="4" w:space="0"/>
              <w:right w:val="single" w:color="auto" w:sz="4" w:space="0"/>
            </w:tcBorders>
            <w:noWrap w:val="0"/>
            <w:vAlign w:val="center"/>
          </w:tcPr>
          <w:p>
            <w:pPr>
              <w:spacing w:line="260" w:lineRule="exact"/>
              <w:jc w:val="center"/>
              <w:rPr>
                <w:szCs w:val="21"/>
              </w:rPr>
            </w:pPr>
            <w:r>
              <w:rPr>
                <w:rFonts w:hint="eastAsia"/>
                <w:szCs w:val="21"/>
              </w:rPr>
              <w:t>预算执行（</w:t>
            </w:r>
            <w:r>
              <w:rPr>
                <w:szCs w:val="21"/>
              </w:rPr>
              <w:t>20</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预算完成率（</w:t>
            </w:r>
            <w:r>
              <w:rPr>
                <w:szCs w:val="21"/>
              </w:rPr>
              <w:t>4</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部门（单位）本年度预算完成数与预算数的比率，用以反映和考核部门（单位）预算完成程度。</w:t>
            </w:r>
          </w:p>
        </w:tc>
        <w:tc>
          <w:tcPr>
            <w:tcW w:w="1566"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预算完成率</w:t>
            </w:r>
            <w:r>
              <w:rPr>
                <w:szCs w:val="21"/>
              </w:rPr>
              <w:t>=</w:t>
            </w:r>
            <w:r>
              <w:rPr>
                <w:rFonts w:hint="eastAsia"/>
                <w:szCs w:val="21"/>
              </w:rPr>
              <w:t>（预算完成数</w:t>
            </w:r>
            <w:r>
              <w:rPr>
                <w:szCs w:val="21"/>
              </w:rPr>
              <w:t>/</w:t>
            </w:r>
            <w:r>
              <w:rPr>
                <w:rFonts w:hint="eastAsia"/>
                <w:szCs w:val="21"/>
              </w:rPr>
              <w:t>预算数）×</w:t>
            </w:r>
            <w:r>
              <w:rPr>
                <w:szCs w:val="21"/>
              </w:rPr>
              <w:t>100%</w:t>
            </w:r>
            <w:r>
              <w:rPr>
                <w:rFonts w:hint="eastAsia"/>
                <w:szCs w:val="21"/>
              </w:rPr>
              <w:t>。（完成年初预算计</w:t>
            </w:r>
            <w:r>
              <w:rPr>
                <w:szCs w:val="21"/>
              </w:rPr>
              <w:t>4</w:t>
            </w:r>
            <w:r>
              <w:rPr>
                <w:rFonts w:hint="eastAsia"/>
                <w:szCs w:val="21"/>
              </w:rPr>
              <w:t>分，未完成年初按比例扣减）</w:t>
            </w:r>
          </w:p>
          <w:p>
            <w:pPr>
              <w:spacing w:line="260" w:lineRule="exact"/>
              <w:rPr>
                <w:szCs w:val="21"/>
              </w:rPr>
            </w:pPr>
            <w:r>
              <w:rPr>
                <w:rFonts w:hint="eastAsia"/>
                <w:szCs w:val="21"/>
              </w:rPr>
              <w:t>预算完成数：部门（单位）本年度实际完成的预算数。</w:t>
            </w:r>
          </w:p>
          <w:p>
            <w:pPr>
              <w:spacing w:line="260" w:lineRule="exact"/>
              <w:rPr>
                <w:szCs w:val="21"/>
              </w:rPr>
            </w:pPr>
            <w:r>
              <w:rPr>
                <w:rFonts w:hint="eastAsia"/>
                <w:szCs w:val="21"/>
              </w:rPr>
              <w:t>预算数：财政部门批复的本年度部门（单位）预算数。</w:t>
            </w:r>
          </w:p>
        </w:tc>
        <w:tc>
          <w:tcPr>
            <w:tcW w:w="292"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4</w:t>
            </w:r>
          </w:p>
        </w:tc>
        <w:tc>
          <w:tcPr>
            <w:tcW w:w="788" w:type="pct"/>
            <w:tcBorders>
              <w:top w:val="nil"/>
              <w:left w:val="nil"/>
              <w:bottom w:val="single" w:color="auto" w:sz="4" w:space="0"/>
              <w:right w:val="single" w:color="auto" w:sz="12"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完成预算</w:t>
            </w:r>
          </w:p>
        </w:tc>
      </w:tr>
      <w:tr>
        <w:tblPrEx>
          <w:tblCellMar>
            <w:top w:w="0" w:type="dxa"/>
            <w:left w:w="28" w:type="dxa"/>
            <w:bottom w:w="0" w:type="dxa"/>
            <w:right w:w="28" w:type="dxa"/>
          </w:tblCellMar>
        </w:tblPrEx>
        <w:trPr>
          <w:trHeight w:val="1459" w:hRule="atLeast"/>
          <w:jc w:val="center"/>
        </w:trPr>
        <w:tc>
          <w:tcPr>
            <w:tcW w:w="776" w:type="pct"/>
            <w:vMerge w:val="continue"/>
            <w:tcBorders>
              <w:left w:val="single" w:color="auto" w:sz="12" w:space="0"/>
              <w:right w:val="single" w:color="auto" w:sz="4" w:space="0"/>
            </w:tcBorders>
            <w:noWrap w:val="0"/>
            <w:vAlign w:val="center"/>
          </w:tcPr>
          <w:p>
            <w:pPr>
              <w:spacing w:line="260" w:lineRule="exact"/>
              <w:jc w:val="center"/>
              <w:rPr>
                <w:szCs w:val="21"/>
              </w:rPr>
            </w:pPr>
          </w:p>
        </w:tc>
        <w:tc>
          <w:tcPr>
            <w:tcW w:w="250" w:type="pct"/>
            <w:vMerge w:val="continue"/>
            <w:tcBorders>
              <w:left w:val="single" w:color="auto" w:sz="4" w:space="0"/>
              <w:right w:val="single" w:color="auto" w:sz="4" w:space="0"/>
            </w:tcBorders>
            <w:noWrap w:val="0"/>
            <w:vAlign w:val="center"/>
          </w:tcPr>
          <w:p>
            <w:pPr>
              <w:spacing w:line="26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预算调整率（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部门（单位）本年度预算调整数与预算数的比率，用以反映和考核部门（单位）预算的调整程度。</w:t>
            </w:r>
          </w:p>
        </w:tc>
        <w:tc>
          <w:tcPr>
            <w:tcW w:w="1566"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预算调整率</w:t>
            </w:r>
            <w:r>
              <w:rPr>
                <w:szCs w:val="21"/>
              </w:rPr>
              <w:t>=</w:t>
            </w:r>
            <w:r>
              <w:rPr>
                <w:rFonts w:hint="eastAsia"/>
                <w:szCs w:val="21"/>
              </w:rPr>
              <w:t>（预算调整数</w:t>
            </w:r>
            <w:r>
              <w:rPr>
                <w:szCs w:val="21"/>
              </w:rPr>
              <w:t>/</w:t>
            </w:r>
            <w:r>
              <w:rPr>
                <w:rFonts w:hint="eastAsia"/>
                <w:szCs w:val="21"/>
              </w:rPr>
              <w:t>预算数）×</w:t>
            </w:r>
            <w:r>
              <w:rPr>
                <w:szCs w:val="21"/>
              </w:rPr>
              <w:t>100%</w:t>
            </w:r>
            <w:r>
              <w:rPr>
                <w:rFonts w:hint="eastAsia"/>
                <w:szCs w:val="21"/>
              </w:rPr>
              <w:t>。（未调整的计</w:t>
            </w:r>
            <w:r>
              <w:rPr>
                <w:szCs w:val="21"/>
              </w:rPr>
              <w:t>2</w:t>
            </w:r>
            <w:r>
              <w:rPr>
                <w:rFonts w:hint="eastAsia"/>
                <w:szCs w:val="21"/>
              </w:rPr>
              <w:t>分，调整了的除特殊原因外按比例扣减）</w:t>
            </w:r>
          </w:p>
          <w:p>
            <w:pPr>
              <w:spacing w:line="260" w:lineRule="exact"/>
              <w:rPr>
                <w:szCs w:val="21"/>
              </w:rPr>
            </w:pPr>
            <w:r>
              <w:rPr>
                <w:rFonts w:hint="eastAsia"/>
                <w:szCs w:val="21"/>
              </w:rPr>
              <w:t>预算调整数：部门（单位）在本年度内涉及预算的追加、追减或结构调整的资金总和（因落实国家政策、发生不可抗力、上级部门或本级党委政府临时交办而产生的调整除外）。</w:t>
            </w:r>
          </w:p>
        </w:tc>
        <w:tc>
          <w:tcPr>
            <w:tcW w:w="292" w:type="pct"/>
            <w:tcBorders>
              <w:top w:val="nil"/>
              <w:left w:val="nil"/>
              <w:bottom w:val="single" w:color="auto" w:sz="4" w:space="0"/>
              <w:right w:val="single" w:color="auto" w:sz="4"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正常调整</w:t>
            </w:r>
          </w:p>
        </w:tc>
      </w:tr>
      <w:tr>
        <w:tblPrEx>
          <w:tblCellMar>
            <w:top w:w="0" w:type="dxa"/>
            <w:left w:w="28" w:type="dxa"/>
            <w:bottom w:w="0" w:type="dxa"/>
            <w:right w:w="28" w:type="dxa"/>
          </w:tblCellMar>
        </w:tblPrEx>
        <w:trPr>
          <w:trHeight w:val="1800" w:hRule="atLeast"/>
          <w:jc w:val="center"/>
        </w:trPr>
        <w:tc>
          <w:tcPr>
            <w:tcW w:w="776" w:type="pct"/>
            <w:vMerge w:val="continue"/>
            <w:tcBorders>
              <w:left w:val="single" w:color="auto" w:sz="12" w:space="0"/>
              <w:right w:val="single" w:color="auto" w:sz="4" w:space="0"/>
            </w:tcBorders>
            <w:noWrap w:val="0"/>
            <w:vAlign w:val="center"/>
          </w:tcPr>
          <w:p>
            <w:pPr>
              <w:spacing w:line="260" w:lineRule="exact"/>
              <w:jc w:val="center"/>
              <w:rPr>
                <w:szCs w:val="21"/>
              </w:rPr>
            </w:pPr>
          </w:p>
        </w:tc>
        <w:tc>
          <w:tcPr>
            <w:tcW w:w="250" w:type="pct"/>
            <w:vMerge w:val="continue"/>
            <w:tcBorders>
              <w:left w:val="single" w:color="auto" w:sz="4" w:space="0"/>
              <w:right w:val="single" w:color="auto" w:sz="4" w:space="0"/>
            </w:tcBorders>
            <w:noWrap w:val="0"/>
            <w:vAlign w:val="center"/>
          </w:tcPr>
          <w:p>
            <w:pPr>
              <w:spacing w:line="26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支付进度率（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部门（单位）实际支付进度与既定支付进度的比率，用以反映和考核部门（单位）预算执行的及时性和均衡性程度。</w:t>
            </w:r>
          </w:p>
        </w:tc>
        <w:tc>
          <w:tcPr>
            <w:tcW w:w="1566"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支付进度率</w:t>
            </w:r>
            <w:r>
              <w:rPr>
                <w:szCs w:val="21"/>
              </w:rPr>
              <w:t>=</w:t>
            </w:r>
            <w:r>
              <w:rPr>
                <w:rFonts w:hint="eastAsia"/>
                <w:szCs w:val="21"/>
              </w:rPr>
              <w:t>（实际支付进度</w:t>
            </w:r>
            <w:r>
              <w:rPr>
                <w:szCs w:val="21"/>
              </w:rPr>
              <w:t>/</w:t>
            </w:r>
            <w:r>
              <w:rPr>
                <w:rFonts w:hint="eastAsia"/>
                <w:szCs w:val="21"/>
              </w:rPr>
              <w:t>既定支付进度）×</w:t>
            </w:r>
            <w:r>
              <w:rPr>
                <w:szCs w:val="21"/>
              </w:rPr>
              <w:t>100%</w:t>
            </w:r>
            <w:r>
              <w:rPr>
                <w:rFonts w:hint="eastAsia"/>
                <w:szCs w:val="21"/>
              </w:rPr>
              <w:t>。完成年终进度的计</w:t>
            </w:r>
            <w:r>
              <w:rPr>
                <w:szCs w:val="21"/>
              </w:rPr>
              <w:t>1</w:t>
            </w:r>
            <w:r>
              <w:rPr>
                <w:rFonts w:hint="eastAsia"/>
                <w:szCs w:val="21"/>
              </w:rPr>
              <w:t>分，按季度完成预算进度的计</w:t>
            </w:r>
            <w:r>
              <w:rPr>
                <w:szCs w:val="21"/>
              </w:rPr>
              <w:t>1</w:t>
            </w:r>
            <w:r>
              <w:rPr>
                <w:rFonts w:hint="eastAsia"/>
                <w:szCs w:val="21"/>
              </w:rPr>
              <w:t>分。</w:t>
            </w:r>
          </w:p>
          <w:p>
            <w:pPr>
              <w:spacing w:line="260" w:lineRule="exact"/>
              <w:rPr>
                <w:szCs w:val="21"/>
              </w:rPr>
            </w:pPr>
            <w:r>
              <w:rPr>
                <w:rFonts w:hint="eastAsia"/>
                <w:szCs w:val="21"/>
              </w:rPr>
              <w:t>实际支付进度：部门（单位）在某一时点的支出预算执行总数与年度支出预算数的比率。</w:t>
            </w:r>
          </w:p>
          <w:p>
            <w:pPr>
              <w:spacing w:line="260" w:lineRule="exact"/>
              <w:rPr>
                <w:szCs w:val="21"/>
              </w:rPr>
            </w:pPr>
            <w:r>
              <w:rPr>
                <w:rFonts w:hint="eastAsia"/>
                <w:szCs w:val="21"/>
              </w:rPr>
              <w:t>既定支付进度：由部门（单位）在申报部门整体绩效目标时，参照序时支付进度、前三年支付进度、同级部门平均支付进度水平等确定的，在某一时点应达到的支付进度（比率）。</w:t>
            </w:r>
          </w:p>
        </w:tc>
        <w:tc>
          <w:tcPr>
            <w:tcW w:w="292"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按进度支付</w:t>
            </w:r>
          </w:p>
        </w:tc>
      </w:tr>
      <w:tr>
        <w:tblPrEx>
          <w:tblCellMar>
            <w:top w:w="0" w:type="dxa"/>
            <w:left w:w="28" w:type="dxa"/>
            <w:bottom w:w="0" w:type="dxa"/>
            <w:right w:w="28" w:type="dxa"/>
          </w:tblCellMar>
        </w:tblPrEx>
        <w:trPr>
          <w:trHeight w:val="1035" w:hRule="atLeast"/>
          <w:jc w:val="center"/>
        </w:trPr>
        <w:tc>
          <w:tcPr>
            <w:tcW w:w="776" w:type="pct"/>
            <w:vMerge w:val="continue"/>
            <w:tcBorders>
              <w:left w:val="single" w:color="auto" w:sz="12" w:space="0"/>
              <w:right w:val="single" w:color="auto" w:sz="4" w:space="0"/>
            </w:tcBorders>
            <w:noWrap w:val="0"/>
            <w:vAlign w:val="center"/>
          </w:tcPr>
          <w:p>
            <w:pPr>
              <w:spacing w:line="260" w:lineRule="exact"/>
              <w:jc w:val="center"/>
              <w:rPr>
                <w:szCs w:val="21"/>
              </w:rPr>
            </w:pPr>
          </w:p>
        </w:tc>
        <w:tc>
          <w:tcPr>
            <w:tcW w:w="250" w:type="pct"/>
            <w:vMerge w:val="continue"/>
            <w:tcBorders>
              <w:left w:val="single" w:color="auto" w:sz="4" w:space="0"/>
              <w:right w:val="single" w:color="auto" w:sz="4" w:space="0"/>
            </w:tcBorders>
            <w:noWrap w:val="0"/>
            <w:vAlign w:val="center"/>
          </w:tcPr>
          <w:p>
            <w:pPr>
              <w:spacing w:line="26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结转结余率（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部门（单位）本年度结转结余总额与支出预算数的比率，用以反映和考核部门（单位）对本年度结转结余资金的实际控制程度。</w:t>
            </w:r>
          </w:p>
        </w:tc>
        <w:tc>
          <w:tcPr>
            <w:tcW w:w="1566"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结转结余率</w:t>
            </w:r>
            <w:r>
              <w:rPr>
                <w:szCs w:val="21"/>
              </w:rPr>
              <w:t>=</w:t>
            </w:r>
            <w:r>
              <w:rPr>
                <w:rFonts w:hint="eastAsia"/>
                <w:szCs w:val="21"/>
              </w:rPr>
              <w:t>结转结余总额</w:t>
            </w:r>
            <w:r>
              <w:rPr>
                <w:szCs w:val="21"/>
              </w:rPr>
              <w:t>/</w:t>
            </w:r>
            <w:r>
              <w:rPr>
                <w:rFonts w:hint="eastAsia"/>
                <w:szCs w:val="21"/>
              </w:rPr>
              <w:t>支出预算数×</w:t>
            </w:r>
            <w:r>
              <w:rPr>
                <w:szCs w:val="21"/>
              </w:rPr>
              <w:t>100%</w:t>
            </w:r>
            <w:r>
              <w:rPr>
                <w:rFonts w:hint="eastAsia"/>
                <w:szCs w:val="21"/>
              </w:rPr>
              <w:t>。低于</w:t>
            </w:r>
            <w:r>
              <w:rPr>
                <w:szCs w:val="21"/>
              </w:rPr>
              <w:t>5%</w:t>
            </w:r>
            <w:r>
              <w:rPr>
                <w:rFonts w:hint="eastAsia"/>
                <w:szCs w:val="21"/>
              </w:rPr>
              <w:t>的计</w:t>
            </w:r>
            <w:r>
              <w:rPr>
                <w:szCs w:val="21"/>
              </w:rPr>
              <w:t>1</w:t>
            </w:r>
            <w:r>
              <w:rPr>
                <w:rFonts w:hint="eastAsia"/>
                <w:szCs w:val="21"/>
              </w:rPr>
              <w:t>分，每超过</w:t>
            </w:r>
            <w:r>
              <w:rPr>
                <w:szCs w:val="21"/>
              </w:rPr>
              <w:t>5</w:t>
            </w:r>
            <w:r>
              <w:rPr>
                <w:rFonts w:hint="eastAsia"/>
                <w:szCs w:val="21"/>
              </w:rPr>
              <w:t>个百分点扣</w:t>
            </w:r>
            <w:r>
              <w:rPr>
                <w:szCs w:val="21"/>
              </w:rPr>
              <w:t>1</w:t>
            </w:r>
            <w:r>
              <w:rPr>
                <w:rFonts w:hint="eastAsia"/>
                <w:szCs w:val="21"/>
              </w:rPr>
              <w:t>分，扣完为止。</w:t>
            </w:r>
          </w:p>
          <w:p>
            <w:pPr>
              <w:spacing w:line="260" w:lineRule="exact"/>
              <w:rPr>
                <w:szCs w:val="21"/>
              </w:rPr>
            </w:pPr>
            <w:r>
              <w:rPr>
                <w:rFonts w:hint="eastAsia"/>
                <w:szCs w:val="21"/>
              </w:rPr>
              <w:t>结转结余总额：部门（单位）本年度的结转资金与结余资金之和（以决算数为准）。</w:t>
            </w:r>
          </w:p>
        </w:tc>
        <w:tc>
          <w:tcPr>
            <w:tcW w:w="292"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1</w:t>
            </w:r>
          </w:p>
        </w:tc>
        <w:tc>
          <w:tcPr>
            <w:tcW w:w="788" w:type="pct"/>
            <w:tcBorders>
              <w:top w:val="nil"/>
              <w:left w:val="nil"/>
              <w:bottom w:val="single" w:color="auto" w:sz="4" w:space="0"/>
              <w:right w:val="single" w:color="auto" w:sz="12"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结转结余总额为0，结转结余率为0，小于5%，得1分</w:t>
            </w:r>
          </w:p>
        </w:tc>
      </w:tr>
      <w:tr>
        <w:tblPrEx>
          <w:tblCellMar>
            <w:top w:w="0" w:type="dxa"/>
            <w:left w:w="28" w:type="dxa"/>
            <w:bottom w:w="0" w:type="dxa"/>
            <w:right w:w="28" w:type="dxa"/>
          </w:tblCellMar>
        </w:tblPrEx>
        <w:trPr>
          <w:trHeight w:val="1247" w:hRule="atLeast"/>
          <w:jc w:val="center"/>
        </w:trPr>
        <w:tc>
          <w:tcPr>
            <w:tcW w:w="776" w:type="pct"/>
            <w:vMerge w:val="continue"/>
            <w:tcBorders>
              <w:left w:val="single" w:color="auto" w:sz="12" w:space="0"/>
              <w:bottom w:val="single" w:color="000000" w:sz="4" w:space="0"/>
              <w:right w:val="single" w:color="auto" w:sz="4" w:space="0"/>
            </w:tcBorders>
            <w:noWrap w:val="0"/>
            <w:vAlign w:val="center"/>
          </w:tcPr>
          <w:p>
            <w:pPr>
              <w:spacing w:line="260" w:lineRule="exact"/>
              <w:jc w:val="center"/>
              <w:rPr>
                <w:szCs w:val="21"/>
              </w:rPr>
            </w:pPr>
          </w:p>
        </w:tc>
        <w:tc>
          <w:tcPr>
            <w:tcW w:w="250" w:type="pct"/>
            <w:vMerge w:val="continue"/>
            <w:tcBorders>
              <w:left w:val="single" w:color="auto" w:sz="4" w:space="0"/>
              <w:bottom w:val="single" w:color="000000" w:sz="4" w:space="0"/>
              <w:right w:val="single" w:color="auto" w:sz="4" w:space="0"/>
            </w:tcBorders>
            <w:noWrap w:val="0"/>
            <w:vAlign w:val="center"/>
          </w:tcPr>
          <w:p>
            <w:pPr>
              <w:spacing w:line="26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60" w:lineRule="exact"/>
              <w:jc w:val="center"/>
              <w:rPr>
                <w:szCs w:val="21"/>
              </w:rPr>
            </w:pPr>
            <w:r>
              <w:rPr>
                <w:rFonts w:hint="eastAsia"/>
                <w:szCs w:val="21"/>
              </w:rPr>
              <w:t>结转结余变动率（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部门（单位）本年度结转结余资金总额与上年度结转结余资金总额的变动比率，用以反映和考核部门（单位）对控制结转结余资金的努力程度。</w:t>
            </w:r>
          </w:p>
        </w:tc>
        <w:tc>
          <w:tcPr>
            <w:tcW w:w="1566" w:type="pct"/>
            <w:tcBorders>
              <w:top w:val="nil"/>
              <w:left w:val="nil"/>
              <w:bottom w:val="single" w:color="auto" w:sz="4" w:space="0"/>
              <w:right w:val="single" w:color="auto" w:sz="4" w:space="0"/>
            </w:tcBorders>
            <w:noWrap w:val="0"/>
            <w:vAlign w:val="center"/>
          </w:tcPr>
          <w:p>
            <w:pPr>
              <w:spacing w:line="260" w:lineRule="exact"/>
              <w:rPr>
                <w:szCs w:val="21"/>
              </w:rPr>
            </w:pPr>
            <w:r>
              <w:rPr>
                <w:rFonts w:hint="eastAsia"/>
                <w:szCs w:val="21"/>
              </w:rPr>
              <w:t>结转结余变动率</w:t>
            </w:r>
            <w:r>
              <w:rPr>
                <w:szCs w:val="21"/>
              </w:rPr>
              <w:t>=[</w:t>
            </w:r>
            <w:r>
              <w:rPr>
                <w:rFonts w:hint="eastAsia"/>
                <w:szCs w:val="21"/>
              </w:rPr>
              <w:t>（本年度累计结转结余资金总额</w:t>
            </w:r>
            <w:r>
              <w:rPr>
                <w:szCs w:val="21"/>
              </w:rPr>
              <w:t>-</w:t>
            </w:r>
            <w:r>
              <w:rPr>
                <w:rFonts w:hint="eastAsia"/>
                <w:szCs w:val="21"/>
              </w:rPr>
              <w:t>上年度累计结转结余资金总额）</w:t>
            </w:r>
            <w:r>
              <w:rPr>
                <w:szCs w:val="21"/>
              </w:rPr>
              <w:t>/</w:t>
            </w:r>
            <w:r>
              <w:rPr>
                <w:rFonts w:hint="eastAsia"/>
                <w:szCs w:val="21"/>
              </w:rPr>
              <w:t>上年度累计结转结余资金总额</w:t>
            </w:r>
            <w:r>
              <w:rPr>
                <w:szCs w:val="21"/>
              </w:rPr>
              <w:t>]</w:t>
            </w:r>
            <w:r>
              <w:rPr>
                <w:rFonts w:hint="eastAsia"/>
                <w:szCs w:val="21"/>
              </w:rPr>
              <w:t>×</w:t>
            </w:r>
            <w:r>
              <w:rPr>
                <w:szCs w:val="21"/>
              </w:rPr>
              <w:t>100%</w:t>
            </w:r>
            <w:r>
              <w:rPr>
                <w:rFonts w:hint="eastAsia"/>
                <w:szCs w:val="21"/>
              </w:rPr>
              <w:t>。（低于</w:t>
            </w:r>
            <w:r>
              <w:rPr>
                <w:szCs w:val="21"/>
              </w:rPr>
              <w:t>15%</w:t>
            </w:r>
            <w:r>
              <w:rPr>
                <w:rFonts w:hint="eastAsia"/>
                <w:szCs w:val="21"/>
              </w:rPr>
              <w:t>的计</w:t>
            </w:r>
            <w:r>
              <w:rPr>
                <w:szCs w:val="21"/>
              </w:rPr>
              <w:t>2</w:t>
            </w:r>
            <w:r>
              <w:rPr>
                <w:rFonts w:hint="eastAsia"/>
                <w:szCs w:val="21"/>
              </w:rPr>
              <w:t>分，每超过</w:t>
            </w:r>
            <w:r>
              <w:rPr>
                <w:szCs w:val="21"/>
              </w:rPr>
              <w:t>5</w:t>
            </w:r>
            <w:r>
              <w:rPr>
                <w:rFonts w:hint="eastAsia"/>
                <w:szCs w:val="21"/>
              </w:rPr>
              <w:t>个百分点扣</w:t>
            </w:r>
            <w:r>
              <w:rPr>
                <w:szCs w:val="21"/>
              </w:rPr>
              <w:t>1</w:t>
            </w:r>
            <w:r>
              <w:rPr>
                <w:rFonts w:hint="eastAsia"/>
                <w:szCs w:val="21"/>
              </w:rPr>
              <w:t>分，扣完为止）</w:t>
            </w:r>
          </w:p>
        </w:tc>
        <w:tc>
          <w:tcPr>
            <w:tcW w:w="292" w:type="pct"/>
            <w:tcBorders>
              <w:top w:val="nil"/>
              <w:left w:val="nil"/>
              <w:bottom w:val="single" w:color="auto" w:sz="4" w:space="0"/>
              <w:right w:val="single" w:color="auto" w:sz="4" w:space="0"/>
            </w:tcBorders>
            <w:noWrap/>
            <w:vAlign w:val="center"/>
          </w:tcPr>
          <w:p>
            <w:pPr>
              <w:spacing w:line="26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60" w:lineRule="exact"/>
              <w:jc w:val="center"/>
              <w:rPr>
                <w:rFonts w:hint="default" w:eastAsia="宋体"/>
                <w:szCs w:val="21"/>
                <w:lang w:val="en-US" w:eastAsia="zh-CN"/>
              </w:rPr>
            </w:pPr>
            <w:r>
              <w:rPr>
                <w:rFonts w:hint="eastAsia"/>
                <w:szCs w:val="21"/>
                <w:lang w:val="en-US" w:eastAsia="zh-CN"/>
              </w:rPr>
              <w:t>上年度和本年度的结转结余均为0，没有变动。</w:t>
            </w:r>
          </w:p>
        </w:tc>
      </w:tr>
      <w:tr>
        <w:tblPrEx>
          <w:tblCellMar>
            <w:top w:w="0" w:type="dxa"/>
            <w:left w:w="28" w:type="dxa"/>
            <w:bottom w:w="0" w:type="dxa"/>
            <w:right w:w="28" w:type="dxa"/>
          </w:tblCellMar>
        </w:tblPrEx>
        <w:trPr>
          <w:trHeight w:val="1153" w:hRule="atLeast"/>
          <w:jc w:val="center"/>
        </w:trPr>
        <w:tc>
          <w:tcPr>
            <w:tcW w:w="776" w:type="pct"/>
            <w:vMerge w:val="restart"/>
            <w:tcBorders>
              <w:top w:val="nil"/>
              <w:left w:val="single" w:color="auto" w:sz="12" w:space="0"/>
              <w:right w:val="single" w:color="auto" w:sz="4" w:space="0"/>
            </w:tcBorders>
            <w:noWrap w:val="0"/>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50" w:type="pct"/>
            <w:vMerge w:val="restart"/>
            <w:tcBorders>
              <w:top w:val="nil"/>
              <w:left w:val="single" w:color="auto" w:sz="4" w:space="0"/>
              <w:right w:val="single" w:color="auto" w:sz="4" w:space="0"/>
            </w:tcBorders>
            <w:noWrap w:val="0"/>
            <w:vAlign w:val="center"/>
          </w:tcPr>
          <w:p>
            <w:pPr>
              <w:spacing w:line="260" w:lineRule="exact"/>
              <w:jc w:val="center"/>
              <w:rPr>
                <w:szCs w:val="21"/>
              </w:rPr>
            </w:pPr>
            <w:r>
              <w:rPr>
                <w:rFonts w:hint="eastAsia"/>
                <w:szCs w:val="21"/>
              </w:rPr>
              <w:t>预算执行（</w:t>
            </w:r>
            <w:r>
              <w:rPr>
                <w:szCs w:val="21"/>
              </w:rPr>
              <w:t>20</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公用经费控制率（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部门（单位）本年度实际支出的公用经费总额与预算安排的公用经费总额的比率，用以反映和考核部门（单位）对机构运转成本的实际控制程度。</w:t>
            </w:r>
          </w:p>
        </w:tc>
        <w:tc>
          <w:tcPr>
            <w:tcW w:w="1566"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公用经费控制率</w:t>
            </w:r>
            <w:r>
              <w:rPr>
                <w:szCs w:val="21"/>
              </w:rPr>
              <w:t>=</w:t>
            </w:r>
            <w:r>
              <w:rPr>
                <w:rFonts w:hint="eastAsia"/>
                <w:szCs w:val="21"/>
              </w:rPr>
              <w:t>（实际支出公用经费总额</w:t>
            </w:r>
            <w:r>
              <w:rPr>
                <w:szCs w:val="21"/>
              </w:rPr>
              <w:t>/</w:t>
            </w:r>
            <w:r>
              <w:rPr>
                <w:rFonts w:hint="eastAsia"/>
                <w:szCs w:val="21"/>
              </w:rPr>
              <w:t>预算安排公用经费总额）×</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分，每超过</w:t>
            </w:r>
            <w:r>
              <w:rPr>
                <w:szCs w:val="21"/>
              </w:rPr>
              <w:t>1</w:t>
            </w:r>
            <w:r>
              <w:rPr>
                <w:rFonts w:hint="eastAsia"/>
                <w:szCs w:val="21"/>
              </w:rPr>
              <w:t>个百分点扣</w:t>
            </w:r>
            <w:r>
              <w:rPr>
                <w:szCs w:val="21"/>
              </w:rPr>
              <w:t>0.1</w:t>
            </w:r>
            <w:r>
              <w:rPr>
                <w:rFonts w:hint="eastAsia"/>
                <w:szCs w:val="21"/>
              </w:rPr>
              <w:t>分，扣完为止）</w:t>
            </w:r>
          </w:p>
        </w:tc>
        <w:tc>
          <w:tcPr>
            <w:tcW w:w="292" w:type="pct"/>
            <w:tcBorders>
              <w:top w:val="nil"/>
              <w:left w:val="nil"/>
              <w:bottom w:val="single" w:color="auto" w:sz="4" w:space="0"/>
              <w:right w:val="single" w:color="auto" w:sz="4" w:space="0"/>
            </w:tcBorders>
            <w:noWrap/>
            <w:vAlign w:val="center"/>
          </w:tcPr>
          <w:p>
            <w:pPr>
              <w:spacing w:line="280" w:lineRule="exact"/>
              <w:jc w:val="center"/>
              <w:rPr>
                <w:rFonts w:hint="default"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80" w:lineRule="exact"/>
              <w:jc w:val="center"/>
              <w:rPr>
                <w:rFonts w:hint="default" w:eastAsia="宋体"/>
                <w:szCs w:val="21"/>
                <w:lang w:val="en-US" w:eastAsia="zh-CN"/>
              </w:rPr>
            </w:pPr>
            <w:r>
              <w:rPr>
                <w:rFonts w:hint="eastAsia"/>
                <w:szCs w:val="21"/>
                <w:lang w:val="en-US" w:eastAsia="zh-CN"/>
              </w:rPr>
              <w:t>100%</w:t>
            </w:r>
          </w:p>
        </w:tc>
      </w:tr>
      <w:tr>
        <w:tblPrEx>
          <w:tblCellMar>
            <w:top w:w="0" w:type="dxa"/>
            <w:left w:w="28" w:type="dxa"/>
            <w:bottom w:w="0" w:type="dxa"/>
            <w:right w:w="28" w:type="dxa"/>
          </w:tblCellMar>
        </w:tblPrEx>
        <w:trPr>
          <w:trHeight w:val="1172" w:hRule="atLeast"/>
          <w:jc w:val="center"/>
        </w:trPr>
        <w:tc>
          <w:tcPr>
            <w:tcW w:w="776" w:type="pct"/>
            <w:vMerge w:val="continue"/>
            <w:tcBorders>
              <w:left w:val="single" w:color="auto" w:sz="12" w:space="0"/>
              <w:right w:val="single" w:color="auto" w:sz="4" w:space="0"/>
            </w:tcBorders>
            <w:noWrap w:val="0"/>
            <w:vAlign w:val="center"/>
          </w:tcPr>
          <w:p>
            <w:pPr>
              <w:spacing w:line="280" w:lineRule="exact"/>
              <w:jc w:val="center"/>
              <w:rPr>
                <w:szCs w:val="21"/>
              </w:rPr>
            </w:pPr>
          </w:p>
        </w:tc>
        <w:tc>
          <w:tcPr>
            <w:tcW w:w="250" w:type="pct"/>
            <w:vMerge w:val="continue"/>
            <w:tcBorders>
              <w:left w:val="single" w:color="auto" w:sz="4" w:space="0"/>
              <w:right w:val="single" w:color="auto" w:sz="4" w:space="0"/>
            </w:tcBorders>
            <w:noWrap w:val="0"/>
            <w:vAlign w:val="center"/>
          </w:tcPr>
          <w:p>
            <w:pPr>
              <w:spacing w:line="28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“三公经费”控制率（</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部门（单位）本年度“三公经费”实际支出数与预算安排数的比率，用以反映和考核部门（单位）对“三公经费”的实际控制程度。</w:t>
            </w:r>
          </w:p>
        </w:tc>
        <w:tc>
          <w:tcPr>
            <w:tcW w:w="1566"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“三公经费”控制率</w:t>
            </w:r>
            <w:r>
              <w:rPr>
                <w:szCs w:val="21"/>
              </w:rPr>
              <w:t>=</w:t>
            </w:r>
            <w:r>
              <w:rPr>
                <w:rFonts w:hint="eastAsia"/>
                <w:szCs w:val="21"/>
              </w:rPr>
              <w:t>（“三公经费”实际支出数</w:t>
            </w:r>
            <w:r>
              <w:rPr>
                <w:szCs w:val="21"/>
              </w:rPr>
              <w:t>/</w:t>
            </w:r>
            <w:r>
              <w:rPr>
                <w:rFonts w:hint="eastAsia"/>
                <w:szCs w:val="21"/>
              </w:rPr>
              <w:t>“三公经费”预算安排数）×</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分，每超过</w:t>
            </w:r>
            <w:r>
              <w:rPr>
                <w:szCs w:val="21"/>
              </w:rPr>
              <w:t>1</w:t>
            </w:r>
            <w:r>
              <w:rPr>
                <w:rFonts w:hint="eastAsia"/>
                <w:szCs w:val="21"/>
              </w:rPr>
              <w:t>个百分点扣</w:t>
            </w:r>
            <w:r>
              <w:rPr>
                <w:szCs w:val="21"/>
              </w:rPr>
              <w:t>0.5</w:t>
            </w:r>
            <w:r>
              <w:rPr>
                <w:rFonts w:hint="eastAsia"/>
                <w:szCs w:val="21"/>
              </w:rPr>
              <w:t>分，扣完为止）</w:t>
            </w:r>
          </w:p>
        </w:tc>
        <w:tc>
          <w:tcPr>
            <w:tcW w:w="292"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80" w:lineRule="exact"/>
              <w:jc w:val="center"/>
              <w:rPr>
                <w:szCs w:val="21"/>
              </w:rPr>
            </w:pPr>
            <w:r>
              <w:rPr>
                <w:rFonts w:hint="eastAsia"/>
                <w:szCs w:val="21"/>
                <w:lang w:val="en-US" w:eastAsia="zh-CN"/>
              </w:rPr>
              <w:t>单位公用经费实际支出2万元，预算2万元，控制率100%。</w:t>
            </w:r>
          </w:p>
        </w:tc>
      </w:tr>
      <w:tr>
        <w:tblPrEx>
          <w:tblCellMar>
            <w:top w:w="0" w:type="dxa"/>
            <w:left w:w="28" w:type="dxa"/>
            <w:bottom w:w="0" w:type="dxa"/>
            <w:right w:w="28" w:type="dxa"/>
          </w:tblCellMar>
        </w:tblPrEx>
        <w:trPr>
          <w:trHeight w:val="1500" w:hRule="atLeast"/>
          <w:jc w:val="center"/>
        </w:trPr>
        <w:tc>
          <w:tcPr>
            <w:tcW w:w="776" w:type="pct"/>
            <w:vMerge w:val="continue"/>
            <w:tcBorders>
              <w:left w:val="single" w:color="auto" w:sz="12" w:space="0"/>
              <w:right w:val="single" w:color="auto" w:sz="4" w:space="0"/>
            </w:tcBorders>
            <w:noWrap w:val="0"/>
            <w:vAlign w:val="center"/>
          </w:tcPr>
          <w:p>
            <w:pPr>
              <w:spacing w:line="280" w:lineRule="exact"/>
              <w:jc w:val="center"/>
              <w:rPr>
                <w:szCs w:val="21"/>
              </w:rPr>
            </w:pPr>
          </w:p>
        </w:tc>
        <w:tc>
          <w:tcPr>
            <w:tcW w:w="250" w:type="pct"/>
            <w:vMerge w:val="continue"/>
            <w:tcBorders>
              <w:left w:val="single" w:color="auto" w:sz="4" w:space="0"/>
              <w:bottom w:val="single" w:color="000000" w:sz="4" w:space="0"/>
              <w:right w:val="single" w:color="auto" w:sz="4" w:space="0"/>
            </w:tcBorders>
            <w:noWrap w:val="0"/>
            <w:vAlign w:val="center"/>
          </w:tcPr>
          <w:p>
            <w:pPr>
              <w:spacing w:line="28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政府采购执行率（</w:t>
            </w:r>
            <w:r>
              <w:rPr>
                <w:szCs w:val="21"/>
              </w:rPr>
              <w:t>4</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部门（单位）本年度实际政府采购金额与年初政府采购预算的比率，用以反映和考核部门（单位）政府采购预算执行情况。</w:t>
            </w:r>
          </w:p>
        </w:tc>
        <w:tc>
          <w:tcPr>
            <w:tcW w:w="1566"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政府采购执行率</w:t>
            </w:r>
            <w:r>
              <w:rPr>
                <w:szCs w:val="21"/>
              </w:rPr>
              <w:t>=</w:t>
            </w:r>
            <w:r>
              <w:rPr>
                <w:rFonts w:hint="eastAsia"/>
                <w:szCs w:val="21"/>
              </w:rPr>
              <w:t>（实际政府采购金额</w:t>
            </w:r>
            <w:r>
              <w:rPr>
                <w:szCs w:val="21"/>
              </w:rPr>
              <w:t>/</w:t>
            </w:r>
            <w:r>
              <w:rPr>
                <w:rFonts w:hint="eastAsia"/>
                <w:szCs w:val="21"/>
              </w:rPr>
              <w:t>政府采购预算数）×</w:t>
            </w:r>
            <w:r>
              <w:rPr>
                <w:szCs w:val="21"/>
              </w:rPr>
              <w:t>100%</w:t>
            </w:r>
            <w:r>
              <w:rPr>
                <w:rFonts w:hint="eastAsia"/>
                <w:szCs w:val="21"/>
              </w:rPr>
              <w:t>。（为</w:t>
            </w:r>
            <w:r>
              <w:rPr>
                <w:szCs w:val="21"/>
              </w:rPr>
              <w:t>100%</w:t>
            </w:r>
            <w:r>
              <w:rPr>
                <w:rFonts w:hint="eastAsia"/>
                <w:szCs w:val="21"/>
              </w:rPr>
              <w:t>的计</w:t>
            </w:r>
            <w:r>
              <w:rPr>
                <w:szCs w:val="21"/>
              </w:rPr>
              <w:t>2</w:t>
            </w:r>
            <w:r>
              <w:rPr>
                <w:rFonts w:hint="eastAsia"/>
                <w:szCs w:val="21"/>
              </w:rPr>
              <w:t>分，每低于</w:t>
            </w:r>
            <w:r>
              <w:rPr>
                <w:szCs w:val="21"/>
              </w:rPr>
              <w:t>1</w:t>
            </w:r>
            <w:r>
              <w:rPr>
                <w:rFonts w:hint="eastAsia"/>
                <w:szCs w:val="21"/>
              </w:rPr>
              <w:t>个百分点扣</w:t>
            </w:r>
            <w:r>
              <w:rPr>
                <w:szCs w:val="21"/>
              </w:rPr>
              <w:t>0.5</w:t>
            </w:r>
            <w:r>
              <w:rPr>
                <w:rFonts w:hint="eastAsia"/>
                <w:szCs w:val="21"/>
              </w:rPr>
              <w:t>分，扣完为止）</w:t>
            </w:r>
          </w:p>
          <w:p>
            <w:pPr>
              <w:spacing w:line="280" w:lineRule="exact"/>
              <w:rPr>
                <w:szCs w:val="21"/>
              </w:rPr>
            </w:pPr>
            <w:r>
              <w:rPr>
                <w:rFonts w:hint="eastAsia"/>
                <w:szCs w:val="21"/>
              </w:rPr>
              <w:t>政府采购预算：采购机关根据事业发展计划和行政任务编制的、并经过规定程序批准的年度政府采购计划。</w:t>
            </w:r>
          </w:p>
        </w:tc>
        <w:tc>
          <w:tcPr>
            <w:tcW w:w="292"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0</w:t>
            </w:r>
          </w:p>
        </w:tc>
        <w:tc>
          <w:tcPr>
            <w:tcW w:w="788" w:type="pct"/>
            <w:tcBorders>
              <w:top w:val="nil"/>
              <w:left w:val="nil"/>
              <w:bottom w:val="single" w:color="auto" w:sz="4" w:space="0"/>
              <w:right w:val="single" w:color="auto" w:sz="12" w:space="0"/>
            </w:tcBorders>
            <w:noWrap/>
            <w:vAlign w:val="center"/>
          </w:tcPr>
          <w:p>
            <w:pPr>
              <w:spacing w:line="280" w:lineRule="exact"/>
              <w:jc w:val="center"/>
              <w:rPr>
                <w:rFonts w:hint="default" w:eastAsia="宋体"/>
                <w:szCs w:val="21"/>
                <w:lang w:val="en-US" w:eastAsia="zh-CN"/>
              </w:rPr>
            </w:pPr>
            <w:r>
              <w:rPr>
                <w:rFonts w:hint="eastAsia"/>
                <w:szCs w:val="21"/>
                <w:lang w:val="en-US" w:eastAsia="zh-CN"/>
              </w:rPr>
              <w:t>56.5%</w:t>
            </w:r>
          </w:p>
        </w:tc>
      </w:tr>
      <w:tr>
        <w:tblPrEx>
          <w:tblCellMar>
            <w:top w:w="0" w:type="dxa"/>
            <w:left w:w="28" w:type="dxa"/>
            <w:bottom w:w="0" w:type="dxa"/>
            <w:right w:w="28" w:type="dxa"/>
          </w:tblCellMar>
        </w:tblPrEx>
        <w:trPr>
          <w:trHeight w:val="1635" w:hRule="atLeast"/>
          <w:jc w:val="center"/>
        </w:trPr>
        <w:tc>
          <w:tcPr>
            <w:tcW w:w="776" w:type="pct"/>
            <w:vMerge w:val="continue"/>
            <w:tcBorders>
              <w:left w:val="single" w:color="auto" w:sz="12" w:space="0"/>
              <w:right w:val="single" w:color="auto" w:sz="4" w:space="0"/>
            </w:tcBorders>
            <w:noWrap w:val="0"/>
            <w:vAlign w:val="center"/>
          </w:tcPr>
          <w:p>
            <w:pPr>
              <w:spacing w:line="280" w:lineRule="exact"/>
              <w:jc w:val="center"/>
              <w:rPr>
                <w:szCs w:val="21"/>
              </w:rPr>
            </w:pPr>
          </w:p>
        </w:tc>
        <w:tc>
          <w:tcPr>
            <w:tcW w:w="250" w:type="pct"/>
            <w:vMerge w:val="restart"/>
            <w:tcBorders>
              <w:top w:val="nil"/>
              <w:left w:val="single" w:color="auto" w:sz="4" w:space="0"/>
              <w:right w:val="single" w:color="auto" w:sz="4" w:space="0"/>
            </w:tcBorders>
            <w:noWrap w:val="0"/>
            <w:vAlign w:val="center"/>
          </w:tcPr>
          <w:p>
            <w:pPr>
              <w:spacing w:line="280" w:lineRule="exact"/>
              <w:jc w:val="center"/>
              <w:rPr>
                <w:szCs w:val="21"/>
              </w:rPr>
            </w:pPr>
            <w:r>
              <w:rPr>
                <w:rFonts w:hint="eastAsia"/>
                <w:szCs w:val="21"/>
              </w:rPr>
              <w:t>预算管理（</w:t>
            </w:r>
            <w:r>
              <w:rPr>
                <w:szCs w:val="21"/>
              </w:rPr>
              <w:t>5</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管理制度健全性（</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部门（单位）为加强预算管理、规范财务行为而制定的管理制度是否健全完整，用以反映和考核部门（单位）预算管理制度对完成主要职责或促进事业发展的保障情况。</w:t>
            </w:r>
          </w:p>
        </w:tc>
        <w:tc>
          <w:tcPr>
            <w:tcW w:w="1566"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①是否已制定或具有预算资金管理办法、内部财务管理制度、会计核算制度等管理制度；（</w:t>
            </w:r>
            <w:r>
              <w:rPr>
                <w:szCs w:val="21"/>
              </w:rPr>
              <w:t>1</w:t>
            </w:r>
            <w:r>
              <w:rPr>
                <w:rFonts w:hint="eastAsia"/>
                <w:szCs w:val="21"/>
              </w:rPr>
              <w:t>分）</w:t>
            </w:r>
          </w:p>
          <w:p>
            <w:pPr>
              <w:spacing w:line="280" w:lineRule="exact"/>
              <w:rPr>
                <w:szCs w:val="21"/>
              </w:rPr>
            </w:pPr>
            <w:r>
              <w:rPr>
                <w:rFonts w:hint="eastAsia"/>
                <w:szCs w:val="21"/>
              </w:rPr>
              <w:t>②相关管理制度是否合法、合规、完整；（</w:t>
            </w:r>
            <w:r>
              <w:rPr>
                <w:szCs w:val="21"/>
              </w:rPr>
              <w:t>0.5</w:t>
            </w:r>
            <w:r>
              <w:rPr>
                <w:rFonts w:hint="eastAsia"/>
                <w:szCs w:val="21"/>
              </w:rPr>
              <w:t>分）</w:t>
            </w:r>
          </w:p>
          <w:p>
            <w:pPr>
              <w:spacing w:line="280" w:lineRule="exact"/>
              <w:rPr>
                <w:szCs w:val="21"/>
              </w:rPr>
            </w:pPr>
            <w:r>
              <w:rPr>
                <w:rFonts w:hint="eastAsia"/>
                <w:szCs w:val="21"/>
              </w:rPr>
              <w:t>③相关管理制度是否得到有效执行。（</w:t>
            </w:r>
            <w:r>
              <w:rPr>
                <w:szCs w:val="21"/>
              </w:rPr>
              <w:t>0.5</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280" w:lineRule="exact"/>
              <w:jc w:val="center"/>
              <w:rPr>
                <w:szCs w:val="21"/>
              </w:rPr>
            </w:pPr>
            <w:r>
              <w:rPr>
                <w:rFonts w:hint="eastAsia" w:eastAsia="宋体"/>
                <w:kern w:val="0"/>
                <w:sz w:val="21"/>
                <w:szCs w:val="21"/>
              </w:rPr>
              <w:t>建立内部制度，符合要求</w:t>
            </w:r>
          </w:p>
        </w:tc>
      </w:tr>
      <w:tr>
        <w:tblPrEx>
          <w:tblCellMar>
            <w:top w:w="0" w:type="dxa"/>
            <w:left w:w="28" w:type="dxa"/>
            <w:bottom w:w="0" w:type="dxa"/>
            <w:right w:w="28" w:type="dxa"/>
          </w:tblCellMar>
        </w:tblPrEx>
        <w:trPr>
          <w:trHeight w:val="2334" w:hRule="atLeast"/>
          <w:jc w:val="center"/>
        </w:trPr>
        <w:tc>
          <w:tcPr>
            <w:tcW w:w="776" w:type="pct"/>
            <w:vMerge w:val="continue"/>
            <w:tcBorders>
              <w:left w:val="single" w:color="auto" w:sz="12" w:space="0"/>
              <w:bottom w:val="single" w:color="000000" w:sz="4" w:space="0"/>
              <w:right w:val="single" w:color="auto" w:sz="4" w:space="0"/>
            </w:tcBorders>
            <w:noWrap w:val="0"/>
            <w:vAlign w:val="center"/>
          </w:tcPr>
          <w:p>
            <w:pPr>
              <w:spacing w:line="280" w:lineRule="exact"/>
              <w:jc w:val="center"/>
              <w:rPr>
                <w:szCs w:val="21"/>
              </w:rPr>
            </w:pPr>
          </w:p>
        </w:tc>
        <w:tc>
          <w:tcPr>
            <w:tcW w:w="250" w:type="pct"/>
            <w:vMerge w:val="continue"/>
            <w:tcBorders>
              <w:left w:val="single" w:color="auto" w:sz="4" w:space="0"/>
              <w:bottom w:val="single" w:color="auto" w:sz="4" w:space="0"/>
              <w:right w:val="single" w:color="auto" w:sz="4" w:space="0"/>
            </w:tcBorders>
            <w:noWrap w:val="0"/>
            <w:vAlign w:val="center"/>
          </w:tcPr>
          <w:p>
            <w:pPr>
              <w:spacing w:line="28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80" w:lineRule="exact"/>
              <w:jc w:val="center"/>
              <w:rPr>
                <w:szCs w:val="21"/>
              </w:rPr>
            </w:pPr>
            <w:r>
              <w:rPr>
                <w:rFonts w:hint="eastAsia"/>
                <w:szCs w:val="21"/>
              </w:rPr>
              <w:t>资金使用合规性（</w:t>
            </w:r>
            <w:r>
              <w:rPr>
                <w:szCs w:val="21"/>
              </w:rPr>
              <w:t>1</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部门（单位）使用预算资金是否符合相关的预算财务管理制度的规定，用以反映和考核部门（单位）预算资金的规范运行情况。</w:t>
            </w:r>
          </w:p>
        </w:tc>
        <w:tc>
          <w:tcPr>
            <w:tcW w:w="1566" w:type="pct"/>
            <w:tcBorders>
              <w:top w:val="nil"/>
              <w:left w:val="nil"/>
              <w:bottom w:val="single" w:color="auto" w:sz="4" w:space="0"/>
              <w:right w:val="single" w:color="auto" w:sz="4" w:space="0"/>
            </w:tcBorders>
            <w:noWrap w:val="0"/>
            <w:vAlign w:val="center"/>
          </w:tcPr>
          <w:p>
            <w:pPr>
              <w:spacing w:line="280" w:lineRule="exact"/>
              <w:rPr>
                <w:szCs w:val="21"/>
              </w:rPr>
            </w:pPr>
            <w:r>
              <w:rPr>
                <w:rFonts w:hint="eastAsia"/>
                <w:szCs w:val="21"/>
              </w:rPr>
              <w:t>①是否符合国家财经法规和财务管理制度规定以及有关专项资金管理办法的规定；（</w:t>
            </w:r>
            <w:r>
              <w:rPr>
                <w:szCs w:val="21"/>
              </w:rPr>
              <w:t>0.2</w:t>
            </w:r>
            <w:r>
              <w:rPr>
                <w:rFonts w:hint="eastAsia"/>
                <w:szCs w:val="21"/>
              </w:rPr>
              <w:t>分）</w:t>
            </w:r>
          </w:p>
          <w:p>
            <w:pPr>
              <w:spacing w:line="280" w:lineRule="exact"/>
              <w:rPr>
                <w:szCs w:val="21"/>
              </w:rPr>
            </w:pPr>
            <w:r>
              <w:rPr>
                <w:rFonts w:hint="eastAsia"/>
                <w:szCs w:val="21"/>
              </w:rPr>
              <w:t>②资金的拨付是否有完整的审批程序和手续；（</w:t>
            </w:r>
            <w:r>
              <w:rPr>
                <w:szCs w:val="21"/>
              </w:rPr>
              <w:t>0.2</w:t>
            </w:r>
            <w:r>
              <w:rPr>
                <w:rFonts w:hint="eastAsia"/>
                <w:szCs w:val="21"/>
              </w:rPr>
              <w:t>分）</w:t>
            </w:r>
          </w:p>
          <w:p>
            <w:pPr>
              <w:spacing w:line="280" w:lineRule="exact"/>
              <w:rPr>
                <w:szCs w:val="21"/>
              </w:rPr>
            </w:pPr>
            <w:r>
              <w:rPr>
                <w:rFonts w:hint="eastAsia"/>
                <w:szCs w:val="21"/>
              </w:rPr>
              <w:t>③项目的重大开支是否经过评估论证；（</w:t>
            </w:r>
            <w:r>
              <w:rPr>
                <w:szCs w:val="21"/>
              </w:rPr>
              <w:t>0.2</w:t>
            </w:r>
            <w:r>
              <w:rPr>
                <w:rFonts w:hint="eastAsia"/>
                <w:szCs w:val="21"/>
              </w:rPr>
              <w:t>分）</w:t>
            </w:r>
          </w:p>
          <w:p>
            <w:pPr>
              <w:spacing w:line="280" w:lineRule="exact"/>
              <w:rPr>
                <w:szCs w:val="21"/>
              </w:rPr>
            </w:pPr>
            <w:r>
              <w:rPr>
                <w:rFonts w:hint="eastAsia"/>
                <w:szCs w:val="21"/>
              </w:rPr>
              <w:t>④是否符合部门预算批复的用途；（</w:t>
            </w:r>
            <w:r>
              <w:rPr>
                <w:szCs w:val="21"/>
              </w:rPr>
              <w:t>0.2</w:t>
            </w:r>
            <w:r>
              <w:rPr>
                <w:rFonts w:hint="eastAsia"/>
                <w:szCs w:val="21"/>
              </w:rPr>
              <w:t>分）</w:t>
            </w:r>
          </w:p>
          <w:p>
            <w:pPr>
              <w:spacing w:line="280" w:lineRule="exact"/>
              <w:rPr>
                <w:szCs w:val="21"/>
              </w:rPr>
            </w:pPr>
            <w:r>
              <w:rPr>
                <w:rFonts w:hint="eastAsia"/>
                <w:szCs w:val="21"/>
              </w:rPr>
              <w:t>⑤是否存在截留、挤占、挪用、虚列支出等情况。（</w:t>
            </w:r>
            <w:r>
              <w:rPr>
                <w:szCs w:val="21"/>
              </w:rPr>
              <w:t>0.2</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280" w:lineRule="exact"/>
              <w:jc w:val="center"/>
              <w:rPr>
                <w:rFonts w:hint="eastAsia" w:eastAsia="宋体"/>
                <w:szCs w:val="21"/>
                <w:lang w:val="en-US" w:eastAsia="zh-CN"/>
              </w:rPr>
            </w:pPr>
            <w:r>
              <w:rPr>
                <w:rFonts w:hint="eastAsia"/>
                <w:szCs w:val="21"/>
                <w:lang w:val="en-US" w:eastAsia="zh-CN"/>
              </w:rPr>
              <w:t>1</w:t>
            </w:r>
          </w:p>
        </w:tc>
        <w:tc>
          <w:tcPr>
            <w:tcW w:w="788" w:type="pct"/>
            <w:tcBorders>
              <w:top w:val="nil"/>
              <w:left w:val="nil"/>
              <w:bottom w:val="single" w:color="auto" w:sz="4" w:space="0"/>
              <w:right w:val="single" w:color="auto" w:sz="12" w:space="0"/>
            </w:tcBorders>
            <w:noWrap/>
            <w:vAlign w:val="center"/>
          </w:tcPr>
          <w:p>
            <w:pPr>
              <w:spacing w:line="280" w:lineRule="exact"/>
              <w:jc w:val="center"/>
              <w:rPr>
                <w:szCs w:val="21"/>
              </w:rPr>
            </w:pPr>
            <w:r>
              <w:rPr>
                <w:rFonts w:hint="eastAsia" w:eastAsia="宋体"/>
                <w:kern w:val="0"/>
                <w:sz w:val="21"/>
                <w:szCs w:val="21"/>
              </w:rPr>
              <w:t>符合要求</w:t>
            </w:r>
          </w:p>
        </w:tc>
      </w:tr>
      <w:tr>
        <w:tblPrEx>
          <w:tblCellMar>
            <w:top w:w="0" w:type="dxa"/>
            <w:left w:w="28" w:type="dxa"/>
            <w:bottom w:w="0" w:type="dxa"/>
            <w:right w:w="28" w:type="dxa"/>
          </w:tblCellMar>
        </w:tblPrEx>
        <w:trPr>
          <w:trHeight w:val="1644" w:hRule="atLeast"/>
          <w:jc w:val="center"/>
        </w:trPr>
        <w:tc>
          <w:tcPr>
            <w:tcW w:w="776" w:type="pct"/>
            <w:vMerge w:val="restart"/>
            <w:tcBorders>
              <w:top w:val="nil"/>
              <w:left w:val="single" w:color="auto" w:sz="12" w:space="0"/>
              <w:right w:val="single" w:color="auto" w:sz="4" w:space="0"/>
            </w:tcBorders>
            <w:noWrap w:val="0"/>
            <w:vAlign w:val="center"/>
          </w:tcPr>
          <w:p>
            <w:pPr>
              <w:spacing w:line="260" w:lineRule="exact"/>
              <w:jc w:val="center"/>
              <w:rPr>
                <w:szCs w:val="21"/>
              </w:rPr>
            </w:pPr>
            <w:r>
              <w:rPr>
                <w:rFonts w:hint="eastAsia"/>
                <w:szCs w:val="21"/>
              </w:rPr>
              <w:t>过程（</w:t>
            </w:r>
            <w:r>
              <w:rPr>
                <w:szCs w:val="21"/>
              </w:rPr>
              <w:t>30</w:t>
            </w:r>
            <w:r>
              <w:rPr>
                <w:rFonts w:hint="eastAsia"/>
                <w:szCs w:val="21"/>
              </w:rPr>
              <w:t>分）</w:t>
            </w:r>
          </w:p>
        </w:tc>
        <w:tc>
          <w:tcPr>
            <w:tcW w:w="250" w:type="pct"/>
            <w:vMerge w:val="restart"/>
            <w:tcBorders>
              <w:top w:val="nil"/>
              <w:left w:val="single" w:color="auto" w:sz="4" w:space="0"/>
              <w:right w:val="single" w:color="auto" w:sz="4" w:space="0"/>
            </w:tcBorders>
            <w:noWrap w:val="0"/>
            <w:vAlign w:val="center"/>
          </w:tcPr>
          <w:p>
            <w:pPr>
              <w:spacing w:line="280" w:lineRule="exact"/>
              <w:jc w:val="center"/>
              <w:rPr>
                <w:szCs w:val="21"/>
              </w:rPr>
            </w:pPr>
            <w:r>
              <w:rPr>
                <w:rFonts w:hint="eastAsia"/>
                <w:szCs w:val="21"/>
              </w:rPr>
              <w:t>预算管理（</w:t>
            </w:r>
            <w:r>
              <w:rPr>
                <w:szCs w:val="21"/>
              </w:rPr>
              <w:t>5</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预决算信息公开性（</w:t>
            </w:r>
            <w:r>
              <w:rPr>
                <w:szCs w:val="21"/>
              </w:rPr>
              <w:t>1</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部门（单位）是否按照政府信息公开有关规定公开相关预决算信息，用以反映和考核部门（单位）预决算管理的公开透明情况。</w:t>
            </w:r>
          </w:p>
        </w:tc>
        <w:tc>
          <w:tcPr>
            <w:tcW w:w="1566"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①是否按规定内容公开预决算信息；（</w:t>
            </w:r>
            <w:r>
              <w:rPr>
                <w:szCs w:val="21"/>
              </w:rPr>
              <w:t>0.5</w:t>
            </w:r>
            <w:r>
              <w:rPr>
                <w:rFonts w:hint="eastAsia"/>
                <w:szCs w:val="21"/>
              </w:rPr>
              <w:t>分）</w:t>
            </w:r>
          </w:p>
          <w:p>
            <w:pPr>
              <w:spacing w:line="350" w:lineRule="exact"/>
              <w:rPr>
                <w:szCs w:val="21"/>
              </w:rPr>
            </w:pPr>
            <w:r>
              <w:rPr>
                <w:rFonts w:hint="eastAsia"/>
                <w:szCs w:val="21"/>
              </w:rPr>
              <w:t>②是否按规定时限公开预决算信息。（</w:t>
            </w:r>
            <w:r>
              <w:rPr>
                <w:szCs w:val="21"/>
              </w:rPr>
              <w:t>0.5</w:t>
            </w:r>
            <w:r>
              <w:rPr>
                <w:rFonts w:hint="eastAsia"/>
                <w:szCs w:val="21"/>
              </w:rPr>
              <w:t>分）</w:t>
            </w:r>
          </w:p>
          <w:p>
            <w:pPr>
              <w:spacing w:line="350" w:lineRule="exact"/>
              <w:rPr>
                <w:szCs w:val="21"/>
              </w:rPr>
            </w:pPr>
            <w:r>
              <w:rPr>
                <w:rFonts w:hint="eastAsia"/>
                <w:szCs w:val="21"/>
              </w:rPr>
              <w:t>预决算信息是指与部门预算、执行、决算、监督、绩效等管理相关的信息。</w:t>
            </w:r>
          </w:p>
        </w:tc>
        <w:tc>
          <w:tcPr>
            <w:tcW w:w="292"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788" w:type="pct"/>
            <w:tcBorders>
              <w:top w:val="nil"/>
              <w:left w:val="nil"/>
              <w:bottom w:val="single" w:color="auto" w:sz="4" w:space="0"/>
              <w:right w:val="single" w:color="auto" w:sz="12" w:space="0"/>
            </w:tcBorders>
            <w:noWrap/>
            <w:vAlign w:val="center"/>
          </w:tcPr>
          <w:p>
            <w:pPr>
              <w:spacing w:line="350" w:lineRule="exact"/>
              <w:jc w:val="center"/>
              <w:rPr>
                <w:rFonts w:hint="default" w:eastAsia="宋体"/>
                <w:szCs w:val="21"/>
                <w:lang w:val="en-US" w:eastAsia="zh-CN"/>
              </w:rPr>
            </w:pPr>
            <w:r>
              <w:rPr>
                <w:rFonts w:hint="eastAsia"/>
                <w:szCs w:val="21"/>
                <w:lang w:val="en-US" w:eastAsia="zh-CN"/>
              </w:rPr>
              <w:t>按规定内容在规定时限公开预决算</w:t>
            </w:r>
          </w:p>
        </w:tc>
      </w:tr>
      <w:tr>
        <w:tblPrEx>
          <w:tblCellMar>
            <w:top w:w="0" w:type="dxa"/>
            <w:left w:w="28" w:type="dxa"/>
            <w:bottom w:w="0" w:type="dxa"/>
            <w:right w:w="28" w:type="dxa"/>
          </w:tblCellMar>
        </w:tblPrEx>
        <w:trPr>
          <w:trHeight w:val="453" w:hRule="atLeast"/>
          <w:jc w:val="center"/>
        </w:trPr>
        <w:tc>
          <w:tcPr>
            <w:tcW w:w="776" w:type="pct"/>
            <w:vMerge w:val="continue"/>
            <w:tcBorders>
              <w:left w:val="single" w:color="auto" w:sz="12" w:space="0"/>
              <w:right w:val="single" w:color="auto" w:sz="4" w:space="0"/>
            </w:tcBorders>
            <w:noWrap w:val="0"/>
            <w:vAlign w:val="center"/>
          </w:tcPr>
          <w:p>
            <w:pPr>
              <w:spacing w:line="350" w:lineRule="exact"/>
              <w:jc w:val="center"/>
              <w:rPr>
                <w:szCs w:val="21"/>
              </w:rPr>
            </w:pPr>
          </w:p>
        </w:tc>
        <w:tc>
          <w:tcPr>
            <w:tcW w:w="250" w:type="pct"/>
            <w:vMerge w:val="continue"/>
            <w:tcBorders>
              <w:left w:val="single" w:color="auto" w:sz="4" w:space="0"/>
              <w:bottom w:val="single" w:color="auto" w:sz="4" w:space="0"/>
              <w:right w:val="single" w:color="auto" w:sz="4" w:space="0"/>
            </w:tcBorders>
            <w:noWrap w:val="0"/>
            <w:vAlign w:val="center"/>
          </w:tcPr>
          <w:p>
            <w:pPr>
              <w:spacing w:line="35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基础信息完善性（</w:t>
            </w:r>
            <w:r>
              <w:rPr>
                <w:szCs w:val="21"/>
              </w:rPr>
              <w:t>1</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部门（单位）基础信息是否完善，用以反映和考核基础信息对预算管理工作的支撑情况。</w:t>
            </w:r>
          </w:p>
        </w:tc>
        <w:tc>
          <w:tcPr>
            <w:tcW w:w="1566"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①基础数据信息和会计信息资料是否真实；（</w:t>
            </w:r>
            <w:r>
              <w:rPr>
                <w:szCs w:val="21"/>
              </w:rPr>
              <w:t>0.4</w:t>
            </w:r>
            <w:r>
              <w:rPr>
                <w:rFonts w:hint="eastAsia"/>
                <w:szCs w:val="21"/>
              </w:rPr>
              <w:t>分）</w:t>
            </w:r>
          </w:p>
          <w:p>
            <w:pPr>
              <w:spacing w:line="350" w:lineRule="exact"/>
              <w:rPr>
                <w:szCs w:val="21"/>
              </w:rPr>
            </w:pPr>
            <w:r>
              <w:rPr>
                <w:rFonts w:hint="eastAsia"/>
                <w:szCs w:val="21"/>
              </w:rPr>
              <w:t>②基础数据信息和会计信息资料是否完整；（</w:t>
            </w:r>
            <w:r>
              <w:rPr>
                <w:szCs w:val="21"/>
              </w:rPr>
              <w:t>0.3</w:t>
            </w:r>
            <w:r>
              <w:rPr>
                <w:rFonts w:hint="eastAsia"/>
                <w:szCs w:val="21"/>
              </w:rPr>
              <w:t>分）</w:t>
            </w:r>
          </w:p>
          <w:p>
            <w:pPr>
              <w:spacing w:line="350" w:lineRule="exact"/>
              <w:rPr>
                <w:szCs w:val="21"/>
              </w:rPr>
            </w:pPr>
            <w:r>
              <w:rPr>
                <w:rFonts w:hint="eastAsia"/>
                <w:szCs w:val="21"/>
              </w:rPr>
              <w:t>③基础数据信息和会计信息资料是否准确。（</w:t>
            </w:r>
            <w:r>
              <w:rPr>
                <w:szCs w:val="21"/>
              </w:rPr>
              <w:t>0.3</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788" w:type="pct"/>
            <w:tcBorders>
              <w:top w:val="nil"/>
              <w:left w:val="nil"/>
              <w:bottom w:val="single" w:color="auto" w:sz="4" w:space="0"/>
              <w:right w:val="single" w:color="auto" w:sz="12" w:space="0"/>
            </w:tcBorders>
            <w:noWrap/>
            <w:vAlign w:val="center"/>
          </w:tcPr>
          <w:p>
            <w:pPr>
              <w:spacing w:line="350" w:lineRule="exact"/>
              <w:jc w:val="center"/>
              <w:rPr>
                <w:rFonts w:hint="default" w:eastAsia="宋体"/>
                <w:szCs w:val="21"/>
                <w:lang w:val="en-US" w:eastAsia="zh-CN"/>
              </w:rPr>
            </w:pPr>
            <w:r>
              <w:rPr>
                <w:rFonts w:hint="eastAsia"/>
                <w:szCs w:val="21"/>
                <w:lang w:val="en-US" w:eastAsia="zh-CN"/>
              </w:rPr>
              <w:t>完善了单位基础信息</w:t>
            </w:r>
          </w:p>
        </w:tc>
      </w:tr>
      <w:tr>
        <w:tblPrEx>
          <w:tblCellMar>
            <w:top w:w="0" w:type="dxa"/>
            <w:left w:w="28" w:type="dxa"/>
            <w:bottom w:w="0" w:type="dxa"/>
            <w:right w:w="28" w:type="dxa"/>
          </w:tblCellMar>
        </w:tblPrEx>
        <w:trPr>
          <w:trHeight w:val="1012" w:hRule="atLeast"/>
          <w:jc w:val="center"/>
        </w:trPr>
        <w:tc>
          <w:tcPr>
            <w:tcW w:w="776" w:type="pct"/>
            <w:vMerge w:val="continue"/>
            <w:tcBorders>
              <w:left w:val="single" w:color="auto" w:sz="12" w:space="0"/>
              <w:right w:val="single" w:color="auto" w:sz="4" w:space="0"/>
            </w:tcBorders>
            <w:noWrap w:val="0"/>
            <w:vAlign w:val="center"/>
          </w:tcPr>
          <w:p>
            <w:pPr>
              <w:spacing w:line="350" w:lineRule="exact"/>
              <w:jc w:val="center"/>
              <w:rPr>
                <w:szCs w:val="21"/>
              </w:rPr>
            </w:pPr>
          </w:p>
        </w:tc>
        <w:tc>
          <w:tcPr>
            <w:tcW w:w="250" w:type="pct"/>
            <w:vMerge w:val="restart"/>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r>
              <w:rPr>
                <w:rFonts w:hint="eastAsia"/>
                <w:szCs w:val="21"/>
              </w:rPr>
              <w:t>资产管理（</w:t>
            </w:r>
            <w:r>
              <w:rPr>
                <w:szCs w:val="21"/>
              </w:rPr>
              <w:t>5</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管理制度健全性（</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部门（单位）为加强资产管理、规范资产管理行为而制定的管理制度是否健全完整，用以反映和考核部门（单位）资产管理制度对完成主要职责或促进社会发展的保障情况。</w:t>
            </w:r>
          </w:p>
        </w:tc>
        <w:tc>
          <w:tcPr>
            <w:tcW w:w="1566"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①是否已制定或具有资产管理制度；（</w:t>
            </w:r>
            <w:r>
              <w:rPr>
                <w:szCs w:val="21"/>
              </w:rPr>
              <w:t>1</w:t>
            </w:r>
            <w:r>
              <w:rPr>
                <w:rFonts w:hint="eastAsia"/>
                <w:szCs w:val="21"/>
              </w:rPr>
              <w:t>分）</w:t>
            </w:r>
          </w:p>
          <w:p>
            <w:pPr>
              <w:spacing w:line="350" w:lineRule="exact"/>
              <w:rPr>
                <w:szCs w:val="21"/>
              </w:rPr>
            </w:pPr>
            <w:r>
              <w:rPr>
                <w:rFonts w:hint="eastAsia"/>
                <w:szCs w:val="21"/>
              </w:rPr>
              <w:t>②相关资金管理制度是否合法、合规、完整；（</w:t>
            </w:r>
            <w:r>
              <w:rPr>
                <w:szCs w:val="21"/>
              </w:rPr>
              <w:t>0.5</w:t>
            </w:r>
            <w:r>
              <w:rPr>
                <w:rFonts w:hint="eastAsia"/>
                <w:szCs w:val="21"/>
              </w:rPr>
              <w:t>分）</w:t>
            </w:r>
          </w:p>
          <w:p>
            <w:pPr>
              <w:spacing w:line="350" w:lineRule="exact"/>
              <w:rPr>
                <w:szCs w:val="21"/>
              </w:rPr>
            </w:pPr>
            <w:r>
              <w:rPr>
                <w:rFonts w:hint="eastAsia"/>
                <w:szCs w:val="21"/>
              </w:rPr>
              <w:t>③相关资产管理制度是否得到有效执行。（</w:t>
            </w:r>
            <w:r>
              <w:rPr>
                <w:szCs w:val="21"/>
              </w:rPr>
              <w:t>0.5</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350" w:lineRule="exact"/>
              <w:jc w:val="center"/>
              <w:rPr>
                <w:szCs w:val="21"/>
              </w:rPr>
            </w:pPr>
            <w:r>
              <w:rPr>
                <w:rFonts w:hint="eastAsia" w:eastAsia="宋体"/>
                <w:kern w:val="0"/>
                <w:sz w:val="21"/>
                <w:szCs w:val="21"/>
              </w:rPr>
              <w:t>管理制度健全</w:t>
            </w:r>
          </w:p>
        </w:tc>
      </w:tr>
      <w:tr>
        <w:tblPrEx>
          <w:tblCellMar>
            <w:top w:w="0" w:type="dxa"/>
            <w:left w:w="28" w:type="dxa"/>
            <w:bottom w:w="0" w:type="dxa"/>
            <w:right w:w="28" w:type="dxa"/>
          </w:tblCellMar>
        </w:tblPrEx>
        <w:trPr>
          <w:trHeight w:val="660" w:hRule="atLeast"/>
          <w:jc w:val="center"/>
        </w:trPr>
        <w:tc>
          <w:tcPr>
            <w:tcW w:w="776" w:type="pct"/>
            <w:vMerge w:val="continue"/>
            <w:tcBorders>
              <w:left w:val="single" w:color="auto" w:sz="12" w:space="0"/>
              <w:right w:val="single" w:color="auto" w:sz="4" w:space="0"/>
            </w:tcBorders>
            <w:noWrap w:val="0"/>
            <w:vAlign w:val="center"/>
          </w:tcPr>
          <w:p>
            <w:pPr>
              <w:spacing w:line="35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资产管理安全性（</w:t>
            </w:r>
            <w:r>
              <w:rPr>
                <w:szCs w:val="21"/>
              </w:rPr>
              <w:t>2</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部门（单位）的资产是否保存完整、使用合规、配置合理、处置规范、收入及时足额上缴，用以反映和考核部门（单位）资产安全运行情况。</w:t>
            </w:r>
          </w:p>
        </w:tc>
        <w:tc>
          <w:tcPr>
            <w:tcW w:w="1566"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①资产保存是否完整；（</w:t>
            </w:r>
            <w:r>
              <w:rPr>
                <w:szCs w:val="21"/>
              </w:rPr>
              <w:t>0.4</w:t>
            </w:r>
            <w:r>
              <w:rPr>
                <w:rFonts w:hint="eastAsia"/>
                <w:szCs w:val="21"/>
              </w:rPr>
              <w:t>分）</w:t>
            </w:r>
          </w:p>
          <w:p>
            <w:pPr>
              <w:spacing w:line="350" w:lineRule="exact"/>
              <w:rPr>
                <w:szCs w:val="21"/>
              </w:rPr>
            </w:pPr>
            <w:r>
              <w:rPr>
                <w:rFonts w:hint="eastAsia"/>
                <w:szCs w:val="21"/>
              </w:rPr>
              <w:t>②资产配置是否合理；（</w:t>
            </w:r>
            <w:r>
              <w:rPr>
                <w:szCs w:val="21"/>
              </w:rPr>
              <w:t>0.4</w:t>
            </w:r>
            <w:r>
              <w:rPr>
                <w:rFonts w:hint="eastAsia"/>
                <w:szCs w:val="21"/>
              </w:rPr>
              <w:t>分）</w:t>
            </w:r>
          </w:p>
          <w:p>
            <w:pPr>
              <w:spacing w:line="350" w:lineRule="exact"/>
              <w:rPr>
                <w:szCs w:val="21"/>
              </w:rPr>
            </w:pPr>
            <w:r>
              <w:rPr>
                <w:rFonts w:hint="eastAsia"/>
                <w:szCs w:val="21"/>
              </w:rPr>
              <w:t>③资产处置是否规范；（</w:t>
            </w:r>
            <w:r>
              <w:rPr>
                <w:szCs w:val="21"/>
              </w:rPr>
              <w:t>0.4</w:t>
            </w:r>
            <w:r>
              <w:rPr>
                <w:rFonts w:hint="eastAsia"/>
                <w:szCs w:val="21"/>
              </w:rPr>
              <w:t>分）</w:t>
            </w:r>
          </w:p>
          <w:p>
            <w:pPr>
              <w:spacing w:line="350" w:lineRule="exact"/>
              <w:rPr>
                <w:szCs w:val="21"/>
              </w:rPr>
            </w:pPr>
            <w:r>
              <w:rPr>
                <w:rFonts w:hint="eastAsia"/>
                <w:szCs w:val="21"/>
              </w:rPr>
              <w:t>④资产账务管理是否合规，是否帐实相符；（</w:t>
            </w:r>
            <w:r>
              <w:rPr>
                <w:szCs w:val="21"/>
              </w:rPr>
              <w:t>0.4</w:t>
            </w:r>
            <w:r>
              <w:rPr>
                <w:rFonts w:hint="eastAsia"/>
                <w:szCs w:val="21"/>
              </w:rPr>
              <w:t>分）</w:t>
            </w:r>
          </w:p>
          <w:p>
            <w:pPr>
              <w:spacing w:line="350" w:lineRule="exact"/>
              <w:rPr>
                <w:szCs w:val="21"/>
              </w:rPr>
            </w:pPr>
            <w:r>
              <w:rPr>
                <w:rFonts w:hint="eastAsia"/>
                <w:szCs w:val="21"/>
              </w:rPr>
              <w:t>⑤资产是否有偿使用及处置收入及时足额上缴。（</w:t>
            </w:r>
            <w:r>
              <w:rPr>
                <w:szCs w:val="21"/>
              </w:rPr>
              <w:t>0.4</w:t>
            </w:r>
            <w:r>
              <w:rPr>
                <w:rFonts w:hint="eastAsia"/>
                <w:szCs w:val="21"/>
              </w:rPr>
              <w:t>分）</w:t>
            </w:r>
          </w:p>
        </w:tc>
        <w:tc>
          <w:tcPr>
            <w:tcW w:w="292"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2</w:t>
            </w:r>
          </w:p>
        </w:tc>
        <w:tc>
          <w:tcPr>
            <w:tcW w:w="788" w:type="pct"/>
            <w:tcBorders>
              <w:top w:val="nil"/>
              <w:left w:val="nil"/>
              <w:bottom w:val="single" w:color="auto" w:sz="4" w:space="0"/>
              <w:right w:val="single" w:color="auto" w:sz="12" w:space="0"/>
            </w:tcBorders>
            <w:noWrap/>
            <w:vAlign w:val="center"/>
          </w:tcPr>
          <w:p>
            <w:pPr>
              <w:spacing w:line="350" w:lineRule="exact"/>
              <w:jc w:val="center"/>
              <w:rPr>
                <w:szCs w:val="21"/>
              </w:rPr>
            </w:pPr>
            <w:r>
              <w:rPr>
                <w:rFonts w:hint="eastAsia" w:eastAsia="宋体"/>
                <w:kern w:val="0"/>
                <w:sz w:val="21"/>
                <w:szCs w:val="21"/>
              </w:rPr>
              <w:t>资产管理安全</w:t>
            </w:r>
          </w:p>
        </w:tc>
      </w:tr>
      <w:tr>
        <w:tblPrEx>
          <w:tblCellMar>
            <w:top w:w="0" w:type="dxa"/>
            <w:left w:w="28" w:type="dxa"/>
            <w:bottom w:w="0" w:type="dxa"/>
            <w:right w:w="28" w:type="dxa"/>
          </w:tblCellMar>
        </w:tblPrEx>
        <w:trPr>
          <w:trHeight w:val="1326" w:hRule="atLeast"/>
          <w:jc w:val="center"/>
        </w:trPr>
        <w:tc>
          <w:tcPr>
            <w:tcW w:w="776" w:type="pct"/>
            <w:vMerge w:val="continue"/>
            <w:tcBorders>
              <w:left w:val="single" w:color="auto" w:sz="12" w:space="0"/>
              <w:bottom w:val="single" w:color="000000" w:sz="4" w:space="0"/>
              <w:right w:val="single" w:color="auto" w:sz="4" w:space="0"/>
            </w:tcBorders>
            <w:noWrap w:val="0"/>
            <w:vAlign w:val="center"/>
          </w:tcPr>
          <w:p>
            <w:pPr>
              <w:spacing w:line="35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35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350" w:lineRule="exact"/>
              <w:jc w:val="center"/>
              <w:rPr>
                <w:szCs w:val="21"/>
              </w:rPr>
            </w:pPr>
            <w:r>
              <w:rPr>
                <w:rFonts w:hint="eastAsia"/>
                <w:szCs w:val="21"/>
              </w:rPr>
              <w:t>固定资产利用率（</w:t>
            </w:r>
            <w:r>
              <w:rPr>
                <w:szCs w:val="21"/>
              </w:rPr>
              <w:t>1</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部门（单位）实际在用固定资产总额与所有固定资产总额的比率，用以反映和考核部门（单位）固定资产使用效率程度。</w:t>
            </w:r>
          </w:p>
        </w:tc>
        <w:tc>
          <w:tcPr>
            <w:tcW w:w="1566" w:type="pct"/>
            <w:tcBorders>
              <w:top w:val="nil"/>
              <w:left w:val="nil"/>
              <w:bottom w:val="single" w:color="auto" w:sz="4" w:space="0"/>
              <w:right w:val="single" w:color="auto" w:sz="4" w:space="0"/>
            </w:tcBorders>
            <w:noWrap w:val="0"/>
            <w:vAlign w:val="center"/>
          </w:tcPr>
          <w:p>
            <w:pPr>
              <w:spacing w:line="350" w:lineRule="exact"/>
              <w:rPr>
                <w:szCs w:val="21"/>
              </w:rPr>
            </w:pPr>
            <w:r>
              <w:rPr>
                <w:rFonts w:hint="eastAsia"/>
                <w:szCs w:val="21"/>
              </w:rPr>
              <w:t>固定资产利用率</w:t>
            </w:r>
            <w:r>
              <w:rPr>
                <w:szCs w:val="21"/>
              </w:rPr>
              <w:t>=</w:t>
            </w:r>
            <w:r>
              <w:rPr>
                <w:rFonts w:hint="eastAsia"/>
                <w:szCs w:val="21"/>
              </w:rPr>
              <w:t>（实际在用固定资产总额</w:t>
            </w:r>
            <w:r>
              <w:rPr>
                <w:szCs w:val="21"/>
              </w:rPr>
              <w:t>/</w:t>
            </w:r>
            <w:r>
              <w:rPr>
                <w:rFonts w:hint="eastAsia"/>
                <w:szCs w:val="21"/>
              </w:rPr>
              <w:t>所有固定资产总额）×</w:t>
            </w:r>
            <w:r>
              <w:rPr>
                <w:szCs w:val="21"/>
              </w:rPr>
              <w:t>100%</w:t>
            </w:r>
            <w:r>
              <w:rPr>
                <w:rFonts w:hint="eastAsia"/>
                <w:szCs w:val="21"/>
              </w:rPr>
              <w:t>。（利用率为</w:t>
            </w:r>
            <w:r>
              <w:rPr>
                <w:szCs w:val="21"/>
              </w:rPr>
              <w:t>100%</w:t>
            </w:r>
            <w:r>
              <w:rPr>
                <w:rFonts w:hint="eastAsia"/>
                <w:szCs w:val="21"/>
              </w:rPr>
              <w:t>的计</w:t>
            </w:r>
            <w:r>
              <w:rPr>
                <w:szCs w:val="21"/>
              </w:rPr>
              <w:t>1</w:t>
            </w:r>
            <w:r>
              <w:rPr>
                <w:rFonts w:hint="eastAsia"/>
                <w:szCs w:val="21"/>
              </w:rPr>
              <w:t>分，每降</w:t>
            </w:r>
            <w:r>
              <w:rPr>
                <w:szCs w:val="21"/>
              </w:rPr>
              <w:t>1</w:t>
            </w:r>
            <w:r>
              <w:rPr>
                <w:rFonts w:hint="eastAsia"/>
                <w:szCs w:val="21"/>
              </w:rPr>
              <w:t>个百分点扣</w:t>
            </w:r>
            <w:r>
              <w:rPr>
                <w:szCs w:val="21"/>
              </w:rPr>
              <w:t>0.1</w:t>
            </w:r>
            <w:r>
              <w:rPr>
                <w:rFonts w:hint="eastAsia"/>
                <w:szCs w:val="21"/>
              </w:rPr>
              <w:t>分，扣完为止）</w:t>
            </w:r>
          </w:p>
        </w:tc>
        <w:tc>
          <w:tcPr>
            <w:tcW w:w="292" w:type="pct"/>
            <w:tcBorders>
              <w:top w:val="nil"/>
              <w:left w:val="nil"/>
              <w:bottom w:val="single" w:color="auto" w:sz="4" w:space="0"/>
              <w:right w:val="single" w:color="auto" w:sz="4" w:space="0"/>
            </w:tcBorders>
            <w:noWrap/>
            <w:vAlign w:val="center"/>
          </w:tcPr>
          <w:p>
            <w:pPr>
              <w:spacing w:line="350" w:lineRule="exact"/>
              <w:jc w:val="center"/>
              <w:rPr>
                <w:rFonts w:hint="eastAsia" w:eastAsia="宋体"/>
                <w:szCs w:val="21"/>
                <w:lang w:val="en-US" w:eastAsia="zh-CN"/>
              </w:rPr>
            </w:pPr>
            <w:r>
              <w:rPr>
                <w:rFonts w:hint="eastAsia"/>
                <w:szCs w:val="21"/>
                <w:lang w:val="en-US" w:eastAsia="zh-CN"/>
              </w:rPr>
              <w:t>1</w:t>
            </w:r>
          </w:p>
        </w:tc>
        <w:tc>
          <w:tcPr>
            <w:tcW w:w="788" w:type="pct"/>
            <w:tcBorders>
              <w:top w:val="nil"/>
              <w:left w:val="nil"/>
              <w:bottom w:val="single" w:color="auto" w:sz="4" w:space="0"/>
              <w:right w:val="single" w:color="auto" w:sz="12" w:space="0"/>
            </w:tcBorders>
            <w:noWrap/>
            <w:vAlign w:val="center"/>
          </w:tcPr>
          <w:p>
            <w:pPr>
              <w:spacing w:line="350" w:lineRule="exact"/>
              <w:jc w:val="center"/>
              <w:rPr>
                <w:szCs w:val="21"/>
              </w:rPr>
            </w:pPr>
            <w:r>
              <w:rPr>
                <w:rFonts w:hint="eastAsia" w:eastAsia="宋体"/>
                <w:kern w:val="0"/>
                <w:sz w:val="21"/>
                <w:szCs w:val="21"/>
              </w:rPr>
              <w:t>100%</w:t>
            </w:r>
          </w:p>
        </w:tc>
      </w:tr>
      <w:tr>
        <w:tblPrEx>
          <w:tblCellMar>
            <w:top w:w="0" w:type="dxa"/>
            <w:left w:w="28" w:type="dxa"/>
            <w:bottom w:w="0" w:type="dxa"/>
            <w:right w:w="28" w:type="dxa"/>
          </w:tblCellMar>
        </w:tblPrEx>
        <w:trPr>
          <w:trHeight w:val="621" w:hRule="atLeast"/>
          <w:jc w:val="center"/>
        </w:trPr>
        <w:tc>
          <w:tcPr>
            <w:tcW w:w="776" w:type="pct"/>
            <w:vMerge w:val="restart"/>
            <w:tcBorders>
              <w:top w:val="nil"/>
              <w:left w:val="single" w:color="auto" w:sz="12" w:space="0"/>
              <w:bottom w:val="single" w:color="auto" w:sz="4" w:space="0"/>
              <w:right w:val="single" w:color="auto" w:sz="4" w:space="0"/>
            </w:tcBorders>
            <w:noWrap/>
            <w:vAlign w:val="center"/>
          </w:tcPr>
          <w:p>
            <w:pPr>
              <w:spacing w:line="240" w:lineRule="exact"/>
              <w:jc w:val="center"/>
              <w:rPr>
                <w:szCs w:val="21"/>
              </w:rPr>
            </w:pPr>
            <w:r>
              <w:rPr>
                <w:rFonts w:hint="eastAsia"/>
                <w:szCs w:val="21"/>
              </w:rPr>
              <w:t>产</w:t>
            </w:r>
            <w:r>
              <w:rPr>
                <w:szCs w:val="21"/>
              </w:rPr>
              <w:t xml:space="preserve"> </w:t>
            </w:r>
            <w:r>
              <w:rPr>
                <w:rFonts w:hint="eastAsia"/>
                <w:szCs w:val="21"/>
              </w:rPr>
              <w:t>出（</w:t>
            </w:r>
            <w:r>
              <w:rPr>
                <w:szCs w:val="21"/>
              </w:rPr>
              <w:t>30</w:t>
            </w:r>
            <w:r>
              <w:rPr>
                <w:rFonts w:hint="eastAsia"/>
                <w:szCs w:val="21"/>
              </w:rPr>
              <w:t>分）</w:t>
            </w:r>
          </w:p>
        </w:tc>
        <w:tc>
          <w:tcPr>
            <w:tcW w:w="250" w:type="pct"/>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职责履行（</w:t>
            </w:r>
            <w:r>
              <w:rPr>
                <w:szCs w:val="21"/>
              </w:rPr>
              <w:t>30</w:t>
            </w:r>
            <w:r>
              <w:rPr>
                <w:rFonts w:hint="eastAsia"/>
                <w:szCs w:val="21"/>
              </w:rPr>
              <w:t>分）</w:t>
            </w: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实际完成率（</w:t>
            </w:r>
            <w:r>
              <w:rPr>
                <w:szCs w:val="21"/>
              </w:rPr>
              <w:t>8</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部门（单位）履行职责而实际完成工作数与计划工作数的比率，用以反映和考核部门（单位）履职工作任务目标的实现程度。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实际完成率</w:t>
            </w:r>
            <w:r>
              <w:rPr>
                <w:szCs w:val="21"/>
              </w:rPr>
              <w:t>=</w:t>
            </w:r>
            <w:r>
              <w:rPr>
                <w:rFonts w:hint="eastAsia"/>
                <w:szCs w:val="21"/>
              </w:rPr>
              <w:t>（实际完成工作数</w:t>
            </w:r>
            <w:r>
              <w:rPr>
                <w:szCs w:val="21"/>
              </w:rPr>
              <w:t>/</w:t>
            </w:r>
            <w:r>
              <w:rPr>
                <w:rFonts w:hint="eastAsia"/>
                <w:szCs w:val="21"/>
              </w:rPr>
              <w:t>计划工作数）×</w:t>
            </w:r>
            <w:r>
              <w:rPr>
                <w:szCs w:val="21"/>
              </w:rPr>
              <w:t>100%</w:t>
            </w:r>
            <w:r>
              <w:rPr>
                <w:rFonts w:hint="eastAsia"/>
                <w:szCs w:val="21"/>
              </w:rPr>
              <w:t>。（实际得分</w:t>
            </w:r>
            <w:r>
              <w:rPr>
                <w:szCs w:val="21"/>
              </w:rPr>
              <w:t>=</w:t>
            </w:r>
            <w:r>
              <w:rPr>
                <w:rFonts w:hint="eastAsia"/>
                <w:szCs w:val="21"/>
              </w:rPr>
              <w:t>实际工作完成率</w:t>
            </w:r>
            <w:r>
              <w:rPr>
                <w:szCs w:val="21"/>
              </w:rPr>
              <w:t>*8</w:t>
            </w:r>
            <w:r>
              <w:rPr>
                <w:rFonts w:hint="eastAsia"/>
                <w:szCs w:val="21"/>
              </w:rPr>
              <w:t>分）</w:t>
            </w:r>
          </w:p>
          <w:p>
            <w:pPr>
              <w:spacing w:line="240" w:lineRule="exact"/>
              <w:rPr>
                <w:szCs w:val="21"/>
              </w:rPr>
            </w:pPr>
            <w:r>
              <w:rPr>
                <w:rFonts w:hint="eastAsia"/>
                <w:szCs w:val="21"/>
              </w:rPr>
              <w:t>实际完成工作数：一定时期（年度或规划期）内部门（单位）实际完成工作任务的数量。</w:t>
            </w:r>
          </w:p>
          <w:p>
            <w:pPr>
              <w:spacing w:line="240" w:lineRule="exact"/>
              <w:rPr>
                <w:szCs w:val="21"/>
              </w:rPr>
            </w:pPr>
            <w:r>
              <w:rPr>
                <w:rFonts w:hint="eastAsia"/>
                <w:szCs w:val="21"/>
              </w:rPr>
              <w:t>计划工作数：部门（单位）整体绩效目标确定的一定时期（年度或规划期）内预计完成工作任务的数量。</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8</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按计划完成各项工作</w:t>
            </w:r>
          </w:p>
        </w:tc>
      </w:tr>
      <w:tr>
        <w:tblPrEx>
          <w:tblCellMar>
            <w:top w:w="0" w:type="dxa"/>
            <w:left w:w="28" w:type="dxa"/>
            <w:bottom w:w="0" w:type="dxa"/>
            <w:right w:w="28" w:type="dxa"/>
          </w:tblCellMar>
        </w:tblPrEx>
        <w:trPr>
          <w:trHeight w:val="1359" w:hRule="atLeast"/>
          <w:jc w:val="center"/>
        </w:trPr>
        <w:tc>
          <w:tcPr>
            <w:tcW w:w="776"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完成及时率（</w:t>
            </w:r>
            <w:r>
              <w:rPr>
                <w:szCs w:val="21"/>
              </w:rPr>
              <w:t>4</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部门（单位）在规定时限内及时完成的实际工作数与计划工作数的比率</w:t>
            </w:r>
            <w:r>
              <w:rPr>
                <w:szCs w:val="21"/>
              </w:rPr>
              <w:t>,</w:t>
            </w:r>
            <w:r>
              <w:rPr>
                <w:rFonts w:hint="eastAsia"/>
                <w:szCs w:val="21"/>
              </w:rPr>
              <w:t>用以反映和考核部门履职时效目标的实现程度。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完成及时率</w:t>
            </w:r>
            <w:r>
              <w:rPr>
                <w:szCs w:val="21"/>
              </w:rPr>
              <w:t>=</w:t>
            </w:r>
            <w:r>
              <w:rPr>
                <w:rFonts w:hint="eastAsia"/>
                <w:szCs w:val="21"/>
              </w:rPr>
              <w:t>（及时完成实际工作数</w:t>
            </w:r>
            <w:r>
              <w:rPr>
                <w:szCs w:val="21"/>
              </w:rPr>
              <w:t>/</w:t>
            </w:r>
            <w:r>
              <w:rPr>
                <w:rFonts w:hint="eastAsia"/>
                <w:szCs w:val="21"/>
              </w:rPr>
              <w:t>计划工作数）×</w:t>
            </w:r>
            <w:r>
              <w:rPr>
                <w:szCs w:val="21"/>
              </w:rPr>
              <w:t>100%</w:t>
            </w:r>
            <w:r>
              <w:rPr>
                <w:rFonts w:hint="eastAsia"/>
                <w:szCs w:val="21"/>
              </w:rPr>
              <w:t>。（</w:t>
            </w:r>
            <w:r>
              <w:rPr>
                <w:szCs w:val="21"/>
              </w:rPr>
              <w:t>1--4</w:t>
            </w:r>
            <w:r>
              <w:rPr>
                <w:rFonts w:hint="eastAsia"/>
                <w:szCs w:val="21"/>
              </w:rPr>
              <w:t>季度各得</w:t>
            </w:r>
            <w:r>
              <w:rPr>
                <w:szCs w:val="21"/>
              </w:rPr>
              <w:t>1</w:t>
            </w:r>
            <w:r>
              <w:rPr>
                <w:rFonts w:hint="eastAsia"/>
                <w:szCs w:val="21"/>
              </w:rPr>
              <w:t>分）</w:t>
            </w:r>
          </w:p>
          <w:p>
            <w:pPr>
              <w:spacing w:line="240" w:lineRule="exact"/>
              <w:rPr>
                <w:szCs w:val="21"/>
              </w:rPr>
            </w:pPr>
            <w:r>
              <w:rPr>
                <w:rFonts w:hint="eastAsia"/>
                <w:szCs w:val="21"/>
              </w:rPr>
              <w:t>及时完成实际工作数：部门（单位）按照整体绩效目标确定的时限实际完成的工作任务数量。</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4</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及时完成各项工作</w:t>
            </w:r>
          </w:p>
        </w:tc>
      </w:tr>
      <w:tr>
        <w:tblPrEx>
          <w:tblCellMar>
            <w:top w:w="0" w:type="dxa"/>
            <w:left w:w="28" w:type="dxa"/>
            <w:bottom w:w="0" w:type="dxa"/>
            <w:right w:w="28" w:type="dxa"/>
          </w:tblCellMar>
        </w:tblPrEx>
        <w:trPr>
          <w:trHeight w:val="1778" w:hRule="atLeast"/>
          <w:jc w:val="center"/>
        </w:trPr>
        <w:tc>
          <w:tcPr>
            <w:tcW w:w="776"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质量达标率（</w:t>
            </w:r>
            <w:r>
              <w:rPr>
                <w:szCs w:val="21"/>
              </w:rPr>
              <w:t>8</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达到质量标准（绩效标准值）的实际工作数与计划工作数的比率</w:t>
            </w:r>
            <w:r>
              <w:rPr>
                <w:szCs w:val="21"/>
              </w:rPr>
              <w:t>,</w:t>
            </w:r>
            <w:r>
              <w:rPr>
                <w:rFonts w:hint="eastAsia"/>
                <w:szCs w:val="21"/>
              </w:rPr>
              <w:t>用以反映和考核部门履职质量目标的实现程度。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质量达标率</w:t>
            </w:r>
            <w:r>
              <w:rPr>
                <w:szCs w:val="21"/>
              </w:rPr>
              <w:t>=</w:t>
            </w:r>
            <w:r>
              <w:rPr>
                <w:rFonts w:hint="eastAsia"/>
                <w:szCs w:val="21"/>
              </w:rPr>
              <w:t>（质量达标实际工作数</w:t>
            </w:r>
            <w:r>
              <w:rPr>
                <w:szCs w:val="21"/>
              </w:rPr>
              <w:t>/</w:t>
            </w:r>
            <w:r>
              <w:rPr>
                <w:rFonts w:hint="eastAsia"/>
                <w:szCs w:val="21"/>
              </w:rPr>
              <w:t>计划工作数）×</w:t>
            </w:r>
            <w:r>
              <w:rPr>
                <w:szCs w:val="21"/>
              </w:rPr>
              <w:t>100%</w:t>
            </w:r>
            <w:r>
              <w:rPr>
                <w:rFonts w:hint="eastAsia"/>
                <w:szCs w:val="21"/>
              </w:rPr>
              <w:t>。（实际得分</w:t>
            </w:r>
            <w:r>
              <w:rPr>
                <w:szCs w:val="21"/>
              </w:rPr>
              <w:t>=</w:t>
            </w:r>
            <w:r>
              <w:rPr>
                <w:rFonts w:hint="eastAsia"/>
                <w:szCs w:val="21"/>
              </w:rPr>
              <w:t>达标率</w:t>
            </w:r>
            <w:r>
              <w:rPr>
                <w:szCs w:val="21"/>
              </w:rPr>
              <w:t>*8</w:t>
            </w:r>
            <w:r>
              <w:rPr>
                <w:rFonts w:hint="eastAsia"/>
                <w:szCs w:val="21"/>
              </w:rPr>
              <w:t>分）</w:t>
            </w:r>
          </w:p>
          <w:p>
            <w:pPr>
              <w:spacing w:line="240" w:lineRule="exact"/>
              <w:rPr>
                <w:szCs w:val="21"/>
              </w:rPr>
            </w:pPr>
            <w:r>
              <w:rPr>
                <w:rFonts w:hint="eastAsia"/>
                <w:szCs w:val="21"/>
              </w:rPr>
              <w:t>质量达标实际工作数：一定时期（年度或规划期）内部门（单位）实际完成工作数中达到部门绩效目标要求（绩效标准值）的工作任务数量。</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8</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保质完成各项工作</w:t>
            </w:r>
          </w:p>
        </w:tc>
      </w:tr>
      <w:tr>
        <w:tblPrEx>
          <w:tblCellMar>
            <w:top w:w="0" w:type="dxa"/>
            <w:left w:w="28" w:type="dxa"/>
            <w:bottom w:w="0" w:type="dxa"/>
            <w:right w:w="28" w:type="dxa"/>
          </w:tblCellMar>
        </w:tblPrEx>
        <w:trPr>
          <w:trHeight w:val="1464" w:hRule="atLeast"/>
          <w:jc w:val="center"/>
        </w:trPr>
        <w:tc>
          <w:tcPr>
            <w:tcW w:w="776" w:type="pct"/>
            <w:vMerge w:val="continue"/>
            <w:tcBorders>
              <w:top w:val="nil"/>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nil"/>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重点工作办结率（</w:t>
            </w:r>
            <w:r>
              <w:rPr>
                <w:szCs w:val="21"/>
              </w:rPr>
              <w:t>10</w:t>
            </w:r>
            <w:r>
              <w:rPr>
                <w:rFonts w:hint="eastAsia"/>
                <w:szCs w:val="21"/>
              </w:rPr>
              <w:t>分）</w:t>
            </w:r>
          </w:p>
        </w:tc>
        <w:tc>
          <w:tcPr>
            <w:tcW w:w="1073"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部门（单位）年度重点工作实际完成数与交办或下达数的比率，用以反映部门（单位）对重点工作的办理落实程度。</w:t>
            </w:r>
          </w:p>
        </w:tc>
        <w:tc>
          <w:tcPr>
            <w:tcW w:w="1566" w:type="pct"/>
            <w:tcBorders>
              <w:top w:val="nil"/>
              <w:left w:val="nil"/>
              <w:bottom w:val="single" w:color="auto" w:sz="4" w:space="0"/>
              <w:right w:val="single" w:color="auto" w:sz="4" w:space="0"/>
            </w:tcBorders>
            <w:noWrap w:val="0"/>
            <w:vAlign w:val="center"/>
          </w:tcPr>
          <w:p>
            <w:pPr>
              <w:spacing w:line="240" w:lineRule="exact"/>
              <w:rPr>
                <w:szCs w:val="21"/>
              </w:rPr>
            </w:pPr>
            <w:r>
              <w:rPr>
                <w:rFonts w:hint="eastAsia"/>
                <w:szCs w:val="21"/>
              </w:rPr>
              <w:t>重点工作办结率</w:t>
            </w:r>
            <w:r>
              <w:rPr>
                <w:szCs w:val="21"/>
              </w:rPr>
              <w:t>=</w:t>
            </w:r>
            <w:r>
              <w:rPr>
                <w:rFonts w:hint="eastAsia"/>
                <w:szCs w:val="21"/>
              </w:rPr>
              <w:t>（重点工作实际完成数</w:t>
            </w:r>
            <w:r>
              <w:rPr>
                <w:szCs w:val="21"/>
              </w:rPr>
              <w:t>/</w:t>
            </w:r>
            <w:r>
              <w:rPr>
                <w:rFonts w:hint="eastAsia"/>
                <w:szCs w:val="21"/>
              </w:rPr>
              <w:t>交办或下达数）×</w:t>
            </w:r>
            <w:r>
              <w:rPr>
                <w:szCs w:val="21"/>
              </w:rPr>
              <w:t>100%</w:t>
            </w:r>
            <w:r>
              <w:rPr>
                <w:rFonts w:hint="eastAsia"/>
                <w:szCs w:val="21"/>
              </w:rPr>
              <w:t>。（实际得分</w:t>
            </w:r>
            <w:r>
              <w:rPr>
                <w:szCs w:val="21"/>
              </w:rPr>
              <w:t>=</w:t>
            </w:r>
            <w:r>
              <w:rPr>
                <w:rFonts w:hint="eastAsia"/>
                <w:szCs w:val="21"/>
              </w:rPr>
              <w:t>办结率</w:t>
            </w:r>
            <w:r>
              <w:rPr>
                <w:szCs w:val="21"/>
              </w:rPr>
              <w:t>*10</w:t>
            </w:r>
            <w:r>
              <w:rPr>
                <w:rFonts w:hint="eastAsia"/>
                <w:szCs w:val="21"/>
              </w:rPr>
              <w:t>分）</w:t>
            </w:r>
          </w:p>
          <w:p>
            <w:pPr>
              <w:spacing w:line="240" w:lineRule="exact"/>
              <w:rPr>
                <w:szCs w:val="21"/>
              </w:rPr>
            </w:pPr>
            <w:r>
              <w:rPr>
                <w:rFonts w:hint="eastAsia"/>
                <w:szCs w:val="21"/>
              </w:rPr>
              <w:t>重点工作是指党委、政府、人大、相关部门交办或下达的工作任务。</w:t>
            </w:r>
          </w:p>
        </w:tc>
        <w:tc>
          <w:tcPr>
            <w:tcW w:w="292" w:type="pct"/>
            <w:tcBorders>
              <w:top w:val="nil"/>
              <w:left w:val="nil"/>
              <w:bottom w:val="single" w:color="auto" w:sz="4" w:space="0"/>
              <w:right w:val="single" w:color="auto" w:sz="4"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10</w:t>
            </w:r>
          </w:p>
        </w:tc>
        <w:tc>
          <w:tcPr>
            <w:tcW w:w="788" w:type="pct"/>
            <w:tcBorders>
              <w:top w:val="nil"/>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及时完成各项重点工作</w:t>
            </w:r>
          </w:p>
        </w:tc>
      </w:tr>
      <w:tr>
        <w:tblPrEx>
          <w:tblCellMar>
            <w:top w:w="0" w:type="dxa"/>
            <w:left w:w="28" w:type="dxa"/>
            <w:bottom w:w="0" w:type="dxa"/>
            <w:right w:w="28" w:type="dxa"/>
          </w:tblCellMar>
        </w:tblPrEx>
        <w:trPr>
          <w:trHeight w:val="776" w:hRule="atLeast"/>
          <w:jc w:val="center"/>
        </w:trPr>
        <w:tc>
          <w:tcPr>
            <w:tcW w:w="776" w:type="pct"/>
            <w:vMerge w:val="restart"/>
            <w:tcBorders>
              <w:top w:val="single" w:color="auto" w:sz="4" w:space="0"/>
              <w:left w:val="single" w:color="auto" w:sz="12" w:space="0"/>
              <w:bottom w:val="single" w:color="auto" w:sz="4" w:space="0"/>
              <w:right w:val="single" w:color="auto" w:sz="4" w:space="0"/>
            </w:tcBorders>
            <w:noWrap/>
            <w:vAlign w:val="center"/>
          </w:tcPr>
          <w:p>
            <w:pPr>
              <w:spacing w:line="240" w:lineRule="exact"/>
              <w:jc w:val="center"/>
              <w:rPr>
                <w:szCs w:val="21"/>
              </w:rPr>
            </w:pPr>
            <w:r>
              <w:rPr>
                <w:rFonts w:hint="eastAsia"/>
                <w:szCs w:val="21"/>
              </w:rPr>
              <w:t>效</w:t>
            </w:r>
            <w:r>
              <w:rPr>
                <w:szCs w:val="21"/>
              </w:rPr>
              <w:t xml:space="preserve"> </w:t>
            </w:r>
            <w:r>
              <w:rPr>
                <w:rFonts w:hint="eastAsia"/>
                <w:szCs w:val="21"/>
              </w:rPr>
              <w:t>果（</w:t>
            </w:r>
            <w:r>
              <w:rPr>
                <w:szCs w:val="21"/>
              </w:rPr>
              <w:t>20</w:t>
            </w:r>
            <w:r>
              <w:rPr>
                <w:rFonts w:hint="eastAsia"/>
                <w:szCs w:val="21"/>
              </w:rPr>
              <w:t>分）</w:t>
            </w:r>
          </w:p>
        </w:tc>
        <w:tc>
          <w:tcPr>
            <w:tcW w:w="250"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r>
              <w:rPr>
                <w:rFonts w:hint="eastAsia"/>
                <w:szCs w:val="21"/>
              </w:rPr>
              <w:t>履职效益（</w:t>
            </w:r>
            <w:r>
              <w:rPr>
                <w:szCs w:val="21"/>
              </w:rPr>
              <w:t>20</w:t>
            </w:r>
            <w:r>
              <w:rPr>
                <w:rFonts w:hint="eastAsia"/>
                <w:szCs w:val="21"/>
              </w:rPr>
              <w:t>分）</w:t>
            </w:r>
          </w:p>
        </w:tc>
        <w:tc>
          <w:tcPr>
            <w:tcW w:w="251"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经济效益（</w:t>
            </w:r>
            <w:r>
              <w:rPr>
                <w:szCs w:val="21"/>
              </w:rPr>
              <w:t>5</w:t>
            </w:r>
            <w:r>
              <w:rPr>
                <w:rFonts w:hint="eastAsia"/>
                <w:szCs w:val="21"/>
              </w:rPr>
              <w:t>分）</w:t>
            </w:r>
          </w:p>
        </w:tc>
        <w:tc>
          <w:tcPr>
            <w:tcW w:w="1073"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部门（单位）履行职责对经济发展所带来的直接或间接影响。</w:t>
            </w:r>
          </w:p>
        </w:tc>
        <w:tc>
          <w:tcPr>
            <w:tcW w:w="156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r>
              <w:rPr>
                <w:rFonts w:hint="eastAsia"/>
                <w:szCs w:val="21"/>
              </w:rPr>
              <w:t>此三项指标为部门整体支出绩效评价指标的共性要素，各单位按照部门整体支出绩效目标实现程度为依据。（按经济效益实现程度</w:t>
            </w:r>
            <w:r>
              <w:rPr>
                <w:szCs w:val="21"/>
              </w:rPr>
              <w:t>*5</w:t>
            </w:r>
            <w:r>
              <w:rPr>
                <w:rFonts w:hint="eastAsia"/>
                <w:szCs w:val="21"/>
              </w:rPr>
              <w:t>、社会效益实现程度</w:t>
            </w:r>
            <w:r>
              <w:rPr>
                <w:szCs w:val="21"/>
              </w:rPr>
              <w:t>*5</w:t>
            </w:r>
            <w:r>
              <w:rPr>
                <w:rFonts w:hint="eastAsia"/>
                <w:szCs w:val="21"/>
              </w:rPr>
              <w:t>、生态效益实现程度</w:t>
            </w:r>
            <w:r>
              <w:rPr>
                <w:szCs w:val="21"/>
              </w:rPr>
              <w:t>*5</w:t>
            </w:r>
            <w:r>
              <w:rPr>
                <w:rFonts w:hint="eastAsia"/>
                <w:szCs w:val="21"/>
              </w:rPr>
              <w:t>计算实际得分）</w:t>
            </w:r>
          </w:p>
        </w:tc>
        <w:tc>
          <w:tcPr>
            <w:tcW w:w="292"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single" w:color="auto" w:sz="4" w:space="0"/>
              <w:left w:val="nil"/>
              <w:bottom w:val="single" w:color="auto" w:sz="4" w:space="0"/>
              <w:right w:val="single" w:color="auto" w:sz="12" w:space="0"/>
            </w:tcBorders>
            <w:noWrap/>
            <w:vAlign w:val="center"/>
          </w:tcPr>
          <w:p>
            <w:pPr>
              <w:widowControl/>
              <w:spacing w:line="320" w:lineRule="exact"/>
              <w:jc w:val="left"/>
              <w:rPr>
                <w:rFonts w:ascii="Times New Roman" w:hAnsi="Times New Roman" w:eastAsia="宋体" w:cs="Times New Roman"/>
                <w:kern w:val="0"/>
                <w:sz w:val="21"/>
                <w:szCs w:val="21"/>
                <w:lang w:val="en-US" w:eastAsia="zh-CN" w:bidi="ar-SA"/>
              </w:rPr>
            </w:pPr>
            <w:r>
              <w:rPr>
                <w:rFonts w:eastAsia="宋体"/>
                <w:kern w:val="0"/>
                <w:sz w:val="21"/>
                <w:szCs w:val="21"/>
              </w:rPr>
              <w:t>提高园区农民人均收入。</w:t>
            </w:r>
          </w:p>
        </w:tc>
      </w:tr>
      <w:tr>
        <w:tblPrEx>
          <w:tblCellMar>
            <w:top w:w="0" w:type="dxa"/>
            <w:left w:w="28" w:type="dxa"/>
            <w:bottom w:w="0" w:type="dxa"/>
            <w:right w:w="28" w:type="dxa"/>
          </w:tblCellMar>
        </w:tblPrEx>
        <w:trPr>
          <w:trHeight w:val="876" w:hRule="atLeast"/>
          <w:jc w:val="center"/>
        </w:trPr>
        <w:tc>
          <w:tcPr>
            <w:tcW w:w="776"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社会效益（</w:t>
            </w:r>
            <w:r>
              <w:rPr>
                <w:szCs w:val="21"/>
              </w:rPr>
              <w:t>5</w:t>
            </w:r>
            <w:r>
              <w:rPr>
                <w:rFonts w:hint="eastAsia"/>
                <w:szCs w:val="21"/>
              </w:rPr>
              <w:t>分）</w:t>
            </w:r>
          </w:p>
        </w:tc>
        <w:tc>
          <w:tcPr>
            <w:tcW w:w="1073"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部门（单位）履行职责对社会发展所带来的直接或间接影响。</w:t>
            </w:r>
          </w:p>
        </w:tc>
        <w:tc>
          <w:tcPr>
            <w:tcW w:w="15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292"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single" w:color="auto" w:sz="4" w:space="0"/>
              <w:left w:val="nil"/>
              <w:bottom w:val="single" w:color="auto" w:sz="4" w:space="0"/>
              <w:right w:val="single" w:color="auto" w:sz="12" w:space="0"/>
            </w:tcBorders>
            <w:noWrap/>
            <w:vAlign w:val="center"/>
          </w:tcPr>
          <w:p>
            <w:pPr>
              <w:widowControl/>
              <w:spacing w:line="320" w:lineRule="exact"/>
              <w:jc w:val="left"/>
              <w:rPr>
                <w:rFonts w:ascii="Times New Roman" w:hAnsi="Times New Roman" w:eastAsia="宋体" w:cs="Times New Roman"/>
                <w:kern w:val="0"/>
                <w:sz w:val="21"/>
                <w:szCs w:val="21"/>
                <w:lang w:val="en-US" w:eastAsia="zh-CN" w:bidi="ar-SA"/>
              </w:rPr>
            </w:pPr>
            <w:r>
              <w:rPr>
                <w:rFonts w:eastAsia="宋体"/>
                <w:kern w:val="0"/>
                <w:sz w:val="21"/>
                <w:szCs w:val="21"/>
              </w:rPr>
              <w:t>为群众提供休闲旅游场所。</w:t>
            </w:r>
          </w:p>
        </w:tc>
      </w:tr>
      <w:tr>
        <w:tblPrEx>
          <w:tblCellMar>
            <w:top w:w="0" w:type="dxa"/>
            <w:left w:w="28" w:type="dxa"/>
            <w:bottom w:w="0" w:type="dxa"/>
            <w:right w:w="28" w:type="dxa"/>
          </w:tblCellMar>
        </w:tblPrEx>
        <w:trPr>
          <w:trHeight w:val="777" w:hRule="atLeast"/>
          <w:jc w:val="center"/>
        </w:trPr>
        <w:tc>
          <w:tcPr>
            <w:tcW w:w="776"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生态效益（</w:t>
            </w:r>
            <w:r>
              <w:rPr>
                <w:szCs w:val="21"/>
              </w:rPr>
              <w:t>5</w:t>
            </w:r>
            <w:r>
              <w:rPr>
                <w:rFonts w:hint="eastAsia"/>
                <w:szCs w:val="21"/>
              </w:rPr>
              <w:t>分）</w:t>
            </w:r>
          </w:p>
        </w:tc>
        <w:tc>
          <w:tcPr>
            <w:tcW w:w="1073"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部门（单位）履行职责对生态环境所带来的直接或间接影响。</w:t>
            </w:r>
          </w:p>
        </w:tc>
        <w:tc>
          <w:tcPr>
            <w:tcW w:w="156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szCs w:val="21"/>
              </w:rPr>
            </w:pPr>
          </w:p>
        </w:tc>
        <w:tc>
          <w:tcPr>
            <w:tcW w:w="292"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single" w:color="auto" w:sz="4" w:space="0"/>
              <w:left w:val="nil"/>
              <w:bottom w:val="single" w:color="auto" w:sz="4" w:space="0"/>
              <w:right w:val="single" w:color="auto" w:sz="12" w:space="0"/>
            </w:tcBorders>
            <w:noWrap/>
            <w:vAlign w:val="center"/>
          </w:tcPr>
          <w:p>
            <w:pPr>
              <w:widowControl/>
              <w:spacing w:line="320" w:lineRule="exact"/>
              <w:jc w:val="left"/>
              <w:rPr>
                <w:rFonts w:ascii="Times New Roman" w:hAnsi="Times New Roman" w:eastAsia="宋体" w:cs="Times New Roman"/>
                <w:kern w:val="0"/>
                <w:sz w:val="21"/>
                <w:szCs w:val="21"/>
                <w:lang w:val="en-US" w:eastAsia="zh-CN" w:bidi="ar-SA"/>
              </w:rPr>
            </w:pPr>
            <w:r>
              <w:rPr>
                <w:rFonts w:hint="eastAsia" w:eastAsia="宋体"/>
                <w:kern w:val="0"/>
                <w:sz w:val="21"/>
                <w:szCs w:val="21"/>
              </w:rPr>
              <w:t>改善园区人居环境。</w:t>
            </w:r>
          </w:p>
        </w:tc>
      </w:tr>
      <w:tr>
        <w:tblPrEx>
          <w:tblCellMar>
            <w:top w:w="0" w:type="dxa"/>
            <w:left w:w="28" w:type="dxa"/>
            <w:bottom w:w="0" w:type="dxa"/>
            <w:right w:w="28" w:type="dxa"/>
          </w:tblCellMar>
        </w:tblPrEx>
        <w:trPr>
          <w:trHeight w:val="1323" w:hRule="atLeast"/>
          <w:jc w:val="center"/>
        </w:trPr>
        <w:tc>
          <w:tcPr>
            <w:tcW w:w="776" w:type="pct"/>
            <w:vMerge w:val="continue"/>
            <w:tcBorders>
              <w:top w:val="single" w:color="auto" w:sz="4" w:space="0"/>
              <w:left w:val="single" w:color="auto" w:sz="12" w:space="0"/>
              <w:bottom w:val="single" w:color="auto" w:sz="4" w:space="0"/>
              <w:right w:val="single" w:color="auto" w:sz="4" w:space="0"/>
            </w:tcBorders>
            <w:noWrap w:val="0"/>
            <w:vAlign w:val="center"/>
          </w:tcPr>
          <w:p>
            <w:pPr>
              <w:spacing w:line="240" w:lineRule="exact"/>
              <w:jc w:val="center"/>
              <w:rPr>
                <w:szCs w:val="21"/>
              </w:rPr>
            </w:pPr>
          </w:p>
        </w:tc>
        <w:tc>
          <w:tcPr>
            <w:tcW w:w="250"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szCs w:val="21"/>
              </w:rPr>
            </w:pPr>
          </w:p>
        </w:tc>
        <w:tc>
          <w:tcPr>
            <w:tcW w:w="251" w:type="pct"/>
            <w:tcBorders>
              <w:top w:val="single" w:color="auto" w:sz="4" w:space="0"/>
              <w:left w:val="nil"/>
              <w:bottom w:val="single" w:color="auto" w:sz="4" w:space="0"/>
              <w:right w:val="single" w:color="auto" w:sz="4" w:space="0"/>
            </w:tcBorders>
            <w:noWrap w:val="0"/>
            <w:vAlign w:val="center"/>
          </w:tcPr>
          <w:p>
            <w:pPr>
              <w:spacing w:line="240" w:lineRule="exact"/>
              <w:jc w:val="center"/>
              <w:rPr>
                <w:szCs w:val="21"/>
              </w:rPr>
            </w:pPr>
            <w:r>
              <w:rPr>
                <w:rFonts w:hint="eastAsia"/>
                <w:szCs w:val="21"/>
              </w:rPr>
              <w:t>社会公众或服务对象满意度（</w:t>
            </w:r>
            <w:r>
              <w:rPr>
                <w:szCs w:val="21"/>
              </w:rPr>
              <w:t>5</w:t>
            </w:r>
            <w:r>
              <w:rPr>
                <w:rFonts w:hint="eastAsia"/>
                <w:szCs w:val="21"/>
              </w:rPr>
              <w:t>分）</w:t>
            </w:r>
          </w:p>
        </w:tc>
        <w:tc>
          <w:tcPr>
            <w:tcW w:w="1073"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社会公众或部门（单位）的服务对象对部门履职效果的满意程度。</w:t>
            </w:r>
          </w:p>
        </w:tc>
        <w:tc>
          <w:tcPr>
            <w:tcW w:w="1566" w:type="pct"/>
            <w:tcBorders>
              <w:top w:val="single" w:color="auto" w:sz="4" w:space="0"/>
              <w:left w:val="nil"/>
              <w:bottom w:val="single" w:color="auto" w:sz="4" w:space="0"/>
              <w:right w:val="single" w:color="auto" w:sz="4" w:space="0"/>
            </w:tcBorders>
            <w:noWrap w:val="0"/>
            <w:vAlign w:val="center"/>
          </w:tcPr>
          <w:p>
            <w:pPr>
              <w:spacing w:line="240" w:lineRule="exact"/>
              <w:rPr>
                <w:szCs w:val="21"/>
              </w:rPr>
            </w:pPr>
            <w:r>
              <w:rPr>
                <w:rFonts w:hint="eastAsia"/>
                <w:szCs w:val="21"/>
              </w:rPr>
              <w:t>社会公众或服务对象是指部门（单位）履行职责而影响到的部门、群体或个人。一般采取社会调查的方式。（按收到的服务对象的满意率计算得分）</w:t>
            </w:r>
          </w:p>
        </w:tc>
        <w:tc>
          <w:tcPr>
            <w:tcW w:w="292" w:type="pct"/>
            <w:tcBorders>
              <w:top w:val="single" w:color="auto" w:sz="4" w:space="0"/>
              <w:left w:val="nil"/>
              <w:bottom w:val="single" w:color="auto" w:sz="4" w:space="0"/>
              <w:right w:val="single" w:color="auto" w:sz="4" w:space="0"/>
            </w:tcBorders>
            <w:noWrap/>
            <w:vAlign w:val="center"/>
          </w:tcPr>
          <w:p>
            <w:pPr>
              <w:spacing w:line="240" w:lineRule="exact"/>
              <w:jc w:val="center"/>
              <w:rPr>
                <w:rFonts w:hint="eastAsia" w:eastAsia="宋体"/>
                <w:szCs w:val="21"/>
                <w:lang w:val="en-US" w:eastAsia="zh-CN"/>
              </w:rPr>
            </w:pPr>
            <w:r>
              <w:rPr>
                <w:rFonts w:hint="eastAsia"/>
                <w:szCs w:val="21"/>
                <w:lang w:val="en-US" w:eastAsia="zh-CN"/>
              </w:rPr>
              <w:t>5</w:t>
            </w:r>
          </w:p>
        </w:tc>
        <w:tc>
          <w:tcPr>
            <w:tcW w:w="788" w:type="pct"/>
            <w:tcBorders>
              <w:top w:val="single" w:color="auto" w:sz="4" w:space="0"/>
              <w:left w:val="nil"/>
              <w:bottom w:val="single" w:color="auto" w:sz="4" w:space="0"/>
              <w:right w:val="single" w:color="auto" w:sz="12" w:space="0"/>
            </w:tcBorders>
            <w:noWrap/>
            <w:vAlign w:val="center"/>
          </w:tcPr>
          <w:p>
            <w:pPr>
              <w:spacing w:line="240" w:lineRule="exact"/>
              <w:jc w:val="center"/>
              <w:rPr>
                <w:szCs w:val="21"/>
              </w:rPr>
            </w:pPr>
            <w:r>
              <w:rPr>
                <w:rFonts w:hint="eastAsia" w:eastAsia="宋体"/>
                <w:kern w:val="0"/>
                <w:sz w:val="21"/>
                <w:szCs w:val="21"/>
              </w:rPr>
              <w:t>职工对单位工作开展的满意度为100%。</w:t>
            </w:r>
          </w:p>
        </w:tc>
      </w:tr>
      <w:tr>
        <w:tblPrEx>
          <w:tblCellMar>
            <w:top w:w="0" w:type="dxa"/>
            <w:left w:w="28" w:type="dxa"/>
            <w:bottom w:w="0" w:type="dxa"/>
            <w:right w:w="28" w:type="dxa"/>
          </w:tblCellMar>
        </w:tblPrEx>
        <w:trPr>
          <w:trHeight w:val="584" w:hRule="atLeast"/>
          <w:jc w:val="center"/>
        </w:trPr>
        <w:tc>
          <w:tcPr>
            <w:tcW w:w="3919" w:type="pct"/>
            <w:gridSpan w:val="5"/>
            <w:tcBorders>
              <w:top w:val="single" w:color="auto" w:sz="4" w:space="0"/>
              <w:left w:val="single" w:color="auto" w:sz="12" w:space="0"/>
              <w:bottom w:val="single" w:color="auto" w:sz="12" w:space="0"/>
              <w:right w:val="single" w:color="auto" w:sz="4" w:space="0"/>
            </w:tcBorders>
            <w:noWrap w:val="0"/>
            <w:vAlign w:val="center"/>
          </w:tcPr>
          <w:p>
            <w:pPr>
              <w:spacing w:line="240" w:lineRule="exact"/>
              <w:jc w:val="center"/>
              <w:rPr>
                <w:szCs w:val="21"/>
              </w:rPr>
            </w:pPr>
            <w:r>
              <w:rPr>
                <w:rFonts w:hint="eastAsia"/>
                <w:szCs w:val="21"/>
              </w:rPr>
              <w:t>合</w:t>
            </w:r>
            <w:r>
              <w:rPr>
                <w:szCs w:val="21"/>
              </w:rPr>
              <w:t xml:space="preserve">      </w:t>
            </w:r>
            <w:r>
              <w:rPr>
                <w:rFonts w:hint="eastAsia"/>
                <w:szCs w:val="21"/>
              </w:rPr>
              <w:t>计</w:t>
            </w:r>
          </w:p>
        </w:tc>
        <w:tc>
          <w:tcPr>
            <w:tcW w:w="292" w:type="pct"/>
            <w:tcBorders>
              <w:top w:val="single" w:color="auto" w:sz="4" w:space="0"/>
              <w:left w:val="nil"/>
              <w:bottom w:val="single" w:color="auto" w:sz="12" w:space="0"/>
              <w:right w:val="single" w:color="auto" w:sz="4" w:space="0"/>
            </w:tcBorders>
            <w:noWrap/>
            <w:vAlign w:val="center"/>
          </w:tcPr>
          <w:p>
            <w:pPr>
              <w:spacing w:line="240" w:lineRule="exact"/>
              <w:jc w:val="center"/>
              <w:rPr>
                <w:rFonts w:hint="default" w:eastAsia="宋体"/>
                <w:szCs w:val="21"/>
                <w:lang w:val="en-US" w:eastAsia="zh-CN"/>
              </w:rPr>
            </w:pPr>
            <w:r>
              <w:rPr>
                <w:rFonts w:hint="eastAsia"/>
                <w:szCs w:val="21"/>
                <w:lang w:val="en-US" w:eastAsia="zh-CN"/>
              </w:rPr>
              <w:t>95</w:t>
            </w:r>
          </w:p>
        </w:tc>
        <w:tc>
          <w:tcPr>
            <w:tcW w:w="788" w:type="pct"/>
            <w:tcBorders>
              <w:top w:val="single" w:color="auto" w:sz="4" w:space="0"/>
              <w:left w:val="nil"/>
              <w:bottom w:val="single" w:color="auto" w:sz="12" w:space="0"/>
              <w:right w:val="single" w:color="auto" w:sz="12" w:space="0"/>
            </w:tcBorders>
            <w:noWrap/>
            <w:vAlign w:val="center"/>
          </w:tcPr>
          <w:p>
            <w:pPr>
              <w:spacing w:line="240" w:lineRule="exact"/>
              <w:jc w:val="center"/>
              <w:rPr>
                <w:szCs w:val="21"/>
              </w:rPr>
            </w:pPr>
          </w:p>
        </w:tc>
      </w:tr>
    </w:tbl>
    <w:p>
      <w:pPr>
        <w:pStyle w:val="7"/>
        <w:spacing w:line="20" w:lineRule="exact"/>
        <w:rPr>
          <w:rFonts w:ascii="宋体"/>
        </w:rPr>
      </w:pPr>
    </w:p>
    <w:p>
      <w:pPr>
        <w:spacing w:line="620" w:lineRule="exact"/>
        <w:jc w:val="left"/>
        <w:rPr>
          <w:rFonts w:eastAsia="方正黑体简体"/>
          <w:color w:val="000000"/>
          <w:kern w:val="0"/>
          <w:sz w:val="32"/>
          <w:szCs w:val="32"/>
        </w:rPr>
        <w:sectPr>
          <w:pgSz w:w="11907" w:h="16840"/>
          <w:pgMar w:top="2098" w:right="1474" w:bottom="1928" w:left="1588" w:header="851" w:footer="992" w:gutter="0"/>
          <w:pgNumType w:fmt="decimal"/>
          <w:cols w:space="720" w:num="1"/>
          <w:docGrid w:type="lines" w:linePitch="312" w:charSpace="0"/>
        </w:sectPr>
      </w:pPr>
    </w:p>
    <w:p>
      <w:pPr>
        <w:spacing w:line="620" w:lineRule="exact"/>
        <w:jc w:val="left"/>
        <w:rPr>
          <w:rFonts w:eastAsia="方正黑体简体"/>
          <w:color w:val="000000"/>
          <w:kern w:val="0"/>
          <w:sz w:val="32"/>
          <w:szCs w:val="32"/>
        </w:rPr>
      </w:pPr>
      <w:r>
        <w:rPr>
          <w:rFonts w:hint="eastAsia" w:eastAsia="方正黑体简体"/>
          <w:color w:val="000000"/>
          <w:kern w:val="0"/>
          <w:sz w:val="32"/>
          <w:szCs w:val="32"/>
        </w:rPr>
        <w:t>附件</w:t>
      </w:r>
      <w:r>
        <w:rPr>
          <w:rFonts w:hint="eastAsia" w:eastAsia="方正黑体简体"/>
          <w:color w:val="000000"/>
          <w:kern w:val="0"/>
          <w:sz w:val="32"/>
          <w:szCs w:val="32"/>
          <w:lang w:val="en-US" w:eastAsia="zh-CN"/>
        </w:rPr>
        <w:t>1</w:t>
      </w:r>
      <w:r>
        <w:rPr>
          <w:rFonts w:eastAsia="方正黑体简体"/>
          <w:color w:val="000000"/>
          <w:kern w:val="0"/>
          <w:sz w:val="32"/>
          <w:szCs w:val="32"/>
        </w:rPr>
        <w:t>-2</w:t>
      </w:r>
    </w:p>
    <w:p>
      <w:pPr>
        <w:spacing w:line="620" w:lineRule="exact"/>
        <w:jc w:val="left"/>
        <w:rPr>
          <w:rFonts w:eastAsia="方正小标宋简体"/>
          <w:color w:val="000000"/>
          <w:spacing w:val="-20"/>
          <w:w w:val="90"/>
          <w:kern w:val="0"/>
          <w:sz w:val="44"/>
          <w:szCs w:val="44"/>
        </w:rPr>
      </w:pPr>
      <w:r>
        <w:rPr>
          <w:rFonts w:eastAsia="方正小标宋简体"/>
          <w:color w:val="000000"/>
          <w:spacing w:val="-20"/>
          <w:w w:val="90"/>
          <w:kern w:val="0"/>
          <w:sz w:val="44"/>
          <w:szCs w:val="44"/>
        </w:rPr>
        <w:t>202</w:t>
      </w:r>
      <w:r>
        <w:rPr>
          <w:rFonts w:hint="eastAsia" w:eastAsia="方正小标宋简体"/>
          <w:color w:val="000000"/>
          <w:spacing w:val="-20"/>
          <w:w w:val="90"/>
          <w:kern w:val="0"/>
          <w:sz w:val="44"/>
          <w:szCs w:val="44"/>
        </w:rPr>
        <w:t>2年度乐至县部门整体支出绩效目标完成情况表</w:t>
      </w:r>
    </w:p>
    <w:p>
      <w:pPr>
        <w:pStyle w:val="7"/>
        <w:rPr>
          <w:rFonts w:ascii="宋体"/>
        </w:rPr>
      </w:pPr>
    </w:p>
    <w:tbl>
      <w:tblPr>
        <w:tblStyle w:val="16"/>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46"/>
        <w:gridCol w:w="776"/>
        <w:gridCol w:w="930"/>
        <w:gridCol w:w="773"/>
        <w:gridCol w:w="2708"/>
        <w:gridCol w:w="1509"/>
        <w:gridCol w:w="2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746"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部门（单位）名称</w:t>
            </w:r>
          </w:p>
        </w:tc>
        <w:tc>
          <w:tcPr>
            <w:tcW w:w="5187" w:type="dxa"/>
            <w:gridSpan w:val="4"/>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lang w:val="en-US" w:eastAsia="zh-CN"/>
              </w:rPr>
              <w:t>乐至县国家农村产业融合发展示范园管理委员会</w:t>
            </w:r>
            <w:r>
              <w:rPr>
                <w:rFonts w:hint="eastAsia"/>
                <w:color w:val="000000"/>
                <w:kern w:val="0"/>
                <w:szCs w:val="21"/>
              </w:rPr>
              <w:t>　</w:t>
            </w:r>
          </w:p>
        </w:tc>
        <w:tc>
          <w:tcPr>
            <w:tcW w:w="1509" w:type="dxa"/>
            <w:tcBorders>
              <w:top w:val="single" w:color="auto" w:sz="12" w:space="0"/>
            </w:tcBorders>
            <w:noWrap/>
            <w:vAlign w:val="center"/>
          </w:tcPr>
          <w:p>
            <w:pPr>
              <w:widowControl/>
              <w:spacing w:line="290" w:lineRule="exact"/>
              <w:jc w:val="center"/>
              <w:rPr>
                <w:color w:val="000000"/>
                <w:kern w:val="0"/>
                <w:szCs w:val="21"/>
              </w:rPr>
            </w:pPr>
            <w:r>
              <w:rPr>
                <w:rFonts w:hint="eastAsia"/>
                <w:color w:val="000000"/>
                <w:kern w:val="0"/>
                <w:szCs w:val="21"/>
              </w:rPr>
              <w:t>预算单位编码</w:t>
            </w:r>
          </w:p>
        </w:tc>
        <w:tc>
          <w:tcPr>
            <w:tcW w:w="2129" w:type="dxa"/>
            <w:tcBorders>
              <w:top w:val="single" w:color="auto" w:sz="12" w:space="0"/>
            </w:tcBorders>
            <w:noWrap/>
            <w:vAlign w:val="center"/>
          </w:tcPr>
          <w:p>
            <w:pPr>
              <w:widowControl/>
              <w:spacing w:line="29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150001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746" w:type="dxa"/>
            <w:vMerge w:val="restart"/>
            <w:noWrap/>
            <w:vAlign w:val="center"/>
          </w:tcPr>
          <w:p>
            <w:pPr>
              <w:widowControl/>
              <w:spacing w:line="290" w:lineRule="exact"/>
              <w:jc w:val="center"/>
              <w:rPr>
                <w:color w:val="000000"/>
                <w:kern w:val="0"/>
                <w:szCs w:val="21"/>
              </w:rPr>
            </w:pPr>
            <w:r>
              <w:rPr>
                <w:rFonts w:hint="eastAsia"/>
                <w:color w:val="000000"/>
                <w:kern w:val="0"/>
                <w:szCs w:val="21"/>
              </w:rPr>
              <w:t>预算执行情况</w:t>
            </w: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930"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773"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2708" w:type="dxa"/>
            <w:noWrap/>
            <w:vAlign w:val="center"/>
          </w:tcPr>
          <w:p>
            <w:pPr>
              <w:widowControl/>
              <w:spacing w:line="29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509"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129"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930"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3226.94</w:t>
            </w:r>
          </w:p>
        </w:tc>
        <w:tc>
          <w:tcPr>
            <w:tcW w:w="773"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3226.94</w:t>
            </w:r>
          </w:p>
        </w:tc>
        <w:tc>
          <w:tcPr>
            <w:tcW w:w="2708"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基本支出</w:t>
            </w:r>
          </w:p>
        </w:tc>
        <w:tc>
          <w:tcPr>
            <w:tcW w:w="930"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226.94</w:t>
            </w:r>
          </w:p>
        </w:tc>
        <w:tc>
          <w:tcPr>
            <w:tcW w:w="773"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226.94</w:t>
            </w:r>
          </w:p>
        </w:tc>
        <w:tc>
          <w:tcPr>
            <w:tcW w:w="2708"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政策和项目支出</w:t>
            </w:r>
          </w:p>
        </w:tc>
        <w:tc>
          <w:tcPr>
            <w:tcW w:w="930"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3000</w:t>
            </w:r>
          </w:p>
        </w:tc>
        <w:tc>
          <w:tcPr>
            <w:tcW w:w="773"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3000</w:t>
            </w:r>
          </w:p>
        </w:tc>
        <w:tc>
          <w:tcPr>
            <w:tcW w:w="2708"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746" w:type="dxa"/>
            <w:vMerge w:val="restart"/>
            <w:noWrap/>
            <w:vAlign w:val="center"/>
          </w:tcPr>
          <w:p>
            <w:pPr>
              <w:widowControl/>
              <w:spacing w:line="290" w:lineRule="exact"/>
              <w:jc w:val="center"/>
              <w:rPr>
                <w:color w:val="000000"/>
                <w:kern w:val="0"/>
                <w:szCs w:val="21"/>
              </w:rPr>
            </w:pPr>
            <w:r>
              <w:rPr>
                <w:rFonts w:hint="eastAsia"/>
                <w:color w:val="000000"/>
                <w:kern w:val="0"/>
                <w:szCs w:val="21"/>
              </w:rPr>
              <w:t>预算</w:t>
            </w:r>
          </w:p>
          <w:p>
            <w:pPr>
              <w:widowControl/>
              <w:spacing w:line="290" w:lineRule="exact"/>
              <w:jc w:val="center"/>
              <w:rPr>
                <w:color w:val="000000"/>
                <w:kern w:val="0"/>
                <w:szCs w:val="21"/>
              </w:rPr>
            </w:pPr>
            <w:r>
              <w:rPr>
                <w:rFonts w:hint="eastAsia"/>
                <w:color w:val="000000"/>
                <w:kern w:val="0"/>
                <w:szCs w:val="21"/>
              </w:rPr>
              <w:t>结构</w:t>
            </w: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项目</w:t>
            </w:r>
          </w:p>
        </w:tc>
        <w:tc>
          <w:tcPr>
            <w:tcW w:w="930" w:type="dxa"/>
            <w:noWrap/>
            <w:vAlign w:val="center"/>
          </w:tcPr>
          <w:p>
            <w:pPr>
              <w:widowControl/>
              <w:spacing w:line="290" w:lineRule="exact"/>
              <w:jc w:val="center"/>
              <w:rPr>
                <w:color w:val="000000"/>
                <w:kern w:val="0"/>
                <w:szCs w:val="21"/>
              </w:rPr>
            </w:pPr>
            <w:r>
              <w:rPr>
                <w:rFonts w:hint="eastAsia"/>
                <w:color w:val="000000"/>
                <w:kern w:val="0"/>
                <w:szCs w:val="21"/>
              </w:rPr>
              <w:t>合计</w:t>
            </w:r>
          </w:p>
        </w:tc>
        <w:tc>
          <w:tcPr>
            <w:tcW w:w="773" w:type="dxa"/>
            <w:noWrap/>
            <w:vAlign w:val="center"/>
          </w:tcPr>
          <w:p>
            <w:pPr>
              <w:widowControl/>
              <w:spacing w:line="290" w:lineRule="exact"/>
              <w:jc w:val="center"/>
              <w:rPr>
                <w:color w:val="000000"/>
                <w:kern w:val="0"/>
                <w:szCs w:val="21"/>
              </w:rPr>
            </w:pPr>
            <w:r>
              <w:rPr>
                <w:rFonts w:hint="eastAsia"/>
                <w:color w:val="000000"/>
                <w:kern w:val="0"/>
                <w:szCs w:val="21"/>
              </w:rPr>
              <w:t>一般公共预算安排</w:t>
            </w:r>
          </w:p>
        </w:tc>
        <w:tc>
          <w:tcPr>
            <w:tcW w:w="2708" w:type="dxa"/>
            <w:noWrap/>
            <w:vAlign w:val="center"/>
          </w:tcPr>
          <w:p>
            <w:pPr>
              <w:widowControl/>
              <w:spacing w:line="290" w:lineRule="exact"/>
              <w:jc w:val="center"/>
              <w:rPr>
                <w:color w:val="000000"/>
                <w:kern w:val="0"/>
                <w:szCs w:val="21"/>
              </w:rPr>
            </w:pPr>
            <w:r>
              <w:rPr>
                <w:rFonts w:hint="eastAsia"/>
                <w:color w:val="000000"/>
                <w:kern w:val="0"/>
                <w:szCs w:val="21"/>
              </w:rPr>
              <w:t>政府性基金预算安排</w:t>
            </w:r>
          </w:p>
        </w:tc>
        <w:tc>
          <w:tcPr>
            <w:tcW w:w="1509" w:type="dxa"/>
            <w:noWrap/>
            <w:vAlign w:val="center"/>
          </w:tcPr>
          <w:p>
            <w:pPr>
              <w:widowControl/>
              <w:spacing w:line="290" w:lineRule="exact"/>
              <w:jc w:val="center"/>
              <w:rPr>
                <w:color w:val="000000"/>
                <w:kern w:val="0"/>
                <w:szCs w:val="21"/>
              </w:rPr>
            </w:pPr>
            <w:r>
              <w:rPr>
                <w:rFonts w:hint="eastAsia"/>
                <w:color w:val="000000"/>
                <w:kern w:val="0"/>
                <w:szCs w:val="21"/>
              </w:rPr>
              <w:t>国有资本经营预算安排</w:t>
            </w:r>
          </w:p>
        </w:tc>
        <w:tc>
          <w:tcPr>
            <w:tcW w:w="2129" w:type="dxa"/>
            <w:noWrap/>
            <w:vAlign w:val="center"/>
          </w:tcPr>
          <w:p>
            <w:pPr>
              <w:widowControl/>
              <w:spacing w:line="29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930"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3226.94</w:t>
            </w:r>
          </w:p>
        </w:tc>
        <w:tc>
          <w:tcPr>
            <w:tcW w:w="773"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226.94</w:t>
            </w:r>
          </w:p>
        </w:tc>
        <w:tc>
          <w:tcPr>
            <w:tcW w:w="2708"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3000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930"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3226.94</w:t>
            </w:r>
          </w:p>
        </w:tc>
        <w:tc>
          <w:tcPr>
            <w:tcW w:w="773"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226.94</w:t>
            </w:r>
          </w:p>
        </w:tc>
        <w:tc>
          <w:tcPr>
            <w:tcW w:w="2708" w:type="dxa"/>
            <w:noWrap/>
            <w:vAlign w:val="center"/>
          </w:tcPr>
          <w:p>
            <w:pPr>
              <w:widowControl/>
              <w:spacing w:line="290" w:lineRule="exact"/>
              <w:jc w:val="center"/>
              <w:rPr>
                <w:rFonts w:hint="default" w:eastAsia="宋体"/>
                <w:color w:val="000000"/>
                <w:kern w:val="0"/>
                <w:szCs w:val="21"/>
                <w:lang w:val="en-US" w:eastAsia="zh-CN"/>
              </w:rPr>
            </w:pPr>
            <w:r>
              <w:rPr>
                <w:rFonts w:hint="eastAsia"/>
                <w:color w:val="000000"/>
                <w:kern w:val="0"/>
                <w:szCs w:val="21"/>
                <w:lang w:val="en-US" w:eastAsia="zh-CN"/>
              </w:rPr>
              <w:t>3000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spacing w:val="-20"/>
                <w:kern w:val="0"/>
                <w:szCs w:val="21"/>
              </w:rPr>
            </w:pPr>
            <w:r>
              <w:rPr>
                <w:rFonts w:hint="eastAsia"/>
                <w:color w:val="000000"/>
                <w:spacing w:val="-2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930"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773"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708"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150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2129" w:type="dxa"/>
            <w:noWrap/>
            <w:vAlign w:val="center"/>
          </w:tcPr>
          <w:p>
            <w:pPr>
              <w:widowControl/>
              <w:spacing w:line="29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结转结余率</w:t>
            </w:r>
            <w:r>
              <w:rPr>
                <w:color w:val="000000"/>
                <w:kern w:val="0"/>
                <w:szCs w:val="21"/>
              </w:rPr>
              <w:t>%</w:t>
            </w:r>
          </w:p>
        </w:tc>
        <w:tc>
          <w:tcPr>
            <w:tcW w:w="930"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77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70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50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129"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2" w:hRule="atLeast"/>
          <w:jc w:val="center"/>
        </w:trPr>
        <w:tc>
          <w:tcPr>
            <w:tcW w:w="746" w:type="dxa"/>
            <w:vMerge w:val="continue"/>
            <w:noWrap w:val="0"/>
            <w:vAlign w:val="center"/>
          </w:tcPr>
          <w:p>
            <w:pPr>
              <w:widowControl/>
              <w:spacing w:line="290" w:lineRule="exact"/>
              <w:jc w:val="left"/>
              <w:rPr>
                <w:color w:val="000000"/>
                <w:kern w:val="0"/>
                <w:szCs w:val="21"/>
              </w:rPr>
            </w:pPr>
          </w:p>
        </w:tc>
        <w:tc>
          <w:tcPr>
            <w:tcW w:w="776" w:type="dxa"/>
            <w:noWrap/>
            <w:vAlign w:val="center"/>
          </w:tcPr>
          <w:p>
            <w:pPr>
              <w:widowControl/>
              <w:spacing w:line="29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930"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773"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708"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1509" w:type="dxa"/>
            <w:noWrap/>
            <w:vAlign w:val="center"/>
          </w:tcPr>
          <w:p>
            <w:pPr>
              <w:widowControl/>
              <w:spacing w:line="290" w:lineRule="exact"/>
              <w:jc w:val="left"/>
              <w:rPr>
                <w:color w:val="000000"/>
                <w:kern w:val="0"/>
                <w:szCs w:val="21"/>
              </w:rPr>
            </w:pPr>
            <w:r>
              <w:rPr>
                <w:rFonts w:hint="eastAsia"/>
                <w:color w:val="000000"/>
                <w:kern w:val="0"/>
                <w:szCs w:val="21"/>
              </w:rPr>
              <w:t>　</w:t>
            </w:r>
          </w:p>
        </w:tc>
        <w:tc>
          <w:tcPr>
            <w:tcW w:w="2129" w:type="dxa"/>
            <w:noWrap/>
            <w:vAlign w:val="center"/>
          </w:tcPr>
          <w:p>
            <w:pPr>
              <w:widowControl/>
              <w:spacing w:line="29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746" w:type="dxa"/>
            <w:vMerge w:val="restart"/>
            <w:noWrap/>
            <w:vAlign w:val="center"/>
          </w:tcPr>
          <w:p>
            <w:pPr>
              <w:widowControl/>
              <w:spacing w:line="400" w:lineRule="exact"/>
              <w:jc w:val="center"/>
              <w:rPr>
                <w:color w:val="000000"/>
                <w:kern w:val="0"/>
                <w:szCs w:val="21"/>
              </w:rPr>
            </w:pPr>
            <w:r>
              <w:rPr>
                <w:rFonts w:hint="eastAsia"/>
                <w:color w:val="000000"/>
                <w:kern w:val="0"/>
                <w:szCs w:val="21"/>
              </w:rPr>
              <w:t>年度总体目标</w:t>
            </w:r>
          </w:p>
        </w:tc>
        <w:tc>
          <w:tcPr>
            <w:tcW w:w="1706"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w:t>
            </w:r>
          </w:p>
        </w:tc>
        <w:tc>
          <w:tcPr>
            <w:tcW w:w="3481"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预算总体目标执行结果</w:t>
            </w:r>
          </w:p>
        </w:tc>
        <w:tc>
          <w:tcPr>
            <w:tcW w:w="3638" w:type="dxa"/>
            <w:gridSpan w:val="2"/>
            <w:noWrap/>
            <w:vAlign w:val="center"/>
          </w:tcPr>
          <w:p>
            <w:pPr>
              <w:widowControl/>
              <w:spacing w:line="400" w:lineRule="exact"/>
              <w:jc w:val="center"/>
              <w:rPr>
                <w:color w:val="000000"/>
                <w:kern w:val="0"/>
                <w:szCs w:val="21"/>
              </w:rPr>
            </w:pPr>
            <w:r>
              <w:rPr>
                <w:rFonts w:hint="eastAsia"/>
                <w:color w:val="000000"/>
                <w:kern w:val="0"/>
                <w:szCs w:val="21"/>
              </w:rPr>
              <w:t>预算总体目标与预算总体目标</w:t>
            </w:r>
          </w:p>
          <w:p>
            <w:pPr>
              <w:widowControl/>
              <w:spacing w:line="400" w:lineRule="exact"/>
              <w:jc w:val="center"/>
              <w:rPr>
                <w:color w:val="000000"/>
                <w:kern w:val="0"/>
                <w:szCs w:val="21"/>
              </w:rPr>
            </w:pPr>
            <w:r>
              <w:rPr>
                <w:rFonts w:hint="eastAsia"/>
                <w:color w:val="000000"/>
                <w:kern w:val="0"/>
                <w:szCs w:val="21"/>
              </w:rPr>
              <w:t>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400" w:lineRule="exact"/>
              <w:jc w:val="left"/>
              <w:rPr>
                <w:color w:val="000000"/>
                <w:kern w:val="0"/>
                <w:szCs w:val="21"/>
              </w:rPr>
            </w:pPr>
          </w:p>
        </w:tc>
        <w:tc>
          <w:tcPr>
            <w:tcW w:w="1706" w:type="dxa"/>
            <w:gridSpan w:val="2"/>
            <w:noWrap/>
            <w:vAlign w:val="center"/>
          </w:tcPr>
          <w:p>
            <w:pPr>
              <w:widowControl/>
              <w:spacing w:line="400" w:lineRule="exact"/>
              <w:jc w:val="left"/>
              <w:rPr>
                <w:color w:val="000000"/>
                <w:kern w:val="0"/>
                <w:szCs w:val="21"/>
              </w:rPr>
            </w:pPr>
            <w:r>
              <w:rPr>
                <w:rFonts w:hint="eastAsia"/>
                <w:color w:val="000000"/>
                <w:kern w:val="0"/>
                <w:szCs w:val="21"/>
              </w:rPr>
              <w:t>目标</w:t>
            </w:r>
            <w:r>
              <w:rPr>
                <w:color w:val="000000"/>
                <w:kern w:val="0"/>
                <w:szCs w:val="21"/>
              </w:rPr>
              <w:t>1:</w:t>
            </w:r>
            <w:r>
              <w:rPr>
                <w:rFonts w:hint="eastAsia" w:eastAsia="宋体"/>
                <w:kern w:val="0"/>
                <w:sz w:val="21"/>
                <w:szCs w:val="21"/>
              </w:rPr>
              <w:t>保证人员工资及福利待遇</w:t>
            </w:r>
          </w:p>
        </w:tc>
        <w:tc>
          <w:tcPr>
            <w:tcW w:w="3481" w:type="dxa"/>
            <w:gridSpan w:val="2"/>
            <w:noWrap/>
            <w:vAlign w:val="center"/>
          </w:tcPr>
          <w:p>
            <w:pPr>
              <w:widowControl/>
              <w:spacing w:line="400" w:lineRule="exact"/>
              <w:jc w:val="center"/>
              <w:rPr>
                <w:color w:val="000000"/>
                <w:kern w:val="0"/>
                <w:szCs w:val="21"/>
              </w:rPr>
            </w:pPr>
            <w:r>
              <w:rPr>
                <w:rFonts w:hint="eastAsia" w:eastAsia="宋体"/>
                <w:kern w:val="0"/>
                <w:sz w:val="21"/>
                <w:szCs w:val="21"/>
              </w:rPr>
              <w:t>保证</w:t>
            </w:r>
            <w:r>
              <w:rPr>
                <w:rFonts w:hint="eastAsia"/>
                <w:color w:val="000000"/>
                <w:kern w:val="0"/>
                <w:szCs w:val="21"/>
              </w:rPr>
              <w:t>　</w:t>
            </w:r>
          </w:p>
        </w:tc>
        <w:tc>
          <w:tcPr>
            <w:tcW w:w="3638" w:type="dxa"/>
            <w:gridSpan w:val="2"/>
            <w:noWrap/>
            <w:vAlign w:val="center"/>
          </w:tcPr>
          <w:p>
            <w:pPr>
              <w:widowControl/>
              <w:spacing w:line="400" w:lineRule="exact"/>
              <w:jc w:val="center"/>
              <w:rPr>
                <w:color w:val="000000"/>
                <w:kern w:val="0"/>
                <w:szCs w:val="21"/>
              </w:rPr>
            </w:pPr>
            <w:r>
              <w:rPr>
                <w:rFonts w:hint="eastAsia"/>
                <w:color w:val="000000"/>
                <w:kern w:val="0"/>
                <w:szCs w:val="21"/>
                <w:lang w:val="en-US" w:eastAsia="zh-CN"/>
              </w:rPr>
              <w:t>无偏差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3" w:hRule="atLeast"/>
          <w:jc w:val="center"/>
        </w:trPr>
        <w:tc>
          <w:tcPr>
            <w:tcW w:w="746" w:type="dxa"/>
            <w:vMerge w:val="continue"/>
            <w:noWrap w:val="0"/>
            <w:vAlign w:val="center"/>
          </w:tcPr>
          <w:p>
            <w:pPr>
              <w:widowControl/>
              <w:spacing w:line="400" w:lineRule="exact"/>
              <w:jc w:val="left"/>
              <w:rPr>
                <w:color w:val="000000"/>
                <w:kern w:val="0"/>
                <w:szCs w:val="21"/>
              </w:rPr>
            </w:pPr>
          </w:p>
        </w:tc>
        <w:tc>
          <w:tcPr>
            <w:tcW w:w="1706" w:type="dxa"/>
            <w:gridSpan w:val="2"/>
            <w:noWrap/>
            <w:vAlign w:val="center"/>
          </w:tcPr>
          <w:p>
            <w:pPr>
              <w:widowControl/>
              <w:spacing w:line="400" w:lineRule="exact"/>
              <w:jc w:val="left"/>
              <w:rPr>
                <w:rFonts w:hint="eastAsia"/>
                <w:color w:val="000000"/>
                <w:kern w:val="0"/>
                <w:szCs w:val="21"/>
              </w:rPr>
            </w:pPr>
            <w:r>
              <w:rPr>
                <w:rFonts w:hint="eastAsia"/>
                <w:color w:val="000000"/>
                <w:kern w:val="0"/>
                <w:szCs w:val="21"/>
              </w:rPr>
              <w:t>目标</w:t>
            </w:r>
            <w:r>
              <w:rPr>
                <w:color w:val="000000"/>
                <w:kern w:val="0"/>
                <w:szCs w:val="21"/>
              </w:rPr>
              <w:t>2:</w:t>
            </w:r>
            <w:r>
              <w:rPr>
                <w:rFonts w:hint="eastAsia"/>
                <w:color w:val="000000"/>
                <w:kern w:val="0"/>
                <w:szCs w:val="21"/>
                <w:lang w:val="en-US" w:eastAsia="zh-CN"/>
              </w:rPr>
              <w:t>保证园区项目建设有序推进</w:t>
            </w:r>
          </w:p>
        </w:tc>
        <w:tc>
          <w:tcPr>
            <w:tcW w:w="3481" w:type="dxa"/>
            <w:gridSpan w:val="2"/>
            <w:noWrap/>
            <w:vAlign w:val="center"/>
          </w:tcPr>
          <w:p>
            <w:pPr>
              <w:widowControl/>
              <w:spacing w:line="400" w:lineRule="exact"/>
              <w:jc w:val="center"/>
              <w:rPr>
                <w:rFonts w:hint="eastAsia" w:ascii="Times New Roman" w:hAnsi="Times New Roman" w:eastAsia="宋体" w:cs="Times New Roman"/>
                <w:color w:val="000000"/>
                <w:kern w:val="0"/>
                <w:sz w:val="21"/>
                <w:szCs w:val="21"/>
                <w:lang w:val="en-US" w:eastAsia="zh-CN" w:bidi="ar-SA"/>
              </w:rPr>
            </w:pPr>
            <w:r>
              <w:rPr>
                <w:rFonts w:hint="eastAsia" w:eastAsia="宋体"/>
                <w:kern w:val="0"/>
                <w:sz w:val="21"/>
                <w:szCs w:val="21"/>
              </w:rPr>
              <w:t>保证</w:t>
            </w:r>
            <w:r>
              <w:rPr>
                <w:rFonts w:hint="eastAsia"/>
                <w:color w:val="000000"/>
                <w:kern w:val="0"/>
                <w:szCs w:val="21"/>
              </w:rPr>
              <w:t>　</w:t>
            </w:r>
          </w:p>
        </w:tc>
        <w:tc>
          <w:tcPr>
            <w:tcW w:w="3638" w:type="dxa"/>
            <w:gridSpan w:val="2"/>
            <w:noWrap/>
            <w:vAlign w:val="center"/>
          </w:tcPr>
          <w:p>
            <w:pPr>
              <w:widowControl/>
              <w:spacing w:line="400" w:lineRule="exact"/>
              <w:jc w:val="center"/>
              <w:rPr>
                <w:rFonts w:hint="eastAsia" w:ascii="Times New Roman" w:hAnsi="Times New Roman" w:eastAsia="宋体" w:cs="Times New Roman"/>
                <w:color w:val="000000"/>
                <w:kern w:val="0"/>
                <w:sz w:val="21"/>
                <w:szCs w:val="21"/>
                <w:lang w:val="en-US" w:eastAsia="zh-CN" w:bidi="ar-SA"/>
              </w:rPr>
            </w:pPr>
            <w:r>
              <w:rPr>
                <w:rFonts w:hint="eastAsia"/>
                <w:color w:val="000000"/>
                <w:kern w:val="0"/>
                <w:szCs w:val="21"/>
                <w:lang w:val="en-US" w:eastAsia="zh-CN"/>
              </w:rPr>
              <w:t>无偏差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400" w:lineRule="exact"/>
              <w:jc w:val="left"/>
              <w:rPr>
                <w:color w:val="000000"/>
                <w:kern w:val="0"/>
                <w:szCs w:val="21"/>
              </w:rPr>
            </w:pPr>
          </w:p>
        </w:tc>
        <w:tc>
          <w:tcPr>
            <w:tcW w:w="1706" w:type="dxa"/>
            <w:gridSpan w:val="2"/>
            <w:noWrap/>
            <w:vAlign w:val="center"/>
          </w:tcPr>
          <w:p>
            <w:pPr>
              <w:widowControl/>
              <w:spacing w:line="400" w:lineRule="exact"/>
              <w:jc w:val="left"/>
              <w:rPr>
                <w:rFonts w:hint="default" w:eastAsia="宋体"/>
                <w:color w:val="000000"/>
                <w:kern w:val="0"/>
                <w:szCs w:val="21"/>
                <w:lang w:val="en-US" w:eastAsia="zh-CN"/>
              </w:rPr>
            </w:pPr>
            <w:r>
              <w:rPr>
                <w:rFonts w:hint="eastAsia"/>
                <w:color w:val="000000"/>
                <w:kern w:val="0"/>
                <w:szCs w:val="21"/>
              </w:rPr>
              <w:t>目标</w:t>
            </w:r>
            <w:r>
              <w:rPr>
                <w:rFonts w:hint="eastAsia"/>
                <w:color w:val="000000"/>
                <w:kern w:val="0"/>
                <w:szCs w:val="21"/>
                <w:lang w:val="en-US" w:eastAsia="zh-CN"/>
              </w:rPr>
              <w:t>3</w:t>
            </w:r>
            <w:r>
              <w:rPr>
                <w:color w:val="000000"/>
                <w:kern w:val="0"/>
                <w:szCs w:val="21"/>
              </w:rPr>
              <w:t>:</w:t>
            </w:r>
            <w:r>
              <w:rPr>
                <w:rFonts w:hint="eastAsia"/>
                <w:color w:val="000000"/>
                <w:kern w:val="0"/>
                <w:szCs w:val="21"/>
                <w:lang w:val="en-US" w:eastAsia="zh-CN"/>
              </w:rPr>
              <w:t>完成产业基础设施及道路绿化建设</w:t>
            </w:r>
          </w:p>
        </w:tc>
        <w:tc>
          <w:tcPr>
            <w:tcW w:w="3481" w:type="dxa"/>
            <w:gridSpan w:val="2"/>
            <w:noWrap/>
            <w:vAlign w:val="center"/>
          </w:tcPr>
          <w:p>
            <w:pPr>
              <w:widowControl/>
              <w:spacing w:line="400" w:lineRule="exact"/>
              <w:jc w:val="center"/>
              <w:rPr>
                <w:color w:val="000000"/>
                <w:kern w:val="0"/>
                <w:szCs w:val="21"/>
              </w:rPr>
            </w:pPr>
            <w:r>
              <w:rPr>
                <w:rFonts w:hint="eastAsia"/>
                <w:kern w:val="0"/>
                <w:sz w:val="21"/>
                <w:szCs w:val="21"/>
                <w:lang w:val="en-US" w:eastAsia="zh-CN"/>
              </w:rPr>
              <w:t>完成</w:t>
            </w:r>
            <w:r>
              <w:rPr>
                <w:rFonts w:hint="eastAsia"/>
                <w:color w:val="000000"/>
                <w:kern w:val="0"/>
                <w:szCs w:val="21"/>
              </w:rPr>
              <w:t>　</w:t>
            </w:r>
          </w:p>
        </w:tc>
        <w:tc>
          <w:tcPr>
            <w:tcW w:w="3638" w:type="dxa"/>
            <w:gridSpan w:val="2"/>
            <w:noWrap/>
            <w:vAlign w:val="center"/>
          </w:tcPr>
          <w:p>
            <w:pPr>
              <w:widowControl/>
              <w:spacing w:line="400" w:lineRule="exact"/>
              <w:jc w:val="center"/>
              <w:rPr>
                <w:color w:val="000000"/>
                <w:kern w:val="0"/>
                <w:szCs w:val="21"/>
              </w:rPr>
            </w:pPr>
            <w:r>
              <w:rPr>
                <w:rFonts w:hint="eastAsia"/>
                <w:color w:val="000000"/>
                <w:kern w:val="0"/>
                <w:szCs w:val="21"/>
                <w:lang w:val="en-US" w:eastAsia="zh-CN"/>
              </w:rPr>
              <w:t>无偏差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746" w:type="dxa"/>
            <w:vMerge w:val="restart"/>
            <w:noWrap/>
            <w:vAlign w:val="center"/>
          </w:tcPr>
          <w:p>
            <w:pPr>
              <w:widowControl/>
              <w:spacing w:line="230" w:lineRule="exact"/>
              <w:jc w:val="center"/>
              <w:rPr>
                <w:color w:val="000000"/>
                <w:kern w:val="0"/>
                <w:szCs w:val="21"/>
              </w:rPr>
            </w:pPr>
            <w:r>
              <w:rPr>
                <w:rFonts w:hint="eastAsia"/>
                <w:color w:val="000000"/>
                <w:kern w:val="0"/>
                <w:szCs w:val="21"/>
              </w:rPr>
              <w:t>年度绩效指标</w:t>
            </w:r>
          </w:p>
        </w:tc>
        <w:tc>
          <w:tcPr>
            <w:tcW w:w="776" w:type="dxa"/>
            <w:noWrap/>
            <w:vAlign w:val="center"/>
          </w:tcPr>
          <w:p>
            <w:pPr>
              <w:widowControl/>
              <w:spacing w:line="230" w:lineRule="exact"/>
              <w:jc w:val="center"/>
              <w:rPr>
                <w:color w:val="000000"/>
                <w:kern w:val="0"/>
                <w:szCs w:val="21"/>
              </w:rPr>
            </w:pPr>
            <w:r>
              <w:rPr>
                <w:rFonts w:hint="eastAsia"/>
                <w:color w:val="000000"/>
                <w:kern w:val="0"/>
                <w:szCs w:val="21"/>
              </w:rPr>
              <w:t>一级指标</w:t>
            </w:r>
          </w:p>
        </w:tc>
        <w:tc>
          <w:tcPr>
            <w:tcW w:w="930" w:type="dxa"/>
            <w:noWrap/>
            <w:vAlign w:val="center"/>
          </w:tcPr>
          <w:p>
            <w:pPr>
              <w:widowControl/>
              <w:spacing w:line="230" w:lineRule="exact"/>
              <w:jc w:val="center"/>
              <w:rPr>
                <w:color w:val="000000"/>
                <w:kern w:val="0"/>
                <w:szCs w:val="21"/>
              </w:rPr>
            </w:pPr>
            <w:r>
              <w:rPr>
                <w:rFonts w:hint="eastAsia"/>
                <w:color w:val="000000"/>
                <w:kern w:val="0"/>
                <w:szCs w:val="21"/>
              </w:rPr>
              <w:t>二级指标</w:t>
            </w:r>
          </w:p>
        </w:tc>
        <w:tc>
          <w:tcPr>
            <w:tcW w:w="773" w:type="dxa"/>
            <w:noWrap/>
            <w:vAlign w:val="center"/>
          </w:tcPr>
          <w:p>
            <w:pPr>
              <w:widowControl/>
              <w:spacing w:line="230" w:lineRule="exact"/>
              <w:jc w:val="center"/>
              <w:rPr>
                <w:color w:val="000000"/>
                <w:kern w:val="0"/>
                <w:szCs w:val="21"/>
              </w:rPr>
            </w:pPr>
            <w:r>
              <w:rPr>
                <w:rFonts w:hint="eastAsia"/>
                <w:color w:val="000000"/>
                <w:kern w:val="0"/>
                <w:szCs w:val="21"/>
              </w:rPr>
              <w:t>三级指标</w:t>
            </w:r>
          </w:p>
        </w:tc>
        <w:tc>
          <w:tcPr>
            <w:tcW w:w="2708" w:type="dxa"/>
            <w:noWrap/>
            <w:vAlign w:val="center"/>
          </w:tcPr>
          <w:p>
            <w:pPr>
              <w:widowControl/>
              <w:spacing w:line="23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509" w:type="dxa"/>
            <w:noWrap/>
            <w:vAlign w:val="center"/>
          </w:tcPr>
          <w:p>
            <w:pPr>
              <w:widowControl/>
              <w:spacing w:line="23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129" w:type="dxa"/>
            <w:noWrap/>
            <w:vAlign w:val="center"/>
          </w:tcPr>
          <w:p>
            <w:pPr>
              <w:widowControl/>
              <w:spacing w:line="23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restart"/>
            <w:noWrap/>
            <w:vAlign w:val="center"/>
          </w:tcPr>
          <w:p>
            <w:pPr>
              <w:widowControl/>
              <w:spacing w:line="230" w:lineRule="exact"/>
              <w:jc w:val="center"/>
              <w:rPr>
                <w:color w:val="000000"/>
                <w:kern w:val="0"/>
                <w:szCs w:val="21"/>
              </w:rPr>
            </w:pPr>
            <w:r>
              <w:rPr>
                <w:rFonts w:hint="eastAsia"/>
                <w:color w:val="000000"/>
                <w:kern w:val="0"/>
                <w:szCs w:val="21"/>
              </w:rPr>
              <w:t>完成</w:t>
            </w:r>
          </w:p>
          <w:p>
            <w:pPr>
              <w:widowControl/>
              <w:spacing w:line="230" w:lineRule="exact"/>
              <w:jc w:val="center"/>
              <w:rPr>
                <w:color w:val="000000"/>
                <w:kern w:val="0"/>
                <w:szCs w:val="21"/>
              </w:rPr>
            </w:pPr>
            <w:r>
              <w:rPr>
                <w:rFonts w:hint="eastAsia"/>
                <w:color w:val="000000"/>
                <w:kern w:val="0"/>
                <w:szCs w:val="21"/>
              </w:rPr>
              <w:t>指标</w:t>
            </w:r>
          </w:p>
        </w:tc>
        <w:tc>
          <w:tcPr>
            <w:tcW w:w="930" w:type="dxa"/>
            <w:vMerge w:val="restart"/>
            <w:noWrap/>
            <w:vAlign w:val="center"/>
          </w:tcPr>
          <w:p>
            <w:pPr>
              <w:widowControl/>
              <w:spacing w:line="230" w:lineRule="exact"/>
              <w:jc w:val="center"/>
              <w:rPr>
                <w:color w:val="000000"/>
                <w:kern w:val="0"/>
                <w:szCs w:val="21"/>
              </w:rPr>
            </w:pPr>
            <w:r>
              <w:rPr>
                <w:rFonts w:hint="eastAsia"/>
                <w:color w:val="000000"/>
                <w:kern w:val="0"/>
                <w:szCs w:val="21"/>
              </w:rPr>
              <w:t>数量</w:t>
            </w:r>
          </w:p>
          <w:p>
            <w:pPr>
              <w:widowControl/>
              <w:spacing w:line="230" w:lineRule="exact"/>
              <w:jc w:val="center"/>
              <w:rPr>
                <w:color w:val="000000"/>
                <w:kern w:val="0"/>
                <w:szCs w:val="21"/>
              </w:rPr>
            </w:pPr>
            <w:r>
              <w:rPr>
                <w:rFonts w:hint="eastAsia"/>
                <w:color w:val="000000"/>
                <w:kern w:val="0"/>
                <w:szCs w:val="21"/>
              </w:rPr>
              <w:t>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 w:val="18"/>
                <w:szCs w:val="18"/>
              </w:rPr>
              <w:t>争取到位地方专项债券</w:t>
            </w:r>
            <w:r>
              <w:rPr>
                <w:rFonts w:hint="eastAsia"/>
                <w:color w:val="000000"/>
                <w:kern w:val="0"/>
                <w:sz w:val="18"/>
                <w:szCs w:val="18"/>
                <w:lang w:val="en-US" w:eastAsia="zh-CN"/>
              </w:rPr>
              <w:t>2000万元</w:t>
            </w:r>
          </w:p>
        </w:tc>
        <w:tc>
          <w:tcPr>
            <w:tcW w:w="1509" w:type="dxa"/>
            <w:noWrap/>
            <w:vAlign w:val="center"/>
          </w:tcPr>
          <w:p>
            <w:pPr>
              <w:widowControl/>
              <w:spacing w:line="230" w:lineRule="exact"/>
              <w:jc w:val="left"/>
              <w:rPr>
                <w:color w:val="000000"/>
                <w:kern w:val="0"/>
                <w:szCs w:val="21"/>
              </w:rPr>
            </w:pPr>
            <w:r>
              <w:rPr>
                <w:rFonts w:hint="eastAsia"/>
                <w:color w:val="000000"/>
                <w:kern w:val="0"/>
                <w:sz w:val="20"/>
                <w:szCs w:val="20"/>
              </w:rPr>
              <w:t>争取到位地方专项债券</w:t>
            </w:r>
            <w:r>
              <w:rPr>
                <w:rFonts w:hint="eastAsia"/>
                <w:color w:val="000000"/>
                <w:kern w:val="0"/>
                <w:sz w:val="20"/>
                <w:szCs w:val="20"/>
                <w:lang w:val="en-US" w:eastAsia="zh-CN"/>
              </w:rPr>
              <w:t>3</w:t>
            </w:r>
            <w:r>
              <w:rPr>
                <w:rFonts w:hint="eastAsia"/>
                <w:color w:val="000000"/>
                <w:kern w:val="0"/>
                <w:sz w:val="20"/>
                <w:szCs w:val="20"/>
              </w:rPr>
              <w:t>000万元</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2:</w:t>
            </w:r>
          </w:p>
        </w:tc>
        <w:tc>
          <w:tcPr>
            <w:tcW w:w="2708"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rPr>
              <w:t>邀请10家以上家知名企业到园区实地考察、洽谈</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lang w:val="en-US" w:eastAsia="zh-CN"/>
              </w:rPr>
              <w:t>18家单位来园考察洽谈</w:t>
            </w:r>
          </w:p>
        </w:tc>
        <w:tc>
          <w:tcPr>
            <w:tcW w:w="212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Cs w:val="21"/>
                <w:lang w:val="en-US" w:eastAsia="zh-CN"/>
              </w:rPr>
              <w:t>指标3:</w:t>
            </w:r>
          </w:p>
        </w:tc>
        <w:tc>
          <w:tcPr>
            <w:tcW w:w="2708"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乐至县国家农村产业融合发展示范园区建设项目--园区主干道路</w:t>
            </w:r>
            <w:r>
              <w:rPr>
                <w:rFonts w:hint="eastAsia"/>
                <w:color w:val="000000"/>
                <w:kern w:val="0"/>
                <w:sz w:val="18"/>
                <w:szCs w:val="18"/>
                <w:lang w:val="en-US" w:eastAsia="zh-CN"/>
              </w:rPr>
              <w:t>基</w:t>
            </w:r>
            <w:r>
              <w:rPr>
                <w:rFonts w:hint="eastAsia"/>
                <w:color w:val="000000"/>
                <w:kern w:val="0"/>
                <w:sz w:val="18"/>
                <w:szCs w:val="18"/>
              </w:rPr>
              <w:t>建设</w:t>
            </w:r>
            <w:r>
              <w:rPr>
                <w:rFonts w:hint="eastAsia"/>
                <w:color w:val="000000"/>
                <w:kern w:val="0"/>
                <w:sz w:val="18"/>
                <w:szCs w:val="18"/>
                <w:lang w:val="en-US" w:eastAsia="zh-CN"/>
              </w:rPr>
              <w:t>6.5公里</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6.5公里</w:t>
            </w:r>
          </w:p>
        </w:tc>
        <w:tc>
          <w:tcPr>
            <w:tcW w:w="2129"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restart"/>
            <w:noWrap/>
            <w:vAlign w:val="center"/>
          </w:tcPr>
          <w:p>
            <w:pPr>
              <w:widowControl/>
              <w:spacing w:line="230" w:lineRule="exact"/>
              <w:jc w:val="center"/>
              <w:rPr>
                <w:color w:val="000000"/>
                <w:kern w:val="0"/>
                <w:szCs w:val="21"/>
              </w:rPr>
            </w:pPr>
            <w:r>
              <w:rPr>
                <w:rFonts w:hint="eastAsia"/>
                <w:color w:val="000000"/>
                <w:kern w:val="0"/>
                <w:szCs w:val="21"/>
              </w:rPr>
              <w:t>质量</w:t>
            </w:r>
          </w:p>
          <w:p>
            <w:pPr>
              <w:widowControl/>
              <w:spacing w:line="230" w:lineRule="exact"/>
              <w:jc w:val="center"/>
              <w:rPr>
                <w:color w:val="000000"/>
                <w:kern w:val="0"/>
                <w:szCs w:val="21"/>
              </w:rPr>
            </w:pPr>
            <w:r>
              <w:rPr>
                <w:rFonts w:hint="eastAsia"/>
                <w:color w:val="000000"/>
                <w:kern w:val="0"/>
                <w:szCs w:val="21"/>
              </w:rPr>
              <w:t>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推进旅游接待及科教博览展示中心</w:t>
            </w:r>
            <w:r>
              <w:rPr>
                <w:rFonts w:hint="eastAsia"/>
                <w:color w:val="000000"/>
                <w:kern w:val="0"/>
                <w:sz w:val="18"/>
                <w:szCs w:val="18"/>
                <w:lang w:val="en-US" w:eastAsia="zh-CN"/>
              </w:rPr>
              <w:t>主体框架建设</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基本完成</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2:</w:t>
            </w:r>
          </w:p>
        </w:tc>
        <w:tc>
          <w:tcPr>
            <w:tcW w:w="2708"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rPr>
              <w:t>完成四川乐至国家林业科技示范园区扶贫建设项目--道路三标段</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高质量完成</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color w:val="000000"/>
                <w:kern w:val="0"/>
                <w:szCs w:val="21"/>
              </w:rPr>
            </w:pPr>
            <w:r>
              <w:rPr>
                <w:rFonts w:hint="eastAsia"/>
                <w:color w:val="000000"/>
                <w:kern w:val="0"/>
                <w:szCs w:val="21"/>
                <w:lang w:val="en-US" w:eastAsia="zh-CN"/>
              </w:rPr>
              <w:t>指标3：</w:t>
            </w:r>
          </w:p>
        </w:tc>
        <w:tc>
          <w:tcPr>
            <w:tcW w:w="2708"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rPr>
              <w:t>完成产业基础设施及道路绿化等建设</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全面竣工</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restart"/>
            <w:noWrap/>
            <w:vAlign w:val="center"/>
          </w:tcPr>
          <w:p>
            <w:pPr>
              <w:widowControl/>
              <w:spacing w:line="230" w:lineRule="exact"/>
              <w:jc w:val="center"/>
              <w:rPr>
                <w:color w:val="000000"/>
                <w:kern w:val="0"/>
                <w:szCs w:val="21"/>
              </w:rPr>
            </w:pPr>
            <w:r>
              <w:rPr>
                <w:rFonts w:hint="eastAsia"/>
                <w:color w:val="000000"/>
                <w:kern w:val="0"/>
                <w:szCs w:val="21"/>
              </w:rPr>
              <w:t>时效</w:t>
            </w:r>
          </w:p>
          <w:p>
            <w:pPr>
              <w:widowControl/>
              <w:spacing w:line="230" w:lineRule="exact"/>
              <w:jc w:val="center"/>
              <w:rPr>
                <w:color w:val="000000"/>
                <w:kern w:val="0"/>
                <w:szCs w:val="21"/>
              </w:rPr>
            </w:pPr>
            <w:r>
              <w:rPr>
                <w:rFonts w:hint="eastAsia"/>
                <w:color w:val="000000"/>
                <w:kern w:val="0"/>
                <w:szCs w:val="21"/>
              </w:rPr>
              <w:t>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lang w:val="en-US" w:eastAsia="zh-CN"/>
              </w:rPr>
              <w:t>预计4月底前</w:t>
            </w:r>
            <w:r>
              <w:rPr>
                <w:rFonts w:hint="eastAsia"/>
                <w:color w:val="000000"/>
                <w:kern w:val="0"/>
                <w:sz w:val="18"/>
                <w:szCs w:val="18"/>
              </w:rPr>
              <w:t>启动四川乐至国家林业科技示范园区扶贫建设项目--道路三标段项目验收</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4月底前启动</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2:</w:t>
            </w:r>
          </w:p>
        </w:tc>
        <w:tc>
          <w:tcPr>
            <w:tcW w:w="2708" w:type="dxa"/>
            <w:noWrap/>
            <w:vAlign w:val="center"/>
          </w:tcPr>
          <w:p>
            <w:pPr>
              <w:widowControl/>
              <w:spacing w:line="230" w:lineRule="exact"/>
              <w:jc w:val="left"/>
              <w:rPr>
                <w:rFonts w:hint="eastAsia"/>
                <w:color w:val="000000"/>
                <w:kern w:val="0"/>
                <w:sz w:val="18"/>
                <w:szCs w:val="18"/>
              </w:rPr>
            </w:pPr>
            <w:r>
              <w:rPr>
                <w:rFonts w:hint="eastAsia"/>
                <w:color w:val="000000"/>
                <w:kern w:val="0"/>
                <w:sz w:val="18"/>
                <w:szCs w:val="18"/>
                <w:lang w:val="en-US" w:eastAsia="zh-CN"/>
              </w:rPr>
              <w:t>预计3月底前</w:t>
            </w:r>
            <w:r>
              <w:rPr>
                <w:rFonts w:hint="eastAsia"/>
                <w:color w:val="000000"/>
                <w:kern w:val="0"/>
                <w:sz w:val="18"/>
                <w:szCs w:val="18"/>
              </w:rPr>
              <w:t>启动乐至县国家农村产业融合发展示范园区建设项目--园区主干道路建设</w:t>
            </w:r>
          </w:p>
        </w:tc>
        <w:tc>
          <w:tcPr>
            <w:tcW w:w="1509" w:type="dxa"/>
            <w:noWrap/>
            <w:vAlign w:val="center"/>
          </w:tcPr>
          <w:p>
            <w:pPr>
              <w:widowControl/>
              <w:spacing w:line="230" w:lineRule="exact"/>
              <w:jc w:val="left"/>
              <w:rPr>
                <w:rFonts w:hint="default" w:eastAsia="宋体"/>
                <w:color w:val="000000"/>
                <w:kern w:val="0"/>
                <w:sz w:val="18"/>
                <w:szCs w:val="18"/>
                <w:lang w:val="en-US" w:eastAsia="zh-CN"/>
              </w:rPr>
            </w:pPr>
            <w:r>
              <w:rPr>
                <w:rFonts w:hint="eastAsia"/>
                <w:color w:val="000000"/>
                <w:kern w:val="0"/>
                <w:sz w:val="18"/>
                <w:szCs w:val="18"/>
              </w:rPr>
              <w:t>　</w:t>
            </w:r>
            <w:r>
              <w:rPr>
                <w:rFonts w:hint="eastAsia"/>
                <w:color w:val="000000"/>
                <w:kern w:val="0"/>
                <w:sz w:val="18"/>
                <w:szCs w:val="18"/>
                <w:lang w:val="en-US" w:eastAsia="zh-CN"/>
              </w:rPr>
              <w:t>3月底前启动</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restart"/>
            <w:noWrap/>
            <w:vAlign w:val="center"/>
          </w:tcPr>
          <w:p>
            <w:pPr>
              <w:widowControl/>
              <w:spacing w:line="230" w:lineRule="exact"/>
              <w:jc w:val="center"/>
              <w:rPr>
                <w:color w:val="000000"/>
                <w:kern w:val="0"/>
                <w:szCs w:val="21"/>
              </w:rPr>
            </w:pPr>
            <w:r>
              <w:rPr>
                <w:rFonts w:hint="eastAsia"/>
                <w:color w:val="000000"/>
                <w:kern w:val="0"/>
                <w:szCs w:val="21"/>
              </w:rPr>
              <w:t>成本</w:t>
            </w:r>
          </w:p>
          <w:p>
            <w:pPr>
              <w:widowControl/>
              <w:spacing w:line="230" w:lineRule="exact"/>
              <w:jc w:val="center"/>
              <w:rPr>
                <w:color w:val="000000"/>
                <w:kern w:val="0"/>
                <w:szCs w:val="21"/>
              </w:rPr>
            </w:pPr>
            <w:r>
              <w:rPr>
                <w:rFonts w:hint="eastAsia"/>
                <w:color w:val="000000"/>
                <w:kern w:val="0"/>
                <w:szCs w:val="21"/>
              </w:rPr>
              <w:t>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修建旅游接待及科教博览展示中心≤4209万</w:t>
            </w:r>
          </w:p>
        </w:tc>
        <w:tc>
          <w:tcPr>
            <w:tcW w:w="1509"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　≤4209万</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2:</w:t>
            </w:r>
          </w:p>
        </w:tc>
        <w:tc>
          <w:tcPr>
            <w:tcW w:w="2708"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乐至县国家农村产业融合发展示范园区建设项目--园区主干道路建设≤1.1亿</w:t>
            </w:r>
          </w:p>
        </w:tc>
        <w:tc>
          <w:tcPr>
            <w:tcW w:w="1509"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　≤1.1亿</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5"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vMerge w:val="continue"/>
            <w:noWrap w:val="0"/>
            <w:vAlign w:val="center"/>
          </w:tcPr>
          <w:p>
            <w:pPr>
              <w:widowControl/>
              <w:spacing w:line="230" w:lineRule="exact"/>
              <w:jc w:val="left"/>
              <w:rPr>
                <w:color w:val="000000"/>
                <w:kern w:val="0"/>
                <w:szCs w:val="21"/>
              </w:rPr>
            </w:pPr>
          </w:p>
        </w:tc>
        <w:tc>
          <w:tcPr>
            <w:tcW w:w="773" w:type="dxa"/>
            <w:noWrap/>
            <w:vAlign w:val="center"/>
          </w:tcPr>
          <w:p>
            <w:pPr>
              <w:widowControl/>
              <w:spacing w:line="230" w:lineRule="exact"/>
              <w:jc w:val="left"/>
              <w:rPr>
                <w:rFonts w:hint="default" w:eastAsia="宋体"/>
                <w:color w:val="000000"/>
                <w:kern w:val="0"/>
                <w:szCs w:val="21"/>
                <w:lang w:val="en-US" w:eastAsia="zh-CN"/>
              </w:rPr>
            </w:pPr>
            <w:r>
              <w:rPr>
                <w:rFonts w:hint="eastAsia"/>
                <w:color w:val="000000"/>
                <w:kern w:val="0"/>
                <w:szCs w:val="21"/>
                <w:lang w:val="en-US" w:eastAsia="zh-CN"/>
              </w:rPr>
              <w:t>指标3:</w:t>
            </w:r>
          </w:p>
        </w:tc>
        <w:tc>
          <w:tcPr>
            <w:tcW w:w="2708"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产业基础设施及道路绿化≤484万</w:t>
            </w:r>
          </w:p>
        </w:tc>
        <w:tc>
          <w:tcPr>
            <w:tcW w:w="1509"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　≤484万</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restart"/>
            <w:noWrap/>
            <w:vAlign w:val="center"/>
          </w:tcPr>
          <w:p>
            <w:pPr>
              <w:widowControl/>
              <w:spacing w:line="230" w:lineRule="exact"/>
              <w:jc w:val="center"/>
              <w:rPr>
                <w:color w:val="000000"/>
                <w:kern w:val="0"/>
                <w:szCs w:val="21"/>
              </w:rPr>
            </w:pPr>
            <w:r>
              <w:rPr>
                <w:rFonts w:hint="eastAsia"/>
                <w:color w:val="000000"/>
                <w:kern w:val="0"/>
                <w:szCs w:val="21"/>
              </w:rPr>
              <w:t>效益</w:t>
            </w:r>
          </w:p>
          <w:p>
            <w:pPr>
              <w:widowControl/>
              <w:spacing w:line="230" w:lineRule="exact"/>
              <w:jc w:val="center"/>
              <w:rPr>
                <w:color w:val="000000"/>
                <w:kern w:val="0"/>
                <w:szCs w:val="21"/>
              </w:rPr>
            </w:pPr>
            <w:r>
              <w:rPr>
                <w:rFonts w:hint="eastAsia"/>
                <w:color w:val="000000"/>
                <w:kern w:val="0"/>
                <w:szCs w:val="21"/>
              </w:rPr>
              <w:t>指标</w:t>
            </w:r>
          </w:p>
        </w:tc>
        <w:tc>
          <w:tcPr>
            <w:tcW w:w="930" w:type="dxa"/>
            <w:noWrap/>
            <w:vAlign w:val="center"/>
          </w:tcPr>
          <w:p>
            <w:pPr>
              <w:widowControl/>
              <w:spacing w:line="230" w:lineRule="exact"/>
              <w:jc w:val="center"/>
              <w:rPr>
                <w:color w:val="000000"/>
                <w:kern w:val="0"/>
                <w:szCs w:val="21"/>
              </w:rPr>
            </w:pPr>
            <w:r>
              <w:rPr>
                <w:rFonts w:hint="eastAsia"/>
                <w:color w:val="000000"/>
                <w:kern w:val="0"/>
                <w:szCs w:val="21"/>
              </w:rPr>
              <w:t>经济效益指标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预计提高园区内农民人均收入300元/人年</w:t>
            </w:r>
          </w:p>
        </w:tc>
        <w:tc>
          <w:tcPr>
            <w:tcW w:w="1509"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　320</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noWrap/>
            <w:vAlign w:val="center"/>
          </w:tcPr>
          <w:p>
            <w:pPr>
              <w:widowControl/>
              <w:spacing w:line="230" w:lineRule="exact"/>
              <w:jc w:val="center"/>
              <w:rPr>
                <w:color w:val="000000"/>
                <w:kern w:val="0"/>
                <w:szCs w:val="21"/>
              </w:rPr>
            </w:pPr>
            <w:r>
              <w:rPr>
                <w:rFonts w:hint="eastAsia"/>
                <w:color w:val="000000"/>
                <w:kern w:val="0"/>
                <w:szCs w:val="21"/>
              </w:rPr>
              <w:t>生态效益指标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eastAsia"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主干道景观绿化建设，沿线房屋外墙风貌整治20户</w:t>
            </w:r>
          </w:p>
        </w:tc>
        <w:tc>
          <w:tcPr>
            <w:tcW w:w="1509" w:type="dxa"/>
            <w:noWrap/>
            <w:vAlign w:val="center"/>
          </w:tcPr>
          <w:p>
            <w:pPr>
              <w:widowControl/>
              <w:spacing w:line="230" w:lineRule="exact"/>
              <w:jc w:val="left"/>
              <w:rPr>
                <w:rFonts w:hint="default" w:ascii="Times New Roman" w:hAnsi="Times New Roman" w:eastAsia="宋体" w:cs="Times New Roman"/>
                <w:color w:val="000000"/>
                <w:kern w:val="0"/>
                <w:sz w:val="18"/>
                <w:szCs w:val="18"/>
                <w:lang w:val="en-US" w:eastAsia="zh-CN" w:bidi="ar-SA"/>
              </w:rPr>
            </w:pPr>
            <w:r>
              <w:rPr>
                <w:rFonts w:hint="eastAsia"/>
                <w:color w:val="000000"/>
                <w:kern w:val="0"/>
                <w:sz w:val="18"/>
                <w:szCs w:val="18"/>
                <w:lang w:val="en-US" w:eastAsia="zh-CN"/>
              </w:rPr>
              <w:t>　22户</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vMerge w:val="continue"/>
            <w:noWrap w:val="0"/>
            <w:vAlign w:val="center"/>
          </w:tcPr>
          <w:p>
            <w:pPr>
              <w:widowControl/>
              <w:spacing w:line="230" w:lineRule="exact"/>
              <w:jc w:val="left"/>
              <w:rPr>
                <w:color w:val="000000"/>
                <w:kern w:val="0"/>
                <w:szCs w:val="21"/>
              </w:rPr>
            </w:pPr>
          </w:p>
        </w:tc>
        <w:tc>
          <w:tcPr>
            <w:tcW w:w="930" w:type="dxa"/>
            <w:noWrap/>
            <w:vAlign w:val="center"/>
          </w:tcPr>
          <w:p>
            <w:pPr>
              <w:widowControl/>
              <w:spacing w:line="230" w:lineRule="exact"/>
              <w:jc w:val="center"/>
              <w:rPr>
                <w:color w:val="000000"/>
                <w:kern w:val="0"/>
                <w:szCs w:val="21"/>
              </w:rPr>
            </w:pPr>
            <w:r>
              <w:rPr>
                <w:rFonts w:hint="eastAsia"/>
                <w:color w:val="000000"/>
                <w:kern w:val="0"/>
                <w:szCs w:val="21"/>
              </w:rPr>
              <w:t>可持续影响指标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 xml:space="preserve">确保园区良好发展 </w:t>
            </w:r>
          </w:p>
        </w:tc>
        <w:tc>
          <w:tcPr>
            <w:tcW w:w="1509" w:type="dxa"/>
            <w:noWrap/>
            <w:vAlign w:val="center"/>
          </w:tcPr>
          <w:p>
            <w:pPr>
              <w:widowControl/>
              <w:spacing w:line="230" w:lineRule="exact"/>
              <w:jc w:val="left"/>
              <w:rPr>
                <w:rFonts w:hint="eastAsia"/>
                <w:color w:val="000000"/>
                <w:kern w:val="0"/>
                <w:sz w:val="18"/>
                <w:szCs w:val="18"/>
                <w:lang w:val="en-US" w:eastAsia="zh-CN"/>
              </w:rPr>
            </w:pPr>
            <w:r>
              <w:rPr>
                <w:rFonts w:hint="eastAsia"/>
                <w:color w:val="000000"/>
                <w:kern w:val="0"/>
                <w:sz w:val="18"/>
                <w:szCs w:val="18"/>
                <w:lang w:val="en-US" w:eastAsia="zh-CN"/>
              </w:rPr>
              <w:t>　确保</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746" w:type="dxa"/>
            <w:vMerge w:val="continue"/>
            <w:noWrap w:val="0"/>
            <w:vAlign w:val="center"/>
          </w:tcPr>
          <w:p>
            <w:pPr>
              <w:widowControl/>
              <w:spacing w:line="230" w:lineRule="exact"/>
              <w:jc w:val="left"/>
              <w:rPr>
                <w:color w:val="000000"/>
                <w:kern w:val="0"/>
                <w:szCs w:val="21"/>
              </w:rPr>
            </w:pPr>
          </w:p>
        </w:tc>
        <w:tc>
          <w:tcPr>
            <w:tcW w:w="776" w:type="dxa"/>
            <w:noWrap/>
            <w:vAlign w:val="center"/>
          </w:tcPr>
          <w:p>
            <w:pPr>
              <w:widowControl/>
              <w:spacing w:line="230" w:lineRule="exact"/>
              <w:jc w:val="center"/>
              <w:rPr>
                <w:color w:val="000000"/>
                <w:kern w:val="0"/>
                <w:szCs w:val="21"/>
              </w:rPr>
            </w:pPr>
            <w:r>
              <w:rPr>
                <w:rFonts w:hint="eastAsia"/>
                <w:color w:val="000000"/>
                <w:kern w:val="0"/>
                <w:szCs w:val="21"/>
              </w:rPr>
              <w:t>满意度</w:t>
            </w:r>
          </w:p>
          <w:p>
            <w:pPr>
              <w:widowControl/>
              <w:spacing w:line="230" w:lineRule="exact"/>
              <w:jc w:val="center"/>
              <w:rPr>
                <w:color w:val="000000"/>
                <w:kern w:val="0"/>
                <w:szCs w:val="21"/>
              </w:rPr>
            </w:pPr>
            <w:r>
              <w:rPr>
                <w:rFonts w:hint="eastAsia"/>
                <w:color w:val="000000"/>
                <w:kern w:val="0"/>
                <w:szCs w:val="21"/>
              </w:rPr>
              <w:t>指标</w:t>
            </w:r>
          </w:p>
        </w:tc>
        <w:tc>
          <w:tcPr>
            <w:tcW w:w="930" w:type="dxa"/>
            <w:noWrap/>
            <w:vAlign w:val="center"/>
          </w:tcPr>
          <w:p>
            <w:pPr>
              <w:widowControl/>
              <w:spacing w:line="230" w:lineRule="exact"/>
              <w:jc w:val="center"/>
              <w:rPr>
                <w:color w:val="000000"/>
                <w:kern w:val="0"/>
                <w:szCs w:val="21"/>
              </w:rPr>
            </w:pPr>
            <w:r>
              <w:rPr>
                <w:rFonts w:hint="eastAsia"/>
                <w:color w:val="000000"/>
                <w:kern w:val="0"/>
                <w:szCs w:val="21"/>
              </w:rPr>
              <w:t>满意度指标</w:t>
            </w:r>
          </w:p>
        </w:tc>
        <w:tc>
          <w:tcPr>
            <w:tcW w:w="773" w:type="dxa"/>
            <w:noWrap/>
            <w:vAlign w:val="center"/>
          </w:tcPr>
          <w:p>
            <w:pPr>
              <w:widowControl/>
              <w:spacing w:line="230" w:lineRule="exact"/>
              <w:jc w:val="left"/>
              <w:rPr>
                <w:color w:val="000000"/>
                <w:kern w:val="0"/>
                <w:szCs w:val="21"/>
              </w:rPr>
            </w:pPr>
            <w:r>
              <w:rPr>
                <w:rFonts w:hint="eastAsia"/>
                <w:color w:val="000000"/>
                <w:kern w:val="0"/>
                <w:szCs w:val="21"/>
              </w:rPr>
              <w:t>指标</w:t>
            </w:r>
            <w:r>
              <w:rPr>
                <w:color w:val="000000"/>
                <w:kern w:val="0"/>
                <w:szCs w:val="21"/>
              </w:rPr>
              <w:t>1:</w:t>
            </w:r>
          </w:p>
        </w:tc>
        <w:tc>
          <w:tcPr>
            <w:tcW w:w="2708"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群众对园区建设的满意度90%</w:t>
            </w:r>
          </w:p>
        </w:tc>
        <w:tc>
          <w:tcPr>
            <w:tcW w:w="1509" w:type="dxa"/>
            <w:noWrap/>
            <w:vAlign w:val="center"/>
          </w:tcPr>
          <w:p>
            <w:pPr>
              <w:widowControl/>
              <w:spacing w:line="230" w:lineRule="exact"/>
              <w:jc w:val="left"/>
              <w:rPr>
                <w:rFonts w:hint="default"/>
                <w:color w:val="000000"/>
                <w:kern w:val="0"/>
                <w:sz w:val="18"/>
                <w:szCs w:val="18"/>
                <w:lang w:val="en-US" w:eastAsia="zh-CN"/>
              </w:rPr>
            </w:pPr>
            <w:r>
              <w:rPr>
                <w:rFonts w:hint="eastAsia"/>
                <w:color w:val="000000"/>
                <w:kern w:val="0"/>
                <w:sz w:val="18"/>
                <w:szCs w:val="18"/>
                <w:lang w:val="en-US" w:eastAsia="zh-CN"/>
              </w:rPr>
              <w:t>　92%</w:t>
            </w:r>
          </w:p>
        </w:tc>
        <w:tc>
          <w:tcPr>
            <w:tcW w:w="2129" w:type="dxa"/>
            <w:noWrap/>
            <w:vAlign w:val="center"/>
          </w:tcPr>
          <w:p>
            <w:pPr>
              <w:widowControl/>
              <w:spacing w:line="230" w:lineRule="exact"/>
              <w:jc w:val="left"/>
              <w:rPr>
                <w:color w:val="000000"/>
                <w:kern w:val="0"/>
                <w:szCs w:val="21"/>
              </w:rPr>
            </w:pPr>
            <w:r>
              <w:rPr>
                <w:rFonts w:hint="eastAsia"/>
                <w:color w:val="000000"/>
                <w:kern w:val="0"/>
                <w:szCs w:val="21"/>
              </w:rPr>
              <w:t>　</w:t>
            </w:r>
          </w:p>
        </w:tc>
      </w:tr>
    </w:tbl>
    <w:p/>
    <w:p>
      <w:pPr>
        <w:pStyle w:val="7"/>
        <w:spacing w:before="93"/>
        <w:rPr>
          <w:rFonts w:hAnsi="宋体" w:cs="宋体"/>
          <w:sz w:val="32"/>
          <w:szCs w:val="32"/>
          <w:shd w:val="clear" w:color="auto" w:fill="FFFFFF"/>
          <w:lang w:val="zh-CN"/>
        </w:rPr>
      </w:pPr>
    </w:p>
    <w:p>
      <w:pPr>
        <w:pStyle w:val="7"/>
        <w:spacing w:before="93"/>
        <w:rPr>
          <w:rFonts w:hAnsi="宋体" w:cs="宋体"/>
          <w:sz w:val="32"/>
          <w:szCs w:val="32"/>
          <w:shd w:val="clear" w:color="auto" w:fill="FFFFFF"/>
          <w:lang w:val="zh-CN"/>
        </w:rPr>
      </w:pPr>
    </w:p>
    <w:p>
      <w:pPr>
        <w:pStyle w:val="7"/>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2年乐至县项目支出绩效自评报告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eastAsia="方正楷体简体"/>
          <w:b/>
          <w:sz w:val="32"/>
          <w:szCs w:val="32"/>
          <w:lang w:val="en-US" w:eastAsia="zh-CN"/>
        </w:rPr>
        <w:t>工作经费</w:t>
      </w:r>
      <w:r>
        <w:rPr>
          <w:rFonts w:hint="eastAsia" w:eastAsia="方正楷体简体"/>
          <w:b/>
          <w:sz w:val="32"/>
          <w:szCs w:val="32"/>
        </w:rPr>
        <w:t>项目）</w:t>
      </w:r>
    </w:p>
    <w:p>
      <w:pPr>
        <w:spacing w:line="580" w:lineRule="exact"/>
        <w:ind w:firstLine="640" w:firstLineChars="200"/>
        <w:rPr>
          <w:rFonts w:eastAsia="方正仿宋简体"/>
          <w:sz w:val="32"/>
          <w:szCs w:val="32"/>
        </w:rPr>
      </w:pPr>
    </w:p>
    <w:p>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pPr>
        <w:spacing w:line="580" w:lineRule="exact"/>
        <w:jc w:val="center"/>
        <w:rPr>
          <w:rFonts w:eastAsia="方正黑体简体"/>
          <w:sz w:val="32"/>
          <w:szCs w:val="32"/>
        </w:rPr>
      </w:pP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spacing w:line="580" w:lineRule="exact"/>
        <w:ind w:firstLine="643" w:firstLineChars="200"/>
        <w:rPr>
          <w:rFonts w:hint="eastAsia" w:eastAsia="方正仿宋简体"/>
          <w:sz w:val="32"/>
          <w:szCs w:val="32"/>
        </w:rPr>
      </w:pPr>
      <w:r>
        <w:rPr>
          <w:rFonts w:eastAsia="方正仿宋简体"/>
          <w:b/>
          <w:sz w:val="32"/>
          <w:szCs w:val="32"/>
        </w:rPr>
        <w:t>1.</w:t>
      </w:r>
      <w:r>
        <w:rPr>
          <w:rFonts w:hint="eastAsia" w:eastAsia="方正仿宋简体"/>
          <w:sz w:val="32"/>
          <w:szCs w:val="32"/>
        </w:rPr>
        <w:t>立项背景及目的</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根据县委、县政府总体部署和目标任务安排，园区管委会要加强园区管理，不断提升园区整体形象，加大园区的宣传力度，积极配合省、市、县和其他市、县考察调研，承接植树节、重点项目拉练等重大活动的现场筹备工作。为了顺利做好以上工作需要工作经费支持，特设立工作经费项目，用于支付完成景观绿化带、苗木秀芝整形和除草，主干道风貌塑造，河道环境整治，园区宣传资料制作，科普展示牌、宣传广告、展板制作，重大活动现场筹备等一系列工作开支。</w:t>
      </w:r>
    </w:p>
    <w:p>
      <w:pPr>
        <w:numPr>
          <w:ilvl w:val="0"/>
          <w:numId w:val="0"/>
        </w:numPr>
        <w:spacing w:line="580" w:lineRule="exact"/>
        <w:ind w:firstLine="640" w:firstLineChars="200"/>
        <w:rPr>
          <w:rFonts w:hint="eastAsia" w:eastAsia="方正仿宋简体"/>
          <w:sz w:val="32"/>
          <w:szCs w:val="32"/>
        </w:rPr>
      </w:pPr>
      <w:r>
        <w:rPr>
          <w:rFonts w:hint="eastAsia" w:eastAsia="方正仿宋简体"/>
          <w:sz w:val="32"/>
          <w:szCs w:val="32"/>
          <w:lang w:val="en-US" w:eastAsia="zh-CN"/>
        </w:rPr>
        <w:t>2.</w:t>
      </w:r>
      <w:r>
        <w:rPr>
          <w:rFonts w:hint="eastAsia" w:eastAsia="方正仿宋简体"/>
          <w:sz w:val="32"/>
          <w:szCs w:val="32"/>
        </w:rPr>
        <w:t>预算资金来源及使用情况</w:t>
      </w:r>
    </w:p>
    <w:p>
      <w:pPr>
        <w:pStyle w:val="36"/>
        <w:numPr>
          <w:ilvl w:val="0"/>
          <w:numId w:val="0"/>
        </w:numPr>
        <w:ind w:leftChars="0"/>
        <w:rPr>
          <w:rFonts w:hint="default" w:eastAsia="宋体"/>
          <w:lang w:val="en-US" w:eastAsia="zh-CN"/>
        </w:rPr>
      </w:pPr>
      <w:r>
        <w:rPr>
          <w:rFonts w:hint="eastAsia"/>
          <w:lang w:val="en-US" w:eastAsia="zh-CN"/>
        </w:rPr>
        <w:t xml:space="preserve">    </w:t>
      </w:r>
      <w:r>
        <w:rPr>
          <w:rFonts w:hint="eastAsia" w:ascii="Times New Roman" w:hAnsi="Times New Roman" w:eastAsia="方正仿宋简体" w:cs="Times New Roman"/>
          <w:kern w:val="2"/>
          <w:sz w:val="32"/>
          <w:szCs w:val="32"/>
          <w:lang w:val="en-US" w:eastAsia="zh-CN" w:bidi="ar-SA"/>
        </w:rPr>
        <w:t xml:space="preserve"> 预算资金来源于财政资金。</w:t>
      </w:r>
      <w:r>
        <w:rPr>
          <w:rFonts w:hint="eastAsia" w:eastAsia="方正仿宋简体"/>
          <w:sz w:val="32"/>
          <w:szCs w:val="32"/>
          <w:lang w:val="en-US" w:eastAsia="zh-CN"/>
        </w:rPr>
        <w:t>园区管委会</w:t>
      </w:r>
      <w:r>
        <w:rPr>
          <w:rFonts w:hint="eastAsia" w:eastAsia="仿宋_GB2312"/>
          <w:sz w:val="32"/>
          <w:szCs w:val="32"/>
          <w:lang w:val="en-US" w:eastAsia="zh-CN"/>
        </w:rPr>
        <w:t>向县人民政府申请工作经费</w:t>
      </w:r>
      <w:r>
        <w:rPr>
          <w:rFonts w:hint="eastAsia" w:eastAsia="方正仿宋简体"/>
          <w:sz w:val="32"/>
          <w:szCs w:val="32"/>
          <w:lang w:val="en-US" w:eastAsia="zh-CN"/>
        </w:rPr>
        <w:t>制发文件</w:t>
      </w:r>
      <w:r>
        <w:rPr>
          <w:rFonts w:hint="eastAsia" w:eastAsia="仿宋_GB2312"/>
          <w:sz w:val="32"/>
          <w:szCs w:val="32"/>
        </w:rPr>
        <w:t>乐融管</w:t>
      </w:r>
      <w:r>
        <w:rPr>
          <w:rFonts w:hint="eastAsia" w:ascii="Times New Roman" w:hAnsi="Times New Roman" w:eastAsia="方正仿宋简体" w:cs="Times New Roman"/>
          <w:kern w:val="2"/>
          <w:sz w:val="32"/>
          <w:szCs w:val="32"/>
          <w:lang w:val="en-US" w:eastAsia="zh-CN" w:bidi="ar-SA"/>
        </w:rPr>
        <w:t>〔2021〕18</w:t>
      </w:r>
      <w:r>
        <w:rPr>
          <w:rFonts w:hint="eastAsia" w:eastAsia="仿宋_GB2312"/>
          <w:sz w:val="32"/>
          <w:szCs w:val="32"/>
        </w:rPr>
        <w:t>号</w:t>
      </w:r>
      <w:r>
        <w:rPr>
          <w:rFonts w:hint="eastAsia" w:eastAsia="仿宋_GB2312"/>
          <w:sz w:val="32"/>
          <w:szCs w:val="32"/>
          <w:lang w:val="en-US" w:eastAsia="zh-CN"/>
        </w:rPr>
        <w:t>和</w:t>
      </w:r>
      <w:r>
        <w:rPr>
          <w:rFonts w:eastAsia="仿宋_GB2312"/>
          <w:sz w:val="32"/>
          <w:szCs w:val="32"/>
        </w:rPr>
        <w:t>乐融管</w:t>
      </w:r>
      <w:r>
        <w:rPr>
          <w:rFonts w:hint="eastAsia" w:ascii="Times New Roman" w:hAnsi="Times New Roman" w:eastAsia="方正仿宋简体" w:cs="Times New Roman"/>
          <w:kern w:val="2"/>
          <w:sz w:val="32"/>
          <w:szCs w:val="32"/>
          <w:lang w:val="en-US" w:eastAsia="zh-CN" w:bidi="ar-SA"/>
        </w:rPr>
        <w:t>〔2022〕5</w:t>
      </w:r>
      <w:r>
        <w:rPr>
          <w:rFonts w:eastAsia="仿宋_GB2312"/>
          <w:sz w:val="32"/>
          <w:szCs w:val="32"/>
        </w:rPr>
        <w:t>号</w:t>
      </w:r>
      <w:r>
        <w:rPr>
          <w:rFonts w:hint="eastAsia" w:eastAsia="仿宋_GB2312"/>
          <w:sz w:val="32"/>
          <w:szCs w:val="32"/>
          <w:lang w:val="en-US" w:eastAsia="zh-CN"/>
        </w:rPr>
        <w:t>，获得批准工作经费各</w:t>
      </w:r>
      <w:r>
        <w:rPr>
          <w:rFonts w:hint="eastAsia" w:ascii="Times New Roman" w:hAnsi="Times New Roman" w:eastAsia="方正仿宋简体" w:cs="Times New Roman"/>
          <w:kern w:val="2"/>
          <w:sz w:val="32"/>
          <w:szCs w:val="32"/>
          <w:lang w:val="en-US" w:eastAsia="zh-CN" w:bidi="ar-SA"/>
        </w:rPr>
        <w:t>20</w:t>
      </w:r>
      <w:r>
        <w:rPr>
          <w:rFonts w:hint="eastAsia" w:eastAsia="仿宋_GB2312"/>
          <w:sz w:val="32"/>
          <w:szCs w:val="32"/>
          <w:lang w:val="en-US" w:eastAsia="zh-CN"/>
        </w:rPr>
        <w:t>万，共计</w:t>
      </w:r>
      <w:r>
        <w:rPr>
          <w:rFonts w:hint="eastAsia" w:ascii="Times New Roman" w:hAnsi="Times New Roman" w:eastAsia="方正仿宋简体" w:cs="Times New Roman"/>
          <w:kern w:val="2"/>
          <w:sz w:val="32"/>
          <w:szCs w:val="32"/>
          <w:lang w:val="en-US" w:eastAsia="zh-CN" w:bidi="ar-SA"/>
        </w:rPr>
        <w:t>40</w:t>
      </w:r>
      <w:r>
        <w:rPr>
          <w:rFonts w:hint="eastAsia" w:eastAsia="仿宋_GB2312"/>
          <w:sz w:val="32"/>
          <w:szCs w:val="32"/>
          <w:lang w:val="en-US" w:eastAsia="zh-CN"/>
        </w:rPr>
        <w:t>万。</w:t>
      </w:r>
      <w:r>
        <w:rPr>
          <w:rFonts w:hint="eastAsia" w:ascii="Times New Roman" w:hAnsi="Times New Roman" w:eastAsia="方正仿宋简体" w:cs="Times New Roman"/>
          <w:kern w:val="2"/>
          <w:sz w:val="32"/>
          <w:szCs w:val="32"/>
          <w:lang w:val="en-US" w:eastAsia="zh-CN" w:bidi="ar-SA"/>
        </w:rPr>
        <w:t>2021</w:t>
      </w:r>
      <w:r>
        <w:rPr>
          <w:rFonts w:hint="eastAsia" w:eastAsia="仿宋_GB2312"/>
          <w:sz w:val="32"/>
          <w:szCs w:val="32"/>
          <w:lang w:val="en-US" w:eastAsia="zh-CN"/>
        </w:rPr>
        <w:t>的经费已拨</w:t>
      </w:r>
      <w:r>
        <w:rPr>
          <w:rFonts w:hint="eastAsia" w:ascii="Times New Roman" w:hAnsi="Times New Roman" w:eastAsia="方正仿宋简体" w:cs="Times New Roman"/>
          <w:kern w:val="2"/>
          <w:sz w:val="32"/>
          <w:szCs w:val="32"/>
          <w:lang w:val="en-US" w:eastAsia="zh-CN" w:bidi="ar-SA"/>
        </w:rPr>
        <w:t>15</w:t>
      </w:r>
      <w:r>
        <w:rPr>
          <w:rFonts w:hint="eastAsia" w:eastAsia="仿宋_GB2312"/>
          <w:sz w:val="32"/>
          <w:szCs w:val="32"/>
          <w:lang w:val="en-US" w:eastAsia="zh-CN"/>
        </w:rPr>
        <w:t>万，余下</w:t>
      </w:r>
      <w:r>
        <w:rPr>
          <w:rFonts w:hint="eastAsia" w:ascii="Times New Roman" w:hAnsi="Times New Roman" w:eastAsia="方正仿宋简体" w:cs="Times New Roman"/>
          <w:kern w:val="2"/>
          <w:sz w:val="32"/>
          <w:szCs w:val="32"/>
          <w:lang w:val="en-US" w:eastAsia="zh-CN" w:bidi="ar-SA"/>
        </w:rPr>
        <w:t>5</w:t>
      </w:r>
      <w:r>
        <w:rPr>
          <w:rFonts w:hint="eastAsia" w:eastAsia="仿宋_GB2312"/>
          <w:sz w:val="32"/>
          <w:szCs w:val="32"/>
          <w:lang w:val="en-US" w:eastAsia="zh-CN"/>
        </w:rPr>
        <w:t>万在</w:t>
      </w:r>
      <w:r>
        <w:rPr>
          <w:rFonts w:hint="eastAsia" w:ascii="Times New Roman" w:hAnsi="Times New Roman" w:eastAsia="方正仿宋简体" w:cs="Times New Roman"/>
          <w:kern w:val="2"/>
          <w:sz w:val="32"/>
          <w:szCs w:val="32"/>
          <w:lang w:val="en-US" w:eastAsia="zh-CN" w:bidi="ar-SA"/>
        </w:rPr>
        <w:t>2022</w:t>
      </w:r>
      <w:r>
        <w:rPr>
          <w:rFonts w:hint="eastAsia" w:eastAsia="仿宋_GB2312"/>
          <w:sz w:val="32"/>
          <w:szCs w:val="32"/>
          <w:lang w:val="en-US" w:eastAsia="zh-CN"/>
        </w:rPr>
        <w:t>年拨出，</w:t>
      </w:r>
      <w:r>
        <w:rPr>
          <w:rFonts w:hint="eastAsia" w:ascii="Times New Roman" w:hAnsi="Times New Roman" w:eastAsia="方正仿宋简体" w:cs="Times New Roman"/>
          <w:kern w:val="2"/>
          <w:sz w:val="32"/>
          <w:szCs w:val="32"/>
          <w:lang w:val="en-US" w:eastAsia="zh-CN" w:bidi="ar-SA"/>
        </w:rPr>
        <w:t>2022</w:t>
      </w:r>
      <w:r>
        <w:rPr>
          <w:rFonts w:hint="eastAsia" w:eastAsia="仿宋_GB2312"/>
          <w:sz w:val="32"/>
          <w:szCs w:val="32"/>
          <w:lang w:val="en-US" w:eastAsia="zh-CN"/>
        </w:rPr>
        <w:t>年的工作经费在本年度拨付</w:t>
      </w:r>
      <w:r>
        <w:rPr>
          <w:rFonts w:hint="eastAsia" w:ascii="Times New Roman" w:hAnsi="Times New Roman" w:eastAsia="方正仿宋简体" w:cs="Times New Roman"/>
          <w:kern w:val="2"/>
          <w:sz w:val="32"/>
          <w:szCs w:val="32"/>
          <w:lang w:val="en-US" w:eastAsia="zh-CN" w:bidi="ar-SA"/>
        </w:rPr>
        <w:t>14</w:t>
      </w:r>
      <w:r>
        <w:rPr>
          <w:rFonts w:hint="eastAsia" w:eastAsia="仿宋_GB2312"/>
          <w:sz w:val="32"/>
          <w:szCs w:val="32"/>
          <w:lang w:val="en-US" w:eastAsia="zh-CN"/>
        </w:rPr>
        <w:t>万，构成</w:t>
      </w:r>
      <w:r>
        <w:rPr>
          <w:rFonts w:hint="eastAsia" w:ascii="Times New Roman" w:hAnsi="Times New Roman" w:eastAsia="方正仿宋简体" w:cs="Times New Roman"/>
          <w:kern w:val="2"/>
          <w:sz w:val="32"/>
          <w:szCs w:val="32"/>
          <w:lang w:val="en-US" w:eastAsia="zh-CN" w:bidi="ar-SA"/>
        </w:rPr>
        <w:t>2022</w:t>
      </w:r>
      <w:r>
        <w:rPr>
          <w:rFonts w:hint="eastAsia" w:eastAsia="仿宋_GB2312"/>
          <w:sz w:val="32"/>
          <w:szCs w:val="32"/>
          <w:lang w:val="en-US" w:eastAsia="zh-CN"/>
        </w:rPr>
        <w:t>年度工作经费开支</w:t>
      </w:r>
      <w:r>
        <w:rPr>
          <w:rFonts w:hint="eastAsia" w:ascii="Times New Roman" w:hAnsi="Times New Roman" w:eastAsia="方正仿宋简体" w:cs="Times New Roman"/>
          <w:kern w:val="2"/>
          <w:sz w:val="32"/>
          <w:szCs w:val="32"/>
          <w:lang w:val="en-US" w:eastAsia="zh-CN" w:bidi="ar-SA"/>
        </w:rPr>
        <w:t>19万</w:t>
      </w:r>
      <w:r>
        <w:rPr>
          <w:rFonts w:hint="eastAsia" w:eastAsia="仿宋_GB2312"/>
          <w:sz w:val="32"/>
          <w:szCs w:val="32"/>
          <w:lang w:val="en-US" w:eastAsia="zh-CN"/>
        </w:rPr>
        <w:t>元，主要用于园区根据实际开展的工作产生的经费支出。</w:t>
      </w:r>
    </w:p>
    <w:p>
      <w:pPr>
        <w:numPr>
          <w:ilvl w:val="0"/>
          <w:numId w:val="0"/>
        </w:numPr>
        <w:spacing w:line="580" w:lineRule="exact"/>
        <w:ind w:leftChars="200"/>
        <w:rPr>
          <w:rFonts w:hint="eastAsia" w:eastAsia="方正仿宋简体"/>
          <w:sz w:val="32"/>
          <w:szCs w:val="32"/>
        </w:rPr>
      </w:pPr>
      <w:r>
        <w:rPr>
          <w:rFonts w:hint="eastAsia" w:eastAsia="方正仿宋简体"/>
          <w:sz w:val="32"/>
          <w:szCs w:val="32"/>
          <w:lang w:val="en-US" w:eastAsia="zh-CN"/>
        </w:rPr>
        <w:t>3.</w:t>
      </w:r>
      <w:r>
        <w:rPr>
          <w:rFonts w:hint="eastAsia" w:eastAsia="方正仿宋简体"/>
          <w:sz w:val="32"/>
          <w:szCs w:val="32"/>
        </w:rPr>
        <w:t>实施情况（项目完成情况）</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本项目截至2022年12月31日基本完成，完成总项目的85%进度，完成2022年的年度目标19万元，年度目标100%完成，余下6万将用于支付2023年度项目后续开支。</w:t>
      </w:r>
    </w:p>
    <w:p>
      <w:pPr>
        <w:numPr>
          <w:ilvl w:val="0"/>
          <w:numId w:val="0"/>
        </w:numPr>
        <w:spacing w:line="580" w:lineRule="exact"/>
        <w:ind w:leftChars="200"/>
        <w:rPr>
          <w:rFonts w:hint="eastAsia" w:eastAsia="方正仿宋简体"/>
          <w:sz w:val="32"/>
          <w:szCs w:val="32"/>
        </w:rPr>
      </w:pPr>
      <w:r>
        <w:rPr>
          <w:rFonts w:hint="eastAsia" w:eastAsia="方正仿宋简体"/>
          <w:sz w:val="32"/>
          <w:szCs w:val="32"/>
          <w:lang w:val="en-US" w:eastAsia="zh-CN"/>
        </w:rPr>
        <w:t>4.</w:t>
      </w:r>
      <w:r>
        <w:rPr>
          <w:rFonts w:hint="eastAsia" w:eastAsia="方正仿宋简体"/>
          <w:sz w:val="32"/>
          <w:szCs w:val="32"/>
        </w:rPr>
        <w:t>组织及管理（项目组织、管理流程及实际执行情况）</w:t>
      </w:r>
    </w:p>
    <w:p>
      <w:pPr>
        <w:numPr>
          <w:ilvl w:val="0"/>
          <w:numId w:val="0"/>
        </w:num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此项目对进一步加强园区环境治理、科普宣传等工作提供了有力保障，为提升园区整体形象，加大宣传起到了良好的作用，主要做了以下工作：</w:t>
      </w:r>
    </w:p>
    <w:p>
      <w:pPr>
        <w:numPr>
          <w:ilvl w:val="0"/>
          <w:numId w:val="8"/>
        </w:num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建立项目管理组织机构。为了使该项目能够顺利实施，我单位安排由分管领导牵头负责组织实施，综合办、农旅产品开发部具体负责项目的实施与管理工作。严格按照相关规定，明确责任，合理分工，密切协作，为项目顺利实施提供保障。</w:t>
      </w:r>
    </w:p>
    <w:p>
      <w:pPr>
        <w:pStyle w:val="36"/>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2）管理流程。经过园区党组会议研究和讨论，以委托的方式确定施工单位，并由农旅产品开发部成立该项目施工督导小组，严格按照建设程序和相关法律法规，对工程质量、进度、安全等文明施工进行全过程、全方位的现场监督管理，提高工作质量和效率，强化责任，确保工程质量和进度。</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640" w:firstLineChars="200"/>
        <w:rPr>
          <w:rFonts w:hint="eastAsia" w:eastAsia="方正仿宋简体"/>
          <w:sz w:val="32"/>
          <w:szCs w:val="32"/>
        </w:rPr>
      </w:pPr>
      <w:r>
        <w:rPr>
          <w:rFonts w:hint="eastAsia" w:eastAsia="方正仿宋简体"/>
          <w:sz w:val="32"/>
          <w:szCs w:val="32"/>
        </w:rPr>
        <w:t>绩效目标分别表述绩效总目标和具体绩效目标，具体绩效目标为具体量化的产出目标结果目标。</w:t>
      </w:r>
    </w:p>
    <w:p>
      <w:pPr>
        <w:numPr>
          <w:ilvl w:val="0"/>
          <w:numId w:val="0"/>
        </w:num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1.项目总目标</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为了完成加强园区环境治理、加大宣传、提升整体形象等总体目标计划完成景观绿化带、苗木修枝整形和除草、完成土地翻整完成主干道周边风貌塑造、完成河道环境整治、完成园区宣传资料制作完成科普展示牌宣传广告展板制作、完成重大活动现场筹备等一系列任务达到提升园区整体形象，加大宣传的良好作用。</w:t>
      </w:r>
    </w:p>
    <w:p>
      <w:pPr>
        <w:pStyle w:val="36"/>
        <w:numPr>
          <w:ilvl w:val="0"/>
          <w:numId w:val="0"/>
        </w:numPr>
        <w:ind w:leftChars="0" w:firstLine="640" w:firstLineChars="200"/>
        <w:rPr>
          <w:rFonts w:hint="eastAsia" w:eastAsia="方正仿宋简体"/>
          <w:sz w:val="32"/>
          <w:szCs w:val="32"/>
          <w:lang w:val="en-US" w:eastAsia="zh-CN"/>
        </w:rPr>
      </w:pPr>
      <w:r>
        <w:rPr>
          <w:rFonts w:hint="eastAsia" w:ascii="Times New Roman" w:hAnsi="Times New Roman" w:eastAsia="方正仿宋简体" w:cs="Times New Roman"/>
          <w:kern w:val="2"/>
          <w:sz w:val="32"/>
          <w:szCs w:val="32"/>
          <w:lang w:val="en-US" w:eastAsia="zh-CN" w:bidi="ar-SA"/>
        </w:rPr>
        <w:t>2.</w:t>
      </w:r>
      <w:r>
        <w:rPr>
          <w:rFonts w:hint="eastAsia" w:eastAsia="方正仿宋简体"/>
          <w:sz w:val="32"/>
          <w:szCs w:val="32"/>
          <w:lang w:val="en-US" w:eastAsia="zh-CN"/>
        </w:rPr>
        <w:t>年度绩效目标</w:t>
      </w:r>
    </w:p>
    <w:p>
      <w:pPr>
        <w:pStyle w:val="36"/>
        <w:numPr>
          <w:ilvl w:val="0"/>
          <w:numId w:val="0"/>
        </w:numPr>
        <w:ind w:leftChars="0" w:firstLine="640" w:firstLineChars="200"/>
        <w:rPr>
          <w:rFonts w:hint="default" w:eastAsia="仿宋_GB2312"/>
          <w:lang w:val="en-US" w:eastAsia="zh-CN"/>
        </w:rPr>
      </w:pPr>
      <w:r>
        <w:rPr>
          <w:rFonts w:hint="eastAsia" w:eastAsia="方正仿宋简体"/>
          <w:sz w:val="32"/>
          <w:szCs w:val="32"/>
          <w:lang w:val="en-US" w:eastAsia="zh-CN"/>
        </w:rPr>
        <w:t>在</w:t>
      </w:r>
      <w:r>
        <w:rPr>
          <w:rFonts w:hint="eastAsia" w:ascii="Times New Roman" w:hAnsi="Times New Roman" w:eastAsia="方正仿宋简体" w:cs="Times New Roman"/>
          <w:kern w:val="2"/>
          <w:sz w:val="32"/>
          <w:szCs w:val="32"/>
          <w:lang w:val="en-US" w:eastAsia="zh-CN" w:bidi="ar-SA"/>
        </w:rPr>
        <w:t>2022</w:t>
      </w:r>
      <w:r>
        <w:rPr>
          <w:rFonts w:hint="eastAsia" w:eastAsia="方正仿宋简体"/>
          <w:sz w:val="32"/>
          <w:szCs w:val="32"/>
          <w:lang w:val="en-US" w:eastAsia="zh-CN"/>
        </w:rPr>
        <w:t>年，计划</w:t>
      </w:r>
      <w:r>
        <w:rPr>
          <w:rFonts w:eastAsia="仿宋_GB2312"/>
          <w:color w:val="000000"/>
          <w:kern w:val="0"/>
          <w:sz w:val="32"/>
          <w:szCs w:val="32"/>
          <w:lang w:bidi="ar"/>
        </w:rPr>
        <w:t>景观绿化带、苗木修枝整形和除草</w:t>
      </w:r>
      <w:r>
        <w:rPr>
          <w:rFonts w:hint="eastAsia" w:ascii="Times New Roman" w:hAnsi="Times New Roman" w:eastAsia="方正仿宋简体" w:cs="Times New Roman"/>
          <w:kern w:val="2"/>
          <w:sz w:val="32"/>
          <w:szCs w:val="32"/>
          <w:lang w:val="en-US" w:eastAsia="zh-CN" w:bidi="ar-SA"/>
        </w:rPr>
        <w:t>300</w:t>
      </w:r>
      <w:r>
        <w:rPr>
          <w:rFonts w:hint="eastAsia" w:eastAsia="仿宋_GB2312"/>
          <w:color w:val="000000"/>
          <w:kern w:val="0"/>
          <w:sz w:val="32"/>
          <w:szCs w:val="32"/>
          <w:lang w:val="en-US" w:eastAsia="zh-CN" w:bidi="ar"/>
        </w:rPr>
        <w:t>亩；</w:t>
      </w:r>
      <w:r>
        <w:rPr>
          <w:rFonts w:eastAsia="仿宋_GB2312"/>
          <w:color w:val="000000"/>
          <w:kern w:val="0"/>
          <w:sz w:val="32"/>
          <w:szCs w:val="32"/>
          <w:lang w:bidi="ar"/>
        </w:rPr>
        <w:t>翻整土地</w:t>
      </w:r>
      <w:r>
        <w:rPr>
          <w:rFonts w:hint="eastAsia" w:ascii="Times New Roman" w:hAnsi="Times New Roman" w:eastAsia="方正仿宋简体" w:cs="Times New Roman"/>
          <w:kern w:val="2"/>
          <w:sz w:val="32"/>
          <w:szCs w:val="32"/>
          <w:lang w:val="en-US" w:eastAsia="zh-CN" w:bidi="ar-SA"/>
        </w:rPr>
        <w:t>250</w:t>
      </w:r>
      <w:r>
        <w:rPr>
          <w:rFonts w:hint="eastAsia" w:eastAsia="仿宋_GB2312"/>
          <w:color w:val="000000"/>
          <w:kern w:val="0"/>
          <w:sz w:val="32"/>
          <w:szCs w:val="32"/>
          <w:lang w:val="en-US" w:eastAsia="zh-CN" w:bidi="ar"/>
        </w:rPr>
        <w:t>亩；</w:t>
      </w:r>
      <w:r>
        <w:rPr>
          <w:rFonts w:eastAsia="仿宋_GB2312"/>
          <w:color w:val="000000"/>
          <w:kern w:val="0"/>
          <w:sz w:val="32"/>
          <w:szCs w:val="32"/>
          <w:lang w:bidi="ar"/>
        </w:rPr>
        <w:t>主干道周边风貌塑造</w:t>
      </w:r>
      <w:r>
        <w:rPr>
          <w:rFonts w:hint="eastAsia" w:eastAsia="仿宋_GB2312"/>
          <w:color w:val="000000"/>
          <w:kern w:val="0"/>
          <w:sz w:val="32"/>
          <w:szCs w:val="32"/>
          <w:lang w:val="en-US" w:eastAsia="zh-CN" w:bidi="ar"/>
        </w:rPr>
        <w:t>维修栅栏</w:t>
      </w:r>
      <w:r>
        <w:rPr>
          <w:rFonts w:hint="eastAsia" w:ascii="Times New Roman" w:hAnsi="Times New Roman" w:eastAsia="方正仿宋简体" w:cs="Times New Roman"/>
          <w:kern w:val="2"/>
          <w:sz w:val="32"/>
          <w:szCs w:val="32"/>
          <w:lang w:val="en-US" w:eastAsia="zh-CN" w:bidi="ar-SA"/>
        </w:rPr>
        <w:t>1000</w:t>
      </w:r>
      <w:r>
        <w:rPr>
          <w:rFonts w:hint="eastAsia" w:eastAsia="仿宋_GB2312"/>
          <w:color w:val="000000"/>
          <w:kern w:val="0"/>
          <w:sz w:val="32"/>
          <w:szCs w:val="32"/>
          <w:lang w:val="en-US" w:eastAsia="zh-CN" w:bidi="ar"/>
        </w:rPr>
        <w:t>米，清理垃圾</w:t>
      </w:r>
      <w:r>
        <w:rPr>
          <w:rFonts w:hint="eastAsia" w:ascii="Times New Roman" w:hAnsi="Times New Roman" w:eastAsia="方正仿宋简体" w:cs="Times New Roman"/>
          <w:kern w:val="2"/>
          <w:sz w:val="32"/>
          <w:szCs w:val="32"/>
          <w:lang w:val="en-US" w:eastAsia="zh-CN" w:bidi="ar-SA"/>
        </w:rPr>
        <w:t>10</w:t>
      </w:r>
      <w:r>
        <w:rPr>
          <w:rFonts w:hint="eastAsia" w:eastAsia="仿宋_GB2312"/>
          <w:color w:val="000000"/>
          <w:kern w:val="0"/>
          <w:sz w:val="32"/>
          <w:szCs w:val="32"/>
          <w:lang w:val="en-US" w:eastAsia="zh-CN" w:bidi="ar"/>
        </w:rPr>
        <w:t>吨；</w:t>
      </w:r>
      <w:r>
        <w:rPr>
          <w:rFonts w:eastAsia="仿宋_GB2312"/>
          <w:color w:val="000000"/>
          <w:kern w:val="0"/>
          <w:sz w:val="32"/>
          <w:szCs w:val="32"/>
          <w:lang w:bidi="ar"/>
        </w:rPr>
        <w:t>河道环境</w:t>
      </w:r>
      <w:r>
        <w:rPr>
          <w:rFonts w:hint="eastAsia" w:eastAsia="仿宋_GB2312"/>
          <w:color w:val="000000"/>
          <w:kern w:val="0"/>
          <w:sz w:val="32"/>
          <w:szCs w:val="32"/>
          <w:lang w:val="en-US" w:eastAsia="zh-CN" w:bidi="ar"/>
        </w:rPr>
        <w:t>清理垃圾</w:t>
      </w:r>
      <w:r>
        <w:rPr>
          <w:rFonts w:hint="eastAsia" w:ascii="Times New Roman" w:hAnsi="Times New Roman" w:eastAsia="方正仿宋简体" w:cs="Times New Roman"/>
          <w:kern w:val="2"/>
          <w:sz w:val="32"/>
          <w:szCs w:val="32"/>
          <w:lang w:val="en-US" w:eastAsia="zh-CN" w:bidi="ar-SA"/>
        </w:rPr>
        <w:t>0.5</w:t>
      </w:r>
      <w:r>
        <w:rPr>
          <w:rFonts w:hint="eastAsia" w:eastAsia="仿宋_GB2312"/>
          <w:color w:val="000000"/>
          <w:kern w:val="0"/>
          <w:sz w:val="32"/>
          <w:szCs w:val="32"/>
          <w:lang w:val="en-US" w:eastAsia="zh-CN" w:bidi="ar"/>
        </w:rPr>
        <w:t>吨，清理浮游植物</w:t>
      </w:r>
      <w:r>
        <w:rPr>
          <w:rFonts w:hint="eastAsia" w:ascii="Times New Roman" w:hAnsi="Times New Roman" w:eastAsia="方正仿宋简体" w:cs="Times New Roman"/>
          <w:kern w:val="2"/>
          <w:sz w:val="32"/>
          <w:szCs w:val="32"/>
          <w:lang w:val="en-US" w:eastAsia="zh-CN" w:bidi="ar-SA"/>
        </w:rPr>
        <w:t>3</w:t>
      </w:r>
      <w:r>
        <w:rPr>
          <w:rFonts w:hint="eastAsia" w:eastAsia="仿宋_GB2312"/>
          <w:color w:val="000000"/>
          <w:kern w:val="0"/>
          <w:sz w:val="32"/>
          <w:szCs w:val="32"/>
          <w:lang w:val="en-US" w:eastAsia="zh-CN" w:bidi="ar"/>
        </w:rPr>
        <w:t>吨；</w:t>
      </w:r>
      <w:r>
        <w:rPr>
          <w:rFonts w:eastAsia="仿宋_GB2312"/>
          <w:color w:val="000000"/>
          <w:kern w:val="0"/>
          <w:sz w:val="32"/>
          <w:szCs w:val="32"/>
          <w:lang w:bidi="ar"/>
        </w:rPr>
        <w:t>制作园区宣传资料</w:t>
      </w:r>
      <w:r>
        <w:rPr>
          <w:rFonts w:hint="eastAsia" w:ascii="Times New Roman" w:hAnsi="Times New Roman" w:eastAsia="方正仿宋简体" w:cs="Times New Roman"/>
          <w:kern w:val="2"/>
          <w:sz w:val="32"/>
          <w:szCs w:val="32"/>
          <w:lang w:val="en-US" w:eastAsia="zh-CN" w:bidi="ar-SA"/>
        </w:rPr>
        <w:t>100</w:t>
      </w:r>
      <w:r>
        <w:rPr>
          <w:rFonts w:hint="eastAsia" w:eastAsia="仿宋_GB2312"/>
          <w:color w:val="000000"/>
          <w:kern w:val="0"/>
          <w:sz w:val="32"/>
          <w:szCs w:val="32"/>
          <w:lang w:val="en-US" w:eastAsia="zh-CN" w:bidi="ar"/>
        </w:rPr>
        <w:t>本；</w:t>
      </w:r>
      <w:r>
        <w:rPr>
          <w:rFonts w:eastAsia="仿宋_GB2312"/>
          <w:color w:val="000000"/>
          <w:kern w:val="0"/>
          <w:sz w:val="32"/>
          <w:szCs w:val="32"/>
          <w:lang w:bidi="ar"/>
        </w:rPr>
        <w:t>制作科普展示牌、宣传广告牌、展板</w:t>
      </w:r>
      <w:r>
        <w:rPr>
          <w:rFonts w:hint="eastAsia" w:eastAsia="仿宋_GB2312"/>
          <w:color w:val="000000"/>
          <w:kern w:val="0"/>
          <w:sz w:val="32"/>
          <w:szCs w:val="32"/>
          <w:lang w:val="en-US" w:eastAsia="zh-CN" w:bidi="ar"/>
        </w:rPr>
        <w:t>等</w:t>
      </w:r>
      <w:r>
        <w:rPr>
          <w:rFonts w:hint="eastAsia" w:ascii="Times New Roman" w:hAnsi="Times New Roman" w:eastAsia="方正仿宋简体" w:cs="Times New Roman"/>
          <w:kern w:val="2"/>
          <w:sz w:val="32"/>
          <w:szCs w:val="32"/>
          <w:lang w:val="en-US" w:eastAsia="zh-CN" w:bidi="ar-SA"/>
        </w:rPr>
        <w:t>55</w:t>
      </w:r>
      <w:r>
        <w:rPr>
          <w:rFonts w:hint="eastAsia" w:eastAsia="仿宋_GB2312"/>
          <w:color w:val="000000"/>
          <w:kern w:val="0"/>
          <w:sz w:val="32"/>
          <w:szCs w:val="32"/>
          <w:lang w:val="en-US" w:eastAsia="zh-CN" w:bidi="ar"/>
        </w:rPr>
        <w:t>块；</w:t>
      </w:r>
      <w:r>
        <w:rPr>
          <w:rFonts w:eastAsia="仿宋_GB2312"/>
          <w:color w:val="000000"/>
          <w:kern w:val="0"/>
          <w:sz w:val="32"/>
          <w:szCs w:val="32"/>
          <w:lang w:bidi="ar"/>
        </w:rPr>
        <w:t>重大活动现场筹备</w:t>
      </w:r>
      <w:r>
        <w:rPr>
          <w:rFonts w:hint="eastAsia" w:ascii="Times New Roman" w:hAnsi="Times New Roman" w:eastAsia="方正仿宋简体" w:cs="Times New Roman"/>
          <w:kern w:val="2"/>
          <w:sz w:val="32"/>
          <w:szCs w:val="32"/>
          <w:lang w:val="en-US" w:eastAsia="zh-CN" w:bidi="ar-SA"/>
        </w:rPr>
        <w:t>10</w:t>
      </w:r>
      <w:r>
        <w:rPr>
          <w:rFonts w:hint="eastAsia" w:eastAsia="仿宋_GB2312"/>
          <w:color w:val="000000"/>
          <w:kern w:val="0"/>
          <w:sz w:val="32"/>
          <w:szCs w:val="32"/>
          <w:lang w:val="en-US" w:eastAsia="zh-CN" w:bidi="ar"/>
        </w:rPr>
        <w:t>场。</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pStyle w:val="36"/>
        <w:numPr>
          <w:ilvl w:val="0"/>
          <w:numId w:val="0"/>
        </w:numPr>
        <w:ind w:leftChars="0" w:firstLine="640" w:firstLineChars="200"/>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成立绩效评价工作小组：结合绩效评价的要求和项目建设的特点，组建工作经费项目资金绩效评价组，为项目开展提供组织基础。本着客观公正和有效原则，评价小组人员由分管领导为组长</w:t>
      </w:r>
      <w:r>
        <w:rPr>
          <w:rFonts w:hint="default" w:eastAsia="仿宋_GB2312"/>
          <w:color w:val="000000"/>
          <w:kern w:val="0"/>
          <w:sz w:val="32"/>
          <w:szCs w:val="32"/>
          <w:lang w:eastAsia="zh-Hans" w:bidi="ar"/>
        </w:rPr>
        <w:t>、</w:t>
      </w:r>
      <w:r>
        <w:rPr>
          <w:rFonts w:hint="eastAsia" w:eastAsia="仿宋_GB2312"/>
          <w:color w:val="000000"/>
          <w:kern w:val="0"/>
          <w:sz w:val="32"/>
          <w:szCs w:val="32"/>
          <w:lang w:val="en-US" w:eastAsia="zh-CN" w:bidi="ar"/>
        </w:rPr>
        <w:t>综合办人员为成</w:t>
      </w:r>
      <w:r>
        <w:rPr>
          <w:rFonts w:hint="eastAsia" w:eastAsia="仿宋_GB2312"/>
          <w:color w:val="000000"/>
          <w:kern w:val="0"/>
          <w:sz w:val="32"/>
          <w:szCs w:val="32"/>
          <w:lang w:val="en-US" w:eastAsia="zh-Hans" w:bidi="ar"/>
        </w:rPr>
        <w:t>员</w:t>
      </w:r>
      <w:r>
        <w:rPr>
          <w:rFonts w:hint="eastAsia" w:eastAsia="仿宋_GB2312"/>
          <w:color w:val="000000"/>
          <w:kern w:val="0"/>
          <w:sz w:val="32"/>
          <w:szCs w:val="32"/>
          <w:lang w:val="en-US" w:eastAsia="zh-CN" w:bidi="ar"/>
        </w:rPr>
        <w:t>组成，评价组按照设定的指标体系进行评价，并从各部室抽选人员进行打分，由综合办进行梳理并整改。</w:t>
      </w:r>
    </w:p>
    <w:p>
      <w:pPr>
        <w:rPr>
          <w:rFonts w:hint="eastAsia" w:eastAsia="仿宋_GB2312"/>
          <w:color w:val="000000"/>
          <w:kern w:val="0"/>
          <w:sz w:val="32"/>
          <w:szCs w:val="32"/>
          <w:lang w:val="en-US" w:eastAsia="zh-CN" w:bidi="ar"/>
        </w:rPr>
      </w:pPr>
    </w:p>
    <w:p>
      <w:pPr>
        <w:pStyle w:val="4"/>
        <w:ind w:firstLine="640"/>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1.</w:t>
      </w:r>
      <w:r>
        <w:rPr>
          <w:rFonts w:hint="eastAsia" w:ascii="Times New Roman" w:hAnsi="Times New Roman"/>
          <w:b/>
          <w:bCs/>
          <w:lang w:val="en-US" w:eastAsia="zh-CN"/>
        </w:rPr>
        <w:t>项目绩效评价工作小组成员：</w:t>
      </w:r>
    </w:p>
    <w:p>
      <w:pPr>
        <w:pStyle w:val="36"/>
        <w:ind w:left="0" w:leftChars="0" w:firstLine="640" w:firstLineChars="200"/>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组  长：杨  宇   园区党组成员、副主任</w:t>
      </w:r>
    </w:p>
    <w:p>
      <w:pPr>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成  员：张  林   综合办主任</w:t>
      </w:r>
    </w:p>
    <w:p>
      <w:pPr>
        <w:pStyle w:val="36"/>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毛成坤   综合办工作人员</w:t>
      </w:r>
    </w:p>
    <w:p>
      <w:pPr>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李媛媛   综合办工作人员</w:t>
      </w:r>
    </w:p>
    <w:p>
      <w:pPr>
        <w:pStyle w:val="36"/>
        <w:rPr>
          <w:rFonts w:hint="default"/>
          <w:lang w:val="en-US" w:eastAsia="zh-CN"/>
        </w:rPr>
      </w:pPr>
      <w:r>
        <w:rPr>
          <w:rFonts w:hint="eastAsia" w:eastAsia="仿宋_GB2312"/>
          <w:color w:val="000000"/>
          <w:kern w:val="0"/>
          <w:sz w:val="32"/>
          <w:szCs w:val="32"/>
          <w:lang w:val="en-US" w:eastAsia="zh-CN" w:bidi="ar"/>
        </w:rPr>
        <w:t xml:space="preserve">         </w:t>
      </w:r>
    </w:p>
    <w:p>
      <w:pPr>
        <w:pStyle w:val="4"/>
        <w:ind w:firstLine="640"/>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2.工作职责</w:t>
      </w:r>
    </w:p>
    <w:p>
      <w:pPr>
        <w:pStyle w:val="4"/>
        <w:ind w:firstLine="640"/>
        <w:rPr>
          <w:rFonts w:hint="eastAsia" w:ascii="Times New Roman" w:hAnsi="Times New Roman"/>
          <w:lang w:val="en-US" w:eastAsia="zh-CN"/>
        </w:rPr>
      </w:pPr>
      <w:r>
        <w:rPr>
          <w:rFonts w:hint="eastAsia" w:ascii="Times New Roman" w:hAnsi="Times New Roman"/>
          <w:lang w:val="en-US" w:eastAsia="zh-CN"/>
        </w:rPr>
        <w:t>（1）组长职责：审批绩效自评</w:t>
      </w:r>
      <w:r>
        <w:rPr>
          <w:rFonts w:hint="eastAsia" w:ascii="Times New Roman" w:hAnsi="Times New Roman"/>
          <w:lang w:val="en-US" w:eastAsia="zh-Hans"/>
        </w:rPr>
        <w:t>报告</w:t>
      </w:r>
      <w:r>
        <w:rPr>
          <w:rFonts w:hint="eastAsia" w:ascii="Times New Roman" w:hAnsi="Times New Roman"/>
          <w:lang w:val="en-US" w:eastAsia="zh-CN"/>
        </w:rPr>
        <w:t>，监督、检查、核实绩效自评结果；</w:t>
      </w:r>
    </w:p>
    <w:p>
      <w:pPr>
        <w:pStyle w:val="4"/>
        <w:ind w:firstLine="640"/>
        <w:rPr>
          <w:rFonts w:hint="eastAsia" w:ascii="Times New Roman" w:hAnsi="Times New Roman"/>
          <w:lang w:val="en-US" w:eastAsia="zh-CN"/>
        </w:rPr>
      </w:pPr>
      <w:r>
        <w:rPr>
          <w:rFonts w:hint="eastAsia" w:ascii="Times New Roman" w:hAnsi="Times New Roman"/>
          <w:lang w:val="en-US" w:eastAsia="zh-CN"/>
        </w:rPr>
        <w:t>（2）小组成员职责：起草和修改绩效考评</w:t>
      </w:r>
      <w:r>
        <w:rPr>
          <w:rFonts w:hint="eastAsia" w:ascii="Times New Roman" w:hAnsi="Times New Roman"/>
          <w:lang w:val="en-US" w:eastAsia="zh-Hans"/>
        </w:rPr>
        <w:t>报告</w:t>
      </w:r>
      <w:r>
        <w:rPr>
          <w:rFonts w:hint="eastAsia" w:ascii="Times New Roman" w:hAnsi="Times New Roman"/>
          <w:lang w:val="en-US" w:eastAsia="zh-CN"/>
        </w:rPr>
        <w:t>报自评领导工作组会议讨论通过，实施执行绩效自评方案；牵头组织并实施年度绩效自评，根据组长指示，对考评结果进行复核，完成绩效自核工作组安排的其他工作。</w:t>
      </w:r>
    </w:p>
    <w:p>
      <w:pPr>
        <w:pStyle w:val="4"/>
        <w:ind w:firstLine="640"/>
        <w:rPr>
          <w:rFonts w:hint="eastAsia" w:ascii="Times New Roman" w:hAnsi="Times New Roman"/>
          <w:lang w:val="en-US" w:eastAsia="zh-CN"/>
        </w:rPr>
      </w:pPr>
      <w:r>
        <w:rPr>
          <w:rFonts w:hint="eastAsia" w:ascii="Times New Roman" w:hAnsi="Times New Roman"/>
          <w:lang w:val="en-US" w:eastAsia="zh-CN"/>
        </w:rPr>
        <w:t>按照县相关要求，考评工作组按照《乐至县财政支出绩效评价管理办法》相关管理规定，检查项目依据，项目经费开支情况，开展自评检查工作，对项目整体实施情况和质量进行评定，核实资金拨付情况等。</w:t>
      </w:r>
    </w:p>
    <w:p>
      <w:pPr>
        <w:numPr>
          <w:ilvl w:val="0"/>
          <w:numId w:val="9"/>
        </w:numPr>
        <w:spacing w:line="580" w:lineRule="exact"/>
        <w:ind w:firstLine="643" w:firstLineChars="200"/>
        <w:rPr>
          <w:rFonts w:hint="eastAsia" w:eastAsia="方正楷体简体"/>
          <w:b/>
          <w:sz w:val="32"/>
          <w:szCs w:val="32"/>
        </w:rPr>
      </w:pPr>
      <w:r>
        <w:rPr>
          <w:rFonts w:hint="eastAsia" w:eastAsia="方正楷体简体"/>
          <w:b/>
          <w:sz w:val="32"/>
          <w:szCs w:val="32"/>
        </w:rPr>
        <w:t>自评方式、方法、重点等</w:t>
      </w:r>
    </w:p>
    <w:p>
      <w:pPr>
        <w:pStyle w:val="4"/>
        <w:ind w:firstLine="640"/>
        <w:rPr>
          <w:rFonts w:hint="eastAsia" w:ascii="Times New Roman" w:hAnsi="Times New Roman"/>
          <w:lang w:val="en-US" w:eastAsia="zh-CN"/>
        </w:rPr>
      </w:pPr>
      <w:r>
        <w:rPr>
          <w:rFonts w:hint="eastAsia" w:ascii="Times New Roman" w:hAnsi="Times New Roman"/>
          <w:lang w:val="en-US" w:eastAsia="zh-CN"/>
        </w:rPr>
        <w:t>根据实际情况，我单位选用评价指标投入、产出、效果、项目管理过程情况等四个大项目9个细化项目。选用评价方法为</w:t>
      </w:r>
      <w:r>
        <w:rPr>
          <w:rFonts w:hint="eastAsia" w:ascii="Times New Roman" w:hAnsi="Times New Roman"/>
          <w:color w:val="auto"/>
          <w:lang w:val="en-US" w:eastAsia="zh-CN"/>
        </w:rPr>
        <w:t>比较法</w:t>
      </w:r>
      <w:r>
        <w:rPr>
          <w:rFonts w:hint="eastAsia" w:ascii="Times New Roman" w:hAnsi="Times New Roman"/>
          <w:lang w:val="en-US" w:eastAsia="zh-CN"/>
        </w:rPr>
        <w:t>，经收集资料、核实情况、数据比对，比较原先设定和实际完成的工作任务和目标、比较原先经费预算安排和实际的各项经费开支</w:t>
      </w:r>
      <w:r>
        <w:rPr>
          <w:rFonts w:hint="default" w:ascii="Times New Roman" w:hAnsi="Times New Roman"/>
          <w:lang w:eastAsia="zh-CN"/>
        </w:rPr>
        <w:t>，</w:t>
      </w:r>
      <w:r>
        <w:rPr>
          <w:rFonts w:hint="eastAsia" w:ascii="Times New Roman" w:hAnsi="Times New Roman"/>
          <w:lang w:val="en-US" w:eastAsia="zh-Hans"/>
        </w:rPr>
        <w:t>完成</w:t>
      </w:r>
      <w:r>
        <w:rPr>
          <w:rFonts w:hint="eastAsia" w:ascii="Times New Roman" w:hAnsi="Times New Roman"/>
          <w:lang w:val="en-US" w:eastAsia="zh-CN"/>
        </w:rPr>
        <w:t>工作经费</w:t>
      </w:r>
      <w:r>
        <w:rPr>
          <w:rFonts w:hint="eastAsia" w:ascii="Times New Roman" w:hAnsi="Times New Roman"/>
          <w:lang w:val="en-US" w:eastAsia="zh-Hans"/>
        </w:rPr>
        <w:t>项目自评报告</w:t>
      </w:r>
      <w:r>
        <w:rPr>
          <w:rFonts w:hint="eastAsia" w:ascii="Times New Roman" w:hAnsi="Times New Roman"/>
          <w:lang w:val="en-US" w:eastAsia="zh-CN"/>
        </w:rPr>
        <w:t>。</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640" w:firstLineChars="200"/>
        <w:rPr>
          <w:rFonts w:hint="eastAsia" w:eastAsia="方正仿宋简体"/>
          <w:sz w:val="32"/>
          <w:szCs w:val="32"/>
        </w:rPr>
      </w:pPr>
      <w:r>
        <w:rPr>
          <w:rFonts w:hint="eastAsia" w:eastAsia="方正仿宋简体"/>
          <w:sz w:val="32"/>
          <w:szCs w:val="32"/>
        </w:rPr>
        <w:t>评价工作小组依据《</w:t>
      </w:r>
      <w:r>
        <w:rPr>
          <w:rFonts w:hint="eastAsia" w:eastAsia="方正仿宋简体"/>
          <w:sz w:val="32"/>
          <w:szCs w:val="32"/>
          <w:lang w:val="en-US" w:eastAsia="zh-CN"/>
        </w:rPr>
        <w:t>乐至</w:t>
      </w:r>
      <w:r>
        <w:rPr>
          <w:rFonts w:hint="eastAsia" w:eastAsia="方正仿宋简体"/>
          <w:sz w:val="32"/>
          <w:szCs w:val="32"/>
        </w:rPr>
        <w:t>县财政支出绩效评价管理办法》规定，通过资料收集分析、指标体系搭建等方式，对</w:t>
      </w:r>
      <w:r>
        <w:rPr>
          <w:rFonts w:hint="eastAsia" w:eastAsia="方正仿宋简体"/>
          <w:sz w:val="32"/>
          <w:szCs w:val="32"/>
          <w:lang w:val="en-US" w:eastAsia="zh-CN"/>
        </w:rPr>
        <w:t>工作经费</w:t>
      </w:r>
      <w:r>
        <w:rPr>
          <w:rFonts w:hint="eastAsia" w:eastAsia="方正仿宋简体"/>
          <w:sz w:val="32"/>
          <w:szCs w:val="32"/>
          <w:lang w:val="en-US" w:eastAsia="zh-Hans"/>
        </w:rPr>
        <w:t>项目</w:t>
      </w:r>
      <w:r>
        <w:rPr>
          <w:rFonts w:hint="eastAsia" w:eastAsia="方正仿宋简体"/>
          <w:sz w:val="32"/>
          <w:szCs w:val="32"/>
        </w:rPr>
        <w:t>进行综合绩效评分，项目绩效指标分值总分为100分，其中投入25分、过程25分、产出20分、效果30分。经对本项目评价指标评分，项目绩效评分结果：总得分</w:t>
      </w:r>
      <w:r>
        <w:rPr>
          <w:rFonts w:hint="eastAsia" w:eastAsia="方正仿宋简体"/>
          <w:sz w:val="32"/>
          <w:szCs w:val="32"/>
          <w:lang w:val="en-US" w:eastAsia="zh-CN"/>
        </w:rPr>
        <w:t>100</w:t>
      </w:r>
      <w:r>
        <w:rPr>
          <w:rFonts w:hint="eastAsia" w:eastAsia="方正仿宋简体"/>
          <w:sz w:val="32"/>
          <w:szCs w:val="32"/>
        </w:rPr>
        <w:t>分，绩效评价等级为“优秀”，达到预期绩效目标。</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（一）投入</w:t>
      </w:r>
    </w:p>
    <w:p>
      <w:pPr>
        <w:pStyle w:val="4"/>
        <w:ind w:firstLine="640"/>
        <w:rPr>
          <w:rFonts w:hint="default"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.项目立项</w:t>
      </w:r>
    </w:p>
    <w:p>
      <w:pPr>
        <w:pStyle w:val="4"/>
        <w:ind w:firstLine="640"/>
        <w:rPr>
          <w:rFonts w:hint="default"/>
          <w:color w:val="333333"/>
          <w:shd w:val="clear" w:color="auto" w:fill="FFFFFF"/>
          <w:lang w:eastAsia="zh-Hans"/>
        </w:rPr>
      </w:pPr>
      <w:r>
        <w:rPr>
          <w:rFonts w:hint="eastAsia"/>
          <w:b/>
          <w:bCs/>
          <w:color w:val="333333"/>
          <w:shd w:val="clear" w:color="auto" w:fill="FFFFFF"/>
          <w:lang w:val="en-US" w:eastAsia="zh-Hans"/>
        </w:rPr>
        <w:t>立项规范性</w:t>
      </w:r>
      <w:r>
        <w:rPr>
          <w:rFonts w:hint="default"/>
          <w:b/>
          <w:bCs/>
          <w:color w:val="333333"/>
          <w:shd w:val="clear" w:color="auto" w:fill="FFFFFF"/>
          <w:lang w:eastAsia="zh-Hans"/>
        </w:rPr>
        <w:t>：</w:t>
      </w:r>
      <w:r>
        <w:rPr>
          <w:rFonts w:hint="default"/>
          <w:color w:val="333333"/>
          <w:shd w:val="clear" w:color="auto" w:fill="FFFFFF"/>
          <w:lang w:eastAsia="zh-Hans"/>
        </w:rPr>
        <w:t>项目按照</w:t>
      </w:r>
      <w:r>
        <w:rPr>
          <w:rFonts w:hint="default"/>
          <w:color w:val="auto"/>
          <w:shd w:val="clear" w:color="auto" w:fill="FFFFFF"/>
          <w:lang w:eastAsia="zh-Hans"/>
        </w:rPr>
        <w:t>程序</w:t>
      </w:r>
      <w:r>
        <w:rPr>
          <w:rFonts w:hint="default"/>
          <w:color w:val="333333"/>
          <w:shd w:val="clear" w:color="auto" w:fill="FFFFFF"/>
          <w:lang w:eastAsia="zh-Hans"/>
        </w:rPr>
        <w:t>申请设立；向县政府提交了</w:t>
      </w:r>
      <w:r>
        <w:rPr>
          <w:rFonts w:hint="eastAsia" w:eastAsia="仿宋_GB2312"/>
          <w:sz w:val="32"/>
          <w:szCs w:val="32"/>
        </w:rPr>
        <w:t>乐融管〔</w:t>
      </w:r>
      <w:r>
        <w:rPr>
          <w:rFonts w:eastAsia="仿宋_GB2312"/>
          <w:sz w:val="32"/>
          <w:szCs w:val="32"/>
        </w:rPr>
        <w:t>20</w:t>
      </w:r>
      <w:r>
        <w:rPr>
          <w:rFonts w:hint="eastAsia" w:eastAsia="仿宋_GB2312"/>
          <w:sz w:val="32"/>
          <w:szCs w:val="32"/>
        </w:rPr>
        <w:t>21〕18号</w:t>
      </w:r>
      <w:r>
        <w:rPr>
          <w:rFonts w:hint="default"/>
          <w:color w:val="auto"/>
          <w:shd w:val="clear" w:color="auto" w:fill="FFFFFF"/>
          <w:lang w:eastAsia="zh-Hans"/>
        </w:rPr>
        <w:t>、</w:t>
      </w:r>
      <w:r>
        <w:rPr>
          <w:rFonts w:eastAsia="仿宋_GB2312"/>
          <w:sz w:val="32"/>
          <w:szCs w:val="32"/>
        </w:rPr>
        <w:t>乐融管〔2022〕5号</w:t>
      </w:r>
      <w:r>
        <w:rPr>
          <w:rFonts w:hint="default"/>
          <w:color w:val="333333"/>
          <w:shd w:val="clear" w:color="auto" w:fill="FFFFFF"/>
          <w:lang w:eastAsia="zh-Hans"/>
        </w:rPr>
        <w:t>，作为项目立项支撑依据，符合相关要求；</w:t>
      </w:r>
      <w:r>
        <w:rPr>
          <w:rFonts w:hint="default"/>
          <w:color w:val="auto"/>
          <w:highlight w:val="none"/>
          <w:shd w:val="clear" w:color="auto" w:fill="FFFFFF"/>
          <w:lang w:eastAsia="zh-Hans"/>
        </w:rPr>
        <w:t>项目事前经过</w:t>
      </w:r>
      <w:r>
        <w:rPr>
          <w:rFonts w:hint="eastAsia"/>
          <w:color w:val="auto"/>
          <w:highlight w:val="none"/>
          <w:shd w:val="clear" w:color="auto" w:fill="FFFFFF"/>
          <w:lang w:val="en-US" w:eastAsia="zh-CN"/>
        </w:rPr>
        <w:t>单位党组</w:t>
      </w:r>
      <w:r>
        <w:rPr>
          <w:rFonts w:hint="default"/>
          <w:color w:val="auto"/>
          <w:highlight w:val="none"/>
          <w:shd w:val="clear" w:color="auto" w:fill="FFFFFF"/>
          <w:lang w:eastAsia="zh-Hans"/>
        </w:rPr>
        <w:t>集体决策通过</w:t>
      </w:r>
      <w:r>
        <w:rPr>
          <w:rFonts w:hint="default"/>
          <w:color w:val="333333"/>
          <w:shd w:val="clear" w:color="auto" w:fill="FFFFFF"/>
          <w:lang w:eastAsia="zh-Hans"/>
        </w:rPr>
        <w:t>，由</w:t>
      </w:r>
      <w:r>
        <w:rPr>
          <w:rFonts w:hint="eastAsia"/>
          <w:color w:val="333333"/>
          <w:shd w:val="clear" w:color="auto" w:fill="FFFFFF"/>
          <w:lang w:val="en-US" w:eastAsia="zh-CN"/>
        </w:rPr>
        <w:t>园区管委会</w:t>
      </w:r>
      <w:r>
        <w:rPr>
          <w:rFonts w:hint="default"/>
          <w:color w:val="333333"/>
          <w:shd w:val="clear" w:color="auto" w:fill="FFFFFF"/>
          <w:lang w:eastAsia="zh-Hans"/>
        </w:rPr>
        <w:t>负责实施，</w:t>
      </w:r>
      <w:r>
        <w:rPr>
          <w:rFonts w:hint="eastAsia"/>
          <w:color w:val="333333"/>
          <w:shd w:val="clear" w:color="auto" w:fill="FFFFFF"/>
          <w:lang w:val="en-US" w:eastAsia="zh-Hans"/>
        </w:rPr>
        <w:t>项目立项规范</w:t>
      </w:r>
      <w:r>
        <w:rPr>
          <w:rFonts w:hint="default"/>
          <w:color w:val="333333"/>
          <w:shd w:val="clear" w:color="auto" w:fill="FFFFFF"/>
          <w:lang w:eastAsia="zh-Hans"/>
        </w:rPr>
        <w:t>。</w:t>
      </w:r>
    </w:p>
    <w:p>
      <w:pPr>
        <w:pStyle w:val="4"/>
        <w:ind w:firstLine="640"/>
        <w:rPr>
          <w:rFonts w:hint="default" w:eastAsia="仿宋"/>
          <w:color w:val="333333"/>
          <w:shd w:val="clear" w:color="auto" w:fill="FFFFFF"/>
          <w:lang w:val="en-US" w:eastAsia="zh-CN"/>
        </w:rPr>
      </w:pPr>
      <w:r>
        <w:rPr>
          <w:rFonts w:hint="default"/>
          <w:b/>
          <w:bCs/>
          <w:color w:val="333333"/>
          <w:shd w:val="clear" w:color="auto" w:fill="FFFFFF"/>
          <w:lang w:eastAsia="zh-Hans"/>
        </w:rPr>
        <w:t>绩效目标合理性：</w:t>
      </w:r>
      <w:r>
        <w:rPr>
          <w:rFonts w:hint="eastAsia"/>
          <w:color w:val="333333"/>
          <w:shd w:val="clear" w:color="auto" w:fill="FFFFFF"/>
          <w:lang w:val="en-US" w:eastAsia="zh-CN"/>
        </w:rPr>
        <w:t>项目所有绩效目标设置均是根据实际工作情况进行设立，是完全合理可行。</w:t>
      </w:r>
    </w:p>
    <w:p>
      <w:pPr>
        <w:pStyle w:val="4"/>
        <w:ind w:firstLine="640"/>
        <w:rPr>
          <w:rFonts w:hint="eastAsia" w:eastAsia="仿宋"/>
          <w:color w:val="333333"/>
          <w:shd w:val="clear" w:color="auto" w:fill="FFFFFF"/>
          <w:lang w:eastAsia="zh-CN"/>
        </w:rPr>
      </w:pPr>
      <w:r>
        <w:rPr>
          <w:rFonts w:hint="default"/>
          <w:b/>
          <w:bCs/>
          <w:color w:val="333333"/>
          <w:shd w:val="clear" w:color="auto" w:fill="FFFFFF"/>
          <w:lang w:eastAsia="zh-Hans"/>
        </w:rPr>
        <w:t>绩效指标明确性：</w:t>
      </w:r>
      <w:r>
        <w:rPr>
          <w:rFonts w:hint="default"/>
          <w:color w:val="333333"/>
          <w:shd w:val="clear" w:color="auto" w:fill="FFFFFF"/>
          <w:lang w:eastAsia="zh-Hans"/>
        </w:rPr>
        <w:t>本项目将绩效目标细化</w:t>
      </w:r>
      <w:r>
        <w:rPr>
          <w:rFonts w:hint="default"/>
          <w:color w:val="auto"/>
          <w:shd w:val="clear" w:color="auto" w:fill="FFFFFF"/>
          <w:lang w:eastAsia="zh-Hans"/>
        </w:rPr>
        <w:t>分解为</w:t>
      </w:r>
      <w:r>
        <w:rPr>
          <w:rFonts w:hint="eastAsia"/>
          <w:color w:val="auto"/>
          <w:shd w:val="clear" w:color="auto" w:fill="FFFFFF"/>
          <w:lang w:val="en-US" w:eastAsia="zh-Hans"/>
        </w:rPr>
        <w:t>数量指标</w:t>
      </w:r>
      <w:r>
        <w:rPr>
          <w:rFonts w:hint="eastAsia"/>
          <w:color w:val="auto"/>
          <w:shd w:val="clear" w:color="auto" w:fill="FFFFFF"/>
          <w:lang w:val="en-US" w:eastAsia="zh-CN"/>
        </w:rPr>
        <w:t>3个</w:t>
      </w:r>
      <w:r>
        <w:rPr>
          <w:rFonts w:hint="default"/>
          <w:color w:val="auto"/>
          <w:shd w:val="clear" w:color="auto" w:fill="FFFFFF"/>
          <w:lang w:eastAsia="zh-Hans"/>
        </w:rPr>
        <w:t>、</w:t>
      </w:r>
      <w:r>
        <w:rPr>
          <w:rFonts w:hint="eastAsia"/>
          <w:color w:val="auto"/>
          <w:shd w:val="clear" w:color="auto" w:fill="FFFFFF"/>
          <w:lang w:val="en-US" w:eastAsia="zh-Hans"/>
        </w:rPr>
        <w:t>质量指标</w:t>
      </w:r>
      <w:r>
        <w:rPr>
          <w:rFonts w:hint="eastAsia"/>
          <w:color w:val="auto"/>
          <w:shd w:val="clear" w:color="auto" w:fill="FFFFFF"/>
          <w:lang w:val="en-US" w:eastAsia="zh-CN"/>
        </w:rPr>
        <w:t>2个</w:t>
      </w:r>
      <w:r>
        <w:rPr>
          <w:rFonts w:hint="default"/>
          <w:color w:val="auto"/>
          <w:shd w:val="clear" w:color="auto" w:fill="FFFFFF"/>
          <w:lang w:eastAsia="zh-Hans"/>
        </w:rPr>
        <w:t>、</w:t>
      </w:r>
      <w:r>
        <w:rPr>
          <w:rFonts w:hint="eastAsia"/>
          <w:color w:val="auto"/>
          <w:shd w:val="clear" w:color="auto" w:fill="FFFFFF"/>
          <w:lang w:val="en-US" w:eastAsia="zh-Hans"/>
        </w:rPr>
        <w:t>时效指标</w:t>
      </w:r>
      <w:r>
        <w:rPr>
          <w:rFonts w:hint="eastAsia"/>
          <w:color w:val="auto"/>
          <w:shd w:val="clear" w:color="auto" w:fill="FFFFFF"/>
          <w:lang w:val="en-US" w:eastAsia="zh-CN"/>
        </w:rPr>
        <w:t>2个</w:t>
      </w:r>
      <w:r>
        <w:rPr>
          <w:rFonts w:hint="eastAsia"/>
          <w:color w:val="auto"/>
          <w:shd w:val="clear" w:color="auto" w:fill="FFFFFF"/>
          <w:lang w:val="en-US" w:eastAsia="zh-Hans"/>
        </w:rPr>
        <w:t>等</w:t>
      </w:r>
      <w:r>
        <w:rPr>
          <w:rFonts w:hint="default"/>
          <w:color w:val="auto"/>
          <w:shd w:val="clear" w:color="auto" w:fill="FFFFFF"/>
          <w:lang w:eastAsia="zh-Hans"/>
        </w:rPr>
        <w:t>具体的绩效指标（</w:t>
      </w:r>
      <w:r>
        <w:rPr>
          <w:rFonts w:hint="eastAsia"/>
          <w:color w:val="auto"/>
          <w:shd w:val="clear" w:color="auto" w:fill="FFFFFF"/>
          <w:lang w:val="en-US" w:eastAsia="zh-Hans"/>
        </w:rPr>
        <w:t>产出指标</w:t>
      </w:r>
      <w:r>
        <w:rPr>
          <w:rFonts w:hint="default"/>
          <w:color w:val="auto"/>
          <w:shd w:val="clear" w:color="auto" w:fill="FFFFFF"/>
          <w:lang w:eastAsia="zh-Hans"/>
        </w:rPr>
        <w:t>）</w:t>
      </w:r>
      <w:r>
        <w:rPr>
          <w:rFonts w:hint="default"/>
          <w:color w:val="333333"/>
          <w:shd w:val="clear" w:color="auto" w:fill="FFFFFF"/>
          <w:lang w:eastAsia="zh-Hans"/>
        </w:rPr>
        <w:t>，且均通过清晰、可衡量的指标值予以体现（</w:t>
      </w:r>
      <w:r>
        <w:rPr>
          <w:rFonts w:hint="eastAsia"/>
          <w:color w:val="333333"/>
          <w:shd w:val="clear" w:color="auto" w:fill="FFFFFF"/>
          <w:lang w:val="en-US" w:eastAsia="zh-Hans"/>
        </w:rPr>
        <w:t>可详见附件项目支出绩效目标完成情况表</w:t>
      </w:r>
      <w:r>
        <w:rPr>
          <w:rFonts w:hint="default"/>
          <w:color w:val="333333"/>
          <w:shd w:val="clear" w:color="auto" w:fill="FFFFFF"/>
          <w:lang w:eastAsia="zh-Hans"/>
        </w:rPr>
        <w:t>）</w:t>
      </w:r>
      <w:r>
        <w:rPr>
          <w:rFonts w:hint="eastAsia"/>
          <w:color w:val="333333"/>
          <w:shd w:val="clear" w:color="auto" w:fill="FFFFFF"/>
          <w:lang w:eastAsia="zh-CN"/>
        </w:rPr>
        <w:t>。</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.资金落实</w:t>
      </w:r>
    </w:p>
    <w:p>
      <w:pPr>
        <w:pStyle w:val="4"/>
        <w:numPr>
          <w:ilvl w:val="0"/>
          <w:numId w:val="0"/>
        </w:numPr>
        <w:ind w:firstLine="640"/>
        <w:rPr>
          <w:rFonts w:hint="default" w:ascii="Times New Roman Regular" w:hAnsi="Times New Roman Regular" w:cs="Times New Roman Regular"/>
          <w:b w:val="0"/>
          <w:bCs w:val="0"/>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资金</w:t>
      </w:r>
      <w:r>
        <w:rPr>
          <w:rFonts w:hint="eastAsia" w:ascii="Times New Roman Regular" w:hAnsi="Times New Roman Regular" w:cs="Times New Roman Regular"/>
          <w:b/>
          <w:bCs/>
          <w:color w:val="333333"/>
          <w:shd w:val="clear" w:color="auto" w:fill="FFFFFF"/>
          <w:lang w:val="en-US" w:eastAsia="zh-Hans"/>
        </w:rPr>
        <w:t>到位率</w:t>
      </w:r>
      <w:r>
        <w:rPr>
          <w:rFonts w:hint="default" w:ascii="Times New Roman Regular" w:hAnsi="Times New Roman Regular" w:cs="Times New Roman Regular"/>
          <w:b/>
          <w:bCs/>
          <w:color w:val="333333"/>
          <w:shd w:val="clear" w:color="auto" w:fill="FFFFFF"/>
          <w:lang w:eastAsia="zh-Hans"/>
        </w:rPr>
        <w:t>：</w:t>
      </w:r>
      <w:r>
        <w:rPr>
          <w:rFonts w:hint="eastAsia" w:ascii="Times New Roman Regular" w:hAnsi="Times New Roman Regular" w:cs="Times New Roman Regular"/>
          <w:b w:val="0"/>
          <w:bCs w:val="0"/>
          <w:color w:val="333333"/>
          <w:shd w:val="clear" w:color="auto" w:fill="FFFFFF"/>
          <w:lang w:val="en-US" w:eastAsia="zh-CN"/>
        </w:rPr>
        <w:t>工作经费</w:t>
      </w:r>
      <w:r>
        <w:rPr>
          <w:rFonts w:hint="default" w:ascii="Times New Roman Regular" w:hAnsi="Times New Roman Regular" w:cs="Times New Roman Regular"/>
          <w:b w:val="0"/>
          <w:bCs w:val="0"/>
          <w:color w:val="333333"/>
          <w:shd w:val="clear" w:color="auto" w:fill="FFFFFF"/>
          <w:lang w:eastAsia="zh-Hans"/>
        </w:rPr>
        <w:t>项目</w:t>
      </w:r>
      <w:r>
        <w:rPr>
          <w:rFonts w:hint="eastAsia" w:ascii="Times New Roman Regular" w:hAnsi="Times New Roman Regular" w:cs="Times New Roman Regular"/>
          <w:b w:val="0"/>
          <w:bCs w:val="0"/>
          <w:color w:val="333333"/>
          <w:shd w:val="clear" w:color="auto" w:fill="FFFFFF"/>
          <w:lang w:val="en-US" w:eastAsia="zh-CN"/>
        </w:rPr>
        <w:t>跨年度总投资40万元，2022年</w:t>
      </w:r>
      <w:r>
        <w:rPr>
          <w:rFonts w:hint="default" w:ascii="Times New Roman Regular" w:hAnsi="Times New Roman Regular" w:cs="Times New Roman Regular"/>
          <w:b w:val="0"/>
          <w:bCs w:val="0"/>
          <w:color w:val="333333"/>
          <w:shd w:val="clear" w:color="auto" w:fill="FFFFFF"/>
          <w:lang w:eastAsia="zh-Hans"/>
        </w:rPr>
        <w:t>计划投入资金</w:t>
      </w:r>
      <w:r>
        <w:rPr>
          <w:rFonts w:hint="eastAsia" w:ascii="Times New Roman Regular" w:hAnsi="Times New Roman Regular" w:cs="Times New Roman Regular"/>
          <w:b w:val="0"/>
          <w:bCs w:val="0"/>
          <w:color w:val="333333"/>
          <w:shd w:val="clear" w:color="auto" w:fill="FFFFFF"/>
          <w:lang w:val="en-US" w:eastAsia="zh-CN"/>
        </w:rPr>
        <w:t>19</w:t>
      </w:r>
      <w:r>
        <w:rPr>
          <w:rFonts w:hint="default" w:ascii="Times New Roman Regular" w:hAnsi="Times New Roman Regular" w:cs="Times New Roman Regular"/>
          <w:b w:val="0"/>
          <w:bCs w:val="0"/>
          <w:color w:val="333333"/>
          <w:shd w:val="clear" w:color="auto" w:fill="FFFFFF"/>
          <w:lang w:eastAsia="zh-Hans"/>
        </w:rPr>
        <w:t>万元，（其中：本级财政资金</w:t>
      </w:r>
      <w:r>
        <w:rPr>
          <w:rFonts w:hint="eastAsia" w:ascii="Times New Roman Regular" w:hAnsi="Times New Roman Regular" w:cs="Times New Roman Regular"/>
          <w:b w:val="0"/>
          <w:bCs w:val="0"/>
          <w:color w:val="333333"/>
          <w:shd w:val="clear" w:color="auto" w:fill="FFFFFF"/>
          <w:lang w:val="en-US" w:eastAsia="zh-CN"/>
        </w:rPr>
        <w:t>19</w:t>
      </w:r>
      <w:r>
        <w:rPr>
          <w:rFonts w:hint="default" w:ascii="Times New Roman Regular" w:hAnsi="Times New Roman Regular" w:cs="Times New Roman Regular"/>
          <w:b w:val="0"/>
          <w:bCs w:val="0"/>
          <w:color w:val="333333"/>
          <w:shd w:val="clear" w:color="auto" w:fill="FFFFFF"/>
          <w:lang w:eastAsia="zh-Hans"/>
        </w:rPr>
        <w:t>万元，省级财政资金</w:t>
      </w:r>
      <w:r>
        <w:rPr>
          <w:rFonts w:hint="eastAsia" w:ascii="Times New Roman Regular" w:hAnsi="Times New Roman Regular" w:cs="Times New Roman Regular"/>
          <w:b w:val="0"/>
          <w:bCs w:val="0"/>
          <w:color w:val="333333"/>
          <w:shd w:val="clear" w:color="auto" w:fill="FFFFFF"/>
          <w:lang w:val="en-US" w:eastAsia="zh-CN"/>
        </w:rPr>
        <w:t>0</w:t>
      </w:r>
      <w:r>
        <w:rPr>
          <w:rFonts w:hint="default" w:ascii="Times New Roman Regular" w:hAnsi="Times New Roman Regular" w:cs="Times New Roman Regular"/>
          <w:b w:val="0"/>
          <w:bCs w:val="0"/>
          <w:color w:val="333333"/>
          <w:shd w:val="clear" w:color="auto" w:fill="FFFFFF"/>
          <w:lang w:eastAsia="zh-Hans"/>
        </w:rPr>
        <w:t>万元，专项债资金</w:t>
      </w:r>
      <w:r>
        <w:rPr>
          <w:rFonts w:hint="eastAsia" w:ascii="Times New Roman Regular" w:hAnsi="Times New Roman Regular" w:cs="Times New Roman Regular"/>
          <w:b w:val="0"/>
          <w:bCs w:val="0"/>
          <w:color w:val="333333"/>
          <w:shd w:val="clear" w:color="auto" w:fill="FFFFFF"/>
          <w:lang w:val="en-US" w:eastAsia="zh-CN"/>
        </w:rPr>
        <w:t>0</w:t>
      </w:r>
      <w:r>
        <w:rPr>
          <w:rFonts w:hint="default" w:ascii="Times New Roman Regular" w:hAnsi="Times New Roman Regular" w:cs="Times New Roman Regular"/>
          <w:b w:val="0"/>
          <w:bCs w:val="0"/>
          <w:color w:val="333333"/>
          <w:shd w:val="clear" w:color="auto" w:fill="FFFFFF"/>
          <w:lang w:eastAsia="zh-Hans"/>
        </w:rPr>
        <w:t>万元等），截至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年12月31日，本项目</w:t>
      </w:r>
      <w:r>
        <w:rPr>
          <w:rFonts w:hint="eastAsia" w:ascii="Times New Roman Regular" w:hAnsi="Times New Roman Regular" w:cs="Times New Roman Regular"/>
          <w:b w:val="0"/>
          <w:bCs w:val="0"/>
          <w:color w:val="333333"/>
          <w:shd w:val="clear" w:color="auto" w:fill="FFFFFF"/>
          <w:lang w:val="en-US" w:eastAsia="zh-CN"/>
        </w:rPr>
        <w:t>当年</w:t>
      </w:r>
      <w:r>
        <w:rPr>
          <w:rFonts w:hint="default" w:ascii="Times New Roman Regular" w:hAnsi="Times New Roman Regular" w:cs="Times New Roman Regular"/>
          <w:b w:val="0"/>
          <w:bCs w:val="0"/>
          <w:color w:val="333333"/>
          <w:shd w:val="clear" w:color="auto" w:fill="FFFFFF"/>
          <w:lang w:eastAsia="zh-Hans"/>
        </w:rPr>
        <w:t>实际投入资金</w:t>
      </w:r>
      <w:r>
        <w:rPr>
          <w:rFonts w:hint="eastAsia" w:ascii="Times New Roman Regular" w:hAnsi="Times New Roman Regular" w:cs="Times New Roman Regular"/>
          <w:b w:val="0"/>
          <w:bCs w:val="0"/>
          <w:color w:val="333333"/>
          <w:shd w:val="clear" w:color="auto" w:fill="FFFFFF"/>
          <w:lang w:val="en-US" w:eastAsia="zh-CN"/>
        </w:rPr>
        <w:t>19</w:t>
      </w:r>
      <w:r>
        <w:rPr>
          <w:rFonts w:hint="default" w:ascii="Times New Roman Regular" w:hAnsi="Times New Roman Regular" w:cs="Times New Roman Regular"/>
          <w:b w:val="0"/>
          <w:bCs w:val="0"/>
          <w:color w:val="333333"/>
          <w:shd w:val="clear" w:color="auto" w:fill="FFFFFF"/>
          <w:lang w:eastAsia="zh-Hans"/>
        </w:rPr>
        <w:t>万元</w:t>
      </w:r>
      <w:r>
        <w:rPr>
          <w:rFonts w:hint="eastAsia" w:ascii="Times New Roman Regular" w:hAnsi="Times New Roman Regular" w:cs="Times New Roman Regular"/>
          <w:b w:val="0"/>
          <w:bCs w:val="0"/>
          <w:color w:val="333333"/>
          <w:shd w:val="clear" w:color="auto" w:fill="FFFFFF"/>
          <w:lang w:val="en-US" w:eastAsia="zh-CN"/>
        </w:rPr>
        <w:t>,</w:t>
      </w:r>
      <w:r>
        <w:rPr>
          <w:rFonts w:hint="default" w:ascii="Times New Roman Regular" w:hAnsi="Times New Roman Regular" w:cs="Times New Roman Regular"/>
          <w:b w:val="0"/>
          <w:bCs w:val="0"/>
          <w:color w:val="333333"/>
          <w:shd w:val="clear" w:color="auto" w:fill="FFFFFF"/>
          <w:lang w:eastAsia="zh-Hans"/>
        </w:rPr>
        <w:t>资金到位率</w:t>
      </w:r>
      <w:r>
        <w:rPr>
          <w:rFonts w:hint="eastAsia" w:ascii="Times New Roman Regular" w:hAnsi="Times New Roman Regular" w:cs="Times New Roman Regular"/>
          <w:b w:val="0"/>
          <w:bCs w:val="0"/>
          <w:color w:val="333333"/>
          <w:shd w:val="clear" w:color="auto" w:fill="FFFFFF"/>
          <w:lang w:val="en-US" w:eastAsia="zh-CN"/>
        </w:rPr>
        <w:t>100</w:t>
      </w:r>
      <w:r>
        <w:rPr>
          <w:rFonts w:hint="default" w:ascii="Times New Roman Regular" w:hAnsi="Times New Roman Regular" w:cs="Times New Roman Regular"/>
          <w:b w:val="0"/>
          <w:bCs w:val="0"/>
          <w:color w:val="333333"/>
          <w:shd w:val="clear" w:color="auto" w:fill="FFFFFF"/>
          <w:lang w:eastAsia="zh-Hans"/>
        </w:rPr>
        <w:t>%。</w:t>
      </w:r>
    </w:p>
    <w:p>
      <w:pPr>
        <w:pStyle w:val="4"/>
        <w:numPr>
          <w:ilvl w:val="0"/>
          <w:numId w:val="0"/>
        </w:numPr>
        <w:ind w:firstLine="640"/>
        <w:rPr>
          <w:rFonts w:hint="default" w:ascii="Times New Roman Regular" w:hAnsi="Times New Roman Regular" w:cs="Times New Roman Regular"/>
          <w:b/>
          <w:bCs/>
          <w:color w:val="333333"/>
          <w:shd w:val="clear" w:color="auto" w:fill="FFFFFF"/>
          <w:lang w:eastAsia="zh-Hans"/>
        </w:rPr>
      </w:pPr>
      <w:r>
        <w:rPr>
          <w:rFonts w:hint="eastAsia" w:ascii="Times New Roman Regular" w:hAnsi="Times New Roman Regular" w:cs="Times New Roman Regular"/>
          <w:b/>
          <w:bCs/>
          <w:color w:val="333333"/>
          <w:shd w:val="clear" w:color="auto" w:fill="FFFFFF"/>
          <w:lang w:val="en-US" w:eastAsia="zh-Hans"/>
        </w:rPr>
        <w:t>资金到位及时率</w:t>
      </w:r>
      <w:r>
        <w:rPr>
          <w:rFonts w:hint="default" w:ascii="Times New Roman Regular" w:hAnsi="Times New Roman Regular" w:cs="Times New Roman Regular"/>
          <w:b/>
          <w:bCs/>
          <w:color w:val="333333"/>
          <w:shd w:val="clear" w:color="auto" w:fill="FFFFFF"/>
          <w:lang w:eastAsia="zh-Hans"/>
        </w:rPr>
        <w:t>：</w:t>
      </w:r>
      <w:r>
        <w:rPr>
          <w:rFonts w:hint="default" w:ascii="Times New Roman Regular" w:hAnsi="Times New Roman Regular" w:cs="Times New Roman Regular"/>
          <w:b w:val="0"/>
          <w:bCs w:val="0"/>
          <w:color w:val="333333"/>
          <w:shd w:val="clear" w:color="auto" w:fill="FFFFFF"/>
          <w:lang w:eastAsia="zh-Hans"/>
        </w:rPr>
        <w:t>根据项目合同或项目进度要求，截至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w:t>
      </w:r>
      <w:r>
        <w:rPr>
          <w:rFonts w:hint="eastAsia" w:ascii="Times New Roman Regular" w:hAnsi="Times New Roman Regular" w:cs="Times New Roman Regular"/>
          <w:b w:val="0"/>
          <w:bCs w:val="0"/>
          <w:color w:val="333333"/>
          <w:shd w:val="clear" w:color="auto" w:fill="FFFFFF"/>
          <w:lang w:val="en-US" w:eastAsia="zh-CN"/>
        </w:rPr>
        <w:t>12</w:t>
      </w:r>
      <w:r>
        <w:rPr>
          <w:rFonts w:hint="default" w:ascii="Times New Roman Regular" w:hAnsi="Times New Roman Regular" w:cs="Times New Roman Regular"/>
          <w:b w:val="0"/>
          <w:bCs w:val="0"/>
          <w:color w:val="333333"/>
          <w:shd w:val="clear" w:color="auto" w:fill="FFFFFF"/>
          <w:lang w:eastAsia="zh-Hans"/>
        </w:rPr>
        <w:t>月</w:t>
      </w:r>
      <w:r>
        <w:rPr>
          <w:rFonts w:hint="eastAsia" w:ascii="Times New Roman Regular" w:hAnsi="Times New Roman Regular" w:cs="Times New Roman Regular"/>
          <w:b w:val="0"/>
          <w:bCs w:val="0"/>
          <w:color w:val="333333"/>
          <w:shd w:val="clear" w:color="auto" w:fill="FFFFFF"/>
          <w:lang w:val="en-US" w:eastAsia="zh-CN"/>
        </w:rPr>
        <w:t>31</w:t>
      </w:r>
      <w:r>
        <w:rPr>
          <w:rFonts w:hint="default" w:ascii="Times New Roman Regular" w:hAnsi="Times New Roman Regular" w:cs="Times New Roman Regular"/>
          <w:b w:val="0"/>
          <w:bCs w:val="0"/>
          <w:color w:val="333333"/>
          <w:shd w:val="clear" w:color="auto" w:fill="FFFFFF"/>
          <w:lang w:eastAsia="zh-Hans"/>
        </w:rPr>
        <w:t>日，本项目应落实资金</w:t>
      </w:r>
      <w:r>
        <w:rPr>
          <w:rFonts w:hint="eastAsia" w:ascii="Times New Roman Regular" w:hAnsi="Times New Roman Regular" w:cs="Times New Roman Regular"/>
          <w:b w:val="0"/>
          <w:bCs w:val="0"/>
          <w:color w:val="333333"/>
          <w:shd w:val="clear" w:color="auto" w:fill="FFFFFF"/>
          <w:lang w:val="en-US" w:eastAsia="zh-CN"/>
        </w:rPr>
        <w:t>19</w:t>
      </w:r>
      <w:r>
        <w:rPr>
          <w:rFonts w:hint="default" w:ascii="Times New Roman Regular" w:hAnsi="Times New Roman Regular" w:cs="Times New Roman Regular"/>
          <w:b w:val="0"/>
          <w:bCs w:val="0"/>
          <w:color w:val="333333"/>
          <w:shd w:val="clear" w:color="auto" w:fill="FFFFFF"/>
          <w:lang w:eastAsia="zh-Hans"/>
        </w:rPr>
        <w:t>万元，实际落实资金</w:t>
      </w:r>
      <w:r>
        <w:rPr>
          <w:rFonts w:hint="eastAsia" w:ascii="Times New Roman Regular" w:hAnsi="Times New Roman Regular" w:cs="Times New Roman Regular"/>
          <w:b w:val="0"/>
          <w:bCs w:val="0"/>
          <w:color w:val="333333"/>
          <w:shd w:val="clear" w:color="auto" w:fill="FFFFFF"/>
          <w:lang w:val="en-US" w:eastAsia="zh-CN"/>
        </w:rPr>
        <w:t>19</w:t>
      </w:r>
      <w:r>
        <w:rPr>
          <w:rFonts w:hint="default" w:ascii="Times New Roman Regular" w:hAnsi="Times New Roman Regular" w:cs="Times New Roman Regular"/>
          <w:b w:val="0"/>
          <w:bCs w:val="0"/>
          <w:color w:val="333333"/>
          <w:shd w:val="clear" w:color="auto" w:fill="FFFFFF"/>
          <w:lang w:eastAsia="zh-Hans"/>
        </w:rPr>
        <w:t>万元，资金到位及时率</w:t>
      </w:r>
      <w:r>
        <w:rPr>
          <w:rFonts w:hint="eastAsia" w:ascii="Times New Roman Regular" w:hAnsi="Times New Roman Regular" w:cs="Times New Roman Regular"/>
          <w:b w:val="0"/>
          <w:bCs w:val="0"/>
          <w:color w:val="333333"/>
          <w:shd w:val="clear" w:color="auto" w:fill="FFFFFF"/>
          <w:lang w:val="en-US" w:eastAsia="zh-CN"/>
        </w:rPr>
        <w:t>100</w:t>
      </w:r>
      <w:r>
        <w:rPr>
          <w:rFonts w:hint="default" w:ascii="Times New Roman Regular" w:hAnsi="Times New Roman Regular" w:cs="Times New Roman Regular"/>
          <w:b w:val="0"/>
          <w:bCs w:val="0"/>
          <w:color w:val="333333"/>
          <w:shd w:val="clear" w:color="auto" w:fill="FFFFFF"/>
          <w:lang w:eastAsia="zh-Hans"/>
        </w:rPr>
        <w:t>%。</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（二）过程管理</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.业务管理</w:t>
      </w:r>
    </w:p>
    <w:p>
      <w:pPr>
        <w:pStyle w:val="4"/>
        <w:numPr>
          <w:ilvl w:val="0"/>
          <w:numId w:val="0"/>
        </w:numPr>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 xml:space="preserve">    管理制度健全性：</w:t>
      </w:r>
      <w:r>
        <w:rPr>
          <w:rFonts w:hint="default" w:ascii="Times New Roman Regular" w:hAnsi="Times New Roman Regular" w:cs="Times New Roman Regular"/>
          <w:b w:val="0"/>
          <w:bCs w:val="0"/>
          <w:color w:val="333333"/>
          <w:shd w:val="clear" w:color="auto" w:fill="FFFFFF"/>
          <w:lang w:eastAsia="zh-Hans"/>
        </w:rPr>
        <w:t>本</w:t>
      </w:r>
      <w:r>
        <w:rPr>
          <w:rFonts w:hint="eastAsia" w:ascii="Times New Roman Regular" w:hAnsi="Times New Roman Regular" w:cs="Times New Roman Regular"/>
          <w:b w:val="0"/>
          <w:bCs w:val="0"/>
          <w:color w:val="333333"/>
          <w:shd w:val="clear" w:color="auto" w:fill="FFFFFF"/>
          <w:lang w:val="en-US" w:eastAsia="zh-CN"/>
        </w:rPr>
        <w:t>单位</w:t>
      </w:r>
      <w:r>
        <w:rPr>
          <w:rFonts w:hint="default" w:ascii="Times New Roman Regular" w:hAnsi="Times New Roman Regular" w:cs="Times New Roman Regular"/>
          <w:b w:val="0"/>
          <w:bCs w:val="0"/>
          <w:color w:val="333333"/>
          <w:shd w:val="clear" w:color="auto" w:fill="FFFFFF"/>
          <w:lang w:eastAsia="zh-Hans"/>
        </w:rPr>
        <w:t>制定了</w:t>
      </w:r>
      <w:r>
        <w:rPr>
          <w:rFonts w:hint="eastAsia" w:ascii="Times New Roman Regular" w:hAnsi="Times New Roman Regular" w:cs="Times New Roman Regular"/>
          <w:b w:val="0"/>
          <w:bCs w:val="0"/>
          <w:color w:val="333333"/>
          <w:shd w:val="clear" w:color="auto" w:fill="FFFFFF"/>
          <w:lang w:val="en-US" w:eastAsia="zh-CN"/>
        </w:rPr>
        <w:t>园区财务管理制度党风廉政管理制度</w:t>
      </w:r>
      <w:r>
        <w:rPr>
          <w:rFonts w:hint="default" w:ascii="Times New Roman Regular" w:hAnsi="Times New Roman Regular" w:cs="Times New Roman Regular"/>
          <w:b w:val="0"/>
          <w:bCs w:val="0"/>
          <w:color w:val="333333"/>
          <w:shd w:val="clear" w:color="auto" w:fill="FFFFFF"/>
          <w:lang w:eastAsia="zh-Hans"/>
        </w:rPr>
        <w:t>，制度内容涵盖项目实施管理、竣工验收与决算(结算)管理、修缮与维修管理、资金与财务管理、信息与档案管理等方面，业务管理制度合法、合规、完整。</w:t>
      </w:r>
    </w:p>
    <w:p>
      <w:pPr>
        <w:pStyle w:val="4"/>
        <w:numPr>
          <w:ilvl w:val="0"/>
          <w:numId w:val="0"/>
        </w:numPr>
        <w:ind w:firstLine="643" w:firstLineChars="200"/>
        <w:rPr>
          <w:rFonts w:hint="default" w:ascii="Times New Roman Regular" w:hAnsi="Times New Roman Regular" w:cs="Times New Roman Regular"/>
          <w:b w:val="0"/>
          <w:bCs w:val="0"/>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制度执行有效性：</w:t>
      </w:r>
      <w:r>
        <w:rPr>
          <w:rFonts w:hint="default" w:ascii="Times New Roman Regular" w:hAnsi="Times New Roman Regular" w:cs="Times New Roman Regular"/>
          <w:b w:val="0"/>
          <w:bCs w:val="0"/>
          <w:color w:val="333333"/>
          <w:shd w:val="clear" w:color="auto" w:fill="FFFFFF"/>
          <w:lang w:eastAsia="zh-Hans"/>
        </w:rPr>
        <w:t>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w:t>
      </w:r>
      <w:r>
        <w:rPr>
          <w:rFonts w:hint="eastAsia" w:ascii="Times New Roman Regular" w:hAnsi="Times New Roman Regular" w:cs="Times New Roman Regular"/>
          <w:b w:val="0"/>
          <w:bCs w:val="0"/>
          <w:color w:val="333333"/>
          <w:shd w:val="clear" w:color="auto" w:fill="FFFFFF"/>
          <w:lang w:val="en-US" w:eastAsia="zh-CN"/>
        </w:rPr>
        <w:t>12</w:t>
      </w:r>
      <w:r>
        <w:rPr>
          <w:rFonts w:hint="default" w:ascii="Times New Roman Regular" w:hAnsi="Times New Roman Regular" w:cs="Times New Roman Regular"/>
          <w:b w:val="0"/>
          <w:bCs w:val="0"/>
          <w:color w:val="333333"/>
          <w:shd w:val="clear" w:color="auto" w:fill="FFFFFF"/>
          <w:lang w:eastAsia="zh-Hans"/>
        </w:rPr>
        <w:t>月</w:t>
      </w:r>
      <w:r>
        <w:rPr>
          <w:rFonts w:hint="eastAsia" w:ascii="Times New Roman Regular" w:hAnsi="Times New Roman Regular" w:cs="Times New Roman Regular"/>
          <w:b w:val="0"/>
          <w:bCs w:val="0"/>
          <w:color w:val="333333"/>
          <w:shd w:val="clear" w:color="auto" w:fill="FFFFFF"/>
          <w:lang w:val="en-US" w:eastAsia="zh-CN"/>
        </w:rPr>
        <w:t>31</w:t>
      </w:r>
      <w:r>
        <w:rPr>
          <w:rFonts w:hint="default" w:ascii="Times New Roman Regular" w:hAnsi="Times New Roman Regular" w:cs="Times New Roman Regular"/>
          <w:b w:val="0"/>
          <w:bCs w:val="0"/>
          <w:color w:val="333333"/>
          <w:shd w:val="clear" w:color="auto" w:fill="FFFFFF"/>
          <w:lang w:eastAsia="zh-Hans"/>
        </w:rPr>
        <w:t>日，本项目完成了</w:t>
      </w:r>
      <w:r>
        <w:rPr>
          <w:rFonts w:hint="eastAsia" w:ascii="Times New Roman Regular" w:hAnsi="Times New Roman Regular" w:cs="Times New Roman Regular"/>
          <w:b w:val="0"/>
          <w:bCs w:val="0"/>
          <w:color w:val="333333"/>
          <w:shd w:val="clear" w:color="auto" w:fill="FFFFFF"/>
          <w:lang w:val="en-US" w:eastAsia="zh-CN"/>
        </w:rPr>
        <w:t>全部</w:t>
      </w:r>
      <w:r>
        <w:rPr>
          <w:rFonts w:hint="default" w:ascii="Times New Roman Regular" w:hAnsi="Times New Roman Regular" w:cs="Times New Roman Regular"/>
          <w:b w:val="0"/>
          <w:bCs w:val="0"/>
          <w:color w:val="333333"/>
          <w:shd w:val="clear" w:color="auto" w:fill="FFFFFF"/>
          <w:lang w:eastAsia="zh-Hans"/>
        </w:rPr>
        <w:t>工作，相关的项目合同书、验收报告、技术鉴定等资料均由</w:t>
      </w:r>
      <w:r>
        <w:rPr>
          <w:rFonts w:hint="eastAsia" w:ascii="Times New Roman Regular" w:hAnsi="Times New Roman Regular" w:cs="Times New Roman Regular"/>
          <w:b w:val="0"/>
          <w:bCs w:val="0"/>
          <w:color w:val="333333"/>
          <w:shd w:val="clear" w:color="auto" w:fill="FFFFFF"/>
          <w:lang w:val="en-US" w:eastAsia="zh-CN"/>
        </w:rPr>
        <w:t>园区管委会综合办</w:t>
      </w:r>
      <w:r>
        <w:rPr>
          <w:rFonts w:hint="default" w:ascii="Times New Roman Regular" w:hAnsi="Times New Roman Regular" w:cs="Times New Roman Regular"/>
          <w:b w:val="0"/>
          <w:bCs w:val="0"/>
          <w:color w:val="333333"/>
          <w:shd w:val="clear" w:color="auto" w:fill="FFFFFF"/>
          <w:lang w:eastAsia="zh-Hans"/>
        </w:rPr>
        <w:t>归档，资料归档齐全并及时；综上，本项目的实施遵守了相关法律法规和</w:t>
      </w:r>
      <w:r>
        <w:rPr>
          <w:rFonts w:hint="eastAsia" w:ascii="Times New Roman Regular" w:hAnsi="Times New Roman Regular" w:cs="Times New Roman Regular"/>
          <w:b w:val="0"/>
          <w:bCs w:val="0"/>
          <w:color w:val="333333"/>
          <w:shd w:val="clear" w:color="auto" w:fill="FFFFFF"/>
          <w:lang w:val="en-US" w:eastAsia="zh-CN"/>
        </w:rPr>
        <w:t>园区财务管理制度</w:t>
      </w:r>
      <w:r>
        <w:rPr>
          <w:rFonts w:hint="default" w:ascii="Times New Roman Regular" w:hAnsi="Times New Roman Regular" w:cs="Times New Roman Regular"/>
          <w:b w:val="0"/>
          <w:bCs w:val="0"/>
          <w:color w:val="333333"/>
          <w:shd w:val="clear" w:color="auto" w:fill="FFFFFF"/>
          <w:lang w:eastAsia="zh-Hans"/>
        </w:rPr>
        <w:t>。</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.财务管理</w:t>
      </w:r>
    </w:p>
    <w:p>
      <w:pPr>
        <w:pStyle w:val="4"/>
        <w:numPr>
          <w:ilvl w:val="0"/>
          <w:numId w:val="0"/>
        </w:numPr>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 xml:space="preserve">    管理制度健全性：</w:t>
      </w:r>
      <w:r>
        <w:rPr>
          <w:rFonts w:hint="default" w:ascii="Times New Roman Regular" w:hAnsi="Times New Roman Regular" w:cs="Times New Roman Regular"/>
          <w:b w:val="0"/>
          <w:bCs w:val="0"/>
          <w:color w:val="333333"/>
          <w:shd w:val="clear" w:color="auto" w:fill="FFFFFF"/>
          <w:lang w:eastAsia="zh-Hans"/>
        </w:rPr>
        <w:t>本单位制定了《</w:t>
      </w:r>
      <w:r>
        <w:rPr>
          <w:rFonts w:hint="eastAsia" w:ascii="Times New Roman Regular" w:hAnsi="Times New Roman Regular" w:cs="Times New Roman Regular"/>
          <w:b w:val="0"/>
          <w:bCs w:val="0"/>
          <w:color w:val="333333"/>
          <w:shd w:val="clear" w:color="auto" w:fill="FFFFFF"/>
          <w:lang w:val="en-US" w:eastAsia="zh-CN"/>
        </w:rPr>
        <w:t>园区</w:t>
      </w:r>
      <w:r>
        <w:rPr>
          <w:rFonts w:hint="default" w:ascii="Times New Roman Regular" w:hAnsi="Times New Roman Regular" w:cs="Times New Roman Regular"/>
          <w:b w:val="0"/>
          <w:bCs w:val="0"/>
          <w:color w:val="333333"/>
          <w:shd w:val="clear" w:color="auto" w:fill="FFFFFF"/>
          <w:lang w:eastAsia="zh-Hans"/>
        </w:rPr>
        <w:t>财务管理制度》文件，制度内容涵盖预算管理制度、合同管理制度、经费支出管理办法和内部财务管理制度等管理制度，符合相关财务会计制度的规定。</w:t>
      </w:r>
    </w:p>
    <w:p>
      <w:pPr>
        <w:pStyle w:val="4"/>
        <w:numPr>
          <w:ilvl w:val="0"/>
          <w:numId w:val="0"/>
        </w:numPr>
        <w:ind w:firstLine="643" w:firstLineChars="200"/>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资金使用合规性：</w:t>
      </w:r>
      <w:r>
        <w:rPr>
          <w:rFonts w:hint="default" w:ascii="Times New Roman Regular" w:hAnsi="Times New Roman Regular" w:cs="Times New Roman Regular"/>
          <w:b w:val="0"/>
          <w:bCs w:val="0"/>
          <w:color w:val="333333"/>
          <w:shd w:val="clear" w:color="auto" w:fill="FFFFFF"/>
          <w:lang w:eastAsia="zh-Hans"/>
        </w:rPr>
        <w:t>本单位根据内部的《财务管理制度》相关办法规定，遵循“先预算后支出，谁签字谁负责”原则，资金报销相关资料经综合部和部门分管领导审批后，拨付资金，审批程序和手续完整；本项目的资金使用方向为</w:t>
      </w:r>
      <w:r>
        <w:rPr>
          <w:rFonts w:hint="eastAsia" w:ascii="Times New Roman Regular" w:hAnsi="Times New Roman Regular" w:cs="Times New Roman Regular"/>
          <w:b w:val="0"/>
          <w:bCs w:val="0"/>
          <w:color w:val="333333"/>
          <w:shd w:val="clear" w:color="auto" w:fill="FFFFFF"/>
          <w:lang w:val="en-US" w:eastAsia="zh-CN"/>
        </w:rPr>
        <w:t>支付展板、展架制作，支付重大现场活动筹备开支、支付宣传资料制作</w:t>
      </w:r>
      <w:r>
        <w:rPr>
          <w:rFonts w:hint="default" w:ascii="Times New Roman Regular" w:hAnsi="Times New Roman Regular" w:cs="Times New Roman Regular"/>
          <w:b w:val="0"/>
          <w:bCs w:val="0"/>
          <w:color w:val="333333"/>
          <w:shd w:val="clear" w:color="auto" w:fill="FFFFFF"/>
          <w:lang w:eastAsia="zh-Hans"/>
        </w:rPr>
        <w:t>等方面，与项目预算批复和合同规定的用途一致；自评小组对项目的支出明细和凭证开展了核查，未发现存在截留、挤占、挪用、虚列支出等情况。综上，本项目资金使用合规，符合国家财经法规和财务管理制度。</w:t>
      </w:r>
    </w:p>
    <w:p>
      <w:pPr>
        <w:pStyle w:val="4"/>
        <w:numPr>
          <w:ilvl w:val="0"/>
          <w:numId w:val="0"/>
        </w:numPr>
        <w:ind w:firstLine="643" w:firstLineChars="200"/>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财务监控有效性：</w:t>
      </w:r>
      <w:r>
        <w:rPr>
          <w:rFonts w:hint="default" w:ascii="Times New Roman Regular" w:hAnsi="Times New Roman Regular" w:cs="Times New Roman Regular"/>
          <w:b w:val="0"/>
          <w:bCs w:val="0"/>
          <w:color w:val="333333"/>
          <w:shd w:val="clear" w:color="auto" w:fill="FFFFFF"/>
          <w:lang w:eastAsia="zh-Hans"/>
        </w:rPr>
        <w:t>本项目参照</w:t>
      </w:r>
      <w:r>
        <w:rPr>
          <w:rFonts w:hint="eastAsia" w:ascii="Times New Roman Regular" w:hAnsi="Times New Roman Regular" w:cs="Times New Roman Regular"/>
          <w:b w:val="0"/>
          <w:bCs w:val="0"/>
          <w:color w:val="333333"/>
          <w:shd w:val="clear" w:color="auto" w:fill="FFFFFF"/>
          <w:lang w:val="en-US" w:eastAsia="zh-CN"/>
        </w:rPr>
        <w:t>园区</w:t>
      </w:r>
      <w:r>
        <w:rPr>
          <w:rFonts w:hint="default" w:ascii="Times New Roman Regular" w:hAnsi="Times New Roman Regular" w:cs="Times New Roman Regular"/>
          <w:b w:val="0"/>
          <w:bCs w:val="0"/>
          <w:color w:val="333333"/>
          <w:shd w:val="clear" w:color="auto" w:fill="FFFFFF"/>
          <w:lang w:eastAsia="zh-Hans"/>
        </w:rPr>
        <w:t>内控</w:t>
      </w:r>
      <w:r>
        <w:rPr>
          <w:rFonts w:hint="eastAsia" w:ascii="Times New Roman Regular" w:hAnsi="Times New Roman Regular" w:cs="Times New Roman Regular"/>
          <w:b w:val="0"/>
          <w:bCs w:val="0"/>
          <w:color w:val="333333"/>
          <w:shd w:val="clear" w:color="auto" w:fill="FFFFFF"/>
          <w:lang w:val="en-US" w:eastAsia="zh-CN"/>
        </w:rPr>
        <w:t>管理要求</w:t>
      </w:r>
      <w:r>
        <w:rPr>
          <w:rFonts w:hint="default" w:ascii="Times New Roman Regular" w:hAnsi="Times New Roman Regular" w:cs="Times New Roman Regular"/>
          <w:b w:val="0"/>
          <w:bCs w:val="0"/>
          <w:color w:val="333333"/>
          <w:shd w:val="clear" w:color="auto" w:fill="FFFFFF"/>
          <w:lang w:eastAsia="zh-Hans"/>
        </w:rPr>
        <w:t>，按照内控流程对项目的预算、支出、采购、合同等业务进行监控；本单位在项目实施过程中和完成后，开展了对应的财务检查、内部审计等监控措施或手段，项目财务监控有效。</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（三）产出与效果</w:t>
      </w:r>
    </w:p>
    <w:p>
      <w:pPr>
        <w:pStyle w:val="5"/>
        <w:ind w:firstLine="643"/>
      </w:pPr>
      <w:r>
        <w:rPr>
          <w:rFonts w:hint="eastAsia"/>
          <w:lang w:val="en-US" w:eastAsia="zh-CN"/>
        </w:rPr>
        <w:t>1.</w:t>
      </w:r>
      <w:r>
        <w:rPr>
          <w:rFonts w:hint="eastAsia"/>
        </w:rPr>
        <w:t>完成数量分析</w:t>
      </w:r>
    </w:p>
    <w:p>
      <w:pPr>
        <w:pStyle w:val="4"/>
        <w:ind w:firstLine="643"/>
      </w:pPr>
      <w:r>
        <w:rPr>
          <w:rFonts w:hint="eastAsia"/>
          <w:b/>
          <w:bCs/>
        </w:rPr>
        <w:t>项目数量完成率</w:t>
      </w:r>
      <w:r>
        <w:rPr>
          <w:rFonts w:hint="eastAsia" w:ascii="Times New Roman" w:hAnsi="Times New Roman" w:cs="Times New Roman"/>
        </w:rPr>
        <w:t>100%</w:t>
      </w:r>
      <w:r>
        <w:rPr>
          <w:rFonts w:hint="eastAsia"/>
          <w:b/>
          <w:bCs/>
        </w:rPr>
        <w:t>。</w:t>
      </w:r>
      <w:r>
        <w:rPr>
          <w:rFonts w:hint="eastAsia"/>
        </w:rPr>
        <w:t>根据年初设立的绩效目标，我</w:t>
      </w:r>
      <w:r>
        <w:rPr>
          <w:rFonts w:hint="eastAsia"/>
          <w:lang w:val="en-US" w:eastAsia="zh-CN"/>
        </w:rPr>
        <w:t>单位</w:t>
      </w:r>
      <w:r>
        <w:rPr>
          <w:rFonts w:hint="eastAsia"/>
        </w:rPr>
        <w:t>需</w:t>
      </w:r>
      <w:r>
        <w:rPr>
          <w:rFonts w:hint="eastAsia"/>
          <w:lang w:val="en-US" w:eastAsia="zh-CN"/>
        </w:rPr>
        <w:t>完成</w:t>
      </w:r>
      <w:r>
        <w:rPr>
          <w:rFonts w:hint="eastAsia"/>
        </w:rPr>
        <w:t>在</w:t>
      </w:r>
      <w:r>
        <w:rPr>
          <w:rFonts w:hint="eastAsia" w:ascii="Times New Roman" w:hAnsi="Times New Roman" w:cs="Times New Roman"/>
        </w:rPr>
        <w:t>2</w:t>
      </w:r>
      <w:r>
        <w:rPr>
          <w:rFonts w:hint="default" w:ascii="Times New Roman" w:hAnsi="Times New Roman" w:cs="Times New Roman"/>
        </w:rPr>
        <w:t>02</w:t>
      </w:r>
      <w:r>
        <w:rPr>
          <w:rFonts w:hint="eastAsia" w:ascii="Times New Roman" w:hAnsi="Times New Roman" w:cs="Times New Roman"/>
          <w:lang w:val="en-US" w:eastAsia="zh-CN"/>
        </w:rPr>
        <w:t>2</w:t>
      </w:r>
      <w:r>
        <w:rPr>
          <w:rFonts w:hint="eastAsia"/>
        </w:rPr>
        <w:t>年</w:t>
      </w:r>
      <w:r>
        <w:rPr>
          <w:rFonts w:hint="eastAsia"/>
          <w:lang w:val="en-US" w:eastAsia="zh-CN"/>
        </w:rPr>
        <w:t>工作经费</w:t>
      </w:r>
      <w:r>
        <w:rPr>
          <w:rFonts w:hint="eastAsia"/>
        </w:rPr>
        <w:t>项目的建设工作，截至</w:t>
      </w:r>
      <w:r>
        <w:rPr>
          <w:rFonts w:hint="default" w:ascii="Times New Roman" w:hAnsi="Times New Roman" w:cs="Times New Roman"/>
        </w:rPr>
        <w:t>202</w:t>
      </w:r>
      <w:r>
        <w:rPr>
          <w:rFonts w:hint="default" w:ascii="Times New Roman" w:hAnsi="Times New Roman" w:cs="Times New Roman"/>
          <w:lang w:val="en-US" w:eastAsia="zh-CN"/>
        </w:rPr>
        <w:t>2</w:t>
      </w:r>
      <w:r>
        <w:rPr>
          <w:rFonts w:hint="eastAsia"/>
        </w:rPr>
        <w:t>年</w:t>
      </w:r>
      <w:r>
        <w:rPr>
          <w:rFonts w:hint="eastAsia" w:ascii="Times New Roman" w:hAnsi="Times New Roman" w:cs="Times New Roman"/>
        </w:rPr>
        <w:t>12</w:t>
      </w:r>
      <w:r>
        <w:rPr>
          <w:rFonts w:hint="eastAsia"/>
        </w:rPr>
        <w:t>月</w:t>
      </w:r>
      <w:r>
        <w:rPr>
          <w:rFonts w:hint="eastAsia" w:ascii="Times New Roman" w:hAnsi="Times New Roman" w:cs="Times New Roman"/>
        </w:rPr>
        <w:t>31日</w:t>
      </w:r>
      <w:r>
        <w:rPr>
          <w:rFonts w:hint="eastAsia"/>
        </w:rPr>
        <w:t>，我</w:t>
      </w:r>
      <w:r>
        <w:rPr>
          <w:rFonts w:hint="eastAsia"/>
          <w:lang w:val="en-US" w:eastAsia="zh-CN"/>
        </w:rPr>
        <w:t>单位</w:t>
      </w:r>
      <w:r>
        <w:rPr>
          <w:rFonts w:hint="eastAsia"/>
        </w:rPr>
        <w:t>已按计划完成</w:t>
      </w:r>
      <w:r>
        <w:rPr>
          <w:rFonts w:hint="eastAsia"/>
          <w:lang w:val="en-US" w:eastAsia="zh-CN"/>
        </w:rPr>
        <w:t>该项目当年目标</w:t>
      </w:r>
      <w:r>
        <w:rPr>
          <w:rFonts w:hint="eastAsia"/>
        </w:rPr>
        <w:t>。</w:t>
      </w:r>
    </w:p>
    <w:p>
      <w:pPr>
        <w:pStyle w:val="5"/>
        <w:ind w:firstLine="643"/>
      </w:pPr>
      <w:r>
        <w:rPr>
          <w:rFonts w:hint="eastAsia"/>
          <w:lang w:val="en-US" w:eastAsia="zh-CN"/>
        </w:rPr>
        <w:t>2.</w:t>
      </w:r>
      <w:r>
        <w:t>完成质量</w:t>
      </w:r>
      <w:r>
        <w:rPr>
          <w:rFonts w:hint="eastAsia"/>
        </w:rPr>
        <w:t>分析</w:t>
      </w:r>
    </w:p>
    <w:p>
      <w:pPr>
        <w:pStyle w:val="4"/>
        <w:ind w:firstLine="643"/>
        <w:rPr>
          <w:rFonts w:ascii="Times New Roman" w:hAnsi="Times New Roman"/>
        </w:rPr>
      </w:pPr>
      <w:r>
        <w:rPr>
          <w:rFonts w:ascii="Times New Roman" w:hAnsi="Times New Roman"/>
          <w:b/>
          <w:bCs/>
        </w:rPr>
        <w:t>项目验收质量达标率为</w:t>
      </w:r>
      <w:r>
        <w:rPr>
          <w:rFonts w:hint="eastAsia" w:ascii="Times New Roman" w:hAnsi="Times New Roman" w:cs="Times New Roman"/>
        </w:rPr>
        <w:t>100%</w:t>
      </w:r>
      <w:r>
        <w:rPr>
          <w:rFonts w:ascii="Times New Roman" w:hAnsi="Times New Roman"/>
          <w:b/>
          <w:bCs/>
        </w:rPr>
        <w:t>。</w:t>
      </w:r>
      <w:r>
        <w:rPr>
          <w:rFonts w:ascii="Times New Roman" w:hAnsi="Times New Roman"/>
        </w:rPr>
        <w:t>项目已完工，现场核查项目点符合验收标准，达到行业基准水平。</w:t>
      </w:r>
    </w:p>
    <w:p>
      <w:pPr>
        <w:pStyle w:val="5"/>
        <w:ind w:firstLine="643"/>
      </w:pPr>
      <w:r>
        <w:rPr>
          <w:rFonts w:hint="eastAsia"/>
          <w:lang w:val="en-US" w:eastAsia="zh-CN"/>
        </w:rPr>
        <w:t>3.</w:t>
      </w:r>
      <w:r>
        <w:rPr>
          <w:rFonts w:hint="eastAsia"/>
        </w:rPr>
        <w:t>项目完成</w:t>
      </w:r>
      <w:r>
        <w:t>时效</w:t>
      </w:r>
      <w:r>
        <w:rPr>
          <w:rFonts w:hint="eastAsia"/>
        </w:rPr>
        <w:t>分析</w:t>
      </w:r>
    </w:p>
    <w:p>
      <w:pPr>
        <w:pStyle w:val="4"/>
        <w:ind w:firstLine="643"/>
        <w:rPr>
          <w:rFonts w:hint="default" w:ascii="Times New Roman" w:hAnsi="Times New Roman" w:eastAsia="仿宋"/>
          <w:lang w:val="en-US" w:eastAsia="zh-CN"/>
        </w:rPr>
      </w:pPr>
      <w:r>
        <w:rPr>
          <w:rFonts w:ascii="Times New Roman" w:hAnsi="Times New Roman"/>
          <w:b/>
          <w:bCs/>
        </w:rPr>
        <w:t>项目建设完工及时。</w:t>
      </w:r>
      <w:r>
        <w:rPr>
          <w:rFonts w:ascii="Times New Roman" w:hAnsi="Times New Roman"/>
        </w:rPr>
        <w:t>根据项目合同及计划时间，项目工期为</w:t>
      </w:r>
      <w:r>
        <w:rPr>
          <w:rFonts w:hint="eastAsia" w:ascii="Times New Roman" w:hAnsi="Times New Roman"/>
          <w:lang w:val="en-US" w:eastAsia="zh-CN"/>
        </w:rPr>
        <w:t>12</w:t>
      </w:r>
      <w:r>
        <w:rPr>
          <w:rFonts w:ascii="Times New Roman" w:hAnsi="Times New Roman"/>
        </w:rPr>
        <w:t>个月，计划于</w:t>
      </w:r>
      <w:r>
        <w:rPr>
          <w:rFonts w:hint="eastAsia" w:ascii="Times New Roman" w:hAnsi="Times New Roman" w:cs="Times New Roman"/>
        </w:rPr>
        <w:t>20</w:t>
      </w:r>
      <w:r>
        <w:rPr>
          <w:rFonts w:hint="eastAsia" w:ascii="Times New Roman" w:hAnsi="Times New Roman" w:cs="Times New Roman"/>
          <w:lang w:val="en-US" w:eastAsia="zh-CN"/>
        </w:rPr>
        <w:t>22</w:t>
      </w:r>
      <w:r>
        <w:rPr>
          <w:rFonts w:ascii="Times New Roman" w:hAnsi="Times New Roman"/>
        </w:rPr>
        <w:t>年1月开工，</w:t>
      </w:r>
      <w:r>
        <w:rPr>
          <w:rFonts w:hint="eastAsia" w:ascii="Times New Roman" w:hAnsi="Times New Roman" w:cs="Times New Roman"/>
        </w:rPr>
        <w:t>202</w:t>
      </w:r>
      <w:r>
        <w:rPr>
          <w:rFonts w:hint="eastAsia" w:ascii="Times New Roman" w:hAnsi="Times New Roman" w:cs="Times New Roman"/>
          <w:lang w:val="en-US" w:eastAsia="zh-CN"/>
        </w:rPr>
        <w:t>2</w:t>
      </w:r>
      <w:r>
        <w:rPr>
          <w:rFonts w:ascii="Times New Roman" w:hAnsi="Times New Roman"/>
        </w:rPr>
        <w:t>年</w:t>
      </w:r>
      <w:r>
        <w:rPr>
          <w:rFonts w:hint="eastAsia" w:ascii="Times New Roman" w:hAnsi="Times New Roman" w:cs="Times New Roman"/>
          <w:lang w:val="en-US" w:eastAsia="zh-CN"/>
        </w:rPr>
        <w:t>12</w:t>
      </w:r>
      <w:r>
        <w:rPr>
          <w:rFonts w:ascii="Times New Roman" w:hAnsi="Times New Roman"/>
        </w:rPr>
        <w:t>月底前完成。</w:t>
      </w:r>
      <w:r>
        <w:rPr>
          <w:rFonts w:hint="eastAsia" w:ascii="Times New Roman" w:hAnsi="Times New Roman"/>
          <w:lang w:val="en-US" w:eastAsia="zh-CN"/>
        </w:rPr>
        <w:t>项目建设及时完成。</w:t>
      </w:r>
    </w:p>
    <w:p>
      <w:pPr>
        <w:pStyle w:val="5"/>
        <w:ind w:firstLine="643"/>
      </w:pPr>
      <w:r>
        <w:rPr>
          <w:rFonts w:hint="eastAsia"/>
          <w:lang w:val="en-US" w:eastAsia="zh-CN"/>
        </w:rPr>
        <w:t>4.</w:t>
      </w:r>
      <w:r>
        <w:rPr>
          <w:rFonts w:hint="eastAsia"/>
        </w:rPr>
        <w:t>项目成本分析</w:t>
      </w:r>
    </w:p>
    <w:p>
      <w:pPr>
        <w:pStyle w:val="4"/>
        <w:ind w:firstLine="643"/>
        <w:rPr>
          <w:rFonts w:hint="default" w:ascii="Times New Roman" w:hAnsi="Times New Roman"/>
        </w:rPr>
      </w:pPr>
      <w:r>
        <w:rPr>
          <w:rFonts w:hint="eastAsia" w:ascii="Times New Roman" w:hAnsi="Times New Roman"/>
          <w:b/>
          <w:bCs/>
        </w:rPr>
        <w:t>成本控制率1</w:t>
      </w:r>
      <w:r>
        <w:rPr>
          <w:rFonts w:ascii="Times New Roman" w:hAnsi="Times New Roman"/>
          <w:b/>
          <w:bCs/>
        </w:rPr>
        <w:t>00%</w:t>
      </w:r>
      <w:r>
        <w:rPr>
          <w:rFonts w:hint="eastAsia" w:ascii="Times New Roman" w:hAnsi="Times New Roman"/>
          <w:b/>
          <w:bCs/>
        </w:rPr>
        <w:t>。</w:t>
      </w:r>
      <w:r>
        <w:rPr>
          <w:rFonts w:hint="eastAsia" w:ascii="Times New Roman" w:hAnsi="Times New Roman"/>
        </w:rPr>
        <w:t>项目支出金额在预算批复资金内，未超出预算金额，项目成本可控</w:t>
      </w:r>
      <w:r>
        <w:rPr>
          <w:rFonts w:hint="default" w:ascii="Times New Roman" w:hAnsi="Times New Roman"/>
        </w:rPr>
        <w:t>。</w:t>
      </w:r>
    </w:p>
    <w:p>
      <w:pPr>
        <w:pStyle w:val="5"/>
        <w:ind w:firstLine="643"/>
      </w:pPr>
      <w:r>
        <w:rPr>
          <w:rFonts w:hint="eastAsia"/>
          <w:lang w:val="en-US" w:eastAsia="zh-CN"/>
        </w:rPr>
        <w:t>5.</w:t>
      </w:r>
      <w:r>
        <w:rPr>
          <w:rFonts w:hint="eastAsia"/>
        </w:rPr>
        <w:t>项目</w:t>
      </w:r>
      <w:r>
        <w:t>效益</w:t>
      </w:r>
      <w:r>
        <w:rPr>
          <w:rFonts w:hint="eastAsia"/>
        </w:rPr>
        <w:t>分析</w:t>
      </w:r>
    </w:p>
    <w:p>
      <w:pPr>
        <w:pStyle w:val="4"/>
        <w:ind w:firstLine="643"/>
        <w:rPr>
          <w:rFonts w:hint="eastAsia"/>
          <w:color w:val="000000"/>
          <w:kern w:val="0"/>
          <w:szCs w:val="21"/>
          <w:lang w:val="en-US" w:eastAsia="zh-CN"/>
        </w:rPr>
      </w:pPr>
      <w:r>
        <w:rPr>
          <w:rFonts w:hint="eastAsia" w:ascii="Times New Roman" w:hAnsi="Times New Roman"/>
          <w:b/>
          <w:bCs/>
        </w:rPr>
        <w:t>社会效益：</w:t>
      </w:r>
      <w:r>
        <w:rPr>
          <w:rFonts w:hint="eastAsia"/>
          <w:color w:val="000000"/>
          <w:kern w:val="0"/>
          <w:szCs w:val="21"/>
          <w:lang w:val="en-US" w:eastAsia="zh-CN"/>
        </w:rPr>
        <w:t>为群众提供优质休闲旅游环境</w:t>
      </w:r>
      <w:r>
        <w:rPr>
          <w:rFonts w:hint="eastAsia" w:ascii="Times New Roman" w:hAnsi="Times New Roman"/>
          <w:b/>
          <w:bCs/>
          <w:lang w:eastAsia="zh-CN"/>
        </w:rPr>
        <w:t>。</w:t>
      </w:r>
      <w:r>
        <w:rPr>
          <w:rFonts w:hint="eastAsia"/>
          <w:color w:val="000000"/>
          <w:kern w:val="0"/>
          <w:szCs w:val="21"/>
          <w:lang w:val="en-US" w:eastAsia="zh-CN"/>
        </w:rPr>
        <w:t>通过对主干道风貌整治，清理河道垃圾，制作宣传画册、展板等项目开展，美化了园区整体环境，为群众提供悠闲的旅游环境。</w:t>
      </w:r>
    </w:p>
    <w:p>
      <w:pPr>
        <w:pStyle w:val="5"/>
        <w:ind w:firstLine="643"/>
      </w:pPr>
      <w:r>
        <w:rPr>
          <w:rFonts w:hint="eastAsia"/>
          <w:lang w:val="en-US" w:eastAsia="zh-CN"/>
        </w:rPr>
        <w:t>6.</w:t>
      </w:r>
      <w:r>
        <w:rPr>
          <w:lang w:val="en-US"/>
        </w:rPr>
        <w:t>满意度</w:t>
      </w:r>
      <w:r>
        <w:t>指标分析</w:t>
      </w:r>
    </w:p>
    <w:p>
      <w:pPr>
        <w:pStyle w:val="4"/>
        <w:ind w:firstLine="640"/>
      </w:pPr>
      <w:r>
        <w:rPr>
          <w:rFonts w:hint="eastAsia" w:ascii="Times New Roman" w:hAnsi="Times New Roman"/>
        </w:rPr>
        <w:t>2</w:t>
      </w:r>
      <w:r>
        <w:rPr>
          <w:rFonts w:ascii="Times New Roman" w:hAnsi="Times New Roman"/>
        </w:rPr>
        <w:t>02</w:t>
      </w:r>
      <w:r>
        <w:rPr>
          <w:rFonts w:hint="eastAsia" w:ascii="Times New Roman" w:hAnsi="Times New Roman"/>
          <w:lang w:val="en-US" w:eastAsia="zh-CN"/>
        </w:rPr>
        <w:t>2</w:t>
      </w:r>
      <w:r>
        <w:rPr>
          <w:rFonts w:hint="eastAsia" w:ascii="Times New Roman" w:hAnsi="Times New Roman"/>
        </w:rPr>
        <w:t>年</w:t>
      </w:r>
      <w:r>
        <w:rPr>
          <w:rFonts w:ascii="Times New Roman" w:hAnsi="Times New Roman"/>
        </w:rPr>
        <w:t>项目周边群众对项目综合满意度为</w:t>
      </w:r>
      <w:r>
        <w:rPr>
          <w:rFonts w:hint="eastAsia" w:ascii="Times New Roman" w:hAnsi="Times New Roman"/>
          <w:lang w:val="en-US" w:eastAsia="zh-CN"/>
        </w:rPr>
        <w:t>95</w:t>
      </w:r>
      <w:r>
        <w:rPr>
          <w:rFonts w:ascii="Times New Roman" w:hAnsi="Times New Roman"/>
        </w:rPr>
        <w:t>%，对</w:t>
      </w:r>
      <w:r>
        <w:rPr>
          <w:rFonts w:hint="eastAsia" w:ascii="Times New Roman" w:hAnsi="Times New Roman"/>
          <w:lang w:val="en-US" w:eastAsia="zh-CN"/>
        </w:rPr>
        <w:t>清理河道垃圾，修护栅栏、绿化带修枝整形、除草</w:t>
      </w:r>
      <w:r>
        <w:rPr>
          <w:rFonts w:ascii="Times New Roman" w:hAnsi="Times New Roman"/>
        </w:rPr>
        <w:t>等情况均非常满意。</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643" w:firstLineChars="200"/>
        <w:rPr>
          <w:rFonts w:hint="eastAsia" w:eastAsia="方正楷体简体"/>
          <w:b/>
          <w:sz w:val="32"/>
          <w:szCs w:val="32"/>
        </w:rPr>
      </w:pPr>
      <w:r>
        <w:rPr>
          <w:rFonts w:hint="eastAsia" w:eastAsia="方正楷体简体"/>
          <w:b/>
          <w:sz w:val="32"/>
          <w:szCs w:val="32"/>
        </w:rPr>
        <w:t>（一）主要经验及做法</w:t>
      </w:r>
    </w:p>
    <w:p>
      <w:pPr>
        <w:pStyle w:val="4"/>
        <w:ind w:firstLine="640"/>
        <w:rPr>
          <w:rFonts w:ascii="Times New Roman" w:hAnsi="Times New Roman"/>
        </w:rPr>
      </w:pPr>
      <w:r>
        <w:rPr>
          <w:rFonts w:ascii="Times New Roman" w:hAnsi="Times New Roman"/>
        </w:rPr>
        <w:t xml:space="preserve"> 在资金使用过程中， 严格执行单位相关资金管理制度， 做到厉行节约、专款专用，同时开展好资金使用公开公示制度，经费使用透明化。</w:t>
      </w:r>
    </w:p>
    <w:p>
      <w:pPr>
        <w:numPr>
          <w:ilvl w:val="0"/>
          <w:numId w:val="9"/>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存在的问题</w:t>
      </w:r>
    </w:p>
    <w:p>
      <w:pPr>
        <w:pStyle w:val="4"/>
        <w:ind w:firstLine="640"/>
      </w:pPr>
      <w:r>
        <w:rPr>
          <w:rFonts w:hint="eastAsia" w:ascii="Times New Roman" w:hAnsi="Times New Roman"/>
          <w:lang w:val="en-US" w:eastAsia="zh-CN"/>
        </w:rPr>
        <w:t>管委会</w:t>
      </w:r>
      <w:r>
        <w:rPr>
          <w:rFonts w:ascii="Times New Roman" w:hAnsi="Times New Roman"/>
        </w:rPr>
        <w:t>监督作用在以后工作中有待加强。</w:t>
      </w:r>
    </w:p>
    <w:p>
      <w:pPr>
        <w:spacing w:line="580" w:lineRule="exact"/>
        <w:ind w:firstLine="643" w:firstLineChars="200"/>
        <w:rPr>
          <w:rFonts w:eastAsia="方正楷体简体"/>
          <w:b/>
          <w:sz w:val="32"/>
          <w:szCs w:val="32"/>
        </w:rPr>
      </w:pPr>
      <w:r>
        <w:rPr>
          <w:rFonts w:hint="eastAsia" w:eastAsia="方正楷体简体"/>
          <w:b/>
          <w:sz w:val="32"/>
          <w:szCs w:val="32"/>
        </w:rPr>
        <w:t>（三）建议和改进措施</w:t>
      </w:r>
    </w:p>
    <w:p>
      <w:p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加强绩效管理培训，加强对项目事前、事中、事后全方面管理能力的培养。</w:t>
      </w:r>
    </w:p>
    <w:p>
      <w:pPr>
        <w:spacing w:line="580" w:lineRule="exact"/>
        <w:ind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2-</w:t>
      </w:r>
      <w:r>
        <w:rPr>
          <w:rFonts w:eastAsia="方正仿宋简体"/>
          <w:sz w:val="32"/>
          <w:szCs w:val="32"/>
        </w:rPr>
        <w:t>1.202</w:t>
      </w:r>
      <w:r>
        <w:rPr>
          <w:rFonts w:hint="eastAsia" w:eastAsia="方正仿宋简体"/>
          <w:sz w:val="32"/>
          <w:szCs w:val="32"/>
        </w:rPr>
        <w:t>2年度乐至县项目支出绩效自评计分表</w:t>
      </w:r>
    </w:p>
    <w:p>
      <w:pPr>
        <w:spacing w:line="580" w:lineRule="exact"/>
        <w:ind w:firstLine="1600" w:firstLineChars="500"/>
        <w:rPr>
          <w:rFonts w:hint="eastAsia" w:eastAsia="方正仿宋简体"/>
          <w:sz w:val="32"/>
          <w:szCs w:val="32"/>
        </w:rPr>
      </w:pPr>
      <w:r>
        <w:rPr>
          <w:rFonts w:eastAsia="方正仿宋简体"/>
          <w:sz w:val="32"/>
          <w:szCs w:val="32"/>
        </w:rPr>
        <w:t>2</w:t>
      </w:r>
      <w:r>
        <w:rPr>
          <w:rFonts w:hint="eastAsia" w:eastAsia="方正仿宋简体"/>
          <w:sz w:val="32"/>
          <w:szCs w:val="32"/>
          <w:lang w:val="en-US" w:eastAsia="zh-CN"/>
        </w:rPr>
        <w:t>-2</w:t>
      </w:r>
      <w:r>
        <w:rPr>
          <w:rFonts w:eastAsia="方正仿宋简体"/>
          <w:sz w:val="32"/>
          <w:szCs w:val="32"/>
        </w:rPr>
        <w:t>.202</w:t>
      </w:r>
      <w:r>
        <w:rPr>
          <w:rFonts w:hint="eastAsia" w:eastAsia="方正仿宋简体"/>
          <w:sz w:val="32"/>
          <w:szCs w:val="32"/>
        </w:rPr>
        <w:t>2年度乐至县项目支出绩效目标完成情况表</w:t>
      </w:r>
    </w:p>
    <w:p>
      <w:pPr>
        <w:rPr>
          <w:rFonts w:hint="eastAsia" w:eastAsia="方正仿宋简体"/>
          <w:sz w:val="32"/>
          <w:szCs w:val="32"/>
        </w:rPr>
      </w:pPr>
    </w:p>
    <w:p>
      <w:pPr>
        <w:spacing w:line="620" w:lineRule="exact"/>
        <w:jc w:val="left"/>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附件2-1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bCs/>
          <w:kern w:val="0"/>
          <w:sz w:val="32"/>
          <w:szCs w:val="32"/>
          <w:lang w:val="en-US" w:eastAsia="zh-CN"/>
        </w:rPr>
        <w:t>工作经费项目</w:t>
      </w:r>
      <w:r>
        <w:rPr>
          <w:rFonts w:hint="eastAsia" w:eastAsia="方正楷体简体"/>
          <w:b/>
          <w:bCs/>
          <w:kern w:val="0"/>
          <w:sz w:val="32"/>
          <w:szCs w:val="32"/>
        </w:rPr>
        <w:t>）</w:t>
      </w:r>
    </w:p>
    <w:p>
      <w:pPr>
        <w:spacing w:line="620" w:lineRule="exact"/>
        <w:rPr>
          <w:rFonts w:hint="eastAsia"/>
          <w:bCs/>
          <w:kern w:val="0"/>
          <w:sz w:val="24"/>
          <w:lang w:val="en-US" w:eastAsia="zh-CN"/>
        </w:rPr>
      </w:pPr>
      <w:r>
        <w:rPr>
          <w:rFonts w:hint="eastAsia"/>
          <w:bCs/>
          <w:kern w:val="0"/>
          <w:sz w:val="24"/>
        </w:rPr>
        <w:t>预算单位名称：</w:t>
      </w:r>
      <w:r>
        <w:rPr>
          <w:rFonts w:hint="eastAsia"/>
          <w:bCs/>
          <w:kern w:val="0"/>
          <w:sz w:val="24"/>
          <w:lang w:val="en-US" w:eastAsia="zh-CN"/>
        </w:rPr>
        <w:t>乐至县国家农村产业融合发展示范园管理委员会</w:t>
      </w:r>
    </w:p>
    <w:p>
      <w:pPr>
        <w:spacing w:line="620" w:lineRule="exact"/>
        <w:rPr>
          <w:rFonts w:hint="eastAsia" w:eastAsia="宋体"/>
          <w:sz w:val="24"/>
          <w:lang w:val="en-US" w:eastAsia="zh-CN"/>
        </w:rPr>
      </w:pPr>
      <w:r>
        <w:rPr>
          <w:rFonts w:hint="eastAsia"/>
          <w:bCs/>
          <w:kern w:val="0"/>
          <w:sz w:val="24"/>
        </w:rPr>
        <w:t>预算单位编码：</w:t>
      </w:r>
      <w:r>
        <w:rPr>
          <w:rFonts w:hint="eastAsia"/>
          <w:bCs/>
          <w:kern w:val="0"/>
          <w:sz w:val="24"/>
          <w:lang w:val="en-US" w:eastAsia="zh-CN"/>
        </w:rPr>
        <w:t>150001</w:t>
      </w:r>
      <w:r>
        <w:rPr>
          <w:bCs/>
          <w:kern w:val="0"/>
          <w:sz w:val="24"/>
        </w:rPr>
        <w:t xml:space="preserve">              </w:t>
      </w:r>
      <w:r>
        <w:rPr>
          <w:rFonts w:hint="eastAsia"/>
          <w:bCs/>
          <w:kern w:val="0"/>
          <w:sz w:val="24"/>
          <w:lang w:val="en-US" w:eastAsia="zh-CN"/>
        </w:rPr>
        <w:t xml:space="preserve">          </w:t>
      </w:r>
      <w:r>
        <w:rPr>
          <w:bCs/>
          <w:kern w:val="0"/>
          <w:sz w:val="24"/>
        </w:rPr>
        <w:t xml:space="preserve">    </w:t>
      </w:r>
      <w:r>
        <w:rPr>
          <w:rFonts w:hint="eastAsia"/>
          <w:bCs/>
          <w:kern w:val="0"/>
          <w:sz w:val="24"/>
        </w:rPr>
        <w:t>自评等级：</w:t>
      </w:r>
      <w:r>
        <w:rPr>
          <w:rFonts w:hint="eastAsia"/>
          <w:bCs/>
          <w:kern w:val="0"/>
          <w:sz w:val="24"/>
          <w:lang w:val="en-US" w:eastAsia="zh-CN"/>
        </w:rPr>
        <w:t>优</w:t>
      </w:r>
    </w:p>
    <w:tbl>
      <w:tblPr>
        <w:tblStyle w:val="16"/>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15"/>
        <w:gridCol w:w="475"/>
        <w:gridCol w:w="787"/>
        <w:gridCol w:w="1580"/>
        <w:gridCol w:w="3780"/>
        <w:gridCol w:w="490"/>
        <w:gridCol w:w="14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17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266"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4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88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2124"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27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825"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177"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26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825"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825"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177"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266"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制定建设项目管理制度，制度合法、合规、完整。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177" w:type="pct"/>
            <w:vMerge w:val="continue"/>
            <w:shd w:val="clear" w:color="auto" w:fill="auto"/>
            <w:noWrap w:val="0"/>
            <w:vAlign w:val="center"/>
          </w:tcPr>
          <w:p>
            <w:pPr>
              <w:widowControl/>
              <w:spacing w:line="260" w:lineRule="exact"/>
              <w:jc w:val="left"/>
              <w:rPr>
                <w:kern w:val="0"/>
                <w:szCs w:val="21"/>
              </w:rPr>
            </w:pPr>
          </w:p>
        </w:tc>
        <w:tc>
          <w:tcPr>
            <w:tcW w:w="266" w:type="pct"/>
            <w:vMerge w:val="continue"/>
            <w:shd w:val="clear" w:color="auto" w:fill="auto"/>
            <w:noWrap w:val="0"/>
            <w:vAlign w:val="center"/>
          </w:tcPr>
          <w:p>
            <w:pPr>
              <w:widowControl/>
              <w:spacing w:line="260" w:lineRule="exact"/>
              <w:jc w:val="left"/>
              <w:rPr>
                <w:kern w:val="0"/>
                <w:szCs w:val="21"/>
              </w:rPr>
            </w:pP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遵守法律法规和业务管理规定，完善项目调整支出手续。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177" w:type="pct"/>
            <w:vMerge w:val="continue"/>
            <w:shd w:val="clear" w:color="auto" w:fill="auto"/>
            <w:noWrap w:val="0"/>
            <w:vAlign w:val="center"/>
          </w:tcPr>
          <w:p>
            <w:pPr>
              <w:widowControl/>
              <w:spacing w:line="260" w:lineRule="exact"/>
              <w:jc w:val="left"/>
              <w:rPr>
                <w:kern w:val="0"/>
                <w:szCs w:val="21"/>
              </w:rPr>
            </w:pPr>
          </w:p>
        </w:tc>
        <w:tc>
          <w:tcPr>
            <w:tcW w:w="266" w:type="pct"/>
            <w:vMerge w:val="continue"/>
            <w:shd w:val="clear" w:color="auto" w:fill="auto"/>
            <w:noWrap w:val="0"/>
            <w:vAlign w:val="center"/>
          </w:tcPr>
          <w:p>
            <w:pPr>
              <w:widowControl/>
              <w:spacing w:line="260" w:lineRule="exact"/>
              <w:jc w:val="left"/>
              <w:rPr>
                <w:kern w:val="0"/>
                <w:szCs w:val="21"/>
              </w:rPr>
            </w:pP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项目质量可控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177" w:type="pct"/>
            <w:vMerge w:val="continue"/>
            <w:shd w:val="clear" w:color="auto" w:fill="auto"/>
            <w:noWrap w:val="0"/>
            <w:vAlign w:val="center"/>
          </w:tcPr>
          <w:p>
            <w:pPr>
              <w:widowControl/>
              <w:spacing w:line="260" w:lineRule="exact"/>
              <w:jc w:val="left"/>
              <w:rPr>
                <w:kern w:val="0"/>
                <w:szCs w:val="21"/>
              </w:rPr>
            </w:pPr>
          </w:p>
        </w:tc>
        <w:tc>
          <w:tcPr>
            <w:tcW w:w="266"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制定财务管理制度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177" w:type="pct"/>
            <w:vMerge w:val="continue"/>
            <w:shd w:val="clear" w:color="auto" w:fill="auto"/>
            <w:noWrap w:val="0"/>
            <w:vAlign w:val="center"/>
          </w:tcPr>
          <w:p>
            <w:pPr>
              <w:widowControl/>
              <w:spacing w:line="260" w:lineRule="exact"/>
              <w:jc w:val="left"/>
              <w:rPr>
                <w:kern w:val="0"/>
                <w:szCs w:val="21"/>
              </w:rPr>
            </w:pPr>
          </w:p>
        </w:tc>
        <w:tc>
          <w:tcPr>
            <w:tcW w:w="266" w:type="pct"/>
            <w:vMerge w:val="continue"/>
            <w:shd w:val="clear" w:color="auto" w:fill="auto"/>
            <w:noWrap w:val="0"/>
            <w:vAlign w:val="center"/>
          </w:tcPr>
          <w:p>
            <w:pPr>
              <w:widowControl/>
              <w:spacing w:line="260" w:lineRule="exact"/>
              <w:jc w:val="left"/>
              <w:rPr>
                <w:kern w:val="0"/>
                <w:szCs w:val="21"/>
              </w:rPr>
            </w:pP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7</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项目资金使用符合相关的财务管理制度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77" w:type="pct"/>
            <w:vMerge w:val="continue"/>
            <w:shd w:val="clear" w:color="auto" w:fill="auto"/>
            <w:noWrap w:val="0"/>
            <w:vAlign w:val="center"/>
          </w:tcPr>
          <w:p>
            <w:pPr>
              <w:widowControl/>
              <w:spacing w:line="260" w:lineRule="exact"/>
              <w:jc w:val="left"/>
              <w:rPr>
                <w:kern w:val="0"/>
                <w:szCs w:val="21"/>
              </w:rPr>
            </w:pPr>
          </w:p>
        </w:tc>
        <w:tc>
          <w:tcPr>
            <w:tcW w:w="266" w:type="pct"/>
            <w:vMerge w:val="continue"/>
            <w:shd w:val="clear" w:color="auto" w:fill="auto"/>
            <w:noWrap w:val="0"/>
            <w:vAlign w:val="center"/>
          </w:tcPr>
          <w:p>
            <w:pPr>
              <w:widowControl/>
              <w:spacing w:line="260" w:lineRule="exact"/>
              <w:jc w:val="left"/>
              <w:rPr>
                <w:kern w:val="0"/>
                <w:szCs w:val="21"/>
              </w:rPr>
            </w:pPr>
          </w:p>
        </w:tc>
        <w:tc>
          <w:tcPr>
            <w:tcW w:w="442"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888"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2124"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275"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2</w:t>
            </w:r>
          </w:p>
        </w:tc>
        <w:tc>
          <w:tcPr>
            <w:tcW w:w="825" w:type="pct"/>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实施单位具有相应的监控机制，采取相应的财务检查。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77"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26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2124"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没有增加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77"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26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2124"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带动园区周边群众务工收入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2124" w:type="pct"/>
            <w:vMerge w:val="continue"/>
            <w:noWrap w:val="0"/>
            <w:vAlign w:val="center"/>
          </w:tcPr>
          <w:p>
            <w:pPr>
              <w:widowControl/>
              <w:spacing w:line="240" w:lineRule="exact"/>
              <w:jc w:val="left"/>
              <w:rPr>
                <w:kern w:val="0"/>
                <w:szCs w:val="21"/>
              </w:rPr>
            </w:pP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提升园区形象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888"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2124" w:type="pct"/>
            <w:vMerge w:val="continue"/>
            <w:noWrap w:val="0"/>
            <w:vAlign w:val="center"/>
          </w:tcPr>
          <w:p>
            <w:pPr>
              <w:widowControl/>
              <w:spacing w:line="240" w:lineRule="exact"/>
              <w:jc w:val="left"/>
              <w:rPr>
                <w:kern w:val="0"/>
                <w:szCs w:val="21"/>
              </w:rPr>
            </w:pP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园区生态环境进一步改善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2124" w:type="pct"/>
            <w:vMerge w:val="continue"/>
            <w:noWrap w:val="0"/>
            <w:vAlign w:val="center"/>
          </w:tcPr>
          <w:p>
            <w:pPr>
              <w:widowControl/>
              <w:spacing w:line="240" w:lineRule="exact"/>
              <w:jc w:val="left"/>
              <w:rPr>
                <w:kern w:val="0"/>
                <w:szCs w:val="21"/>
              </w:rPr>
            </w:pPr>
          </w:p>
        </w:tc>
        <w:tc>
          <w:tcPr>
            <w:tcW w:w="275"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825"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持续提升园区整体形象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177" w:type="pct"/>
            <w:vMerge w:val="continue"/>
            <w:shd w:val="clear" w:color="auto" w:fill="auto"/>
            <w:noWrap w:val="0"/>
            <w:vAlign w:val="center"/>
          </w:tcPr>
          <w:p>
            <w:pPr>
              <w:widowControl/>
              <w:spacing w:line="240" w:lineRule="exact"/>
              <w:jc w:val="left"/>
              <w:rPr>
                <w:kern w:val="0"/>
                <w:szCs w:val="21"/>
              </w:rPr>
            </w:pPr>
          </w:p>
        </w:tc>
        <w:tc>
          <w:tcPr>
            <w:tcW w:w="266" w:type="pct"/>
            <w:vMerge w:val="continue"/>
            <w:shd w:val="clear" w:color="auto" w:fill="auto"/>
            <w:noWrap w:val="0"/>
            <w:vAlign w:val="center"/>
          </w:tcPr>
          <w:p>
            <w:pPr>
              <w:widowControl/>
              <w:spacing w:line="240" w:lineRule="exact"/>
              <w:jc w:val="left"/>
              <w:rPr>
                <w:kern w:val="0"/>
                <w:szCs w:val="21"/>
              </w:rPr>
            </w:pPr>
          </w:p>
        </w:tc>
        <w:tc>
          <w:tcPr>
            <w:tcW w:w="442"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888"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2124"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275"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w:t>
            </w:r>
          </w:p>
        </w:tc>
        <w:tc>
          <w:tcPr>
            <w:tcW w:w="825" w:type="pct"/>
            <w:noWrap/>
            <w:vAlign w:val="center"/>
          </w:tcPr>
          <w:p>
            <w:pPr>
              <w:widowControl/>
              <w:spacing w:line="240" w:lineRule="exact"/>
              <w:jc w:val="left"/>
              <w:rPr>
                <w:kern w:val="0"/>
                <w:szCs w:val="21"/>
              </w:rPr>
            </w:pPr>
            <w:r>
              <w:rPr>
                <w:rFonts w:hint="eastAsia"/>
                <w:kern w:val="0"/>
                <w:szCs w:val="21"/>
                <w:lang w:val="en-US" w:eastAsia="zh-CN"/>
              </w:rPr>
              <w:t>提供社会公众休闲旅游的好去处。</w:t>
            </w: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3898"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275" w:type="pct"/>
            <w:tcBorders>
              <w:bottom w:val="single" w:color="auto" w:sz="12" w:space="0"/>
            </w:tcBorders>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c>
          <w:tcPr>
            <w:tcW w:w="825"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cols w:space="720" w:num="1"/>
          <w:docGrid w:type="lines" w:linePitch="312" w:charSpace="0"/>
        </w:sectPr>
      </w:pPr>
    </w:p>
    <w:p>
      <w:pPr>
        <w:spacing w:line="620" w:lineRule="exact"/>
        <w:jc w:val="left"/>
        <w:rPr>
          <w:rFonts w:hint="default" w:ascii="仿宋_GB2312" w:hAnsi="仿宋_GB2312" w:eastAsia="仿宋_GB2312" w:cs="仿宋_GB2312"/>
          <w:color w:val="000000"/>
          <w:spacing w:val="-17"/>
          <w:kern w:val="0"/>
          <w:sz w:val="32"/>
          <w:szCs w:val="32"/>
          <w:lang w:val="en-US" w:eastAsia="zh-CN"/>
        </w:rPr>
      </w:pPr>
      <w:r>
        <w:rPr>
          <w:rFonts w:hint="eastAsia" w:ascii="仿宋_GB2312" w:hAnsi="仿宋_GB2312" w:eastAsia="仿宋_GB2312" w:cs="仿宋_GB2312"/>
          <w:color w:val="000000"/>
          <w:spacing w:val="-17"/>
          <w:kern w:val="0"/>
          <w:sz w:val="32"/>
          <w:szCs w:val="32"/>
          <w:lang w:val="en-US" w:eastAsia="zh-CN"/>
        </w:rPr>
        <w:t>附件2-2</w:t>
      </w:r>
    </w:p>
    <w:p>
      <w:pPr>
        <w:spacing w:line="620" w:lineRule="exact"/>
        <w:jc w:val="center"/>
        <w:rPr>
          <w:rFonts w:eastAsia="方正小标宋简体"/>
          <w:color w:val="000000"/>
          <w:spacing w:val="-17"/>
          <w:kern w:val="0"/>
          <w:sz w:val="44"/>
          <w:szCs w:val="44"/>
        </w:rPr>
      </w:pPr>
      <w:r>
        <w:rPr>
          <w:rFonts w:eastAsia="方正小标宋简体"/>
          <w:color w:val="000000"/>
          <w:spacing w:val="-17"/>
          <w:kern w:val="0"/>
          <w:sz w:val="44"/>
          <w:szCs w:val="44"/>
        </w:rPr>
        <w:t>202</w:t>
      </w:r>
      <w:r>
        <w:rPr>
          <w:rFonts w:hint="eastAsia" w:eastAsia="方正小标宋简体"/>
          <w:color w:val="000000"/>
          <w:spacing w:val="-17"/>
          <w:kern w:val="0"/>
          <w:sz w:val="44"/>
          <w:szCs w:val="44"/>
        </w:rPr>
        <w:t>2年度乐至县项目支出绩效目标完成情况表</w:t>
      </w:r>
    </w:p>
    <w:p>
      <w:pPr>
        <w:pStyle w:val="7"/>
        <w:spacing w:line="240" w:lineRule="exact"/>
        <w:rPr>
          <w:rFonts w:ascii="宋体"/>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96"/>
        <w:gridCol w:w="950"/>
        <w:gridCol w:w="580"/>
        <w:gridCol w:w="796"/>
        <w:gridCol w:w="1721"/>
        <w:gridCol w:w="1782"/>
        <w:gridCol w:w="2276"/>
      </w:tblGrid>
      <w:tr>
        <w:tblPrEx>
          <w:tblCellMar>
            <w:top w:w="0" w:type="dxa"/>
            <w:left w:w="28" w:type="dxa"/>
            <w:bottom w:w="0" w:type="dxa"/>
            <w:right w:w="28" w:type="dxa"/>
          </w:tblCellMar>
        </w:tblPrEx>
        <w:trPr>
          <w:trHeight w:val="79" w:hRule="atLeast"/>
          <w:jc w:val="center"/>
        </w:trPr>
        <w:tc>
          <w:tcPr>
            <w:tcW w:w="0" w:type="auto"/>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0" w:type="auto"/>
            <w:gridSpan w:val="6"/>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lang w:val="en-US" w:eastAsia="zh-CN"/>
              </w:rPr>
              <w:t>工作经费项目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rFonts w:hint="eastAsia" w:eastAsia="宋体"/>
                <w:color w:val="000000"/>
                <w:kern w:val="0"/>
                <w:szCs w:val="21"/>
                <w:lang w:eastAsia="zh-CN"/>
              </w:rPr>
            </w:pPr>
            <w:r>
              <w:rPr>
                <w:rFonts w:hint="eastAsia"/>
                <w:color w:val="000000"/>
                <w:kern w:val="0"/>
                <w:szCs w:val="21"/>
                <w:lang w:eastAsia="zh-CN"/>
              </w:rPr>
              <w:t>□</w:t>
            </w:r>
          </w:p>
        </w:tc>
        <w:tc>
          <w:tcPr>
            <w:tcW w:w="0" w:type="auto"/>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c>
          <w:tcPr>
            <w:tcW w:w="0" w:type="auto"/>
            <w:gridSpan w:val="2"/>
            <w:noWrap/>
            <w:vAlign w:val="center"/>
          </w:tcPr>
          <w:p>
            <w:pPr>
              <w:spacing w:line="240" w:lineRule="exact"/>
              <w:jc w:val="center"/>
              <w:rPr>
                <w:szCs w:val="21"/>
              </w:rPr>
            </w:pPr>
            <w:r>
              <w:rPr>
                <w:rFonts w:hint="eastAsia"/>
                <w:color w:val="000000"/>
                <w:kern w:val="0"/>
                <w:szCs w:val="21"/>
              </w:rPr>
              <w:t>□</w:t>
            </w:r>
          </w:p>
        </w:tc>
        <w:tc>
          <w:tcPr>
            <w:tcW w:w="0" w:type="auto"/>
            <w:gridSpan w:val="2"/>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0" w:type="auto"/>
            <w:gridSpan w:val="4"/>
            <w:noWrap/>
            <w:vAlign w:val="center"/>
          </w:tcPr>
          <w:p>
            <w:pPr>
              <w:widowControl/>
              <w:spacing w:line="240" w:lineRule="exact"/>
              <w:jc w:val="center"/>
              <w:rPr>
                <w:color w:val="000000"/>
                <w:kern w:val="0"/>
                <w:szCs w:val="21"/>
              </w:rPr>
            </w:pPr>
            <w:r>
              <w:rPr>
                <w:rFonts w:hint="eastAsia"/>
                <w:color w:val="000000"/>
                <w:kern w:val="0"/>
                <w:szCs w:val="21"/>
                <w:lang w:val="en-US" w:eastAsia="zh-CN"/>
              </w:rPr>
              <w:t>乐至县国家农村产业融合发展示范园管理委员会</w:t>
            </w:r>
            <w:r>
              <w:rPr>
                <w:rFonts w:hint="eastAsia"/>
                <w:color w:val="000000"/>
                <w:kern w:val="0"/>
                <w:szCs w:val="21"/>
              </w:rPr>
              <w:t>　</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预算单位编码</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150001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项目</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19</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19</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19</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19</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项目</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合计</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19</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19</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19</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19</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color w:val="000000"/>
                <w:kern w:val="0"/>
                <w:szCs w:val="21"/>
              </w:rPr>
            </w:pPr>
            <w:r>
              <w:rPr>
                <w:rFonts w:hint="eastAsia"/>
                <w:color w:val="000000"/>
                <w:kern w:val="0"/>
                <w:szCs w:val="21"/>
              </w:rPr>
              <w:t>目标</w:t>
            </w:r>
            <w:r>
              <w:rPr>
                <w:color w:val="000000"/>
                <w:kern w:val="0"/>
                <w:szCs w:val="21"/>
              </w:rPr>
              <w:t>1:</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lang w:val="en-US" w:eastAsia="zh-CN"/>
              </w:rPr>
              <w:t>完成景观绿化、苗木修枝整形和除草</w:t>
            </w:r>
            <w:r>
              <w:rPr>
                <w:rFonts w:hint="eastAsia"/>
                <w:color w:val="000000"/>
                <w:kern w:val="0"/>
                <w:szCs w:val="21"/>
              </w:rPr>
              <w:t>　</w:t>
            </w:r>
          </w:p>
        </w:tc>
        <w:tc>
          <w:tcPr>
            <w:tcW w:w="0" w:type="auto"/>
            <w:gridSpan w:val="2"/>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无偏差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color w:val="000000"/>
                <w:kern w:val="0"/>
                <w:szCs w:val="21"/>
              </w:rPr>
            </w:pPr>
            <w:r>
              <w:rPr>
                <w:rFonts w:hint="eastAsia"/>
                <w:color w:val="000000"/>
                <w:kern w:val="0"/>
                <w:szCs w:val="21"/>
              </w:rPr>
              <w:t>目标</w:t>
            </w:r>
            <w:r>
              <w:rPr>
                <w:color w:val="000000"/>
                <w:kern w:val="0"/>
                <w:szCs w:val="21"/>
              </w:rPr>
              <w:t>2:</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lang w:val="en-US" w:eastAsia="zh-CN"/>
              </w:rPr>
              <w:t>重大活动现场筹备</w:t>
            </w:r>
            <w:r>
              <w:rPr>
                <w:rFonts w:hint="eastAsia"/>
                <w:color w:val="000000"/>
                <w:kern w:val="0"/>
                <w:szCs w:val="21"/>
              </w:rPr>
              <w:t>　</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lang w:val="en-US" w:eastAsia="zh-CN"/>
              </w:rPr>
              <w:t>无偏差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color w:val="000000"/>
                <w:kern w:val="0"/>
                <w:szCs w:val="21"/>
              </w:rPr>
            </w:pPr>
            <w:r>
              <w:rPr>
                <w:rFonts w:hint="eastAsia"/>
                <w:color w:val="000000"/>
                <w:kern w:val="0"/>
                <w:szCs w:val="21"/>
              </w:rPr>
              <w:t>目标</w:t>
            </w:r>
            <w:r>
              <w:rPr>
                <w:color w:val="000000"/>
                <w:kern w:val="0"/>
                <w:szCs w:val="21"/>
              </w:rPr>
              <w:t>3:</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lang w:val="en-US" w:eastAsia="zh-CN"/>
              </w:rPr>
              <w:t>完成主干道风貌塑造</w:t>
            </w:r>
            <w:r>
              <w:rPr>
                <w:rFonts w:hint="eastAsia"/>
                <w:color w:val="000000"/>
                <w:kern w:val="0"/>
                <w:szCs w:val="21"/>
              </w:rPr>
              <w:t>　</w:t>
            </w:r>
          </w:p>
        </w:tc>
        <w:tc>
          <w:tcPr>
            <w:tcW w:w="0" w:type="auto"/>
            <w:gridSpan w:val="2"/>
            <w:noWrap/>
            <w:vAlign w:val="center"/>
          </w:tcPr>
          <w:p>
            <w:pPr>
              <w:widowControl/>
              <w:spacing w:line="240" w:lineRule="exact"/>
              <w:jc w:val="center"/>
              <w:rPr>
                <w:color w:val="000000"/>
                <w:kern w:val="0"/>
                <w:szCs w:val="21"/>
              </w:rPr>
            </w:pPr>
            <w:r>
              <w:rPr>
                <w:rFonts w:hint="eastAsia"/>
                <w:color w:val="000000"/>
                <w:kern w:val="0"/>
                <w:szCs w:val="21"/>
                <w:lang w:val="en-US" w:eastAsia="zh-CN"/>
              </w:rPr>
              <w:t>无偏差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目标4：</w:t>
            </w:r>
          </w:p>
        </w:tc>
        <w:tc>
          <w:tcPr>
            <w:tcW w:w="0" w:type="auto"/>
            <w:gridSpan w:val="2"/>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完成河道环境整治</w:t>
            </w:r>
          </w:p>
        </w:tc>
        <w:tc>
          <w:tcPr>
            <w:tcW w:w="0" w:type="auto"/>
            <w:gridSpan w:val="2"/>
            <w:noWrap/>
            <w:vAlign w:val="center"/>
          </w:tcPr>
          <w:p>
            <w:pPr>
              <w:widowControl/>
              <w:spacing w:line="240" w:lineRule="exact"/>
              <w:jc w:val="center"/>
              <w:rPr>
                <w:rFonts w:hint="eastAsia"/>
                <w:color w:val="000000"/>
                <w:kern w:val="0"/>
                <w:szCs w:val="21"/>
              </w:rPr>
            </w:pPr>
            <w:r>
              <w:rPr>
                <w:rFonts w:hint="eastAsia"/>
                <w:color w:val="000000"/>
                <w:kern w:val="0"/>
                <w:szCs w:val="21"/>
                <w:lang w:val="en-US" w:eastAsia="zh-CN"/>
              </w:rPr>
              <w:t>无偏差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目标5：</w:t>
            </w:r>
          </w:p>
        </w:tc>
        <w:tc>
          <w:tcPr>
            <w:tcW w:w="0" w:type="auto"/>
            <w:gridSpan w:val="2"/>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完成园区宣传资料制作</w:t>
            </w:r>
          </w:p>
        </w:tc>
        <w:tc>
          <w:tcPr>
            <w:tcW w:w="0" w:type="auto"/>
            <w:gridSpan w:val="2"/>
            <w:noWrap/>
            <w:vAlign w:val="center"/>
          </w:tcPr>
          <w:p>
            <w:pPr>
              <w:widowControl/>
              <w:spacing w:line="240" w:lineRule="exact"/>
              <w:jc w:val="center"/>
              <w:rPr>
                <w:rFonts w:hint="eastAsia"/>
                <w:color w:val="000000"/>
                <w:kern w:val="0"/>
                <w:szCs w:val="21"/>
              </w:rPr>
            </w:pPr>
            <w:r>
              <w:rPr>
                <w:rFonts w:hint="eastAsia"/>
                <w:color w:val="000000"/>
                <w:kern w:val="0"/>
                <w:szCs w:val="21"/>
                <w:lang w:val="en-US" w:eastAsia="zh-CN"/>
              </w:rPr>
              <w:t>无偏差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gridSpan w:val="2"/>
            <w:noWrap/>
            <w:vAlign w:val="center"/>
          </w:tcPr>
          <w:p>
            <w:pPr>
              <w:widowControl/>
              <w:spacing w:line="240" w:lineRule="exact"/>
              <w:jc w:val="left"/>
              <w:rPr>
                <w:rFonts w:hint="eastAsia"/>
                <w:color w:val="000000"/>
                <w:kern w:val="0"/>
                <w:szCs w:val="21"/>
              </w:rPr>
            </w:pPr>
            <w:r>
              <w:rPr>
                <w:rFonts w:hint="eastAsia"/>
                <w:color w:val="000000"/>
                <w:kern w:val="0"/>
                <w:szCs w:val="21"/>
                <w:lang w:val="en-US" w:eastAsia="zh-CN"/>
              </w:rPr>
              <w:t>目标6：</w:t>
            </w:r>
          </w:p>
        </w:tc>
        <w:tc>
          <w:tcPr>
            <w:tcW w:w="0" w:type="auto"/>
            <w:gridSpan w:val="2"/>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完成科普展示牌、广告牌、展板制作</w:t>
            </w:r>
          </w:p>
        </w:tc>
        <w:tc>
          <w:tcPr>
            <w:tcW w:w="0" w:type="auto"/>
            <w:gridSpan w:val="2"/>
            <w:noWrap/>
            <w:vAlign w:val="center"/>
          </w:tcPr>
          <w:p>
            <w:pPr>
              <w:widowControl/>
              <w:spacing w:line="240" w:lineRule="exact"/>
              <w:jc w:val="center"/>
              <w:rPr>
                <w:rFonts w:hint="eastAsia"/>
                <w:color w:val="000000"/>
                <w:kern w:val="0"/>
                <w:szCs w:val="21"/>
              </w:rPr>
            </w:pPr>
            <w:r>
              <w:rPr>
                <w:rFonts w:hint="eastAsia"/>
                <w:color w:val="000000"/>
                <w:kern w:val="0"/>
                <w:szCs w:val="21"/>
                <w:lang w:val="en-US" w:eastAsia="zh-CN"/>
              </w:rPr>
              <w:t>无偏差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0" w:type="auto"/>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制作宣传画册50本</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60本</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2:</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10场重大活动筹备</w:t>
            </w:r>
          </w:p>
        </w:tc>
        <w:tc>
          <w:tcPr>
            <w:tcW w:w="0" w:type="auto"/>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12</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left"/>
              <w:rPr>
                <w:color w:val="000000"/>
                <w:kern w:val="0"/>
                <w:szCs w:val="21"/>
              </w:rPr>
            </w:pPr>
            <w:r>
              <w:rPr>
                <w:rFonts w:hint="eastAsia"/>
                <w:color w:val="000000"/>
                <w:kern w:val="0"/>
                <w:szCs w:val="21"/>
                <w:lang w:val="en-US" w:eastAsia="zh-CN"/>
              </w:rPr>
              <w:t>指标3</w:t>
            </w:r>
            <w:r>
              <w:rPr>
                <w:color w:val="000000"/>
                <w:kern w:val="0"/>
                <w:szCs w:val="21"/>
              </w:rPr>
              <w:t>..</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清理垃圾5吨</w:t>
            </w:r>
          </w:p>
        </w:tc>
        <w:tc>
          <w:tcPr>
            <w:tcW w:w="0" w:type="auto"/>
            <w:noWrap/>
            <w:vAlign w:val="center"/>
          </w:tcPr>
          <w:p>
            <w:pPr>
              <w:widowControl/>
              <w:spacing w:line="240" w:lineRule="exact"/>
              <w:jc w:val="center"/>
              <w:rPr>
                <w:rFonts w:hint="eastAsia" w:eastAsia="宋体"/>
                <w:color w:val="000000"/>
                <w:kern w:val="0"/>
                <w:szCs w:val="21"/>
                <w:lang w:val="en-US" w:eastAsia="zh-CN"/>
              </w:rPr>
            </w:pPr>
            <w:r>
              <w:rPr>
                <w:rFonts w:hint="eastAsia"/>
                <w:color w:val="000000"/>
                <w:kern w:val="0"/>
                <w:szCs w:val="21"/>
                <w:lang w:val="en-US" w:eastAsia="zh-CN"/>
              </w:rPr>
              <w:t>6</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保质量完成修理栅栏</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高质量完成</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2:</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完成景观绿化带、苗木修枝整形和除草</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高质量完成</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restart"/>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0" w:type="auto"/>
            <w:noWrap/>
            <w:vAlign w:val="center"/>
          </w:tcPr>
          <w:p>
            <w:pPr>
              <w:widowControl/>
              <w:spacing w:line="240" w:lineRule="exact"/>
              <w:jc w:val="left"/>
              <w:rPr>
                <w:color w:val="000000"/>
                <w:kern w:val="0"/>
                <w:szCs w:val="21"/>
              </w:rPr>
            </w:pPr>
            <w:r>
              <w:rPr>
                <w:rFonts w:hint="eastAsia"/>
                <w:color w:val="000000"/>
                <w:kern w:val="0"/>
                <w:szCs w:val="21"/>
                <w:lang w:val="en-US" w:eastAsia="zh-CN"/>
              </w:rPr>
              <w:t>及时制作宣传展板</w:t>
            </w:r>
            <w:r>
              <w:rPr>
                <w:rFonts w:hint="eastAsia"/>
                <w:color w:val="000000"/>
                <w:kern w:val="0"/>
                <w:szCs w:val="21"/>
              </w:rPr>
              <w:t>　</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按时完成</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vMerge w:val="continue"/>
            <w:noWrap w:val="0"/>
            <w:vAlign w:val="center"/>
          </w:tcPr>
          <w:p>
            <w:pPr>
              <w:widowControl/>
              <w:spacing w:line="240" w:lineRule="exact"/>
              <w:jc w:val="left"/>
              <w:rPr>
                <w:color w:val="000000"/>
                <w:kern w:val="0"/>
                <w:szCs w:val="21"/>
              </w:rPr>
            </w:pPr>
          </w:p>
        </w:tc>
        <w:tc>
          <w:tcPr>
            <w:tcW w:w="0" w:type="auto"/>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2:</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现场活动筹备</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r>
              <w:rPr>
                <w:rFonts w:hint="eastAsia"/>
                <w:color w:val="000000"/>
                <w:kern w:val="0"/>
                <w:szCs w:val="21"/>
                <w:lang w:val="en-US" w:eastAsia="zh-CN"/>
              </w:rPr>
              <w:t>按时完成</w:t>
            </w:r>
          </w:p>
        </w:tc>
        <w:tc>
          <w:tcPr>
            <w:tcW w:w="0" w:type="auto"/>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noWrap w:val="0"/>
            <w:vAlign w:val="center"/>
          </w:tcPr>
          <w:p>
            <w:pPr>
              <w:widowControl/>
              <w:spacing w:line="240" w:lineRule="exact"/>
              <w:jc w:val="left"/>
              <w:rPr>
                <w:color w:val="000000"/>
                <w:kern w:val="0"/>
                <w:szCs w:val="21"/>
              </w:rPr>
            </w:pPr>
          </w:p>
        </w:tc>
        <w:tc>
          <w:tcPr>
            <w:tcW w:w="0" w:type="auto"/>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效益指标</w:t>
            </w:r>
          </w:p>
        </w:tc>
        <w:tc>
          <w:tcPr>
            <w:tcW w:w="0" w:type="auto"/>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社会效益指标</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指标1：</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为群众提供优质休闲旅游环境</w:t>
            </w:r>
          </w:p>
        </w:tc>
        <w:tc>
          <w:tcPr>
            <w:tcW w:w="0" w:type="auto"/>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lang w:val="en-US" w:eastAsia="zh-CN"/>
              </w:rPr>
              <w:t>提供</w:t>
            </w:r>
          </w:p>
        </w:tc>
        <w:tc>
          <w:tcPr>
            <w:tcW w:w="0" w:type="auto"/>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noWrap w:val="0"/>
            <w:vAlign w:val="center"/>
          </w:tcPr>
          <w:p>
            <w:pPr>
              <w:widowControl/>
              <w:spacing w:line="240" w:lineRule="exact"/>
              <w:jc w:val="left"/>
              <w:rPr>
                <w:color w:val="000000"/>
                <w:kern w:val="0"/>
                <w:szCs w:val="21"/>
              </w:rPr>
            </w:pPr>
          </w:p>
        </w:tc>
        <w:tc>
          <w:tcPr>
            <w:tcW w:w="0" w:type="auto"/>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满意度指标</w:t>
            </w:r>
          </w:p>
        </w:tc>
        <w:tc>
          <w:tcPr>
            <w:tcW w:w="0" w:type="auto"/>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服务对象满意度指标</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指标1：</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群众满意度90%以上</w:t>
            </w:r>
          </w:p>
        </w:tc>
        <w:tc>
          <w:tcPr>
            <w:tcW w:w="0" w:type="auto"/>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95%</w:t>
            </w:r>
          </w:p>
        </w:tc>
        <w:tc>
          <w:tcPr>
            <w:tcW w:w="0" w:type="auto"/>
            <w:noWrap/>
            <w:vAlign w:val="center"/>
          </w:tcPr>
          <w:p>
            <w:pPr>
              <w:widowControl/>
              <w:spacing w:line="240" w:lineRule="exact"/>
              <w:jc w:val="left"/>
              <w:rPr>
                <w:rFonts w:hint="eastAsia"/>
                <w:color w:val="000000"/>
                <w:kern w:val="0"/>
                <w:szCs w:val="21"/>
              </w:rPr>
            </w:pPr>
          </w:p>
        </w:tc>
      </w:tr>
    </w:tbl>
    <w:p/>
    <w:p>
      <w:pPr>
        <w:widowControl/>
        <w:jc w:val="left"/>
        <w:rPr>
          <w:rStyle w:val="29"/>
          <w:rFonts w:ascii="黑体" w:hAnsi="黑体" w:eastAsia="黑体"/>
          <w:b w:val="0"/>
        </w:rPr>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r>
        <w:rPr>
          <w:rFonts w:hint="eastAsia"/>
          <w:lang w:val="en-US" w:eastAsia="zh-CN"/>
        </w:rPr>
        <w:t>附件3</w:t>
      </w: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2年乐至县项目支出绩效自评报告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eastAsia="方正楷体简体"/>
          <w:b/>
          <w:sz w:val="32"/>
          <w:szCs w:val="32"/>
          <w:lang w:val="en-US" w:eastAsia="zh-CN"/>
        </w:rPr>
        <w:t>四川乐至国家林业科技示范园区扶贫建设项目</w:t>
      </w:r>
      <w:r>
        <w:rPr>
          <w:rFonts w:hint="eastAsia" w:eastAsia="方正楷体简体"/>
          <w:b/>
          <w:sz w:val="32"/>
          <w:szCs w:val="32"/>
        </w:rPr>
        <w:t>）</w:t>
      </w:r>
    </w:p>
    <w:p>
      <w:pPr>
        <w:spacing w:line="580" w:lineRule="exact"/>
        <w:ind w:firstLine="640" w:firstLineChars="200"/>
        <w:rPr>
          <w:rFonts w:eastAsia="方正仿宋简体"/>
          <w:sz w:val="32"/>
          <w:szCs w:val="32"/>
        </w:rPr>
      </w:pPr>
    </w:p>
    <w:p>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pPr>
        <w:spacing w:line="580" w:lineRule="exact"/>
        <w:jc w:val="center"/>
        <w:rPr>
          <w:rFonts w:eastAsia="方正黑体简体"/>
          <w:sz w:val="32"/>
          <w:szCs w:val="32"/>
        </w:rPr>
      </w:pP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spacing w:line="580" w:lineRule="exact"/>
        <w:ind w:firstLine="643" w:firstLineChars="200"/>
        <w:rPr>
          <w:rFonts w:hint="eastAsia" w:eastAsia="方正仿宋简体"/>
          <w:sz w:val="32"/>
          <w:szCs w:val="32"/>
        </w:rPr>
      </w:pPr>
      <w:r>
        <w:rPr>
          <w:rFonts w:eastAsia="方正仿宋简体"/>
          <w:b/>
          <w:sz w:val="32"/>
          <w:szCs w:val="32"/>
        </w:rPr>
        <w:t>1.</w:t>
      </w:r>
      <w:r>
        <w:rPr>
          <w:rFonts w:hint="eastAsia" w:eastAsia="方正仿宋简体"/>
          <w:sz w:val="32"/>
          <w:szCs w:val="32"/>
        </w:rPr>
        <w:t>立项背景及目的</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为贯彻落实中央及地方扶贫政策、乡村振兴战略，确保贫困人口和贫困地区同全国一道进入全面小康社会，乐至县委、县政府决定，实施四川乐至国家林业科技示范园区扶贫建设项目，增强贫困地区和贫困群众自我发展能力，构建政府、市场、社会协同推进的大扶贫格局，唱好脱贫攻坚的大合唱。根据乐至县发展和改革局《关于四川乐至国家林业科技示范园区扶贫建设项目可行性研究报告（代项目建议书）的批复》设立四川乐至国家林业科技示范园区扶贫建设项目。</w:t>
      </w:r>
    </w:p>
    <w:p>
      <w:pPr>
        <w:numPr>
          <w:ilvl w:val="0"/>
          <w:numId w:val="0"/>
        </w:numPr>
        <w:spacing w:line="580" w:lineRule="exact"/>
        <w:ind w:firstLine="640" w:firstLineChars="200"/>
        <w:rPr>
          <w:rFonts w:hint="eastAsia" w:eastAsia="方正仿宋简体"/>
          <w:sz w:val="32"/>
          <w:szCs w:val="32"/>
        </w:rPr>
      </w:pPr>
      <w:r>
        <w:rPr>
          <w:rFonts w:hint="eastAsia" w:eastAsia="方正仿宋简体"/>
          <w:sz w:val="32"/>
          <w:szCs w:val="32"/>
          <w:lang w:val="en-US" w:eastAsia="zh-CN"/>
        </w:rPr>
        <w:t>2.</w:t>
      </w:r>
      <w:r>
        <w:rPr>
          <w:rFonts w:hint="eastAsia" w:eastAsia="方正仿宋简体"/>
          <w:sz w:val="32"/>
          <w:szCs w:val="32"/>
        </w:rPr>
        <w:t>预算资金来源及使用情况</w:t>
      </w:r>
    </w:p>
    <w:p>
      <w:pPr>
        <w:pStyle w:val="4"/>
        <w:ind w:firstLine="640"/>
        <w:rPr>
          <w:rFonts w:hint="eastAsia" w:ascii="Times New Roman" w:hAnsi="Times New Roman"/>
          <w:color w:val="000000" w:themeColor="text1"/>
          <w14:textFill>
            <w14:solidFill>
              <w14:schemeClr w14:val="tx1"/>
            </w14:solidFill>
          </w14:textFill>
        </w:rPr>
      </w:pPr>
      <w:r>
        <w:rPr>
          <w:rFonts w:hint="eastAsia" w:ascii="Times New Roman" w:hAnsi="Times New Roman" w:eastAsia="方正仿宋简体" w:cs="Times New Roman"/>
          <w:kern w:val="2"/>
          <w:sz w:val="32"/>
          <w:szCs w:val="32"/>
          <w:lang w:val="en-US" w:eastAsia="zh-CN" w:bidi="ar-SA"/>
        </w:rPr>
        <w:t xml:space="preserve"> </w:t>
      </w:r>
      <w:r>
        <w:rPr>
          <w:rFonts w:ascii="Times New Roman" w:hAnsi="Times New Roman"/>
        </w:rPr>
        <w:t>根据</w:t>
      </w:r>
      <w:r>
        <w:rPr>
          <w:rFonts w:hint="eastAsia" w:ascii="Times New Roman" w:hAnsi="Times New Roman"/>
          <w:lang w:val="en-US" w:eastAsia="zh-CN"/>
        </w:rPr>
        <w:t>县发改局</w:t>
      </w:r>
      <w:r>
        <w:rPr>
          <w:rFonts w:hint="eastAsia" w:ascii="Times New Roman" w:hAnsi="Times New Roman"/>
          <w:color w:val="000000" w:themeColor="text1"/>
          <w:lang w:val="en-US" w:eastAsia="zh-CN"/>
          <w14:textFill>
            <w14:solidFill>
              <w14:schemeClr w14:val="tx1"/>
            </w14:solidFill>
          </w14:textFill>
        </w:rPr>
        <w:t>的乐发改审批</w:t>
      </w:r>
      <w:r>
        <w:rPr>
          <w:rFonts w:ascii="Times New Roman" w:hAnsi="Times New Roman"/>
          <w:color w:val="000000" w:themeColor="text1"/>
          <w14:textFill>
            <w14:solidFill>
              <w14:schemeClr w14:val="tx1"/>
            </w14:solidFill>
          </w14:textFill>
        </w:rPr>
        <w:t>〔201</w:t>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124</w:t>
      </w:r>
      <w:r>
        <w:rPr>
          <w:rFonts w:ascii="Times New Roman" w:hAnsi="Times New Roman"/>
          <w:color w:val="000000" w:themeColor="text1"/>
          <w14:textFill>
            <w14:solidFill>
              <w14:schemeClr w14:val="tx1"/>
            </w14:solidFill>
          </w14:textFill>
        </w:rPr>
        <w:t>号</w:t>
      </w:r>
      <w:r>
        <w:rPr>
          <w:rFonts w:hint="eastAsia" w:ascii="Times New Roman" w:hAnsi="Times New Roman"/>
          <w:color w:val="000000" w:themeColor="text1"/>
          <w:lang w:val="en-US" w:eastAsia="zh-CN"/>
          <w14:textFill>
            <w14:solidFill>
              <w14:schemeClr w14:val="tx1"/>
            </w14:solidFill>
          </w14:textFill>
        </w:rPr>
        <w:t>文件</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扶贫建设</w:t>
      </w:r>
      <w:r>
        <w:rPr>
          <w:rFonts w:ascii="Times New Roman" w:hAnsi="Times New Roman"/>
          <w:color w:val="000000" w:themeColor="text1"/>
          <w14:textFill>
            <w14:solidFill>
              <w14:schemeClr w14:val="tx1"/>
            </w14:solidFill>
          </w14:textFill>
        </w:rPr>
        <w:t>项目计划总投资</w:t>
      </w:r>
      <w:r>
        <w:rPr>
          <w:rFonts w:hint="eastAsia" w:ascii="Times New Roman" w:hAnsi="Times New Roman"/>
          <w:color w:val="000000" w:themeColor="text1"/>
          <w:lang w:val="en-US" w:eastAsia="zh-CN"/>
          <w14:textFill>
            <w14:solidFill>
              <w14:schemeClr w14:val="tx1"/>
            </w14:solidFill>
          </w14:textFill>
        </w:rPr>
        <w:t>29830.92</w:t>
      </w:r>
      <w:r>
        <w:rPr>
          <w:rFonts w:ascii="Times New Roman" w:hAnsi="Times New Roman"/>
          <w:color w:val="000000" w:themeColor="text1"/>
          <w14:textFill>
            <w14:solidFill>
              <w14:schemeClr w14:val="tx1"/>
            </w14:solidFill>
          </w14:textFill>
        </w:rPr>
        <w:t>万元，</w:t>
      </w:r>
      <w:r>
        <w:rPr>
          <w:rFonts w:hint="eastAsia" w:ascii="Times New Roman" w:hAnsi="Times New Roman"/>
          <w:color w:val="000000" w:themeColor="text1"/>
          <w14:textFill>
            <w14:solidFill>
              <w14:schemeClr w14:val="tx1"/>
            </w14:solidFill>
          </w14:textFill>
        </w:rPr>
        <w:t>人居环境提升投资12806.40万元，占总投资的42.93%；基础设施</w:t>
      </w:r>
      <w:r>
        <w:rPr>
          <w:rFonts w:ascii="Times New Roman" w:hAnsi="Times New Roman"/>
          <w:color w:val="000000" w:themeColor="text1"/>
          <w14:textFill>
            <w14:solidFill>
              <w14:schemeClr w14:val="tx1"/>
            </w14:solidFill>
          </w14:textFill>
        </w:rPr>
        <w:t>提升改造</w:t>
      </w:r>
      <w:r>
        <w:rPr>
          <w:rFonts w:hint="eastAsia" w:ascii="Times New Roman" w:hAnsi="Times New Roman"/>
          <w:color w:val="000000" w:themeColor="text1"/>
          <w14:textFill>
            <w14:solidFill>
              <w14:schemeClr w14:val="tx1"/>
            </w14:solidFill>
          </w14:textFill>
        </w:rPr>
        <w:t>费为14867.52</w:t>
      </w:r>
      <w:r>
        <w:rPr>
          <w:rFonts w:ascii="Times New Roman" w:hAnsi="Times New Roman"/>
          <w:color w:val="000000" w:themeColor="text1"/>
          <w14:textFill>
            <w14:solidFill>
              <w14:schemeClr w14:val="tx1"/>
            </w14:solidFill>
          </w14:textFill>
        </w:rPr>
        <w:t>万元，</w:t>
      </w:r>
      <w:r>
        <w:rPr>
          <w:rFonts w:hint="eastAsia" w:ascii="Times New Roman" w:hAnsi="Times New Roman"/>
          <w:color w:val="000000" w:themeColor="text1"/>
          <w14:textFill>
            <w14:solidFill>
              <w14:schemeClr w14:val="tx1"/>
            </w14:solidFill>
          </w14:textFill>
        </w:rPr>
        <w:t>占总投资的49.84%；项目预备费为1383.70万元，占总投资的4.64%；</w:t>
      </w:r>
      <w:r>
        <w:rPr>
          <w:rFonts w:ascii="Times New Roman" w:hAnsi="Times New Roman"/>
          <w:color w:val="000000" w:themeColor="text1"/>
          <w14:textFill>
            <w14:solidFill>
              <w14:schemeClr w14:val="tx1"/>
            </w14:solidFill>
          </w14:textFill>
        </w:rPr>
        <w:t>建设期利息</w:t>
      </w:r>
      <w:r>
        <w:rPr>
          <w:rFonts w:hint="eastAsia" w:ascii="Times New Roman" w:hAnsi="Times New Roman"/>
          <w:color w:val="000000" w:themeColor="text1"/>
          <w14:textFill>
            <w14:solidFill>
              <w14:schemeClr w14:val="tx1"/>
            </w14:solidFill>
          </w14:textFill>
        </w:rPr>
        <w:t>773.30</w:t>
      </w:r>
      <w:r>
        <w:rPr>
          <w:rFonts w:ascii="Times New Roman" w:hAnsi="Times New Roman"/>
          <w:color w:val="000000" w:themeColor="text1"/>
          <w14:textFill>
            <w14:solidFill>
              <w14:schemeClr w14:val="tx1"/>
            </w14:solidFill>
          </w14:textFill>
        </w:rPr>
        <w:t>万元</w:t>
      </w:r>
      <w:r>
        <w:rPr>
          <w:rFonts w:hint="eastAsia" w:ascii="Times New Roman" w:hAnsi="Times New Roman"/>
          <w:color w:val="000000" w:themeColor="text1"/>
          <w14:textFill>
            <w14:solidFill>
              <w14:schemeClr w14:val="tx1"/>
            </w14:solidFill>
          </w14:textFill>
        </w:rPr>
        <w:t>，占总投资的2.59%</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资金来源于业主自筹及银行贷款。</w:t>
      </w:r>
    </w:p>
    <w:p>
      <w:pPr>
        <w:pStyle w:val="4"/>
        <w:ind w:firstLine="64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乐发改</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lang w:val="en-US" w:eastAsia="zh-CN"/>
          <w14:textFill>
            <w14:solidFill>
              <w14:schemeClr w14:val="tx1"/>
            </w14:solidFill>
          </w14:textFill>
        </w:rPr>
        <w:t>19</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45号文件《乐至县发改局关于乐至县国家林业科技示范园扶贫建设项目申报2019年农村产业融合发展项目省内预算的资金的请示》和四川省财政厅《关于下达2019年省内预算内基本建设资金支出预算的通知》（川财建</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lang w:val="en-US" w:eastAsia="zh-CN"/>
          <w14:textFill>
            <w14:solidFill>
              <w14:schemeClr w14:val="tx1"/>
            </w14:solidFill>
          </w14:textFill>
        </w:rPr>
        <w:t>19</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326号），扶贫建设项目争取到1000万的省预算内基本建设投资补助资金。作为2022年度扶贫建设项目资金支出来源。截至2021年底，该项目补助资金还未使用，剩余1000万。</w:t>
      </w:r>
    </w:p>
    <w:p>
      <w:pPr>
        <w:numPr>
          <w:ilvl w:val="0"/>
          <w:numId w:val="0"/>
        </w:numPr>
        <w:spacing w:line="580" w:lineRule="exact"/>
        <w:ind w:leftChars="200"/>
        <w:rPr>
          <w:rFonts w:hint="eastAsia" w:eastAsia="方正仿宋简体"/>
          <w:sz w:val="32"/>
          <w:szCs w:val="32"/>
        </w:rPr>
      </w:pPr>
      <w:r>
        <w:rPr>
          <w:rFonts w:hint="eastAsia" w:eastAsia="方正仿宋简体"/>
          <w:sz w:val="32"/>
          <w:szCs w:val="32"/>
          <w:lang w:val="en-US" w:eastAsia="zh-CN"/>
        </w:rPr>
        <w:t>3.</w:t>
      </w:r>
      <w:r>
        <w:rPr>
          <w:rFonts w:hint="eastAsia" w:eastAsia="方正仿宋简体"/>
          <w:sz w:val="32"/>
          <w:szCs w:val="32"/>
        </w:rPr>
        <w:t>实施情况（项目完成情况）</w:t>
      </w:r>
    </w:p>
    <w:p>
      <w:pPr>
        <w:numPr>
          <w:ilvl w:val="0"/>
          <w:numId w:val="0"/>
        </w:numPr>
        <w:spacing w:line="580" w:lineRule="exact"/>
        <w:ind w:firstLine="640" w:firstLineChars="200"/>
        <w:rPr>
          <w:rFonts w:hint="default" w:eastAsia="方正仿宋简体"/>
          <w:sz w:val="32"/>
          <w:szCs w:val="32"/>
          <w:lang w:val="en-US" w:eastAsia="zh-CN"/>
        </w:rPr>
      </w:pPr>
      <w:r>
        <w:rPr>
          <w:rFonts w:hint="eastAsia" w:eastAsia="方正仿宋简体"/>
          <w:sz w:val="32"/>
          <w:szCs w:val="32"/>
          <w:lang w:val="en-US" w:eastAsia="zh-CN"/>
        </w:rPr>
        <w:t>扶贫建设项目中包含多个子项，具体数据应按子项为准。总代理1个，总工程可研编制1个，总施工9个，总监理1个，总造价1个，1-7标段（勘察、设计、测绘等），总水保方案编制1个，1个游客接待中心项目杆线管道搬迁本项目。截至2022年12月31日，完成总项目的97%进度，本年度内主要对各子项目的测绘、设计费、勘察费、监理费、水保、行洪论证等小项费用进行支付。</w:t>
      </w:r>
    </w:p>
    <w:p>
      <w:pPr>
        <w:numPr>
          <w:ilvl w:val="0"/>
          <w:numId w:val="0"/>
        </w:numPr>
        <w:spacing w:line="580" w:lineRule="exact"/>
        <w:ind w:leftChars="200"/>
        <w:rPr>
          <w:rFonts w:hint="eastAsia" w:eastAsia="方正仿宋简体"/>
          <w:sz w:val="32"/>
          <w:szCs w:val="32"/>
        </w:rPr>
      </w:pPr>
      <w:r>
        <w:rPr>
          <w:rFonts w:hint="eastAsia" w:eastAsia="方正仿宋简体"/>
          <w:sz w:val="32"/>
          <w:szCs w:val="32"/>
          <w:lang w:val="en-US" w:eastAsia="zh-CN"/>
        </w:rPr>
        <w:t>4.</w:t>
      </w:r>
      <w:r>
        <w:rPr>
          <w:rFonts w:hint="eastAsia" w:eastAsia="方正仿宋简体"/>
          <w:sz w:val="32"/>
          <w:szCs w:val="32"/>
        </w:rPr>
        <w:t>组织及管理</w:t>
      </w:r>
    </w:p>
    <w:p>
      <w:pPr>
        <w:pStyle w:val="4"/>
        <w:ind w:firstLine="640"/>
        <w:rPr>
          <w:rFonts w:hint="default" w:ascii="Times New Roman" w:hAnsi="Times New Roman" w:eastAsia="仿宋"/>
          <w:lang w:val="en-US" w:eastAsia="zh-CN"/>
        </w:rPr>
      </w:pPr>
      <w:r>
        <w:rPr>
          <w:rFonts w:ascii="Times New Roman" w:hAnsi="Times New Roman"/>
        </w:rPr>
        <w:t>主管部门：</w:t>
      </w:r>
      <w:r>
        <w:rPr>
          <w:rFonts w:hint="eastAsia" w:ascii="Times New Roman" w:hAnsi="Times New Roman"/>
          <w:lang w:val="en-US" w:eastAsia="zh-CN"/>
        </w:rPr>
        <w:t>乐至县国家农村产业融合发展示范园管理委员会</w:t>
      </w:r>
      <w:r>
        <w:rPr>
          <w:rFonts w:hint="eastAsia" w:ascii="Times New Roman" w:hAnsi="Times New Roman"/>
        </w:rPr>
        <w:t>主要负责</w:t>
      </w:r>
      <w:r>
        <w:rPr>
          <w:rFonts w:hint="eastAsia" w:ascii="Times New Roman" w:hAnsi="Times New Roman"/>
          <w:lang w:val="en-US" w:eastAsia="zh-CN"/>
        </w:rPr>
        <w:t>项目监管</w:t>
      </w:r>
      <w:r>
        <w:rPr>
          <w:rFonts w:ascii="Times New Roman" w:hAnsi="Times New Roman"/>
        </w:rPr>
        <w:t>，</w:t>
      </w:r>
      <w:r>
        <w:rPr>
          <w:rFonts w:hint="eastAsia" w:ascii="Times New Roman" w:hAnsi="Times New Roman"/>
          <w:lang w:val="en-US" w:eastAsia="zh-Hans"/>
        </w:rPr>
        <w:t>组织</w:t>
      </w:r>
      <w:r>
        <w:rPr>
          <w:rFonts w:hint="eastAsia" w:ascii="Times New Roman" w:hAnsi="Times New Roman"/>
          <w:lang w:val="en-US" w:eastAsia="zh-CN"/>
        </w:rPr>
        <w:t>协调施工设计监管部门等工作。</w:t>
      </w:r>
    </w:p>
    <w:p>
      <w:pPr>
        <w:pStyle w:val="4"/>
        <w:ind w:firstLine="640"/>
        <w:rPr>
          <w:rFonts w:hint="eastAsia" w:ascii="Times New Roman" w:hAnsi="Times New Roman"/>
          <w:lang w:val="en-US" w:eastAsia="zh-CN"/>
        </w:rPr>
      </w:pPr>
      <w:r>
        <w:rPr>
          <w:rFonts w:ascii="Times New Roman" w:hAnsi="Times New Roman"/>
        </w:rPr>
        <w:t>实施单位：</w:t>
      </w:r>
      <w:r>
        <w:rPr>
          <w:rFonts w:hint="eastAsia" w:ascii="仿宋" w:hAnsi="仿宋"/>
          <w:szCs w:val="32"/>
          <w:lang w:val="en-US" w:eastAsia="zh-CN"/>
        </w:rPr>
        <w:t>乐至县</w:t>
      </w:r>
      <w:r>
        <w:rPr>
          <w:rFonts w:hint="eastAsia"/>
          <w:szCs w:val="32"/>
          <w:lang w:val="en-US" w:eastAsia="zh-CN"/>
        </w:rPr>
        <w:t>新城投资</w:t>
      </w:r>
      <w:r>
        <w:rPr>
          <w:rFonts w:hint="eastAsia" w:ascii="仿宋" w:hAnsi="仿宋"/>
          <w:szCs w:val="32"/>
          <w:lang w:val="en-US" w:eastAsia="zh-CN"/>
        </w:rPr>
        <w:t>有限公司</w:t>
      </w:r>
      <w:r>
        <w:rPr>
          <w:rFonts w:hint="eastAsia" w:ascii="Times New Roman" w:hAnsi="Times New Roman"/>
        </w:rPr>
        <w:t>，主要负责</w:t>
      </w:r>
      <w:r>
        <w:rPr>
          <w:rFonts w:hint="eastAsia" w:ascii="Times New Roman" w:hAnsi="Times New Roman"/>
          <w:lang w:val="en-US" w:eastAsia="zh-CN"/>
        </w:rPr>
        <w:t>项目的具体项目实施。</w:t>
      </w:r>
    </w:p>
    <w:p>
      <w:pPr>
        <w:numPr>
          <w:ilvl w:val="0"/>
          <w:numId w:val="0"/>
        </w:num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此项目人居环境提升涉及东山镇、孔雀乡约696户农户，基础设施提升包括改造乡村道路137.8公里、产业大棚等涉农基础设施建设，观音河等农村生态环境整治，主要做了以下工作：</w:t>
      </w:r>
    </w:p>
    <w:p>
      <w:pPr>
        <w:pStyle w:val="4"/>
        <w:ind w:firstLine="640"/>
        <w:rPr>
          <w:rFonts w:hint="eastAsia" w:eastAsia="仿宋"/>
          <w:sz w:val="32"/>
          <w:szCs w:val="32"/>
          <w:lang w:val="en-US" w:eastAsia="zh-CN"/>
        </w:rPr>
      </w:pPr>
      <w:r>
        <w:rPr>
          <w:rFonts w:hint="eastAsia" w:eastAsia="方正仿宋简体"/>
          <w:sz w:val="32"/>
          <w:szCs w:val="32"/>
          <w:lang w:val="en-US" w:eastAsia="zh-CN"/>
        </w:rPr>
        <w:t>（1）建立项目管理组织机构。为了使该项目能够顺利实施，我单位安排由</w:t>
      </w:r>
      <w:r>
        <w:rPr>
          <w:rFonts w:hint="eastAsia" w:ascii="Times New Roman" w:hAnsi="Times New Roman"/>
          <w:color w:val="auto"/>
          <w:lang w:val="en-US" w:eastAsia="zh-CN"/>
        </w:rPr>
        <w:t>乐至县新城投资开发有限公司</w:t>
      </w:r>
      <w:r>
        <w:rPr>
          <w:rFonts w:hint="eastAsia" w:ascii="Times New Roman" w:hAnsi="Times New Roman"/>
          <w:color w:val="auto"/>
        </w:rPr>
        <w:t>牵头负责组织项目实施，</w:t>
      </w:r>
      <w:r>
        <w:rPr>
          <w:rFonts w:hint="eastAsia" w:ascii="Times New Roman" w:hAnsi="Times New Roman"/>
          <w:color w:val="auto"/>
          <w:lang w:val="en-US" w:eastAsia="zh-CN"/>
        </w:rPr>
        <w:t>管委会项目管理部具体</w:t>
      </w:r>
      <w:r>
        <w:rPr>
          <w:rFonts w:hint="eastAsia" w:ascii="Times New Roman" w:hAnsi="Times New Roman"/>
          <w:color w:val="auto"/>
        </w:rPr>
        <w:t>负责项目的管理工作。严格按照相关规定，明确责任，合理分工，密切协</w:t>
      </w:r>
      <w:r>
        <w:rPr>
          <w:rFonts w:hint="eastAsia" w:ascii="Times New Roman" w:hAnsi="Times New Roman"/>
          <w:color w:val="000000" w:themeColor="text1"/>
          <w14:textFill>
            <w14:solidFill>
              <w14:schemeClr w14:val="tx1"/>
            </w14:solidFill>
          </w14:textFill>
        </w:rPr>
        <w:t>作，为项目顺利实施提供</w:t>
      </w:r>
      <w:r>
        <w:rPr>
          <w:rFonts w:hint="eastAsia" w:ascii="Times New Roman" w:hAnsi="Times New Roman"/>
          <w:color w:val="auto"/>
        </w:rPr>
        <w:t>保障</w:t>
      </w:r>
      <w:r>
        <w:rPr>
          <w:rFonts w:hint="eastAsia" w:ascii="Times New Roman" w:hAnsi="Times New Roman"/>
          <w:color w:val="auto"/>
          <w:lang w:eastAsia="zh-CN"/>
        </w:rPr>
        <w:t>。</w:t>
      </w:r>
    </w:p>
    <w:p>
      <w:pPr>
        <w:pStyle w:val="36"/>
        <w:ind w:left="0" w:leftChars="0" w:firstLine="640" w:firstLineChars="200"/>
        <w:rPr>
          <w:rFonts w:hint="default"/>
          <w:lang w:val="en-US" w:eastAsia="zh-CN"/>
        </w:rPr>
      </w:pPr>
      <w:r>
        <w:rPr>
          <w:rFonts w:hint="eastAsia" w:ascii="仿宋_GB2312" w:hAnsi="仿宋_GB2312" w:eastAsia="仿宋_GB2312" w:cs="仿宋_GB2312"/>
          <w:sz w:val="32"/>
          <w:szCs w:val="32"/>
          <w:lang w:val="en-US" w:eastAsia="zh-CN"/>
        </w:rPr>
        <w:t>（2）管理流程。经过园区党组会议研究和讨论，以招投标的方式确定施工单位，并由管委会成立该项目施工督导小组，严格按照建设程序和相关法律法规，对工程质量、进度、安全等文明施工进行全过程、全方位的现场监督管理，提高工作质量和效率，强化责任，确保工程质量和进度。</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spacing w:line="580" w:lineRule="exact"/>
        <w:ind w:firstLine="640" w:firstLineChars="200"/>
        <w:rPr>
          <w:rFonts w:hint="eastAsia" w:eastAsia="方正仿宋简体"/>
          <w:sz w:val="32"/>
          <w:szCs w:val="32"/>
        </w:rPr>
      </w:pPr>
      <w:r>
        <w:rPr>
          <w:rFonts w:hint="eastAsia" w:eastAsia="方正仿宋简体"/>
          <w:sz w:val="32"/>
          <w:szCs w:val="32"/>
        </w:rPr>
        <w:t>绩效目标分别表述绩效总目标和具体绩效目标，具体绩效目标为具体量化的产出目标结果目标。</w:t>
      </w:r>
    </w:p>
    <w:p>
      <w:pPr>
        <w:numPr>
          <w:ilvl w:val="0"/>
          <w:numId w:val="0"/>
        </w:num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1.项目总目标</w:t>
      </w:r>
    </w:p>
    <w:p>
      <w:pPr>
        <w:numPr>
          <w:ilvl w:val="0"/>
          <w:numId w:val="0"/>
        </w:numPr>
        <w:spacing w:line="580" w:lineRule="exact"/>
        <w:ind w:firstLine="640" w:firstLineChars="200"/>
        <w:rPr>
          <w:rFonts w:hint="default" w:eastAsia="方正仿宋简体"/>
          <w:color w:val="C00000"/>
          <w:sz w:val="32"/>
          <w:szCs w:val="32"/>
          <w:highlight w:val="yellow"/>
          <w:lang w:val="en-US" w:eastAsia="zh-CN"/>
        </w:rPr>
      </w:pPr>
      <w:r>
        <w:rPr>
          <w:rFonts w:hint="eastAsia" w:eastAsia="方正仿宋简体"/>
          <w:sz w:val="32"/>
          <w:szCs w:val="32"/>
          <w:lang w:val="en-US" w:eastAsia="zh-CN"/>
        </w:rPr>
        <w:t>完成人居环境提升涉及东山镇、孔雀乡约696户农户，完成基础设施提升包括改造乡村道路137.8公里、产业大棚等涉农基础设施建设，观音河等农村生态环境整治。</w:t>
      </w:r>
    </w:p>
    <w:p>
      <w:pPr>
        <w:pStyle w:val="36"/>
        <w:numPr>
          <w:ilvl w:val="0"/>
          <w:numId w:val="0"/>
        </w:numPr>
        <w:ind w:leftChars="0" w:firstLine="640" w:firstLineChars="200"/>
        <w:rPr>
          <w:rFonts w:hint="eastAsia" w:eastAsia="方正仿宋简体"/>
          <w:sz w:val="32"/>
          <w:szCs w:val="32"/>
          <w:lang w:val="en-US" w:eastAsia="zh-CN"/>
        </w:rPr>
      </w:pPr>
      <w:r>
        <w:rPr>
          <w:rFonts w:hint="eastAsia" w:eastAsia="方正仿宋简体"/>
          <w:sz w:val="32"/>
          <w:szCs w:val="32"/>
          <w:lang w:val="en-US" w:eastAsia="zh-CN"/>
        </w:rPr>
        <w:t>2.年度绩效目标</w:t>
      </w:r>
    </w:p>
    <w:p>
      <w:pPr>
        <w:pStyle w:val="36"/>
        <w:numPr>
          <w:ilvl w:val="0"/>
          <w:numId w:val="0"/>
        </w:numPr>
        <w:ind w:leftChars="0" w:firstLine="640" w:firstLineChars="200"/>
        <w:rPr>
          <w:rFonts w:hint="default" w:eastAsia="方正仿宋简体"/>
          <w:sz w:val="32"/>
          <w:szCs w:val="32"/>
          <w:lang w:val="en-US" w:eastAsia="zh-CN"/>
        </w:rPr>
      </w:pPr>
      <w:r>
        <w:rPr>
          <w:rFonts w:hint="eastAsia" w:eastAsia="方正仿宋简体"/>
          <w:sz w:val="32"/>
          <w:szCs w:val="32"/>
          <w:lang w:val="en-US" w:eastAsia="zh-CN"/>
        </w:rPr>
        <w:t>在</w:t>
      </w:r>
      <w:r>
        <w:rPr>
          <w:rFonts w:hint="eastAsia" w:ascii="Times New Roman" w:hAnsi="Times New Roman" w:eastAsia="方正仿宋简体" w:cs="Times New Roman"/>
          <w:kern w:val="2"/>
          <w:sz w:val="32"/>
          <w:szCs w:val="32"/>
          <w:lang w:val="en-US" w:eastAsia="zh-CN" w:bidi="ar-SA"/>
        </w:rPr>
        <w:t>2022</w:t>
      </w:r>
      <w:r>
        <w:rPr>
          <w:rFonts w:hint="eastAsia" w:eastAsia="方正仿宋简体"/>
          <w:sz w:val="32"/>
          <w:szCs w:val="32"/>
          <w:lang w:val="en-US" w:eastAsia="zh-CN"/>
        </w:rPr>
        <w:t>年，计划对扶贫建设项目中各子项目的测绘费、勘察费、设计费、监理费、可研、水保、行洪论证等前期费用进行支付。</w:t>
      </w:r>
    </w:p>
    <w:p>
      <w:pPr>
        <w:spacing w:line="580" w:lineRule="exact"/>
        <w:ind w:firstLine="640" w:firstLineChars="200"/>
        <w:rPr>
          <w:rFonts w:eastAsia="方正黑体简体"/>
          <w:sz w:val="32"/>
          <w:szCs w:val="32"/>
        </w:rPr>
      </w:pPr>
      <w:r>
        <w:rPr>
          <w:rFonts w:hint="eastAsia" w:eastAsia="方正黑体简体"/>
          <w:sz w:val="32"/>
          <w:szCs w:val="32"/>
        </w:rPr>
        <w:t>二、绩效自评工作情况</w:t>
      </w:r>
    </w:p>
    <w:p>
      <w:pPr>
        <w:spacing w:line="580" w:lineRule="exact"/>
        <w:ind w:firstLine="643" w:firstLineChars="200"/>
        <w:rPr>
          <w:rFonts w:hint="eastAsia" w:eastAsia="方正楷体简体"/>
          <w:b/>
          <w:sz w:val="32"/>
          <w:szCs w:val="32"/>
        </w:rPr>
      </w:pPr>
      <w:r>
        <w:rPr>
          <w:rFonts w:hint="eastAsia" w:eastAsia="方正楷体简体"/>
          <w:b/>
          <w:sz w:val="32"/>
          <w:szCs w:val="32"/>
        </w:rPr>
        <w:t>（一）自评工作组织领导</w:t>
      </w:r>
    </w:p>
    <w:p>
      <w:pPr>
        <w:pStyle w:val="36"/>
        <w:numPr>
          <w:ilvl w:val="0"/>
          <w:numId w:val="0"/>
        </w:numPr>
        <w:ind w:leftChars="0" w:firstLine="640" w:firstLineChars="200"/>
        <w:rPr>
          <w:rFonts w:hint="eastAsia" w:eastAsia="仿宋_GB2312"/>
          <w:color w:val="000000"/>
          <w:kern w:val="0"/>
          <w:sz w:val="32"/>
          <w:szCs w:val="32"/>
          <w:lang w:val="en-US" w:eastAsia="zh-CN" w:bidi="ar"/>
        </w:rPr>
      </w:pPr>
      <w:r>
        <w:rPr>
          <w:rFonts w:hint="eastAsia" w:ascii="Times New Roman" w:hAnsi="Times New Roman" w:eastAsia="方正仿宋简体" w:cs="Times New Roman"/>
          <w:kern w:val="2"/>
          <w:sz w:val="32"/>
          <w:szCs w:val="32"/>
          <w:lang w:val="en-US" w:eastAsia="zh-CN" w:bidi="ar-SA"/>
        </w:rPr>
        <w:t>成立绩效评价工作小组：结合绩效评价的要求和项目建设的特点，组建乐至县国家农村产业融合发展示范园区建设项目资金绩效评价组，为项目开展提供组织基础。本着客观公正和有效原则，</w:t>
      </w:r>
      <w:r>
        <w:rPr>
          <w:rFonts w:hint="eastAsia" w:eastAsia="仿宋_GB2312"/>
          <w:color w:val="000000"/>
          <w:kern w:val="0"/>
          <w:sz w:val="32"/>
          <w:szCs w:val="32"/>
          <w:lang w:val="en-US" w:eastAsia="zh-CN" w:bidi="ar"/>
        </w:rPr>
        <w:t>评价小组人员由分管领导为组长</w:t>
      </w:r>
      <w:r>
        <w:rPr>
          <w:rFonts w:hint="default" w:eastAsia="仿宋_GB2312"/>
          <w:color w:val="000000"/>
          <w:kern w:val="0"/>
          <w:sz w:val="32"/>
          <w:szCs w:val="32"/>
          <w:lang w:eastAsia="zh-Hans" w:bidi="ar"/>
        </w:rPr>
        <w:t>、</w:t>
      </w:r>
      <w:r>
        <w:rPr>
          <w:rFonts w:hint="eastAsia" w:eastAsia="仿宋_GB2312"/>
          <w:color w:val="000000"/>
          <w:kern w:val="0"/>
          <w:sz w:val="32"/>
          <w:szCs w:val="32"/>
          <w:lang w:val="en-US" w:eastAsia="zh-CN" w:bidi="ar"/>
        </w:rPr>
        <w:t>各部室负责人为成</w:t>
      </w:r>
      <w:r>
        <w:rPr>
          <w:rFonts w:hint="eastAsia" w:eastAsia="仿宋_GB2312"/>
          <w:color w:val="000000"/>
          <w:kern w:val="0"/>
          <w:sz w:val="32"/>
          <w:szCs w:val="32"/>
          <w:lang w:val="en-US" w:eastAsia="zh-Hans" w:bidi="ar"/>
        </w:rPr>
        <w:t>员</w:t>
      </w:r>
      <w:r>
        <w:rPr>
          <w:rFonts w:hint="eastAsia" w:eastAsia="仿宋_GB2312"/>
          <w:color w:val="000000"/>
          <w:kern w:val="0"/>
          <w:sz w:val="32"/>
          <w:szCs w:val="32"/>
          <w:lang w:val="en-US" w:eastAsia="zh-CN" w:bidi="ar"/>
        </w:rPr>
        <w:t>组成，评价组按照设定的指标体系进行评价，并从各部室抽选人员进行打分，由综合办进行梳理并整改。</w:t>
      </w:r>
    </w:p>
    <w:p>
      <w:pPr>
        <w:pStyle w:val="4"/>
        <w:ind w:firstLine="640"/>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1.</w:t>
      </w:r>
      <w:r>
        <w:rPr>
          <w:rFonts w:hint="eastAsia" w:ascii="Times New Roman" w:hAnsi="Times New Roman"/>
          <w:b/>
          <w:bCs/>
          <w:lang w:val="en-US" w:eastAsia="zh-CN"/>
        </w:rPr>
        <w:t>项目绩效评价工作小组成员：</w:t>
      </w:r>
    </w:p>
    <w:p>
      <w:pPr>
        <w:pStyle w:val="36"/>
        <w:ind w:left="0" w:leftChars="0" w:firstLine="640" w:firstLineChars="200"/>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组  长：杨   宇   园区党组成员、副主任</w:t>
      </w:r>
    </w:p>
    <w:p>
      <w:pPr>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成  员：张   林   综合办主任</w:t>
      </w:r>
    </w:p>
    <w:p>
      <w:pPr>
        <w:pStyle w:val="36"/>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尹世财   产业发展部部长</w:t>
      </w:r>
    </w:p>
    <w:p>
      <w:pPr>
        <w:rPr>
          <w:rFonts w:hint="default" w:eastAsia="仿宋_GB2312"/>
          <w:color w:val="000000"/>
          <w:kern w:val="0"/>
          <w:sz w:val="32"/>
          <w:szCs w:val="32"/>
          <w:lang w:val="en-US" w:eastAsia="zh-CN" w:bidi="ar"/>
        </w:rPr>
      </w:pPr>
      <w:r>
        <w:rPr>
          <w:rFonts w:hint="eastAsia" w:eastAsia="仿宋_GB2312"/>
          <w:color w:val="000000"/>
          <w:kern w:val="0"/>
          <w:sz w:val="32"/>
          <w:szCs w:val="32"/>
          <w:lang w:val="en-US" w:eastAsia="zh-CN" w:bidi="ar"/>
        </w:rPr>
        <w:t xml:space="preserve">             邓祖金   项目管理部部长</w:t>
      </w:r>
    </w:p>
    <w:p>
      <w:pPr>
        <w:rPr>
          <w:rFonts w:hint="eastAsia" w:ascii="Times New Roman" w:hAnsi="Times New Roman" w:eastAsia="方正仿宋简体" w:cs="Times New Roman"/>
          <w:kern w:val="2"/>
          <w:sz w:val="32"/>
          <w:szCs w:val="32"/>
          <w:lang w:val="en-US" w:eastAsia="zh-CN" w:bidi="ar-SA"/>
        </w:rPr>
      </w:pPr>
      <w:r>
        <w:rPr>
          <w:rFonts w:hint="eastAsia" w:eastAsia="仿宋_GB2312"/>
          <w:color w:val="000000"/>
          <w:kern w:val="0"/>
          <w:sz w:val="32"/>
          <w:szCs w:val="32"/>
          <w:lang w:val="en-US" w:eastAsia="zh-CN" w:bidi="ar"/>
        </w:rPr>
        <w:t xml:space="preserve">             罗小林   农旅产品开发部部长        </w:t>
      </w:r>
    </w:p>
    <w:p>
      <w:pPr>
        <w:pStyle w:val="36"/>
        <w:rPr>
          <w:rFonts w:hint="default"/>
          <w:lang w:val="en-US" w:eastAsia="zh-CN"/>
        </w:rPr>
      </w:pPr>
      <w:r>
        <w:rPr>
          <w:rFonts w:hint="eastAsia" w:eastAsia="仿宋_GB2312"/>
          <w:color w:val="000000"/>
          <w:kern w:val="0"/>
          <w:sz w:val="32"/>
          <w:szCs w:val="32"/>
          <w:lang w:val="en-US" w:eastAsia="zh-CN" w:bidi="ar"/>
        </w:rPr>
        <w:t xml:space="preserve">         </w:t>
      </w:r>
    </w:p>
    <w:p>
      <w:pPr>
        <w:pStyle w:val="4"/>
        <w:ind w:firstLine="640"/>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2.工作职责</w:t>
      </w:r>
    </w:p>
    <w:p>
      <w:pPr>
        <w:pStyle w:val="4"/>
        <w:ind w:firstLine="640"/>
        <w:rPr>
          <w:rFonts w:hint="eastAsia" w:ascii="Times New Roman" w:hAnsi="Times New Roman"/>
          <w:lang w:val="en-US" w:eastAsia="zh-CN"/>
        </w:rPr>
      </w:pPr>
      <w:r>
        <w:rPr>
          <w:rFonts w:hint="eastAsia" w:ascii="Times New Roman" w:hAnsi="Times New Roman"/>
          <w:lang w:val="en-US" w:eastAsia="zh-CN"/>
        </w:rPr>
        <w:t>（1）组长职责：审批绩效自评</w:t>
      </w:r>
      <w:r>
        <w:rPr>
          <w:rFonts w:hint="eastAsia" w:ascii="Times New Roman" w:hAnsi="Times New Roman"/>
          <w:lang w:val="en-US" w:eastAsia="zh-Hans"/>
        </w:rPr>
        <w:t>报告</w:t>
      </w:r>
      <w:r>
        <w:rPr>
          <w:rFonts w:hint="eastAsia" w:ascii="Times New Roman" w:hAnsi="Times New Roman"/>
          <w:lang w:val="en-US" w:eastAsia="zh-CN"/>
        </w:rPr>
        <w:t>，监督、检查、核实绩效自评结果；</w:t>
      </w:r>
    </w:p>
    <w:p>
      <w:pPr>
        <w:pStyle w:val="4"/>
        <w:ind w:firstLine="640"/>
        <w:rPr>
          <w:rFonts w:hint="eastAsia" w:ascii="Times New Roman" w:hAnsi="Times New Roman"/>
          <w:lang w:val="en-US" w:eastAsia="zh-CN"/>
        </w:rPr>
      </w:pPr>
      <w:r>
        <w:rPr>
          <w:rFonts w:hint="eastAsia" w:ascii="Times New Roman" w:hAnsi="Times New Roman"/>
          <w:lang w:val="en-US" w:eastAsia="zh-CN"/>
        </w:rPr>
        <w:t>（2）小组成员职责：起草和修改绩效考评</w:t>
      </w:r>
      <w:r>
        <w:rPr>
          <w:rFonts w:hint="eastAsia" w:ascii="Times New Roman" w:hAnsi="Times New Roman"/>
          <w:lang w:val="en-US" w:eastAsia="zh-Hans"/>
        </w:rPr>
        <w:t>报告</w:t>
      </w:r>
      <w:r>
        <w:rPr>
          <w:rFonts w:hint="eastAsia" w:ascii="Times New Roman" w:hAnsi="Times New Roman"/>
          <w:lang w:val="en-US" w:eastAsia="zh-CN"/>
        </w:rPr>
        <w:t>报自评领导工作组会议讨论通过，实施执行绩效自评方案；牵头组织并实施年度绩效自评，根据组长指示，对考评结果进行复核，完成绩效自核工作组安排的其他工作。</w:t>
      </w:r>
    </w:p>
    <w:p>
      <w:pPr>
        <w:pStyle w:val="4"/>
        <w:ind w:firstLine="640"/>
        <w:rPr>
          <w:rFonts w:hint="eastAsia" w:ascii="Times New Roman" w:hAnsi="Times New Roman"/>
          <w:lang w:val="en-US" w:eastAsia="zh-CN"/>
        </w:rPr>
      </w:pPr>
      <w:r>
        <w:rPr>
          <w:rFonts w:hint="eastAsia" w:ascii="Times New Roman" w:hAnsi="Times New Roman"/>
          <w:lang w:val="en-US" w:eastAsia="zh-CN"/>
        </w:rPr>
        <w:t>按照县相关要求，考评工作组按照《乐至县财政支出绩效评价管理办法》相关管理规定，检查项目依据，项目经费开支情况，开展自评检查工作，对项目整体实施情况和质量进行评定，核实资金拨付情况等。</w:t>
      </w:r>
    </w:p>
    <w:p>
      <w:pPr>
        <w:numPr>
          <w:ilvl w:val="0"/>
          <w:numId w:val="9"/>
        </w:numPr>
        <w:spacing w:line="580" w:lineRule="exact"/>
        <w:ind w:firstLine="643" w:firstLineChars="200"/>
        <w:rPr>
          <w:rFonts w:hint="eastAsia" w:eastAsia="方正楷体简体"/>
          <w:b/>
          <w:sz w:val="32"/>
          <w:szCs w:val="32"/>
        </w:rPr>
      </w:pPr>
      <w:r>
        <w:rPr>
          <w:rFonts w:hint="eastAsia" w:eastAsia="方正楷体简体"/>
          <w:b/>
          <w:sz w:val="32"/>
          <w:szCs w:val="32"/>
        </w:rPr>
        <w:t>自评方式、方法、重点等</w:t>
      </w:r>
    </w:p>
    <w:p>
      <w:pPr>
        <w:pStyle w:val="4"/>
        <w:ind w:firstLine="640"/>
        <w:rPr>
          <w:rFonts w:hint="eastAsia" w:ascii="Times New Roman" w:hAnsi="Times New Roman"/>
          <w:lang w:val="en-US" w:eastAsia="zh-CN"/>
        </w:rPr>
      </w:pPr>
      <w:r>
        <w:rPr>
          <w:rFonts w:hint="eastAsia" w:ascii="Times New Roman" w:hAnsi="Times New Roman"/>
          <w:lang w:val="en-US" w:eastAsia="zh-CN"/>
        </w:rPr>
        <w:t>根据实际情况，我单位选用评价指标投入、产出、效果、项目管理过程情况等四个大项目9个细化项目。选用评价方法为</w:t>
      </w:r>
      <w:r>
        <w:rPr>
          <w:rFonts w:hint="eastAsia" w:ascii="Times New Roman" w:hAnsi="Times New Roman"/>
          <w:color w:val="auto"/>
          <w:lang w:val="en-US" w:eastAsia="zh-CN"/>
        </w:rPr>
        <w:t>比较法</w:t>
      </w:r>
      <w:r>
        <w:rPr>
          <w:rFonts w:hint="eastAsia" w:ascii="Times New Roman" w:hAnsi="Times New Roman"/>
          <w:lang w:val="en-US" w:eastAsia="zh-CN"/>
        </w:rPr>
        <w:t>，经收集资料、核实情况、数据比对，比较原先设定和实际完成的工作任务和目标、比较原先经费预算安排和实际的各项经费开支</w:t>
      </w:r>
      <w:r>
        <w:rPr>
          <w:rFonts w:hint="default" w:ascii="Times New Roman" w:hAnsi="Times New Roman"/>
          <w:lang w:eastAsia="zh-CN"/>
        </w:rPr>
        <w:t>，</w:t>
      </w:r>
      <w:r>
        <w:rPr>
          <w:rFonts w:hint="eastAsia" w:ascii="Times New Roman" w:hAnsi="Times New Roman"/>
          <w:lang w:val="en-US" w:eastAsia="zh-Hans"/>
        </w:rPr>
        <w:t>完成</w:t>
      </w:r>
      <w:r>
        <w:rPr>
          <w:rFonts w:hint="eastAsia" w:ascii="Times New Roman" w:hAnsi="Times New Roman" w:cs="Times New Roman"/>
          <w:lang w:val="en-US" w:eastAsia="zh-CN"/>
        </w:rPr>
        <w:t>扶贫建设项目</w:t>
      </w:r>
      <w:r>
        <w:rPr>
          <w:rFonts w:hint="eastAsia" w:ascii="Times New Roman" w:hAnsi="Times New Roman" w:cs="Times New Roman"/>
          <w:lang w:val="en-US" w:eastAsia="zh-Hans"/>
        </w:rPr>
        <w:t>自</w:t>
      </w:r>
      <w:r>
        <w:rPr>
          <w:rFonts w:hint="eastAsia" w:ascii="Times New Roman" w:hAnsi="Times New Roman"/>
          <w:lang w:val="en-US" w:eastAsia="zh-Hans"/>
        </w:rPr>
        <w:t>评报告</w:t>
      </w:r>
      <w:r>
        <w:rPr>
          <w:rFonts w:hint="eastAsia" w:ascii="Times New Roman" w:hAnsi="Times New Roman"/>
          <w:lang w:val="en-US" w:eastAsia="zh-CN"/>
        </w:rPr>
        <w:t>。</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spacing w:line="580" w:lineRule="exact"/>
        <w:ind w:firstLine="640" w:firstLineChars="200"/>
        <w:rPr>
          <w:rFonts w:hint="eastAsia" w:eastAsia="方正仿宋简体"/>
          <w:sz w:val="32"/>
          <w:szCs w:val="32"/>
        </w:rPr>
      </w:pPr>
      <w:r>
        <w:rPr>
          <w:rFonts w:hint="eastAsia" w:eastAsia="方正仿宋简体"/>
          <w:sz w:val="32"/>
          <w:szCs w:val="32"/>
        </w:rPr>
        <w:t>评价工作小组依据《</w:t>
      </w:r>
      <w:r>
        <w:rPr>
          <w:rFonts w:hint="eastAsia" w:eastAsia="方正仿宋简体"/>
          <w:sz w:val="32"/>
          <w:szCs w:val="32"/>
          <w:lang w:val="en-US" w:eastAsia="zh-CN"/>
        </w:rPr>
        <w:t>乐至</w:t>
      </w:r>
      <w:r>
        <w:rPr>
          <w:rFonts w:hint="eastAsia" w:eastAsia="方正仿宋简体"/>
          <w:sz w:val="32"/>
          <w:szCs w:val="32"/>
        </w:rPr>
        <w:t>县财政支出绩效评价管理办法》规定，通过资料收集分析、指标体系搭建等方式，对</w:t>
      </w:r>
      <w:r>
        <w:rPr>
          <w:rFonts w:hint="eastAsia" w:eastAsia="方正仿宋简体"/>
          <w:sz w:val="32"/>
          <w:szCs w:val="32"/>
          <w:lang w:val="en-US" w:eastAsia="zh-CN"/>
        </w:rPr>
        <w:t>工作经费</w:t>
      </w:r>
      <w:r>
        <w:rPr>
          <w:rFonts w:hint="eastAsia" w:eastAsia="方正仿宋简体"/>
          <w:sz w:val="32"/>
          <w:szCs w:val="32"/>
          <w:lang w:val="en-US" w:eastAsia="zh-Hans"/>
        </w:rPr>
        <w:t>项目</w:t>
      </w:r>
      <w:r>
        <w:rPr>
          <w:rFonts w:hint="eastAsia" w:eastAsia="方正仿宋简体"/>
          <w:sz w:val="32"/>
          <w:szCs w:val="32"/>
        </w:rPr>
        <w:t>进行综合绩效评分，项目绩效指标分值总分为100分，其中投入25分、过程25分、产出20分、效果30分。经对本项目评价指标评分，项目绩效评分结果：总得分</w:t>
      </w:r>
      <w:r>
        <w:rPr>
          <w:rFonts w:hint="eastAsia" w:eastAsia="方正仿宋简体"/>
          <w:sz w:val="32"/>
          <w:szCs w:val="32"/>
          <w:lang w:val="en-US" w:eastAsia="zh-CN"/>
        </w:rPr>
        <w:t>97.45</w:t>
      </w:r>
      <w:r>
        <w:rPr>
          <w:rFonts w:hint="eastAsia" w:eastAsia="方正仿宋简体"/>
          <w:sz w:val="32"/>
          <w:szCs w:val="32"/>
        </w:rPr>
        <w:t>分，绩效评价等级为“优秀”，达到预期绩效目标。</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（一）投入</w:t>
      </w:r>
    </w:p>
    <w:p>
      <w:pPr>
        <w:pStyle w:val="4"/>
        <w:ind w:firstLine="640"/>
        <w:rPr>
          <w:rFonts w:hint="default"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.项目立项</w:t>
      </w:r>
    </w:p>
    <w:p>
      <w:pPr>
        <w:pStyle w:val="4"/>
        <w:ind w:firstLine="640"/>
        <w:rPr>
          <w:rFonts w:hint="default"/>
          <w:color w:val="333333"/>
          <w:shd w:val="clear" w:color="auto" w:fill="FFFFFF"/>
          <w:lang w:eastAsia="zh-Hans"/>
        </w:rPr>
      </w:pPr>
      <w:r>
        <w:rPr>
          <w:rFonts w:hint="eastAsia"/>
          <w:b/>
          <w:bCs/>
          <w:color w:val="333333"/>
          <w:shd w:val="clear" w:color="auto" w:fill="FFFFFF"/>
          <w:lang w:val="en-US" w:eastAsia="zh-Hans"/>
        </w:rPr>
        <w:t>立项规范性</w:t>
      </w:r>
      <w:r>
        <w:rPr>
          <w:rFonts w:hint="default"/>
          <w:b/>
          <w:bCs/>
          <w:color w:val="333333"/>
          <w:shd w:val="clear" w:color="auto" w:fill="FFFFFF"/>
          <w:lang w:eastAsia="zh-Hans"/>
        </w:rPr>
        <w:t>：</w:t>
      </w:r>
      <w:r>
        <w:rPr>
          <w:rFonts w:hint="default"/>
          <w:color w:val="333333"/>
          <w:shd w:val="clear" w:color="auto" w:fill="FFFFFF"/>
          <w:lang w:eastAsia="zh-Hans"/>
        </w:rPr>
        <w:t>项目按照</w:t>
      </w:r>
      <w:r>
        <w:rPr>
          <w:rFonts w:hint="default"/>
          <w:color w:val="auto"/>
          <w:shd w:val="clear" w:color="auto" w:fill="FFFFFF"/>
          <w:lang w:eastAsia="zh-Hans"/>
        </w:rPr>
        <w:t>程序</w:t>
      </w:r>
      <w:r>
        <w:rPr>
          <w:rFonts w:hint="default"/>
          <w:color w:val="333333"/>
          <w:shd w:val="clear" w:color="auto" w:fill="FFFFFF"/>
          <w:lang w:eastAsia="zh-Hans"/>
        </w:rPr>
        <w:t>申请设立；</w:t>
      </w:r>
      <w:r>
        <w:rPr>
          <w:rFonts w:hint="eastAsia"/>
          <w:color w:val="333333"/>
          <w:shd w:val="clear" w:color="auto" w:fill="FFFFFF"/>
          <w:lang w:val="en-US" w:eastAsia="zh-CN"/>
        </w:rPr>
        <w:t>乐至县财政局《关于下达2019年省预算内基本建设资金支出的通知》乐财投</w:t>
      </w: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14:textFill>
            <w14:solidFill>
              <w14:schemeClr w14:val="tx1"/>
            </w14:solidFill>
          </w14:textFill>
        </w:rPr>
        <w:t>20</w:t>
      </w:r>
      <w:r>
        <w:rPr>
          <w:rFonts w:hint="eastAsia" w:ascii="Times New Roman" w:hAnsi="Times New Roman"/>
          <w:color w:val="000000" w:themeColor="text1"/>
          <w:lang w:val="en-US" w:eastAsia="zh-CN"/>
          <w14:textFill>
            <w14:solidFill>
              <w14:schemeClr w14:val="tx1"/>
            </w14:solidFill>
          </w14:textFill>
        </w:rPr>
        <w:t>20</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1号文件</w:t>
      </w:r>
      <w:r>
        <w:rPr>
          <w:rFonts w:hint="default"/>
          <w:color w:val="333333"/>
          <w:shd w:val="clear" w:color="auto" w:fill="FFFFFF"/>
          <w:lang w:eastAsia="zh-Hans"/>
        </w:rPr>
        <w:t>，作为项目立项支撑依据，符合相关要求；</w:t>
      </w:r>
      <w:r>
        <w:rPr>
          <w:rFonts w:hint="default"/>
          <w:color w:val="auto"/>
          <w:highlight w:val="none"/>
          <w:shd w:val="clear" w:color="auto" w:fill="FFFFFF"/>
          <w:lang w:eastAsia="zh-Hans"/>
        </w:rPr>
        <w:t>项目事前经过</w:t>
      </w:r>
      <w:r>
        <w:rPr>
          <w:rFonts w:hint="eastAsia"/>
          <w:color w:val="auto"/>
          <w:highlight w:val="none"/>
          <w:shd w:val="clear" w:color="auto" w:fill="FFFFFF"/>
          <w:lang w:val="en-US" w:eastAsia="zh-CN"/>
        </w:rPr>
        <w:t>领导</w:t>
      </w:r>
      <w:r>
        <w:rPr>
          <w:rFonts w:hint="default"/>
          <w:color w:val="auto"/>
          <w:highlight w:val="none"/>
          <w:shd w:val="clear" w:color="auto" w:fill="FFFFFF"/>
          <w:lang w:eastAsia="zh-Hans"/>
        </w:rPr>
        <w:t>集体决策通过</w:t>
      </w:r>
      <w:r>
        <w:rPr>
          <w:rFonts w:hint="default"/>
          <w:color w:val="333333"/>
          <w:shd w:val="clear" w:color="auto" w:fill="FFFFFF"/>
          <w:lang w:eastAsia="zh-Hans"/>
        </w:rPr>
        <w:t>，由</w:t>
      </w:r>
      <w:r>
        <w:rPr>
          <w:rFonts w:hint="eastAsia"/>
          <w:color w:val="333333"/>
          <w:shd w:val="clear" w:color="auto" w:fill="FFFFFF"/>
          <w:lang w:val="en-US" w:eastAsia="zh-CN"/>
        </w:rPr>
        <w:t>新城投资有限公司</w:t>
      </w:r>
      <w:r>
        <w:rPr>
          <w:rFonts w:hint="default"/>
          <w:color w:val="333333"/>
          <w:shd w:val="clear" w:color="auto" w:fill="FFFFFF"/>
          <w:lang w:eastAsia="zh-Hans"/>
        </w:rPr>
        <w:t>负责实施，</w:t>
      </w:r>
      <w:r>
        <w:rPr>
          <w:rFonts w:hint="eastAsia"/>
          <w:color w:val="333333"/>
          <w:shd w:val="clear" w:color="auto" w:fill="FFFFFF"/>
          <w:lang w:val="en-US" w:eastAsia="zh-Hans"/>
        </w:rPr>
        <w:t>项目立项规范</w:t>
      </w:r>
      <w:r>
        <w:rPr>
          <w:rFonts w:hint="default"/>
          <w:color w:val="333333"/>
          <w:shd w:val="clear" w:color="auto" w:fill="FFFFFF"/>
          <w:lang w:eastAsia="zh-Hans"/>
        </w:rPr>
        <w:t>。</w:t>
      </w:r>
    </w:p>
    <w:p>
      <w:pPr>
        <w:pStyle w:val="4"/>
        <w:ind w:firstLine="640"/>
        <w:rPr>
          <w:rFonts w:hint="default" w:eastAsia="仿宋"/>
          <w:color w:val="333333"/>
          <w:shd w:val="clear" w:color="auto" w:fill="FFFFFF"/>
          <w:lang w:val="en-US" w:eastAsia="zh-CN"/>
        </w:rPr>
      </w:pPr>
      <w:r>
        <w:rPr>
          <w:rFonts w:hint="default"/>
          <w:b/>
          <w:bCs/>
          <w:color w:val="333333"/>
          <w:shd w:val="clear" w:color="auto" w:fill="FFFFFF"/>
          <w:lang w:eastAsia="zh-Hans"/>
        </w:rPr>
        <w:t>绩效目标合理性：</w:t>
      </w:r>
      <w:r>
        <w:rPr>
          <w:rFonts w:hint="eastAsia"/>
          <w:color w:val="333333"/>
          <w:shd w:val="clear" w:color="auto" w:fill="FFFFFF"/>
          <w:lang w:val="en-US" w:eastAsia="zh-CN"/>
        </w:rPr>
        <w:t>项目所有绩效目标设置均是根据当年度项目开展情况进行设立，是完全合理可行。</w:t>
      </w:r>
    </w:p>
    <w:p>
      <w:pPr>
        <w:pStyle w:val="4"/>
        <w:ind w:firstLine="640"/>
        <w:rPr>
          <w:rFonts w:hint="eastAsia" w:eastAsia="仿宋"/>
          <w:color w:val="333333"/>
          <w:shd w:val="clear" w:color="auto" w:fill="FFFFFF"/>
          <w:lang w:eastAsia="zh-CN"/>
        </w:rPr>
      </w:pPr>
      <w:r>
        <w:rPr>
          <w:rFonts w:hint="default"/>
          <w:b/>
          <w:bCs/>
          <w:color w:val="333333"/>
          <w:shd w:val="clear" w:color="auto" w:fill="FFFFFF"/>
          <w:lang w:eastAsia="zh-Hans"/>
        </w:rPr>
        <w:t>绩效指标明确性：</w:t>
      </w:r>
      <w:r>
        <w:rPr>
          <w:rFonts w:hint="default"/>
          <w:color w:val="333333"/>
          <w:shd w:val="clear" w:color="auto" w:fill="FFFFFF"/>
          <w:lang w:eastAsia="zh-Hans"/>
        </w:rPr>
        <w:t>本项目将绩效目标细化</w:t>
      </w:r>
      <w:r>
        <w:rPr>
          <w:rFonts w:hint="default"/>
          <w:color w:val="auto"/>
          <w:shd w:val="clear" w:color="auto" w:fill="FFFFFF"/>
          <w:lang w:eastAsia="zh-Hans"/>
        </w:rPr>
        <w:t>分解为</w:t>
      </w:r>
      <w:r>
        <w:rPr>
          <w:rFonts w:hint="eastAsia"/>
          <w:color w:val="auto"/>
          <w:shd w:val="clear" w:color="auto" w:fill="FFFFFF"/>
          <w:lang w:val="en-US" w:eastAsia="zh-Hans"/>
        </w:rPr>
        <w:t>数量指标</w:t>
      </w:r>
      <w:r>
        <w:rPr>
          <w:rFonts w:hint="eastAsia"/>
          <w:color w:val="auto"/>
          <w:shd w:val="clear" w:color="auto" w:fill="FFFFFF"/>
          <w:lang w:val="en-US" w:eastAsia="zh-CN"/>
        </w:rPr>
        <w:t>1个</w:t>
      </w:r>
      <w:r>
        <w:rPr>
          <w:rFonts w:hint="default"/>
          <w:color w:val="auto"/>
          <w:shd w:val="clear" w:color="auto" w:fill="FFFFFF"/>
          <w:lang w:eastAsia="zh-Hans"/>
        </w:rPr>
        <w:t>、</w:t>
      </w:r>
      <w:r>
        <w:rPr>
          <w:rFonts w:hint="eastAsia"/>
          <w:color w:val="auto"/>
          <w:shd w:val="clear" w:color="auto" w:fill="FFFFFF"/>
          <w:lang w:val="en-US" w:eastAsia="zh-Hans"/>
        </w:rPr>
        <w:t>质量指标</w:t>
      </w:r>
      <w:r>
        <w:rPr>
          <w:rFonts w:hint="eastAsia"/>
          <w:color w:val="auto"/>
          <w:shd w:val="clear" w:color="auto" w:fill="FFFFFF"/>
          <w:lang w:val="en-US" w:eastAsia="zh-CN"/>
        </w:rPr>
        <w:t>1个</w:t>
      </w:r>
      <w:r>
        <w:rPr>
          <w:rFonts w:hint="default"/>
          <w:color w:val="auto"/>
          <w:shd w:val="clear" w:color="auto" w:fill="FFFFFF"/>
          <w:lang w:eastAsia="zh-Hans"/>
        </w:rPr>
        <w:t>、</w:t>
      </w:r>
      <w:r>
        <w:rPr>
          <w:rFonts w:hint="eastAsia"/>
          <w:color w:val="auto"/>
          <w:shd w:val="clear" w:color="auto" w:fill="FFFFFF"/>
          <w:lang w:val="en-US" w:eastAsia="zh-Hans"/>
        </w:rPr>
        <w:t>时效指标</w:t>
      </w:r>
      <w:r>
        <w:rPr>
          <w:rFonts w:hint="eastAsia"/>
          <w:color w:val="auto"/>
          <w:shd w:val="clear" w:color="auto" w:fill="FFFFFF"/>
          <w:lang w:val="en-US" w:eastAsia="zh-CN"/>
        </w:rPr>
        <w:t>1个</w:t>
      </w:r>
      <w:r>
        <w:rPr>
          <w:rFonts w:hint="eastAsia"/>
          <w:color w:val="auto"/>
          <w:shd w:val="clear" w:color="auto" w:fill="FFFFFF"/>
          <w:lang w:val="en-US" w:eastAsia="zh-Hans"/>
        </w:rPr>
        <w:t>等</w:t>
      </w:r>
      <w:r>
        <w:rPr>
          <w:rFonts w:hint="default"/>
          <w:color w:val="auto"/>
          <w:shd w:val="clear" w:color="auto" w:fill="FFFFFF"/>
          <w:lang w:eastAsia="zh-Hans"/>
        </w:rPr>
        <w:t>具体的绩效指标（</w:t>
      </w:r>
      <w:r>
        <w:rPr>
          <w:rFonts w:hint="eastAsia"/>
          <w:color w:val="auto"/>
          <w:shd w:val="clear" w:color="auto" w:fill="FFFFFF"/>
          <w:lang w:val="en-US" w:eastAsia="zh-Hans"/>
        </w:rPr>
        <w:t>产出指标</w:t>
      </w:r>
      <w:r>
        <w:rPr>
          <w:rFonts w:hint="default"/>
          <w:color w:val="auto"/>
          <w:shd w:val="clear" w:color="auto" w:fill="FFFFFF"/>
          <w:lang w:eastAsia="zh-Hans"/>
        </w:rPr>
        <w:t>）</w:t>
      </w:r>
      <w:r>
        <w:rPr>
          <w:rFonts w:hint="default"/>
          <w:color w:val="333333"/>
          <w:shd w:val="clear" w:color="auto" w:fill="FFFFFF"/>
          <w:lang w:eastAsia="zh-Hans"/>
        </w:rPr>
        <w:t>，且均通过清晰、可衡量的指标值予以体现（</w:t>
      </w:r>
      <w:r>
        <w:rPr>
          <w:rFonts w:hint="eastAsia"/>
          <w:color w:val="333333"/>
          <w:shd w:val="clear" w:color="auto" w:fill="FFFFFF"/>
          <w:lang w:val="en-US" w:eastAsia="zh-Hans"/>
        </w:rPr>
        <w:t>可详见附件项目支出绩效目标完成情况表</w:t>
      </w:r>
      <w:r>
        <w:rPr>
          <w:rFonts w:hint="default"/>
          <w:color w:val="333333"/>
          <w:shd w:val="clear" w:color="auto" w:fill="FFFFFF"/>
          <w:lang w:eastAsia="zh-Hans"/>
        </w:rPr>
        <w:t>）</w:t>
      </w:r>
      <w:r>
        <w:rPr>
          <w:rFonts w:hint="eastAsia"/>
          <w:color w:val="333333"/>
          <w:shd w:val="clear" w:color="auto" w:fill="FFFFFF"/>
          <w:lang w:eastAsia="zh-CN"/>
        </w:rPr>
        <w:t>。</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.资金落实</w:t>
      </w:r>
    </w:p>
    <w:p>
      <w:pPr>
        <w:pStyle w:val="4"/>
        <w:numPr>
          <w:ilvl w:val="0"/>
          <w:numId w:val="0"/>
        </w:numPr>
        <w:ind w:firstLine="640"/>
        <w:rPr>
          <w:rFonts w:hint="default" w:ascii="Times New Roman Regular" w:hAnsi="Times New Roman Regular" w:cs="Times New Roman Regular"/>
          <w:b w:val="0"/>
          <w:bCs w:val="0"/>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资金</w:t>
      </w:r>
      <w:r>
        <w:rPr>
          <w:rFonts w:hint="eastAsia" w:ascii="Times New Roman Regular" w:hAnsi="Times New Roman Regular" w:cs="Times New Roman Regular"/>
          <w:b/>
          <w:bCs/>
          <w:color w:val="333333"/>
          <w:shd w:val="clear" w:color="auto" w:fill="FFFFFF"/>
          <w:lang w:val="en-US" w:eastAsia="zh-Hans"/>
        </w:rPr>
        <w:t>到位率</w:t>
      </w:r>
      <w:r>
        <w:rPr>
          <w:rFonts w:hint="default" w:ascii="Times New Roman Regular" w:hAnsi="Times New Roman Regular" w:cs="Times New Roman Regular"/>
          <w:b/>
          <w:bCs/>
          <w:color w:val="333333"/>
          <w:shd w:val="clear" w:color="auto" w:fill="FFFFFF"/>
          <w:lang w:eastAsia="zh-Hans"/>
        </w:rPr>
        <w:t>：</w:t>
      </w:r>
      <w:r>
        <w:rPr>
          <w:rFonts w:hint="eastAsia" w:ascii="Times New Roman Regular" w:hAnsi="Times New Roman Regular" w:cs="Times New Roman Regular"/>
          <w:b w:val="0"/>
          <w:bCs w:val="0"/>
          <w:color w:val="333333"/>
          <w:shd w:val="clear" w:color="auto" w:fill="FFFFFF"/>
          <w:lang w:val="en-US" w:eastAsia="zh-CN"/>
        </w:rPr>
        <w:t>四川乐至国家林业科技示范园区扶贫建设项目的农村产业融合发展示范园2019年基础设施建设项目获得的省内预算内基本建设投资总额是1000万元，2022年</w:t>
      </w:r>
      <w:r>
        <w:rPr>
          <w:rFonts w:hint="default" w:ascii="Times New Roman Regular" w:hAnsi="Times New Roman Regular" w:cs="Times New Roman Regular"/>
          <w:b w:val="0"/>
          <w:bCs w:val="0"/>
          <w:color w:val="333333"/>
          <w:shd w:val="clear" w:color="auto" w:fill="FFFFFF"/>
          <w:lang w:eastAsia="zh-Hans"/>
        </w:rPr>
        <w:t>计划投入资金</w:t>
      </w:r>
      <w:r>
        <w:rPr>
          <w:rFonts w:hint="eastAsia" w:ascii="Times New Roman Regular" w:hAnsi="Times New Roman Regular" w:cs="Times New Roman Regular"/>
          <w:b w:val="0"/>
          <w:bCs w:val="0"/>
          <w:color w:val="333333"/>
          <w:shd w:val="clear" w:color="auto" w:fill="FFFFFF"/>
          <w:lang w:val="en-US" w:eastAsia="zh-CN"/>
        </w:rPr>
        <w:t>400</w:t>
      </w:r>
      <w:r>
        <w:rPr>
          <w:rFonts w:hint="default" w:ascii="Times New Roman Regular" w:hAnsi="Times New Roman Regular" w:cs="Times New Roman Regular"/>
          <w:b w:val="0"/>
          <w:bCs w:val="0"/>
          <w:color w:val="333333"/>
          <w:shd w:val="clear" w:color="auto" w:fill="FFFFFF"/>
          <w:lang w:eastAsia="zh-Hans"/>
        </w:rPr>
        <w:t>万元，（其中：本级财政资金</w:t>
      </w:r>
      <w:r>
        <w:rPr>
          <w:rFonts w:hint="eastAsia" w:ascii="Times New Roman Regular" w:hAnsi="Times New Roman Regular" w:cs="Times New Roman Regular"/>
          <w:b w:val="0"/>
          <w:bCs w:val="0"/>
          <w:color w:val="333333"/>
          <w:shd w:val="clear" w:color="auto" w:fill="FFFFFF"/>
          <w:lang w:val="en-US" w:eastAsia="zh-CN"/>
        </w:rPr>
        <w:t>0</w:t>
      </w:r>
      <w:r>
        <w:rPr>
          <w:rFonts w:hint="default" w:ascii="Times New Roman Regular" w:hAnsi="Times New Roman Regular" w:cs="Times New Roman Regular"/>
          <w:b w:val="0"/>
          <w:bCs w:val="0"/>
          <w:color w:val="333333"/>
          <w:shd w:val="clear" w:color="auto" w:fill="FFFFFF"/>
          <w:lang w:eastAsia="zh-Hans"/>
        </w:rPr>
        <w:t>万元，省级财政资金</w:t>
      </w:r>
      <w:r>
        <w:rPr>
          <w:rFonts w:hint="eastAsia" w:ascii="Times New Roman Regular" w:hAnsi="Times New Roman Regular" w:cs="Times New Roman Regular"/>
          <w:b w:val="0"/>
          <w:bCs w:val="0"/>
          <w:color w:val="333333"/>
          <w:shd w:val="clear" w:color="auto" w:fill="FFFFFF"/>
          <w:lang w:val="en-US" w:eastAsia="zh-CN"/>
        </w:rPr>
        <w:t>400</w:t>
      </w:r>
      <w:r>
        <w:rPr>
          <w:rFonts w:hint="default" w:ascii="Times New Roman Regular" w:hAnsi="Times New Roman Regular" w:cs="Times New Roman Regular"/>
          <w:b w:val="0"/>
          <w:bCs w:val="0"/>
          <w:color w:val="333333"/>
          <w:shd w:val="clear" w:color="auto" w:fill="FFFFFF"/>
          <w:lang w:eastAsia="zh-Hans"/>
        </w:rPr>
        <w:t>万元，专项债资金</w:t>
      </w:r>
      <w:r>
        <w:rPr>
          <w:rFonts w:hint="eastAsia" w:ascii="Times New Roman Regular" w:hAnsi="Times New Roman Regular" w:cs="Times New Roman Regular"/>
          <w:b w:val="0"/>
          <w:bCs w:val="0"/>
          <w:color w:val="333333"/>
          <w:shd w:val="clear" w:color="auto" w:fill="FFFFFF"/>
          <w:lang w:val="en-US" w:eastAsia="zh-CN"/>
        </w:rPr>
        <w:t>0</w:t>
      </w:r>
      <w:r>
        <w:rPr>
          <w:rFonts w:hint="default" w:ascii="Times New Roman Regular" w:hAnsi="Times New Roman Regular" w:cs="Times New Roman Regular"/>
          <w:b w:val="0"/>
          <w:bCs w:val="0"/>
          <w:color w:val="333333"/>
          <w:shd w:val="clear" w:color="auto" w:fill="FFFFFF"/>
          <w:lang w:eastAsia="zh-Hans"/>
        </w:rPr>
        <w:t>万元等），截至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年12月31日，本项目</w:t>
      </w:r>
      <w:r>
        <w:rPr>
          <w:rFonts w:hint="eastAsia" w:ascii="Times New Roman Regular" w:hAnsi="Times New Roman Regular" w:cs="Times New Roman Regular"/>
          <w:b w:val="0"/>
          <w:bCs w:val="0"/>
          <w:color w:val="333333"/>
          <w:shd w:val="clear" w:color="auto" w:fill="FFFFFF"/>
          <w:lang w:val="en-US" w:eastAsia="zh-CN"/>
        </w:rPr>
        <w:t>当年</w:t>
      </w:r>
      <w:r>
        <w:rPr>
          <w:rFonts w:hint="default" w:ascii="Times New Roman Regular" w:hAnsi="Times New Roman Regular" w:cs="Times New Roman Regular"/>
          <w:b w:val="0"/>
          <w:bCs w:val="0"/>
          <w:color w:val="333333"/>
          <w:shd w:val="clear" w:color="auto" w:fill="FFFFFF"/>
          <w:lang w:eastAsia="zh-Hans"/>
        </w:rPr>
        <w:t>实际投入资金</w:t>
      </w:r>
      <w:r>
        <w:rPr>
          <w:rFonts w:hint="eastAsia" w:ascii="Times New Roman Regular" w:hAnsi="Times New Roman Regular" w:cs="Times New Roman Regular"/>
          <w:b w:val="0"/>
          <w:bCs w:val="0"/>
          <w:color w:val="333333"/>
          <w:shd w:val="clear" w:color="auto" w:fill="FFFFFF"/>
          <w:lang w:val="en-US" w:eastAsia="zh-CN"/>
        </w:rPr>
        <w:t>400</w:t>
      </w:r>
      <w:r>
        <w:rPr>
          <w:rFonts w:hint="default" w:ascii="Times New Roman Regular" w:hAnsi="Times New Roman Regular" w:cs="Times New Roman Regular"/>
          <w:b w:val="0"/>
          <w:bCs w:val="0"/>
          <w:color w:val="333333"/>
          <w:shd w:val="clear" w:color="auto" w:fill="FFFFFF"/>
          <w:lang w:eastAsia="zh-Hans"/>
        </w:rPr>
        <w:t>万元</w:t>
      </w:r>
      <w:r>
        <w:rPr>
          <w:rFonts w:hint="eastAsia" w:ascii="Times New Roman Regular" w:hAnsi="Times New Roman Regular" w:cs="Times New Roman Regular"/>
          <w:b w:val="0"/>
          <w:bCs w:val="0"/>
          <w:color w:val="333333"/>
          <w:shd w:val="clear" w:color="auto" w:fill="FFFFFF"/>
          <w:lang w:val="en-US" w:eastAsia="zh-CN"/>
        </w:rPr>
        <w:t>,</w:t>
      </w:r>
      <w:r>
        <w:rPr>
          <w:rFonts w:hint="default" w:ascii="Times New Roman Regular" w:hAnsi="Times New Roman Regular" w:cs="Times New Roman Regular"/>
          <w:b w:val="0"/>
          <w:bCs w:val="0"/>
          <w:color w:val="333333"/>
          <w:shd w:val="clear" w:color="auto" w:fill="FFFFFF"/>
          <w:lang w:eastAsia="zh-Hans"/>
        </w:rPr>
        <w:t>资金到位率</w:t>
      </w:r>
      <w:r>
        <w:rPr>
          <w:rFonts w:hint="eastAsia" w:ascii="Times New Roman Regular" w:hAnsi="Times New Roman Regular" w:cs="Times New Roman Regular"/>
          <w:b w:val="0"/>
          <w:bCs w:val="0"/>
          <w:color w:val="333333"/>
          <w:shd w:val="clear" w:color="auto" w:fill="FFFFFF"/>
          <w:lang w:val="en-US" w:eastAsia="zh-CN"/>
        </w:rPr>
        <w:t>100</w:t>
      </w:r>
      <w:r>
        <w:rPr>
          <w:rFonts w:hint="default" w:ascii="Times New Roman Regular" w:hAnsi="Times New Roman Regular" w:cs="Times New Roman Regular"/>
          <w:b w:val="0"/>
          <w:bCs w:val="0"/>
          <w:color w:val="333333"/>
          <w:shd w:val="clear" w:color="auto" w:fill="FFFFFF"/>
          <w:lang w:eastAsia="zh-Hans"/>
        </w:rPr>
        <w:t>%。</w:t>
      </w:r>
    </w:p>
    <w:p>
      <w:pPr>
        <w:pStyle w:val="4"/>
        <w:numPr>
          <w:ilvl w:val="0"/>
          <w:numId w:val="0"/>
        </w:numPr>
        <w:ind w:firstLine="640"/>
        <w:rPr>
          <w:rFonts w:hint="default" w:ascii="Times New Roman Regular" w:hAnsi="Times New Roman Regular" w:cs="Times New Roman Regular"/>
          <w:b/>
          <w:bCs/>
          <w:color w:val="333333"/>
          <w:shd w:val="clear" w:color="auto" w:fill="FFFFFF"/>
          <w:lang w:eastAsia="zh-Hans"/>
        </w:rPr>
      </w:pPr>
      <w:r>
        <w:rPr>
          <w:rFonts w:hint="eastAsia" w:ascii="Times New Roman Regular" w:hAnsi="Times New Roman Regular" w:cs="Times New Roman Regular"/>
          <w:b/>
          <w:bCs/>
          <w:color w:val="333333"/>
          <w:shd w:val="clear" w:color="auto" w:fill="FFFFFF"/>
          <w:lang w:val="en-US" w:eastAsia="zh-Hans"/>
        </w:rPr>
        <w:t>资金到位及时率</w:t>
      </w:r>
      <w:r>
        <w:rPr>
          <w:rFonts w:hint="default" w:ascii="Times New Roman Regular" w:hAnsi="Times New Roman Regular" w:cs="Times New Roman Regular"/>
          <w:b/>
          <w:bCs/>
          <w:color w:val="333333"/>
          <w:shd w:val="clear" w:color="auto" w:fill="FFFFFF"/>
          <w:lang w:eastAsia="zh-Hans"/>
        </w:rPr>
        <w:t>：</w:t>
      </w:r>
      <w:r>
        <w:rPr>
          <w:rFonts w:hint="default" w:ascii="Times New Roman Regular" w:hAnsi="Times New Roman Regular" w:cs="Times New Roman Regular"/>
          <w:b w:val="0"/>
          <w:bCs w:val="0"/>
          <w:color w:val="333333"/>
          <w:shd w:val="clear" w:color="auto" w:fill="FFFFFF"/>
          <w:lang w:eastAsia="zh-Hans"/>
        </w:rPr>
        <w:t>根据项目合同或项目进度要求，截至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w:t>
      </w:r>
      <w:r>
        <w:rPr>
          <w:rFonts w:hint="eastAsia" w:ascii="Times New Roman Regular" w:hAnsi="Times New Roman Regular" w:cs="Times New Roman Regular"/>
          <w:b w:val="0"/>
          <w:bCs w:val="0"/>
          <w:color w:val="333333"/>
          <w:shd w:val="clear" w:color="auto" w:fill="FFFFFF"/>
          <w:lang w:val="en-US" w:eastAsia="zh-CN"/>
        </w:rPr>
        <w:t>12</w:t>
      </w:r>
      <w:r>
        <w:rPr>
          <w:rFonts w:hint="default" w:ascii="Times New Roman Regular" w:hAnsi="Times New Roman Regular" w:cs="Times New Roman Regular"/>
          <w:b w:val="0"/>
          <w:bCs w:val="0"/>
          <w:color w:val="333333"/>
          <w:shd w:val="clear" w:color="auto" w:fill="FFFFFF"/>
          <w:lang w:eastAsia="zh-Hans"/>
        </w:rPr>
        <w:t>月</w:t>
      </w:r>
      <w:r>
        <w:rPr>
          <w:rFonts w:hint="eastAsia" w:ascii="Times New Roman Regular" w:hAnsi="Times New Roman Regular" w:cs="Times New Roman Regular"/>
          <w:b w:val="0"/>
          <w:bCs w:val="0"/>
          <w:color w:val="333333"/>
          <w:shd w:val="clear" w:color="auto" w:fill="FFFFFF"/>
          <w:lang w:val="en-US" w:eastAsia="zh-CN"/>
        </w:rPr>
        <w:t>31</w:t>
      </w:r>
      <w:r>
        <w:rPr>
          <w:rFonts w:hint="default" w:ascii="Times New Roman Regular" w:hAnsi="Times New Roman Regular" w:cs="Times New Roman Regular"/>
          <w:b w:val="0"/>
          <w:bCs w:val="0"/>
          <w:color w:val="333333"/>
          <w:shd w:val="clear" w:color="auto" w:fill="FFFFFF"/>
          <w:lang w:eastAsia="zh-Hans"/>
        </w:rPr>
        <w:t>日，本项目应落实资金</w:t>
      </w:r>
      <w:r>
        <w:rPr>
          <w:rFonts w:hint="eastAsia" w:ascii="Times New Roman Regular" w:hAnsi="Times New Roman Regular" w:cs="Times New Roman Regular"/>
          <w:b w:val="0"/>
          <w:bCs w:val="0"/>
          <w:color w:val="333333"/>
          <w:shd w:val="clear" w:color="auto" w:fill="FFFFFF"/>
          <w:lang w:val="en-US" w:eastAsia="zh-CN"/>
        </w:rPr>
        <w:t>400</w:t>
      </w:r>
      <w:r>
        <w:rPr>
          <w:rFonts w:hint="default" w:ascii="Times New Roman Regular" w:hAnsi="Times New Roman Regular" w:cs="Times New Roman Regular"/>
          <w:b w:val="0"/>
          <w:bCs w:val="0"/>
          <w:color w:val="333333"/>
          <w:shd w:val="clear" w:color="auto" w:fill="FFFFFF"/>
          <w:lang w:eastAsia="zh-Hans"/>
        </w:rPr>
        <w:t>万元，实际落实资金</w:t>
      </w:r>
      <w:r>
        <w:rPr>
          <w:rFonts w:hint="eastAsia" w:ascii="Times New Roman Regular" w:hAnsi="Times New Roman Regular" w:cs="Times New Roman Regular"/>
          <w:b w:val="0"/>
          <w:bCs w:val="0"/>
          <w:color w:val="333333"/>
          <w:shd w:val="clear" w:color="auto" w:fill="FFFFFF"/>
          <w:lang w:val="en-US" w:eastAsia="zh-CN"/>
        </w:rPr>
        <w:t>400</w:t>
      </w:r>
      <w:r>
        <w:rPr>
          <w:rFonts w:hint="default" w:ascii="Times New Roman Regular" w:hAnsi="Times New Roman Regular" w:cs="Times New Roman Regular"/>
          <w:b w:val="0"/>
          <w:bCs w:val="0"/>
          <w:color w:val="333333"/>
          <w:shd w:val="clear" w:color="auto" w:fill="FFFFFF"/>
          <w:lang w:eastAsia="zh-Hans"/>
        </w:rPr>
        <w:t>万元，资金到位及时率</w:t>
      </w:r>
      <w:r>
        <w:rPr>
          <w:rFonts w:hint="eastAsia" w:ascii="Times New Roman Regular" w:hAnsi="Times New Roman Regular" w:cs="Times New Roman Regular"/>
          <w:b w:val="0"/>
          <w:bCs w:val="0"/>
          <w:color w:val="333333"/>
          <w:shd w:val="clear" w:color="auto" w:fill="FFFFFF"/>
          <w:lang w:val="en-US" w:eastAsia="zh-CN"/>
        </w:rPr>
        <w:t>100</w:t>
      </w:r>
      <w:r>
        <w:rPr>
          <w:rFonts w:hint="default" w:ascii="Times New Roman Regular" w:hAnsi="Times New Roman Regular" w:cs="Times New Roman Regular"/>
          <w:b w:val="0"/>
          <w:bCs w:val="0"/>
          <w:color w:val="333333"/>
          <w:shd w:val="clear" w:color="auto" w:fill="FFFFFF"/>
          <w:lang w:eastAsia="zh-Hans"/>
        </w:rPr>
        <w:t>%。</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（二）过程管理</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.业务管理</w:t>
      </w:r>
    </w:p>
    <w:p>
      <w:pPr>
        <w:pStyle w:val="4"/>
        <w:numPr>
          <w:ilvl w:val="0"/>
          <w:numId w:val="0"/>
        </w:numPr>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 xml:space="preserve">    管理制度健全性：</w:t>
      </w:r>
      <w:r>
        <w:rPr>
          <w:rFonts w:hint="default" w:ascii="Times New Roman Regular" w:hAnsi="Times New Roman Regular" w:cs="Times New Roman Regular"/>
          <w:b w:val="0"/>
          <w:bCs w:val="0"/>
          <w:color w:val="333333"/>
          <w:shd w:val="clear" w:color="auto" w:fill="FFFFFF"/>
          <w:lang w:eastAsia="zh-Hans"/>
        </w:rPr>
        <w:t>本</w:t>
      </w:r>
      <w:r>
        <w:rPr>
          <w:rFonts w:hint="eastAsia" w:ascii="Times New Roman Regular" w:hAnsi="Times New Roman Regular" w:cs="Times New Roman Regular"/>
          <w:b w:val="0"/>
          <w:bCs w:val="0"/>
          <w:color w:val="333333"/>
          <w:shd w:val="clear" w:color="auto" w:fill="FFFFFF"/>
          <w:lang w:val="en-US" w:eastAsia="zh-CN"/>
        </w:rPr>
        <w:t>单位</w:t>
      </w:r>
      <w:r>
        <w:rPr>
          <w:rFonts w:hint="default" w:ascii="Times New Roman Regular" w:hAnsi="Times New Roman Regular" w:cs="Times New Roman Regular"/>
          <w:b w:val="0"/>
          <w:bCs w:val="0"/>
          <w:color w:val="333333"/>
          <w:shd w:val="clear" w:color="auto" w:fill="FFFFFF"/>
          <w:lang w:eastAsia="zh-Hans"/>
        </w:rPr>
        <w:t>制定了</w:t>
      </w:r>
      <w:r>
        <w:rPr>
          <w:rFonts w:hint="eastAsia" w:ascii="Times New Roman Regular" w:hAnsi="Times New Roman Regular" w:cs="Times New Roman Regular"/>
          <w:b w:val="0"/>
          <w:bCs w:val="0"/>
          <w:color w:val="333333"/>
          <w:shd w:val="clear" w:color="auto" w:fill="FFFFFF"/>
          <w:lang w:val="en-US" w:eastAsia="zh-CN"/>
        </w:rPr>
        <w:t>建设项目管理制度</w:t>
      </w:r>
      <w:r>
        <w:rPr>
          <w:rFonts w:hint="default" w:ascii="Times New Roman Regular" w:hAnsi="Times New Roman Regular" w:cs="Times New Roman Regular"/>
          <w:b w:val="0"/>
          <w:bCs w:val="0"/>
          <w:color w:val="333333"/>
          <w:shd w:val="clear" w:color="auto" w:fill="FFFFFF"/>
          <w:lang w:eastAsia="zh-Hans"/>
        </w:rPr>
        <w:t>，制度内容涵盖项目实施管理、竣工验收与决算(结算)管理、修缮与维修管理、资金与财务管理、信息与档案管理等方面，业务管理制度合法、合规、完整。</w:t>
      </w:r>
    </w:p>
    <w:p>
      <w:pPr>
        <w:pStyle w:val="4"/>
        <w:numPr>
          <w:ilvl w:val="0"/>
          <w:numId w:val="0"/>
        </w:numPr>
        <w:ind w:firstLine="643" w:firstLineChars="200"/>
        <w:rPr>
          <w:rFonts w:hint="default" w:ascii="Times New Roman Regular" w:hAnsi="Times New Roman Regular" w:cs="Times New Roman Regular"/>
          <w:b w:val="0"/>
          <w:bCs w:val="0"/>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制度执行有效性：</w:t>
      </w:r>
      <w:r>
        <w:rPr>
          <w:rFonts w:hint="default" w:ascii="Times New Roman Regular" w:hAnsi="Times New Roman Regular" w:cs="Times New Roman Regular"/>
          <w:b w:val="0"/>
          <w:bCs w:val="0"/>
          <w:color w:val="333333"/>
          <w:shd w:val="clear" w:color="auto" w:fill="FFFFFF"/>
          <w:lang w:eastAsia="zh-Hans"/>
        </w:rPr>
        <w:t>截至</w:t>
      </w:r>
      <w:r>
        <w:rPr>
          <w:rFonts w:hint="eastAsia" w:ascii="Times New Roman Regular" w:hAnsi="Times New Roman Regular" w:cs="Times New Roman Regular"/>
          <w:b w:val="0"/>
          <w:bCs w:val="0"/>
          <w:color w:val="333333"/>
          <w:shd w:val="clear" w:color="auto" w:fill="FFFFFF"/>
          <w:lang w:val="en-US" w:eastAsia="zh-CN"/>
        </w:rPr>
        <w:t>2022</w:t>
      </w:r>
      <w:r>
        <w:rPr>
          <w:rFonts w:hint="default" w:ascii="Times New Roman Regular" w:hAnsi="Times New Roman Regular" w:cs="Times New Roman Regular"/>
          <w:b w:val="0"/>
          <w:bCs w:val="0"/>
          <w:color w:val="333333"/>
          <w:shd w:val="clear" w:color="auto" w:fill="FFFFFF"/>
          <w:lang w:eastAsia="zh-Hans"/>
        </w:rPr>
        <w:t>年</w:t>
      </w:r>
      <w:r>
        <w:rPr>
          <w:rFonts w:hint="eastAsia" w:ascii="Times New Roman Regular" w:hAnsi="Times New Roman Regular" w:cs="Times New Roman Regular"/>
          <w:b w:val="0"/>
          <w:bCs w:val="0"/>
          <w:color w:val="333333"/>
          <w:shd w:val="clear" w:color="auto" w:fill="FFFFFF"/>
          <w:lang w:val="en-US" w:eastAsia="zh-CN"/>
        </w:rPr>
        <w:t>12</w:t>
      </w:r>
      <w:r>
        <w:rPr>
          <w:rFonts w:hint="default" w:ascii="Times New Roman Regular" w:hAnsi="Times New Roman Regular" w:cs="Times New Roman Regular"/>
          <w:b w:val="0"/>
          <w:bCs w:val="0"/>
          <w:color w:val="333333"/>
          <w:shd w:val="clear" w:color="auto" w:fill="FFFFFF"/>
          <w:lang w:eastAsia="zh-Hans"/>
        </w:rPr>
        <w:t>月</w:t>
      </w:r>
      <w:r>
        <w:rPr>
          <w:rFonts w:hint="eastAsia" w:ascii="Times New Roman Regular" w:hAnsi="Times New Roman Regular" w:cs="Times New Roman Regular"/>
          <w:b w:val="0"/>
          <w:bCs w:val="0"/>
          <w:color w:val="333333"/>
          <w:shd w:val="clear" w:color="auto" w:fill="FFFFFF"/>
          <w:lang w:val="en-US" w:eastAsia="zh-CN"/>
        </w:rPr>
        <w:t>31</w:t>
      </w:r>
      <w:r>
        <w:rPr>
          <w:rFonts w:hint="default" w:ascii="Times New Roman Regular" w:hAnsi="Times New Roman Regular" w:cs="Times New Roman Regular"/>
          <w:b w:val="0"/>
          <w:bCs w:val="0"/>
          <w:color w:val="333333"/>
          <w:shd w:val="clear" w:color="auto" w:fill="FFFFFF"/>
          <w:lang w:eastAsia="zh-Hans"/>
        </w:rPr>
        <w:t>日，本项目完成了</w:t>
      </w:r>
      <w:r>
        <w:rPr>
          <w:rFonts w:hint="eastAsia" w:ascii="Times New Roman Regular" w:hAnsi="Times New Roman Regular" w:cs="Times New Roman Regular"/>
          <w:b w:val="0"/>
          <w:bCs w:val="0"/>
          <w:color w:val="333333"/>
          <w:shd w:val="clear" w:color="auto" w:fill="FFFFFF"/>
          <w:lang w:val="en-US" w:eastAsia="zh-CN"/>
        </w:rPr>
        <w:t>97%项目进度</w:t>
      </w:r>
      <w:r>
        <w:rPr>
          <w:rFonts w:hint="default" w:ascii="Times New Roman Regular" w:hAnsi="Times New Roman Regular" w:cs="Times New Roman Regular"/>
          <w:b w:val="0"/>
          <w:bCs w:val="0"/>
          <w:color w:val="333333"/>
          <w:shd w:val="clear" w:color="auto" w:fill="FFFFFF"/>
          <w:lang w:eastAsia="zh-Hans"/>
        </w:rPr>
        <w:t>，相关的项目合同书、验收报告、技术鉴定等资料均由</w:t>
      </w:r>
      <w:r>
        <w:rPr>
          <w:rFonts w:hint="eastAsia" w:ascii="Times New Roman Regular" w:hAnsi="Times New Roman Regular" w:cs="Times New Roman Regular"/>
          <w:b w:val="0"/>
          <w:bCs w:val="0"/>
          <w:color w:val="333333"/>
          <w:shd w:val="clear" w:color="auto" w:fill="FFFFFF"/>
          <w:lang w:val="en-US" w:eastAsia="zh-CN"/>
        </w:rPr>
        <w:t>新城投资有限公司（业主单位）</w:t>
      </w:r>
      <w:r>
        <w:rPr>
          <w:rFonts w:hint="default" w:ascii="Times New Roman Regular" w:hAnsi="Times New Roman Regular" w:cs="Times New Roman Regular"/>
          <w:b w:val="0"/>
          <w:bCs w:val="0"/>
          <w:color w:val="333333"/>
          <w:shd w:val="clear" w:color="auto" w:fill="FFFFFF"/>
          <w:lang w:eastAsia="zh-Hans"/>
        </w:rPr>
        <w:t>归档，资料归档齐全并及时；综上，</w:t>
      </w:r>
      <w:r>
        <w:rPr>
          <w:rFonts w:hint="default" w:ascii="Times New Roman Regular" w:hAnsi="Times New Roman Regular" w:cs="Times New Roman Regular"/>
          <w:b w:val="0"/>
          <w:bCs w:val="0"/>
          <w:color w:val="333333"/>
          <w:shd w:val="clear" w:color="auto" w:fill="FFFFFF"/>
          <w:lang w:val="en-US" w:eastAsia="zh-Hans"/>
        </w:rPr>
        <w:t>本项目的实施遵守了</w:t>
      </w:r>
      <w:r>
        <w:rPr>
          <w:rFonts w:hint="default" w:ascii="Times New Roman Regular" w:hAnsi="Times New Roman Regular" w:cs="Times New Roman Regular"/>
          <w:b w:val="0"/>
          <w:bCs w:val="0"/>
          <w:color w:val="333333"/>
          <w:shd w:val="clear" w:color="auto" w:fill="FFFFFF"/>
          <w:lang w:eastAsia="zh-Hans"/>
        </w:rPr>
        <w:t>相关法律法规和项目管理办法等业务管理制度。</w:t>
      </w:r>
    </w:p>
    <w:p>
      <w:pPr>
        <w:pStyle w:val="4"/>
        <w:numPr>
          <w:ilvl w:val="0"/>
          <w:numId w:val="0"/>
        </w:numPr>
        <w:ind w:firstLine="643" w:firstLineChars="200"/>
        <w:rPr>
          <w:rFonts w:hint="eastAsia" w:ascii="Times New Roman Regular" w:hAnsi="Times New Roman Regular" w:cs="Times New Roman Regular"/>
          <w:b/>
          <w:bCs/>
          <w:color w:val="333333"/>
          <w:shd w:val="clear" w:color="auto" w:fill="FFFFFF"/>
          <w:lang w:val="en-US" w:eastAsia="zh-Hans"/>
        </w:rPr>
      </w:pPr>
      <w:r>
        <w:rPr>
          <w:rFonts w:hint="default"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.财务管理</w:t>
      </w:r>
    </w:p>
    <w:p>
      <w:pPr>
        <w:pStyle w:val="4"/>
        <w:numPr>
          <w:ilvl w:val="0"/>
          <w:numId w:val="0"/>
        </w:numPr>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 xml:space="preserve">    管理制度健全性：</w:t>
      </w:r>
      <w:r>
        <w:rPr>
          <w:rFonts w:hint="default" w:ascii="Times New Roman Regular" w:hAnsi="Times New Roman Regular" w:cs="Times New Roman Regular"/>
          <w:b w:val="0"/>
          <w:bCs w:val="0"/>
          <w:color w:val="333333"/>
          <w:shd w:val="clear" w:color="auto" w:fill="FFFFFF"/>
          <w:lang w:eastAsia="zh-Hans"/>
        </w:rPr>
        <w:t>本单位制定了《</w:t>
      </w:r>
      <w:r>
        <w:rPr>
          <w:rFonts w:hint="eastAsia" w:ascii="Times New Roman Regular" w:hAnsi="Times New Roman Regular" w:cs="Times New Roman Regular"/>
          <w:b w:val="0"/>
          <w:bCs w:val="0"/>
          <w:color w:val="333333"/>
          <w:shd w:val="clear" w:color="auto" w:fill="FFFFFF"/>
          <w:lang w:val="en-US" w:eastAsia="zh-CN"/>
        </w:rPr>
        <w:t>园区</w:t>
      </w:r>
      <w:r>
        <w:rPr>
          <w:rFonts w:hint="default" w:ascii="Times New Roman Regular" w:hAnsi="Times New Roman Regular" w:cs="Times New Roman Regular"/>
          <w:b w:val="0"/>
          <w:bCs w:val="0"/>
          <w:color w:val="333333"/>
          <w:shd w:val="clear" w:color="auto" w:fill="FFFFFF"/>
          <w:lang w:eastAsia="zh-Hans"/>
        </w:rPr>
        <w:t>财务管理制度》</w:t>
      </w:r>
      <w:r>
        <w:rPr>
          <w:rFonts w:hint="eastAsia" w:ascii="Times New Roman Regular" w:hAnsi="Times New Roman Regular" w:cs="Times New Roman Regular"/>
          <w:b w:val="0"/>
          <w:bCs w:val="0"/>
          <w:color w:val="333333"/>
          <w:shd w:val="clear" w:color="auto" w:fill="FFFFFF"/>
          <w:lang w:eastAsia="zh-CN"/>
        </w:rPr>
        <w:t>、</w:t>
      </w:r>
      <w:r>
        <w:rPr>
          <w:rFonts w:hint="default" w:ascii="Times New Roman Regular" w:hAnsi="Times New Roman Regular" w:cs="Times New Roman Regular"/>
          <w:b w:val="0"/>
          <w:bCs w:val="0"/>
          <w:color w:val="333333"/>
          <w:shd w:val="clear" w:color="auto" w:fill="FFFFFF"/>
          <w:lang w:eastAsia="zh-Hans"/>
        </w:rPr>
        <w:t>《</w:t>
      </w:r>
      <w:r>
        <w:rPr>
          <w:rFonts w:hint="eastAsia" w:ascii="Times New Roman Regular" w:hAnsi="Times New Roman Regular" w:cs="Times New Roman Regular"/>
          <w:b w:val="0"/>
          <w:bCs w:val="0"/>
          <w:color w:val="333333"/>
          <w:shd w:val="clear" w:color="auto" w:fill="FFFFFF"/>
          <w:lang w:val="en-US" w:eastAsia="zh-CN"/>
        </w:rPr>
        <w:t>园区党风廉政</w:t>
      </w:r>
      <w:r>
        <w:rPr>
          <w:rFonts w:hint="default" w:ascii="Times New Roman Regular" w:hAnsi="Times New Roman Regular" w:cs="Times New Roman Regular"/>
          <w:b w:val="0"/>
          <w:bCs w:val="0"/>
          <w:color w:val="333333"/>
          <w:shd w:val="clear" w:color="auto" w:fill="FFFFFF"/>
          <w:lang w:eastAsia="zh-Hans"/>
        </w:rPr>
        <w:t>制度》等制度文件，制度内容涵盖预算管理制度、合同管理制度、经费支出管理办法和内部财务管理制度等管理制度，符合相关财务会计制度的规定。</w:t>
      </w:r>
    </w:p>
    <w:p>
      <w:pPr>
        <w:pStyle w:val="4"/>
        <w:numPr>
          <w:ilvl w:val="0"/>
          <w:numId w:val="0"/>
        </w:numPr>
        <w:ind w:firstLine="643" w:firstLineChars="200"/>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资金使用合规性：</w:t>
      </w:r>
      <w:r>
        <w:rPr>
          <w:rFonts w:hint="default" w:ascii="Times New Roman Regular" w:hAnsi="Times New Roman Regular" w:cs="Times New Roman Regular"/>
          <w:b w:val="0"/>
          <w:bCs w:val="0"/>
          <w:color w:val="333333"/>
          <w:shd w:val="clear" w:color="auto" w:fill="FFFFFF"/>
          <w:lang w:eastAsia="zh-Hans"/>
        </w:rPr>
        <w:t>本单位根据内部的《财务管理制度》相关办法规定，遵循“先预算后支出，谁签字谁负责”原则，资金报销相关资料经综合部和部门分管领导审批后，拨付资金，审批程序和手续完整；本项目的资金使用方向为</w:t>
      </w:r>
      <w:r>
        <w:rPr>
          <w:rFonts w:hint="eastAsia" w:ascii="Times New Roman Regular" w:hAnsi="Times New Roman Regular" w:cs="Times New Roman Regular"/>
          <w:b w:val="0"/>
          <w:bCs w:val="0"/>
          <w:color w:val="333333"/>
          <w:shd w:val="clear" w:color="auto" w:fill="FFFFFF"/>
          <w:lang w:val="en-US" w:eastAsia="zh-CN"/>
        </w:rPr>
        <w:t>多子项目的设计费、勘察费、监理费</w:t>
      </w:r>
      <w:r>
        <w:rPr>
          <w:rFonts w:hint="default" w:ascii="Times New Roman Regular" w:hAnsi="Times New Roman Regular" w:cs="Times New Roman Regular"/>
          <w:b w:val="0"/>
          <w:bCs w:val="0"/>
          <w:color w:val="333333"/>
          <w:shd w:val="clear" w:color="auto" w:fill="FFFFFF"/>
          <w:lang w:eastAsia="zh-Hans"/>
        </w:rPr>
        <w:t>等方面</w:t>
      </w:r>
      <w:r>
        <w:rPr>
          <w:rFonts w:hint="eastAsia" w:ascii="Times New Roman Regular" w:hAnsi="Times New Roman Regular" w:cs="Times New Roman Regular"/>
          <w:b w:val="0"/>
          <w:bCs w:val="0"/>
          <w:color w:val="333333"/>
          <w:shd w:val="clear" w:color="auto" w:fill="FFFFFF"/>
          <w:lang w:val="en-US" w:eastAsia="zh-CN"/>
        </w:rPr>
        <w:t>开支</w:t>
      </w:r>
      <w:r>
        <w:rPr>
          <w:rFonts w:hint="default" w:ascii="Times New Roman Regular" w:hAnsi="Times New Roman Regular" w:cs="Times New Roman Regular"/>
          <w:b w:val="0"/>
          <w:bCs w:val="0"/>
          <w:color w:val="333333"/>
          <w:shd w:val="clear" w:color="auto" w:fill="FFFFFF"/>
          <w:lang w:eastAsia="zh-Hans"/>
        </w:rPr>
        <w:t>，与项目预算批复和合同规定的用途一致；自评小组对项目的支出明细和凭证开展了核查，未发现存在截留、挤占、挪用、虚列支出等情况。综上，本项目资金使用合规，符合国家财经法规和财务管理制度。</w:t>
      </w:r>
    </w:p>
    <w:p>
      <w:pPr>
        <w:pStyle w:val="4"/>
        <w:numPr>
          <w:ilvl w:val="0"/>
          <w:numId w:val="0"/>
        </w:numPr>
        <w:ind w:firstLine="643" w:firstLineChars="200"/>
        <w:rPr>
          <w:rFonts w:hint="default" w:ascii="Times New Roman Regular" w:hAnsi="Times New Roman Regular" w:cs="Times New Roman Regular"/>
          <w:b/>
          <w:bCs/>
          <w:color w:val="333333"/>
          <w:shd w:val="clear" w:color="auto" w:fill="FFFFFF"/>
          <w:lang w:eastAsia="zh-Hans"/>
        </w:rPr>
      </w:pPr>
      <w:r>
        <w:rPr>
          <w:rFonts w:hint="default" w:ascii="Times New Roman Regular" w:hAnsi="Times New Roman Regular" w:cs="Times New Roman Regular"/>
          <w:b/>
          <w:bCs/>
          <w:color w:val="333333"/>
          <w:shd w:val="clear" w:color="auto" w:fill="FFFFFF"/>
          <w:lang w:eastAsia="zh-Hans"/>
        </w:rPr>
        <w:t>财务监控有效性：</w:t>
      </w:r>
      <w:r>
        <w:rPr>
          <w:rFonts w:hint="default" w:ascii="Times New Roman Regular" w:hAnsi="Times New Roman Regular" w:cs="Times New Roman Regular"/>
          <w:b w:val="0"/>
          <w:bCs w:val="0"/>
          <w:color w:val="333333"/>
          <w:shd w:val="clear" w:color="auto" w:fill="FFFFFF"/>
          <w:lang w:eastAsia="zh-Hans"/>
        </w:rPr>
        <w:t>本项目参照</w:t>
      </w:r>
      <w:r>
        <w:rPr>
          <w:rFonts w:hint="eastAsia" w:ascii="Times New Roman Regular" w:hAnsi="Times New Roman Regular" w:cs="Times New Roman Regular"/>
          <w:b w:val="0"/>
          <w:bCs w:val="0"/>
          <w:color w:val="333333"/>
          <w:shd w:val="clear" w:color="auto" w:fill="FFFFFF"/>
          <w:lang w:val="en-US" w:eastAsia="zh-CN"/>
        </w:rPr>
        <w:t>单位</w:t>
      </w:r>
      <w:r>
        <w:rPr>
          <w:rFonts w:hint="default" w:ascii="Times New Roman Regular" w:hAnsi="Times New Roman Regular" w:cs="Times New Roman Regular"/>
          <w:b w:val="0"/>
          <w:bCs w:val="0"/>
          <w:color w:val="333333"/>
          <w:shd w:val="clear" w:color="auto" w:fill="FFFFFF"/>
          <w:lang w:eastAsia="zh-Hans"/>
        </w:rPr>
        <w:t>内控</w:t>
      </w:r>
      <w:r>
        <w:rPr>
          <w:rFonts w:hint="eastAsia" w:ascii="Times New Roman Regular" w:hAnsi="Times New Roman Regular" w:cs="Times New Roman Regular"/>
          <w:b w:val="0"/>
          <w:bCs w:val="0"/>
          <w:color w:val="333333"/>
          <w:shd w:val="clear" w:color="auto" w:fill="FFFFFF"/>
          <w:lang w:val="en-US" w:eastAsia="zh-CN"/>
        </w:rPr>
        <w:t>管理要求</w:t>
      </w:r>
      <w:r>
        <w:rPr>
          <w:rFonts w:hint="default" w:ascii="Times New Roman Regular" w:hAnsi="Times New Roman Regular" w:cs="Times New Roman Regular"/>
          <w:b w:val="0"/>
          <w:bCs w:val="0"/>
          <w:color w:val="333333"/>
          <w:shd w:val="clear" w:color="auto" w:fill="FFFFFF"/>
          <w:lang w:eastAsia="zh-Hans"/>
        </w:rPr>
        <w:t>，按照内控流程对项目的预算、支出、采购、合同等业务进行监控；本单位在项目实施过程中和完成后，开展了对应的财务检查、内部审计等监控措施或手段，项目财务监控有效。</w:t>
      </w:r>
    </w:p>
    <w:p>
      <w:pPr>
        <w:pStyle w:val="3"/>
        <w:keepNext/>
        <w:keepLines/>
        <w:pageBreakBefore w:val="0"/>
        <w:widowControl w:val="0"/>
        <w:kinsoku/>
        <w:wordWrap/>
        <w:overflowPunct/>
        <w:topLinePunct w:val="0"/>
        <w:autoSpaceDE/>
        <w:autoSpaceDN/>
        <w:bidi w:val="0"/>
        <w:adjustRightInd w:val="0"/>
        <w:snapToGrid/>
        <w:ind w:left="0" w:firstLine="643" w:firstLineChars="200"/>
        <w:textAlignment w:val="auto"/>
        <w:rPr>
          <w:rFonts w:hint="eastAsia"/>
          <w:lang w:val="en-US" w:eastAsia="zh-CN"/>
        </w:rPr>
      </w:pPr>
      <w:r>
        <w:rPr>
          <w:rFonts w:hint="eastAsia"/>
          <w:lang w:val="en-US" w:eastAsia="zh-CN"/>
        </w:rPr>
        <w:t>（三）产出与效果</w:t>
      </w:r>
    </w:p>
    <w:p>
      <w:pPr>
        <w:pStyle w:val="5"/>
        <w:ind w:firstLine="643"/>
      </w:pPr>
      <w:r>
        <w:rPr>
          <w:rFonts w:hint="eastAsia"/>
          <w:lang w:val="en-US" w:eastAsia="zh-CN"/>
        </w:rPr>
        <w:t>1.</w:t>
      </w:r>
      <w:r>
        <w:rPr>
          <w:rFonts w:hint="eastAsia"/>
        </w:rPr>
        <w:t>完成数量分析</w:t>
      </w:r>
    </w:p>
    <w:p>
      <w:pPr>
        <w:pStyle w:val="4"/>
        <w:ind w:firstLine="643"/>
      </w:pPr>
      <w:r>
        <w:rPr>
          <w:rFonts w:hint="eastAsia"/>
          <w:b/>
          <w:bCs/>
        </w:rPr>
        <w:t>项目数量完成率1</w:t>
      </w:r>
      <w:r>
        <w:rPr>
          <w:b/>
          <w:bCs/>
        </w:rPr>
        <w:t>00%</w:t>
      </w:r>
      <w:r>
        <w:rPr>
          <w:rFonts w:hint="eastAsia"/>
          <w:b/>
          <w:bCs/>
        </w:rPr>
        <w:t>。</w:t>
      </w:r>
      <w:r>
        <w:rPr>
          <w:rFonts w:hint="eastAsia"/>
        </w:rPr>
        <w:t>根据年初设立的绩效目标，我</w:t>
      </w:r>
      <w:r>
        <w:rPr>
          <w:rFonts w:hint="eastAsia"/>
          <w:lang w:val="en-US" w:eastAsia="zh-CN"/>
        </w:rPr>
        <w:t>单位</w:t>
      </w:r>
      <w:r>
        <w:rPr>
          <w:rFonts w:hint="eastAsia"/>
        </w:rPr>
        <w:t>需</w:t>
      </w:r>
      <w:r>
        <w:rPr>
          <w:rFonts w:hint="eastAsia"/>
          <w:lang w:val="en-US" w:eastAsia="zh-CN"/>
        </w:rPr>
        <w:t>完成</w:t>
      </w:r>
      <w:r>
        <w:rPr>
          <w:rFonts w:hint="eastAsia"/>
        </w:rPr>
        <w:t>在2</w:t>
      </w:r>
      <w:r>
        <w:t>02</w:t>
      </w:r>
      <w:r>
        <w:rPr>
          <w:rFonts w:hint="eastAsia"/>
          <w:lang w:val="en-US" w:eastAsia="zh-CN"/>
        </w:rPr>
        <w:t>2</w:t>
      </w:r>
      <w:r>
        <w:rPr>
          <w:rFonts w:hint="eastAsia"/>
        </w:rPr>
        <w:t>年</w:t>
      </w:r>
      <w:r>
        <w:rPr>
          <w:rFonts w:hint="eastAsia"/>
          <w:lang w:val="en-US" w:eastAsia="zh-CN"/>
        </w:rPr>
        <w:t>支持扶贫建设</w:t>
      </w:r>
      <w:r>
        <w:rPr>
          <w:rFonts w:hint="eastAsia"/>
        </w:rPr>
        <w:t>项目</w:t>
      </w:r>
      <w:r>
        <w:rPr>
          <w:rFonts w:hint="eastAsia"/>
          <w:lang w:val="en-US" w:eastAsia="zh-CN"/>
        </w:rPr>
        <w:t>1个</w:t>
      </w:r>
      <w:r>
        <w:rPr>
          <w:rFonts w:hint="eastAsia"/>
        </w:rPr>
        <w:t>的建设</w:t>
      </w:r>
      <w:r>
        <w:rPr>
          <w:rFonts w:hint="eastAsia"/>
          <w:lang w:val="en-US" w:eastAsia="zh-CN"/>
        </w:rPr>
        <w:t>任务</w:t>
      </w:r>
      <w:r>
        <w:rPr>
          <w:rFonts w:hint="eastAsia"/>
        </w:rPr>
        <w:t>，截至2</w:t>
      </w:r>
      <w:r>
        <w:t>02</w:t>
      </w:r>
      <w:r>
        <w:rPr>
          <w:rFonts w:hint="eastAsia"/>
          <w:lang w:val="en-US" w:eastAsia="zh-CN"/>
        </w:rPr>
        <w:t>2</w:t>
      </w:r>
      <w:r>
        <w:rPr>
          <w:rFonts w:hint="eastAsia"/>
        </w:rPr>
        <w:t>年1</w:t>
      </w:r>
      <w:r>
        <w:t>2</w:t>
      </w:r>
      <w:r>
        <w:rPr>
          <w:rFonts w:hint="eastAsia"/>
        </w:rPr>
        <w:t>月3</w:t>
      </w:r>
      <w:r>
        <w:t>1</w:t>
      </w:r>
      <w:r>
        <w:rPr>
          <w:rFonts w:hint="eastAsia"/>
        </w:rPr>
        <w:t>日，我</w:t>
      </w:r>
      <w:r>
        <w:rPr>
          <w:rFonts w:hint="eastAsia"/>
          <w:lang w:val="en-US" w:eastAsia="zh-CN"/>
        </w:rPr>
        <w:t>单位</w:t>
      </w:r>
      <w:r>
        <w:rPr>
          <w:rFonts w:hint="eastAsia"/>
        </w:rPr>
        <w:t>已按计划完成</w:t>
      </w:r>
      <w:r>
        <w:rPr>
          <w:rFonts w:hint="eastAsia"/>
          <w:lang w:val="en-US" w:eastAsia="zh-CN"/>
        </w:rPr>
        <w:t>该项目当年目标</w:t>
      </w:r>
      <w:r>
        <w:rPr>
          <w:rFonts w:hint="eastAsia"/>
        </w:rPr>
        <w:t>。</w:t>
      </w:r>
    </w:p>
    <w:p>
      <w:pPr>
        <w:pStyle w:val="5"/>
        <w:ind w:firstLine="643"/>
      </w:pPr>
      <w:r>
        <w:rPr>
          <w:rFonts w:hint="eastAsia"/>
          <w:lang w:val="en-US" w:eastAsia="zh-CN"/>
        </w:rPr>
        <w:t>2.</w:t>
      </w:r>
      <w:r>
        <w:t>完成质量</w:t>
      </w:r>
      <w:r>
        <w:rPr>
          <w:rFonts w:hint="eastAsia"/>
        </w:rPr>
        <w:t>分析</w:t>
      </w:r>
    </w:p>
    <w:p>
      <w:pPr>
        <w:pStyle w:val="4"/>
        <w:ind w:firstLine="643"/>
        <w:rPr>
          <w:rFonts w:ascii="Times New Roman" w:hAnsi="Times New Roman"/>
        </w:rPr>
      </w:pPr>
      <w:r>
        <w:rPr>
          <w:rFonts w:ascii="Times New Roman" w:hAnsi="Times New Roman"/>
          <w:b/>
          <w:bCs/>
        </w:rPr>
        <w:t>项目</w:t>
      </w:r>
      <w:r>
        <w:rPr>
          <w:rFonts w:hint="eastAsia" w:ascii="Times New Roman" w:hAnsi="Times New Roman"/>
          <w:b/>
          <w:bCs/>
          <w:lang w:val="en-US" w:eastAsia="zh-CN"/>
        </w:rPr>
        <w:t>工程质量合格</w:t>
      </w:r>
      <w:r>
        <w:rPr>
          <w:rFonts w:ascii="Times New Roman" w:hAnsi="Times New Roman"/>
          <w:b/>
          <w:bCs/>
        </w:rPr>
        <w:t>率为</w:t>
      </w:r>
      <w:r>
        <w:rPr>
          <w:rFonts w:hint="eastAsia" w:ascii="Times New Roman" w:hAnsi="Times New Roman"/>
          <w:b/>
          <w:bCs/>
          <w:lang w:val="en-US" w:eastAsia="zh-CN"/>
        </w:rPr>
        <w:t>95</w:t>
      </w:r>
      <w:r>
        <w:rPr>
          <w:rFonts w:ascii="Times New Roman" w:hAnsi="Times New Roman"/>
          <w:b/>
          <w:bCs/>
        </w:rPr>
        <w:t>%。</w:t>
      </w:r>
      <w:r>
        <w:rPr>
          <w:rFonts w:ascii="Times New Roman" w:hAnsi="Times New Roman"/>
        </w:rPr>
        <w:t>项目已</w:t>
      </w:r>
      <w:r>
        <w:rPr>
          <w:rFonts w:hint="eastAsia" w:ascii="Times New Roman" w:hAnsi="Times New Roman"/>
          <w:lang w:val="en-US" w:eastAsia="zh-CN"/>
        </w:rPr>
        <w:t>基本</w:t>
      </w:r>
      <w:r>
        <w:rPr>
          <w:rFonts w:ascii="Times New Roman" w:hAnsi="Times New Roman"/>
        </w:rPr>
        <w:t>完工，现场核查项目点符合验收标准，达到行业基准水平。</w:t>
      </w:r>
    </w:p>
    <w:p>
      <w:pPr>
        <w:pStyle w:val="5"/>
        <w:ind w:firstLine="643"/>
      </w:pPr>
      <w:r>
        <w:rPr>
          <w:rFonts w:hint="eastAsia"/>
          <w:lang w:val="en-US" w:eastAsia="zh-CN"/>
        </w:rPr>
        <w:t>3.</w:t>
      </w:r>
      <w:r>
        <w:rPr>
          <w:rFonts w:hint="eastAsia"/>
        </w:rPr>
        <w:t>项目完成</w:t>
      </w:r>
      <w:r>
        <w:t>时效</w:t>
      </w:r>
      <w:r>
        <w:rPr>
          <w:rFonts w:hint="eastAsia"/>
        </w:rPr>
        <w:t>分析</w:t>
      </w:r>
    </w:p>
    <w:p>
      <w:pPr>
        <w:pStyle w:val="4"/>
        <w:ind w:firstLine="643"/>
        <w:rPr>
          <w:rFonts w:hint="eastAsia" w:ascii="Times New Roman" w:hAnsi="Times New Roman"/>
          <w:lang w:val="en-US" w:eastAsia="zh-CN"/>
        </w:rPr>
      </w:pPr>
      <w:r>
        <w:rPr>
          <w:rFonts w:ascii="Times New Roman" w:hAnsi="Times New Roman"/>
          <w:b/>
          <w:bCs/>
        </w:rPr>
        <w:t>项目建设</w:t>
      </w:r>
      <w:r>
        <w:rPr>
          <w:rFonts w:hint="eastAsia" w:ascii="Times New Roman" w:hAnsi="Times New Roman"/>
          <w:b/>
          <w:bCs/>
          <w:lang w:val="en-US" w:eastAsia="zh-CN"/>
        </w:rPr>
        <w:t>任务完成率</w:t>
      </w:r>
      <w:r>
        <w:rPr>
          <w:rFonts w:ascii="Times New Roman" w:hAnsi="Times New Roman"/>
          <w:b/>
          <w:bCs/>
        </w:rPr>
        <w:t>。</w:t>
      </w:r>
      <w:r>
        <w:rPr>
          <w:rFonts w:ascii="Times New Roman" w:hAnsi="Times New Roman"/>
        </w:rPr>
        <w:t>根据项目合同及计划时间，</w:t>
      </w:r>
      <w:r>
        <w:rPr>
          <w:rFonts w:hint="eastAsia" w:ascii="Times New Roman" w:hAnsi="Times New Roman"/>
          <w:lang w:val="en-US" w:eastAsia="zh-CN"/>
        </w:rPr>
        <w:t>2022年度建设任务完成率为97%</w:t>
      </w:r>
      <w:r>
        <w:rPr>
          <w:rFonts w:ascii="Times New Roman" w:hAnsi="Times New Roman"/>
        </w:rPr>
        <w:t>，</w:t>
      </w:r>
      <w:r>
        <w:rPr>
          <w:rFonts w:hint="eastAsia" w:ascii="Times New Roman" w:hAnsi="Times New Roman"/>
          <w:lang w:val="en-US" w:eastAsia="zh-CN"/>
        </w:rPr>
        <w:t>项目建设完成率达标。</w:t>
      </w:r>
    </w:p>
    <w:p>
      <w:pPr>
        <w:pStyle w:val="5"/>
        <w:bidi w:val="0"/>
        <w:ind w:left="0" w:leftChars="0" w:firstLine="643" w:firstLineChars="200"/>
        <w:rPr>
          <w:rFonts w:hint="eastAsia"/>
          <w:lang w:val="en-US" w:eastAsia="zh-CN"/>
        </w:rPr>
      </w:pPr>
      <w:r>
        <w:rPr>
          <w:rFonts w:hint="eastAsia"/>
          <w:lang w:val="en-US" w:eastAsia="zh-CN"/>
        </w:rPr>
        <w:t>4.项目实际完成率</w:t>
      </w:r>
    </w:p>
    <w:p>
      <w:pPr>
        <w:pStyle w:val="5"/>
        <w:numPr>
          <w:ilvl w:val="2"/>
          <w:numId w:val="0"/>
        </w:numPr>
        <w:bidi w:val="0"/>
        <w:rPr>
          <w:rFonts w:hint="default"/>
          <w:lang w:val="en-US" w:eastAsia="zh-CN"/>
        </w:rPr>
      </w:pPr>
      <w:r>
        <w:rPr>
          <w:rFonts w:hint="eastAsia"/>
          <w:lang w:val="en-US" w:eastAsia="zh-CN"/>
        </w:rPr>
        <w:t xml:space="preserve">    项目计划支出400万，实际支出344.9万，实际完成率86.23%，</w:t>
      </w:r>
      <w:r>
        <w:rPr>
          <w:rFonts w:hint="eastAsia" w:ascii="Times New Roman" w:hAnsi="Times New Roman" w:eastAsia="仿宋" w:cs="Times New Roman"/>
          <w:b w:val="0"/>
          <w:bCs w:val="0"/>
          <w:kern w:val="0"/>
          <w:sz w:val="32"/>
          <w:szCs w:val="28"/>
          <w:lang w:val="en-US" w:eastAsia="zh-CN" w:bidi="ar-SA"/>
        </w:rPr>
        <w:t>小于100%，造成原因是各子项目的前期费用支付按照合同约定进度进行支付。</w:t>
      </w:r>
    </w:p>
    <w:p>
      <w:pPr>
        <w:pStyle w:val="5"/>
        <w:ind w:firstLine="643"/>
      </w:pPr>
      <w:r>
        <w:rPr>
          <w:rFonts w:hint="eastAsia"/>
          <w:lang w:val="en-US" w:eastAsia="zh-CN"/>
        </w:rPr>
        <w:t>5.</w:t>
      </w:r>
      <w:r>
        <w:rPr>
          <w:rFonts w:hint="eastAsia"/>
        </w:rPr>
        <w:t>项目成本分析</w:t>
      </w:r>
    </w:p>
    <w:p>
      <w:pPr>
        <w:pStyle w:val="4"/>
        <w:ind w:firstLine="643"/>
        <w:rPr>
          <w:rFonts w:hint="default" w:ascii="Times New Roman" w:hAnsi="Times New Roman"/>
        </w:rPr>
      </w:pPr>
      <w:r>
        <w:rPr>
          <w:rFonts w:hint="eastAsia" w:ascii="Times New Roman" w:hAnsi="Times New Roman"/>
          <w:b/>
          <w:bCs/>
          <w:lang w:val="en-US" w:eastAsia="zh-CN"/>
        </w:rPr>
        <w:t>概算控制基本符合要求的项目比率90%，大于80%的指标值。</w:t>
      </w:r>
      <w:r>
        <w:rPr>
          <w:rFonts w:hint="eastAsia" w:ascii="Times New Roman" w:hAnsi="Times New Roman"/>
        </w:rPr>
        <w:t>项目支出金额在预算批复资金内，未超出预算金额，项目成本可控</w:t>
      </w:r>
      <w:r>
        <w:rPr>
          <w:rFonts w:hint="default" w:ascii="Times New Roman" w:hAnsi="Times New Roman"/>
        </w:rPr>
        <w:t>。</w:t>
      </w:r>
    </w:p>
    <w:p>
      <w:pPr>
        <w:pStyle w:val="5"/>
        <w:ind w:firstLine="643"/>
      </w:pPr>
      <w:r>
        <w:rPr>
          <w:rFonts w:hint="eastAsia"/>
          <w:lang w:val="en-US" w:eastAsia="zh-CN"/>
        </w:rPr>
        <w:t>6.</w:t>
      </w:r>
      <w:r>
        <w:rPr>
          <w:rFonts w:hint="eastAsia"/>
        </w:rPr>
        <w:t>项目</w:t>
      </w:r>
      <w:r>
        <w:t>效益</w:t>
      </w:r>
      <w:r>
        <w:rPr>
          <w:rFonts w:hint="eastAsia"/>
        </w:rPr>
        <w:t>分析</w:t>
      </w:r>
    </w:p>
    <w:p>
      <w:pPr>
        <w:pStyle w:val="4"/>
        <w:ind w:firstLine="643"/>
        <w:rPr>
          <w:rFonts w:hint="eastAsia"/>
          <w:color w:val="000000"/>
          <w:kern w:val="0"/>
          <w:szCs w:val="21"/>
          <w:lang w:val="en-US" w:eastAsia="zh-CN"/>
        </w:rPr>
      </w:pPr>
      <w:r>
        <w:rPr>
          <w:rFonts w:hint="eastAsia" w:ascii="Times New Roman" w:hAnsi="Times New Roman"/>
          <w:b/>
          <w:bCs/>
        </w:rPr>
        <w:t>效益：</w:t>
      </w:r>
      <w:r>
        <w:rPr>
          <w:rFonts w:hint="eastAsia"/>
          <w:color w:val="000000"/>
          <w:kern w:val="0"/>
          <w:szCs w:val="21"/>
          <w:lang w:val="en-US" w:eastAsia="zh-CN"/>
        </w:rPr>
        <w:t>对当地产业发展，农业可持续推动作用90%，对当地经济和农民增收的促进率85%，对改善生态环境，发展绿色农业的促进作用85%，对农业可持续发展的推动作用83%，都达到指标值</w:t>
      </w:r>
      <w:r>
        <w:rPr>
          <w:rFonts w:hint="eastAsia" w:ascii="Times New Roman" w:hAnsi="Times New Roman"/>
          <w:b/>
          <w:bCs/>
          <w:lang w:eastAsia="zh-CN"/>
        </w:rPr>
        <w:t>。</w:t>
      </w:r>
    </w:p>
    <w:p>
      <w:pPr>
        <w:pStyle w:val="5"/>
        <w:ind w:firstLine="643"/>
      </w:pPr>
      <w:r>
        <w:rPr>
          <w:rFonts w:hint="eastAsia"/>
          <w:lang w:val="en-US" w:eastAsia="zh-CN"/>
        </w:rPr>
        <w:t>7.</w:t>
      </w:r>
      <w:r>
        <w:rPr>
          <w:lang w:val="en-US"/>
        </w:rPr>
        <w:t>满意度</w:t>
      </w:r>
      <w:r>
        <w:t>指标分析</w:t>
      </w:r>
    </w:p>
    <w:p>
      <w:pPr>
        <w:pStyle w:val="4"/>
        <w:ind w:firstLine="640"/>
        <w:rPr>
          <w:rFonts w:hint="default" w:ascii="Times New Roman" w:hAnsi="Times New Roman"/>
          <w:lang w:val="en-US"/>
        </w:rPr>
      </w:pPr>
      <w:r>
        <w:rPr>
          <w:rFonts w:hint="eastAsia" w:ascii="Times New Roman" w:hAnsi="Times New Roman"/>
        </w:rPr>
        <w:t>2</w:t>
      </w:r>
      <w:r>
        <w:rPr>
          <w:rFonts w:ascii="Times New Roman" w:hAnsi="Times New Roman"/>
        </w:rPr>
        <w:t>02</w:t>
      </w:r>
      <w:r>
        <w:rPr>
          <w:rFonts w:hint="eastAsia" w:ascii="Times New Roman" w:hAnsi="Times New Roman"/>
          <w:lang w:val="en-US" w:eastAsia="zh-CN"/>
        </w:rPr>
        <w:t>2</w:t>
      </w:r>
      <w:r>
        <w:rPr>
          <w:rFonts w:hint="eastAsia" w:ascii="Times New Roman" w:hAnsi="Times New Roman"/>
        </w:rPr>
        <w:t>年</w:t>
      </w:r>
      <w:r>
        <w:rPr>
          <w:rFonts w:ascii="Times New Roman" w:hAnsi="Times New Roman"/>
        </w:rPr>
        <w:t>项目周边群众对项目综合满意度为</w:t>
      </w:r>
      <w:r>
        <w:rPr>
          <w:rFonts w:hint="eastAsia" w:ascii="Times New Roman" w:hAnsi="Times New Roman"/>
          <w:lang w:val="en-US" w:eastAsia="zh-CN"/>
        </w:rPr>
        <w:t>90</w:t>
      </w:r>
      <w:r>
        <w:rPr>
          <w:rFonts w:ascii="Times New Roman" w:hAnsi="Times New Roman"/>
        </w:rPr>
        <w:t>%，对</w:t>
      </w:r>
      <w:r>
        <w:rPr>
          <w:rFonts w:hint="eastAsia" w:ascii="Times New Roman" w:hAnsi="Times New Roman"/>
          <w:lang w:val="en-US" w:eastAsia="zh-CN"/>
        </w:rPr>
        <w:t>观音河环境治理，对基础道路改造都很满意。</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643" w:firstLineChars="200"/>
        <w:rPr>
          <w:rFonts w:hint="eastAsia" w:eastAsia="方正楷体简体"/>
          <w:b/>
          <w:sz w:val="32"/>
          <w:szCs w:val="32"/>
        </w:rPr>
      </w:pPr>
      <w:r>
        <w:rPr>
          <w:rFonts w:hint="eastAsia" w:eastAsia="方正楷体简体"/>
          <w:b/>
          <w:sz w:val="32"/>
          <w:szCs w:val="32"/>
        </w:rPr>
        <w:t>（一）主要经验及做法</w:t>
      </w:r>
    </w:p>
    <w:p>
      <w:pPr>
        <w:pStyle w:val="4"/>
        <w:ind w:firstLine="640"/>
        <w:rPr>
          <w:rFonts w:ascii="Times New Roman" w:hAnsi="Times New Roman"/>
        </w:rPr>
      </w:pPr>
      <w:r>
        <w:rPr>
          <w:rFonts w:ascii="Times New Roman" w:hAnsi="Times New Roman"/>
        </w:rPr>
        <w:t xml:space="preserve"> 在资金使用过程中， 严格执行单位相关资金管理制度， 做到厉行节约、专款专用，同时开展好资金使用公开公示制度，经费使用透明化。</w:t>
      </w:r>
    </w:p>
    <w:p>
      <w:pPr>
        <w:numPr>
          <w:ilvl w:val="0"/>
          <w:numId w:val="9"/>
        </w:numPr>
        <w:spacing w:line="580" w:lineRule="exact"/>
        <w:ind w:left="0" w:leftChars="0" w:firstLine="643" w:firstLineChars="200"/>
        <w:rPr>
          <w:rFonts w:hint="eastAsia" w:eastAsia="方正楷体简体"/>
          <w:b/>
          <w:sz w:val="32"/>
          <w:szCs w:val="32"/>
        </w:rPr>
      </w:pPr>
      <w:r>
        <w:rPr>
          <w:rFonts w:hint="eastAsia" w:eastAsia="方正楷体简体"/>
          <w:b/>
          <w:sz w:val="32"/>
          <w:szCs w:val="32"/>
        </w:rPr>
        <w:t>存在的问题</w:t>
      </w:r>
    </w:p>
    <w:p>
      <w:pPr>
        <w:pStyle w:val="4"/>
        <w:ind w:firstLine="640"/>
        <w:rPr>
          <w:rFonts w:hint="default" w:eastAsia="仿宋"/>
          <w:lang w:val="en-US" w:eastAsia="zh-CN"/>
        </w:rPr>
      </w:pPr>
      <w:r>
        <w:rPr>
          <w:rFonts w:ascii="Times New Roman" w:hAnsi="Times New Roman"/>
        </w:rPr>
        <w:t>通过自查， 我们发现项目实施过程中</w:t>
      </w:r>
      <w:r>
        <w:rPr>
          <w:rFonts w:hint="eastAsia" w:ascii="Times New Roman" w:hAnsi="Times New Roman"/>
          <w:lang w:val="en-US" w:eastAsia="zh-CN"/>
        </w:rPr>
        <w:t>园区管委会的监管作用发挥得不够。</w:t>
      </w:r>
    </w:p>
    <w:p>
      <w:pPr>
        <w:spacing w:line="580" w:lineRule="exact"/>
        <w:ind w:firstLine="643" w:firstLineChars="200"/>
        <w:rPr>
          <w:rFonts w:eastAsia="方正楷体简体"/>
          <w:b/>
          <w:sz w:val="32"/>
          <w:szCs w:val="32"/>
        </w:rPr>
      </w:pPr>
      <w:r>
        <w:rPr>
          <w:rFonts w:hint="eastAsia" w:eastAsia="方正楷体简体"/>
          <w:b/>
          <w:sz w:val="32"/>
          <w:szCs w:val="32"/>
        </w:rPr>
        <w:t>（三）建议和改进措施</w:t>
      </w:r>
    </w:p>
    <w:p>
      <w:pPr>
        <w:spacing w:line="580" w:lineRule="exact"/>
        <w:ind w:firstLine="640" w:firstLineChars="200"/>
        <w:rPr>
          <w:rFonts w:hint="eastAsia" w:eastAsia="方正仿宋简体"/>
          <w:sz w:val="32"/>
          <w:szCs w:val="32"/>
          <w:lang w:val="en-US" w:eastAsia="zh-CN"/>
        </w:rPr>
      </w:pPr>
      <w:r>
        <w:rPr>
          <w:rFonts w:hint="eastAsia" w:eastAsia="方正仿宋简体"/>
          <w:sz w:val="32"/>
          <w:szCs w:val="32"/>
          <w:lang w:val="en-US" w:eastAsia="zh-CN"/>
        </w:rPr>
        <w:t>开展园区内部绩效管理培训，加强对项目事前、事中、事后全方面绩效管理能力的培养。</w:t>
      </w:r>
    </w:p>
    <w:p>
      <w:pPr>
        <w:spacing w:line="580" w:lineRule="exact"/>
        <w:ind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3-</w:t>
      </w:r>
      <w:r>
        <w:rPr>
          <w:rFonts w:eastAsia="方正仿宋简体"/>
          <w:sz w:val="32"/>
          <w:szCs w:val="32"/>
        </w:rPr>
        <w:t>1.202</w:t>
      </w:r>
      <w:r>
        <w:rPr>
          <w:rFonts w:hint="eastAsia" w:eastAsia="方正仿宋简体"/>
          <w:sz w:val="32"/>
          <w:szCs w:val="32"/>
        </w:rPr>
        <w:t>2年度乐至县项目支出绩效自评计分表</w:t>
      </w:r>
    </w:p>
    <w:p>
      <w:pPr>
        <w:spacing w:line="580" w:lineRule="exact"/>
        <w:ind w:firstLine="1600" w:firstLineChars="500"/>
        <w:rPr>
          <w:rFonts w:hint="eastAsia" w:eastAsia="方正仿宋简体"/>
          <w:sz w:val="32"/>
          <w:szCs w:val="32"/>
        </w:rPr>
      </w:pPr>
      <w:r>
        <w:rPr>
          <w:rFonts w:hint="eastAsia" w:eastAsia="方正仿宋简体"/>
          <w:sz w:val="32"/>
          <w:szCs w:val="32"/>
          <w:lang w:val="en-US" w:eastAsia="zh-CN"/>
        </w:rPr>
        <w:t>3-</w:t>
      </w:r>
      <w:r>
        <w:rPr>
          <w:rFonts w:eastAsia="方正仿宋简体"/>
          <w:sz w:val="32"/>
          <w:szCs w:val="32"/>
        </w:rPr>
        <w:t>2.202</w:t>
      </w:r>
      <w:r>
        <w:rPr>
          <w:rFonts w:hint="eastAsia" w:eastAsia="方正仿宋简体"/>
          <w:sz w:val="32"/>
          <w:szCs w:val="32"/>
        </w:rPr>
        <w:t>2年度乐至县项目支出绩效目标完成情况表</w:t>
      </w:r>
    </w:p>
    <w:p>
      <w:pPr>
        <w:pStyle w:val="36"/>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rPr>
          <w:rFonts w:hint="eastAsia" w:eastAsia="方正仿宋简体"/>
          <w:sz w:val="32"/>
          <w:szCs w:val="32"/>
        </w:rPr>
      </w:pPr>
    </w:p>
    <w:p>
      <w:pPr>
        <w:spacing w:line="620" w:lineRule="exact"/>
        <w:jc w:val="left"/>
        <w:rPr>
          <w:rFonts w:hint="default"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附件3-1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lang w:val="en-US" w:eastAsia="zh-CN"/>
        </w:rPr>
        <w:t>四川乐至国家林业科技示范园区扶贫建设项目</w:t>
      </w:r>
      <w:r>
        <w:rPr>
          <w:rFonts w:hint="eastAsia" w:eastAsia="方正楷体简体"/>
          <w:b/>
          <w:bCs/>
          <w:kern w:val="0"/>
          <w:sz w:val="32"/>
          <w:szCs w:val="32"/>
        </w:rPr>
        <w:t>）</w:t>
      </w:r>
    </w:p>
    <w:p>
      <w:pPr>
        <w:spacing w:line="620" w:lineRule="exact"/>
        <w:rPr>
          <w:rFonts w:hint="eastAsia"/>
          <w:bCs/>
          <w:kern w:val="0"/>
          <w:sz w:val="24"/>
          <w:lang w:val="en-US" w:eastAsia="zh-CN"/>
        </w:rPr>
      </w:pPr>
      <w:r>
        <w:rPr>
          <w:rFonts w:hint="eastAsia"/>
          <w:bCs/>
          <w:kern w:val="0"/>
          <w:sz w:val="24"/>
        </w:rPr>
        <w:t>预算单位名称：</w:t>
      </w:r>
      <w:r>
        <w:rPr>
          <w:rFonts w:hint="eastAsia"/>
          <w:bCs/>
          <w:kern w:val="0"/>
          <w:sz w:val="24"/>
          <w:lang w:val="en-US" w:eastAsia="zh-CN"/>
        </w:rPr>
        <w:t>乐至县国家农村产业融合发展示范园管理委员会</w:t>
      </w:r>
    </w:p>
    <w:p>
      <w:pPr>
        <w:spacing w:line="620" w:lineRule="exact"/>
        <w:rPr>
          <w:rFonts w:hint="eastAsia" w:eastAsia="宋体"/>
          <w:sz w:val="24"/>
          <w:lang w:val="en-US" w:eastAsia="zh-CN"/>
        </w:rPr>
      </w:pPr>
      <w:r>
        <w:rPr>
          <w:rFonts w:hint="eastAsia"/>
          <w:bCs/>
          <w:kern w:val="0"/>
          <w:sz w:val="24"/>
        </w:rPr>
        <w:t>预算单位编码：</w:t>
      </w:r>
      <w:r>
        <w:rPr>
          <w:rFonts w:hint="eastAsia"/>
          <w:bCs/>
          <w:kern w:val="0"/>
          <w:sz w:val="24"/>
          <w:lang w:val="en-US" w:eastAsia="zh-CN"/>
        </w:rPr>
        <w:t>150001</w:t>
      </w:r>
      <w:r>
        <w:rPr>
          <w:bCs/>
          <w:kern w:val="0"/>
          <w:sz w:val="24"/>
        </w:rPr>
        <w:t xml:space="preserve">              </w:t>
      </w:r>
      <w:r>
        <w:rPr>
          <w:rFonts w:hint="eastAsia"/>
          <w:bCs/>
          <w:kern w:val="0"/>
          <w:sz w:val="24"/>
          <w:lang w:val="en-US" w:eastAsia="zh-CN"/>
        </w:rPr>
        <w:t xml:space="preserve">          </w:t>
      </w:r>
      <w:r>
        <w:rPr>
          <w:bCs/>
          <w:kern w:val="0"/>
          <w:sz w:val="24"/>
        </w:rPr>
        <w:t xml:space="preserve">    </w:t>
      </w:r>
      <w:r>
        <w:rPr>
          <w:rFonts w:hint="eastAsia"/>
          <w:bCs/>
          <w:kern w:val="0"/>
          <w:sz w:val="24"/>
        </w:rPr>
        <w:t>自评等级：</w:t>
      </w:r>
      <w:r>
        <w:rPr>
          <w:rFonts w:hint="eastAsia"/>
          <w:bCs/>
          <w:kern w:val="0"/>
          <w:sz w:val="24"/>
          <w:lang w:val="en-US" w:eastAsia="zh-CN"/>
        </w:rPr>
        <w:t>优</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23"/>
        <w:gridCol w:w="527"/>
        <w:gridCol w:w="629"/>
        <w:gridCol w:w="1143"/>
        <w:gridCol w:w="3078"/>
        <w:gridCol w:w="549"/>
        <w:gridCol w:w="26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18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296"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353"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642"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1727"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308"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1489" w:type="pct"/>
            <w:tcBorders>
              <w:top w:val="single" w:color="auto" w:sz="12" w:space="0"/>
            </w:tcBorders>
            <w:shd w:val="clear" w:color="auto" w:fill="FFFFFF"/>
            <w:noWrap w:val="0"/>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18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29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1489"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1489"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kern w:val="0"/>
                <w:szCs w:val="21"/>
              </w:rPr>
            </w:pPr>
            <w:r>
              <w:rPr>
                <w:rFonts w:hint="eastAsia"/>
                <w:kern w:val="0"/>
                <w:szCs w:val="21"/>
              </w:rPr>
              <w:t>　</w:t>
            </w:r>
            <w:r>
              <w:rPr>
                <w:rFonts w:hint="eastAsia"/>
                <w:kern w:val="0"/>
                <w:szCs w:val="21"/>
                <w:lang w:val="en-US" w:eastAsia="zh-CN"/>
              </w:rPr>
              <w:t>事前绩效评估表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182" w:type="pct"/>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296" w:type="pct"/>
            <w:vMerge w:val="restart"/>
            <w:shd w:val="clear" w:color="auto" w:fill="FFFFFF"/>
            <w:noWrap w:val="0"/>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1489" w:type="pct"/>
            <w:noWrap/>
            <w:vAlign w:val="center"/>
          </w:tcPr>
          <w:p>
            <w:pPr>
              <w:widowControl/>
              <w:spacing w:line="260" w:lineRule="exact"/>
              <w:jc w:val="left"/>
              <w:rPr>
                <w:rFonts w:hint="eastAsia"/>
                <w:kern w:val="0"/>
                <w:szCs w:val="21"/>
                <w:lang w:val="en-US" w:eastAsia="zh-CN"/>
              </w:rPr>
            </w:pPr>
            <w:r>
              <w:rPr>
                <w:rFonts w:hint="eastAsia"/>
                <w:kern w:val="0"/>
                <w:szCs w:val="21"/>
                <w:lang w:val="en-US" w:eastAsia="zh-CN"/>
              </w:rPr>
              <w:t>制定建设项目管理制度，</w:t>
            </w:r>
          </w:p>
          <w:p>
            <w:pPr>
              <w:widowControl/>
              <w:spacing w:line="260" w:lineRule="exact"/>
              <w:jc w:val="left"/>
              <w:rPr>
                <w:rFonts w:hint="default" w:eastAsia="宋体"/>
                <w:kern w:val="0"/>
                <w:szCs w:val="21"/>
                <w:lang w:val="en-US" w:eastAsia="zh-CN"/>
              </w:rPr>
            </w:pPr>
            <w:r>
              <w:rPr>
                <w:rFonts w:hint="eastAsia"/>
                <w:kern w:val="0"/>
                <w:szCs w:val="21"/>
                <w:lang w:val="en-US" w:eastAsia="zh-CN"/>
              </w:rPr>
              <w:t>制度合法、合规、完整。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182" w:type="pct"/>
            <w:vMerge w:val="continue"/>
            <w:shd w:val="clear" w:color="auto" w:fill="auto"/>
            <w:noWrap w:val="0"/>
            <w:vAlign w:val="center"/>
          </w:tcPr>
          <w:p>
            <w:pPr>
              <w:widowControl/>
              <w:spacing w:line="260" w:lineRule="exact"/>
              <w:jc w:val="left"/>
              <w:rPr>
                <w:kern w:val="0"/>
                <w:szCs w:val="21"/>
              </w:rPr>
            </w:pPr>
          </w:p>
        </w:tc>
        <w:tc>
          <w:tcPr>
            <w:tcW w:w="296" w:type="pct"/>
            <w:vMerge w:val="continue"/>
            <w:shd w:val="clear" w:color="auto" w:fill="auto"/>
            <w:noWrap w:val="0"/>
            <w:vAlign w:val="center"/>
          </w:tcPr>
          <w:p>
            <w:pPr>
              <w:widowControl/>
              <w:spacing w:line="260" w:lineRule="exact"/>
              <w:jc w:val="left"/>
              <w:rPr>
                <w:kern w:val="0"/>
                <w:szCs w:val="21"/>
              </w:rPr>
            </w:pP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1489"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遵守法律法规及业务管理规定，及时完善支出手续。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182" w:type="pct"/>
            <w:vMerge w:val="continue"/>
            <w:shd w:val="clear" w:color="auto" w:fill="auto"/>
            <w:noWrap w:val="0"/>
            <w:vAlign w:val="center"/>
          </w:tcPr>
          <w:p>
            <w:pPr>
              <w:widowControl/>
              <w:spacing w:line="260" w:lineRule="exact"/>
              <w:jc w:val="left"/>
              <w:rPr>
                <w:kern w:val="0"/>
                <w:szCs w:val="21"/>
              </w:rPr>
            </w:pPr>
          </w:p>
        </w:tc>
        <w:tc>
          <w:tcPr>
            <w:tcW w:w="296" w:type="pct"/>
            <w:vMerge w:val="continue"/>
            <w:shd w:val="clear" w:color="auto" w:fill="auto"/>
            <w:noWrap w:val="0"/>
            <w:vAlign w:val="center"/>
          </w:tcPr>
          <w:p>
            <w:pPr>
              <w:widowControl/>
              <w:spacing w:line="260" w:lineRule="exact"/>
              <w:jc w:val="left"/>
              <w:rPr>
                <w:kern w:val="0"/>
                <w:szCs w:val="21"/>
              </w:rPr>
            </w:pP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1489"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项目实施单位具有相应的项目质量要求及标准，采取相应质量检查措施。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182" w:type="pct"/>
            <w:vMerge w:val="continue"/>
            <w:shd w:val="clear" w:color="auto" w:fill="auto"/>
            <w:noWrap w:val="0"/>
            <w:vAlign w:val="center"/>
          </w:tcPr>
          <w:p>
            <w:pPr>
              <w:widowControl/>
              <w:spacing w:line="260" w:lineRule="exact"/>
              <w:jc w:val="left"/>
              <w:rPr>
                <w:kern w:val="0"/>
                <w:szCs w:val="21"/>
              </w:rPr>
            </w:pPr>
          </w:p>
        </w:tc>
        <w:tc>
          <w:tcPr>
            <w:tcW w:w="296" w:type="pct"/>
            <w:vMerge w:val="restart"/>
            <w:shd w:val="clear" w:color="auto" w:fill="FFFFFF"/>
            <w:noWrap w:val="0"/>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3</w:t>
            </w:r>
          </w:p>
        </w:tc>
        <w:tc>
          <w:tcPr>
            <w:tcW w:w="1489"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具有财务管理制度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182" w:type="pct"/>
            <w:vMerge w:val="continue"/>
            <w:shd w:val="clear" w:color="auto" w:fill="auto"/>
            <w:noWrap w:val="0"/>
            <w:vAlign w:val="center"/>
          </w:tcPr>
          <w:p>
            <w:pPr>
              <w:widowControl/>
              <w:spacing w:line="260" w:lineRule="exact"/>
              <w:jc w:val="left"/>
              <w:rPr>
                <w:kern w:val="0"/>
                <w:szCs w:val="21"/>
              </w:rPr>
            </w:pPr>
          </w:p>
        </w:tc>
        <w:tc>
          <w:tcPr>
            <w:tcW w:w="296" w:type="pct"/>
            <w:vMerge w:val="continue"/>
            <w:shd w:val="clear" w:color="auto" w:fill="auto"/>
            <w:noWrap w:val="0"/>
            <w:vAlign w:val="center"/>
          </w:tcPr>
          <w:p>
            <w:pPr>
              <w:widowControl/>
              <w:spacing w:line="260" w:lineRule="exact"/>
              <w:jc w:val="left"/>
              <w:rPr>
                <w:kern w:val="0"/>
                <w:szCs w:val="21"/>
              </w:rPr>
            </w:pP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7</w:t>
            </w:r>
          </w:p>
        </w:tc>
        <w:tc>
          <w:tcPr>
            <w:tcW w:w="1489"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项目资金符合国家财经法规和财务管理制度，资金拨付有完整的审批程序和手续，合同管理规范，不存在截留、挤占、挪用、虚列支出等情况。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182" w:type="pct"/>
            <w:vMerge w:val="continue"/>
            <w:shd w:val="clear" w:color="auto" w:fill="auto"/>
            <w:noWrap w:val="0"/>
            <w:vAlign w:val="center"/>
          </w:tcPr>
          <w:p>
            <w:pPr>
              <w:widowControl/>
              <w:spacing w:line="260" w:lineRule="exact"/>
              <w:jc w:val="left"/>
              <w:rPr>
                <w:kern w:val="0"/>
                <w:szCs w:val="21"/>
              </w:rPr>
            </w:pPr>
          </w:p>
        </w:tc>
        <w:tc>
          <w:tcPr>
            <w:tcW w:w="296" w:type="pct"/>
            <w:vMerge w:val="continue"/>
            <w:shd w:val="clear" w:color="auto" w:fill="auto"/>
            <w:noWrap w:val="0"/>
            <w:vAlign w:val="center"/>
          </w:tcPr>
          <w:p>
            <w:pPr>
              <w:widowControl/>
              <w:spacing w:line="260" w:lineRule="exact"/>
              <w:jc w:val="left"/>
              <w:rPr>
                <w:kern w:val="0"/>
                <w:szCs w:val="21"/>
              </w:rPr>
            </w:pPr>
          </w:p>
        </w:tc>
        <w:tc>
          <w:tcPr>
            <w:tcW w:w="353" w:type="pct"/>
            <w:shd w:val="clear" w:color="auto" w:fill="FFFFFF"/>
            <w:noWrap w:val="0"/>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642" w:type="pct"/>
            <w:shd w:val="clear" w:color="auto" w:fill="FFFFFF"/>
            <w:noWrap w:val="0"/>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1727" w:type="pct"/>
            <w:shd w:val="clear" w:color="auto" w:fill="FFFFFF"/>
            <w:noWrap w:val="0"/>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308" w:type="pct"/>
            <w:noWrap/>
            <w:vAlign w:val="center"/>
          </w:tcPr>
          <w:p>
            <w:pPr>
              <w:widowControl/>
              <w:spacing w:line="26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2</w:t>
            </w:r>
          </w:p>
        </w:tc>
        <w:tc>
          <w:tcPr>
            <w:tcW w:w="1489" w:type="pct"/>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具有相应的监控机制，采取相应的财务检查措施。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8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29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1727" w:type="pct"/>
            <w:shd w:val="clear" w:color="auto" w:fill="FFFFFF"/>
            <w:noWrap w:val="0"/>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308"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3.45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86.23%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6</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kern w:val="0"/>
                <w:szCs w:val="21"/>
              </w:rPr>
            </w:pPr>
            <w:r>
              <w:rPr>
                <w:rFonts w:hint="eastAsia"/>
                <w:kern w:val="0"/>
                <w:szCs w:val="21"/>
                <w:lang w:val="en-US" w:eastAsia="zh-CN"/>
              </w:rPr>
              <w:t>100%</w:t>
            </w:r>
            <w:r>
              <w:rPr>
                <w:rFonts w:hint="eastAsia"/>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182" w:type="pct"/>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296" w:type="pct"/>
            <w:vMerge w:val="restart"/>
            <w:shd w:val="clear" w:color="auto" w:fill="FFFFFF"/>
            <w:noWrap w:val="0"/>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1727" w:type="pct"/>
            <w:vMerge w:val="restart"/>
            <w:shd w:val="clear" w:color="auto" w:fill="FFFFFF"/>
            <w:noWrap w:val="0"/>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项目前期费用支出可以保障项目后续可持续开展建设。带来经济效益。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1727" w:type="pct"/>
            <w:vMerge w:val="continue"/>
            <w:noWrap w:val="0"/>
            <w:vAlign w:val="center"/>
          </w:tcPr>
          <w:p>
            <w:pPr>
              <w:widowControl/>
              <w:spacing w:line="240" w:lineRule="exact"/>
              <w:jc w:val="left"/>
              <w:rPr>
                <w:kern w:val="0"/>
                <w:szCs w:val="21"/>
              </w:rPr>
            </w:pP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项目前期费用支出可以提升园区整体形象，提升整体社会效益。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642"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1727" w:type="pct"/>
            <w:vMerge w:val="continue"/>
            <w:noWrap w:val="0"/>
            <w:vAlign w:val="center"/>
          </w:tcPr>
          <w:p>
            <w:pPr>
              <w:widowControl/>
              <w:spacing w:line="240" w:lineRule="exact"/>
              <w:jc w:val="left"/>
              <w:rPr>
                <w:kern w:val="0"/>
                <w:szCs w:val="21"/>
              </w:rPr>
            </w:pP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4</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项目实施对园区的生态效益有所提升。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kern w:val="0"/>
                <w:szCs w:val="21"/>
              </w:rPr>
            </w:pPr>
            <w:r>
              <w:rPr>
                <w:rFonts w:hint="eastAsia"/>
                <w:kern w:val="0"/>
                <w:szCs w:val="21"/>
              </w:rPr>
              <w:t>可持续影响</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1727" w:type="pct"/>
            <w:vMerge w:val="continue"/>
            <w:noWrap w:val="0"/>
            <w:vAlign w:val="center"/>
          </w:tcPr>
          <w:p>
            <w:pPr>
              <w:widowControl/>
              <w:spacing w:line="240" w:lineRule="exact"/>
              <w:jc w:val="left"/>
              <w:rPr>
                <w:kern w:val="0"/>
                <w:szCs w:val="21"/>
              </w:rPr>
            </w:pPr>
          </w:p>
        </w:tc>
        <w:tc>
          <w:tcPr>
            <w:tcW w:w="308" w:type="pct"/>
            <w:noWrap/>
            <w:vAlign w:val="center"/>
          </w:tcPr>
          <w:p>
            <w:pPr>
              <w:widowControl/>
              <w:spacing w:line="240" w:lineRule="exact"/>
              <w:jc w:val="left"/>
              <w:rPr>
                <w:rFonts w:hint="eastAsia" w:eastAsia="宋体"/>
                <w:kern w:val="0"/>
                <w:szCs w:val="21"/>
                <w:lang w:val="en-US" w:eastAsia="zh-CN"/>
              </w:rPr>
            </w:pPr>
            <w:r>
              <w:rPr>
                <w:rFonts w:hint="eastAsia"/>
                <w:kern w:val="0"/>
                <w:szCs w:val="21"/>
              </w:rPr>
              <w:t>　</w:t>
            </w:r>
            <w:r>
              <w:rPr>
                <w:rFonts w:hint="eastAsia"/>
                <w:kern w:val="0"/>
                <w:szCs w:val="21"/>
                <w:lang w:val="en-US" w:eastAsia="zh-CN"/>
              </w:rPr>
              <w:t>5</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项目实施对项目后续发展产生影响可持续。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182" w:type="pct"/>
            <w:vMerge w:val="continue"/>
            <w:shd w:val="clear" w:color="auto" w:fill="auto"/>
            <w:noWrap w:val="0"/>
            <w:vAlign w:val="center"/>
          </w:tcPr>
          <w:p>
            <w:pPr>
              <w:widowControl/>
              <w:spacing w:line="240" w:lineRule="exact"/>
              <w:jc w:val="left"/>
              <w:rPr>
                <w:kern w:val="0"/>
                <w:szCs w:val="21"/>
              </w:rPr>
            </w:pPr>
          </w:p>
        </w:tc>
        <w:tc>
          <w:tcPr>
            <w:tcW w:w="296" w:type="pct"/>
            <w:vMerge w:val="continue"/>
            <w:shd w:val="clear" w:color="auto" w:fill="auto"/>
            <w:noWrap w:val="0"/>
            <w:vAlign w:val="center"/>
          </w:tcPr>
          <w:p>
            <w:pPr>
              <w:widowControl/>
              <w:spacing w:line="240" w:lineRule="exact"/>
              <w:jc w:val="left"/>
              <w:rPr>
                <w:kern w:val="0"/>
                <w:szCs w:val="21"/>
              </w:rPr>
            </w:pPr>
          </w:p>
        </w:tc>
        <w:tc>
          <w:tcPr>
            <w:tcW w:w="353" w:type="pct"/>
            <w:shd w:val="clear" w:color="auto" w:fill="FFFFFF"/>
            <w:noWrap w:val="0"/>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642"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1727" w:type="pct"/>
            <w:shd w:val="clear" w:color="auto" w:fill="FFFFFF"/>
            <w:noWrap w:val="0"/>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308" w:type="pct"/>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w:t>
            </w:r>
          </w:p>
        </w:tc>
        <w:tc>
          <w:tcPr>
            <w:tcW w:w="1489" w:type="pct"/>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提升周边群众对园区的满意度。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3201" w:type="pct"/>
            <w:gridSpan w:val="5"/>
            <w:tcBorders>
              <w:bottom w:val="single" w:color="auto" w:sz="12" w:space="0"/>
            </w:tcBorders>
            <w:shd w:val="clear" w:color="auto" w:fill="FFFFFF"/>
            <w:noWrap w:val="0"/>
            <w:vAlign w:val="center"/>
          </w:tcPr>
          <w:p>
            <w:pPr>
              <w:widowControl/>
              <w:spacing w:line="240" w:lineRule="exact"/>
              <w:jc w:val="center"/>
              <w:rPr>
                <w:kern w:val="0"/>
                <w:szCs w:val="21"/>
              </w:rPr>
            </w:pPr>
            <w:r>
              <w:rPr>
                <w:rFonts w:hint="eastAsia"/>
                <w:kern w:val="0"/>
                <w:szCs w:val="21"/>
              </w:rPr>
              <w:t>合计</w:t>
            </w:r>
          </w:p>
        </w:tc>
        <w:tc>
          <w:tcPr>
            <w:tcW w:w="308" w:type="pct"/>
            <w:tcBorders>
              <w:bottom w:val="single" w:color="auto" w:sz="12" w:space="0"/>
            </w:tcBorders>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97.45</w:t>
            </w:r>
          </w:p>
        </w:tc>
        <w:tc>
          <w:tcPr>
            <w:tcW w:w="1489" w:type="pct"/>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 w:hAnsi="宋体" w:eastAsia="Times New Roman"/>
          <w:sz w:val="33"/>
          <w:szCs w:val="33"/>
        </w:rPr>
        <w:sectPr>
          <w:pgSz w:w="11907" w:h="16840"/>
          <w:pgMar w:top="2098" w:right="1474" w:bottom="1928" w:left="1588" w:header="851" w:footer="992" w:gutter="0"/>
          <w:cols w:space="720" w:num="1"/>
          <w:docGrid w:type="lines" w:linePitch="312" w:charSpace="0"/>
        </w:sectPr>
      </w:pPr>
    </w:p>
    <w:p>
      <w:pPr>
        <w:spacing w:line="620" w:lineRule="exact"/>
        <w:jc w:val="left"/>
        <w:rPr>
          <w:rFonts w:hint="default" w:ascii="仿宋_GB2312" w:hAnsi="仿宋_GB2312" w:eastAsia="仿宋_GB2312" w:cs="仿宋_GB2312"/>
          <w:color w:val="000000"/>
          <w:spacing w:val="-17"/>
          <w:kern w:val="0"/>
          <w:sz w:val="32"/>
          <w:szCs w:val="32"/>
          <w:lang w:val="en-US" w:eastAsia="zh-CN"/>
        </w:rPr>
      </w:pPr>
      <w:r>
        <w:rPr>
          <w:rFonts w:hint="eastAsia" w:ascii="仿宋_GB2312" w:hAnsi="仿宋_GB2312" w:eastAsia="仿宋_GB2312" w:cs="仿宋_GB2312"/>
          <w:color w:val="000000"/>
          <w:spacing w:val="-17"/>
          <w:kern w:val="0"/>
          <w:sz w:val="32"/>
          <w:szCs w:val="32"/>
          <w:lang w:val="en-US" w:eastAsia="zh-CN"/>
        </w:rPr>
        <w:t>附件3-2</w:t>
      </w:r>
    </w:p>
    <w:p>
      <w:pPr>
        <w:spacing w:line="620" w:lineRule="exact"/>
        <w:jc w:val="center"/>
        <w:rPr>
          <w:rFonts w:eastAsia="方正小标宋简体"/>
          <w:color w:val="000000"/>
          <w:spacing w:val="-17"/>
          <w:kern w:val="0"/>
          <w:sz w:val="44"/>
          <w:szCs w:val="44"/>
        </w:rPr>
      </w:pPr>
      <w:r>
        <w:rPr>
          <w:rFonts w:eastAsia="方正小标宋简体"/>
          <w:color w:val="000000"/>
          <w:spacing w:val="-17"/>
          <w:kern w:val="0"/>
          <w:sz w:val="44"/>
          <w:szCs w:val="44"/>
        </w:rPr>
        <w:t>202</w:t>
      </w:r>
      <w:r>
        <w:rPr>
          <w:rFonts w:hint="eastAsia" w:eastAsia="方正小标宋简体"/>
          <w:color w:val="000000"/>
          <w:spacing w:val="-17"/>
          <w:kern w:val="0"/>
          <w:sz w:val="44"/>
          <w:szCs w:val="44"/>
        </w:rPr>
        <w:t>2年度乐至县项目支出绩效目标完成情况表</w:t>
      </w:r>
    </w:p>
    <w:p>
      <w:pPr>
        <w:pStyle w:val="7"/>
        <w:spacing w:line="240" w:lineRule="exact"/>
        <w:rPr>
          <w:rFonts w:ascii="宋体"/>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49"/>
        <w:gridCol w:w="618"/>
        <w:gridCol w:w="822"/>
        <w:gridCol w:w="749"/>
        <w:gridCol w:w="1615"/>
        <w:gridCol w:w="1673"/>
        <w:gridCol w:w="2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7613" w:type="dxa"/>
            <w:gridSpan w:val="6"/>
            <w:tcBorders>
              <w:top w:val="single" w:color="auto" w:sz="12" w:space="0"/>
            </w:tcBorders>
            <w:noWrap/>
            <w:vAlign w:val="center"/>
          </w:tcPr>
          <w:p>
            <w:pPr>
              <w:widowControl/>
              <w:spacing w:line="240" w:lineRule="exact"/>
              <w:jc w:val="center"/>
              <w:rPr>
                <w:color w:val="000000"/>
                <w:kern w:val="0"/>
                <w:szCs w:val="21"/>
              </w:rPr>
            </w:pPr>
            <w:r>
              <w:rPr>
                <w:rFonts w:hint="eastAsia" w:ascii="Times New Roman" w:hAnsi="Times New Roman" w:cs="Times New Roman"/>
                <w:color w:val="000000"/>
                <w:kern w:val="0"/>
                <w:szCs w:val="21"/>
                <w:lang w:val="en-US" w:eastAsia="zh-CN"/>
              </w:rPr>
              <w:t>四川乐至国家林业科技示范园区扶贫建设项目</w:t>
            </w:r>
            <w:r>
              <w:rPr>
                <w:rFonts w:hint="eastAsia" w:ascii="Times New Roman" w:hAnsi="Times New Roman" w:cs="Times New Roman"/>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2364" w:type="dxa"/>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3809" w:type="dxa"/>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rFonts w:hint="eastAsia" w:eastAsia="宋体"/>
                <w:color w:val="000000"/>
                <w:kern w:val="0"/>
                <w:szCs w:val="21"/>
                <w:lang w:eastAsia="zh-CN"/>
              </w:rPr>
            </w:pPr>
            <w:r>
              <w:rPr>
                <w:rFonts w:hint="eastAsia"/>
                <w:color w:val="000000"/>
                <w:kern w:val="0"/>
                <w:szCs w:val="21"/>
                <w:lang w:eastAsia="zh-CN"/>
              </w:rPr>
              <w:t>□</w:t>
            </w:r>
          </w:p>
        </w:tc>
        <w:tc>
          <w:tcPr>
            <w:tcW w:w="822" w:type="dxa"/>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c>
          <w:tcPr>
            <w:tcW w:w="2364" w:type="dxa"/>
            <w:gridSpan w:val="2"/>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c>
          <w:tcPr>
            <w:tcW w:w="3809" w:type="dxa"/>
            <w:gridSpan w:val="2"/>
            <w:noWrap/>
            <w:vAlign w:val="center"/>
          </w:tcPr>
          <w:p>
            <w:pPr>
              <w:spacing w:line="240" w:lineRule="exact"/>
              <w:jc w:val="center"/>
              <w:rPr>
                <w:rFonts w:hint="eastAsia" w:eastAsia="宋体"/>
                <w:szCs w:val="21"/>
                <w:lang w:eastAsia="zh-CN"/>
              </w:rPr>
            </w:pPr>
            <w:r>
              <w:rPr>
                <w:rFonts w:hint="eastAsia"/>
                <w:color w:val="000000"/>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3804" w:type="dxa"/>
            <w:gridSpan w:val="4"/>
            <w:noWrap/>
            <w:vAlign w:val="center"/>
          </w:tcPr>
          <w:p>
            <w:pPr>
              <w:widowControl/>
              <w:spacing w:line="240" w:lineRule="exact"/>
              <w:jc w:val="center"/>
              <w:rPr>
                <w:color w:val="000000"/>
                <w:kern w:val="0"/>
                <w:szCs w:val="21"/>
              </w:rPr>
            </w:pPr>
            <w:r>
              <w:rPr>
                <w:rFonts w:hint="eastAsia"/>
                <w:color w:val="000000"/>
                <w:kern w:val="0"/>
                <w:szCs w:val="21"/>
                <w:lang w:val="en-US" w:eastAsia="zh-CN"/>
              </w:rPr>
              <w:t>乐至县国家农村产业融合发展示范园管理委员会</w:t>
            </w:r>
            <w:r>
              <w:rPr>
                <w:rFonts w:hint="eastAsia"/>
                <w:color w:val="000000"/>
                <w:kern w:val="0"/>
                <w:szCs w:val="21"/>
              </w:rPr>
              <w:t>　</w:t>
            </w:r>
          </w:p>
        </w:tc>
        <w:tc>
          <w:tcPr>
            <w:tcW w:w="1673" w:type="dxa"/>
            <w:noWrap/>
            <w:vAlign w:val="center"/>
          </w:tcPr>
          <w:p>
            <w:pPr>
              <w:widowControl/>
              <w:spacing w:line="240" w:lineRule="exact"/>
              <w:jc w:val="center"/>
              <w:rPr>
                <w:color w:val="000000"/>
                <w:kern w:val="0"/>
                <w:szCs w:val="21"/>
              </w:rPr>
            </w:pPr>
            <w:r>
              <w:rPr>
                <w:rFonts w:hint="eastAsia"/>
                <w:color w:val="000000"/>
                <w:kern w:val="0"/>
                <w:szCs w:val="21"/>
              </w:rPr>
              <w:t>预算单位编码</w:t>
            </w:r>
          </w:p>
        </w:tc>
        <w:tc>
          <w:tcPr>
            <w:tcW w:w="2136"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150001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749" w:type="dxa"/>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749" w:type="dxa"/>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1615"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673"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136"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822"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400</w:t>
            </w:r>
          </w:p>
        </w:tc>
        <w:tc>
          <w:tcPr>
            <w:tcW w:w="74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822"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400</w:t>
            </w:r>
          </w:p>
        </w:tc>
        <w:tc>
          <w:tcPr>
            <w:tcW w:w="749"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400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822"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74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749" w:type="dxa"/>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合计</w:t>
            </w:r>
          </w:p>
        </w:tc>
        <w:tc>
          <w:tcPr>
            <w:tcW w:w="749" w:type="dxa"/>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1615" w:type="dxa"/>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1673" w:type="dxa"/>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2136" w:type="dxa"/>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822"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400</w:t>
            </w:r>
          </w:p>
        </w:tc>
        <w:tc>
          <w:tcPr>
            <w:tcW w:w="74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822"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400</w:t>
            </w:r>
          </w:p>
        </w:tc>
        <w:tc>
          <w:tcPr>
            <w:tcW w:w="74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400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822"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74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822"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74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822"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749"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15"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1673"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c>
          <w:tcPr>
            <w:tcW w:w="2136" w:type="dxa"/>
            <w:noWrap/>
            <w:vAlign w:val="center"/>
          </w:tcPr>
          <w:p>
            <w:pPr>
              <w:widowControl/>
              <w:spacing w:line="240" w:lineRule="exact"/>
              <w:jc w:val="left"/>
              <w:rPr>
                <w:rFonts w:hint="eastAsia"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749" w:type="dxa"/>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1440"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2364"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3809"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1440" w:type="dxa"/>
            <w:gridSpan w:val="2"/>
            <w:noWrap/>
            <w:vAlign w:val="center"/>
          </w:tcPr>
          <w:p>
            <w:pPr>
              <w:widowControl/>
              <w:spacing w:line="240" w:lineRule="exact"/>
              <w:jc w:val="left"/>
              <w:rPr>
                <w:color w:val="C00000"/>
                <w:kern w:val="0"/>
                <w:szCs w:val="21"/>
              </w:rPr>
            </w:pPr>
            <w:r>
              <w:rPr>
                <w:rFonts w:hint="eastAsia" w:eastAsia="方正仿宋简体"/>
                <w:sz w:val="18"/>
                <w:szCs w:val="18"/>
                <w:lang w:val="en-US" w:eastAsia="zh-CN"/>
              </w:rPr>
              <w:t>目标1:</w:t>
            </w:r>
          </w:p>
        </w:tc>
        <w:tc>
          <w:tcPr>
            <w:tcW w:w="2364" w:type="dxa"/>
            <w:gridSpan w:val="2"/>
            <w:noWrap/>
            <w:vAlign w:val="center"/>
          </w:tcPr>
          <w:p>
            <w:pPr>
              <w:widowControl/>
              <w:spacing w:line="240" w:lineRule="exact"/>
              <w:jc w:val="center"/>
              <w:rPr>
                <w:rFonts w:hint="default"/>
                <w:color w:val="C00000"/>
                <w:kern w:val="0"/>
                <w:szCs w:val="21"/>
                <w:lang w:val="en-US"/>
              </w:rPr>
            </w:pPr>
            <w:r>
              <w:rPr>
                <w:rFonts w:hint="eastAsia" w:eastAsia="方正仿宋简体"/>
                <w:sz w:val="18"/>
                <w:szCs w:val="18"/>
                <w:lang w:val="en-US" w:eastAsia="zh-CN"/>
              </w:rPr>
              <w:t>各子项目的前期费用支付率达到86.23%</w:t>
            </w:r>
          </w:p>
        </w:tc>
        <w:tc>
          <w:tcPr>
            <w:tcW w:w="3809" w:type="dxa"/>
            <w:gridSpan w:val="2"/>
            <w:noWrap/>
            <w:vAlign w:val="center"/>
          </w:tcPr>
          <w:p>
            <w:pPr>
              <w:widowControl/>
              <w:spacing w:line="240" w:lineRule="exact"/>
              <w:jc w:val="center"/>
              <w:rPr>
                <w:rFonts w:hint="default" w:eastAsia="宋体"/>
                <w:color w:val="C00000"/>
                <w:kern w:val="0"/>
                <w:szCs w:val="21"/>
                <w:lang w:val="en-US" w:eastAsia="zh-CN"/>
              </w:rPr>
            </w:pPr>
            <w:r>
              <w:rPr>
                <w:rFonts w:hint="eastAsia"/>
                <w:color w:val="C00000"/>
                <w:kern w:val="0"/>
                <w:szCs w:val="21"/>
              </w:rPr>
              <w:t>　</w:t>
            </w:r>
            <w:r>
              <w:rPr>
                <w:rFonts w:hint="eastAsia" w:eastAsia="方正仿宋简体"/>
                <w:sz w:val="18"/>
                <w:szCs w:val="18"/>
                <w:lang w:val="en-US" w:eastAsia="zh-CN"/>
              </w:rPr>
              <w:t>实际完成率86.23%，按合同约定的进度支付。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749" w:type="dxa"/>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618" w:type="dxa"/>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749" w:type="dxa"/>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1615" w:type="dxa"/>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673" w:type="dxa"/>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136" w:type="dxa"/>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749"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61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支持项目数1个</w:t>
            </w:r>
          </w:p>
        </w:tc>
        <w:tc>
          <w:tcPr>
            <w:tcW w:w="1673"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1个</w:t>
            </w:r>
          </w:p>
        </w:tc>
        <w:tc>
          <w:tcPr>
            <w:tcW w:w="2136"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color w:val="000000"/>
                <w:kern w:val="0"/>
                <w:szCs w:val="21"/>
              </w:rPr>
            </w:pP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749"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61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工程质量合格率≥90%</w:t>
            </w:r>
          </w:p>
        </w:tc>
        <w:tc>
          <w:tcPr>
            <w:tcW w:w="1673"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95%</w:t>
            </w:r>
          </w:p>
        </w:tc>
        <w:tc>
          <w:tcPr>
            <w:tcW w:w="2136"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color w:val="000000"/>
                <w:kern w:val="0"/>
                <w:szCs w:val="21"/>
              </w:rPr>
            </w:pPr>
          </w:p>
        </w:tc>
        <w:tc>
          <w:tcPr>
            <w:tcW w:w="822" w:type="dxa"/>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749"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615" w:type="dxa"/>
            <w:noWrap/>
            <w:vAlign w:val="center"/>
          </w:tcPr>
          <w:p>
            <w:pPr>
              <w:widowControl/>
              <w:spacing w:line="240" w:lineRule="exact"/>
              <w:jc w:val="left"/>
              <w:rPr>
                <w:color w:val="000000"/>
                <w:kern w:val="0"/>
                <w:szCs w:val="21"/>
              </w:rPr>
            </w:pPr>
            <w:r>
              <w:rPr>
                <w:rFonts w:hint="eastAsia"/>
                <w:color w:val="000000"/>
                <w:kern w:val="0"/>
                <w:szCs w:val="21"/>
                <w:lang w:val="en-US" w:eastAsia="zh-CN"/>
              </w:rPr>
              <w:t>建设任务完成率≥80%</w:t>
            </w:r>
          </w:p>
        </w:tc>
        <w:tc>
          <w:tcPr>
            <w:tcW w:w="1673"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97%</w:t>
            </w:r>
          </w:p>
        </w:tc>
        <w:tc>
          <w:tcPr>
            <w:tcW w:w="2136"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color w:val="000000"/>
                <w:kern w:val="0"/>
                <w:szCs w:val="21"/>
              </w:rPr>
            </w:pPr>
          </w:p>
        </w:tc>
        <w:tc>
          <w:tcPr>
            <w:tcW w:w="822"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成本指标</w:t>
            </w:r>
          </w:p>
        </w:tc>
        <w:tc>
          <w:tcPr>
            <w:tcW w:w="749" w:type="dxa"/>
            <w:noWrap/>
            <w:vAlign w:val="center"/>
          </w:tcPr>
          <w:p>
            <w:pPr>
              <w:widowControl/>
              <w:spacing w:line="240" w:lineRule="exact"/>
              <w:jc w:val="left"/>
              <w:rPr>
                <w:rFonts w:hint="eastAsia"/>
                <w:color w:val="000000"/>
                <w:kern w:val="0"/>
                <w:szCs w:val="21"/>
              </w:rPr>
            </w:pPr>
            <w:r>
              <w:rPr>
                <w:rFonts w:hint="eastAsia"/>
                <w:color w:val="000000"/>
                <w:kern w:val="0"/>
                <w:szCs w:val="21"/>
              </w:rPr>
              <w:t>指标</w:t>
            </w:r>
            <w:r>
              <w:rPr>
                <w:color w:val="000000"/>
                <w:kern w:val="0"/>
                <w:szCs w:val="21"/>
              </w:rPr>
              <w:t>1:</w:t>
            </w:r>
          </w:p>
        </w:tc>
        <w:tc>
          <w:tcPr>
            <w:tcW w:w="161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概算控制基本符合要求的项目比例≥80%</w:t>
            </w:r>
          </w:p>
        </w:tc>
        <w:tc>
          <w:tcPr>
            <w:tcW w:w="1673" w:type="dxa"/>
            <w:noWrap/>
            <w:vAlign w:val="center"/>
          </w:tcPr>
          <w:p>
            <w:pPr>
              <w:widowControl/>
              <w:spacing w:line="240" w:lineRule="exact"/>
              <w:jc w:val="center"/>
              <w:rPr>
                <w:rFonts w:hint="default"/>
                <w:color w:val="000000"/>
                <w:kern w:val="0"/>
                <w:szCs w:val="21"/>
                <w:lang w:val="en-US" w:eastAsia="zh-CN"/>
              </w:rPr>
            </w:pPr>
            <w:r>
              <w:rPr>
                <w:rFonts w:hint="eastAsia"/>
                <w:color w:val="000000"/>
                <w:kern w:val="0"/>
                <w:szCs w:val="21"/>
                <w:lang w:val="en-US" w:eastAsia="zh-CN"/>
              </w:rPr>
              <w:t>100%</w:t>
            </w:r>
          </w:p>
        </w:tc>
        <w:tc>
          <w:tcPr>
            <w:tcW w:w="2136" w:type="dxa"/>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restart"/>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效益指标</w:t>
            </w:r>
          </w:p>
        </w:tc>
        <w:tc>
          <w:tcPr>
            <w:tcW w:w="822" w:type="dxa"/>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社会效益指标</w:t>
            </w:r>
          </w:p>
        </w:tc>
        <w:tc>
          <w:tcPr>
            <w:tcW w:w="74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指标1：</w:t>
            </w:r>
          </w:p>
        </w:tc>
        <w:tc>
          <w:tcPr>
            <w:tcW w:w="161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对当地产业发展，农业可持续推动作用≥80%</w:t>
            </w:r>
          </w:p>
        </w:tc>
        <w:tc>
          <w:tcPr>
            <w:tcW w:w="1673"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90%</w:t>
            </w:r>
          </w:p>
        </w:tc>
        <w:tc>
          <w:tcPr>
            <w:tcW w:w="2136" w:type="dxa"/>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rFonts w:hint="eastAsia"/>
                <w:color w:val="000000"/>
                <w:kern w:val="0"/>
                <w:szCs w:val="21"/>
                <w:lang w:val="en-US" w:eastAsia="zh-CN"/>
              </w:rPr>
            </w:pPr>
          </w:p>
        </w:tc>
        <w:tc>
          <w:tcPr>
            <w:tcW w:w="822" w:type="dxa"/>
            <w:noWrap w:val="0"/>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经济效益指标</w:t>
            </w:r>
          </w:p>
        </w:tc>
        <w:tc>
          <w:tcPr>
            <w:tcW w:w="749" w:type="dxa"/>
            <w:noWrap/>
            <w:vAlign w:val="center"/>
          </w:tcPr>
          <w:p>
            <w:pPr>
              <w:widowControl/>
              <w:spacing w:line="240" w:lineRule="exact"/>
              <w:jc w:val="left"/>
              <w:rPr>
                <w:rFonts w:hint="eastAsia"/>
                <w:color w:val="000000"/>
                <w:kern w:val="0"/>
                <w:szCs w:val="21"/>
                <w:lang w:val="en-US" w:eastAsia="zh-CN"/>
              </w:rPr>
            </w:pPr>
            <w:r>
              <w:rPr>
                <w:rFonts w:hint="eastAsia"/>
                <w:color w:val="000000"/>
                <w:kern w:val="0"/>
                <w:szCs w:val="21"/>
                <w:lang w:val="en-US" w:eastAsia="zh-CN"/>
              </w:rPr>
              <w:t>指标1：</w:t>
            </w:r>
          </w:p>
        </w:tc>
        <w:tc>
          <w:tcPr>
            <w:tcW w:w="1615" w:type="dxa"/>
            <w:noWrap/>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对当地经济和农民增收的促进率≥80%</w:t>
            </w:r>
          </w:p>
        </w:tc>
        <w:tc>
          <w:tcPr>
            <w:tcW w:w="1673" w:type="dxa"/>
            <w:noWrap/>
            <w:vAlign w:val="center"/>
          </w:tcPr>
          <w:p>
            <w:pPr>
              <w:widowControl/>
              <w:spacing w:line="240" w:lineRule="exact"/>
              <w:jc w:val="center"/>
              <w:rPr>
                <w:rFonts w:hint="default"/>
                <w:color w:val="000000"/>
                <w:kern w:val="0"/>
                <w:szCs w:val="21"/>
                <w:lang w:val="en-US" w:eastAsia="zh-CN"/>
              </w:rPr>
            </w:pPr>
            <w:r>
              <w:rPr>
                <w:rFonts w:hint="eastAsia"/>
                <w:color w:val="000000"/>
                <w:kern w:val="0"/>
                <w:szCs w:val="21"/>
                <w:lang w:val="en-US" w:eastAsia="zh-CN"/>
              </w:rPr>
              <w:t>82%</w:t>
            </w:r>
          </w:p>
        </w:tc>
        <w:tc>
          <w:tcPr>
            <w:tcW w:w="2136" w:type="dxa"/>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rFonts w:hint="eastAsia"/>
                <w:color w:val="000000"/>
                <w:kern w:val="0"/>
                <w:szCs w:val="21"/>
                <w:lang w:val="en-US" w:eastAsia="zh-CN"/>
              </w:rPr>
            </w:pPr>
          </w:p>
        </w:tc>
        <w:tc>
          <w:tcPr>
            <w:tcW w:w="822" w:type="dxa"/>
            <w:noWrap w:val="0"/>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生态效益指标</w:t>
            </w:r>
          </w:p>
        </w:tc>
        <w:tc>
          <w:tcPr>
            <w:tcW w:w="749" w:type="dxa"/>
            <w:noWrap/>
            <w:vAlign w:val="center"/>
          </w:tcPr>
          <w:p>
            <w:pPr>
              <w:widowControl/>
              <w:spacing w:line="240" w:lineRule="exact"/>
              <w:jc w:val="left"/>
              <w:rPr>
                <w:rFonts w:hint="eastAsia"/>
                <w:color w:val="000000"/>
                <w:kern w:val="0"/>
                <w:szCs w:val="21"/>
                <w:lang w:val="en-US" w:eastAsia="zh-CN"/>
              </w:rPr>
            </w:pPr>
          </w:p>
        </w:tc>
        <w:tc>
          <w:tcPr>
            <w:tcW w:w="1615" w:type="dxa"/>
            <w:noWrap/>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对改善生态环境，发展绿色农业的促进作用≥80%</w:t>
            </w:r>
          </w:p>
        </w:tc>
        <w:tc>
          <w:tcPr>
            <w:tcW w:w="1673" w:type="dxa"/>
            <w:noWrap/>
            <w:vAlign w:val="center"/>
          </w:tcPr>
          <w:p>
            <w:pPr>
              <w:widowControl/>
              <w:spacing w:line="240" w:lineRule="exact"/>
              <w:jc w:val="center"/>
              <w:rPr>
                <w:rFonts w:hint="default"/>
                <w:color w:val="000000"/>
                <w:kern w:val="0"/>
                <w:szCs w:val="21"/>
                <w:lang w:val="en-US" w:eastAsia="zh-CN"/>
              </w:rPr>
            </w:pPr>
            <w:r>
              <w:rPr>
                <w:rFonts w:hint="eastAsia"/>
                <w:color w:val="000000"/>
                <w:kern w:val="0"/>
                <w:szCs w:val="21"/>
                <w:lang w:val="en-US" w:eastAsia="zh-CN"/>
              </w:rPr>
              <w:t>81%</w:t>
            </w:r>
          </w:p>
        </w:tc>
        <w:tc>
          <w:tcPr>
            <w:tcW w:w="2136" w:type="dxa"/>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70"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vMerge w:val="continue"/>
            <w:noWrap w:val="0"/>
            <w:vAlign w:val="center"/>
          </w:tcPr>
          <w:p>
            <w:pPr>
              <w:widowControl/>
              <w:spacing w:line="240" w:lineRule="exact"/>
              <w:jc w:val="left"/>
              <w:rPr>
                <w:rFonts w:hint="eastAsia"/>
                <w:color w:val="000000"/>
                <w:kern w:val="0"/>
                <w:szCs w:val="21"/>
                <w:lang w:val="en-US" w:eastAsia="zh-CN"/>
              </w:rPr>
            </w:pPr>
          </w:p>
        </w:tc>
        <w:tc>
          <w:tcPr>
            <w:tcW w:w="822" w:type="dxa"/>
            <w:noWrap w:val="0"/>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可持续影响指标</w:t>
            </w:r>
          </w:p>
        </w:tc>
        <w:tc>
          <w:tcPr>
            <w:tcW w:w="749" w:type="dxa"/>
            <w:noWrap/>
            <w:vAlign w:val="center"/>
          </w:tcPr>
          <w:p>
            <w:pPr>
              <w:widowControl/>
              <w:spacing w:line="240" w:lineRule="exact"/>
              <w:jc w:val="left"/>
              <w:rPr>
                <w:rFonts w:hint="eastAsia"/>
                <w:color w:val="000000"/>
                <w:kern w:val="0"/>
                <w:szCs w:val="21"/>
                <w:lang w:val="en-US" w:eastAsia="zh-CN"/>
              </w:rPr>
            </w:pPr>
            <w:r>
              <w:rPr>
                <w:rFonts w:hint="eastAsia"/>
                <w:color w:val="000000"/>
                <w:kern w:val="0"/>
                <w:szCs w:val="21"/>
                <w:lang w:val="en-US" w:eastAsia="zh-CN"/>
              </w:rPr>
              <w:t>指标1：</w:t>
            </w:r>
          </w:p>
        </w:tc>
        <w:tc>
          <w:tcPr>
            <w:tcW w:w="1615" w:type="dxa"/>
            <w:noWrap/>
            <w:vAlign w:val="center"/>
          </w:tcPr>
          <w:p>
            <w:pPr>
              <w:widowControl/>
              <w:spacing w:line="240" w:lineRule="exact"/>
              <w:jc w:val="left"/>
              <w:rPr>
                <w:rFonts w:hint="default"/>
                <w:color w:val="000000"/>
                <w:kern w:val="0"/>
                <w:szCs w:val="21"/>
                <w:lang w:val="en-US" w:eastAsia="zh-CN"/>
              </w:rPr>
            </w:pPr>
            <w:r>
              <w:rPr>
                <w:rFonts w:hint="eastAsia"/>
                <w:color w:val="000000"/>
                <w:kern w:val="0"/>
                <w:szCs w:val="21"/>
                <w:lang w:val="en-US" w:eastAsia="zh-CN"/>
              </w:rPr>
              <w:t>对农业可持续发展的推动作用≥80%</w:t>
            </w:r>
          </w:p>
        </w:tc>
        <w:tc>
          <w:tcPr>
            <w:tcW w:w="1673" w:type="dxa"/>
            <w:noWrap/>
            <w:vAlign w:val="center"/>
          </w:tcPr>
          <w:p>
            <w:pPr>
              <w:widowControl/>
              <w:spacing w:line="240" w:lineRule="exact"/>
              <w:jc w:val="center"/>
              <w:rPr>
                <w:rFonts w:hint="default"/>
                <w:color w:val="000000"/>
                <w:kern w:val="0"/>
                <w:szCs w:val="21"/>
                <w:lang w:val="en-US" w:eastAsia="zh-CN"/>
              </w:rPr>
            </w:pPr>
            <w:r>
              <w:rPr>
                <w:rFonts w:hint="eastAsia"/>
                <w:color w:val="000000"/>
                <w:kern w:val="0"/>
                <w:szCs w:val="21"/>
                <w:lang w:val="en-US" w:eastAsia="zh-CN"/>
              </w:rPr>
              <w:t>83%</w:t>
            </w:r>
          </w:p>
        </w:tc>
        <w:tc>
          <w:tcPr>
            <w:tcW w:w="2136" w:type="dxa"/>
            <w:noWrap/>
            <w:vAlign w:val="center"/>
          </w:tcPr>
          <w:p>
            <w:pPr>
              <w:widowControl/>
              <w:spacing w:line="240" w:lineRule="exact"/>
              <w:jc w:val="left"/>
              <w:rPr>
                <w:rFonts w:hint="eastAsia"/>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749" w:type="dxa"/>
            <w:vMerge w:val="continue"/>
            <w:noWrap w:val="0"/>
            <w:vAlign w:val="center"/>
          </w:tcPr>
          <w:p>
            <w:pPr>
              <w:widowControl/>
              <w:spacing w:line="240" w:lineRule="exact"/>
              <w:jc w:val="left"/>
              <w:rPr>
                <w:color w:val="000000"/>
                <w:kern w:val="0"/>
                <w:szCs w:val="21"/>
              </w:rPr>
            </w:pPr>
          </w:p>
        </w:tc>
        <w:tc>
          <w:tcPr>
            <w:tcW w:w="618" w:type="dxa"/>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满意度指标</w:t>
            </w:r>
          </w:p>
        </w:tc>
        <w:tc>
          <w:tcPr>
            <w:tcW w:w="822" w:type="dxa"/>
            <w:noWrap w:val="0"/>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服务对象满意度指标</w:t>
            </w:r>
          </w:p>
        </w:tc>
        <w:tc>
          <w:tcPr>
            <w:tcW w:w="749"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指标1：</w:t>
            </w:r>
          </w:p>
        </w:tc>
        <w:tc>
          <w:tcPr>
            <w:tcW w:w="1615"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lang w:val="en-US" w:eastAsia="zh-CN"/>
              </w:rPr>
              <w:t>周边全群众满意度≥80%</w:t>
            </w:r>
          </w:p>
        </w:tc>
        <w:tc>
          <w:tcPr>
            <w:tcW w:w="1673" w:type="dxa"/>
            <w:noWrap/>
            <w:vAlign w:val="center"/>
          </w:tcPr>
          <w:p>
            <w:pPr>
              <w:widowControl/>
              <w:spacing w:line="240" w:lineRule="exact"/>
              <w:jc w:val="center"/>
              <w:rPr>
                <w:rFonts w:hint="default" w:eastAsia="宋体"/>
                <w:color w:val="000000"/>
                <w:kern w:val="0"/>
                <w:szCs w:val="21"/>
                <w:lang w:val="en-US" w:eastAsia="zh-CN"/>
              </w:rPr>
            </w:pPr>
            <w:r>
              <w:rPr>
                <w:rFonts w:hint="eastAsia"/>
                <w:color w:val="000000"/>
                <w:kern w:val="0"/>
                <w:szCs w:val="21"/>
                <w:lang w:val="en-US" w:eastAsia="zh-CN"/>
              </w:rPr>
              <w:t>90%</w:t>
            </w:r>
          </w:p>
        </w:tc>
        <w:tc>
          <w:tcPr>
            <w:tcW w:w="2136" w:type="dxa"/>
            <w:noWrap/>
            <w:vAlign w:val="center"/>
          </w:tcPr>
          <w:p>
            <w:pPr>
              <w:widowControl/>
              <w:spacing w:line="240" w:lineRule="exact"/>
              <w:jc w:val="left"/>
              <w:rPr>
                <w:rFonts w:hint="eastAsia"/>
                <w:color w:val="000000"/>
                <w:kern w:val="0"/>
                <w:szCs w:val="21"/>
              </w:rPr>
            </w:pPr>
          </w:p>
        </w:tc>
      </w:tr>
    </w:tbl>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pStyle w:val="7"/>
        <w:spacing w:before="93"/>
      </w:pPr>
    </w:p>
    <w:p>
      <w:pPr>
        <w:spacing w:line="58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spacing w:line="58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2年乐至县项目支出绩效自评报告</w:t>
      </w:r>
    </w:p>
    <w:p>
      <w:pPr>
        <w:spacing w:line="580" w:lineRule="exact"/>
        <w:jc w:val="center"/>
        <w:rPr>
          <w:rFonts w:eastAsia="方正楷体简体"/>
          <w:b/>
          <w:sz w:val="32"/>
          <w:szCs w:val="32"/>
        </w:rPr>
      </w:pPr>
      <w:r>
        <w:rPr>
          <w:rFonts w:hint="eastAsia" w:eastAsia="方正楷体简体"/>
          <w:b/>
          <w:sz w:val="32"/>
          <w:szCs w:val="32"/>
        </w:rPr>
        <w:t>（</w:t>
      </w:r>
      <w:r>
        <w:rPr>
          <w:rFonts w:hint="eastAsia" w:ascii="Times New Roman Regular" w:hAnsi="Times New Roman Regular" w:eastAsia="方正楷体简体" w:cs="Times New Roman Regular"/>
          <w:b/>
          <w:sz w:val="32"/>
          <w:szCs w:val="32"/>
        </w:rPr>
        <w:t>乐至县国家农村产业融合发展示范园区建设</w:t>
      </w:r>
      <w:r>
        <w:rPr>
          <w:rFonts w:ascii="Times New Roman Regular" w:hAnsi="Times New Roman Regular" w:eastAsia="方正楷体简体" w:cs="Times New Roman Regular"/>
          <w:b/>
          <w:sz w:val="32"/>
          <w:szCs w:val="32"/>
        </w:rPr>
        <w:t>项目</w:t>
      </w:r>
      <w:r>
        <w:rPr>
          <w:rFonts w:hint="eastAsia" w:eastAsia="方正楷体简体"/>
          <w:b/>
          <w:sz w:val="32"/>
          <w:szCs w:val="32"/>
        </w:rPr>
        <w:t>）</w:t>
      </w:r>
    </w:p>
    <w:p>
      <w:pPr>
        <w:spacing w:line="580" w:lineRule="exact"/>
        <w:ind w:firstLine="640" w:firstLineChars="200"/>
        <w:rPr>
          <w:rFonts w:eastAsia="方正仿宋简体"/>
          <w:sz w:val="32"/>
          <w:szCs w:val="32"/>
        </w:rPr>
      </w:pPr>
    </w:p>
    <w:p>
      <w:pPr>
        <w:spacing w:line="580" w:lineRule="exact"/>
        <w:jc w:val="center"/>
        <w:rPr>
          <w:rFonts w:eastAsia="方正黑体简体"/>
          <w:sz w:val="32"/>
          <w:szCs w:val="32"/>
        </w:rPr>
      </w:pPr>
      <w:r>
        <w:rPr>
          <w:rFonts w:hint="eastAsia" w:eastAsia="方正黑体简体"/>
          <w:sz w:val="32"/>
          <w:szCs w:val="32"/>
        </w:rPr>
        <w:t>前</w:t>
      </w:r>
      <w:r>
        <w:rPr>
          <w:rFonts w:eastAsia="方正黑体简体"/>
          <w:sz w:val="32"/>
          <w:szCs w:val="32"/>
        </w:rPr>
        <w:t xml:space="preserve">    </w:t>
      </w:r>
      <w:r>
        <w:rPr>
          <w:rFonts w:hint="eastAsia" w:eastAsia="方正黑体简体"/>
          <w:sz w:val="32"/>
          <w:szCs w:val="32"/>
        </w:rPr>
        <w:t>言</w:t>
      </w:r>
    </w:p>
    <w:p>
      <w:pPr>
        <w:spacing w:line="580" w:lineRule="exact"/>
        <w:jc w:val="center"/>
        <w:rPr>
          <w:rFonts w:eastAsia="方正黑体简体"/>
          <w:sz w:val="32"/>
          <w:szCs w:val="32"/>
        </w:rPr>
      </w:pPr>
    </w:p>
    <w:p>
      <w:pPr>
        <w:spacing w:line="580" w:lineRule="exact"/>
        <w:ind w:firstLine="640" w:firstLineChars="200"/>
        <w:rPr>
          <w:rFonts w:eastAsia="方正黑体简体"/>
          <w:sz w:val="32"/>
          <w:szCs w:val="32"/>
        </w:rPr>
      </w:pPr>
      <w:r>
        <w:rPr>
          <w:rFonts w:hint="eastAsia" w:eastAsia="方正黑体简体"/>
          <w:sz w:val="32"/>
          <w:szCs w:val="32"/>
        </w:rPr>
        <w:t>一、项目基本情况</w:t>
      </w:r>
    </w:p>
    <w:p>
      <w:pPr>
        <w:spacing w:line="580" w:lineRule="exact"/>
        <w:ind w:firstLine="643" w:firstLineChars="200"/>
        <w:rPr>
          <w:rFonts w:eastAsia="方正楷体简体"/>
          <w:b/>
          <w:sz w:val="32"/>
          <w:szCs w:val="32"/>
        </w:rPr>
      </w:pPr>
      <w:r>
        <w:rPr>
          <w:rFonts w:hint="eastAsia" w:eastAsia="方正楷体简体"/>
          <w:b/>
          <w:sz w:val="32"/>
          <w:szCs w:val="32"/>
        </w:rPr>
        <w:t>（一）概况</w:t>
      </w:r>
    </w:p>
    <w:p>
      <w:pPr>
        <w:ind w:firstLine="640"/>
        <w:rPr>
          <w:rFonts w:eastAsia="方正仿宋简体"/>
          <w:sz w:val="32"/>
          <w:szCs w:val="32"/>
        </w:rPr>
      </w:pPr>
      <w:r>
        <w:rPr>
          <w:rFonts w:eastAsia="方正仿宋简体"/>
          <w:b/>
          <w:sz w:val="32"/>
          <w:szCs w:val="32"/>
        </w:rPr>
        <w:t>1.</w:t>
      </w:r>
      <w:r>
        <w:rPr>
          <w:rFonts w:hint="eastAsia" w:eastAsia="方正仿宋简体"/>
          <w:sz w:val="32"/>
          <w:szCs w:val="32"/>
        </w:rPr>
        <w:t>立项背景及目的</w:t>
      </w:r>
    </w:p>
    <w:p>
      <w:pPr>
        <w:ind w:firstLine="640"/>
        <w:rPr>
          <w:rFonts w:ascii="仿宋" w:hAnsi="仿宋" w:eastAsia="仿宋"/>
          <w:kern w:val="0"/>
          <w:sz w:val="32"/>
          <w:szCs w:val="32"/>
          <w:lang w:val="zh-CN"/>
        </w:rPr>
      </w:pPr>
      <w:r>
        <w:rPr>
          <w:rFonts w:hint="eastAsia" w:ascii="仿宋" w:hAnsi="仿宋" w:eastAsia="仿宋"/>
          <w:kern w:val="0"/>
          <w:sz w:val="32"/>
          <w:szCs w:val="32"/>
          <w:lang w:val="zh-CN"/>
        </w:rPr>
        <w:t>《乐至县国民经济和社会发展第十三个五年规划纲要》要求：坚持以新农村建设为统领，围绕农民持续增收、农业持续增效，以特色农业为方向，以农业产业化为突破口，大力推进现代农业“1+3”重点县项目建设，着力提高农业综合生产能力，促进农业标准化、特色化、产业化、市场化生产经营，推动优势特色农业集聚升级，构建高产、优质、高效、生态、安全的现代农业体系。</w:t>
      </w:r>
    </w:p>
    <w:p>
      <w:pPr>
        <w:pStyle w:val="4"/>
        <w:ind w:firstLine="640"/>
        <w:rPr>
          <w:rFonts w:eastAsia="方正仿宋简体"/>
          <w:szCs w:val="32"/>
        </w:rPr>
      </w:pPr>
      <w:r>
        <w:rPr>
          <w:rFonts w:hint="eastAsia"/>
          <w:szCs w:val="32"/>
        </w:rPr>
        <w:t>实施多种生态循环模式，努力打造“主体小循环、园区中循环、区县大循环”的生态循环农业发展格局；加强现代农业示范园区的辐射带动能力，重点支持“公司+合作社+农户+基地”模式，加快农业发展方式向产业化、规模化、集约化、企业化转变。鼓励支持农民专业合作社、合作社联社等农村经合组织发展，开展示范家庭农场建设，通过小农户间的联合生产形成适度的产业规模，有效构建“小农户、大产业”发展模式。</w:t>
      </w:r>
      <w:r>
        <w:rPr>
          <w:rFonts w:ascii="Times New Roman" w:hAnsi="Times New Roman"/>
          <w:color w:val="333333"/>
          <w:shd w:val="clear" w:color="auto" w:fill="FFFFFF"/>
        </w:rPr>
        <w:t>根据</w:t>
      </w:r>
      <w:r>
        <w:rPr>
          <w:rFonts w:hint="eastAsia" w:ascii="Times New Roman" w:hAnsi="Times New Roman"/>
          <w:color w:val="333333"/>
          <w:shd w:val="clear" w:color="auto" w:fill="FFFFFF"/>
          <w:lang w:val="en-US"/>
        </w:rPr>
        <w:t>乐至县</w:t>
      </w:r>
      <w:r>
        <w:rPr>
          <w:rFonts w:ascii="Times New Roman" w:hAnsi="Times New Roman"/>
          <w:color w:val="333333"/>
          <w:shd w:val="clear" w:color="auto" w:fill="FFFFFF"/>
        </w:rPr>
        <w:t>发展和改革局《关于</w:t>
      </w:r>
      <w:r>
        <w:rPr>
          <w:rFonts w:hint="eastAsia" w:ascii="Times New Roman" w:hAnsi="Times New Roman"/>
          <w:color w:val="333333"/>
          <w:shd w:val="clear" w:color="auto" w:fill="FFFFFF"/>
          <w:lang w:val="en-US"/>
        </w:rPr>
        <w:t>乐至县国家农村产业融合发展示范园建设</w:t>
      </w:r>
      <w:r>
        <w:rPr>
          <w:rFonts w:ascii="Times New Roman" w:hAnsi="Times New Roman"/>
          <w:color w:val="333333"/>
          <w:shd w:val="clear" w:color="auto" w:fill="FFFFFF"/>
        </w:rPr>
        <w:t>项目可行性研究报告（代项目建议书）的批复》设立</w:t>
      </w:r>
      <w:bookmarkStart w:id="54" w:name="_Hlk535245579"/>
      <w:r>
        <w:rPr>
          <w:rFonts w:hint="eastAsia" w:ascii="Times New Roman" w:hAnsi="Times New Roman"/>
          <w:color w:val="333333"/>
          <w:shd w:val="clear" w:color="auto" w:fill="FFFFFF"/>
          <w:lang w:val="en-US"/>
        </w:rPr>
        <w:t>乐至县国家农村产业融合发展示范园区建设</w:t>
      </w:r>
      <w:r>
        <w:rPr>
          <w:rFonts w:hint="eastAsia" w:ascii="Times New Roman" w:hAnsi="Times New Roman"/>
          <w:color w:val="333333"/>
          <w:shd w:val="clear" w:color="auto" w:fill="FFFFFF"/>
        </w:rPr>
        <w:t>项目</w:t>
      </w:r>
      <w:bookmarkEnd w:id="54"/>
      <w:r>
        <w:rPr>
          <w:rFonts w:ascii="Times New Roman" w:hAnsi="Times New Roman"/>
          <w:color w:val="000000" w:themeColor="text1"/>
          <w14:textFill>
            <w14:solidFill>
              <w14:schemeClr w14:val="tx1"/>
            </w14:solidFill>
          </w14:textFill>
        </w:rPr>
        <w:t>。</w:t>
      </w:r>
    </w:p>
    <w:p>
      <w:pPr>
        <w:spacing w:line="580" w:lineRule="exact"/>
        <w:ind w:firstLine="640" w:firstLineChars="200"/>
        <w:rPr>
          <w:rFonts w:eastAsia="方正仿宋简体"/>
          <w:sz w:val="32"/>
          <w:szCs w:val="32"/>
        </w:rPr>
      </w:pPr>
      <w:r>
        <w:rPr>
          <w:rFonts w:hint="eastAsia" w:eastAsia="方正仿宋简体"/>
          <w:sz w:val="32"/>
          <w:szCs w:val="32"/>
        </w:rPr>
        <w:t>2.预算资金来源及使用情况</w:t>
      </w:r>
    </w:p>
    <w:p>
      <w:pPr>
        <w:spacing w:line="580" w:lineRule="exact"/>
        <w:ind w:firstLine="640" w:firstLineChars="200"/>
        <w:rPr>
          <w:rFonts w:eastAsia="方正仿宋简体"/>
          <w:sz w:val="32"/>
          <w:szCs w:val="32"/>
        </w:rPr>
      </w:pPr>
      <w:r>
        <w:rPr>
          <w:rFonts w:hint="eastAsia" w:eastAsia="方正仿宋简体"/>
          <w:sz w:val="32"/>
          <w:szCs w:val="32"/>
        </w:rPr>
        <w:t>本项目总投资196273.70万元。其中工程费用178812.40万元；工程建设其他费用11744.60万元；预备费5716.70万元。资金来源于县级财政资金、债券专项资金。</w:t>
      </w:r>
    </w:p>
    <w:p>
      <w:pPr>
        <w:spacing w:line="580" w:lineRule="exact"/>
        <w:ind w:firstLine="640" w:firstLineChars="200"/>
        <w:rPr>
          <w:rFonts w:eastAsia="方正仿宋简体"/>
          <w:sz w:val="32"/>
          <w:szCs w:val="32"/>
        </w:rPr>
      </w:pPr>
      <w:r>
        <w:rPr>
          <w:rFonts w:hint="eastAsia" w:eastAsia="方正仿宋简体"/>
          <w:sz w:val="32"/>
          <w:szCs w:val="32"/>
        </w:rPr>
        <w:t>截止2022年底资金到位3.77亿元，使用资金3.77亿元，本年度使用资金3000万元，主要用于本项目工程款支付。</w:t>
      </w:r>
    </w:p>
    <w:p>
      <w:pPr>
        <w:spacing w:line="580" w:lineRule="exact"/>
        <w:ind w:firstLine="640" w:firstLineChars="200"/>
        <w:rPr>
          <w:rFonts w:eastAsia="方正仿宋简体"/>
          <w:sz w:val="32"/>
          <w:szCs w:val="32"/>
        </w:rPr>
      </w:pPr>
      <w:r>
        <w:rPr>
          <w:rFonts w:hint="eastAsia" w:eastAsia="方正仿宋简体"/>
          <w:sz w:val="32"/>
          <w:szCs w:val="32"/>
        </w:rPr>
        <w:t>3.实施情况</w:t>
      </w:r>
    </w:p>
    <w:p>
      <w:pPr>
        <w:pStyle w:val="36"/>
        <w:ind w:left="0" w:leftChars="0"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rPr>
        <w:t xml:space="preserve">本项目截至2022年12月31日，完成科博中心主体工程以及主干道路基建设。  </w:t>
      </w:r>
    </w:p>
    <w:p>
      <w:pPr>
        <w:pStyle w:val="4"/>
        <w:ind w:firstLine="643"/>
        <w:rPr>
          <w:rFonts w:eastAsia="方正仿宋简体"/>
          <w:szCs w:val="32"/>
        </w:rPr>
      </w:pPr>
      <w:r>
        <w:rPr>
          <w:rFonts w:eastAsia="方正仿宋简体"/>
          <w:b/>
          <w:szCs w:val="32"/>
        </w:rPr>
        <w:t>4.</w:t>
      </w:r>
      <w:r>
        <w:rPr>
          <w:rFonts w:hint="eastAsia" w:eastAsia="方正仿宋简体"/>
          <w:szCs w:val="32"/>
        </w:rPr>
        <w:t>组织及管理</w:t>
      </w:r>
    </w:p>
    <w:p>
      <w:pPr>
        <w:pStyle w:val="4"/>
        <w:ind w:firstLine="640"/>
        <w:rPr>
          <w:rFonts w:ascii="Times New Roman" w:hAnsi="Times New Roman"/>
          <w:lang w:val="en-US"/>
        </w:rPr>
      </w:pPr>
      <w:r>
        <w:rPr>
          <w:rFonts w:ascii="Times New Roman" w:hAnsi="Times New Roman"/>
        </w:rPr>
        <w:t>主管部门：</w:t>
      </w:r>
      <w:r>
        <w:rPr>
          <w:rFonts w:hint="eastAsia" w:ascii="Times New Roman" w:hAnsi="Times New Roman"/>
          <w:lang w:val="en-US"/>
        </w:rPr>
        <w:t>乐至县国家农村产业融合发展示范园管理委员会</w:t>
      </w:r>
      <w:r>
        <w:rPr>
          <w:rFonts w:hint="eastAsia" w:ascii="Times New Roman" w:hAnsi="Times New Roman"/>
        </w:rPr>
        <w:t>主要负责</w:t>
      </w:r>
      <w:r>
        <w:rPr>
          <w:rFonts w:hint="eastAsia" w:ascii="Times New Roman" w:hAnsi="Times New Roman"/>
          <w:lang w:val="en-US"/>
        </w:rPr>
        <w:t>项目监管</w:t>
      </w:r>
      <w:r>
        <w:rPr>
          <w:rFonts w:ascii="Times New Roman" w:hAnsi="Times New Roman"/>
        </w:rPr>
        <w:t>，</w:t>
      </w:r>
      <w:r>
        <w:rPr>
          <w:rFonts w:hint="eastAsia" w:ascii="Times New Roman" w:hAnsi="Times New Roman"/>
          <w:lang w:val="en-US" w:eastAsia="zh-Hans"/>
        </w:rPr>
        <w:t>组织</w:t>
      </w:r>
      <w:r>
        <w:rPr>
          <w:rFonts w:hint="eastAsia" w:ascii="Times New Roman" w:hAnsi="Times New Roman"/>
          <w:lang w:val="en-US"/>
        </w:rPr>
        <w:t>协调施工设计监管部门等工作。</w:t>
      </w:r>
    </w:p>
    <w:p>
      <w:pPr>
        <w:pStyle w:val="4"/>
        <w:ind w:firstLine="640"/>
        <w:rPr>
          <w:rFonts w:ascii="Times New Roman" w:hAnsi="Times New Roman"/>
          <w:lang w:val="en-US"/>
        </w:rPr>
      </w:pPr>
      <w:r>
        <w:rPr>
          <w:rFonts w:ascii="Times New Roman" w:hAnsi="Times New Roman"/>
        </w:rPr>
        <w:t>实施单位：</w:t>
      </w:r>
      <w:r>
        <w:rPr>
          <w:rFonts w:hint="eastAsia"/>
          <w:szCs w:val="32"/>
          <w:lang w:val="en-US"/>
        </w:rPr>
        <w:t>乐至县乐兴现代农业开发有限公司</w:t>
      </w:r>
      <w:r>
        <w:rPr>
          <w:rFonts w:hint="eastAsia" w:ascii="Times New Roman" w:hAnsi="Times New Roman"/>
        </w:rPr>
        <w:t>，主要负责</w:t>
      </w:r>
      <w:r>
        <w:rPr>
          <w:rFonts w:hint="eastAsia" w:ascii="Times New Roman" w:hAnsi="Times New Roman"/>
          <w:lang w:val="en-US"/>
        </w:rPr>
        <w:t>项目的具体实施。</w:t>
      </w:r>
    </w:p>
    <w:p>
      <w:pPr>
        <w:pStyle w:val="4"/>
        <w:ind w:firstLine="640"/>
        <w:rPr>
          <w:rFonts w:hint="eastAsia"/>
          <w:szCs w:val="32"/>
          <w:lang w:val="en-US"/>
        </w:rPr>
      </w:pPr>
      <w:r>
        <w:rPr>
          <w:rFonts w:hint="eastAsia"/>
          <w:szCs w:val="32"/>
          <w:lang w:val="en-US"/>
        </w:rPr>
        <w:t>勘察单位：大连市勘察测绘研究院</w:t>
      </w:r>
    </w:p>
    <w:p>
      <w:pPr>
        <w:pStyle w:val="4"/>
        <w:ind w:firstLine="640"/>
        <w:rPr>
          <w:rFonts w:hint="eastAsia"/>
          <w:szCs w:val="32"/>
          <w:lang w:val="en-US"/>
        </w:rPr>
      </w:pPr>
      <w:r>
        <w:rPr>
          <w:rFonts w:hint="eastAsia"/>
          <w:szCs w:val="32"/>
          <w:lang w:val="en-US"/>
        </w:rPr>
        <w:t>设计单位：中铁城际</w:t>
      </w:r>
    </w:p>
    <w:p>
      <w:pPr>
        <w:pStyle w:val="4"/>
        <w:ind w:firstLine="640"/>
        <w:rPr>
          <w:rFonts w:hint="eastAsia"/>
          <w:szCs w:val="32"/>
          <w:lang w:val="en-US"/>
        </w:rPr>
      </w:pPr>
      <w:r>
        <w:rPr>
          <w:rFonts w:hint="eastAsia"/>
          <w:szCs w:val="32"/>
          <w:lang w:val="en-US"/>
        </w:rPr>
        <w:t>施工单位：中天誉鑫</w:t>
      </w:r>
    </w:p>
    <w:p>
      <w:pPr>
        <w:pStyle w:val="4"/>
        <w:ind w:firstLine="640"/>
        <w:rPr>
          <w:rFonts w:hint="eastAsia"/>
          <w:szCs w:val="32"/>
          <w:lang w:val="en-US"/>
        </w:rPr>
      </w:pPr>
      <w:r>
        <w:rPr>
          <w:rFonts w:hint="eastAsia"/>
          <w:szCs w:val="32"/>
          <w:lang w:val="en-US"/>
        </w:rPr>
        <w:t>监理单位：城市建设</w:t>
      </w:r>
    </w:p>
    <w:p>
      <w:pPr>
        <w:pStyle w:val="4"/>
        <w:ind w:firstLine="640"/>
        <w:rPr>
          <w:rFonts w:ascii="Times New Roman" w:hAnsi="Times New Roman"/>
        </w:rPr>
      </w:pPr>
      <w:r>
        <w:rPr>
          <w:rFonts w:hint="eastAsia" w:ascii="Times New Roman" w:hAnsi="Times New Roman"/>
        </w:rPr>
        <w:t>此</w:t>
      </w:r>
      <w:r>
        <w:rPr>
          <w:rFonts w:hint="eastAsia" w:ascii="Times New Roman" w:hAnsi="Times New Roman"/>
          <w:lang w:val="en-US" w:eastAsia="zh-Hans"/>
        </w:rPr>
        <w:t>项目</w:t>
      </w:r>
      <w:r>
        <w:rPr>
          <w:rFonts w:hint="eastAsia" w:ascii="Times New Roman" w:hAnsi="Times New Roman"/>
        </w:rPr>
        <w:t>对加强公路设施建设提供了有力的保障，</w:t>
      </w:r>
      <w:r>
        <w:rPr>
          <w:rFonts w:hint="eastAsia" w:ascii="Times New Roman" w:hAnsi="Times New Roman"/>
          <w:lang w:val="en-US"/>
        </w:rPr>
        <w:t>方便周边农户出行，增加周边农户受益</w:t>
      </w:r>
      <w:r>
        <w:rPr>
          <w:rFonts w:hint="eastAsia" w:ascii="Times New Roman" w:hAnsi="Times New Roman"/>
        </w:rPr>
        <w:t>，主要做了以下工作：</w:t>
      </w:r>
    </w:p>
    <w:p>
      <w:pPr>
        <w:pStyle w:val="4"/>
        <w:ind w:firstLine="640"/>
        <w:rPr>
          <w:rFonts w:ascii="Times New Roman" w:hAnsi="Times New Roman"/>
        </w:rPr>
      </w:pPr>
      <w:r>
        <w:rPr>
          <w:rFonts w:hint="eastAsia" w:ascii="Times New Roman" w:hAnsi="Times New Roman"/>
        </w:rPr>
        <w:t>⑴建立项目管理组织机构。为了使该项目能够顺利实施，我</w:t>
      </w:r>
      <w:r>
        <w:rPr>
          <w:rFonts w:hint="eastAsia" w:ascii="Times New Roman" w:hAnsi="Times New Roman"/>
          <w:lang w:val="en-US"/>
        </w:rPr>
        <w:t>单位</w:t>
      </w:r>
      <w:r>
        <w:rPr>
          <w:rFonts w:hint="eastAsia" w:ascii="Times New Roman" w:hAnsi="Times New Roman"/>
        </w:rPr>
        <w:t>安排由</w:t>
      </w:r>
      <w:r>
        <w:rPr>
          <w:rFonts w:hint="eastAsia" w:ascii="Times New Roman" w:hAnsi="Times New Roman"/>
          <w:lang w:val="en-US"/>
        </w:rPr>
        <w:t>乐至县乐兴现代农业开发有限公司</w:t>
      </w:r>
      <w:r>
        <w:rPr>
          <w:rFonts w:hint="eastAsia" w:ascii="Times New Roman" w:hAnsi="Times New Roman"/>
        </w:rPr>
        <w:t>牵头负责组织项目实施，</w:t>
      </w:r>
      <w:r>
        <w:rPr>
          <w:rFonts w:hint="eastAsia" w:ascii="Times New Roman" w:hAnsi="Times New Roman"/>
          <w:lang w:val="en-US"/>
        </w:rPr>
        <w:t>管委会项目管理部具体</w:t>
      </w:r>
      <w:r>
        <w:rPr>
          <w:rFonts w:hint="eastAsia" w:ascii="Times New Roman" w:hAnsi="Times New Roman"/>
        </w:rPr>
        <w:t>负责项目的实施与管理工作。严格按照相关规定，明确责任，合理分工，密切协</w:t>
      </w:r>
      <w:r>
        <w:rPr>
          <w:rFonts w:hint="eastAsia" w:ascii="Times New Roman" w:hAnsi="Times New Roman"/>
          <w:color w:val="000000" w:themeColor="text1"/>
          <w14:textFill>
            <w14:solidFill>
              <w14:schemeClr w14:val="tx1"/>
            </w14:solidFill>
          </w14:textFill>
        </w:rPr>
        <w:t>作，为项目顺利实施提供</w:t>
      </w:r>
      <w:r>
        <w:rPr>
          <w:rFonts w:hint="eastAsia" w:ascii="Times New Roman" w:hAnsi="Times New Roman"/>
        </w:rPr>
        <w:t>保障。</w:t>
      </w:r>
    </w:p>
    <w:p>
      <w:pPr>
        <w:pStyle w:val="4"/>
        <w:ind w:firstLine="640"/>
        <w:rPr>
          <w:rFonts w:eastAsia="方正仿宋简体"/>
          <w:szCs w:val="32"/>
        </w:rPr>
      </w:pPr>
      <w:r>
        <w:rPr>
          <w:rFonts w:hint="eastAsia" w:ascii="Times New Roman" w:hAnsi="Times New Roman"/>
        </w:rPr>
        <w:t>⑵管理流程。经过</w:t>
      </w:r>
      <w:r>
        <w:rPr>
          <w:rFonts w:hint="eastAsia" w:ascii="Times New Roman" w:hAnsi="Times New Roman"/>
          <w:lang w:val="en-US"/>
        </w:rPr>
        <w:t>园区党组</w:t>
      </w:r>
      <w:r>
        <w:rPr>
          <w:rFonts w:hint="eastAsia" w:ascii="Times New Roman" w:hAnsi="Times New Roman"/>
          <w:lang w:val="en-US" w:eastAsia="zh-Hans"/>
        </w:rPr>
        <w:t>会议</w:t>
      </w:r>
      <w:r>
        <w:rPr>
          <w:rFonts w:hint="eastAsia" w:ascii="Times New Roman" w:hAnsi="Times New Roman"/>
        </w:rPr>
        <w:t>研究和讨论，以</w:t>
      </w:r>
      <w:r>
        <w:rPr>
          <w:rFonts w:hint="eastAsia" w:ascii="Times New Roman" w:hAnsi="Times New Roman"/>
          <w:lang w:val="en-US"/>
        </w:rPr>
        <w:t>招投标</w:t>
      </w:r>
      <w:r>
        <w:rPr>
          <w:rFonts w:hint="eastAsia" w:ascii="Times New Roman" w:hAnsi="Times New Roman"/>
        </w:rPr>
        <w:t>方式确定施工单位，并由</w:t>
      </w:r>
      <w:r>
        <w:rPr>
          <w:rFonts w:hint="eastAsia" w:ascii="Times New Roman" w:hAnsi="Times New Roman"/>
          <w:lang w:val="en-US"/>
        </w:rPr>
        <w:t>管委会</w:t>
      </w:r>
      <w:r>
        <w:rPr>
          <w:rFonts w:hint="eastAsia" w:ascii="Times New Roman" w:hAnsi="Times New Roman"/>
        </w:rPr>
        <w:t>成立该项目施工督导小组，严格按照基本建设程序以及相关法律法规，对工程质量、进度，安全和文明施工进行全过程、全方位的现场监督管理，努力化解工程风险，努力提高工作质量和效率，明确规范管理，强化责任，确保工程质量、进度和安全文明施工。</w:t>
      </w:r>
    </w:p>
    <w:p>
      <w:pPr>
        <w:spacing w:line="580" w:lineRule="exact"/>
        <w:ind w:firstLine="643" w:firstLineChars="200"/>
        <w:rPr>
          <w:rFonts w:eastAsia="方正楷体简体"/>
          <w:b/>
          <w:sz w:val="32"/>
          <w:szCs w:val="32"/>
        </w:rPr>
      </w:pPr>
      <w:r>
        <w:rPr>
          <w:rFonts w:hint="eastAsia" w:eastAsia="方正楷体简体"/>
          <w:b/>
          <w:sz w:val="32"/>
          <w:szCs w:val="32"/>
        </w:rPr>
        <w:t>（二）绩效目标</w:t>
      </w:r>
    </w:p>
    <w:p>
      <w:pPr>
        <w:pStyle w:val="4"/>
        <w:ind w:firstLine="640"/>
        <w:rPr>
          <w:rFonts w:ascii="Times New Roman" w:hAnsi="Times New Roman"/>
        </w:rPr>
      </w:pPr>
      <w:r>
        <w:rPr>
          <w:rFonts w:hint="eastAsia" w:ascii="Times New Roman" w:hAnsi="Times New Roman"/>
          <w:lang w:val="en-US"/>
        </w:rPr>
        <w:t>1.</w:t>
      </w:r>
      <w:r>
        <w:rPr>
          <w:rFonts w:hint="eastAsia" w:ascii="Times New Roman" w:hAnsi="Times New Roman"/>
        </w:rPr>
        <w:t>项目总目标</w:t>
      </w:r>
    </w:p>
    <w:p>
      <w:pPr>
        <w:pStyle w:val="4"/>
        <w:ind w:firstLine="640"/>
        <w:rPr>
          <w:rFonts w:ascii="Times New Roman" w:hAnsi="Times New Roman"/>
        </w:rPr>
      </w:pPr>
      <w:r>
        <w:rPr>
          <w:rFonts w:hint="eastAsia" w:ascii="Times New Roman" w:hAnsi="Times New Roman"/>
          <w:lang w:val="en-US"/>
        </w:rPr>
        <w:t>完成3.8万亩园区建设；债券续存期内实现年度收支平衡和总体收支平衡；带动区域协同发展，提升区域经济发展水平。</w:t>
      </w:r>
    </w:p>
    <w:p>
      <w:pPr>
        <w:pStyle w:val="4"/>
        <w:ind w:firstLine="640"/>
        <w:rPr>
          <w:rFonts w:ascii="Times New Roman" w:hAnsi="Times New Roman"/>
          <w:lang w:val="en-US"/>
        </w:rPr>
      </w:pPr>
      <w:r>
        <w:rPr>
          <w:rFonts w:hint="eastAsia" w:ascii="Times New Roman" w:hAnsi="Times New Roman"/>
          <w:lang w:val="en-US"/>
        </w:rPr>
        <w:t>2.年度绩效目标</w:t>
      </w:r>
    </w:p>
    <w:p>
      <w:pPr>
        <w:pStyle w:val="4"/>
        <w:ind w:firstLine="640"/>
        <w:rPr>
          <w:rFonts w:ascii="Times New Roman" w:hAnsi="Times New Roman"/>
          <w:lang w:val="en-US"/>
        </w:rPr>
      </w:pPr>
      <w:r>
        <w:rPr>
          <w:rFonts w:hint="eastAsia" w:ascii="Times New Roman" w:hAnsi="Times New Roman"/>
          <w:lang w:val="en-US"/>
        </w:rPr>
        <w:t xml:space="preserve">一是完成科博中心主体工程，二是完成主干道路基建设。  </w:t>
      </w:r>
    </w:p>
    <w:p>
      <w:pPr>
        <w:spacing w:line="580" w:lineRule="exact"/>
        <w:ind w:firstLine="640" w:firstLineChars="200"/>
        <w:rPr>
          <w:rFonts w:eastAsia="方正楷体简体"/>
          <w:b/>
          <w:sz w:val="32"/>
          <w:szCs w:val="32"/>
        </w:rPr>
      </w:pPr>
      <w:r>
        <w:rPr>
          <w:rFonts w:hint="eastAsia" w:eastAsia="方正黑体简体"/>
          <w:sz w:val="32"/>
          <w:szCs w:val="32"/>
        </w:rPr>
        <w:t>二、绩效自评工作情况</w:t>
      </w:r>
    </w:p>
    <w:p>
      <w:pPr>
        <w:pStyle w:val="36"/>
        <w:ind w:left="0" w:leftChars="0" w:firstLine="640" w:firstLineChars="200"/>
        <w:rPr>
          <w:rFonts w:eastAsia="仿宋_GB2312"/>
          <w:color w:val="000000"/>
          <w:kern w:val="0"/>
          <w:sz w:val="32"/>
          <w:szCs w:val="32"/>
          <w:lang w:bidi="ar"/>
        </w:rPr>
      </w:pPr>
      <w:r>
        <w:rPr>
          <w:rFonts w:hint="eastAsia" w:ascii="Times New Roman" w:hAnsi="Times New Roman" w:eastAsia="方正仿宋简体"/>
          <w:sz w:val="32"/>
          <w:szCs w:val="32"/>
        </w:rPr>
        <w:t>成立绩效评价工作小组：结合绩效评价的要求和项目建设的特点，组建乐至县国家农村产业融合发展示范园区建设项目资金绩效评价组，为项目开展提供组织基础。本着客观公正和有效原则，</w:t>
      </w:r>
      <w:r>
        <w:rPr>
          <w:rFonts w:hint="eastAsia" w:eastAsia="仿宋_GB2312"/>
          <w:color w:val="000000"/>
          <w:kern w:val="0"/>
          <w:sz w:val="32"/>
          <w:szCs w:val="32"/>
          <w:lang w:bidi="ar"/>
        </w:rPr>
        <w:t>评价小组人员由分管领导为组长</w:t>
      </w:r>
      <w:r>
        <w:rPr>
          <w:rFonts w:eastAsia="仿宋_GB2312"/>
          <w:color w:val="000000"/>
          <w:kern w:val="0"/>
          <w:sz w:val="32"/>
          <w:szCs w:val="32"/>
          <w:lang w:eastAsia="zh-Hans" w:bidi="ar"/>
        </w:rPr>
        <w:t>、</w:t>
      </w:r>
      <w:r>
        <w:rPr>
          <w:rFonts w:hint="eastAsia" w:eastAsia="仿宋_GB2312"/>
          <w:color w:val="000000"/>
          <w:kern w:val="0"/>
          <w:sz w:val="32"/>
          <w:szCs w:val="32"/>
          <w:lang w:bidi="ar"/>
        </w:rPr>
        <w:t>各部室负责人为成</w:t>
      </w:r>
      <w:r>
        <w:rPr>
          <w:rFonts w:hint="eastAsia" w:eastAsia="仿宋_GB2312"/>
          <w:color w:val="000000"/>
          <w:kern w:val="0"/>
          <w:sz w:val="32"/>
          <w:szCs w:val="32"/>
          <w:lang w:eastAsia="zh-Hans" w:bidi="ar"/>
        </w:rPr>
        <w:t>员</w:t>
      </w:r>
      <w:r>
        <w:rPr>
          <w:rFonts w:hint="eastAsia" w:eastAsia="仿宋_GB2312"/>
          <w:color w:val="000000"/>
          <w:kern w:val="0"/>
          <w:sz w:val="32"/>
          <w:szCs w:val="32"/>
          <w:lang w:bidi="ar"/>
        </w:rPr>
        <w:t>组成，评价组按照设定的指标体系进行评价，并从各部室抽选人员进行打分，由综合办进行梳理并整改。</w:t>
      </w:r>
    </w:p>
    <w:p>
      <w:pPr>
        <w:pStyle w:val="4"/>
        <w:ind w:firstLine="640"/>
        <w:rPr>
          <w:rFonts w:eastAsia="仿宋_GB2312"/>
          <w:color w:val="000000"/>
          <w:szCs w:val="32"/>
          <w:lang w:val="en-US" w:bidi="ar"/>
        </w:rPr>
      </w:pPr>
      <w:r>
        <w:rPr>
          <w:rFonts w:hint="eastAsia" w:eastAsia="仿宋_GB2312"/>
          <w:color w:val="000000"/>
          <w:szCs w:val="32"/>
          <w:lang w:val="en-US" w:bidi="ar"/>
        </w:rPr>
        <w:t>1.</w:t>
      </w:r>
      <w:r>
        <w:rPr>
          <w:rFonts w:hint="eastAsia" w:ascii="Times New Roman" w:hAnsi="Times New Roman"/>
          <w:b/>
          <w:bCs/>
          <w:lang w:val="en-US"/>
        </w:rPr>
        <w:t>项目绩效评价工作小组成员：</w:t>
      </w:r>
    </w:p>
    <w:p>
      <w:pPr>
        <w:pStyle w:val="36"/>
        <w:ind w:left="0" w:leftChars="0" w:firstLine="640" w:firstLineChars="200"/>
        <w:rPr>
          <w:rFonts w:eastAsia="仿宋_GB2312"/>
          <w:color w:val="000000"/>
          <w:kern w:val="0"/>
          <w:sz w:val="32"/>
          <w:szCs w:val="32"/>
          <w:lang w:bidi="ar"/>
        </w:rPr>
      </w:pPr>
      <w:r>
        <w:rPr>
          <w:rFonts w:hint="eastAsia" w:eastAsia="仿宋_GB2312"/>
          <w:color w:val="000000"/>
          <w:kern w:val="0"/>
          <w:sz w:val="32"/>
          <w:szCs w:val="32"/>
          <w:lang w:bidi="ar"/>
        </w:rPr>
        <w:t>组  长：杨   宇   园区党组成员、副主任</w:t>
      </w:r>
    </w:p>
    <w:p>
      <w:pPr>
        <w:rPr>
          <w:rFonts w:eastAsia="仿宋_GB2312"/>
          <w:color w:val="000000"/>
          <w:kern w:val="0"/>
          <w:sz w:val="32"/>
          <w:szCs w:val="32"/>
          <w:lang w:bidi="ar"/>
        </w:rPr>
      </w:pPr>
      <w:r>
        <w:rPr>
          <w:rFonts w:hint="eastAsia" w:eastAsia="仿宋_GB2312"/>
          <w:color w:val="000000"/>
          <w:kern w:val="0"/>
          <w:sz w:val="32"/>
          <w:szCs w:val="32"/>
          <w:lang w:bidi="ar"/>
        </w:rPr>
        <w:t xml:space="preserve">    成  员：张   林   综合办主任</w:t>
      </w:r>
    </w:p>
    <w:p>
      <w:pPr>
        <w:pStyle w:val="36"/>
        <w:ind w:left="1060" w:hanging="640"/>
        <w:rPr>
          <w:rFonts w:eastAsia="仿宋_GB2312"/>
          <w:color w:val="000000"/>
          <w:kern w:val="0"/>
          <w:sz w:val="32"/>
          <w:szCs w:val="32"/>
          <w:lang w:bidi="ar"/>
        </w:rPr>
      </w:pPr>
      <w:r>
        <w:rPr>
          <w:rFonts w:hint="eastAsia" w:eastAsia="仿宋_GB2312"/>
          <w:color w:val="000000"/>
          <w:kern w:val="0"/>
          <w:sz w:val="32"/>
          <w:szCs w:val="32"/>
          <w:lang w:bidi="ar"/>
        </w:rPr>
        <w:t xml:space="preserve">          尹世财   产业发展部部长</w:t>
      </w:r>
    </w:p>
    <w:p>
      <w:pPr>
        <w:rPr>
          <w:rFonts w:eastAsia="仿宋_GB2312"/>
          <w:color w:val="000000"/>
          <w:kern w:val="0"/>
          <w:sz w:val="32"/>
          <w:szCs w:val="32"/>
          <w:lang w:bidi="ar"/>
        </w:rPr>
      </w:pPr>
      <w:r>
        <w:rPr>
          <w:rFonts w:hint="eastAsia" w:eastAsia="仿宋_GB2312"/>
          <w:color w:val="000000"/>
          <w:kern w:val="0"/>
          <w:sz w:val="32"/>
          <w:szCs w:val="32"/>
          <w:lang w:bidi="ar"/>
        </w:rPr>
        <w:t xml:space="preserve">             邓祖金   项目管理部部长</w:t>
      </w:r>
    </w:p>
    <w:p>
      <w:pPr>
        <w:rPr>
          <w:rFonts w:eastAsia="方正仿宋简体"/>
          <w:sz w:val="32"/>
          <w:szCs w:val="32"/>
        </w:rPr>
      </w:pPr>
      <w:r>
        <w:rPr>
          <w:rFonts w:hint="eastAsia" w:eastAsia="仿宋_GB2312"/>
          <w:color w:val="000000"/>
          <w:kern w:val="0"/>
          <w:sz w:val="32"/>
          <w:szCs w:val="32"/>
          <w:lang w:bidi="ar"/>
        </w:rPr>
        <w:t xml:space="preserve">             罗小林   农旅产品开发部部长        </w:t>
      </w:r>
    </w:p>
    <w:p>
      <w:pPr>
        <w:pStyle w:val="4"/>
        <w:ind w:firstLine="640"/>
        <w:rPr>
          <w:rFonts w:eastAsia="仿宋_GB2312"/>
          <w:color w:val="000000"/>
          <w:szCs w:val="32"/>
          <w:lang w:val="en-US" w:bidi="ar"/>
        </w:rPr>
      </w:pPr>
      <w:r>
        <w:rPr>
          <w:rFonts w:hint="eastAsia" w:eastAsia="仿宋_GB2312"/>
          <w:color w:val="000000"/>
          <w:szCs w:val="32"/>
          <w:lang w:val="en-US" w:bidi="ar"/>
        </w:rPr>
        <w:t>2.工作职责</w:t>
      </w:r>
    </w:p>
    <w:p>
      <w:pPr>
        <w:pStyle w:val="4"/>
        <w:ind w:firstLine="640"/>
        <w:rPr>
          <w:rFonts w:ascii="Times New Roman" w:hAnsi="Times New Roman"/>
          <w:lang w:val="en-US"/>
        </w:rPr>
      </w:pPr>
      <w:r>
        <w:rPr>
          <w:rFonts w:hint="eastAsia" w:ascii="Times New Roman" w:hAnsi="Times New Roman"/>
          <w:lang w:val="en-US"/>
        </w:rPr>
        <w:t>（1）组长职责：审批绩效自评</w:t>
      </w:r>
      <w:r>
        <w:rPr>
          <w:rFonts w:hint="eastAsia" w:ascii="Times New Roman" w:hAnsi="Times New Roman"/>
          <w:lang w:val="en-US" w:eastAsia="zh-Hans"/>
        </w:rPr>
        <w:t>报告</w:t>
      </w:r>
      <w:r>
        <w:rPr>
          <w:rFonts w:hint="eastAsia" w:ascii="Times New Roman" w:hAnsi="Times New Roman"/>
          <w:lang w:val="en-US"/>
        </w:rPr>
        <w:t>，监督、检查、核实绩效自评结果；</w:t>
      </w:r>
    </w:p>
    <w:p>
      <w:pPr>
        <w:pStyle w:val="4"/>
        <w:ind w:firstLine="640"/>
        <w:rPr>
          <w:rFonts w:ascii="Times New Roman" w:hAnsi="Times New Roman"/>
          <w:lang w:val="en-US"/>
        </w:rPr>
      </w:pPr>
      <w:r>
        <w:rPr>
          <w:rFonts w:hint="eastAsia" w:ascii="Times New Roman" w:hAnsi="Times New Roman"/>
          <w:lang w:val="en-US"/>
        </w:rPr>
        <w:t>（2）小组成员职责：起草和修改绩效考评</w:t>
      </w:r>
      <w:r>
        <w:rPr>
          <w:rFonts w:hint="eastAsia" w:ascii="Times New Roman" w:hAnsi="Times New Roman"/>
          <w:lang w:val="en-US" w:eastAsia="zh-Hans"/>
        </w:rPr>
        <w:t>报告</w:t>
      </w:r>
      <w:r>
        <w:rPr>
          <w:rFonts w:hint="eastAsia" w:ascii="Times New Roman" w:hAnsi="Times New Roman"/>
          <w:lang w:val="en-US"/>
        </w:rPr>
        <w:t>报自评领导工作组会议讨论通过，实施执行绩效自评方案；牵头组织并实施年度绩效自评，根据组长指示，对考评结果进行复核，完成绩效自核工作组安排的其他工作。</w:t>
      </w:r>
    </w:p>
    <w:p>
      <w:pPr>
        <w:pStyle w:val="4"/>
        <w:ind w:firstLine="640"/>
        <w:rPr>
          <w:rFonts w:ascii="Times New Roman" w:hAnsi="Times New Roman"/>
          <w:lang w:val="en-US"/>
        </w:rPr>
      </w:pPr>
      <w:r>
        <w:rPr>
          <w:rFonts w:hint="eastAsia" w:ascii="Times New Roman" w:hAnsi="Times New Roman"/>
          <w:lang w:val="en-US"/>
        </w:rPr>
        <w:t>按照县相关要求，考评工作组按照《乐至县财政支出绩效评价管理办法》相关管理规定，检查项目依据，项目经费开支情况，开展自评检查工作，对项目整体实施情况和质量进行评定，核实资金拨付情况等。</w:t>
      </w:r>
    </w:p>
    <w:p>
      <w:pPr>
        <w:spacing w:line="580" w:lineRule="exact"/>
        <w:ind w:firstLine="640" w:firstLineChars="200"/>
        <w:rPr>
          <w:rFonts w:eastAsia="方正黑体简体"/>
          <w:sz w:val="32"/>
          <w:szCs w:val="32"/>
        </w:rPr>
      </w:pPr>
      <w:r>
        <w:rPr>
          <w:rFonts w:hint="eastAsia" w:eastAsia="方正黑体简体"/>
          <w:sz w:val="32"/>
          <w:szCs w:val="32"/>
        </w:rPr>
        <w:t>三、评价结论</w:t>
      </w:r>
    </w:p>
    <w:p>
      <w:pPr>
        <w:pStyle w:val="4"/>
        <w:ind w:firstLine="640"/>
        <w:rPr>
          <w:color w:val="FF0000"/>
        </w:rPr>
      </w:pPr>
      <w:r>
        <w:rPr>
          <w:rFonts w:hint="eastAsia"/>
          <w:color w:val="333333"/>
          <w:shd w:val="clear" w:color="auto" w:fill="FFFFFF"/>
        </w:rPr>
        <w:t>评价工作小组依据《</w:t>
      </w:r>
      <w:r>
        <w:rPr>
          <w:rFonts w:hint="eastAsia"/>
          <w:color w:val="333333"/>
          <w:shd w:val="clear" w:color="auto" w:fill="FFFFFF"/>
          <w:lang w:val="en-US"/>
        </w:rPr>
        <w:t>乐至</w:t>
      </w:r>
      <w:r>
        <w:rPr>
          <w:rFonts w:hint="eastAsia"/>
          <w:color w:val="333333"/>
          <w:shd w:val="clear" w:color="auto" w:fill="FFFFFF"/>
        </w:rPr>
        <w:t>县财政支出绩效评价管理办法》规定，通过资料收集分析、指标体系搭建等方式，对</w:t>
      </w:r>
      <w:r>
        <w:rPr>
          <w:rFonts w:hint="eastAsia"/>
          <w:color w:val="333333"/>
          <w:shd w:val="clear" w:color="auto" w:fill="FFFFFF"/>
          <w:lang w:val="en-US"/>
        </w:rPr>
        <w:t>乐至县国家农村产业融合发展示范园区建设</w:t>
      </w:r>
      <w:r>
        <w:rPr>
          <w:rFonts w:hint="eastAsia"/>
          <w:color w:val="333333"/>
          <w:shd w:val="clear" w:color="auto" w:fill="FFFFFF"/>
          <w:lang w:val="en-US" w:eastAsia="zh-Hans"/>
        </w:rPr>
        <w:t>项目</w:t>
      </w:r>
      <w:r>
        <w:rPr>
          <w:rFonts w:hint="eastAsia"/>
          <w:color w:val="333333"/>
          <w:shd w:val="clear" w:color="auto" w:fill="FFFFFF"/>
        </w:rPr>
        <w:t>进行综合绩效评分，项目绩效指标分值总分为100分，其中投入25分、过程25分、产出20分、效果30分。经对本项目评价指标评分，项目绩效评分结果：总得分9</w:t>
      </w:r>
      <w:r>
        <w:rPr>
          <w:rFonts w:hint="eastAsia"/>
          <w:color w:val="333333"/>
          <w:shd w:val="clear" w:color="auto" w:fill="FFFFFF"/>
          <w:lang w:val="en-US"/>
        </w:rPr>
        <w:t>8</w:t>
      </w:r>
      <w:r>
        <w:rPr>
          <w:rFonts w:hint="eastAsia"/>
          <w:color w:val="333333"/>
          <w:shd w:val="clear" w:color="auto" w:fill="FFFFFF"/>
        </w:rPr>
        <w:t>分，绩效评价等级为“优秀”，达到预期绩效目标。</w:t>
      </w:r>
    </w:p>
    <w:p>
      <w:pPr>
        <w:spacing w:line="580" w:lineRule="exact"/>
        <w:ind w:firstLine="640" w:firstLineChars="200"/>
        <w:rPr>
          <w:rFonts w:eastAsia="方正黑体简体"/>
          <w:sz w:val="32"/>
          <w:szCs w:val="32"/>
        </w:rPr>
      </w:pPr>
      <w:r>
        <w:rPr>
          <w:rFonts w:hint="eastAsia" w:eastAsia="方正黑体简体"/>
          <w:sz w:val="32"/>
          <w:szCs w:val="32"/>
        </w:rPr>
        <w:t>四、绩效分析</w:t>
      </w:r>
    </w:p>
    <w:p>
      <w:pPr>
        <w:pStyle w:val="3"/>
        <w:ind w:left="-13" w:firstLine="643"/>
        <w:rPr>
          <w:lang w:val="en-US"/>
        </w:rPr>
      </w:pPr>
      <w:r>
        <w:rPr>
          <w:rFonts w:hint="eastAsia"/>
          <w:lang w:val="en-US" w:eastAsia="zh-CN"/>
        </w:rPr>
        <w:t>（一）</w:t>
      </w:r>
      <w:r>
        <w:rPr>
          <w:rFonts w:hint="eastAsia"/>
          <w:lang w:val="en-US"/>
        </w:rPr>
        <w:t>投入</w:t>
      </w:r>
    </w:p>
    <w:p>
      <w:pPr>
        <w:pStyle w:val="4"/>
        <w:ind w:firstLine="643"/>
        <w:rPr>
          <w:rFonts w:hint="eastAsia" w:ascii="Times New Roman Regular" w:hAnsi="Times New Roman Regular" w:cs="Times New Roman Regular"/>
          <w:b/>
          <w:bCs/>
          <w:color w:val="333333"/>
          <w:shd w:val="clear" w:color="auto" w:fill="FFFFFF"/>
          <w:lang w:val="en-US" w:eastAsia="zh-Hans"/>
        </w:rPr>
      </w:pPr>
      <w:r>
        <w:rPr>
          <w:rFonts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.项目立项</w:t>
      </w:r>
    </w:p>
    <w:p>
      <w:pPr>
        <w:pStyle w:val="4"/>
        <w:ind w:firstLine="643"/>
        <w:rPr>
          <w:color w:val="333333"/>
          <w:shd w:val="clear" w:color="auto" w:fill="FFFFFF"/>
          <w:lang w:eastAsia="zh-Hans"/>
        </w:rPr>
      </w:pPr>
      <w:r>
        <w:rPr>
          <w:rFonts w:hint="eastAsia"/>
          <w:b/>
          <w:bCs/>
          <w:color w:val="333333"/>
          <w:shd w:val="clear" w:color="auto" w:fill="FFFFFF"/>
          <w:lang w:val="en-US" w:eastAsia="zh-Hans"/>
        </w:rPr>
        <w:t>立项规范性</w:t>
      </w:r>
      <w:r>
        <w:rPr>
          <w:b/>
          <w:bCs/>
          <w:color w:val="333333"/>
          <w:shd w:val="clear" w:color="auto" w:fill="FFFFFF"/>
          <w:lang w:eastAsia="zh-Hans"/>
        </w:rPr>
        <w:t>：</w:t>
      </w:r>
      <w:r>
        <w:rPr>
          <w:color w:val="333333"/>
          <w:shd w:val="clear" w:color="auto" w:fill="FFFFFF"/>
          <w:lang w:eastAsia="zh-Hans"/>
        </w:rPr>
        <w:t>项目按照</w:t>
      </w:r>
      <w:r>
        <w:rPr>
          <w:rFonts w:hint="eastAsia"/>
          <w:color w:val="333333"/>
          <w:shd w:val="clear" w:color="auto" w:fill="FFFFFF"/>
          <w:lang w:val="en-US"/>
        </w:rPr>
        <w:t>规定</w:t>
      </w:r>
      <w:r>
        <w:rPr>
          <w:color w:val="333333"/>
          <w:shd w:val="clear" w:color="auto" w:fill="FFFFFF"/>
          <w:lang w:eastAsia="zh-Hans"/>
        </w:rPr>
        <w:t>程序申请设立；向县政府提交了</w:t>
      </w:r>
      <w:r>
        <w:rPr>
          <w:rFonts w:hint="eastAsia"/>
          <w:color w:val="333333"/>
          <w:shd w:val="clear" w:color="auto" w:fill="FFFFFF"/>
          <w:lang w:val="en-US"/>
        </w:rPr>
        <w:t>《</w:t>
      </w:r>
      <w:r>
        <w:rPr>
          <w:rFonts w:hint="eastAsia"/>
          <w:color w:val="333333"/>
          <w:shd w:val="clear" w:color="auto" w:fill="FFFFFF"/>
          <w:lang w:eastAsia="zh-Hans"/>
        </w:rPr>
        <w:t>关于</w:t>
      </w:r>
      <w:r>
        <w:rPr>
          <w:rFonts w:hint="eastAsia"/>
          <w:color w:val="333333"/>
          <w:shd w:val="clear" w:color="auto" w:fill="FFFFFF"/>
          <w:lang w:val="en-US"/>
        </w:rPr>
        <w:t>乐至县国家农村产业融合发展园区建设项目可行性研究报告（代项目建议书）</w:t>
      </w:r>
      <w:r>
        <w:rPr>
          <w:rFonts w:hint="eastAsia"/>
          <w:color w:val="333333"/>
          <w:shd w:val="clear" w:color="auto" w:fill="FFFFFF"/>
          <w:lang w:eastAsia="zh-Hans"/>
        </w:rPr>
        <w:t>的请示</w:t>
      </w:r>
      <w:r>
        <w:rPr>
          <w:rFonts w:hint="eastAsia"/>
          <w:color w:val="333333"/>
          <w:shd w:val="clear" w:color="auto" w:fill="FFFFFF"/>
          <w:lang w:val="en-US"/>
        </w:rPr>
        <w:t>》</w:t>
      </w:r>
      <w:r>
        <w:rPr>
          <w:color w:val="333333"/>
          <w:shd w:val="clear" w:color="auto" w:fill="FFFFFF"/>
          <w:lang w:eastAsia="zh-Hans"/>
        </w:rPr>
        <w:t>文件、</w:t>
      </w:r>
      <w:r>
        <w:rPr>
          <w:rFonts w:hint="eastAsia"/>
          <w:color w:val="333333"/>
          <w:shd w:val="clear" w:color="auto" w:fill="FFFFFF"/>
          <w:lang w:val="en-US"/>
        </w:rPr>
        <w:t>《乐至县国家农村产业融合发展示范园区建设项目收益与自求平衡专项债券实施方案》等</w:t>
      </w:r>
      <w:r>
        <w:rPr>
          <w:color w:val="333333"/>
          <w:shd w:val="clear" w:color="auto" w:fill="FFFFFF"/>
          <w:lang w:eastAsia="zh-Hans"/>
        </w:rPr>
        <w:t>资料，作为项目立项支撑依据，符合相关要求；项目事前经过县领导集体决策通过（可行性研究、专家论证、风险评估等），由</w:t>
      </w:r>
      <w:r>
        <w:rPr>
          <w:rFonts w:hint="eastAsia"/>
          <w:color w:val="333333"/>
          <w:shd w:val="clear" w:color="auto" w:fill="FFFFFF"/>
          <w:lang w:val="en-US"/>
        </w:rPr>
        <w:t>林业</w:t>
      </w:r>
      <w:r>
        <w:rPr>
          <w:color w:val="333333"/>
          <w:shd w:val="clear" w:color="auto" w:fill="FFFFFF"/>
          <w:lang w:eastAsia="zh-Hans"/>
        </w:rPr>
        <w:t>局负责实施，</w:t>
      </w:r>
      <w:r>
        <w:rPr>
          <w:rFonts w:hint="eastAsia"/>
          <w:color w:val="333333"/>
          <w:shd w:val="clear" w:color="auto" w:fill="FFFFFF"/>
          <w:lang w:val="en-US" w:eastAsia="zh-Hans"/>
        </w:rPr>
        <w:t>项目立项规范</w:t>
      </w:r>
      <w:r>
        <w:rPr>
          <w:color w:val="333333"/>
          <w:shd w:val="clear" w:color="auto" w:fill="FFFFFF"/>
          <w:lang w:eastAsia="zh-Hans"/>
        </w:rPr>
        <w:t>。</w:t>
      </w:r>
    </w:p>
    <w:p>
      <w:pPr>
        <w:pStyle w:val="4"/>
        <w:ind w:firstLine="643"/>
        <w:rPr>
          <w:color w:val="333333"/>
          <w:shd w:val="clear" w:color="auto" w:fill="FFFFFF"/>
          <w:lang w:eastAsia="zh-Hans"/>
        </w:rPr>
      </w:pPr>
      <w:r>
        <w:rPr>
          <w:b/>
          <w:bCs/>
          <w:color w:val="333333"/>
          <w:shd w:val="clear" w:color="auto" w:fill="FFFFFF"/>
          <w:lang w:eastAsia="zh-Hans"/>
        </w:rPr>
        <w:t>绩效目标合理性：</w:t>
      </w:r>
      <w:r>
        <w:rPr>
          <w:color w:val="333333"/>
          <w:shd w:val="clear" w:color="auto" w:fill="FFFFFF"/>
          <w:lang w:eastAsia="zh-Hans"/>
        </w:rPr>
        <w:t>本项目的设立符合国家法律法规，</w:t>
      </w:r>
      <w:r>
        <w:rPr>
          <w:rFonts w:hint="eastAsia"/>
          <w:color w:val="333333"/>
          <w:shd w:val="clear" w:color="auto" w:fill="FFFFFF"/>
          <w:lang w:eastAsia="zh-Hans"/>
        </w:rPr>
        <w:t>《乐至县国民经济和社会发展第十三个五年规划纲要》</w:t>
      </w:r>
      <w:r>
        <w:rPr>
          <w:color w:val="333333"/>
          <w:shd w:val="clear" w:color="auto" w:fill="FFFFFF"/>
          <w:lang w:eastAsia="zh-Hans"/>
        </w:rPr>
        <w:t>和</w:t>
      </w:r>
      <w:r>
        <w:rPr>
          <w:rFonts w:hint="eastAsia"/>
          <w:color w:val="333333"/>
          <w:shd w:val="clear" w:color="auto" w:fill="FFFFFF"/>
          <w:lang w:val="en-US"/>
        </w:rPr>
        <w:t>县委县</w:t>
      </w:r>
      <w:r>
        <w:rPr>
          <w:color w:val="333333"/>
          <w:shd w:val="clear" w:color="auto" w:fill="FFFFFF"/>
          <w:lang w:eastAsia="zh-Hans"/>
        </w:rPr>
        <w:t>政府决策；与</w:t>
      </w:r>
      <w:r>
        <w:rPr>
          <w:rFonts w:hint="eastAsia"/>
          <w:color w:val="333333"/>
          <w:shd w:val="clear" w:color="auto" w:fill="FFFFFF"/>
          <w:lang w:val="en-US"/>
        </w:rPr>
        <w:t>园区</w:t>
      </w:r>
      <w:r>
        <w:rPr>
          <w:color w:val="333333"/>
          <w:shd w:val="clear" w:color="auto" w:fill="FFFFFF"/>
          <w:lang w:eastAsia="zh-Hans"/>
        </w:rPr>
        <w:t>职能职责密切相关；项目为促进</w:t>
      </w:r>
      <w:r>
        <w:rPr>
          <w:rFonts w:hint="eastAsia"/>
          <w:color w:val="333333"/>
          <w:shd w:val="clear" w:color="auto" w:fill="FFFFFF"/>
          <w:lang w:val="en-US"/>
        </w:rPr>
        <w:t>农业产业</w:t>
      </w:r>
      <w:r>
        <w:rPr>
          <w:color w:val="333333"/>
          <w:shd w:val="clear" w:color="auto" w:fill="FFFFFF"/>
          <w:lang w:eastAsia="zh-Hans"/>
        </w:rPr>
        <w:t>发展所必需；符合单位政策业绩水平，</w:t>
      </w:r>
      <w:r>
        <w:rPr>
          <w:rFonts w:hint="eastAsia"/>
          <w:color w:val="333333"/>
          <w:shd w:val="clear" w:color="auto" w:fill="FFFFFF"/>
          <w:lang w:val="en-US" w:eastAsia="zh-Hans"/>
        </w:rPr>
        <w:t>绩效目标制度合理</w:t>
      </w:r>
      <w:r>
        <w:rPr>
          <w:color w:val="333333"/>
          <w:shd w:val="clear" w:color="auto" w:fill="FFFFFF"/>
          <w:lang w:eastAsia="zh-Hans"/>
        </w:rPr>
        <w:t>。</w:t>
      </w:r>
    </w:p>
    <w:p>
      <w:pPr>
        <w:pStyle w:val="4"/>
        <w:ind w:firstLine="643"/>
        <w:rPr>
          <w:color w:val="333333"/>
          <w:shd w:val="clear" w:color="auto" w:fill="FFFFFF"/>
          <w:lang w:eastAsia="zh-Hans"/>
        </w:rPr>
      </w:pPr>
      <w:r>
        <w:rPr>
          <w:b/>
          <w:bCs/>
          <w:color w:val="333333"/>
          <w:shd w:val="clear" w:color="auto" w:fill="FFFFFF"/>
          <w:lang w:eastAsia="zh-Hans"/>
        </w:rPr>
        <w:t>绩效指标明确性：</w:t>
      </w:r>
      <w:r>
        <w:rPr>
          <w:color w:val="333333"/>
          <w:shd w:val="clear" w:color="auto" w:fill="FFFFFF"/>
          <w:lang w:eastAsia="zh-Hans"/>
        </w:rPr>
        <w:t>本项目将绩效目</w:t>
      </w:r>
      <w:r>
        <w:rPr>
          <w:color w:val="333333"/>
          <w:shd w:val="clear" w:color="auto" w:fill="FFFFFF"/>
          <w:lang w:val="en-US" w:eastAsia="zh-Hans"/>
        </w:rPr>
        <w:t>标细化分解为</w:t>
      </w:r>
      <w:r>
        <w:rPr>
          <w:rFonts w:hint="eastAsia"/>
          <w:color w:val="333333"/>
          <w:shd w:val="clear" w:color="auto" w:fill="FFFFFF"/>
          <w:lang w:val="en-US" w:eastAsia="zh-Hans"/>
        </w:rPr>
        <w:t>数量指标</w:t>
      </w:r>
      <w:r>
        <w:rPr>
          <w:rFonts w:hint="eastAsia"/>
          <w:color w:val="333333"/>
          <w:shd w:val="clear" w:color="auto" w:fill="FFFFFF"/>
          <w:lang w:val="en-US"/>
        </w:rPr>
        <w:t>完成科博中心主体建设及主干道路基建设</w:t>
      </w:r>
      <w:r>
        <w:rPr>
          <w:color w:val="333333"/>
          <w:shd w:val="clear" w:color="auto" w:fill="FFFFFF"/>
          <w:lang w:val="en-US" w:eastAsia="zh-Hans"/>
        </w:rPr>
        <w:t>、</w:t>
      </w:r>
      <w:r>
        <w:rPr>
          <w:rFonts w:hint="eastAsia"/>
          <w:color w:val="333333"/>
          <w:shd w:val="clear" w:color="auto" w:fill="FFFFFF"/>
          <w:lang w:val="en-US" w:eastAsia="zh-Hans"/>
        </w:rPr>
        <w:t>质量指标</w:t>
      </w:r>
      <w:r>
        <w:rPr>
          <w:color w:val="333333"/>
          <w:shd w:val="clear" w:color="auto" w:fill="FFFFFF"/>
          <w:lang w:val="en-US" w:eastAsia="zh-Hans"/>
        </w:rPr>
        <w:t>项目设计方案变更率、</w:t>
      </w:r>
      <w:r>
        <w:rPr>
          <w:rFonts w:hint="eastAsia"/>
          <w:color w:val="333333"/>
          <w:shd w:val="clear" w:color="auto" w:fill="FFFFFF"/>
          <w:lang w:val="en-US" w:eastAsia="zh-Hans"/>
        </w:rPr>
        <w:t>时效指标主干道工程按时开工等</w:t>
      </w:r>
      <w:r>
        <w:rPr>
          <w:color w:val="333333"/>
          <w:shd w:val="clear" w:color="auto" w:fill="FFFFFF"/>
          <w:lang w:val="en-US" w:eastAsia="zh-Hans"/>
        </w:rPr>
        <w:t>具体的绩效指标（</w:t>
      </w:r>
      <w:r>
        <w:rPr>
          <w:rFonts w:hint="eastAsia"/>
          <w:color w:val="333333"/>
          <w:shd w:val="clear" w:color="auto" w:fill="FFFFFF"/>
          <w:lang w:val="en-US" w:eastAsia="zh-Hans"/>
        </w:rPr>
        <w:t>产出指标</w:t>
      </w:r>
      <w:r>
        <w:rPr>
          <w:color w:val="333333"/>
          <w:shd w:val="clear" w:color="auto" w:fill="FFFFFF"/>
          <w:lang w:val="en-US" w:eastAsia="zh-Hans"/>
        </w:rPr>
        <w:t>），且均通过清晰、可衡量的指标值予以体现（</w:t>
      </w:r>
      <w:r>
        <w:rPr>
          <w:rFonts w:hint="eastAsia"/>
          <w:color w:val="333333"/>
          <w:shd w:val="clear" w:color="auto" w:fill="FFFFFF"/>
          <w:lang w:val="en-US" w:eastAsia="zh-Hans"/>
        </w:rPr>
        <w:t>可详见附件</w:t>
      </w:r>
      <w:r>
        <w:rPr>
          <w:color w:val="333333"/>
          <w:shd w:val="clear" w:color="auto" w:fill="FFFFFF"/>
          <w:lang w:val="en-US" w:eastAsia="zh-Hans"/>
        </w:rPr>
        <w:t xml:space="preserve"> </w:t>
      </w:r>
      <w:r>
        <w:rPr>
          <w:rFonts w:hint="eastAsia"/>
          <w:color w:val="333333"/>
          <w:shd w:val="clear" w:color="auto" w:fill="FFFFFF"/>
          <w:lang w:val="en-US" w:eastAsia="zh-Hans"/>
        </w:rPr>
        <w:t>项目支出绩效目标完成情况表</w:t>
      </w:r>
      <w:r>
        <w:rPr>
          <w:color w:val="333333"/>
          <w:shd w:val="clear" w:color="auto" w:fill="FFFFFF"/>
          <w:lang w:val="en-US" w:eastAsia="zh-Hans"/>
        </w:rPr>
        <w:t>）；</w:t>
      </w:r>
      <w:r>
        <w:rPr>
          <w:rFonts w:hint="eastAsia"/>
          <w:color w:val="333333"/>
          <w:shd w:val="clear" w:color="auto" w:fill="FFFFFF"/>
          <w:lang w:val="en-US" w:eastAsia="zh-Hans"/>
        </w:rPr>
        <w:t>数量</w:t>
      </w:r>
      <w:r>
        <w:rPr>
          <w:color w:val="333333"/>
          <w:shd w:val="clear" w:color="auto" w:fill="FFFFFF"/>
          <w:lang w:val="en-US" w:eastAsia="zh-Hans"/>
        </w:rPr>
        <w:t>指标计划完成</w:t>
      </w:r>
      <w:r>
        <w:rPr>
          <w:rFonts w:hint="eastAsia"/>
          <w:color w:val="333333"/>
          <w:shd w:val="clear" w:color="auto" w:fill="FFFFFF"/>
          <w:lang w:val="en-US"/>
        </w:rPr>
        <w:t>科博中心主体建设及主干道路基建设</w:t>
      </w:r>
      <w:r>
        <w:rPr>
          <w:color w:val="333333"/>
          <w:shd w:val="clear" w:color="auto" w:fill="FFFFFF"/>
          <w:lang w:val="en-US" w:eastAsia="zh-Hans"/>
        </w:rPr>
        <w:t>，与项目年度任务数或计划数中的</w:t>
      </w:r>
      <w:r>
        <w:rPr>
          <w:rFonts w:hint="eastAsia"/>
          <w:color w:val="333333"/>
          <w:shd w:val="clear" w:color="auto" w:fill="FFFFFF"/>
          <w:lang w:val="en-US"/>
        </w:rPr>
        <w:t>数量指标</w:t>
      </w:r>
      <w:r>
        <w:rPr>
          <w:color w:val="333333"/>
          <w:shd w:val="clear" w:color="auto" w:fill="FFFFFF"/>
          <w:lang w:eastAsia="zh-Hans"/>
        </w:rPr>
        <w:t>相对应，并与预算确定的项目投资额或资金量</w:t>
      </w:r>
      <w:r>
        <w:rPr>
          <w:rFonts w:hint="eastAsia"/>
          <w:color w:val="333333"/>
          <w:shd w:val="clear" w:color="auto" w:fill="FFFFFF"/>
          <w:lang w:val="en-US"/>
        </w:rPr>
        <w:t>≥2000万元</w:t>
      </w:r>
      <w:r>
        <w:rPr>
          <w:color w:val="333333"/>
          <w:shd w:val="clear" w:color="auto" w:fill="FFFFFF"/>
          <w:lang w:eastAsia="zh-Hans"/>
        </w:rPr>
        <w:t>相匹配，</w:t>
      </w:r>
      <w:r>
        <w:rPr>
          <w:rFonts w:hint="eastAsia"/>
          <w:color w:val="333333"/>
          <w:shd w:val="clear" w:color="auto" w:fill="FFFFFF"/>
          <w:lang w:val="en-US" w:eastAsia="zh-Hans"/>
        </w:rPr>
        <w:t>绩效指标明确</w:t>
      </w:r>
      <w:r>
        <w:rPr>
          <w:color w:val="333333"/>
          <w:shd w:val="clear" w:color="auto" w:fill="FFFFFF"/>
          <w:lang w:eastAsia="zh-Hans"/>
        </w:rPr>
        <w:t>。</w:t>
      </w:r>
    </w:p>
    <w:p>
      <w:pPr>
        <w:pStyle w:val="4"/>
        <w:ind w:firstLine="643"/>
        <w:rPr>
          <w:rFonts w:hint="eastAsia" w:ascii="Times New Roman Regular" w:hAnsi="Times New Roman Regular" w:cs="Times New Roman Regular"/>
          <w:b/>
          <w:bCs/>
          <w:color w:val="333333"/>
          <w:shd w:val="clear" w:color="auto" w:fill="FFFFFF"/>
          <w:lang w:val="en-US" w:eastAsia="zh-Hans"/>
        </w:rPr>
      </w:pPr>
      <w:r>
        <w:rPr>
          <w:rFonts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.资金落实</w:t>
      </w:r>
    </w:p>
    <w:p>
      <w:pPr>
        <w:spacing w:line="580" w:lineRule="exact"/>
        <w:ind w:firstLine="640"/>
        <w:rPr>
          <w:rFonts w:hint="eastAsia" w:ascii="Times New Roman Regular" w:hAnsi="Times New Roman Regular" w:eastAsia="仿宋" w:cs="Times New Roman Regular"/>
          <w:color w:val="333333"/>
          <w:kern w:val="0"/>
          <w:sz w:val="32"/>
          <w:szCs w:val="28"/>
          <w:shd w:val="clear" w:color="auto" w:fill="FFFFFF"/>
          <w:lang w:val="zh-CN" w:eastAsia="zh-Hans"/>
        </w:rPr>
      </w:pPr>
      <w:r>
        <w:rPr>
          <w:rFonts w:ascii="Times New Roman Regular" w:hAnsi="Times New Roman Regular" w:eastAsia="仿宋" w:cs="Times New Roman Regular"/>
          <w:b/>
          <w:bCs/>
          <w:color w:val="333333"/>
          <w:kern w:val="0"/>
          <w:sz w:val="32"/>
          <w:szCs w:val="28"/>
          <w:shd w:val="clear" w:color="auto" w:fill="FFFFFF"/>
          <w:lang w:val="zh-CN" w:eastAsia="zh-Hans"/>
        </w:rPr>
        <w:t>资金</w:t>
      </w:r>
      <w:r>
        <w:rPr>
          <w:rFonts w:hint="eastAsia" w:ascii="Times New Roman Regular" w:hAnsi="Times New Roman Regular" w:eastAsia="仿宋" w:cs="Times New Roman Regular"/>
          <w:b/>
          <w:bCs/>
          <w:color w:val="333333"/>
          <w:kern w:val="0"/>
          <w:sz w:val="32"/>
          <w:szCs w:val="28"/>
          <w:shd w:val="clear" w:color="auto" w:fill="FFFFFF"/>
          <w:lang w:eastAsia="zh-Hans"/>
        </w:rPr>
        <w:t>到位率</w:t>
      </w:r>
      <w:r>
        <w:rPr>
          <w:rFonts w:ascii="Times New Roman Regular" w:hAnsi="Times New Roman Regular" w:eastAsia="仿宋" w:cs="Times New Roman Regular"/>
          <w:b/>
          <w:bCs/>
          <w:color w:val="333333"/>
          <w:kern w:val="0"/>
          <w:sz w:val="32"/>
          <w:szCs w:val="28"/>
          <w:shd w:val="clear" w:color="auto" w:fill="FFFFFF"/>
          <w:lang w:val="zh-CN" w:eastAsia="zh-Hans"/>
        </w:rPr>
        <w:t>：</w:t>
      </w:r>
      <w:r>
        <w:rPr>
          <w:rFonts w:hint="eastAsia" w:ascii="Times New Roman Regular" w:hAnsi="Times New Roman Regular" w:eastAsia="仿宋" w:cs="Times New Roman Regular"/>
          <w:color w:val="333333"/>
          <w:kern w:val="0"/>
          <w:sz w:val="32"/>
          <w:szCs w:val="28"/>
          <w:shd w:val="clear" w:color="auto" w:fill="FFFFFF"/>
        </w:rPr>
        <w:t>乐至县国家农村产业融合发展示范园区建设</w:t>
      </w:r>
      <w:r>
        <w:rPr>
          <w:rFonts w:ascii="Times New Roman Regular" w:hAnsi="Times New Roman Regular" w:eastAsia="仿宋" w:cs="Times New Roman Regular"/>
          <w:color w:val="333333"/>
          <w:kern w:val="0"/>
          <w:sz w:val="32"/>
          <w:szCs w:val="28"/>
          <w:shd w:val="clear" w:color="auto" w:fill="FFFFFF"/>
          <w:lang w:val="zh-CN" w:eastAsia="zh-Hans"/>
        </w:rPr>
        <w:t>项目当年计划投入资金</w:t>
      </w:r>
      <w:r>
        <w:rPr>
          <w:rFonts w:hint="eastAsia" w:ascii="Times New Roman Regular" w:hAnsi="Times New Roman Regular" w:eastAsia="仿宋" w:cs="Times New Roman Regular"/>
          <w:color w:val="333333"/>
          <w:kern w:val="0"/>
          <w:sz w:val="32"/>
          <w:szCs w:val="28"/>
          <w:shd w:val="clear" w:color="auto" w:fill="FFFFFF"/>
        </w:rPr>
        <w:t>3000</w:t>
      </w:r>
      <w:r>
        <w:rPr>
          <w:rFonts w:ascii="Times New Roman Regular" w:hAnsi="Times New Roman Regular" w:eastAsia="仿宋" w:cs="Times New Roman Regular"/>
          <w:color w:val="333333"/>
          <w:kern w:val="0"/>
          <w:sz w:val="32"/>
          <w:szCs w:val="28"/>
          <w:shd w:val="clear" w:color="auto" w:fill="FFFFFF"/>
          <w:lang w:val="zh-CN" w:eastAsia="zh-Hans"/>
        </w:rPr>
        <w:t>万元，（其中：本级财政资金</w:t>
      </w:r>
      <w:r>
        <w:rPr>
          <w:rFonts w:hint="eastAsia" w:ascii="Times New Roman Regular" w:hAnsi="Times New Roman Regular" w:eastAsia="仿宋" w:cs="Times New Roman Regular"/>
          <w:color w:val="333333"/>
          <w:kern w:val="0"/>
          <w:sz w:val="32"/>
          <w:szCs w:val="28"/>
          <w:shd w:val="clear" w:color="auto" w:fill="FFFFFF"/>
        </w:rPr>
        <w:t>0</w:t>
      </w:r>
      <w:r>
        <w:rPr>
          <w:rFonts w:ascii="Times New Roman Regular" w:hAnsi="Times New Roman Regular" w:eastAsia="仿宋" w:cs="Times New Roman Regular"/>
          <w:color w:val="333333"/>
          <w:kern w:val="0"/>
          <w:sz w:val="32"/>
          <w:szCs w:val="28"/>
          <w:shd w:val="clear" w:color="auto" w:fill="FFFFFF"/>
          <w:lang w:val="zh-CN" w:eastAsia="zh-Hans"/>
        </w:rPr>
        <w:t>万元，省级财政资金</w:t>
      </w:r>
      <w:r>
        <w:rPr>
          <w:rFonts w:hint="eastAsia" w:ascii="Times New Roman Regular" w:hAnsi="Times New Roman Regular" w:eastAsia="仿宋" w:cs="Times New Roman Regular"/>
          <w:color w:val="333333"/>
          <w:kern w:val="0"/>
          <w:sz w:val="32"/>
          <w:szCs w:val="28"/>
          <w:shd w:val="clear" w:color="auto" w:fill="FFFFFF"/>
        </w:rPr>
        <w:t>0</w:t>
      </w:r>
      <w:r>
        <w:rPr>
          <w:rFonts w:ascii="Times New Roman Regular" w:hAnsi="Times New Roman Regular" w:eastAsia="仿宋" w:cs="Times New Roman Regular"/>
          <w:color w:val="333333"/>
          <w:kern w:val="0"/>
          <w:sz w:val="32"/>
          <w:szCs w:val="28"/>
          <w:shd w:val="clear" w:color="auto" w:fill="FFFFFF"/>
          <w:lang w:val="zh-CN" w:eastAsia="zh-Hans"/>
        </w:rPr>
        <w:t>万元，专项债资金</w:t>
      </w:r>
      <w:r>
        <w:rPr>
          <w:rFonts w:hint="eastAsia" w:ascii="Times New Roman Regular" w:hAnsi="Times New Roman Regular" w:eastAsia="仿宋" w:cs="Times New Roman Regular"/>
          <w:color w:val="333333"/>
          <w:kern w:val="0"/>
          <w:sz w:val="32"/>
          <w:szCs w:val="28"/>
          <w:shd w:val="clear" w:color="auto" w:fill="FFFFFF"/>
        </w:rPr>
        <w:t>3000</w:t>
      </w:r>
      <w:r>
        <w:rPr>
          <w:rFonts w:ascii="Times New Roman Regular" w:hAnsi="Times New Roman Regular" w:eastAsia="仿宋" w:cs="Times New Roman Regular"/>
          <w:color w:val="333333"/>
          <w:kern w:val="0"/>
          <w:sz w:val="32"/>
          <w:szCs w:val="28"/>
          <w:shd w:val="clear" w:color="auto" w:fill="FFFFFF"/>
          <w:lang w:val="zh-CN" w:eastAsia="zh-Hans"/>
        </w:rPr>
        <w:t>万元等），截至</w:t>
      </w:r>
      <w:r>
        <w:rPr>
          <w:rFonts w:hint="eastAsia" w:ascii="Times New Roman Regular" w:hAnsi="Times New Roman Regular" w:eastAsia="仿宋" w:cs="Times New Roman Regular"/>
          <w:color w:val="333333"/>
          <w:kern w:val="0"/>
          <w:sz w:val="32"/>
          <w:szCs w:val="28"/>
          <w:shd w:val="clear" w:color="auto" w:fill="FFFFFF"/>
        </w:rPr>
        <w:t>2022</w:t>
      </w:r>
      <w:r>
        <w:rPr>
          <w:rFonts w:ascii="Times New Roman Regular" w:hAnsi="Times New Roman Regular" w:eastAsia="仿宋" w:cs="Times New Roman Regular"/>
          <w:color w:val="333333"/>
          <w:kern w:val="0"/>
          <w:sz w:val="32"/>
          <w:szCs w:val="28"/>
          <w:shd w:val="clear" w:color="auto" w:fill="FFFFFF"/>
          <w:lang w:val="zh-CN" w:eastAsia="zh-Hans"/>
        </w:rPr>
        <w:t>年12月31日，本项目实际投入资金</w:t>
      </w:r>
      <w:r>
        <w:rPr>
          <w:rFonts w:hint="eastAsia" w:ascii="Times New Roman Regular" w:hAnsi="Times New Roman Regular" w:eastAsia="仿宋" w:cs="Times New Roman Regular"/>
          <w:color w:val="333333"/>
          <w:kern w:val="0"/>
          <w:sz w:val="32"/>
          <w:szCs w:val="28"/>
          <w:shd w:val="clear" w:color="auto" w:fill="FFFFFF"/>
        </w:rPr>
        <w:t>3000</w:t>
      </w:r>
      <w:r>
        <w:rPr>
          <w:rFonts w:ascii="Times New Roman Regular" w:hAnsi="Times New Roman Regular" w:eastAsia="仿宋" w:cs="Times New Roman Regular"/>
          <w:color w:val="333333"/>
          <w:kern w:val="0"/>
          <w:sz w:val="32"/>
          <w:szCs w:val="28"/>
          <w:shd w:val="clear" w:color="auto" w:fill="FFFFFF"/>
          <w:lang w:val="zh-CN" w:eastAsia="zh-Hans"/>
        </w:rPr>
        <w:t>万元，资金到位率</w:t>
      </w:r>
      <w:r>
        <w:rPr>
          <w:rFonts w:hint="eastAsia" w:ascii="Times New Roman Regular" w:hAnsi="Times New Roman Regular" w:eastAsia="仿宋" w:cs="Times New Roman Regular"/>
          <w:color w:val="333333"/>
          <w:kern w:val="0"/>
          <w:sz w:val="32"/>
          <w:szCs w:val="28"/>
          <w:shd w:val="clear" w:color="auto" w:fill="FFFFFF"/>
        </w:rPr>
        <w:t>100</w:t>
      </w:r>
      <w:r>
        <w:rPr>
          <w:rFonts w:ascii="Times New Roman Regular" w:hAnsi="Times New Roman Regular" w:eastAsia="仿宋" w:cs="Times New Roman Regular"/>
          <w:color w:val="333333"/>
          <w:kern w:val="0"/>
          <w:sz w:val="32"/>
          <w:szCs w:val="28"/>
          <w:shd w:val="clear" w:color="auto" w:fill="FFFFFF"/>
          <w:lang w:val="zh-CN" w:eastAsia="zh-Hans"/>
        </w:rPr>
        <w:t>%。</w:t>
      </w:r>
    </w:p>
    <w:p>
      <w:pPr>
        <w:pStyle w:val="4"/>
        <w:ind w:firstLine="640" w:firstLineChars="0"/>
        <w:rPr>
          <w:rFonts w:hint="eastAsia" w:ascii="Times New Roman Regular" w:hAnsi="Times New Roman Regular" w:cs="Times New Roman Regular"/>
          <w:b/>
          <w:bCs/>
          <w:color w:val="333333"/>
          <w:shd w:val="clear" w:color="auto" w:fill="FFFFFF"/>
          <w:lang w:eastAsia="zh-Hans"/>
        </w:rPr>
      </w:pPr>
      <w:r>
        <w:rPr>
          <w:rFonts w:hint="eastAsia" w:ascii="Times New Roman Regular" w:hAnsi="Times New Roman Regular" w:cs="Times New Roman Regular"/>
          <w:b/>
          <w:bCs/>
          <w:color w:val="333333"/>
          <w:shd w:val="clear" w:color="auto" w:fill="FFFFFF"/>
          <w:lang w:val="en-US" w:eastAsia="zh-Hans"/>
        </w:rPr>
        <w:t>资金到位及时率</w:t>
      </w:r>
      <w:r>
        <w:rPr>
          <w:rFonts w:ascii="Times New Roman Regular" w:hAnsi="Times New Roman Regular" w:cs="Times New Roman Regular"/>
          <w:b/>
          <w:bCs/>
          <w:color w:val="333333"/>
          <w:shd w:val="clear" w:color="auto" w:fill="FFFFFF"/>
          <w:lang w:eastAsia="zh-Hans"/>
        </w:rPr>
        <w:t>：</w:t>
      </w:r>
      <w:r>
        <w:rPr>
          <w:rFonts w:ascii="Times New Roman Regular" w:hAnsi="Times New Roman Regular" w:cs="Times New Roman Regular"/>
          <w:color w:val="333333"/>
          <w:shd w:val="clear" w:color="auto" w:fill="FFFFFF"/>
          <w:lang w:eastAsia="zh-Hans"/>
        </w:rPr>
        <w:t>根据项目合同或项目进度要求，截至</w:t>
      </w:r>
      <w:r>
        <w:rPr>
          <w:rFonts w:hint="eastAsia" w:ascii="Times New Roman Regular" w:hAnsi="Times New Roman Regular" w:cs="Times New Roman Regular"/>
          <w:color w:val="333333"/>
          <w:shd w:val="clear" w:color="auto" w:fill="FFFFFF"/>
          <w:lang w:val="en-US"/>
        </w:rPr>
        <w:t>2022</w:t>
      </w:r>
      <w:r>
        <w:rPr>
          <w:rFonts w:ascii="Times New Roman Regular" w:hAnsi="Times New Roman Regular" w:cs="Times New Roman Regular"/>
          <w:color w:val="333333"/>
          <w:shd w:val="clear" w:color="auto" w:fill="FFFFFF"/>
          <w:lang w:eastAsia="zh-Hans"/>
        </w:rPr>
        <w:t>年</w:t>
      </w:r>
      <w:r>
        <w:rPr>
          <w:rFonts w:hint="eastAsia" w:ascii="Times New Roman Regular" w:hAnsi="Times New Roman Regular" w:cs="Times New Roman Regular"/>
          <w:color w:val="333333"/>
          <w:shd w:val="clear" w:color="auto" w:fill="FFFFFF"/>
          <w:lang w:val="en-US"/>
        </w:rPr>
        <w:t>12</w:t>
      </w:r>
      <w:r>
        <w:rPr>
          <w:rFonts w:ascii="Times New Roman Regular" w:hAnsi="Times New Roman Regular" w:cs="Times New Roman Regular"/>
          <w:color w:val="333333"/>
          <w:shd w:val="clear" w:color="auto" w:fill="FFFFFF"/>
          <w:lang w:eastAsia="zh-Hans"/>
        </w:rPr>
        <w:t>月</w:t>
      </w:r>
      <w:r>
        <w:rPr>
          <w:rFonts w:hint="eastAsia" w:ascii="Times New Roman Regular" w:hAnsi="Times New Roman Regular" w:cs="Times New Roman Regular"/>
          <w:color w:val="333333"/>
          <w:shd w:val="clear" w:color="auto" w:fill="FFFFFF"/>
          <w:lang w:val="en-US"/>
        </w:rPr>
        <w:t>31</w:t>
      </w:r>
      <w:r>
        <w:rPr>
          <w:rFonts w:ascii="Times New Roman Regular" w:hAnsi="Times New Roman Regular" w:cs="Times New Roman Regular"/>
          <w:color w:val="333333"/>
          <w:shd w:val="clear" w:color="auto" w:fill="FFFFFF"/>
          <w:lang w:eastAsia="zh-Hans"/>
        </w:rPr>
        <w:t>日，本项目应落实资金</w:t>
      </w:r>
      <w:r>
        <w:rPr>
          <w:rFonts w:hint="eastAsia" w:ascii="Times New Roman Regular" w:hAnsi="Times New Roman Regular" w:cs="Times New Roman Regular"/>
          <w:color w:val="333333"/>
          <w:shd w:val="clear" w:color="auto" w:fill="FFFFFF"/>
          <w:lang w:val="en-US"/>
        </w:rPr>
        <w:t>3000</w:t>
      </w:r>
      <w:r>
        <w:rPr>
          <w:rFonts w:ascii="Times New Roman Regular" w:hAnsi="Times New Roman Regular" w:cs="Times New Roman Regular"/>
          <w:color w:val="333333"/>
          <w:shd w:val="clear" w:color="auto" w:fill="FFFFFF"/>
          <w:lang w:eastAsia="zh-Hans"/>
        </w:rPr>
        <w:t>万元，实际落实资金</w:t>
      </w:r>
      <w:r>
        <w:rPr>
          <w:rFonts w:hint="eastAsia" w:ascii="Times New Roman Regular" w:hAnsi="Times New Roman Regular" w:cs="Times New Roman Regular"/>
          <w:color w:val="333333"/>
          <w:shd w:val="clear" w:color="auto" w:fill="FFFFFF"/>
          <w:lang w:val="en-US"/>
        </w:rPr>
        <w:t>3000</w:t>
      </w:r>
      <w:r>
        <w:rPr>
          <w:rFonts w:ascii="Times New Roman Regular" w:hAnsi="Times New Roman Regular" w:cs="Times New Roman Regular"/>
          <w:color w:val="333333"/>
          <w:shd w:val="clear" w:color="auto" w:fill="FFFFFF"/>
          <w:lang w:eastAsia="zh-Hans"/>
        </w:rPr>
        <w:t>万元，资金到位及时率</w:t>
      </w:r>
      <w:r>
        <w:rPr>
          <w:rFonts w:hint="eastAsia" w:ascii="Times New Roman Regular" w:hAnsi="Times New Roman Regular" w:cs="Times New Roman Regular"/>
          <w:color w:val="333333"/>
          <w:shd w:val="clear" w:color="auto" w:fill="FFFFFF"/>
          <w:lang w:val="en-US"/>
        </w:rPr>
        <w:t>100</w:t>
      </w:r>
      <w:r>
        <w:rPr>
          <w:rFonts w:ascii="Times New Roman Regular" w:hAnsi="Times New Roman Regular" w:cs="Times New Roman Regular"/>
          <w:color w:val="333333"/>
          <w:shd w:val="clear" w:color="auto" w:fill="FFFFFF"/>
          <w:lang w:eastAsia="zh-Hans"/>
        </w:rPr>
        <w:t>%。</w:t>
      </w:r>
    </w:p>
    <w:p>
      <w:pPr>
        <w:pStyle w:val="3"/>
        <w:ind w:left="-13" w:firstLine="643"/>
        <w:rPr>
          <w:lang w:val="en-US"/>
        </w:rPr>
      </w:pPr>
      <w:r>
        <w:rPr>
          <w:rFonts w:hint="eastAsia"/>
          <w:lang w:val="en-US" w:eastAsia="zh-CN"/>
        </w:rPr>
        <w:t>（二）</w:t>
      </w:r>
      <w:r>
        <w:rPr>
          <w:rFonts w:hint="eastAsia"/>
          <w:lang w:val="en-US"/>
        </w:rPr>
        <w:t>过程管理</w:t>
      </w:r>
    </w:p>
    <w:p>
      <w:pPr>
        <w:pStyle w:val="4"/>
        <w:ind w:firstLine="643"/>
        <w:rPr>
          <w:rFonts w:hint="eastAsia" w:ascii="Times New Roman Regular" w:hAnsi="Times New Roman Regular" w:cs="Times New Roman Regular"/>
          <w:b/>
          <w:bCs/>
          <w:color w:val="333333"/>
          <w:shd w:val="clear" w:color="auto" w:fill="FFFFFF"/>
          <w:lang w:val="en-US" w:eastAsia="zh-Hans"/>
        </w:rPr>
      </w:pPr>
      <w:r>
        <w:rPr>
          <w:rFonts w:ascii="Times New Roman Regular" w:hAnsi="Times New Roman Regular" w:cs="Times New Roman Regular"/>
          <w:b/>
          <w:bCs/>
          <w:color w:val="333333"/>
          <w:shd w:val="clear" w:color="auto" w:fill="FFFFFF"/>
          <w:lang w:eastAsia="zh-Hans"/>
        </w:rPr>
        <w:t>1</w:t>
      </w:r>
      <w:r>
        <w:rPr>
          <w:rFonts w:hint="eastAsia" w:ascii="Times New Roman Regular" w:hAnsi="Times New Roman Regular" w:cs="Times New Roman Regular"/>
          <w:b/>
          <w:bCs/>
          <w:color w:val="333333"/>
          <w:shd w:val="clear" w:color="auto" w:fill="FFFFFF"/>
          <w:lang w:val="en-US" w:eastAsia="zh-Hans"/>
        </w:rPr>
        <w:t>.业务管理</w:t>
      </w:r>
    </w:p>
    <w:p>
      <w:pPr>
        <w:pStyle w:val="4"/>
        <w:ind w:firstLine="0" w:firstLineChars="0"/>
        <w:rPr>
          <w:rFonts w:hint="eastAsia" w:ascii="Times New Roman Regular" w:hAnsi="Times New Roman Regular" w:cs="Times New Roman Regular"/>
          <w:b/>
          <w:bCs/>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 xml:space="preserve">    管理制度健全性：</w:t>
      </w:r>
      <w:r>
        <w:rPr>
          <w:rFonts w:ascii="Times New Roman Regular" w:hAnsi="Times New Roman Regular" w:cs="Times New Roman Regular"/>
          <w:color w:val="333333"/>
          <w:shd w:val="clear" w:color="auto" w:fill="FFFFFF"/>
          <w:lang w:eastAsia="zh-Hans"/>
        </w:rPr>
        <w:t>本</w:t>
      </w:r>
      <w:r>
        <w:rPr>
          <w:rFonts w:hint="eastAsia" w:ascii="Times New Roman Regular" w:hAnsi="Times New Roman Regular" w:cs="Times New Roman Regular"/>
          <w:color w:val="333333"/>
          <w:shd w:val="clear" w:color="auto" w:fill="FFFFFF"/>
          <w:lang w:val="en-US"/>
        </w:rPr>
        <w:t>单位</w:t>
      </w:r>
      <w:r>
        <w:rPr>
          <w:rFonts w:ascii="Times New Roman Regular" w:hAnsi="Times New Roman Regular" w:cs="Times New Roman Regular"/>
          <w:color w:val="333333"/>
          <w:shd w:val="clear" w:color="auto" w:fill="FFFFFF"/>
          <w:lang w:eastAsia="zh-Hans"/>
        </w:rPr>
        <w:t>制定了</w:t>
      </w:r>
      <w:r>
        <w:rPr>
          <w:rFonts w:hint="eastAsia" w:ascii="Times New Roman Regular" w:hAnsi="Times New Roman Regular" w:cs="Times New Roman Regular"/>
          <w:color w:val="333333"/>
          <w:shd w:val="clear" w:color="auto" w:fill="FFFFFF"/>
          <w:lang w:val="en-US"/>
        </w:rPr>
        <w:t>建设项目</w:t>
      </w:r>
      <w:r>
        <w:rPr>
          <w:rFonts w:ascii="Times New Roman Regular" w:hAnsi="Times New Roman Regular" w:cs="Times New Roman Regular"/>
          <w:color w:val="333333"/>
          <w:shd w:val="clear" w:color="auto" w:fill="FFFFFF"/>
          <w:lang w:eastAsia="zh-Hans"/>
        </w:rPr>
        <w:t>管理制度，制度内容涵盖项目实施管理、竣工验收与决算(结算)管理、修缮与维修管理、资金与财务管理、信息与档案管理等方面，业务管理制度合法、合规、完整。</w:t>
      </w:r>
    </w:p>
    <w:p>
      <w:pPr>
        <w:pStyle w:val="4"/>
        <w:ind w:firstLine="643"/>
        <w:rPr>
          <w:rFonts w:hint="eastAsia" w:ascii="Times New Roman Regular" w:hAnsi="Times New Roman Regular" w:cs="Times New Roman Regular"/>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制度执行有效性：</w:t>
      </w:r>
      <w:r>
        <w:rPr>
          <w:rFonts w:ascii="Times New Roman Regular" w:hAnsi="Times New Roman Regular" w:cs="Times New Roman Regular"/>
          <w:color w:val="333333"/>
          <w:shd w:val="clear" w:color="auto" w:fill="FFFFFF"/>
          <w:lang w:eastAsia="zh-Hans"/>
        </w:rPr>
        <w:t>截至</w:t>
      </w:r>
      <w:r>
        <w:rPr>
          <w:rFonts w:hint="eastAsia" w:ascii="Times New Roman Regular" w:hAnsi="Times New Roman Regular" w:cs="Times New Roman Regular"/>
          <w:color w:val="333333"/>
          <w:shd w:val="clear" w:color="auto" w:fill="FFFFFF"/>
          <w:lang w:val="en-US"/>
        </w:rPr>
        <w:t>2022</w:t>
      </w:r>
      <w:r>
        <w:rPr>
          <w:rFonts w:ascii="Times New Roman Regular" w:hAnsi="Times New Roman Regular" w:cs="Times New Roman Regular"/>
          <w:color w:val="333333"/>
          <w:shd w:val="clear" w:color="auto" w:fill="FFFFFF"/>
          <w:lang w:eastAsia="zh-Hans"/>
        </w:rPr>
        <w:t>年</w:t>
      </w:r>
      <w:r>
        <w:rPr>
          <w:rFonts w:hint="eastAsia" w:ascii="Times New Roman Regular" w:hAnsi="Times New Roman Regular" w:cs="Times New Roman Regular"/>
          <w:color w:val="333333"/>
          <w:shd w:val="clear" w:color="auto" w:fill="FFFFFF"/>
          <w:lang w:val="en-US"/>
        </w:rPr>
        <w:t>12</w:t>
      </w:r>
      <w:r>
        <w:rPr>
          <w:rFonts w:ascii="Times New Roman Regular" w:hAnsi="Times New Roman Regular" w:cs="Times New Roman Regular"/>
          <w:color w:val="333333"/>
          <w:shd w:val="clear" w:color="auto" w:fill="FFFFFF"/>
          <w:lang w:eastAsia="zh-Hans"/>
        </w:rPr>
        <w:t>月</w:t>
      </w:r>
      <w:r>
        <w:rPr>
          <w:rFonts w:hint="eastAsia" w:ascii="Times New Roman Regular" w:hAnsi="Times New Roman Regular" w:cs="Times New Roman Regular"/>
          <w:color w:val="333333"/>
          <w:shd w:val="clear" w:color="auto" w:fill="FFFFFF"/>
          <w:lang w:val="en-US"/>
        </w:rPr>
        <w:t>31</w:t>
      </w:r>
      <w:r>
        <w:rPr>
          <w:rFonts w:ascii="Times New Roman Regular" w:hAnsi="Times New Roman Regular" w:cs="Times New Roman Regular"/>
          <w:color w:val="333333"/>
          <w:shd w:val="clear" w:color="auto" w:fill="FFFFFF"/>
          <w:lang w:eastAsia="zh-Hans"/>
        </w:rPr>
        <w:t>日，本项目完成了</w:t>
      </w:r>
      <w:r>
        <w:rPr>
          <w:rFonts w:hint="eastAsia" w:ascii="Times New Roman Regular" w:hAnsi="Times New Roman Regular" w:cs="Times New Roman Regular"/>
          <w:color w:val="333333"/>
          <w:shd w:val="clear" w:color="auto" w:fill="FFFFFF"/>
          <w:lang w:val="en-US"/>
        </w:rPr>
        <w:t>科博中心主体建设及主干道路基建设</w:t>
      </w:r>
      <w:r>
        <w:rPr>
          <w:rFonts w:ascii="Times New Roman Regular" w:hAnsi="Times New Roman Regular" w:cs="Times New Roman Regular"/>
          <w:color w:val="333333"/>
          <w:shd w:val="clear" w:color="auto" w:fill="FFFFFF"/>
          <w:lang w:val="en-US" w:eastAsia="zh-Hans"/>
        </w:rPr>
        <w:t>工作，相关的项目合同书、技术鉴定等资料均由</w:t>
      </w:r>
      <w:r>
        <w:rPr>
          <w:rFonts w:hint="eastAsia" w:ascii="Times New Roman Regular" w:hAnsi="Times New Roman Regular" w:cs="Times New Roman Regular"/>
          <w:color w:val="333333"/>
          <w:shd w:val="clear" w:color="auto" w:fill="FFFFFF"/>
          <w:lang w:val="en-US"/>
        </w:rPr>
        <w:t>乐至县乐兴现代农业开发有限公司（业主单位）</w:t>
      </w:r>
      <w:r>
        <w:rPr>
          <w:rFonts w:ascii="Times New Roman Regular" w:hAnsi="Times New Roman Regular" w:cs="Times New Roman Regular"/>
          <w:color w:val="333333"/>
          <w:shd w:val="clear" w:color="auto" w:fill="FFFFFF"/>
          <w:lang w:val="en-US" w:eastAsia="zh-Hans"/>
        </w:rPr>
        <w:t>归档，资料归档齐全并及时；综上，本项目的实施遵守了</w:t>
      </w:r>
      <w:r>
        <w:rPr>
          <w:rFonts w:ascii="Times New Roman Regular" w:hAnsi="Times New Roman Regular" w:cs="Times New Roman Regular"/>
          <w:color w:val="333333"/>
          <w:shd w:val="clear" w:color="auto" w:fill="FFFFFF"/>
          <w:lang w:eastAsia="zh-Hans"/>
        </w:rPr>
        <w:t>相关法律法规和项目管理办法等业务管理制度。</w:t>
      </w:r>
    </w:p>
    <w:p>
      <w:pPr>
        <w:pStyle w:val="4"/>
        <w:ind w:firstLine="643"/>
        <w:rPr>
          <w:rFonts w:hint="eastAsia" w:ascii="Times New Roman Regular" w:hAnsi="Times New Roman Regular" w:cs="Times New Roman Regular"/>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项目质量可控性:</w:t>
      </w:r>
      <w:r>
        <w:rPr>
          <w:rFonts w:ascii="Times New Roman Regular" w:hAnsi="Times New Roman Regular" w:cs="Times New Roman Regular"/>
          <w:color w:val="333333"/>
          <w:shd w:val="clear" w:color="auto" w:fill="FFFFFF"/>
          <w:lang w:eastAsia="zh-Hans"/>
        </w:rPr>
        <w:t>本项目在《</w:t>
      </w:r>
      <w:r>
        <w:rPr>
          <w:rFonts w:hint="eastAsia" w:ascii="Times New Roman Regular" w:hAnsi="Times New Roman Regular" w:cs="Times New Roman Regular"/>
          <w:color w:val="333333"/>
          <w:shd w:val="clear" w:color="auto" w:fill="FFFFFF"/>
          <w:lang w:val="en-US"/>
        </w:rPr>
        <w:t>农旅产品展示中心兼游客接待中心建设</w:t>
      </w:r>
      <w:r>
        <w:rPr>
          <w:rFonts w:ascii="Times New Roman Regular" w:hAnsi="Times New Roman Regular" w:cs="Times New Roman Regular"/>
          <w:color w:val="333333"/>
          <w:shd w:val="clear" w:color="auto" w:fill="FFFFFF"/>
          <w:lang w:eastAsia="zh-Hans"/>
        </w:rPr>
        <w:t>合同》中制定了相应的项目质量要求和标准，明确了项目验收时间、验收流程、验收标准等要求；</w:t>
      </w:r>
    </w:p>
    <w:p>
      <w:pPr>
        <w:pStyle w:val="4"/>
        <w:ind w:firstLine="643"/>
        <w:rPr>
          <w:rFonts w:hint="eastAsia" w:ascii="Times New Roman Regular" w:hAnsi="Times New Roman Regular" w:cs="Times New Roman Regular"/>
          <w:b/>
          <w:bCs/>
          <w:color w:val="333333"/>
          <w:shd w:val="clear" w:color="auto" w:fill="FFFFFF"/>
          <w:lang w:val="en-US" w:eastAsia="zh-Hans"/>
        </w:rPr>
      </w:pPr>
      <w:r>
        <w:rPr>
          <w:rFonts w:ascii="Times New Roman Regular" w:hAnsi="Times New Roman Regular" w:cs="Times New Roman Regular"/>
          <w:b/>
          <w:bCs/>
          <w:color w:val="333333"/>
          <w:shd w:val="clear" w:color="auto" w:fill="FFFFFF"/>
          <w:lang w:eastAsia="zh-Hans"/>
        </w:rPr>
        <w:t>2</w:t>
      </w:r>
      <w:r>
        <w:rPr>
          <w:rFonts w:hint="eastAsia" w:ascii="Times New Roman Regular" w:hAnsi="Times New Roman Regular" w:cs="Times New Roman Regular"/>
          <w:b/>
          <w:bCs/>
          <w:color w:val="333333"/>
          <w:shd w:val="clear" w:color="auto" w:fill="FFFFFF"/>
          <w:lang w:val="en-US" w:eastAsia="zh-Hans"/>
        </w:rPr>
        <w:t>.财务管理</w:t>
      </w:r>
    </w:p>
    <w:p>
      <w:pPr>
        <w:pStyle w:val="4"/>
        <w:ind w:firstLine="0" w:firstLineChars="0"/>
        <w:rPr>
          <w:rFonts w:hint="eastAsia" w:ascii="Times New Roman Regular" w:hAnsi="Times New Roman Regular" w:cs="Times New Roman Regular"/>
          <w:b/>
          <w:bCs/>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 xml:space="preserve">    管理制度健全性：</w:t>
      </w:r>
      <w:r>
        <w:rPr>
          <w:rFonts w:ascii="Times New Roman Regular" w:hAnsi="Times New Roman Regular" w:cs="Times New Roman Regular"/>
          <w:color w:val="333333"/>
          <w:shd w:val="clear" w:color="auto" w:fill="FFFFFF"/>
          <w:lang w:eastAsia="zh-Hans"/>
        </w:rPr>
        <w:t>本单位制定了《</w:t>
      </w:r>
      <w:r>
        <w:rPr>
          <w:rFonts w:hint="eastAsia" w:ascii="Times New Roman Regular" w:hAnsi="Times New Roman Regular" w:cs="Times New Roman Regular"/>
          <w:color w:val="333333"/>
          <w:shd w:val="clear" w:color="auto" w:fill="FFFFFF"/>
          <w:lang w:val="en-US"/>
        </w:rPr>
        <w:t>园区</w:t>
      </w:r>
      <w:r>
        <w:rPr>
          <w:rFonts w:ascii="Times New Roman Regular" w:hAnsi="Times New Roman Regular" w:cs="Times New Roman Regular"/>
          <w:color w:val="333333"/>
          <w:shd w:val="clear" w:color="auto" w:fill="FFFFFF"/>
          <w:lang w:eastAsia="zh-Hans"/>
        </w:rPr>
        <w:t>财务管理制度》</w:t>
      </w:r>
      <w:r>
        <w:rPr>
          <w:rFonts w:hint="eastAsia" w:ascii="Times New Roman Regular" w:hAnsi="Times New Roman Regular" w:cs="Times New Roman Regular"/>
          <w:color w:val="333333"/>
          <w:shd w:val="clear" w:color="auto" w:fill="FFFFFF"/>
        </w:rPr>
        <w:t>、</w:t>
      </w:r>
      <w:r>
        <w:rPr>
          <w:rFonts w:ascii="Times New Roman Regular" w:hAnsi="Times New Roman Regular" w:cs="Times New Roman Regular"/>
          <w:color w:val="333333"/>
          <w:shd w:val="clear" w:color="auto" w:fill="FFFFFF"/>
          <w:lang w:eastAsia="zh-Hans"/>
        </w:rPr>
        <w:t>《</w:t>
      </w:r>
      <w:r>
        <w:rPr>
          <w:rFonts w:hint="eastAsia" w:ascii="Times New Roman Regular" w:hAnsi="Times New Roman Regular" w:cs="Times New Roman Regular"/>
          <w:color w:val="333333"/>
          <w:shd w:val="clear" w:color="auto" w:fill="FFFFFF"/>
          <w:lang w:val="en-US"/>
        </w:rPr>
        <w:t>园区党风廉政</w:t>
      </w:r>
      <w:r>
        <w:rPr>
          <w:rFonts w:ascii="Times New Roman Regular" w:hAnsi="Times New Roman Regular" w:cs="Times New Roman Regular"/>
          <w:color w:val="333333"/>
          <w:shd w:val="clear" w:color="auto" w:fill="FFFFFF"/>
          <w:lang w:eastAsia="zh-Hans"/>
        </w:rPr>
        <w:t>制度》等制度文件，制度内容涵盖预算管理制度、合同管理制度、经费支出管理办法和内部财务管理制度等管理制度，符合相关财务会计制度的规定。</w:t>
      </w:r>
    </w:p>
    <w:p>
      <w:pPr>
        <w:pStyle w:val="4"/>
        <w:ind w:firstLine="643"/>
        <w:rPr>
          <w:rFonts w:hint="eastAsia" w:ascii="Times New Roman Regular" w:hAnsi="Times New Roman Regular" w:cs="Times New Roman Regular"/>
          <w:b/>
          <w:bCs/>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资金使用合规性：</w:t>
      </w:r>
      <w:r>
        <w:rPr>
          <w:rFonts w:ascii="Times New Roman Regular" w:hAnsi="Times New Roman Regular" w:cs="Times New Roman Regular"/>
          <w:color w:val="333333"/>
          <w:shd w:val="clear" w:color="auto" w:fill="FFFFFF"/>
          <w:lang w:eastAsia="zh-Hans"/>
        </w:rPr>
        <w:t>本单位根据内部的《财务管理制度》相关办法规定，遵循“先预算后支出，谁签字谁负责”原则，资金报销相关资料经综合部和部门分管领导审批后，拨付资金，审批程序和手续完整；本项目的资金使用方向为</w:t>
      </w:r>
      <w:r>
        <w:rPr>
          <w:rFonts w:hint="eastAsia" w:ascii="Times New Roman Regular" w:hAnsi="Times New Roman Regular" w:cs="Times New Roman Regular"/>
          <w:color w:val="333333"/>
          <w:shd w:val="clear" w:color="auto" w:fill="FFFFFF"/>
          <w:lang w:val="en-US"/>
        </w:rPr>
        <w:t>工程建设</w:t>
      </w:r>
      <w:r>
        <w:rPr>
          <w:rFonts w:ascii="Times New Roman Regular" w:hAnsi="Times New Roman Regular" w:cs="Times New Roman Regular"/>
          <w:color w:val="333333"/>
          <w:shd w:val="clear" w:color="auto" w:fill="FFFFFF"/>
          <w:lang w:eastAsia="zh-Hans"/>
        </w:rPr>
        <w:t>等方面，与项目预算批复和合同规定的用途一致；自评小组对项目的支出明细和凭证开展了核查，未发现存在截留、挤占、挪用、虚列支出等情况。综上，本项目资金使用合规，符合国家财经法规和财务管理制度。</w:t>
      </w:r>
    </w:p>
    <w:p>
      <w:pPr>
        <w:pStyle w:val="4"/>
        <w:ind w:firstLine="643"/>
        <w:rPr>
          <w:rFonts w:hint="eastAsia" w:ascii="Times New Roman Regular" w:hAnsi="Times New Roman Regular" w:cs="Times New Roman Regular"/>
          <w:b/>
          <w:bCs/>
          <w:color w:val="333333"/>
          <w:shd w:val="clear" w:color="auto" w:fill="FFFFFF"/>
          <w:lang w:eastAsia="zh-Hans"/>
        </w:rPr>
      </w:pPr>
      <w:r>
        <w:rPr>
          <w:rFonts w:ascii="Times New Roman Regular" w:hAnsi="Times New Roman Regular" w:cs="Times New Roman Regular"/>
          <w:b/>
          <w:bCs/>
          <w:color w:val="333333"/>
          <w:shd w:val="clear" w:color="auto" w:fill="FFFFFF"/>
          <w:lang w:eastAsia="zh-Hans"/>
        </w:rPr>
        <w:t>财务监控有效性：</w:t>
      </w:r>
      <w:r>
        <w:rPr>
          <w:rFonts w:ascii="Times New Roman Regular" w:hAnsi="Times New Roman Regular" w:cs="Times New Roman Regular"/>
          <w:color w:val="333333"/>
          <w:shd w:val="clear" w:color="auto" w:fill="FFFFFF"/>
          <w:lang w:eastAsia="zh-Hans"/>
        </w:rPr>
        <w:t>本项目参照</w:t>
      </w:r>
      <w:r>
        <w:rPr>
          <w:rFonts w:hint="eastAsia" w:ascii="Times New Roman Regular" w:hAnsi="Times New Roman Regular" w:cs="Times New Roman Regular"/>
          <w:color w:val="333333"/>
          <w:shd w:val="clear" w:color="auto" w:fill="FFFFFF"/>
          <w:lang w:val="en-US"/>
        </w:rPr>
        <w:t>单位</w:t>
      </w:r>
      <w:r>
        <w:rPr>
          <w:rFonts w:ascii="Times New Roman Regular" w:hAnsi="Times New Roman Regular" w:cs="Times New Roman Regular"/>
          <w:color w:val="333333"/>
          <w:shd w:val="clear" w:color="auto" w:fill="FFFFFF"/>
          <w:lang w:eastAsia="zh-Hans"/>
        </w:rPr>
        <w:t>内控制度，按照内控流程对项目的预算、支出、采购、合同等业务进行监控；本单位在项目实施过程中和完成后，开展了对应的财务检查、内部审计等监控措施或手段，项目财务监控有效。</w:t>
      </w:r>
    </w:p>
    <w:p>
      <w:pPr>
        <w:pStyle w:val="3"/>
        <w:ind w:left="-13" w:firstLine="643"/>
        <w:rPr>
          <w:lang w:val="en-US"/>
        </w:rPr>
      </w:pPr>
      <w:r>
        <w:rPr>
          <w:rFonts w:hint="eastAsia"/>
          <w:lang w:val="en-US" w:eastAsia="zh-CN"/>
        </w:rPr>
        <w:t>（三）</w:t>
      </w:r>
      <w:r>
        <w:rPr>
          <w:rFonts w:hint="eastAsia"/>
          <w:lang w:val="en-US"/>
        </w:rPr>
        <w:t>产出与效果</w:t>
      </w:r>
    </w:p>
    <w:p>
      <w:pPr>
        <w:pStyle w:val="5"/>
        <w:ind w:firstLine="643"/>
      </w:pPr>
      <w:r>
        <w:rPr>
          <w:rFonts w:hint="eastAsia"/>
          <w:lang w:val="en-US" w:eastAsia="zh-CN"/>
        </w:rPr>
        <w:t>1.</w:t>
      </w:r>
      <w:r>
        <w:rPr>
          <w:rFonts w:hint="eastAsia"/>
        </w:rPr>
        <w:t>完成数量分析</w:t>
      </w:r>
    </w:p>
    <w:p>
      <w:pPr>
        <w:spacing w:line="580" w:lineRule="exact"/>
        <w:ind w:firstLine="640"/>
        <w:rPr>
          <w:rFonts w:eastAsia="仿宋"/>
          <w:kern w:val="0"/>
          <w:sz w:val="32"/>
          <w:szCs w:val="28"/>
          <w:lang w:val="zh-CN"/>
        </w:rPr>
      </w:pPr>
      <w:r>
        <w:rPr>
          <w:rFonts w:hint="eastAsia" w:eastAsia="仿宋"/>
          <w:kern w:val="0"/>
          <w:sz w:val="32"/>
          <w:szCs w:val="28"/>
          <w:lang w:val="zh-CN"/>
        </w:rPr>
        <w:t>项目数量完成率100%。根据年初设立的绩效目标，我局需在202</w:t>
      </w:r>
      <w:r>
        <w:rPr>
          <w:rFonts w:hint="eastAsia" w:eastAsia="仿宋"/>
          <w:kern w:val="0"/>
          <w:sz w:val="32"/>
          <w:szCs w:val="28"/>
        </w:rPr>
        <w:t>2</w:t>
      </w:r>
      <w:r>
        <w:rPr>
          <w:rFonts w:hint="eastAsia" w:eastAsia="仿宋"/>
          <w:kern w:val="0"/>
          <w:sz w:val="32"/>
          <w:szCs w:val="28"/>
          <w:lang w:val="zh-CN"/>
        </w:rPr>
        <w:t>年</w:t>
      </w:r>
      <w:r>
        <w:rPr>
          <w:rFonts w:hint="eastAsia" w:eastAsia="仿宋"/>
          <w:kern w:val="0"/>
          <w:sz w:val="32"/>
          <w:szCs w:val="28"/>
        </w:rPr>
        <w:t>乐至县国家农村产业融合发展示范园区建设</w:t>
      </w:r>
      <w:r>
        <w:rPr>
          <w:rFonts w:hint="eastAsia" w:eastAsia="仿宋"/>
          <w:kern w:val="0"/>
          <w:sz w:val="32"/>
          <w:szCs w:val="28"/>
          <w:lang w:val="zh-CN"/>
        </w:rPr>
        <w:t>项目的建设工作，截至202</w:t>
      </w:r>
      <w:r>
        <w:rPr>
          <w:rFonts w:hint="eastAsia" w:eastAsia="仿宋"/>
          <w:kern w:val="0"/>
          <w:sz w:val="32"/>
          <w:szCs w:val="28"/>
        </w:rPr>
        <w:t>2</w:t>
      </w:r>
      <w:r>
        <w:rPr>
          <w:rFonts w:hint="eastAsia" w:eastAsia="仿宋"/>
          <w:kern w:val="0"/>
          <w:sz w:val="32"/>
          <w:szCs w:val="28"/>
          <w:lang w:val="zh-CN"/>
        </w:rPr>
        <w:t>年12月31日，我</w:t>
      </w:r>
      <w:r>
        <w:rPr>
          <w:rFonts w:hint="eastAsia" w:eastAsia="仿宋"/>
          <w:kern w:val="0"/>
          <w:sz w:val="32"/>
          <w:szCs w:val="28"/>
        </w:rPr>
        <w:t>单位</w:t>
      </w:r>
      <w:r>
        <w:rPr>
          <w:rFonts w:hint="eastAsia" w:eastAsia="仿宋"/>
          <w:kern w:val="0"/>
          <w:sz w:val="32"/>
          <w:szCs w:val="28"/>
          <w:lang w:val="zh-CN"/>
        </w:rPr>
        <w:t>已按计划完成</w:t>
      </w:r>
      <w:r>
        <w:rPr>
          <w:rFonts w:hint="eastAsia" w:eastAsia="仿宋"/>
          <w:kern w:val="0"/>
          <w:sz w:val="32"/>
          <w:szCs w:val="28"/>
        </w:rPr>
        <w:t>科博中心主体建设及主干道路基建设。</w:t>
      </w:r>
    </w:p>
    <w:p>
      <w:pPr>
        <w:pStyle w:val="5"/>
        <w:ind w:firstLine="643"/>
      </w:pPr>
      <w:r>
        <w:rPr>
          <w:rFonts w:hint="eastAsia"/>
          <w:lang w:val="en-US" w:eastAsia="zh-CN"/>
        </w:rPr>
        <w:t>2.</w:t>
      </w:r>
      <w:r>
        <w:rPr>
          <w:rFonts w:hint="eastAsia"/>
        </w:rPr>
        <w:t>项目成本分析</w:t>
      </w:r>
    </w:p>
    <w:p>
      <w:pPr>
        <w:pStyle w:val="4"/>
        <w:ind w:firstLine="643"/>
        <w:rPr>
          <w:rFonts w:ascii="Times New Roman" w:hAnsi="Times New Roman"/>
        </w:rPr>
      </w:pPr>
      <w:r>
        <w:rPr>
          <w:rFonts w:hint="eastAsia" w:ascii="Times New Roman" w:hAnsi="Times New Roman"/>
          <w:b/>
          <w:bCs/>
        </w:rPr>
        <w:t>成本控制率1</w:t>
      </w:r>
      <w:r>
        <w:rPr>
          <w:rFonts w:ascii="Times New Roman" w:hAnsi="Times New Roman"/>
          <w:b/>
          <w:bCs/>
        </w:rPr>
        <w:t>00%</w:t>
      </w:r>
      <w:r>
        <w:rPr>
          <w:rFonts w:hint="eastAsia" w:ascii="Times New Roman" w:hAnsi="Times New Roman"/>
          <w:b/>
          <w:bCs/>
        </w:rPr>
        <w:t>。</w:t>
      </w:r>
      <w:r>
        <w:rPr>
          <w:rFonts w:hint="eastAsia" w:ascii="Times New Roman" w:hAnsi="Times New Roman"/>
        </w:rPr>
        <w:t>项目支出金额在预算批复资金内，未超出预算金额，项目成本可控</w:t>
      </w:r>
      <w:r>
        <w:rPr>
          <w:rFonts w:ascii="Times New Roman" w:hAnsi="Times New Roman"/>
        </w:rPr>
        <w:t>。</w:t>
      </w:r>
    </w:p>
    <w:p>
      <w:pPr>
        <w:pStyle w:val="5"/>
        <w:numPr>
          <w:ilvl w:val="2"/>
          <w:numId w:val="0"/>
        </w:numPr>
        <w:ind w:left="420" w:leftChars="200" w:firstLine="321" w:firstLineChars="100"/>
        <w:rPr>
          <w:color w:val="FF0000"/>
        </w:rPr>
      </w:pPr>
      <w:r>
        <w:rPr>
          <w:rFonts w:hint="eastAsia"/>
          <w:lang w:val="en-US"/>
        </w:rPr>
        <w:t>3.</w:t>
      </w:r>
      <w:r>
        <w:rPr>
          <w:rFonts w:hint="eastAsia"/>
        </w:rPr>
        <w:t>项目</w:t>
      </w:r>
      <w:r>
        <w:t>效益</w:t>
      </w:r>
      <w:r>
        <w:rPr>
          <w:rFonts w:hint="eastAsia"/>
        </w:rPr>
        <w:t>分析</w:t>
      </w:r>
    </w:p>
    <w:p>
      <w:pPr>
        <w:pStyle w:val="4"/>
        <w:ind w:firstLine="643"/>
        <w:rPr>
          <w:rFonts w:ascii="Times New Roman" w:hAnsi="Times New Roman"/>
        </w:rPr>
      </w:pPr>
      <w:r>
        <w:rPr>
          <w:rFonts w:hint="eastAsia" w:ascii="Times New Roman" w:hAnsi="Times New Roman"/>
          <w:b/>
          <w:bCs/>
        </w:rPr>
        <w:t>社会效益：</w:t>
      </w:r>
      <w:r>
        <w:rPr>
          <w:rFonts w:ascii="Times New Roman" w:hAnsi="Times New Roman"/>
        </w:rPr>
        <w:t>项目建设</w:t>
      </w:r>
      <w:r>
        <w:rPr>
          <w:rFonts w:hint="eastAsia" w:ascii="Times New Roman" w:hAnsi="Times New Roman"/>
          <w:lang w:val="en-US"/>
        </w:rPr>
        <w:t>提高对农村居住生活环境，</w:t>
      </w:r>
      <w:r>
        <w:rPr>
          <w:rFonts w:ascii="Times New Roman" w:hAnsi="Times New Roman"/>
        </w:rPr>
        <w:t>改善了沿线居民交通出行条件和公路运输条件。</w:t>
      </w:r>
    </w:p>
    <w:p>
      <w:pPr>
        <w:pStyle w:val="5"/>
        <w:numPr>
          <w:ilvl w:val="2"/>
          <w:numId w:val="0"/>
        </w:numPr>
        <w:ind w:left="420" w:leftChars="200" w:firstLine="321" w:firstLineChars="100"/>
      </w:pPr>
      <w:r>
        <w:rPr>
          <w:rFonts w:hint="eastAsia"/>
          <w:lang w:val="en-US"/>
        </w:rPr>
        <w:t>4.</w:t>
      </w:r>
      <w:r>
        <w:rPr>
          <w:lang w:val="en-US"/>
        </w:rPr>
        <w:t>满意度</w:t>
      </w:r>
      <w:r>
        <w:t>指标分析</w:t>
      </w:r>
    </w:p>
    <w:p>
      <w:pPr>
        <w:pStyle w:val="4"/>
        <w:ind w:firstLine="640"/>
        <w:rPr>
          <w:rFonts w:ascii="Times New Roman" w:hAnsi="Times New Roman"/>
        </w:rPr>
      </w:pPr>
      <w:r>
        <w:rPr>
          <w:rFonts w:hint="eastAsia" w:ascii="Times New Roman" w:hAnsi="Times New Roman"/>
        </w:rPr>
        <w:t>2</w:t>
      </w:r>
      <w:r>
        <w:rPr>
          <w:rFonts w:ascii="Times New Roman" w:hAnsi="Times New Roman"/>
        </w:rPr>
        <w:t>02</w:t>
      </w:r>
      <w:r>
        <w:rPr>
          <w:rFonts w:hint="eastAsia" w:ascii="Times New Roman" w:hAnsi="Times New Roman"/>
          <w:lang w:val="en-US"/>
        </w:rPr>
        <w:t>2</w:t>
      </w:r>
      <w:r>
        <w:rPr>
          <w:rFonts w:hint="eastAsia" w:ascii="Times New Roman" w:hAnsi="Times New Roman"/>
        </w:rPr>
        <w:t>年</w:t>
      </w:r>
      <w:r>
        <w:rPr>
          <w:rFonts w:ascii="Times New Roman" w:hAnsi="Times New Roman"/>
        </w:rPr>
        <w:t>项目周边群众对项目综合满意度为9</w:t>
      </w:r>
      <w:r>
        <w:rPr>
          <w:rFonts w:hint="eastAsia" w:ascii="Times New Roman" w:hAnsi="Times New Roman"/>
          <w:lang w:val="en-US"/>
        </w:rPr>
        <w:t>5</w:t>
      </w:r>
      <w:r>
        <w:rPr>
          <w:rFonts w:ascii="Times New Roman" w:hAnsi="Times New Roman"/>
        </w:rPr>
        <w:t>%，对</w:t>
      </w:r>
      <w:r>
        <w:rPr>
          <w:rFonts w:hint="eastAsia" w:ascii="Times New Roman" w:hAnsi="Times New Roman"/>
          <w:lang w:val="en-US"/>
        </w:rPr>
        <w:t>主干道路</w:t>
      </w:r>
      <w:r>
        <w:rPr>
          <w:rFonts w:ascii="Times New Roman" w:hAnsi="Times New Roman"/>
        </w:rPr>
        <w:t>址及设计、道路平整度完好性等情况均非常满意。</w:t>
      </w:r>
    </w:p>
    <w:p>
      <w:pPr>
        <w:spacing w:line="580" w:lineRule="exact"/>
        <w:ind w:firstLine="640" w:firstLineChars="200"/>
        <w:rPr>
          <w:rFonts w:eastAsia="方正黑体简体"/>
          <w:sz w:val="32"/>
          <w:szCs w:val="32"/>
        </w:rPr>
      </w:pPr>
      <w:r>
        <w:rPr>
          <w:rFonts w:hint="eastAsia" w:eastAsia="方正黑体简体"/>
          <w:sz w:val="32"/>
          <w:szCs w:val="32"/>
        </w:rPr>
        <w:t>五、主要经验及做法、存在的问题和建议</w:t>
      </w:r>
    </w:p>
    <w:p>
      <w:pPr>
        <w:spacing w:line="580" w:lineRule="exact"/>
        <w:ind w:firstLine="643" w:firstLineChars="200"/>
        <w:rPr>
          <w:rFonts w:eastAsia="方正楷体简体"/>
          <w:b/>
          <w:sz w:val="32"/>
          <w:szCs w:val="32"/>
        </w:rPr>
      </w:pPr>
      <w:r>
        <w:rPr>
          <w:rFonts w:hint="eastAsia" w:eastAsia="方正楷体简体"/>
          <w:b/>
          <w:sz w:val="32"/>
          <w:szCs w:val="32"/>
        </w:rPr>
        <w:t>（一）主要经验及做法</w:t>
      </w:r>
    </w:p>
    <w:p>
      <w:pPr>
        <w:pStyle w:val="4"/>
        <w:spacing w:line="240" w:lineRule="auto"/>
        <w:ind w:firstLine="640"/>
        <w:rPr>
          <w:lang w:val="en-US"/>
        </w:rPr>
      </w:pPr>
      <w:r>
        <w:rPr>
          <w:rFonts w:ascii="Times New Roman" w:hAnsi="Times New Roman"/>
        </w:rPr>
        <w:t>在资金使用过程中， 严格执行单位相关资金管理制度， 做到厉行节约、专款专用，同时开展好资金使用</w:t>
      </w:r>
      <w:r>
        <w:rPr>
          <w:rFonts w:hint="eastAsia" w:ascii="Times New Roman" w:hAnsi="Times New Roman"/>
          <w:lang w:val="en-US"/>
        </w:rPr>
        <w:t>过程中监督工作。</w:t>
      </w:r>
    </w:p>
    <w:p>
      <w:pPr>
        <w:numPr>
          <w:ilvl w:val="0"/>
          <w:numId w:val="10"/>
        </w:numPr>
        <w:spacing w:line="580" w:lineRule="exact"/>
        <w:ind w:firstLine="643" w:firstLineChars="200"/>
        <w:rPr>
          <w:rFonts w:eastAsia="方正楷体简体"/>
          <w:b/>
          <w:sz w:val="32"/>
          <w:szCs w:val="32"/>
        </w:rPr>
      </w:pPr>
      <w:r>
        <w:rPr>
          <w:rFonts w:hint="eastAsia" w:eastAsia="方正楷体简体"/>
          <w:b/>
          <w:sz w:val="32"/>
          <w:szCs w:val="32"/>
        </w:rPr>
        <w:t>存在的问题</w:t>
      </w:r>
    </w:p>
    <w:p>
      <w:pPr>
        <w:pStyle w:val="4"/>
        <w:ind w:firstLine="640"/>
      </w:pPr>
      <w:r>
        <w:rPr>
          <w:rFonts w:ascii="Times New Roman" w:hAnsi="Times New Roman"/>
        </w:rPr>
        <w:t>通过自查， 我们发现项目实施过程中尚有不足之处， 主要是项目部分施工人员施工安全意识不高，</w:t>
      </w:r>
      <w:r>
        <w:rPr>
          <w:rFonts w:hint="eastAsia" w:ascii="Times New Roman" w:hAnsi="Times New Roman"/>
          <w:lang w:val="en-US"/>
        </w:rPr>
        <w:t>项目实施后的经济效益和生态效益需加强。</w:t>
      </w:r>
    </w:p>
    <w:p>
      <w:pPr>
        <w:spacing w:line="580" w:lineRule="exact"/>
        <w:ind w:firstLine="643" w:firstLineChars="200"/>
        <w:rPr>
          <w:rFonts w:eastAsia="方正楷体简体"/>
          <w:b/>
          <w:sz w:val="32"/>
          <w:szCs w:val="32"/>
        </w:rPr>
      </w:pPr>
      <w:r>
        <w:rPr>
          <w:rFonts w:hint="eastAsia" w:eastAsia="方正楷体简体"/>
          <w:b/>
          <w:sz w:val="32"/>
          <w:szCs w:val="32"/>
        </w:rPr>
        <w:t>（三）建议和改进措施</w:t>
      </w:r>
    </w:p>
    <w:p>
      <w:pPr>
        <w:pStyle w:val="4"/>
        <w:ind w:firstLine="640"/>
        <w:rPr>
          <w:rFonts w:ascii="Times New Roman" w:hAnsi="Times New Roman"/>
          <w:lang w:val="en-US"/>
        </w:rPr>
      </w:pPr>
      <w:r>
        <w:rPr>
          <w:rFonts w:ascii="Times New Roman" w:hAnsi="Times New Roman"/>
        </w:rPr>
        <w:t>针对存在的问题， 我们将严格履行基本建设程序， 通过制 度建设，创新机制，规范管理，进一步完善现有的管理办法，逐步建立管理规范</w:t>
      </w:r>
      <w:r>
        <w:rPr>
          <w:rFonts w:hint="eastAsia" w:ascii="Times New Roman" w:hAnsi="Times New Roman"/>
        </w:rPr>
        <w:t>，</w:t>
      </w:r>
      <w:r>
        <w:rPr>
          <w:rFonts w:ascii="Times New Roman" w:hAnsi="Times New Roman"/>
        </w:rPr>
        <w:t>运行有序的管理机制</w:t>
      </w:r>
      <w:r>
        <w:rPr>
          <w:rFonts w:hint="eastAsia" w:ascii="Times New Roman" w:hAnsi="Times New Roman"/>
        </w:rPr>
        <w:t>，</w:t>
      </w:r>
      <w:r>
        <w:rPr>
          <w:rFonts w:hint="eastAsia" w:ascii="Times New Roman" w:hAnsi="Times New Roman"/>
          <w:lang w:val="en-US"/>
        </w:rPr>
        <w:t>逐步体现项目建设的经济效益和生态效益。</w:t>
      </w:r>
    </w:p>
    <w:p>
      <w:pPr>
        <w:spacing w:line="580" w:lineRule="exact"/>
        <w:ind w:firstLine="640" w:firstLineChars="200"/>
        <w:rPr>
          <w:rFonts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4-</w:t>
      </w:r>
      <w:r>
        <w:rPr>
          <w:rFonts w:eastAsia="方正仿宋简体"/>
          <w:sz w:val="32"/>
          <w:szCs w:val="32"/>
        </w:rPr>
        <w:t>1.202</w:t>
      </w:r>
      <w:r>
        <w:rPr>
          <w:rFonts w:hint="eastAsia" w:eastAsia="方正仿宋简体"/>
          <w:sz w:val="32"/>
          <w:szCs w:val="32"/>
        </w:rPr>
        <w:t>2年度乐至县项目支出绩效自评计分表</w:t>
      </w:r>
    </w:p>
    <w:p>
      <w:pPr>
        <w:spacing w:line="580" w:lineRule="exact"/>
        <w:ind w:firstLine="1600" w:firstLineChars="500"/>
        <w:rPr>
          <w:rFonts w:eastAsia="方正仿宋简体"/>
          <w:sz w:val="32"/>
          <w:szCs w:val="32"/>
        </w:rPr>
      </w:pPr>
      <w:r>
        <w:rPr>
          <w:rFonts w:hint="eastAsia" w:eastAsia="方正仿宋简体"/>
          <w:sz w:val="32"/>
          <w:szCs w:val="32"/>
          <w:lang w:val="en-US" w:eastAsia="zh-CN"/>
        </w:rPr>
        <w:t>4-</w:t>
      </w:r>
      <w:r>
        <w:rPr>
          <w:rFonts w:eastAsia="方正仿宋简体"/>
          <w:sz w:val="32"/>
          <w:szCs w:val="32"/>
        </w:rPr>
        <w:t>2.202</w:t>
      </w:r>
      <w:r>
        <w:rPr>
          <w:rFonts w:hint="eastAsia" w:eastAsia="方正仿宋简体"/>
          <w:sz w:val="32"/>
          <w:szCs w:val="32"/>
        </w:rPr>
        <w:t>2年度乐至县项目支出绩效目标完成情况表</w:t>
      </w: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Pr>
        <w:spacing w:line="620" w:lineRule="exact"/>
        <w:ind w:left="1917" w:leftChars="760" w:hanging="321" w:hangingChars="100"/>
        <w:jc w:val="left"/>
        <w:rPr>
          <w:rFonts w:ascii="宋体" w:hAnsi="宋体" w:eastAsia="方正仿宋简体"/>
          <w:b/>
          <w:sz w:val="32"/>
          <w:szCs w:val="32"/>
        </w:rPr>
      </w:pPr>
    </w:p>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center"/>
        <w:rPr>
          <w:rFonts w:eastAsia="方正小标宋简体"/>
          <w:bCs/>
          <w:kern w:val="0"/>
          <w:sz w:val="44"/>
          <w:szCs w:val="44"/>
        </w:rPr>
      </w:pPr>
    </w:p>
    <w:p>
      <w:pPr>
        <w:spacing w:line="620" w:lineRule="exact"/>
        <w:jc w:val="lef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lang w:val="en-US" w:eastAsia="zh-CN"/>
        </w:rPr>
        <w:t>附件4-1</w:t>
      </w:r>
    </w:p>
    <w:p>
      <w:pPr>
        <w:spacing w:line="620" w:lineRule="exact"/>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580" w:lineRule="exact"/>
        <w:ind w:firstLine="640"/>
        <w:rPr>
          <w:rFonts w:eastAsia="方正楷体简体"/>
          <w:b/>
          <w:bCs/>
          <w:kern w:val="0"/>
          <w:sz w:val="32"/>
          <w:szCs w:val="32"/>
        </w:rPr>
      </w:pPr>
      <w:r>
        <w:rPr>
          <w:rFonts w:hint="eastAsia" w:eastAsia="方正楷体简体"/>
          <w:b/>
          <w:bCs/>
          <w:kern w:val="0"/>
          <w:sz w:val="32"/>
          <w:szCs w:val="32"/>
        </w:rPr>
        <w:t>（乐至县国家农村产业融合发展示范园区建设项目）</w:t>
      </w:r>
    </w:p>
    <w:p>
      <w:pPr>
        <w:spacing w:line="620" w:lineRule="exact"/>
        <w:rPr>
          <w:rFonts w:hint="eastAsia"/>
          <w:bCs/>
          <w:kern w:val="0"/>
          <w:sz w:val="24"/>
          <w:lang w:val="en-US" w:eastAsia="zh-CN"/>
        </w:rPr>
      </w:pPr>
      <w:r>
        <w:rPr>
          <w:rFonts w:hint="eastAsia"/>
          <w:bCs/>
          <w:kern w:val="0"/>
          <w:sz w:val="24"/>
        </w:rPr>
        <w:t>预算单位名称：</w:t>
      </w:r>
      <w:r>
        <w:rPr>
          <w:rFonts w:hint="eastAsia"/>
          <w:bCs/>
          <w:kern w:val="0"/>
          <w:sz w:val="24"/>
          <w:lang w:val="en-US" w:eastAsia="zh-CN"/>
        </w:rPr>
        <w:t>国家农村产业融合发展示范园管理委员会</w:t>
      </w:r>
    </w:p>
    <w:p>
      <w:pPr>
        <w:spacing w:line="620" w:lineRule="exact"/>
        <w:rPr>
          <w:sz w:val="24"/>
        </w:rPr>
      </w:pPr>
      <w:r>
        <w:rPr>
          <w:rFonts w:hint="eastAsia"/>
          <w:bCs/>
          <w:kern w:val="0"/>
          <w:sz w:val="24"/>
        </w:rPr>
        <w:t>预算单位编码：</w:t>
      </w:r>
      <w:r>
        <w:rPr>
          <w:rFonts w:hint="eastAsia"/>
          <w:bCs/>
          <w:kern w:val="0"/>
          <w:sz w:val="24"/>
          <w:lang w:val="en-US" w:eastAsia="zh-CN"/>
        </w:rPr>
        <w:t>150001</w:t>
      </w:r>
      <w:r>
        <w:rPr>
          <w:bCs/>
          <w:kern w:val="0"/>
          <w:sz w:val="24"/>
        </w:rPr>
        <w:t xml:space="preserve">            </w:t>
      </w:r>
      <w:r>
        <w:rPr>
          <w:rFonts w:hint="eastAsia"/>
          <w:bCs/>
          <w:kern w:val="0"/>
          <w:sz w:val="24"/>
          <w:lang w:val="en-US" w:eastAsia="zh-CN"/>
        </w:rPr>
        <w:t xml:space="preserve">                          </w:t>
      </w:r>
      <w:r>
        <w:rPr>
          <w:rFonts w:hint="eastAsia"/>
          <w:bCs/>
          <w:kern w:val="0"/>
          <w:sz w:val="24"/>
        </w:rPr>
        <w:t>自评等级：优</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329"/>
        <w:gridCol w:w="557"/>
        <w:gridCol w:w="717"/>
        <w:gridCol w:w="1518"/>
        <w:gridCol w:w="3228"/>
        <w:gridCol w:w="510"/>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29"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一级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557"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二级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717"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三级</w:t>
            </w:r>
          </w:p>
          <w:p>
            <w:pPr>
              <w:widowControl/>
              <w:spacing w:line="240" w:lineRule="exact"/>
              <w:jc w:val="center"/>
              <w:rPr>
                <w:rFonts w:eastAsia="方正黑体简体"/>
                <w:bCs/>
                <w:kern w:val="0"/>
                <w:szCs w:val="21"/>
              </w:rPr>
            </w:pPr>
            <w:r>
              <w:rPr>
                <w:rFonts w:hint="eastAsia" w:eastAsia="方正黑体简体"/>
                <w:bCs/>
                <w:kern w:val="0"/>
                <w:szCs w:val="21"/>
              </w:rPr>
              <w:t>指标</w:t>
            </w:r>
          </w:p>
        </w:tc>
        <w:tc>
          <w:tcPr>
            <w:tcW w:w="1518"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指标解释</w:t>
            </w:r>
          </w:p>
        </w:tc>
        <w:tc>
          <w:tcPr>
            <w:tcW w:w="3228"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指标说明（评价计分标准）</w:t>
            </w:r>
          </w:p>
        </w:tc>
        <w:tc>
          <w:tcPr>
            <w:tcW w:w="510"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自评</w:t>
            </w:r>
          </w:p>
          <w:p>
            <w:pPr>
              <w:widowControl/>
              <w:spacing w:line="240" w:lineRule="exact"/>
              <w:jc w:val="center"/>
              <w:rPr>
                <w:rFonts w:eastAsia="方正黑体简体"/>
                <w:bCs/>
                <w:kern w:val="0"/>
                <w:szCs w:val="21"/>
              </w:rPr>
            </w:pPr>
            <w:r>
              <w:rPr>
                <w:rFonts w:hint="eastAsia" w:eastAsia="方正黑体简体"/>
                <w:bCs/>
                <w:kern w:val="0"/>
                <w:szCs w:val="21"/>
              </w:rPr>
              <w:t>分数</w:t>
            </w:r>
          </w:p>
        </w:tc>
        <w:tc>
          <w:tcPr>
            <w:tcW w:w="2042" w:type="dxa"/>
            <w:tcBorders>
              <w:top w:val="single" w:color="auto" w:sz="12" w:space="0"/>
            </w:tcBorders>
            <w:shd w:val="clear" w:color="auto" w:fill="FFFFFF"/>
            <w:vAlign w:val="center"/>
          </w:tcPr>
          <w:p>
            <w:pPr>
              <w:widowControl/>
              <w:spacing w:line="240" w:lineRule="exact"/>
              <w:jc w:val="center"/>
              <w:rPr>
                <w:rFonts w:eastAsia="方正黑体简体"/>
                <w:bCs/>
                <w:kern w:val="0"/>
                <w:szCs w:val="21"/>
              </w:rPr>
            </w:pPr>
            <w:r>
              <w:rPr>
                <w:rFonts w:hint="eastAsia" w:eastAsia="方正黑体简体"/>
                <w:bCs/>
                <w:kern w:val="0"/>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29" w:type="dxa"/>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投</w:t>
            </w:r>
            <w:r>
              <w:rPr>
                <w:kern w:val="0"/>
                <w:szCs w:val="21"/>
              </w:rPr>
              <w:t xml:space="preserve">   </w:t>
            </w:r>
            <w:r>
              <w:rPr>
                <w:rFonts w:hint="eastAsia"/>
                <w:kern w:val="0"/>
                <w:szCs w:val="21"/>
              </w:rPr>
              <w:t>入（</w:t>
            </w:r>
            <w:r>
              <w:rPr>
                <w:kern w:val="0"/>
                <w:szCs w:val="21"/>
              </w:rPr>
              <w:t>25</w:t>
            </w:r>
            <w:r>
              <w:rPr>
                <w:rFonts w:hint="eastAsia"/>
                <w:kern w:val="0"/>
                <w:szCs w:val="21"/>
              </w:rPr>
              <w:t>分）</w:t>
            </w:r>
          </w:p>
        </w:tc>
        <w:tc>
          <w:tcPr>
            <w:tcW w:w="557" w:type="dxa"/>
            <w:vMerge w:val="restart"/>
            <w:shd w:val="clear" w:color="auto" w:fill="FFFFFF"/>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立项（</w:t>
            </w:r>
            <w:r>
              <w:rPr>
                <w:kern w:val="0"/>
                <w:szCs w:val="21"/>
              </w:rPr>
              <w:t>15</w:t>
            </w:r>
            <w:r>
              <w:rPr>
                <w:rFonts w:hint="eastAsia"/>
                <w:kern w:val="0"/>
                <w:szCs w:val="21"/>
              </w:rPr>
              <w:t>分）</w:t>
            </w:r>
          </w:p>
        </w:tc>
        <w:tc>
          <w:tcPr>
            <w:tcW w:w="717" w:type="dxa"/>
            <w:shd w:val="clear" w:color="auto" w:fill="FFFFFF"/>
            <w:vAlign w:val="center"/>
          </w:tcPr>
          <w:p>
            <w:pPr>
              <w:widowControl/>
              <w:spacing w:line="240" w:lineRule="exact"/>
              <w:jc w:val="left"/>
              <w:rPr>
                <w:kern w:val="0"/>
                <w:szCs w:val="21"/>
              </w:rPr>
            </w:pPr>
            <w:r>
              <w:rPr>
                <w:rFonts w:hint="eastAsia"/>
                <w:kern w:val="0"/>
                <w:szCs w:val="21"/>
              </w:rPr>
              <w:t>项目立项规范性（</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项目的申请、设立过程是否符合相关要求，用以反映和考核项目立项的规范情况。</w:t>
            </w:r>
          </w:p>
        </w:tc>
        <w:tc>
          <w:tcPr>
            <w:tcW w:w="3228" w:type="dxa"/>
            <w:shd w:val="clear" w:color="auto" w:fill="FFFFFF"/>
            <w:vAlign w:val="center"/>
          </w:tcPr>
          <w:p>
            <w:pPr>
              <w:widowControl/>
              <w:spacing w:line="240" w:lineRule="exact"/>
              <w:jc w:val="left"/>
              <w:rPr>
                <w:kern w:val="0"/>
                <w:szCs w:val="21"/>
              </w:rPr>
            </w:pPr>
            <w:r>
              <w:rPr>
                <w:rFonts w:hint="eastAsia"/>
                <w:kern w:val="0"/>
                <w:szCs w:val="21"/>
              </w:rPr>
              <w:t>①项目是否按照规定的程序申请设立；（</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②所提交的文件、材料是否符合相关要求；（</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③事前是否已经过必要的可行性研究、专家论证、风险评估、集体决策等。（</w:t>
            </w:r>
            <w:r>
              <w:rPr>
                <w:kern w:val="0"/>
                <w:szCs w:val="21"/>
              </w:rPr>
              <w:t>2</w:t>
            </w:r>
            <w:r>
              <w:rPr>
                <w:rFonts w:hint="eastAsia"/>
                <w:kern w:val="0"/>
                <w:szCs w:val="21"/>
              </w:rPr>
              <w:t>分）</w:t>
            </w: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园区专项债项目立项批复、专项债可研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绩效目标合理性（</w:t>
            </w:r>
            <w:r>
              <w:rPr>
                <w:kern w:val="0"/>
                <w:szCs w:val="21"/>
              </w:rPr>
              <w:t>4</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项目所设定的绩效目标是否依据充分，是否符合客观实际，用以反映和考核项目绩效目标与项目实施的相符情况。</w:t>
            </w:r>
          </w:p>
        </w:tc>
        <w:tc>
          <w:tcPr>
            <w:tcW w:w="3228" w:type="dxa"/>
            <w:shd w:val="clear" w:color="auto" w:fill="FFFFFF"/>
            <w:vAlign w:val="center"/>
          </w:tcPr>
          <w:p>
            <w:pPr>
              <w:widowControl/>
              <w:spacing w:line="240" w:lineRule="exact"/>
              <w:jc w:val="left"/>
              <w:rPr>
                <w:kern w:val="0"/>
                <w:szCs w:val="21"/>
              </w:rPr>
            </w:pPr>
            <w:r>
              <w:rPr>
                <w:rFonts w:hint="eastAsia"/>
                <w:kern w:val="0"/>
                <w:szCs w:val="21"/>
              </w:rPr>
              <w:t>①是否符合国家相关法律法规、国民经济发展规划和党委政府决策；（</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②是否与项目实施单位或委托单位职责密切相关；（</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③项目是否为促进事业发展所必需；（</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④项目预期产出效益和效果是否符合正常的业绩水平。（</w:t>
            </w:r>
            <w:r>
              <w:rPr>
                <w:kern w:val="0"/>
                <w:szCs w:val="21"/>
              </w:rPr>
              <w:t>1</w:t>
            </w:r>
            <w:r>
              <w:rPr>
                <w:rFonts w:hint="eastAsia"/>
                <w:kern w:val="0"/>
                <w:szCs w:val="21"/>
              </w:rPr>
              <w:t>分）</w:t>
            </w:r>
          </w:p>
        </w:tc>
        <w:tc>
          <w:tcPr>
            <w:tcW w:w="510" w:type="dxa"/>
            <w:noWrap/>
            <w:vAlign w:val="center"/>
          </w:tcPr>
          <w:p>
            <w:pPr>
              <w:widowControl/>
              <w:spacing w:line="240" w:lineRule="exact"/>
              <w:jc w:val="left"/>
              <w:rPr>
                <w:kern w:val="0"/>
                <w:szCs w:val="21"/>
              </w:rPr>
            </w:pPr>
            <w:r>
              <w:rPr>
                <w:rFonts w:hint="eastAsia"/>
                <w:kern w:val="0"/>
                <w:szCs w:val="21"/>
              </w:rPr>
              <w:t>　4</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绩效目标设定符合法律规范，依据充分。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绩效指标明确性（</w:t>
            </w:r>
            <w:r>
              <w:rPr>
                <w:kern w:val="0"/>
                <w:szCs w:val="21"/>
              </w:rPr>
              <w:t>6</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依据绩效目标设定的绩效指标是否清晰、细化、可衡量等，用以反映和考核项目绩效目标的明细化情况。</w:t>
            </w:r>
          </w:p>
        </w:tc>
        <w:tc>
          <w:tcPr>
            <w:tcW w:w="3228" w:type="dxa"/>
            <w:shd w:val="clear" w:color="auto" w:fill="FFFFFF"/>
            <w:vAlign w:val="center"/>
          </w:tcPr>
          <w:p>
            <w:pPr>
              <w:widowControl/>
              <w:spacing w:line="240" w:lineRule="exact"/>
              <w:jc w:val="left"/>
              <w:rPr>
                <w:kern w:val="0"/>
                <w:szCs w:val="21"/>
              </w:rPr>
            </w:pPr>
            <w:r>
              <w:rPr>
                <w:rFonts w:hint="eastAsia"/>
                <w:kern w:val="0"/>
                <w:szCs w:val="21"/>
              </w:rPr>
              <w:t>①是否将项目绩效目标细化分解为具体的绩效指标；（</w:t>
            </w:r>
            <w:r>
              <w:rPr>
                <w:kern w:val="0"/>
                <w:szCs w:val="21"/>
              </w:rPr>
              <w:t>2</w:t>
            </w:r>
            <w:r>
              <w:rPr>
                <w:rFonts w:hint="eastAsia"/>
                <w:kern w:val="0"/>
                <w:szCs w:val="21"/>
              </w:rPr>
              <w:t>分）</w:t>
            </w:r>
          </w:p>
          <w:p>
            <w:pPr>
              <w:widowControl/>
              <w:spacing w:line="240" w:lineRule="exact"/>
              <w:jc w:val="left"/>
              <w:rPr>
                <w:kern w:val="0"/>
                <w:szCs w:val="21"/>
              </w:rPr>
            </w:pPr>
            <w:r>
              <w:rPr>
                <w:rFonts w:hint="eastAsia"/>
                <w:kern w:val="0"/>
                <w:szCs w:val="21"/>
              </w:rPr>
              <w:t>②是否通过清晰、可衡量的指标值予以体现；（</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③是否与项目年度任务数或计划数相对应；（</w:t>
            </w:r>
            <w:r>
              <w:rPr>
                <w:kern w:val="0"/>
                <w:szCs w:val="21"/>
              </w:rPr>
              <w:t>1</w:t>
            </w:r>
            <w:r>
              <w:rPr>
                <w:rFonts w:hint="eastAsia"/>
                <w:kern w:val="0"/>
                <w:szCs w:val="21"/>
              </w:rPr>
              <w:t>分）</w:t>
            </w:r>
          </w:p>
          <w:p>
            <w:pPr>
              <w:widowControl/>
              <w:spacing w:line="240" w:lineRule="exact"/>
              <w:jc w:val="left"/>
              <w:rPr>
                <w:kern w:val="0"/>
                <w:szCs w:val="21"/>
              </w:rPr>
            </w:pPr>
            <w:r>
              <w:rPr>
                <w:rFonts w:hint="eastAsia"/>
                <w:kern w:val="0"/>
                <w:szCs w:val="21"/>
              </w:rPr>
              <w:t>④是否与预算确定的项目投资额或资金量相匹配。（</w:t>
            </w:r>
            <w:r>
              <w:rPr>
                <w:kern w:val="0"/>
                <w:szCs w:val="21"/>
              </w:rPr>
              <w:t>2</w:t>
            </w:r>
            <w:r>
              <w:rPr>
                <w:rFonts w:hint="eastAsia"/>
                <w:kern w:val="0"/>
                <w:szCs w:val="21"/>
              </w:rPr>
              <w:t>分）</w:t>
            </w:r>
          </w:p>
        </w:tc>
        <w:tc>
          <w:tcPr>
            <w:tcW w:w="510" w:type="dxa"/>
            <w:noWrap/>
            <w:vAlign w:val="center"/>
          </w:tcPr>
          <w:p>
            <w:pPr>
              <w:widowControl/>
              <w:spacing w:line="240" w:lineRule="exact"/>
              <w:jc w:val="left"/>
              <w:rPr>
                <w:kern w:val="0"/>
                <w:szCs w:val="21"/>
              </w:rPr>
            </w:pPr>
            <w:r>
              <w:rPr>
                <w:rFonts w:hint="eastAsia"/>
                <w:kern w:val="0"/>
                <w:szCs w:val="21"/>
              </w:rPr>
              <w:t>　6</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绩效指标明确，可衡量。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restart"/>
            <w:shd w:val="clear" w:color="auto" w:fill="FFFFFF"/>
            <w:vAlign w:val="center"/>
          </w:tcPr>
          <w:p>
            <w:pPr>
              <w:widowControl/>
              <w:spacing w:line="240" w:lineRule="exact"/>
              <w:jc w:val="center"/>
              <w:rPr>
                <w:kern w:val="0"/>
                <w:szCs w:val="21"/>
              </w:rPr>
            </w:pPr>
            <w:r>
              <w:rPr>
                <w:rFonts w:hint="eastAsia"/>
                <w:kern w:val="0"/>
                <w:szCs w:val="21"/>
              </w:rPr>
              <w:t>资金</w:t>
            </w:r>
          </w:p>
          <w:p>
            <w:pPr>
              <w:widowControl/>
              <w:spacing w:line="240" w:lineRule="exact"/>
              <w:jc w:val="center"/>
              <w:rPr>
                <w:kern w:val="0"/>
                <w:szCs w:val="21"/>
              </w:rPr>
            </w:pPr>
            <w:r>
              <w:rPr>
                <w:rFonts w:hint="eastAsia"/>
                <w:kern w:val="0"/>
                <w:szCs w:val="21"/>
              </w:rPr>
              <w:t>落实（</w:t>
            </w:r>
            <w:r>
              <w:rPr>
                <w:kern w:val="0"/>
                <w:szCs w:val="21"/>
              </w:rPr>
              <w:t>10</w:t>
            </w:r>
            <w:r>
              <w:rPr>
                <w:rFonts w:hint="eastAsia"/>
                <w:kern w:val="0"/>
                <w:szCs w:val="21"/>
              </w:rPr>
              <w:t>分）</w:t>
            </w:r>
          </w:p>
        </w:tc>
        <w:tc>
          <w:tcPr>
            <w:tcW w:w="717" w:type="dxa"/>
            <w:shd w:val="clear" w:color="auto" w:fill="FFFFFF"/>
            <w:vAlign w:val="center"/>
          </w:tcPr>
          <w:p>
            <w:pPr>
              <w:widowControl/>
              <w:spacing w:line="240" w:lineRule="exact"/>
              <w:jc w:val="left"/>
              <w:rPr>
                <w:kern w:val="0"/>
                <w:szCs w:val="21"/>
              </w:rPr>
            </w:pPr>
            <w:r>
              <w:rPr>
                <w:rFonts w:hint="eastAsia"/>
                <w:kern w:val="0"/>
                <w:szCs w:val="21"/>
              </w:rPr>
              <w:t>资金到位率（</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实际到位资金与计划投入资金的比率，用以反映和考核资金落实情况对项目实施的总体保障程度。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资金到位率</w:t>
            </w:r>
            <w:r>
              <w:rPr>
                <w:kern w:val="0"/>
                <w:szCs w:val="21"/>
              </w:rPr>
              <w:t>=</w:t>
            </w:r>
            <w:r>
              <w:rPr>
                <w:rFonts w:hint="eastAsia"/>
                <w:kern w:val="0"/>
                <w:szCs w:val="21"/>
              </w:rPr>
              <w:t>（实际到位资金</w:t>
            </w:r>
            <w:r>
              <w:rPr>
                <w:kern w:val="0"/>
                <w:szCs w:val="21"/>
              </w:rPr>
              <w:t>/</w:t>
            </w:r>
            <w:r>
              <w:rPr>
                <w:rFonts w:hint="eastAsia"/>
                <w:kern w:val="0"/>
                <w:szCs w:val="21"/>
              </w:rPr>
              <w:t>计划投入资金）×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实际到位资金：一定时期（本年度或项目期）内实际落实到具体项目的资金。</w:t>
            </w:r>
          </w:p>
          <w:p>
            <w:pPr>
              <w:widowControl/>
              <w:spacing w:line="240" w:lineRule="exact"/>
              <w:jc w:val="left"/>
              <w:rPr>
                <w:kern w:val="0"/>
                <w:szCs w:val="21"/>
              </w:rPr>
            </w:pPr>
            <w:r>
              <w:rPr>
                <w:rFonts w:hint="eastAsia"/>
                <w:kern w:val="0"/>
                <w:szCs w:val="21"/>
              </w:rPr>
              <w:t>计划投入资金：一定时期（本年度或项目期）内计划投入到具体项目的资金。</w:t>
            </w: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到位及时率（</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及时到位资金与应到位资金的比率，用以反映和考核项目资金落实的及时性程度。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到位及时率</w:t>
            </w:r>
            <w:r>
              <w:rPr>
                <w:kern w:val="0"/>
                <w:szCs w:val="21"/>
              </w:rPr>
              <w:t>=</w:t>
            </w:r>
            <w:r>
              <w:rPr>
                <w:rFonts w:hint="eastAsia"/>
                <w:kern w:val="0"/>
                <w:szCs w:val="21"/>
              </w:rPr>
              <w:t>（及时到位资金</w:t>
            </w:r>
            <w:r>
              <w:rPr>
                <w:kern w:val="0"/>
                <w:szCs w:val="21"/>
              </w:rPr>
              <w:t>/</w:t>
            </w:r>
            <w:r>
              <w:rPr>
                <w:rFonts w:hint="eastAsia"/>
                <w:kern w:val="0"/>
                <w:szCs w:val="21"/>
              </w:rPr>
              <w:t>应到位资金）×</w:t>
            </w:r>
            <w:r>
              <w:rPr>
                <w:kern w:val="0"/>
                <w:szCs w:val="21"/>
              </w:rPr>
              <w:t>100%</w:t>
            </w:r>
            <w:r>
              <w:rPr>
                <w:rFonts w:hint="eastAsia"/>
                <w:kern w:val="0"/>
                <w:szCs w:val="21"/>
              </w:rPr>
              <w:t>。（达到目标值得</w:t>
            </w:r>
            <w:r>
              <w:rPr>
                <w:kern w:val="0"/>
                <w:szCs w:val="21"/>
              </w:rPr>
              <w:t>5</w:t>
            </w:r>
            <w:r>
              <w:rPr>
                <w:rFonts w:hint="eastAsia"/>
                <w:kern w:val="0"/>
                <w:szCs w:val="21"/>
              </w:rPr>
              <w:t>分，每少一个百分点扣</w:t>
            </w:r>
            <w:r>
              <w:rPr>
                <w:kern w:val="0"/>
                <w:szCs w:val="21"/>
              </w:rPr>
              <w:t>1</w:t>
            </w:r>
            <w:r>
              <w:rPr>
                <w:rFonts w:hint="eastAsia"/>
                <w:kern w:val="0"/>
                <w:szCs w:val="21"/>
              </w:rPr>
              <w:t>分，扣完为止）</w:t>
            </w:r>
          </w:p>
          <w:p>
            <w:pPr>
              <w:widowControl/>
              <w:spacing w:line="240" w:lineRule="exact"/>
              <w:jc w:val="left"/>
              <w:rPr>
                <w:kern w:val="0"/>
                <w:szCs w:val="21"/>
              </w:rPr>
            </w:pPr>
            <w:r>
              <w:rPr>
                <w:rFonts w:hint="eastAsia"/>
                <w:kern w:val="0"/>
                <w:szCs w:val="21"/>
              </w:rPr>
              <w:t>及时到位资金：截至规定时点实际落实到具体项目的资金。</w:t>
            </w:r>
          </w:p>
          <w:p>
            <w:pPr>
              <w:widowControl/>
              <w:spacing w:line="240" w:lineRule="exact"/>
              <w:jc w:val="left"/>
              <w:rPr>
                <w:kern w:val="0"/>
                <w:szCs w:val="21"/>
              </w:rPr>
            </w:pPr>
            <w:r>
              <w:rPr>
                <w:rFonts w:hint="eastAsia"/>
                <w:kern w:val="0"/>
                <w:szCs w:val="21"/>
              </w:rPr>
              <w:t>应到位资金：按照合同或项目进度要求截至规定时点应落实到具体项目的资金。</w:t>
            </w: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29" w:type="dxa"/>
            <w:vMerge w:val="restart"/>
            <w:shd w:val="clear" w:color="auto" w:fill="FFFFFF"/>
            <w:noWrap/>
            <w:textDirection w:val="tbRlV"/>
            <w:vAlign w:val="center"/>
          </w:tcPr>
          <w:p>
            <w:pPr>
              <w:widowControl/>
              <w:spacing w:line="260" w:lineRule="exact"/>
              <w:jc w:val="center"/>
              <w:rPr>
                <w:kern w:val="0"/>
                <w:szCs w:val="21"/>
              </w:rPr>
            </w:pPr>
            <w:r>
              <w:rPr>
                <w:rFonts w:hint="eastAsia"/>
                <w:kern w:val="0"/>
                <w:szCs w:val="21"/>
              </w:rPr>
              <w:t>过</w:t>
            </w:r>
            <w:r>
              <w:rPr>
                <w:kern w:val="0"/>
                <w:szCs w:val="21"/>
              </w:rPr>
              <w:t xml:space="preserve">   </w:t>
            </w:r>
            <w:r>
              <w:rPr>
                <w:rFonts w:hint="eastAsia"/>
                <w:kern w:val="0"/>
                <w:szCs w:val="21"/>
              </w:rPr>
              <w:t>程（</w:t>
            </w:r>
            <w:r>
              <w:rPr>
                <w:kern w:val="0"/>
                <w:szCs w:val="21"/>
              </w:rPr>
              <w:t>25</w:t>
            </w:r>
            <w:r>
              <w:rPr>
                <w:rFonts w:hint="eastAsia"/>
                <w:kern w:val="0"/>
                <w:szCs w:val="21"/>
              </w:rPr>
              <w:t>分）</w:t>
            </w:r>
          </w:p>
        </w:tc>
        <w:tc>
          <w:tcPr>
            <w:tcW w:w="557" w:type="dxa"/>
            <w:vMerge w:val="restart"/>
            <w:shd w:val="clear" w:color="auto" w:fill="FFFFFF"/>
            <w:vAlign w:val="center"/>
          </w:tcPr>
          <w:p>
            <w:pPr>
              <w:widowControl/>
              <w:spacing w:line="260" w:lineRule="exact"/>
              <w:jc w:val="center"/>
              <w:rPr>
                <w:kern w:val="0"/>
                <w:szCs w:val="21"/>
              </w:rPr>
            </w:pPr>
            <w:r>
              <w:rPr>
                <w:rFonts w:hint="eastAsia"/>
                <w:kern w:val="0"/>
                <w:szCs w:val="21"/>
              </w:rPr>
              <w:t>业务</w:t>
            </w:r>
          </w:p>
          <w:p>
            <w:pPr>
              <w:widowControl/>
              <w:spacing w:line="260" w:lineRule="exact"/>
              <w:jc w:val="center"/>
              <w:rPr>
                <w:kern w:val="0"/>
                <w:szCs w:val="21"/>
              </w:rPr>
            </w:pPr>
            <w:r>
              <w:rPr>
                <w:rFonts w:hint="eastAsia"/>
                <w:kern w:val="0"/>
                <w:szCs w:val="21"/>
              </w:rPr>
              <w:t>管理（</w:t>
            </w:r>
            <w:r>
              <w:rPr>
                <w:kern w:val="0"/>
                <w:szCs w:val="21"/>
              </w:rPr>
              <w:t>13</w:t>
            </w:r>
            <w:r>
              <w:rPr>
                <w:rFonts w:hint="eastAsia"/>
                <w:kern w:val="0"/>
                <w:szCs w:val="21"/>
              </w:rPr>
              <w:t>分）</w:t>
            </w:r>
          </w:p>
        </w:tc>
        <w:tc>
          <w:tcPr>
            <w:tcW w:w="717" w:type="dxa"/>
            <w:shd w:val="clear" w:color="auto" w:fill="FFFFFF"/>
            <w:vAlign w:val="center"/>
          </w:tcPr>
          <w:p>
            <w:pPr>
              <w:widowControl/>
              <w:spacing w:line="260" w:lineRule="exact"/>
              <w:jc w:val="left"/>
              <w:rPr>
                <w:kern w:val="0"/>
                <w:szCs w:val="21"/>
              </w:rPr>
            </w:pPr>
            <w:r>
              <w:rPr>
                <w:rFonts w:hint="eastAsia"/>
                <w:kern w:val="0"/>
                <w:szCs w:val="21"/>
              </w:rPr>
              <w:t>管理制度健全性（</w:t>
            </w:r>
            <w:r>
              <w:rPr>
                <w:kern w:val="0"/>
                <w:szCs w:val="21"/>
              </w:rPr>
              <w:t>4</w:t>
            </w:r>
            <w:r>
              <w:rPr>
                <w:rFonts w:hint="eastAsia"/>
                <w:kern w:val="0"/>
                <w:szCs w:val="21"/>
              </w:rPr>
              <w:t>分）</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项目实施单位的业务管理制度是否健全，用以反映和考核业务管理制度对项目顺利实施的保障情况。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①是否已制定或具有相应的业务管理制度；（</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②业务管理制度是否合法、合规、完整。（</w:t>
            </w:r>
            <w:r>
              <w:rPr>
                <w:kern w:val="0"/>
                <w:szCs w:val="21"/>
              </w:rPr>
              <w:t>2</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5</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lang w:val="en-US" w:eastAsia="zh-CN"/>
              </w:rPr>
              <w:t>建设项目管理制度，合法、合规、完整。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29" w:type="dxa"/>
            <w:vMerge w:val="continue"/>
            <w:shd w:val="clear" w:color="auto" w:fill="auto"/>
            <w:vAlign w:val="center"/>
          </w:tcPr>
          <w:p>
            <w:pPr>
              <w:widowControl/>
              <w:spacing w:line="260" w:lineRule="exact"/>
              <w:jc w:val="left"/>
              <w:rPr>
                <w:kern w:val="0"/>
                <w:szCs w:val="21"/>
              </w:rPr>
            </w:pPr>
          </w:p>
        </w:tc>
        <w:tc>
          <w:tcPr>
            <w:tcW w:w="557" w:type="dxa"/>
            <w:vMerge w:val="continue"/>
            <w:shd w:val="clear" w:color="auto" w:fill="auto"/>
            <w:vAlign w:val="center"/>
          </w:tcPr>
          <w:p>
            <w:pPr>
              <w:widowControl/>
              <w:spacing w:line="260" w:lineRule="exact"/>
              <w:jc w:val="left"/>
              <w:rPr>
                <w:kern w:val="0"/>
                <w:szCs w:val="21"/>
              </w:rPr>
            </w:pPr>
          </w:p>
        </w:tc>
        <w:tc>
          <w:tcPr>
            <w:tcW w:w="717" w:type="dxa"/>
            <w:shd w:val="clear" w:color="auto" w:fill="FFFFFF"/>
            <w:vAlign w:val="center"/>
          </w:tcPr>
          <w:p>
            <w:pPr>
              <w:widowControl/>
              <w:spacing w:line="260" w:lineRule="exact"/>
              <w:jc w:val="left"/>
              <w:rPr>
                <w:kern w:val="0"/>
                <w:szCs w:val="21"/>
              </w:rPr>
            </w:pPr>
            <w:r>
              <w:rPr>
                <w:rFonts w:hint="eastAsia"/>
                <w:kern w:val="0"/>
                <w:szCs w:val="21"/>
              </w:rPr>
              <w:t>制度执行有效性（</w:t>
            </w:r>
            <w:r>
              <w:rPr>
                <w:kern w:val="0"/>
                <w:szCs w:val="21"/>
              </w:rPr>
              <w:t>6</w:t>
            </w:r>
            <w:r>
              <w:rPr>
                <w:rFonts w:hint="eastAsia"/>
                <w:kern w:val="0"/>
                <w:szCs w:val="21"/>
              </w:rPr>
              <w:t>分</w:t>
            </w:r>
            <w:r>
              <w:rPr>
                <w:kern w:val="0"/>
                <w:szCs w:val="21"/>
              </w:rPr>
              <w:t>)</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项目实施是否符合相关业务管理规定，用以反映和考核业务管理制度的有效执行情况。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①是否遵守相关法律法规和业务管理规定；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②项目调整及支出调整手续是否完备；（</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③项目合同书、验收报告、技术鉴定等资料是否齐全并及时归档；（</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④项目实施的人员条件、场地设备、信息支撑等是否落实到位。（</w:t>
            </w:r>
            <w:r>
              <w:rPr>
                <w:kern w:val="0"/>
                <w:szCs w:val="21"/>
              </w:rPr>
              <w:t>2</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6</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项目实施符合相关业务管理规定，及时完善项目调整相关手续，合同管理规范。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29" w:type="dxa"/>
            <w:vMerge w:val="continue"/>
            <w:shd w:val="clear" w:color="auto" w:fill="auto"/>
            <w:vAlign w:val="center"/>
          </w:tcPr>
          <w:p>
            <w:pPr>
              <w:widowControl/>
              <w:spacing w:line="260" w:lineRule="exact"/>
              <w:jc w:val="left"/>
              <w:rPr>
                <w:kern w:val="0"/>
                <w:szCs w:val="21"/>
              </w:rPr>
            </w:pPr>
          </w:p>
        </w:tc>
        <w:tc>
          <w:tcPr>
            <w:tcW w:w="557" w:type="dxa"/>
            <w:vMerge w:val="continue"/>
            <w:shd w:val="clear" w:color="auto" w:fill="auto"/>
            <w:vAlign w:val="center"/>
          </w:tcPr>
          <w:p>
            <w:pPr>
              <w:widowControl/>
              <w:spacing w:line="260" w:lineRule="exact"/>
              <w:jc w:val="left"/>
              <w:rPr>
                <w:kern w:val="0"/>
                <w:szCs w:val="21"/>
              </w:rPr>
            </w:pPr>
          </w:p>
        </w:tc>
        <w:tc>
          <w:tcPr>
            <w:tcW w:w="717" w:type="dxa"/>
            <w:shd w:val="clear" w:color="auto" w:fill="FFFFFF"/>
            <w:vAlign w:val="center"/>
          </w:tcPr>
          <w:p>
            <w:pPr>
              <w:widowControl/>
              <w:spacing w:line="260" w:lineRule="exact"/>
              <w:jc w:val="left"/>
              <w:rPr>
                <w:kern w:val="0"/>
                <w:szCs w:val="21"/>
              </w:rPr>
            </w:pPr>
            <w:r>
              <w:rPr>
                <w:rFonts w:hint="eastAsia"/>
                <w:kern w:val="0"/>
                <w:szCs w:val="21"/>
              </w:rPr>
              <w:t>项目质量可控性（</w:t>
            </w:r>
            <w:r>
              <w:rPr>
                <w:kern w:val="0"/>
                <w:szCs w:val="21"/>
              </w:rPr>
              <w:t>3</w:t>
            </w:r>
            <w:r>
              <w:rPr>
                <w:rFonts w:hint="eastAsia"/>
                <w:kern w:val="0"/>
                <w:szCs w:val="21"/>
              </w:rPr>
              <w:t>分）</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项目实施单位是否为达到项目质量要求而采取了必需的措施</w:t>
            </w:r>
            <w:r>
              <w:rPr>
                <w:kern w:val="0"/>
                <w:szCs w:val="21"/>
              </w:rPr>
              <w:t>,</w:t>
            </w:r>
            <w:r>
              <w:rPr>
                <w:rFonts w:hint="eastAsia"/>
                <w:kern w:val="0"/>
                <w:szCs w:val="21"/>
              </w:rPr>
              <w:t>用以反映和考核项目实施单位对项目质量的控制情况。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①是否已制定或具有相应的项目质量要求或标准；（</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②是否采取了相应的项目质量检查、验收等必需的控制措施或手段。（</w:t>
            </w:r>
            <w:r>
              <w:rPr>
                <w:kern w:val="0"/>
                <w:szCs w:val="21"/>
              </w:rPr>
              <w:t>2</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3</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具有项目质量要求和标准，项目质量可控。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29" w:type="dxa"/>
            <w:vMerge w:val="continue"/>
            <w:shd w:val="clear" w:color="auto" w:fill="auto"/>
            <w:vAlign w:val="center"/>
          </w:tcPr>
          <w:p>
            <w:pPr>
              <w:widowControl/>
              <w:spacing w:line="260" w:lineRule="exact"/>
              <w:jc w:val="left"/>
              <w:rPr>
                <w:kern w:val="0"/>
                <w:szCs w:val="21"/>
              </w:rPr>
            </w:pPr>
          </w:p>
        </w:tc>
        <w:tc>
          <w:tcPr>
            <w:tcW w:w="557" w:type="dxa"/>
            <w:vMerge w:val="restart"/>
            <w:shd w:val="clear" w:color="auto" w:fill="FFFFFF"/>
            <w:vAlign w:val="center"/>
          </w:tcPr>
          <w:p>
            <w:pPr>
              <w:widowControl/>
              <w:spacing w:line="260" w:lineRule="exact"/>
              <w:jc w:val="center"/>
              <w:rPr>
                <w:kern w:val="0"/>
                <w:szCs w:val="21"/>
              </w:rPr>
            </w:pPr>
            <w:r>
              <w:rPr>
                <w:rFonts w:hint="eastAsia"/>
                <w:kern w:val="0"/>
                <w:szCs w:val="21"/>
              </w:rPr>
              <w:t>财务</w:t>
            </w:r>
          </w:p>
          <w:p>
            <w:pPr>
              <w:widowControl/>
              <w:spacing w:line="260" w:lineRule="exact"/>
              <w:jc w:val="center"/>
              <w:rPr>
                <w:kern w:val="0"/>
                <w:szCs w:val="21"/>
              </w:rPr>
            </w:pPr>
            <w:r>
              <w:rPr>
                <w:rFonts w:hint="eastAsia"/>
                <w:kern w:val="0"/>
                <w:szCs w:val="21"/>
              </w:rPr>
              <w:t>管理（</w:t>
            </w:r>
            <w:r>
              <w:rPr>
                <w:kern w:val="0"/>
                <w:szCs w:val="21"/>
              </w:rPr>
              <w:t>12</w:t>
            </w:r>
            <w:r>
              <w:rPr>
                <w:rFonts w:hint="eastAsia"/>
                <w:kern w:val="0"/>
                <w:szCs w:val="21"/>
              </w:rPr>
              <w:t>分）</w:t>
            </w:r>
          </w:p>
        </w:tc>
        <w:tc>
          <w:tcPr>
            <w:tcW w:w="717" w:type="dxa"/>
            <w:shd w:val="clear" w:color="auto" w:fill="FFFFFF"/>
            <w:vAlign w:val="center"/>
          </w:tcPr>
          <w:p>
            <w:pPr>
              <w:widowControl/>
              <w:spacing w:line="260" w:lineRule="exact"/>
              <w:jc w:val="left"/>
              <w:rPr>
                <w:kern w:val="0"/>
                <w:szCs w:val="21"/>
              </w:rPr>
            </w:pPr>
            <w:r>
              <w:rPr>
                <w:rFonts w:hint="eastAsia"/>
                <w:kern w:val="0"/>
                <w:szCs w:val="21"/>
              </w:rPr>
              <w:t>管理制度健全性（</w:t>
            </w:r>
            <w:r>
              <w:rPr>
                <w:kern w:val="0"/>
                <w:szCs w:val="21"/>
              </w:rPr>
              <w:t>3</w:t>
            </w:r>
            <w:r>
              <w:rPr>
                <w:rFonts w:hint="eastAsia"/>
                <w:kern w:val="0"/>
                <w:szCs w:val="21"/>
              </w:rPr>
              <w:t>分）</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项目实施单位的财务制度是否健全，用以反映和考核财务管理制度对资金规范、安全运行的保障情况。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①是否已制定或具有相应的项目资金管理办法；（</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②项目资金管理办法是否符合相关财务会计制度的规定。（</w:t>
            </w:r>
            <w:r>
              <w:rPr>
                <w:kern w:val="0"/>
                <w:szCs w:val="21"/>
              </w:rPr>
              <w:t>1</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3</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财务管理制度，符合规定。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29" w:type="dxa"/>
            <w:vMerge w:val="continue"/>
            <w:shd w:val="clear" w:color="auto" w:fill="auto"/>
            <w:vAlign w:val="center"/>
          </w:tcPr>
          <w:p>
            <w:pPr>
              <w:widowControl/>
              <w:spacing w:line="260" w:lineRule="exact"/>
              <w:jc w:val="left"/>
              <w:rPr>
                <w:kern w:val="0"/>
                <w:szCs w:val="21"/>
              </w:rPr>
            </w:pPr>
          </w:p>
        </w:tc>
        <w:tc>
          <w:tcPr>
            <w:tcW w:w="557" w:type="dxa"/>
            <w:vMerge w:val="continue"/>
            <w:shd w:val="clear" w:color="auto" w:fill="auto"/>
            <w:vAlign w:val="center"/>
          </w:tcPr>
          <w:p>
            <w:pPr>
              <w:widowControl/>
              <w:spacing w:line="260" w:lineRule="exact"/>
              <w:jc w:val="left"/>
              <w:rPr>
                <w:kern w:val="0"/>
                <w:szCs w:val="21"/>
              </w:rPr>
            </w:pPr>
          </w:p>
        </w:tc>
        <w:tc>
          <w:tcPr>
            <w:tcW w:w="717" w:type="dxa"/>
            <w:shd w:val="clear" w:color="auto" w:fill="FFFFFF"/>
            <w:vAlign w:val="center"/>
          </w:tcPr>
          <w:p>
            <w:pPr>
              <w:widowControl/>
              <w:spacing w:line="260" w:lineRule="exact"/>
              <w:jc w:val="left"/>
              <w:rPr>
                <w:kern w:val="0"/>
                <w:szCs w:val="21"/>
              </w:rPr>
            </w:pPr>
            <w:r>
              <w:rPr>
                <w:rFonts w:hint="eastAsia"/>
                <w:kern w:val="0"/>
                <w:szCs w:val="21"/>
              </w:rPr>
              <w:t>资金使用合规性（</w:t>
            </w:r>
            <w:r>
              <w:rPr>
                <w:kern w:val="0"/>
                <w:szCs w:val="21"/>
              </w:rPr>
              <w:t>7</w:t>
            </w:r>
            <w:r>
              <w:rPr>
                <w:rFonts w:hint="eastAsia"/>
                <w:kern w:val="0"/>
                <w:szCs w:val="21"/>
              </w:rPr>
              <w:t>分）</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项目资金使用是否符合相关的财务管理制度规定，用以反映和考核项目资金的规范运行情况。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①是否符合国家财经法规和财务管理制度以及有关专项资金管理办法的规定；（</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②资金的拨付是否有完整的审批程序和手续；（</w:t>
            </w:r>
            <w:r>
              <w:rPr>
                <w:kern w:val="0"/>
                <w:szCs w:val="21"/>
              </w:rPr>
              <w:t>2</w:t>
            </w:r>
            <w:r>
              <w:rPr>
                <w:rFonts w:hint="eastAsia"/>
                <w:kern w:val="0"/>
                <w:szCs w:val="21"/>
              </w:rPr>
              <w:t>分）</w:t>
            </w:r>
          </w:p>
          <w:p>
            <w:pPr>
              <w:widowControl/>
              <w:spacing w:line="260" w:lineRule="exact"/>
              <w:jc w:val="left"/>
              <w:rPr>
                <w:kern w:val="0"/>
                <w:szCs w:val="21"/>
              </w:rPr>
            </w:pPr>
            <w:r>
              <w:rPr>
                <w:rFonts w:hint="eastAsia"/>
                <w:kern w:val="0"/>
                <w:szCs w:val="21"/>
              </w:rPr>
              <w:t>③项目的重大开支是否经过评估认证；（</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④是否符合项目预算批复或合同规定的用途；（</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⑤是否存在截留、挤占、挪用、虚列支出等情况。（</w:t>
            </w:r>
            <w:r>
              <w:rPr>
                <w:kern w:val="0"/>
                <w:szCs w:val="21"/>
              </w:rPr>
              <w:t>2</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7</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资金使用合规，没有截留、挤占、挪用、虚列支出等情况。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29" w:type="dxa"/>
            <w:vMerge w:val="continue"/>
            <w:shd w:val="clear" w:color="auto" w:fill="auto"/>
            <w:vAlign w:val="center"/>
          </w:tcPr>
          <w:p>
            <w:pPr>
              <w:widowControl/>
              <w:spacing w:line="260" w:lineRule="exact"/>
              <w:jc w:val="left"/>
              <w:rPr>
                <w:kern w:val="0"/>
                <w:szCs w:val="21"/>
              </w:rPr>
            </w:pPr>
          </w:p>
        </w:tc>
        <w:tc>
          <w:tcPr>
            <w:tcW w:w="557" w:type="dxa"/>
            <w:vMerge w:val="continue"/>
            <w:shd w:val="clear" w:color="auto" w:fill="auto"/>
            <w:vAlign w:val="center"/>
          </w:tcPr>
          <w:p>
            <w:pPr>
              <w:widowControl/>
              <w:spacing w:line="260" w:lineRule="exact"/>
              <w:jc w:val="left"/>
              <w:rPr>
                <w:kern w:val="0"/>
                <w:szCs w:val="21"/>
              </w:rPr>
            </w:pPr>
          </w:p>
        </w:tc>
        <w:tc>
          <w:tcPr>
            <w:tcW w:w="717" w:type="dxa"/>
            <w:shd w:val="clear" w:color="auto" w:fill="FFFFFF"/>
            <w:vAlign w:val="center"/>
          </w:tcPr>
          <w:p>
            <w:pPr>
              <w:widowControl/>
              <w:spacing w:line="260" w:lineRule="exact"/>
              <w:jc w:val="left"/>
              <w:rPr>
                <w:kern w:val="0"/>
                <w:szCs w:val="21"/>
              </w:rPr>
            </w:pPr>
            <w:r>
              <w:rPr>
                <w:rFonts w:hint="eastAsia"/>
                <w:kern w:val="0"/>
                <w:szCs w:val="21"/>
              </w:rPr>
              <w:t>财务监控有效性（</w:t>
            </w:r>
            <w:r>
              <w:rPr>
                <w:kern w:val="0"/>
                <w:szCs w:val="21"/>
              </w:rPr>
              <w:t>2</w:t>
            </w:r>
            <w:r>
              <w:rPr>
                <w:rFonts w:hint="eastAsia"/>
                <w:kern w:val="0"/>
                <w:szCs w:val="21"/>
              </w:rPr>
              <w:t>分）</w:t>
            </w:r>
          </w:p>
        </w:tc>
        <w:tc>
          <w:tcPr>
            <w:tcW w:w="1518" w:type="dxa"/>
            <w:shd w:val="clear" w:color="auto" w:fill="FFFFFF"/>
            <w:vAlign w:val="center"/>
          </w:tcPr>
          <w:p>
            <w:pPr>
              <w:widowControl/>
              <w:spacing w:line="260" w:lineRule="exact"/>
              <w:jc w:val="left"/>
              <w:rPr>
                <w:kern w:val="0"/>
                <w:szCs w:val="21"/>
              </w:rPr>
            </w:pPr>
            <w:r>
              <w:rPr>
                <w:rFonts w:hint="eastAsia"/>
                <w:kern w:val="0"/>
                <w:szCs w:val="21"/>
              </w:rPr>
              <w:t>项目实施单位是否为保障资金的安全、规范运行而采取了必要的监控措施，用以反映和考核项目实施单位对资金运行的控制情况。</w:t>
            </w:r>
          </w:p>
        </w:tc>
        <w:tc>
          <w:tcPr>
            <w:tcW w:w="3228" w:type="dxa"/>
            <w:shd w:val="clear" w:color="auto" w:fill="FFFFFF"/>
            <w:vAlign w:val="center"/>
          </w:tcPr>
          <w:p>
            <w:pPr>
              <w:widowControl/>
              <w:spacing w:line="260" w:lineRule="exact"/>
              <w:jc w:val="left"/>
              <w:rPr>
                <w:kern w:val="0"/>
                <w:szCs w:val="21"/>
              </w:rPr>
            </w:pPr>
            <w:r>
              <w:rPr>
                <w:rFonts w:hint="eastAsia"/>
                <w:kern w:val="0"/>
                <w:szCs w:val="21"/>
              </w:rPr>
              <w:t>①是否已制定或具有相应的监控机制；（</w:t>
            </w:r>
            <w:r>
              <w:rPr>
                <w:kern w:val="0"/>
                <w:szCs w:val="21"/>
              </w:rPr>
              <w:t>1</w:t>
            </w:r>
            <w:r>
              <w:rPr>
                <w:rFonts w:hint="eastAsia"/>
                <w:kern w:val="0"/>
                <w:szCs w:val="21"/>
              </w:rPr>
              <w:t>分）</w:t>
            </w:r>
          </w:p>
          <w:p>
            <w:pPr>
              <w:widowControl/>
              <w:spacing w:line="260" w:lineRule="exact"/>
              <w:jc w:val="left"/>
              <w:rPr>
                <w:kern w:val="0"/>
                <w:szCs w:val="21"/>
              </w:rPr>
            </w:pPr>
            <w:r>
              <w:rPr>
                <w:rFonts w:hint="eastAsia"/>
                <w:kern w:val="0"/>
                <w:szCs w:val="21"/>
              </w:rPr>
              <w:t>②是否采取了相应的财务检查等必要的监控措施或手段。（</w:t>
            </w:r>
            <w:r>
              <w:rPr>
                <w:kern w:val="0"/>
                <w:szCs w:val="21"/>
              </w:rPr>
              <w:t>1</w:t>
            </w:r>
            <w:r>
              <w:rPr>
                <w:rFonts w:hint="eastAsia"/>
                <w:kern w:val="0"/>
                <w:szCs w:val="21"/>
              </w:rPr>
              <w:t>分）</w:t>
            </w:r>
          </w:p>
        </w:tc>
        <w:tc>
          <w:tcPr>
            <w:tcW w:w="510" w:type="dxa"/>
            <w:noWrap/>
            <w:vAlign w:val="center"/>
          </w:tcPr>
          <w:p>
            <w:pPr>
              <w:widowControl/>
              <w:spacing w:line="260" w:lineRule="exact"/>
              <w:jc w:val="left"/>
              <w:rPr>
                <w:kern w:val="0"/>
                <w:szCs w:val="21"/>
              </w:rPr>
            </w:pPr>
            <w:r>
              <w:rPr>
                <w:rFonts w:hint="eastAsia"/>
                <w:kern w:val="0"/>
                <w:szCs w:val="21"/>
              </w:rPr>
              <w:t>　2</w:t>
            </w:r>
          </w:p>
        </w:tc>
        <w:tc>
          <w:tcPr>
            <w:tcW w:w="2042" w:type="dxa"/>
            <w:noWrap/>
            <w:vAlign w:val="center"/>
          </w:tcPr>
          <w:p>
            <w:pPr>
              <w:widowControl/>
              <w:spacing w:line="26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有相应的监控机制，采取财务检查监控措施。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29" w:type="dxa"/>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产</w:t>
            </w:r>
            <w:r>
              <w:rPr>
                <w:kern w:val="0"/>
                <w:szCs w:val="21"/>
              </w:rPr>
              <w:t xml:space="preserve">   </w:t>
            </w:r>
            <w:r>
              <w:rPr>
                <w:rFonts w:hint="eastAsia"/>
                <w:kern w:val="0"/>
                <w:szCs w:val="21"/>
              </w:rPr>
              <w:t>出（</w:t>
            </w:r>
            <w:r>
              <w:rPr>
                <w:kern w:val="0"/>
                <w:szCs w:val="21"/>
              </w:rPr>
              <w:t>20</w:t>
            </w:r>
            <w:r>
              <w:rPr>
                <w:rFonts w:hint="eastAsia"/>
                <w:kern w:val="0"/>
                <w:szCs w:val="21"/>
              </w:rPr>
              <w:t>分）</w:t>
            </w:r>
          </w:p>
        </w:tc>
        <w:tc>
          <w:tcPr>
            <w:tcW w:w="557" w:type="dxa"/>
            <w:vMerge w:val="restart"/>
            <w:shd w:val="clear" w:color="auto" w:fill="FFFFFF"/>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产出（</w:t>
            </w:r>
            <w:r>
              <w:rPr>
                <w:kern w:val="0"/>
                <w:szCs w:val="21"/>
              </w:rPr>
              <w:t>20</w:t>
            </w:r>
            <w:r>
              <w:rPr>
                <w:rFonts w:hint="eastAsia"/>
                <w:kern w:val="0"/>
                <w:szCs w:val="21"/>
              </w:rPr>
              <w:t>分）</w:t>
            </w:r>
          </w:p>
        </w:tc>
        <w:tc>
          <w:tcPr>
            <w:tcW w:w="717" w:type="dxa"/>
            <w:shd w:val="clear" w:color="auto" w:fill="FFFFFF"/>
            <w:vAlign w:val="center"/>
          </w:tcPr>
          <w:p>
            <w:pPr>
              <w:widowControl/>
              <w:spacing w:line="240" w:lineRule="exact"/>
              <w:jc w:val="left"/>
              <w:rPr>
                <w:kern w:val="0"/>
                <w:szCs w:val="21"/>
              </w:rPr>
            </w:pPr>
            <w:r>
              <w:rPr>
                <w:rFonts w:hint="eastAsia"/>
                <w:kern w:val="0"/>
                <w:szCs w:val="21"/>
              </w:rPr>
              <w:t>实际完成率（</w:t>
            </w:r>
            <w:r>
              <w:rPr>
                <w:kern w:val="0"/>
                <w:szCs w:val="21"/>
              </w:rPr>
              <w:t>4</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项目实施的实际产出数与计划产出数的比率，用以反映和考核项目产出数量目标的实现程度。</w:t>
            </w:r>
          </w:p>
        </w:tc>
        <w:tc>
          <w:tcPr>
            <w:tcW w:w="3228" w:type="dxa"/>
            <w:shd w:val="clear" w:color="auto" w:fill="FFFFFF"/>
            <w:vAlign w:val="center"/>
          </w:tcPr>
          <w:p>
            <w:pPr>
              <w:widowControl/>
              <w:spacing w:line="240" w:lineRule="exact"/>
              <w:jc w:val="left"/>
              <w:rPr>
                <w:spacing w:val="-14"/>
                <w:kern w:val="0"/>
                <w:szCs w:val="21"/>
              </w:rPr>
            </w:pPr>
            <w:r>
              <w:rPr>
                <w:rFonts w:hint="eastAsia"/>
                <w:spacing w:val="-14"/>
                <w:kern w:val="0"/>
                <w:szCs w:val="21"/>
              </w:rPr>
              <w:t>实际完成率</w:t>
            </w:r>
            <w:r>
              <w:rPr>
                <w:spacing w:val="-14"/>
                <w:kern w:val="0"/>
                <w:szCs w:val="21"/>
              </w:rPr>
              <w:t>=</w:t>
            </w:r>
            <w:r>
              <w:rPr>
                <w:rFonts w:hint="eastAsia"/>
                <w:spacing w:val="-14"/>
                <w:kern w:val="0"/>
                <w:szCs w:val="21"/>
              </w:rPr>
              <w:t>（实际产出数</w:t>
            </w:r>
            <w:r>
              <w:rPr>
                <w:spacing w:val="-14"/>
                <w:kern w:val="0"/>
                <w:szCs w:val="21"/>
              </w:rPr>
              <w:t>/</w:t>
            </w:r>
            <w:r>
              <w:rPr>
                <w:rFonts w:hint="eastAsia"/>
                <w:spacing w:val="-14"/>
                <w:kern w:val="0"/>
                <w:szCs w:val="21"/>
              </w:rPr>
              <w:t>计划产出数）×</w:t>
            </w:r>
            <w:r>
              <w:rPr>
                <w:spacing w:val="-14"/>
                <w:kern w:val="0"/>
                <w:szCs w:val="21"/>
              </w:rPr>
              <w:t>100%</w:t>
            </w:r>
            <w:r>
              <w:rPr>
                <w:rFonts w:hint="eastAsia"/>
                <w:spacing w:val="-14"/>
                <w:kern w:val="0"/>
                <w:szCs w:val="21"/>
              </w:rPr>
              <w:t>。（得分</w:t>
            </w:r>
            <w:r>
              <w:rPr>
                <w:spacing w:val="-14"/>
                <w:kern w:val="0"/>
                <w:szCs w:val="21"/>
              </w:rPr>
              <w:t>=</w:t>
            </w:r>
            <w:r>
              <w:rPr>
                <w:rFonts w:hint="eastAsia"/>
                <w:spacing w:val="-14"/>
                <w:kern w:val="0"/>
                <w:szCs w:val="21"/>
              </w:rPr>
              <w:t>实际完成率</w:t>
            </w:r>
            <w:r>
              <w:rPr>
                <w:spacing w:val="-14"/>
                <w:kern w:val="0"/>
                <w:szCs w:val="21"/>
              </w:rPr>
              <w:t>*4</w:t>
            </w:r>
            <w:r>
              <w:rPr>
                <w:rFonts w:hint="eastAsia"/>
                <w:spacing w:val="-14"/>
                <w:kern w:val="0"/>
                <w:szCs w:val="21"/>
              </w:rPr>
              <w:t>分）</w:t>
            </w:r>
          </w:p>
          <w:p>
            <w:pPr>
              <w:widowControl/>
              <w:spacing w:line="240" w:lineRule="exact"/>
              <w:jc w:val="left"/>
              <w:rPr>
                <w:spacing w:val="-14"/>
                <w:kern w:val="0"/>
                <w:szCs w:val="21"/>
              </w:rPr>
            </w:pPr>
            <w:r>
              <w:rPr>
                <w:rFonts w:hint="eastAsia"/>
                <w:spacing w:val="-14"/>
                <w:kern w:val="0"/>
                <w:szCs w:val="21"/>
              </w:rPr>
              <w:t>实际产出数：一定时期（本年度或项目期）内项目实际产出的产品或提供的服务数量。</w:t>
            </w:r>
          </w:p>
          <w:p>
            <w:pPr>
              <w:widowControl/>
              <w:spacing w:line="240" w:lineRule="exact"/>
              <w:jc w:val="left"/>
              <w:rPr>
                <w:kern w:val="0"/>
                <w:szCs w:val="21"/>
              </w:rPr>
            </w:pPr>
            <w:r>
              <w:rPr>
                <w:rFonts w:hint="eastAsia"/>
                <w:kern w:val="0"/>
                <w:szCs w:val="21"/>
              </w:rPr>
              <w:t>计划产出数：项目绩效目标确定的在一定时期（本年度或项目期）内计划产出的产品或提供的服务数量。</w:t>
            </w:r>
          </w:p>
        </w:tc>
        <w:tc>
          <w:tcPr>
            <w:tcW w:w="510" w:type="dxa"/>
            <w:noWrap/>
            <w:vAlign w:val="center"/>
          </w:tcPr>
          <w:p>
            <w:pPr>
              <w:widowControl/>
              <w:spacing w:line="240" w:lineRule="exact"/>
              <w:jc w:val="left"/>
              <w:rPr>
                <w:kern w:val="0"/>
                <w:szCs w:val="21"/>
              </w:rPr>
            </w:pPr>
            <w:r>
              <w:rPr>
                <w:rFonts w:hint="eastAsia"/>
                <w:kern w:val="0"/>
                <w:szCs w:val="21"/>
              </w:rPr>
              <w:t>　4</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完成及时率（</w:t>
            </w:r>
            <w:r>
              <w:rPr>
                <w:kern w:val="0"/>
                <w:szCs w:val="21"/>
              </w:rPr>
              <w:t>6</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项目实际提前完成时间与计划完成时间的比率，用以反映和考核项目产出时效目标的实现程度。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完成及时率</w:t>
            </w:r>
            <w:r>
              <w:rPr>
                <w:kern w:val="0"/>
                <w:szCs w:val="21"/>
              </w:rPr>
              <w:t>=[</w:t>
            </w:r>
            <w:r>
              <w:rPr>
                <w:rFonts w:hint="eastAsia"/>
                <w:kern w:val="0"/>
                <w:szCs w:val="21"/>
              </w:rPr>
              <w:t>（计划完成时间</w:t>
            </w:r>
            <w:r>
              <w:rPr>
                <w:kern w:val="0"/>
                <w:szCs w:val="21"/>
              </w:rPr>
              <w:t>-</w:t>
            </w:r>
            <w:r>
              <w:rPr>
                <w:rFonts w:hint="eastAsia"/>
                <w:kern w:val="0"/>
                <w:szCs w:val="21"/>
              </w:rPr>
              <w:t>实际完成时间）</w:t>
            </w:r>
            <w:r>
              <w:rPr>
                <w:kern w:val="0"/>
                <w:szCs w:val="21"/>
              </w:rPr>
              <w:t>/</w:t>
            </w:r>
            <w:r>
              <w:rPr>
                <w:rFonts w:hint="eastAsia"/>
                <w:kern w:val="0"/>
                <w:szCs w:val="21"/>
              </w:rPr>
              <w:t>计划完成时间</w:t>
            </w:r>
            <w:r>
              <w:rPr>
                <w:kern w:val="0"/>
                <w:szCs w:val="21"/>
              </w:rPr>
              <w:t>]</w:t>
            </w:r>
            <w:r>
              <w:rPr>
                <w:rFonts w:hint="eastAsia"/>
                <w:kern w:val="0"/>
                <w:szCs w:val="21"/>
              </w:rPr>
              <w:t>×</w:t>
            </w:r>
            <w:r>
              <w:rPr>
                <w:kern w:val="0"/>
                <w:szCs w:val="21"/>
              </w:rPr>
              <w:t>100%</w:t>
            </w:r>
            <w:r>
              <w:rPr>
                <w:rFonts w:hint="eastAsia"/>
                <w:kern w:val="0"/>
                <w:szCs w:val="21"/>
              </w:rPr>
              <w:t>。（</w:t>
            </w:r>
            <w:r>
              <w:rPr>
                <w:kern w:val="0"/>
                <w:szCs w:val="21"/>
              </w:rPr>
              <w:t>1--4</w:t>
            </w:r>
            <w:r>
              <w:rPr>
                <w:rFonts w:hint="eastAsia"/>
                <w:kern w:val="0"/>
                <w:szCs w:val="21"/>
              </w:rPr>
              <w:t>季度各得</w:t>
            </w:r>
            <w:r>
              <w:rPr>
                <w:kern w:val="0"/>
                <w:szCs w:val="21"/>
              </w:rPr>
              <w:t>1.5</w:t>
            </w:r>
            <w:r>
              <w:rPr>
                <w:rFonts w:hint="eastAsia"/>
                <w:kern w:val="0"/>
                <w:szCs w:val="21"/>
              </w:rPr>
              <w:t>分）</w:t>
            </w:r>
          </w:p>
          <w:p>
            <w:pPr>
              <w:widowControl/>
              <w:spacing w:line="240" w:lineRule="exact"/>
              <w:jc w:val="left"/>
              <w:rPr>
                <w:kern w:val="0"/>
                <w:szCs w:val="21"/>
              </w:rPr>
            </w:pPr>
            <w:r>
              <w:rPr>
                <w:rFonts w:hint="eastAsia"/>
                <w:kern w:val="0"/>
                <w:szCs w:val="21"/>
              </w:rPr>
              <w:t>实际完成时间：项目实施单位完成该项目实际所耗用的时间。</w:t>
            </w:r>
          </w:p>
          <w:p>
            <w:pPr>
              <w:widowControl/>
              <w:spacing w:line="240" w:lineRule="exact"/>
              <w:jc w:val="left"/>
              <w:rPr>
                <w:kern w:val="0"/>
                <w:szCs w:val="21"/>
              </w:rPr>
            </w:pPr>
            <w:r>
              <w:rPr>
                <w:rFonts w:hint="eastAsia"/>
                <w:kern w:val="0"/>
                <w:szCs w:val="21"/>
              </w:rPr>
              <w:t>计划完成时间：按照项目实施计划或相关规定完成该项目所需的时间。</w:t>
            </w:r>
          </w:p>
        </w:tc>
        <w:tc>
          <w:tcPr>
            <w:tcW w:w="510" w:type="dxa"/>
            <w:noWrap/>
            <w:vAlign w:val="center"/>
          </w:tcPr>
          <w:p>
            <w:pPr>
              <w:widowControl/>
              <w:spacing w:line="240" w:lineRule="exact"/>
              <w:jc w:val="left"/>
              <w:rPr>
                <w:kern w:val="0"/>
                <w:szCs w:val="21"/>
              </w:rPr>
            </w:pPr>
            <w:r>
              <w:rPr>
                <w:rFonts w:hint="eastAsia"/>
                <w:kern w:val="0"/>
                <w:szCs w:val="21"/>
              </w:rPr>
              <w:t>　6</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质量达标率（</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项目完成的质量达标产出数与实际产出数的比率，用以反映和考核项目产出质量目标的实现程度。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质量达标率</w:t>
            </w:r>
            <w:r>
              <w:rPr>
                <w:kern w:val="0"/>
                <w:szCs w:val="21"/>
              </w:rPr>
              <w:t>=</w:t>
            </w:r>
            <w:r>
              <w:rPr>
                <w:rFonts w:hint="eastAsia"/>
                <w:kern w:val="0"/>
                <w:szCs w:val="21"/>
              </w:rPr>
              <w:t>（质量达标产出数</w:t>
            </w:r>
            <w:r>
              <w:rPr>
                <w:kern w:val="0"/>
                <w:szCs w:val="21"/>
              </w:rPr>
              <w:t>/</w:t>
            </w:r>
            <w:r>
              <w:rPr>
                <w:rFonts w:hint="eastAsia"/>
                <w:kern w:val="0"/>
                <w:szCs w:val="21"/>
              </w:rPr>
              <w:t>实际产出数）×</w:t>
            </w:r>
            <w:r>
              <w:rPr>
                <w:kern w:val="0"/>
                <w:szCs w:val="21"/>
              </w:rPr>
              <w:t>100%</w:t>
            </w:r>
            <w:r>
              <w:rPr>
                <w:rFonts w:hint="eastAsia"/>
                <w:kern w:val="0"/>
                <w:szCs w:val="21"/>
              </w:rPr>
              <w:t>。（得分</w:t>
            </w:r>
            <w:r>
              <w:rPr>
                <w:kern w:val="0"/>
                <w:szCs w:val="21"/>
              </w:rPr>
              <w:t>=</w:t>
            </w:r>
            <w:r>
              <w:rPr>
                <w:rFonts w:hint="eastAsia"/>
                <w:kern w:val="0"/>
                <w:szCs w:val="21"/>
              </w:rPr>
              <w:t>达标率</w:t>
            </w:r>
            <w:r>
              <w:rPr>
                <w:kern w:val="0"/>
                <w:szCs w:val="21"/>
              </w:rPr>
              <w:t>*5</w:t>
            </w:r>
            <w:r>
              <w:rPr>
                <w:rFonts w:hint="eastAsia"/>
                <w:kern w:val="0"/>
                <w:szCs w:val="21"/>
              </w:rPr>
              <w:t>分）</w:t>
            </w:r>
          </w:p>
          <w:p>
            <w:pPr>
              <w:widowControl/>
              <w:spacing w:line="240" w:lineRule="exact"/>
              <w:jc w:val="left"/>
              <w:rPr>
                <w:kern w:val="0"/>
                <w:szCs w:val="21"/>
              </w:rPr>
            </w:pPr>
            <w:r>
              <w:rPr>
                <w:rFonts w:hint="eastAsia"/>
                <w:kern w:val="0"/>
                <w:szCs w:val="21"/>
              </w:rPr>
              <w:t>质量达标产出数：一定时期（本年度或项目期）内实际达到既定质量标准的产品或服务数量。</w:t>
            </w:r>
          </w:p>
          <w:p>
            <w:pPr>
              <w:widowControl/>
              <w:spacing w:line="240" w:lineRule="exact"/>
              <w:jc w:val="left"/>
              <w:rPr>
                <w:kern w:val="0"/>
                <w:szCs w:val="21"/>
              </w:rPr>
            </w:pPr>
            <w:r>
              <w:rPr>
                <w:rFonts w:hint="eastAsia"/>
                <w:spacing w:val="-10"/>
                <w:kern w:val="0"/>
                <w:szCs w:val="21"/>
              </w:rPr>
              <w:t>既定质量标准是指项目实施单位设立绩效目标时依据计划标准、行业标准、历史标准或其他标准而设定的绩效指标值。</w:t>
            </w: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成本节约率（</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完成项目计划工作目标的实际节约成本与计划成本的比率，用以反映和考核项目的成本节约程度。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成本节约率</w:t>
            </w:r>
            <w:r>
              <w:rPr>
                <w:kern w:val="0"/>
                <w:szCs w:val="21"/>
              </w:rPr>
              <w:t>=[</w:t>
            </w:r>
            <w:r>
              <w:rPr>
                <w:rFonts w:hint="eastAsia"/>
                <w:kern w:val="0"/>
                <w:szCs w:val="21"/>
              </w:rPr>
              <w:t>（计划成本</w:t>
            </w:r>
            <w:r>
              <w:rPr>
                <w:kern w:val="0"/>
                <w:szCs w:val="21"/>
              </w:rPr>
              <w:t>-</w:t>
            </w:r>
            <w:r>
              <w:rPr>
                <w:rFonts w:hint="eastAsia"/>
                <w:kern w:val="0"/>
                <w:szCs w:val="21"/>
              </w:rPr>
              <w:t>实际成本）</w:t>
            </w:r>
            <w:r>
              <w:rPr>
                <w:kern w:val="0"/>
                <w:szCs w:val="21"/>
              </w:rPr>
              <w:t>/</w:t>
            </w:r>
            <w:r>
              <w:rPr>
                <w:rFonts w:hint="eastAsia"/>
                <w:kern w:val="0"/>
                <w:szCs w:val="21"/>
              </w:rPr>
              <w:t>计划成本</w:t>
            </w:r>
            <w:r>
              <w:rPr>
                <w:kern w:val="0"/>
                <w:szCs w:val="21"/>
              </w:rPr>
              <w:t>]</w:t>
            </w:r>
            <w:r>
              <w:rPr>
                <w:rFonts w:hint="eastAsia"/>
                <w:kern w:val="0"/>
                <w:szCs w:val="21"/>
              </w:rPr>
              <w:t>×</w:t>
            </w:r>
            <w:r>
              <w:rPr>
                <w:kern w:val="0"/>
                <w:szCs w:val="21"/>
              </w:rPr>
              <w:t>100%</w:t>
            </w:r>
            <w:r>
              <w:rPr>
                <w:rFonts w:hint="eastAsia"/>
                <w:kern w:val="0"/>
                <w:szCs w:val="21"/>
              </w:rPr>
              <w:t>。</w:t>
            </w:r>
            <w:r>
              <w:rPr>
                <w:kern w:val="0"/>
                <w:szCs w:val="21"/>
              </w:rPr>
              <w:t>(</w:t>
            </w:r>
            <w:r>
              <w:rPr>
                <w:rFonts w:hint="eastAsia"/>
                <w:kern w:val="0"/>
                <w:szCs w:val="21"/>
              </w:rPr>
              <w:t>节约的计</w:t>
            </w:r>
            <w:r>
              <w:rPr>
                <w:kern w:val="0"/>
                <w:szCs w:val="21"/>
              </w:rPr>
              <w:t>5</w:t>
            </w:r>
            <w:r>
              <w:rPr>
                <w:rFonts w:hint="eastAsia"/>
                <w:kern w:val="0"/>
                <w:szCs w:val="21"/>
              </w:rPr>
              <w:t>分</w:t>
            </w:r>
            <w:r>
              <w:rPr>
                <w:kern w:val="0"/>
                <w:szCs w:val="21"/>
              </w:rPr>
              <w:t>,</w:t>
            </w:r>
            <w:r>
              <w:rPr>
                <w:rFonts w:hint="eastAsia"/>
                <w:kern w:val="0"/>
                <w:szCs w:val="21"/>
              </w:rPr>
              <w:t>增加的按比例扣分</w:t>
            </w:r>
            <w:r>
              <w:rPr>
                <w:kern w:val="0"/>
                <w:szCs w:val="21"/>
              </w:rPr>
              <w:t>)</w:t>
            </w:r>
          </w:p>
          <w:p>
            <w:pPr>
              <w:widowControl/>
              <w:spacing w:line="240" w:lineRule="exact"/>
              <w:jc w:val="left"/>
              <w:rPr>
                <w:spacing w:val="-10"/>
                <w:kern w:val="0"/>
                <w:szCs w:val="21"/>
              </w:rPr>
            </w:pPr>
            <w:r>
              <w:rPr>
                <w:rFonts w:hint="eastAsia"/>
                <w:spacing w:val="-10"/>
                <w:kern w:val="0"/>
                <w:szCs w:val="21"/>
              </w:rPr>
              <w:t>实际成本：项目实施单位如期、保质、保量完成既定工作目标实际所耗费的支出。</w:t>
            </w:r>
          </w:p>
          <w:p>
            <w:pPr>
              <w:widowControl/>
              <w:spacing w:line="240" w:lineRule="exact"/>
              <w:jc w:val="left"/>
              <w:rPr>
                <w:kern w:val="0"/>
                <w:szCs w:val="21"/>
              </w:rPr>
            </w:pPr>
            <w:r>
              <w:rPr>
                <w:rFonts w:hint="eastAsia"/>
                <w:spacing w:val="-10"/>
                <w:kern w:val="0"/>
                <w:szCs w:val="21"/>
              </w:rPr>
              <w:t>计划成本：项目实施单位为完成工作目标计划安排的支出，一般以项目预算为参考。</w:t>
            </w: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rPr>
              <w:t>　</w:t>
            </w:r>
            <w:r>
              <w:rPr>
                <w:rFonts w:hint="eastAsia"/>
                <w:kern w:val="0"/>
                <w:szCs w:val="21"/>
                <w:lang w:val="en-US" w:eastAsia="zh-CN"/>
              </w:rPr>
              <w:t>没有增加。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29" w:type="dxa"/>
            <w:vMerge w:val="restart"/>
            <w:shd w:val="clear" w:color="auto" w:fill="FFFFFF"/>
            <w:noWrap/>
            <w:textDirection w:val="tbRlV"/>
            <w:vAlign w:val="center"/>
          </w:tcPr>
          <w:p>
            <w:pPr>
              <w:widowControl/>
              <w:spacing w:line="240" w:lineRule="exact"/>
              <w:jc w:val="center"/>
              <w:rPr>
                <w:kern w:val="0"/>
                <w:szCs w:val="21"/>
              </w:rPr>
            </w:pPr>
            <w:r>
              <w:rPr>
                <w:rFonts w:hint="eastAsia"/>
                <w:kern w:val="0"/>
                <w:szCs w:val="21"/>
              </w:rPr>
              <w:t>效</w:t>
            </w:r>
            <w:r>
              <w:rPr>
                <w:kern w:val="0"/>
                <w:szCs w:val="21"/>
              </w:rPr>
              <w:t xml:space="preserve">   </w:t>
            </w:r>
            <w:r>
              <w:rPr>
                <w:rFonts w:hint="eastAsia"/>
                <w:kern w:val="0"/>
                <w:szCs w:val="21"/>
              </w:rPr>
              <w:t>果（</w:t>
            </w:r>
            <w:r>
              <w:rPr>
                <w:kern w:val="0"/>
                <w:szCs w:val="21"/>
              </w:rPr>
              <w:t>30</w:t>
            </w:r>
            <w:r>
              <w:rPr>
                <w:rFonts w:hint="eastAsia"/>
                <w:kern w:val="0"/>
                <w:szCs w:val="21"/>
              </w:rPr>
              <w:t>分）</w:t>
            </w:r>
          </w:p>
        </w:tc>
        <w:tc>
          <w:tcPr>
            <w:tcW w:w="557" w:type="dxa"/>
            <w:vMerge w:val="restart"/>
            <w:shd w:val="clear" w:color="auto" w:fill="FFFFFF"/>
            <w:vAlign w:val="center"/>
          </w:tcPr>
          <w:p>
            <w:pPr>
              <w:widowControl/>
              <w:spacing w:line="240" w:lineRule="exact"/>
              <w:jc w:val="center"/>
              <w:rPr>
                <w:kern w:val="0"/>
                <w:szCs w:val="21"/>
              </w:rPr>
            </w:pPr>
            <w:r>
              <w:rPr>
                <w:rFonts w:hint="eastAsia"/>
                <w:kern w:val="0"/>
                <w:szCs w:val="21"/>
              </w:rPr>
              <w:t>项目</w:t>
            </w:r>
          </w:p>
          <w:p>
            <w:pPr>
              <w:widowControl/>
              <w:spacing w:line="240" w:lineRule="exact"/>
              <w:jc w:val="center"/>
              <w:rPr>
                <w:kern w:val="0"/>
                <w:szCs w:val="21"/>
              </w:rPr>
            </w:pPr>
            <w:r>
              <w:rPr>
                <w:rFonts w:hint="eastAsia"/>
                <w:kern w:val="0"/>
                <w:szCs w:val="21"/>
              </w:rPr>
              <w:t>效益（</w:t>
            </w:r>
            <w:r>
              <w:rPr>
                <w:kern w:val="0"/>
                <w:szCs w:val="21"/>
              </w:rPr>
              <w:t>30</w:t>
            </w:r>
            <w:r>
              <w:rPr>
                <w:rFonts w:hint="eastAsia"/>
                <w:kern w:val="0"/>
                <w:szCs w:val="21"/>
              </w:rPr>
              <w:t>分）</w:t>
            </w:r>
          </w:p>
        </w:tc>
        <w:tc>
          <w:tcPr>
            <w:tcW w:w="717" w:type="dxa"/>
            <w:shd w:val="clear" w:color="auto" w:fill="FFFFFF"/>
            <w:vAlign w:val="center"/>
          </w:tcPr>
          <w:p>
            <w:pPr>
              <w:widowControl/>
              <w:spacing w:line="240" w:lineRule="exact"/>
              <w:jc w:val="left"/>
              <w:rPr>
                <w:kern w:val="0"/>
                <w:szCs w:val="21"/>
              </w:rPr>
            </w:pPr>
            <w:r>
              <w:rPr>
                <w:rFonts w:hint="eastAsia"/>
                <w:kern w:val="0"/>
                <w:szCs w:val="21"/>
              </w:rPr>
              <w:t>经济效益</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spacing w:val="-10"/>
                <w:kern w:val="0"/>
                <w:szCs w:val="21"/>
              </w:rPr>
            </w:pPr>
            <w:r>
              <w:rPr>
                <w:rFonts w:hint="eastAsia"/>
                <w:spacing w:val="-10"/>
                <w:kern w:val="0"/>
                <w:szCs w:val="21"/>
              </w:rPr>
              <w:t>项目实施对经济发展所带来的直接或间接影响情况。</w:t>
            </w:r>
          </w:p>
        </w:tc>
        <w:tc>
          <w:tcPr>
            <w:tcW w:w="3228" w:type="dxa"/>
            <w:vMerge w:val="restart"/>
            <w:shd w:val="clear" w:color="auto" w:fill="FFFFFF"/>
            <w:vAlign w:val="center"/>
          </w:tcPr>
          <w:p>
            <w:pPr>
              <w:widowControl/>
              <w:spacing w:line="240" w:lineRule="exact"/>
              <w:jc w:val="left"/>
              <w:rPr>
                <w:kern w:val="0"/>
                <w:szCs w:val="21"/>
              </w:rPr>
            </w:pPr>
            <w:r>
              <w:rPr>
                <w:rFonts w:hint="eastAsia"/>
                <w:kern w:val="0"/>
                <w:szCs w:val="21"/>
              </w:rPr>
              <w:t>此四项指标为项目支出绩效评价指标的共性要素，各单位按照项目支出绩效目标实现程度为依据。（按经济效益实现程度</w:t>
            </w:r>
            <w:r>
              <w:rPr>
                <w:kern w:val="0"/>
                <w:szCs w:val="21"/>
              </w:rPr>
              <w:t>*5</w:t>
            </w:r>
            <w:r>
              <w:rPr>
                <w:rFonts w:hint="eastAsia"/>
                <w:kern w:val="0"/>
                <w:szCs w:val="21"/>
              </w:rPr>
              <w:t>分、社会效益实现程度</w:t>
            </w:r>
            <w:r>
              <w:rPr>
                <w:kern w:val="0"/>
                <w:szCs w:val="21"/>
              </w:rPr>
              <w:t>*5</w:t>
            </w:r>
            <w:r>
              <w:rPr>
                <w:rFonts w:hint="eastAsia"/>
                <w:kern w:val="0"/>
                <w:szCs w:val="21"/>
              </w:rPr>
              <w:t>分、生态效益实现程度</w:t>
            </w:r>
            <w:r>
              <w:rPr>
                <w:kern w:val="0"/>
                <w:szCs w:val="21"/>
              </w:rPr>
              <w:t>*5</w:t>
            </w:r>
            <w:r>
              <w:rPr>
                <w:rFonts w:hint="eastAsia"/>
                <w:kern w:val="0"/>
                <w:szCs w:val="21"/>
              </w:rPr>
              <w:t>分、可持续影响程度</w:t>
            </w:r>
            <w:r>
              <w:rPr>
                <w:kern w:val="0"/>
                <w:szCs w:val="21"/>
              </w:rPr>
              <w:t>*5</w:t>
            </w:r>
            <w:r>
              <w:rPr>
                <w:rFonts w:hint="eastAsia"/>
                <w:kern w:val="0"/>
                <w:szCs w:val="21"/>
              </w:rPr>
              <w:t>分计算实际得分）</w:t>
            </w:r>
          </w:p>
        </w:tc>
        <w:tc>
          <w:tcPr>
            <w:tcW w:w="510" w:type="dxa"/>
            <w:noWrap/>
            <w:vAlign w:val="center"/>
          </w:tcPr>
          <w:p>
            <w:pPr>
              <w:widowControl/>
              <w:spacing w:line="240" w:lineRule="exact"/>
              <w:jc w:val="left"/>
              <w:rPr>
                <w:kern w:val="0"/>
                <w:szCs w:val="21"/>
              </w:rPr>
            </w:pPr>
            <w:r>
              <w:rPr>
                <w:rFonts w:hint="eastAsia"/>
                <w:kern w:val="0"/>
                <w:szCs w:val="21"/>
              </w:rPr>
              <w:t>　4</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带动周边群众务工收入。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社会效益（</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spacing w:val="-10"/>
                <w:kern w:val="0"/>
                <w:szCs w:val="21"/>
              </w:rPr>
            </w:pPr>
            <w:r>
              <w:rPr>
                <w:rFonts w:hint="eastAsia"/>
                <w:spacing w:val="-10"/>
                <w:kern w:val="0"/>
                <w:szCs w:val="21"/>
              </w:rPr>
              <w:t>项目实施对社会发展所带来的直接或间接影响情况。</w:t>
            </w:r>
          </w:p>
        </w:tc>
        <w:tc>
          <w:tcPr>
            <w:tcW w:w="3228" w:type="dxa"/>
            <w:vMerge w:val="continue"/>
            <w:vAlign w:val="center"/>
          </w:tcPr>
          <w:p>
            <w:pPr>
              <w:widowControl/>
              <w:spacing w:line="240" w:lineRule="exact"/>
              <w:jc w:val="left"/>
              <w:rPr>
                <w:kern w:val="0"/>
                <w:szCs w:val="21"/>
              </w:rPr>
            </w:pP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提升园区对社会发展的直接影响，对乐至发展具有促进作用。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生态效益（</w:t>
            </w:r>
            <w:r>
              <w:rPr>
                <w:kern w:val="0"/>
                <w:szCs w:val="21"/>
              </w:rPr>
              <w:t>5</w:t>
            </w:r>
            <w:r>
              <w:rPr>
                <w:rFonts w:hint="eastAsia"/>
                <w:kern w:val="0"/>
                <w:szCs w:val="21"/>
              </w:rPr>
              <w:t>分）</w:t>
            </w:r>
          </w:p>
        </w:tc>
        <w:tc>
          <w:tcPr>
            <w:tcW w:w="1518" w:type="dxa"/>
            <w:shd w:val="clear" w:color="auto" w:fill="FFFFFF"/>
            <w:vAlign w:val="center"/>
          </w:tcPr>
          <w:p>
            <w:pPr>
              <w:widowControl/>
              <w:spacing w:line="240" w:lineRule="exact"/>
              <w:jc w:val="left"/>
              <w:rPr>
                <w:spacing w:val="-10"/>
                <w:kern w:val="0"/>
                <w:szCs w:val="21"/>
              </w:rPr>
            </w:pPr>
            <w:r>
              <w:rPr>
                <w:rFonts w:hint="eastAsia"/>
                <w:spacing w:val="-10"/>
                <w:kern w:val="0"/>
                <w:szCs w:val="21"/>
              </w:rPr>
              <w:t>项目实施对生态环境所带来的直接或间接影响情况。</w:t>
            </w:r>
          </w:p>
        </w:tc>
        <w:tc>
          <w:tcPr>
            <w:tcW w:w="3228" w:type="dxa"/>
            <w:vMerge w:val="continue"/>
            <w:vAlign w:val="center"/>
          </w:tcPr>
          <w:p>
            <w:pPr>
              <w:widowControl/>
              <w:spacing w:line="240" w:lineRule="exact"/>
              <w:jc w:val="left"/>
              <w:rPr>
                <w:kern w:val="0"/>
                <w:szCs w:val="21"/>
              </w:rPr>
            </w:pPr>
          </w:p>
        </w:tc>
        <w:tc>
          <w:tcPr>
            <w:tcW w:w="510" w:type="dxa"/>
            <w:noWrap/>
            <w:vAlign w:val="center"/>
          </w:tcPr>
          <w:p>
            <w:pPr>
              <w:widowControl/>
              <w:spacing w:line="240" w:lineRule="exact"/>
              <w:jc w:val="left"/>
              <w:rPr>
                <w:kern w:val="0"/>
                <w:szCs w:val="21"/>
              </w:rPr>
            </w:pPr>
            <w:r>
              <w:rPr>
                <w:rFonts w:hint="eastAsia"/>
                <w:kern w:val="0"/>
                <w:szCs w:val="21"/>
              </w:rPr>
              <w:t>　4</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提升园区生态环境质量。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kern w:val="0"/>
                <w:szCs w:val="21"/>
              </w:rPr>
            </w:pPr>
            <w:r>
              <w:rPr>
                <w:rFonts w:hint="eastAsia"/>
                <w:kern w:val="0"/>
                <w:szCs w:val="21"/>
              </w:rPr>
              <w:t>可持续影响</w:t>
            </w:r>
          </w:p>
        </w:tc>
        <w:tc>
          <w:tcPr>
            <w:tcW w:w="1518" w:type="dxa"/>
            <w:shd w:val="clear" w:color="auto" w:fill="FFFFFF"/>
            <w:vAlign w:val="center"/>
          </w:tcPr>
          <w:p>
            <w:pPr>
              <w:widowControl/>
              <w:spacing w:line="240" w:lineRule="exact"/>
              <w:jc w:val="left"/>
              <w:rPr>
                <w:kern w:val="0"/>
                <w:szCs w:val="21"/>
              </w:rPr>
            </w:pPr>
            <w:r>
              <w:rPr>
                <w:rFonts w:hint="eastAsia"/>
                <w:kern w:val="0"/>
                <w:szCs w:val="21"/>
              </w:rPr>
              <w:t>项目后续运行及成效发挥的可持续影响情况。</w:t>
            </w:r>
          </w:p>
        </w:tc>
        <w:tc>
          <w:tcPr>
            <w:tcW w:w="3228" w:type="dxa"/>
            <w:vMerge w:val="continue"/>
            <w:vAlign w:val="center"/>
          </w:tcPr>
          <w:p>
            <w:pPr>
              <w:widowControl/>
              <w:spacing w:line="240" w:lineRule="exact"/>
              <w:jc w:val="left"/>
              <w:rPr>
                <w:kern w:val="0"/>
                <w:szCs w:val="21"/>
              </w:rPr>
            </w:pPr>
          </w:p>
        </w:tc>
        <w:tc>
          <w:tcPr>
            <w:tcW w:w="510" w:type="dxa"/>
            <w:noWrap/>
            <w:vAlign w:val="center"/>
          </w:tcPr>
          <w:p>
            <w:pPr>
              <w:widowControl/>
              <w:spacing w:line="240" w:lineRule="exact"/>
              <w:jc w:val="left"/>
              <w:rPr>
                <w:kern w:val="0"/>
                <w:szCs w:val="21"/>
              </w:rPr>
            </w:pPr>
            <w:r>
              <w:rPr>
                <w:rFonts w:hint="eastAsia"/>
                <w:kern w:val="0"/>
                <w:szCs w:val="21"/>
              </w:rPr>
              <w:t>　5</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对园区后续发展产生持续影响。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29" w:type="dxa"/>
            <w:vMerge w:val="continue"/>
            <w:shd w:val="clear" w:color="auto" w:fill="auto"/>
            <w:vAlign w:val="center"/>
          </w:tcPr>
          <w:p>
            <w:pPr>
              <w:widowControl/>
              <w:spacing w:line="240" w:lineRule="exact"/>
              <w:jc w:val="left"/>
              <w:rPr>
                <w:kern w:val="0"/>
                <w:szCs w:val="21"/>
              </w:rPr>
            </w:pPr>
          </w:p>
        </w:tc>
        <w:tc>
          <w:tcPr>
            <w:tcW w:w="557" w:type="dxa"/>
            <w:vMerge w:val="continue"/>
            <w:shd w:val="clear" w:color="auto" w:fill="auto"/>
            <w:vAlign w:val="center"/>
          </w:tcPr>
          <w:p>
            <w:pPr>
              <w:widowControl/>
              <w:spacing w:line="240" w:lineRule="exact"/>
              <w:jc w:val="left"/>
              <w:rPr>
                <w:kern w:val="0"/>
                <w:szCs w:val="21"/>
              </w:rPr>
            </w:pPr>
          </w:p>
        </w:tc>
        <w:tc>
          <w:tcPr>
            <w:tcW w:w="717" w:type="dxa"/>
            <w:shd w:val="clear" w:color="auto" w:fill="FFFFFF"/>
            <w:vAlign w:val="center"/>
          </w:tcPr>
          <w:p>
            <w:pPr>
              <w:widowControl/>
              <w:spacing w:line="240" w:lineRule="exact"/>
              <w:jc w:val="left"/>
              <w:rPr>
                <w:spacing w:val="-10"/>
                <w:kern w:val="0"/>
                <w:szCs w:val="21"/>
              </w:rPr>
            </w:pPr>
            <w:r>
              <w:rPr>
                <w:rFonts w:hint="eastAsia"/>
                <w:spacing w:val="-10"/>
                <w:kern w:val="0"/>
                <w:szCs w:val="21"/>
              </w:rPr>
              <w:t>社会公众或服务对象满意度（</w:t>
            </w:r>
            <w:r>
              <w:rPr>
                <w:spacing w:val="-10"/>
                <w:kern w:val="0"/>
                <w:szCs w:val="21"/>
              </w:rPr>
              <w:t>10</w:t>
            </w:r>
            <w:r>
              <w:rPr>
                <w:rFonts w:hint="eastAsia"/>
                <w:spacing w:val="-10"/>
                <w:kern w:val="0"/>
                <w:szCs w:val="21"/>
              </w:rPr>
              <w:t>分）</w:t>
            </w:r>
          </w:p>
        </w:tc>
        <w:tc>
          <w:tcPr>
            <w:tcW w:w="1518" w:type="dxa"/>
            <w:shd w:val="clear" w:color="auto" w:fill="FFFFFF"/>
            <w:vAlign w:val="center"/>
          </w:tcPr>
          <w:p>
            <w:pPr>
              <w:widowControl/>
              <w:spacing w:line="240" w:lineRule="exact"/>
              <w:jc w:val="left"/>
              <w:rPr>
                <w:kern w:val="0"/>
                <w:szCs w:val="21"/>
              </w:rPr>
            </w:pPr>
            <w:r>
              <w:rPr>
                <w:rFonts w:hint="eastAsia"/>
                <w:kern w:val="0"/>
                <w:szCs w:val="21"/>
              </w:rPr>
              <w:t>社会公众或服务对象对项目实施效果的满意程度。</w:t>
            </w:r>
          </w:p>
        </w:tc>
        <w:tc>
          <w:tcPr>
            <w:tcW w:w="3228" w:type="dxa"/>
            <w:shd w:val="clear" w:color="auto" w:fill="FFFFFF"/>
            <w:vAlign w:val="center"/>
          </w:tcPr>
          <w:p>
            <w:pPr>
              <w:widowControl/>
              <w:spacing w:line="240" w:lineRule="exact"/>
              <w:jc w:val="left"/>
              <w:rPr>
                <w:kern w:val="0"/>
                <w:szCs w:val="21"/>
              </w:rPr>
            </w:pPr>
            <w:r>
              <w:rPr>
                <w:rFonts w:hint="eastAsia"/>
                <w:kern w:val="0"/>
                <w:szCs w:val="21"/>
              </w:rPr>
              <w:t>社会公众或服务对象是指因该项目实施而受到影响的部门（单位）、群体或个人。一般采取社会调查的方式。（按收到的服务对象的满意率计算得分）</w:t>
            </w:r>
          </w:p>
        </w:tc>
        <w:tc>
          <w:tcPr>
            <w:tcW w:w="510" w:type="dxa"/>
            <w:noWrap/>
            <w:vAlign w:val="center"/>
          </w:tcPr>
          <w:p>
            <w:pPr>
              <w:widowControl/>
              <w:spacing w:line="240" w:lineRule="exact"/>
              <w:jc w:val="left"/>
              <w:rPr>
                <w:kern w:val="0"/>
                <w:szCs w:val="21"/>
              </w:rPr>
            </w:pPr>
            <w:r>
              <w:rPr>
                <w:rFonts w:hint="eastAsia"/>
                <w:kern w:val="0"/>
                <w:szCs w:val="21"/>
              </w:rPr>
              <w:t>　10</w:t>
            </w:r>
          </w:p>
        </w:tc>
        <w:tc>
          <w:tcPr>
            <w:tcW w:w="2042" w:type="dxa"/>
            <w:noWrap/>
            <w:vAlign w:val="center"/>
          </w:tcPr>
          <w:p>
            <w:pPr>
              <w:widowControl/>
              <w:spacing w:line="240" w:lineRule="exact"/>
              <w:jc w:val="left"/>
              <w:rPr>
                <w:rFonts w:hint="default" w:eastAsia="宋体"/>
                <w:kern w:val="0"/>
                <w:szCs w:val="21"/>
                <w:lang w:val="en-US" w:eastAsia="zh-CN"/>
              </w:rPr>
            </w:pPr>
            <w:r>
              <w:rPr>
                <w:rFonts w:hint="eastAsia"/>
                <w:kern w:val="0"/>
                <w:szCs w:val="21"/>
                <w:lang w:val="en-US" w:eastAsia="zh-CN"/>
              </w:rPr>
              <w:t>周边群众对园区发展满意。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6349" w:type="dxa"/>
            <w:gridSpan w:val="5"/>
            <w:tcBorders>
              <w:bottom w:val="single" w:color="auto" w:sz="12" w:space="0"/>
            </w:tcBorders>
            <w:shd w:val="clear" w:color="auto" w:fill="FFFFFF"/>
            <w:vAlign w:val="center"/>
          </w:tcPr>
          <w:p>
            <w:pPr>
              <w:widowControl/>
              <w:spacing w:line="240" w:lineRule="exact"/>
              <w:jc w:val="center"/>
              <w:rPr>
                <w:kern w:val="0"/>
                <w:szCs w:val="21"/>
              </w:rPr>
            </w:pPr>
            <w:r>
              <w:rPr>
                <w:rFonts w:hint="eastAsia"/>
                <w:kern w:val="0"/>
                <w:szCs w:val="21"/>
              </w:rPr>
              <w:t>合计</w:t>
            </w:r>
          </w:p>
        </w:tc>
        <w:tc>
          <w:tcPr>
            <w:tcW w:w="510" w:type="dxa"/>
            <w:tcBorders>
              <w:bottom w:val="single" w:color="auto" w:sz="12" w:space="0"/>
            </w:tcBorders>
            <w:noWrap/>
            <w:vAlign w:val="center"/>
          </w:tcPr>
          <w:p>
            <w:pPr>
              <w:widowControl/>
              <w:spacing w:line="240" w:lineRule="exact"/>
              <w:jc w:val="left"/>
              <w:rPr>
                <w:kern w:val="0"/>
                <w:szCs w:val="21"/>
              </w:rPr>
            </w:pPr>
            <w:r>
              <w:rPr>
                <w:rFonts w:hint="eastAsia"/>
                <w:kern w:val="0"/>
                <w:szCs w:val="21"/>
              </w:rPr>
              <w:t>　98</w:t>
            </w:r>
          </w:p>
        </w:tc>
        <w:tc>
          <w:tcPr>
            <w:tcW w:w="2042" w:type="dxa"/>
            <w:tcBorders>
              <w:bottom w:val="single" w:color="auto" w:sz="12" w:space="0"/>
            </w:tcBorders>
            <w:noWrap/>
            <w:vAlign w:val="center"/>
          </w:tcPr>
          <w:p>
            <w:pPr>
              <w:widowControl/>
              <w:spacing w:line="240" w:lineRule="exact"/>
              <w:jc w:val="left"/>
              <w:rPr>
                <w:kern w:val="0"/>
                <w:szCs w:val="21"/>
              </w:rPr>
            </w:pPr>
            <w:r>
              <w:rPr>
                <w:rFonts w:hint="eastAsia"/>
                <w:kern w:val="0"/>
                <w:szCs w:val="21"/>
              </w:rPr>
              <w:t>　</w:t>
            </w:r>
          </w:p>
        </w:tc>
      </w:tr>
    </w:tbl>
    <w:p>
      <w:pPr>
        <w:spacing w:line="620" w:lineRule="exact"/>
        <w:jc w:val="left"/>
        <w:rPr>
          <w:rFonts w:ascii="??????" w:hAnsi="宋体" w:eastAsia="Times New Roman"/>
          <w:sz w:val="33"/>
          <w:szCs w:val="33"/>
        </w:rPr>
        <w:sectPr>
          <w:footerReference r:id="rId7" w:type="default"/>
          <w:pgSz w:w="11907" w:h="16840"/>
          <w:pgMar w:top="2098" w:right="1474" w:bottom="1928" w:left="1588" w:header="851" w:footer="992" w:gutter="0"/>
          <w:cols w:space="720" w:num="1"/>
          <w:docGrid w:type="lines" w:linePitch="312" w:charSpace="0"/>
        </w:sectPr>
      </w:pPr>
    </w:p>
    <w:p>
      <w:pPr>
        <w:spacing w:line="620" w:lineRule="exact"/>
        <w:jc w:val="left"/>
        <w:rPr>
          <w:rFonts w:hint="default" w:ascii="仿宋_GB2312" w:hAnsi="仿宋_GB2312" w:eastAsia="仿宋_GB2312" w:cs="仿宋_GB2312"/>
          <w:color w:val="000000"/>
          <w:spacing w:val="-17"/>
          <w:kern w:val="0"/>
          <w:sz w:val="32"/>
          <w:szCs w:val="32"/>
          <w:lang w:val="en-US" w:eastAsia="zh-CN"/>
        </w:rPr>
      </w:pPr>
      <w:r>
        <w:rPr>
          <w:rFonts w:hint="eastAsia" w:ascii="仿宋_GB2312" w:hAnsi="仿宋_GB2312" w:eastAsia="仿宋_GB2312" w:cs="仿宋_GB2312"/>
          <w:color w:val="000000"/>
          <w:spacing w:val="-17"/>
          <w:kern w:val="0"/>
          <w:sz w:val="32"/>
          <w:szCs w:val="32"/>
          <w:lang w:val="en-US" w:eastAsia="zh-CN"/>
        </w:rPr>
        <w:t>附件4-2</w:t>
      </w:r>
    </w:p>
    <w:p>
      <w:pPr>
        <w:spacing w:line="620" w:lineRule="exact"/>
        <w:jc w:val="center"/>
        <w:rPr>
          <w:rFonts w:eastAsia="方正小标宋简体"/>
          <w:color w:val="000000"/>
          <w:spacing w:val="-17"/>
          <w:kern w:val="0"/>
          <w:sz w:val="44"/>
          <w:szCs w:val="44"/>
        </w:rPr>
      </w:pPr>
      <w:r>
        <w:rPr>
          <w:rFonts w:eastAsia="方正小标宋简体"/>
          <w:color w:val="000000"/>
          <w:spacing w:val="-17"/>
          <w:kern w:val="0"/>
          <w:sz w:val="44"/>
          <w:szCs w:val="44"/>
        </w:rPr>
        <w:t>202</w:t>
      </w:r>
      <w:r>
        <w:rPr>
          <w:rFonts w:hint="eastAsia" w:eastAsia="方正小标宋简体"/>
          <w:color w:val="000000"/>
          <w:spacing w:val="-17"/>
          <w:kern w:val="0"/>
          <w:sz w:val="44"/>
          <w:szCs w:val="44"/>
        </w:rPr>
        <w:t>2年度乐至县项目支出绩效目标完成情况表</w:t>
      </w:r>
    </w:p>
    <w:p>
      <w:pPr>
        <w:pStyle w:val="7"/>
        <w:spacing w:line="240" w:lineRule="exact"/>
        <w:rPr>
          <w:rFonts w:ascii="宋体"/>
        </w:rPr>
      </w:pPr>
    </w:p>
    <w:tbl>
      <w:tblPr>
        <w:tblStyle w:val="16"/>
        <w:tblW w:w="90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41"/>
        <w:gridCol w:w="1005"/>
        <w:gridCol w:w="839"/>
        <w:gridCol w:w="544"/>
        <w:gridCol w:w="1496"/>
        <w:gridCol w:w="1888"/>
        <w:gridCol w:w="24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名称</w:t>
            </w:r>
          </w:p>
        </w:tc>
        <w:tc>
          <w:tcPr>
            <w:tcW w:w="8184" w:type="dxa"/>
            <w:gridSpan w:val="6"/>
            <w:tcBorders>
              <w:top w:val="single" w:color="auto" w:sz="12" w:space="0"/>
            </w:tcBorders>
            <w:noWrap/>
            <w:vAlign w:val="center"/>
          </w:tcPr>
          <w:p>
            <w:pPr>
              <w:widowControl/>
              <w:spacing w:line="240" w:lineRule="exact"/>
              <w:jc w:val="center"/>
              <w:rPr>
                <w:color w:val="000000"/>
                <w:kern w:val="0"/>
                <w:szCs w:val="21"/>
              </w:rPr>
            </w:pPr>
            <w:r>
              <w:rPr>
                <w:rFonts w:hint="eastAsia"/>
                <w:color w:val="000000"/>
                <w:kern w:val="0"/>
                <w:szCs w:val="21"/>
              </w:rPr>
              <w:t>乐至县国家农村产业融合发展示范园区建设</w:t>
            </w:r>
            <w:r>
              <w:rPr>
                <w:color w:val="000000"/>
                <w:kern w:val="0"/>
                <w:szCs w:val="21"/>
              </w:rPr>
              <w:t>项目</w:t>
            </w: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类型</w:t>
            </w: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产业发展</w:t>
            </w: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民生</w:t>
            </w:r>
          </w:p>
          <w:p>
            <w:pPr>
              <w:widowControl/>
              <w:spacing w:line="240" w:lineRule="exact"/>
              <w:jc w:val="center"/>
              <w:rPr>
                <w:color w:val="000000"/>
                <w:kern w:val="0"/>
                <w:szCs w:val="21"/>
              </w:rPr>
            </w:pPr>
            <w:r>
              <w:rPr>
                <w:rFonts w:hint="eastAsia"/>
                <w:color w:val="000000"/>
                <w:kern w:val="0"/>
                <w:szCs w:val="21"/>
              </w:rPr>
              <w:t>保障</w:t>
            </w:r>
          </w:p>
        </w:tc>
        <w:tc>
          <w:tcPr>
            <w:tcW w:w="2040" w:type="dxa"/>
            <w:gridSpan w:val="2"/>
            <w:noWrap/>
            <w:vAlign w:val="center"/>
          </w:tcPr>
          <w:p>
            <w:pPr>
              <w:widowControl/>
              <w:spacing w:line="240" w:lineRule="exact"/>
              <w:jc w:val="center"/>
              <w:rPr>
                <w:color w:val="000000"/>
                <w:kern w:val="0"/>
                <w:szCs w:val="21"/>
              </w:rPr>
            </w:pPr>
            <w:r>
              <w:rPr>
                <w:rFonts w:hint="eastAsia"/>
                <w:color w:val="000000"/>
                <w:kern w:val="0"/>
                <w:szCs w:val="21"/>
              </w:rPr>
              <w:t>基础设施</w:t>
            </w:r>
          </w:p>
        </w:tc>
        <w:tc>
          <w:tcPr>
            <w:tcW w:w="4300" w:type="dxa"/>
            <w:gridSpan w:val="2"/>
            <w:noWrap/>
            <w:vAlign w:val="center"/>
          </w:tcPr>
          <w:p>
            <w:pPr>
              <w:widowControl/>
              <w:spacing w:line="240" w:lineRule="exact"/>
              <w:jc w:val="center"/>
              <w:rPr>
                <w:color w:val="000000"/>
                <w:kern w:val="0"/>
                <w:szCs w:val="21"/>
              </w:rPr>
            </w:pPr>
            <w:r>
              <w:rPr>
                <w:rFonts w:hint="eastAsia"/>
                <w:color w:val="000000"/>
                <w:kern w:val="0"/>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w:t>
            </w:r>
          </w:p>
        </w:tc>
        <w:tc>
          <w:tcPr>
            <w:tcW w:w="839" w:type="dxa"/>
            <w:noWrap/>
            <w:vAlign w:val="center"/>
          </w:tcPr>
          <w:p>
            <w:pPr>
              <w:spacing w:line="240" w:lineRule="exact"/>
              <w:jc w:val="center"/>
              <w:rPr>
                <w:szCs w:val="21"/>
              </w:rPr>
            </w:pPr>
            <w:r>
              <w:rPr>
                <w:rFonts w:hint="eastAsia"/>
                <w:color w:val="000000"/>
                <w:kern w:val="0"/>
                <w:szCs w:val="21"/>
              </w:rPr>
              <w:t>□</w:t>
            </w:r>
          </w:p>
        </w:tc>
        <w:tc>
          <w:tcPr>
            <w:tcW w:w="2040" w:type="dxa"/>
            <w:gridSpan w:val="2"/>
            <w:noWrap/>
            <w:vAlign w:val="center"/>
          </w:tcPr>
          <w:p>
            <w:pPr>
              <w:spacing w:line="240" w:lineRule="exact"/>
              <w:jc w:val="center"/>
              <w:rPr>
                <w:szCs w:val="21"/>
              </w:rPr>
            </w:pPr>
            <w:r>
              <w:rPr>
                <w:rFonts w:hint="eastAsia"/>
                <w:color w:val="000000"/>
                <w:kern w:val="0"/>
                <w:szCs w:val="21"/>
              </w:rPr>
              <w:t>☑</w:t>
            </w:r>
          </w:p>
        </w:tc>
        <w:tc>
          <w:tcPr>
            <w:tcW w:w="4300" w:type="dxa"/>
            <w:gridSpan w:val="2"/>
            <w:noWrap/>
            <w:vAlign w:val="center"/>
          </w:tcPr>
          <w:p>
            <w:pPr>
              <w:spacing w:line="240" w:lineRule="exact"/>
              <w:jc w:val="center"/>
              <w:rPr>
                <w:szCs w:val="21"/>
              </w:rPr>
            </w:pPr>
            <w:r>
              <w:rPr>
                <w:rFonts w:hint="eastAsia"/>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noWrap/>
            <w:vAlign w:val="center"/>
          </w:tcPr>
          <w:p>
            <w:pPr>
              <w:widowControl/>
              <w:spacing w:line="240" w:lineRule="exact"/>
              <w:jc w:val="center"/>
              <w:rPr>
                <w:color w:val="000000"/>
                <w:kern w:val="0"/>
                <w:szCs w:val="21"/>
              </w:rPr>
            </w:pPr>
            <w:r>
              <w:rPr>
                <w:rFonts w:hint="eastAsia"/>
                <w:color w:val="000000"/>
                <w:kern w:val="0"/>
                <w:szCs w:val="21"/>
              </w:rPr>
              <w:t>部门（单位）名称</w:t>
            </w:r>
          </w:p>
        </w:tc>
        <w:tc>
          <w:tcPr>
            <w:tcW w:w="3884" w:type="dxa"/>
            <w:gridSpan w:val="4"/>
            <w:noWrap/>
            <w:vAlign w:val="center"/>
          </w:tcPr>
          <w:p>
            <w:pPr>
              <w:widowControl/>
              <w:spacing w:line="240" w:lineRule="exact"/>
              <w:jc w:val="center"/>
              <w:rPr>
                <w:color w:val="000000"/>
                <w:kern w:val="0"/>
                <w:szCs w:val="21"/>
              </w:rPr>
            </w:pPr>
            <w:r>
              <w:rPr>
                <w:rFonts w:hint="eastAsia"/>
                <w:color w:val="000000"/>
                <w:kern w:val="0"/>
                <w:szCs w:val="21"/>
              </w:rPr>
              <w:t>乐至县国家农村产业融合发展示范园管理委员会　</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预算单位编码</w:t>
            </w:r>
          </w:p>
        </w:tc>
        <w:tc>
          <w:tcPr>
            <w:tcW w:w="2412" w:type="dxa"/>
            <w:noWrap/>
            <w:vAlign w:val="center"/>
          </w:tcPr>
          <w:p>
            <w:pPr>
              <w:widowControl/>
              <w:spacing w:line="240" w:lineRule="exact"/>
              <w:jc w:val="left"/>
              <w:rPr>
                <w:rFonts w:hint="default" w:eastAsia="宋体"/>
                <w:color w:val="000000"/>
                <w:kern w:val="0"/>
                <w:szCs w:val="21"/>
                <w:lang w:val="en-US" w:eastAsia="zh-CN"/>
              </w:rPr>
            </w:pPr>
            <w:r>
              <w:rPr>
                <w:rFonts w:hint="eastAsia"/>
                <w:color w:val="000000"/>
                <w:kern w:val="0"/>
                <w:szCs w:val="21"/>
              </w:rPr>
              <w:t>　</w:t>
            </w:r>
            <w:r>
              <w:rPr>
                <w:rFonts w:hint="eastAsia"/>
                <w:color w:val="000000"/>
                <w:kern w:val="0"/>
                <w:szCs w:val="21"/>
                <w:lang w:val="en-US" w:eastAsia="zh-CN"/>
              </w:rPr>
              <w:t>150001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841" w:type="dxa"/>
            <w:vMerge w:val="restart"/>
            <w:noWrap/>
            <w:vAlign w:val="center"/>
          </w:tcPr>
          <w:p>
            <w:pPr>
              <w:widowControl/>
              <w:spacing w:line="240" w:lineRule="exact"/>
              <w:jc w:val="center"/>
              <w:rPr>
                <w:color w:val="000000"/>
                <w:kern w:val="0"/>
                <w:szCs w:val="21"/>
              </w:rPr>
            </w:pPr>
            <w:r>
              <w:rPr>
                <w:rFonts w:hint="eastAsia"/>
                <w:color w:val="000000"/>
                <w:kern w:val="0"/>
                <w:szCs w:val="21"/>
              </w:rPr>
              <w:t>预算执行情况</w:t>
            </w: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预算额</w:t>
            </w:r>
            <w:r>
              <w:rPr>
                <w:color w:val="000000"/>
                <w:kern w:val="0"/>
                <w:szCs w:val="21"/>
              </w:rPr>
              <w:t>(</w:t>
            </w:r>
            <w:r>
              <w:rPr>
                <w:rFonts w:hint="eastAsia"/>
                <w:color w:val="000000"/>
                <w:kern w:val="0"/>
                <w:szCs w:val="21"/>
              </w:rPr>
              <w:t>万元</w:t>
            </w:r>
            <w:r>
              <w:rPr>
                <w:color w:val="000000"/>
                <w:kern w:val="0"/>
                <w:szCs w:val="21"/>
              </w:rPr>
              <w:t>)</w:t>
            </w:r>
          </w:p>
        </w:tc>
        <w:tc>
          <w:tcPr>
            <w:tcW w:w="544" w:type="dxa"/>
            <w:noWrap/>
            <w:vAlign w:val="center"/>
          </w:tcPr>
          <w:p>
            <w:pPr>
              <w:widowControl/>
              <w:spacing w:line="240" w:lineRule="exact"/>
              <w:jc w:val="center"/>
              <w:rPr>
                <w:color w:val="000000"/>
                <w:kern w:val="0"/>
                <w:szCs w:val="21"/>
              </w:rPr>
            </w:pPr>
            <w:r>
              <w:rPr>
                <w:rFonts w:hint="eastAsia"/>
                <w:color w:val="000000"/>
                <w:kern w:val="0"/>
                <w:szCs w:val="21"/>
              </w:rPr>
              <w:t>执行额</w:t>
            </w:r>
            <w:r>
              <w:rPr>
                <w:color w:val="000000"/>
                <w:kern w:val="0"/>
                <w:szCs w:val="21"/>
              </w:rPr>
              <w:t>(</w:t>
            </w:r>
            <w:r>
              <w:rPr>
                <w:rFonts w:hint="eastAsia"/>
                <w:color w:val="000000"/>
                <w:kern w:val="0"/>
                <w:szCs w:val="21"/>
              </w:rPr>
              <w:t>万元</w:t>
            </w:r>
            <w:r>
              <w:rPr>
                <w:color w:val="000000"/>
                <w:kern w:val="0"/>
                <w:szCs w:val="21"/>
              </w:rPr>
              <w:t>)</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2412"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合</w:t>
            </w:r>
            <w:r>
              <w:rPr>
                <w:color w:val="000000"/>
                <w:kern w:val="0"/>
                <w:szCs w:val="21"/>
              </w:rPr>
              <w:t xml:space="preserve">   </w:t>
            </w:r>
            <w:r>
              <w:rPr>
                <w:rFonts w:hint="eastAsia"/>
                <w:color w:val="000000"/>
                <w:kern w:val="0"/>
                <w:szCs w:val="21"/>
              </w:rPr>
              <w:t>计</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3000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财政拨款</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3000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其他资金</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841" w:type="dxa"/>
            <w:vMerge w:val="restart"/>
            <w:noWrap/>
            <w:vAlign w:val="center"/>
          </w:tcPr>
          <w:p>
            <w:pPr>
              <w:widowControl/>
              <w:spacing w:line="240" w:lineRule="exact"/>
              <w:jc w:val="center"/>
              <w:rPr>
                <w:color w:val="000000"/>
                <w:kern w:val="0"/>
                <w:szCs w:val="21"/>
              </w:rPr>
            </w:pPr>
            <w:r>
              <w:rPr>
                <w:rFonts w:hint="eastAsia"/>
                <w:color w:val="000000"/>
                <w:kern w:val="0"/>
                <w:szCs w:val="21"/>
              </w:rPr>
              <w:t>财政拨款结构</w:t>
            </w: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项目</w:t>
            </w: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合计</w:t>
            </w:r>
          </w:p>
        </w:tc>
        <w:tc>
          <w:tcPr>
            <w:tcW w:w="544" w:type="dxa"/>
            <w:noWrap/>
            <w:vAlign w:val="center"/>
          </w:tcPr>
          <w:p>
            <w:pPr>
              <w:widowControl/>
              <w:spacing w:line="240" w:lineRule="exact"/>
              <w:jc w:val="center"/>
              <w:rPr>
                <w:color w:val="000000"/>
                <w:kern w:val="0"/>
                <w:szCs w:val="21"/>
              </w:rPr>
            </w:pPr>
            <w:r>
              <w:rPr>
                <w:rFonts w:hint="eastAsia"/>
                <w:color w:val="000000"/>
                <w:kern w:val="0"/>
                <w:szCs w:val="21"/>
              </w:rPr>
              <w:t>一般公共预算安排</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政府性基金预算安排</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国有资本经营预算安排</w:t>
            </w:r>
          </w:p>
        </w:tc>
        <w:tc>
          <w:tcPr>
            <w:tcW w:w="2412" w:type="dxa"/>
            <w:noWrap/>
            <w:vAlign w:val="center"/>
          </w:tcPr>
          <w:p>
            <w:pPr>
              <w:widowControl/>
              <w:spacing w:line="240" w:lineRule="exact"/>
              <w:jc w:val="center"/>
              <w:rPr>
                <w:color w:val="000000"/>
                <w:kern w:val="0"/>
                <w:szCs w:val="21"/>
              </w:rPr>
            </w:pPr>
            <w:r>
              <w:rPr>
                <w:rFonts w:hint="eastAsia"/>
                <w:color w:val="000000"/>
                <w:kern w:val="0"/>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预算额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执行额</w:t>
            </w:r>
          </w:p>
          <w:p>
            <w:pPr>
              <w:widowControl/>
              <w:spacing w:line="240" w:lineRule="exact"/>
              <w:jc w:val="center"/>
              <w:rPr>
                <w:color w:val="000000"/>
                <w:kern w:val="0"/>
                <w:szCs w:val="21"/>
              </w:rPr>
            </w:pPr>
            <w:r>
              <w:rPr>
                <w:color w:val="000000"/>
                <w:kern w:val="0"/>
                <w:szCs w:val="21"/>
              </w:rPr>
              <w:t>(</w:t>
            </w:r>
            <w:r>
              <w:rPr>
                <w:rFonts w:hint="eastAsia"/>
                <w:color w:val="000000"/>
                <w:kern w:val="0"/>
                <w:szCs w:val="21"/>
              </w:rPr>
              <w:t>万元</w:t>
            </w:r>
            <w:r>
              <w:rPr>
                <w:color w:val="000000"/>
                <w:kern w:val="0"/>
                <w:szCs w:val="21"/>
              </w:rPr>
              <w:t>)</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3000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当年结转结余额</w:t>
            </w:r>
            <w:r>
              <w:rPr>
                <w:color w:val="000000"/>
                <w:kern w:val="0"/>
                <w:szCs w:val="21"/>
              </w:rPr>
              <w:t>(</w:t>
            </w:r>
            <w:r>
              <w:rPr>
                <w:rFonts w:hint="eastAsia"/>
                <w:color w:val="000000"/>
                <w:kern w:val="0"/>
                <w:szCs w:val="21"/>
              </w:rPr>
              <w:t>万元</w:t>
            </w:r>
            <w:r>
              <w:rPr>
                <w:color w:val="000000"/>
                <w:kern w:val="0"/>
                <w:szCs w:val="21"/>
              </w:rPr>
              <w:t>)</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结转结余率</w:t>
            </w:r>
            <w:r>
              <w:rPr>
                <w:color w:val="000000"/>
                <w:kern w:val="0"/>
                <w:szCs w:val="21"/>
              </w:rPr>
              <w:t>%</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841" w:type="dxa"/>
            <w:vMerge w:val="continue"/>
            <w:vAlign w:val="center"/>
          </w:tcPr>
          <w:p>
            <w:pPr>
              <w:widowControl/>
              <w:spacing w:line="240" w:lineRule="exact"/>
              <w:jc w:val="left"/>
              <w:rPr>
                <w:color w:val="000000"/>
                <w:kern w:val="0"/>
                <w:szCs w:val="21"/>
              </w:rPr>
            </w:pP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结转结余变动率</w:t>
            </w:r>
            <w:r>
              <w:rPr>
                <w:color w:val="000000"/>
                <w:kern w:val="0"/>
                <w:szCs w:val="21"/>
              </w:rPr>
              <w:t>%</w:t>
            </w:r>
          </w:p>
        </w:tc>
        <w:tc>
          <w:tcPr>
            <w:tcW w:w="839"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　0</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841" w:type="dxa"/>
            <w:vMerge w:val="restart"/>
            <w:noWrap/>
            <w:vAlign w:val="center"/>
          </w:tcPr>
          <w:p>
            <w:pPr>
              <w:widowControl/>
              <w:spacing w:line="240" w:lineRule="exact"/>
              <w:jc w:val="center"/>
              <w:rPr>
                <w:color w:val="000000"/>
                <w:kern w:val="0"/>
                <w:szCs w:val="21"/>
              </w:rPr>
            </w:pPr>
            <w:r>
              <w:rPr>
                <w:rFonts w:hint="eastAsia"/>
                <w:color w:val="000000"/>
                <w:kern w:val="0"/>
                <w:szCs w:val="21"/>
              </w:rPr>
              <w:t>年度总体目标</w:t>
            </w:r>
          </w:p>
        </w:tc>
        <w:tc>
          <w:tcPr>
            <w:tcW w:w="1844"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w:t>
            </w:r>
          </w:p>
        </w:tc>
        <w:tc>
          <w:tcPr>
            <w:tcW w:w="2040"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预算总体目标执行结果</w:t>
            </w:r>
          </w:p>
        </w:tc>
        <w:tc>
          <w:tcPr>
            <w:tcW w:w="4300" w:type="dxa"/>
            <w:gridSpan w:val="2"/>
            <w:noWrap/>
            <w:vAlign w:val="center"/>
          </w:tcPr>
          <w:p>
            <w:pPr>
              <w:widowControl/>
              <w:spacing w:line="240" w:lineRule="exact"/>
              <w:jc w:val="center"/>
              <w:rPr>
                <w:color w:val="000000"/>
                <w:kern w:val="0"/>
                <w:szCs w:val="21"/>
              </w:rPr>
            </w:pPr>
            <w:r>
              <w:rPr>
                <w:rFonts w:hint="eastAsia"/>
                <w:color w:val="000000"/>
                <w:kern w:val="0"/>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844" w:type="dxa"/>
            <w:gridSpan w:val="2"/>
            <w:noWrap/>
            <w:vAlign w:val="center"/>
          </w:tcPr>
          <w:p>
            <w:pPr>
              <w:widowControl/>
              <w:spacing w:line="240" w:lineRule="exact"/>
              <w:jc w:val="left"/>
              <w:rPr>
                <w:color w:val="000000"/>
                <w:kern w:val="0"/>
                <w:szCs w:val="21"/>
              </w:rPr>
            </w:pPr>
            <w:r>
              <w:rPr>
                <w:rFonts w:hint="eastAsia"/>
              </w:rPr>
              <w:t>目标1：完成科博中心主体工程</w:t>
            </w:r>
          </w:p>
        </w:tc>
        <w:tc>
          <w:tcPr>
            <w:tcW w:w="2040" w:type="dxa"/>
            <w:gridSpan w:val="2"/>
            <w:noWrap/>
            <w:vAlign w:val="center"/>
          </w:tcPr>
          <w:p>
            <w:pPr>
              <w:widowControl/>
              <w:spacing w:line="240" w:lineRule="exact"/>
              <w:jc w:val="center"/>
              <w:rPr>
                <w:color w:val="000000"/>
                <w:kern w:val="0"/>
                <w:szCs w:val="21"/>
              </w:rPr>
            </w:pPr>
            <w:r>
              <w:rPr>
                <w:rFonts w:hint="eastAsia"/>
              </w:rPr>
              <w:t>完成科博中心主体工程</w:t>
            </w:r>
          </w:p>
        </w:tc>
        <w:tc>
          <w:tcPr>
            <w:tcW w:w="4300" w:type="dxa"/>
            <w:gridSpan w:val="2"/>
            <w:noWrap/>
            <w:vAlign w:val="center"/>
          </w:tcPr>
          <w:p>
            <w:pPr>
              <w:widowControl/>
              <w:spacing w:line="240" w:lineRule="exact"/>
              <w:jc w:val="center"/>
              <w:rPr>
                <w:color w:val="000000"/>
                <w:kern w:val="0"/>
                <w:szCs w:val="21"/>
              </w:rPr>
            </w:pPr>
            <w:r>
              <w:rPr>
                <w:rFonts w:hint="eastAsia"/>
                <w:color w:val="000000"/>
                <w:kern w:val="0"/>
                <w:szCs w:val="21"/>
              </w:rPr>
              <w:t>无偏差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844" w:type="dxa"/>
            <w:gridSpan w:val="2"/>
            <w:noWrap/>
            <w:vAlign w:val="center"/>
          </w:tcPr>
          <w:p>
            <w:pPr>
              <w:widowControl/>
              <w:spacing w:line="240" w:lineRule="exact"/>
              <w:jc w:val="left"/>
              <w:rPr>
                <w:color w:val="000000"/>
                <w:kern w:val="0"/>
                <w:szCs w:val="21"/>
              </w:rPr>
            </w:pPr>
            <w:r>
              <w:rPr>
                <w:rFonts w:hint="eastAsia"/>
              </w:rPr>
              <w:t>目标2：完成主干道路基建设6.471公里</w:t>
            </w:r>
          </w:p>
        </w:tc>
        <w:tc>
          <w:tcPr>
            <w:tcW w:w="2040" w:type="dxa"/>
            <w:gridSpan w:val="2"/>
            <w:noWrap/>
            <w:vAlign w:val="center"/>
          </w:tcPr>
          <w:p>
            <w:pPr>
              <w:widowControl/>
              <w:spacing w:line="240" w:lineRule="exact"/>
              <w:jc w:val="center"/>
              <w:rPr>
                <w:color w:val="000000"/>
                <w:kern w:val="0"/>
                <w:szCs w:val="21"/>
              </w:rPr>
            </w:pPr>
            <w:r>
              <w:rPr>
                <w:rFonts w:hint="eastAsia"/>
              </w:rPr>
              <w:t>完成主干道路基6.471公里</w:t>
            </w:r>
            <w:r>
              <w:rPr>
                <w:rFonts w:hint="eastAsia"/>
                <w:color w:val="000000"/>
                <w:kern w:val="0"/>
                <w:szCs w:val="21"/>
              </w:rPr>
              <w:t>　</w:t>
            </w:r>
          </w:p>
        </w:tc>
        <w:tc>
          <w:tcPr>
            <w:tcW w:w="4300" w:type="dxa"/>
            <w:gridSpan w:val="2"/>
            <w:noWrap/>
            <w:vAlign w:val="center"/>
          </w:tcPr>
          <w:p>
            <w:pPr>
              <w:widowControl/>
              <w:spacing w:line="240" w:lineRule="exact"/>
              <w:jc w:val="center"/>
              <w:rPr>
                <w:color w:val="000000"/>
                <w:kern w:val="0"/>
                <w:szCs w:val="21"/>
              </w:rPr>
            </w:pPr>
            <w:r>
              <w:rPr>
                <w:rFonts w:hint="eastAsia"/>
                <w:color w:val="000000"/>
                <w:kern w:val="0"/>
                <w:szCs w:val="21"/>
              </w:rPr>
              <w:t>无偏差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841" w:type="dxa"/>
            <w:vMerge w:val="restart"/>
            <w:noWrap/>
            <w:vAlign w:val="center"/>
          </w:tcPr>
          <w:p>
            <w:pPr>
              <w:widowControl/>
              <w:spacing w:line="240" w:lineRule="exact"/>
              <w:jc w:val="center"/>
              <w:rPr>
                <w:color w:val="000000"/>
                <w:kern w:val="0"/>
                <w:szCs w:val="21"/>
              </w:rPr>
            </w:pPr>
            <w:r>
              <w:rPr>
                <w:rFonts w:hint="eastAsia"/>
                <w:color w:val="000000"/>
                <w:kern w:val="0"/>
                <w:szCs w:val="21"/>
              </w:rPr>
              <w:t>年度绩</w:t>
            </w:r>
          </w:p>
          <w:p>
            <w:pPr>
              <w:widowControl/>
              <w:spacing w:line="240" w:lineRule="exact"/>
              <w:jc w:val="center"/>
              <w:rPr>
                <w:color w:val="000000"/>
                <w:kern w:val="0"/>
                <w:szCs w:val="21"/>
              </w:rPr>
            </w:pPr>
            <w:r>
              <w:rPr>
                <w:rFonts w:hint="eastAsia"/>
                <w:color w:val="000000"/>
                <w:kern w:val="0"/>
                <w:szCs w:val="21"/>
              </w:rPr>
              <w:t>效指标</w:t>
            </w:r>
          </w:p>
        </w:tc>
        <w:tc>
          <w:tcPr>
            <w:tcW w:w="1005" w:type="dxa"/>
            <w:noWrap/>
            <w:vAlign w:val="center"/>
          </w:tcPr>
          <w:p>
            <w:pPr>
              <w:widowControl/>
              <w:spacing w:line="240" w:lineRule="exact"/>
              <w:jc w:val="center"/>
              <w:rPr>
                <w:color w:val="000000"/>
                <w:kern w:val="0"/>
                <w:szCs w:val="21"/>
              </w:rPr>
            </w:pPr>
            <w:r>
              <w:rPr>
                <w:rFonts w:hint="eastAsia"/>
                <w:color w:val="000000"/>
                <w:kern w:val="0"/>
                <w:szCs w:val="21"/>
              </w:rPr>
              <w:t>一级</w:t>
            </w:r>
          </w:p>
          <w:p>
            <w:pPr>
              <w:widowControl/>
              <w:spacing w:line="240" w:lineRule="exact"/>
              <w:jc w:val="center"/>
              <w:rPr>
                <w:color w:val="000000"/>
                <w:kern w:val="0"/>
                <w:szCs w:val="21"/>
              </w:rPr>
            </w:pPr>
            <w:r>
              <w:rPr>
                <w:rFonts w:hint="eastAsia"/>
                <w:color w:val="000000"/>
                <w:kern w:val="0"/>
                <w:szCs w:val="21"/>
              </w:rPr>
              <w:t>指标</w:t>
            </w: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二级指标</w:t>
            </w:r>
          </w:p>
        </w:tc>
        <w:tc>
          <w:tcPr>
            <w:tcW w:w="544" w:type="dxa"/>
            <w:noWrap/>
            <w:vAlign w:val="center"/>
          </w:tcPr>
          <w:p>
            <w:pPr>
              <w:widowControl/>
              <w:spacing w:line="240" w:lineRule="exact"/>
              <w:jc w:val="center"/>
              <w:rPr>
                <w:color w:val="000000"/>
                <w:kern w:val="0"/>
                <w:szCs w:val="21"/>
              </w:rPr>
            </w:pPr>
            <w:r>
              <w:rPr>
                <w:rFonts w:hint="eastAsia"/>
                <w:color w:val="000000"/>
                <w:kern w:val="0"/>
                <w:szCs w:val="21"/>
              </w:rPr>
              <w:t>三级</w:t>
            </w:r>
          </w:p>
          <w:p>
            <w:pPr>
              <w:widowControl/>
              <w:spacing w:line="240" w:lineRule="exact"/>
              <w:jc w:val="center"/>
              <w:rPr>
                <w:color w:val="000000"/>
                <w:kern w:val="0"/>
                <w:szCs w:val="21"/>
              </w:rPr>
            </w:pPr>
            <w:r>
              <w:rPr>
                <w:rFonts w:hint="eastAsia"/>
                <w:color w:val="000000"/>
                <w:kern w:val="0"/>
                <w:szCs w:val="21"/>
              </w:rPr>
              <w:t>指标</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预算指标值</w:t>
            </w:r>
            <w:r>
              <w:rPr>
                <w:color w:val="000000"/>
                <w:kern w:val="0"/>
                <w:szCs w:val="21"/>
              </w:rPr>
              <w:t>(</w:t>
            </w:r>
            <w:r>
              <w:rPr>
                <w:rFonts w:hint="eastAsia"/>
                <w:color w:val="000000"/>
                <w:kern w:val="0"/>
                <w:szCs w:val="21"/>
              </w:rPr>
              <w:t>包含数字及文字描述</w:t>
            </w:r>
            <w:r>
              <w:rPr>
                <w:color w:val="000000"/>
                <w:kern w:val="0"/>
                <w:szCs w:val="21"/>
              </w:rPr>
              <w:t>)</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预算指标值执行结果</w:t>
            </w:r>
            <w:r>
              <w:rPr>
                <w:color w:val="000000"/>
                <w:kern w:val="0"/>
                <w:szCs w:val="21"/>
              </w:rPr>
              <w:t>(</w:t>
            </w:r>
            <w:r>
              <w:rPr>
                <w:rFonts w:hint="eastAsia"/>
                <w:color w:val="000000"/>
                <w:kern w:val="0"/>
                <w:szCs w:val="21"/>
              </w:rPr>
              <w:t>包含数字及文字描述</w:t>
            </w:r>
            <w:r>
              <w:rPr>
                <w:color w:val="000000"/>
                <w:kern w:val="0"/>
                <w:szCs w:val="21"/>
              </w:rPr>
              <w:t>)</w:t>
            </w:r>
          </w:p>
        </w:tc>
        <w:tc>
          <w:tcPr>
            <w:tcW w:w="2412" w:type="dxa"/>
            <w:noWrap/>
            <w:vAlign w:val="center"/>
          </w:tcPr>
          <w:p>
            <w:pPr>
              <w:widowControl/>
              <w:spacing w:line="240" w:lineRule="exact"/>
              <w:jc w:val="center"/>
              <w:rPr>
                <w:color w:val="000000"/>
                <w:kern w:val="0"/>
                <w:szCs w:val="21"/>
              </w:rPr>
            </w:pPr>
            <w:r>
              <w:rPr>
                <w:rFonts w:hint="eastAsia"/>
                <w:color w:val="000000"/>
                <w:kern w:val="0"/>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restart"/>
            <w:noWrap/>
            <w:vAlign w:val="center"/>
          </w:tcPr>
          <w:p>
            <w:pPr>
              <w:widowControl/>
              <w:spacing w:line="240" w:lineRule="exact"/>
              <w:jc w:val="center"/>
              <w:rPr>
                <w:color w:val="000000"/>
                <w:kern w:val="0"/>
                <w:szCs w:val="21"/>
              </w:rPr>
            </w:pPr>
            <w:r>
              <w:rPr>
                <w:rFonts w:hint="eastAsia"/>
                <w:color w:val="000000"/>
                <w:kern w:val="0"/>
                <w:szCs w:val="21"/>
              </w:rPr>
              <w:t>项目</w:t>
            </w:r>
          </w:p>
          <w:p>
            <w:pPr>
              <w:widowControl/>
              <w:spacing w:line="240" w:lineRule="exact"/>
              <w:jc w:val="center"/>
              <w:rPr>
                <w:color w:val="000000"/>
                <w:kern w:val="0"/>
                <w:szCs w:val="21"/>
              </w:rPr>
            </w:pPr>
            <w:r>
              <w:rPr>
                <w:rFonts w:hint="eastAsia"/>
                <w:color w:val="000000"/>
                <w:kern w:val="0"/>
                <w:szCs w:val="21"/>
              </w:rPr>
              <w:t>完成</w:t>
            </w:r>
          </w:p>
        </w:tc>
        <w:tc>
          <w:tcPr>
            <w:tcW w:w="839" w:type="dxa"/>
            <w:vMerge w:val="restart"/>
            <w:noWrap/>
            <w:vAlign w:val="center"/>
          </w:tcPr>
          <w:p>
            <w:pPr>
              <w:widowControl/>
              <w:spacing w:line="240" w:lineRule="exact"/>
              <w:jc w:val="center"/>
              <w:rPr>
                <w:color w:val="000000"/>
                <w:kern w:val="0"/>
                <w:szCs w:val="21"/>
              </w:rPr>
            </w:pPr>
            <w:r>
              <w:rPr>
                <w:rFonts w:hint="eastAsia"/>
                <w:color w:val="000000"/>
                <w:kern w:val="0"/>
                <w:szCs w:val="21"/>
              </w:rPr>
              <w:t>数量</w:t>
            </w:r>
          </w:p>
          <w:p>
            <w:pPr>
              <w:widowControl/>
              <w:spacing w:line="240" w:lineRule="exact"/>
              <w:jc w:val="center"/>
              <w:rPr>
                <w:color w:val="000000"/>
                <w:kern w:val="0"/>
                <w:szCs w:val="21"/>
              </w:rPr>
            </w:pPr>
            <w:r>
              <w:rPr>
                <w:rFonts w:hint="eastAsia"/>
                <w:color w:val="000000"/>
                <w:kern w:val="0"/>
                <w:szCs w:val="21"/>
              </w:rPr>
              <w:t>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完成科博中心主体工程项目</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完成科博中心主体工程</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vMerge w:val="continue"/>
            <w:vAlign w:val="center"/>
          </w:tcPr>
          <w:p>
            <w:pPr>
              <w:widowControl/>
              <w:spacing w:line="240" w:lineRule="exact"/>
              <w:jc w:val="left"/>
              <w:rPr>
                <w:color w:val="000000"/>
                <w:kern w:val="0"/>
                <w:szCs w:val="21"/>
              </w:rPr>
            </w:pP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2:</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完成主干道路基建设</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完成主干道路基6.471公里　</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质量</w:t>
            </w:r>
          </w:p>
          <w:p>
            <w:pPr>
              <w:widowControl/>
              <w:spacing w:line="240" w:lineRule="exact"/>
              <w:jc w:val="center"/>
              <w:rPr>
                <w:color w:val="000000"/>
                <w:kern w:val="0"/>
                <w:szCs w:val="21"/>
              </w:rPr>
            </w:pPr>
            <w:r>
              <w:rPr>
                <w:rFonts w:hint="eastAsia"/>
                <w:color w:val="000000"/>
                <w:kern w:val="0"/>
                <w:szCs w:val="21"/>
              </w:rPr>
              <w:t>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项目设计方案变更率≤5%</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5%</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noWrap/>
            <w:vAlign w:val="center"/>
          </w:tcPr>
          <w:p>
            <w:pPr>
              <w:widowControl/>
              <w:spacing w:line="240" w:lineRule="exact"/>
              <w:jc w:val="center"/>
              <w:rPr>
                <w:color w:val="000000"/>
                <w:kern w:val="0"/>
                <w:szCs w:val="21"/>
              </w:rPr>
            </w:pPr>
            <w:r>
              <w:rPr>
                <w:rFonts w:hint="eastAsia"/>
                <w:color w:val="000000"/>
                <w:kern w:val="0"/>
                <w:szCs w:val="21"/>
              </w:rPr>
              <w:t>时效</w:t>
            </w:r>
          </w:p>
          <w:p>
            <w:pPr>
              <w:widowControl/>
              <w:spacing w:line="240" w:lineRule="exact"/>
              <w:jc w:val="center"/>
              <w:rPr>
                <w:color w:val="000000"/>
                <w:kern w:val="0"/>
                <w:szCs w:val="21"/>
              </w:rPr>
            </w:pPr>
            <w:r>
              <w:rPr>
                <w:rFonts w:hint="eastAsia"/>
                <w:color w:val="000000"/>
                <w:kern w:val="0"/>
                <w:szCs w:val="21"/>
              </w:rPr>
              <w:t>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center"/>
              <w:rPr>
                <w:color w:val="000000"/>
                <w:kern w:val="0"/>
                <w:szCs w:val="21"/>
              </w:rPr>
            </w:pPr>
            <w:r>
              <w:rPr>
                <w:rFonts w:hint="eastAsia"/>
                <w:color w:val="000000"/>
                <w:kern w:val="0"/>
                <w:szCs w:val="21"/>
              </w:rPr>
              <w:t>主干道工程按时开工2022/3/30</w:t>
            </w:r>
          </w:p>
        </w:tc>
        <w:tc>
          <w:tcPr>
            <w:tcW w:w="1888" w:type="dxa"/>
            <w:noWrap/>
            <w:vAlign w:val="center"/>
          </w:tcPr>
          <w:p>
            <w:pPr>
              <w:widowControl/>
              <w:spacing w:line="240" w:lineRule="exact"/>
              <w:jc w:val="center"/>
              <w:rPr>
                <w:color w:val="000000"/>
                <w:kern w:val="0"/>
                <w:szCs w:val="21"/>
              </w:rPr>
            </w:pPr>
            <w:r>
              <w:rPr>
                <w:rFonts w:hint="eastAsia"/>
                <w:color w:val="000000"/>
                <w:kern w:val="0"/>
                <w:szCs w:val="21"/>
              </w:rPr>
              <w:t>2022年3月15日</w:t>
            </w:r>
          </w:p>
        </w:tc>
        <w:tc>
          <w:tcPr>
            <w:tcW w:w="2412" w:type="dxa"/>
            <w:noWrap/>
            <w:vAlign w:val="center"/>
          </w:tcPr>
          <w:p>
            <w:pPr>
              <w:widowControl/>
              <w:spacing w:line="240" w:lineRule="exact"/>
              <w:jc w:val="left"/>
              <w:rPr>
                <w:color w:val="000000"/>
                <w:kern w:val="0"/>
                <w:szCs w:val="21"/>
              </w:rPr>
            </w:pPr>
            <w:r>
              <w:rPr>
                <w:rFonts w:hint="eastAsia"/>
                <w:color w:val="000000"/>
                <w:kern w:val="0"/>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vAlign w:val="center"/>
          </w:tcPr>
          <w:p>
            <w:pPr>
              <w:widowControl/>
              <w:spacing w:line="240" w:lineRule="exact"/>
              <w:jc w:val="left"/>
              <w:rPr>
                <w:color w:val="000000"/>
                <w:kern w:val="0"/>
                <w:szCs w:val="21"/>
              </w:rPr>
            </w:pPr>
            <w:r>
              <w:rPr>
                <w:rFonts w:hint="eastAsia"/>
                <w:color w:val="000000"/>
                <w:kern w:val="0"/>
                <w:szCs w:val="21"/>
              </w:rPr>
              <w:t>成本指标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科博中心建设总投资成本≤4000万元</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≤4000万元</w:t>
            </w:r>
          </w:p>
        </w:tc>
        <w:tc>
          <w:tcPr>
            <w:tcW w:w="2412" w:type="dxa"/>
            <w:noWrap/>
            <w:vAlign w:val="center"/>
          </w:tcPr>
          <w:p>
            <w:pPr>
              <w:widowControl/>
              <w:spacing w:line="240" w:lineRule="exact"/>
              <w:jc w:val="left"/>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vAlign w:val="center"/>
          </w:tcPr>
          <w:p>
            <w:pPr>
              <w:widowControl/>
              <w:spacing w:line="240" w:lineRule="exact"/>
              <w:jc w:val="left"/>
              <w:rPr>
                <w:color w:val="000000"/>
                <w:kern w:val="0"/>
                <w:szCs w:val="21"/>
              </w:rPr>
            </w:pPr>
            <w:r>
              <w:rPr>
                <w:rFonts w:hint="eastAsia"/>
                <w:color w:val="000000"/>
                <w:kern w:val="0"/>
                <w:szCs w:val="21"/>
              </w:rPr>
              <w:t>预算执行</w:t>
            </w:r>
          </w:p>
          <w:p>
            <w:pPr>
              <w:widowControl/>
              <w:spacing w:line="240" w:lineRule="exact"/>
              <w:jc w:val="left"/>
              <w:rPr>
                <w:color w:val="000000"/>
                <w:kern w:val="0"/>
                <w:szCs w:val="21"/>
              </w:rPr>
            </w:pPr>
            <w:r>
              <w:rPr>
                <w:rFonts w:hint="eastAsia"/>
                <w:color w:val="000000"/>
                <w:kern w:val="0"/>
                <w:szCs w:val="21"/>
              </w:rPr>
              <w:t>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债券资金实际支出≥2000万元</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3000万元</w:t>
            </w:r>
          </w:p>
        </w:tc>
        <w:tc>
          <w:tcPr>
            <w:tcW w:w="2412" w:type="dxa"/>
            <w:noWrap/>
            <w:vAlign w:val="center"/>
          </w:tcPr>
          <w:p>
            <w:pPr>
              <w:widowControl/>
              <w:spacing w:line="240" w:lineRule="exact"/>
              <w:jc w:val="left"/>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vAlign w:val="center"/>
          </w:tcPr>
          <w:p>
            <w:pPr>
              <w:widowControl/>
              <w:spacing w:line="240" w:lineRule="exact"/>
              <w:jc w:val="left"/>
              <w:rPr>
                <w:color w:val="000000"/>
                <w:kern w:val="0"/>
                <w:szCs w:val="21"/>
              </w:rPr>
            </w:pPr>
            <w:r>
              <w:rPr>
                <w:rFonts w:hint="eastAsia"/>
                <w:color w:val="000000"/>
                <w:kern w:val="0"/>
                <w:szCs w:val="21"/>
              </w:rPr>
              <w:t>社会效益</w:t>
            </w:r>
          </w:p>
          <w:p>
            <w:pPr>
              <w:widowControl/>
              <w:spacing w:line="240" w:lineRule="exact"/>
              <w:jc w:val="left"/>
              <w:rPr>
                <w:color w:val="000000"/>
                <w:kern w:val="0"/>
                <w:szCs w:val="21"/>
              </w:rPr>
            </w:pPr>
            <w:r>
              <w:rPr>
                <w:rFonts w:hint="eastAsia"/>
                <w:color w:val="000000"/>
                <w:kern w:val="0"/>
                <w:szCs w:val="21"/>
              </w:rPr>
              <w:t>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对农村居住生活环境的影响</w:t>
            </w:r>
          </w:p>
        </w:tc>
        <w:tc>
          <w:tcPr>
            <w:tcW w:w="1888" w:type="dxa"/>
            <w:noWrap/>
            <w:vAlign w:val="center"/>
          </w:tcPr>
          <w:p>
            <w:pPr>
              <w:widowControl/>
              <w:spacing w:line="240" w:lineRule="exact"/>
              <w:jc w:val="left"/>
              <w:rPr>
                <w:color w:val="000000"/>
                <w:kern w:val="0"/>
                <w:szCs w:val="21"/>
              </w:rPr>
            </w:pPr>
            <w:r>
              <w:rPr>
                <w:rFonts w:hint="eastAsia"/>
                <w:color w:val="000000"/>
                <w:kern w:val="0"/>
                <w:szCs w:val="21"/>
              </w:rPr>
              <w:t>提高</w:t>
            </w:r>
          </w:p>
        </w:tc>
        <w:tc>
          <w:tcPr>
            <w:tcW w:w="2412" w:type="dxa"/>
            <w:noWrap/>
            <w:vAlign w:val="center"/>
          </w:tcPr>
          <w:p>
            <w:pPr>
              <w:widowControl/>
              <w:spacing w:line="240" w:lineRule="exact"/>
              <w:jc w:val="left"/>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841" w:type="dxa"/>
            <w:vMerge w:val="continue"/>
            <w:vAlign w:val="center"/>
          </w:tcPr>
          <w:p>
            <w:pPr>
              <w:widowControl/>
              <w:spacing w:line="240" w:lineRule="exact"/>
              <w:jc w:val="left"/>
              <w:rPr>
                <w:color w:val="000000"/>
                <w:kern w:val="0"/>
                <w:szCs w:val="21"/>
              </w:rPr>
            </w:pPr>
          </w:p>
        </w:tc>
        <w:tc>
          <w:tcPr>
            <w:tcW w:w="1005" w:type="dxa"/>
            <w:vMerge w:val="continue"/>
            <w:vAlign w:val="center"/>
          </w:tcPr>
          <w:p>
            <w:pPr>
              <w:widowControl/>
              <w:spacing w:line="240" w:lineRule="exact"/>
              <w:jc w:val="left"/>
              <w:rPr>
                <w:color w:val="000000"/>
                <w:kern w:val="0"/>
                <w:szCs w:val="21"/>
              </w:rPr>
            </w:pPr>
          </w:p>
        </w:tc>
        <w:tc>
          <w:tcPr>
            <w:tcW w:w="839" w:type="dxa"/>
            <w:vAlign w:val="center"/>
          </w:tcPr>
          <w:p>
            <w:pPr>
              <w:widowControl/>
              <w:spacing w:line="240" w:lineRule="exact"/>
              <w:jc w:val="left"/>
              <w:rPr>
                <w:color w:val="000000"/>
                <w:kern w:val="0"/>
                <w:szCs w:val="21"/>
              </w:rPr>
            </w:pPr>
            <w:r>
              <w:rPr>
                <w:rFonts w:hint="eastAsia"/>
                <w:color w:val="000000"/>
                <w:kern w:val="0"/>
                <w:szCs w:val="21"/>
              </w:rPr>
              <w:t>服务对象</w:t>
            </w:r>
          </w:p>
          <w:p>
            <w:pPr>
              <w:widowControl/>
              <w:spacing w:line="240" w:lineRule="exact"/>
              <w:jc w:val="left"/>
              <w:rPr>
                <w:color w:val="000000"/>
                <w:kern w:val="0"/>
                <w:szCs w:val="21"/>
              </w:rPr>
            </w:pPr>
            <w:r>
              <w:rPr>
                <w:rFonts w:hint="eastAsia"/>
                <w:color w:val="000000"/>
                <w:kern w:val="0"/>
                <w:szCs w:val="21"/>
              </w:rPr>
              <w:t>满意度指标</w:t>
            </w:r>
          </w:p>
        </w:tc>
        <w:tc>
          <w:tcPr>
            <w:tcW w:w="544" w:type="dxa"/>
            <w:noWrap/>
            <w:vAlign w:val="center"/>
          </w:tcPr>
          <w:p>
            <w:pPr>
              <w:widowControl/>
              <w:spacing w:line="240" w:lineRule="exact"/>
              <w:jc w:val="left"/>
              <w:rPr>
                <w:color w:val="000000"/>
                <w:kern w:val="0"/>
                <w:szCs w:val="21"/>
              </w:rPr>
            </w:pPr>
            <w:r>
              <w:rPr>
                <w:rFonts w:hint="eastAsia"/>
                <w:color w:val="000000"/>
                <w:kern w:val="0"/>
                <w:szCs w:val="21"/>
              </w:rPr>
              <w:t>指标</w:t>
            </w:r>
            <w:r>
              <w:rPr>
                <w:color w:val="000000"/>
                <w:kern w:val="0"/>
                <w:szCs w:val="21"/>
              </w:rPr>
              <w:t>1:</w:t>
            </w:r>
          </w:p>
        </w:tc>
        <w:tc>
          <w:tcPr>
            <w:tcW w:w="1496" w:type="dxa"/>
            <w:noWrap/>
            <w:vAlign w:val="center"/>
          </w:tcPr>
          <w:p>
            <w:pPr>
              <w:widowControl/>
              <w:spacing w:line="240" w:lineRule="exact"/>
              <w:jc w:val="left"/>
              <w:rPr>
                <w:color w:val="000000"/>
                <w:kern w:val="0"/>
                <w:szCs w:val="21"/>
              </w:rPr>
            </w:pPr>
            <w:r>
              <w:rPr>
                <w:rFonts w:hint="eastAsia"/>
                <w:color w:val="000000"/>
                <w:kern w:val="0"/>
                <w:szCs w:val="21"/>
              </w:rPr>
              <w:t>区域辐射人群满意度≧90%</w:t>
            </w:r>
          </w:p>
        </w:tc>
        <w:tc>
          <w:tcPr>
            <w:tcW w:w="1888" w:type="dxa"/>
            <w:noWrap/>
            <w:vAlign w:val="center"/>
          </w:tcPr>
          <w:p>
            <w:pPr>
              <w:widowControl/>
              <w:jc w:val="center"/>
              <w:textAlignment w:val="center"/>
              <w:rPr>
                <w:rFonts w:ascii="宋体" w:hAnsi="宋体" w:cs="宋体"/>
                <w:color w:val="000000"/>
                <w:sz w:val="28"/>
                <w:szCs w:val="28"/>
              </w:rPr>
            </w:pPr>
            <w:r>
              <w:rPr>
                <w:rFonts w:hint="eastAsia"/>
                <w:color w:val="000000"/>
                <w:kern w:val="0"/>
                <w:szCs w:val="21"/>
              </w:rPr>
              <w:t>95%</w:t>
            </w:r>
          </w:p>
        </w:tc>
        <w:tc>
          <w:tcPr>
            <w:tcW w:w="2412" w:type="dxa"/>
            <w:noWrap/>
            <w:vAlign w:val="center"/>
          </w:tcPr>
          <w:p>
            <w:pPr>
              <w:widowControl/>
              <w:spacing w:line="240" w:lineRule="exact"/>
              <w:jc w:val="left"/>
              <w:rPr>
                <w:color w:val="000000"/>
                <w:kern w:val="0"/>
                <w:szCs w:val="21"/>
              </w:rPr>
            </w:pPr>
          </w:p>
        </w:tc>
      </w:tr>
    </w:tbl>
    <w:p/>
    <w:p>
      <w:pPr>
        <w:pStyle w:val="7"/>
        <w:spacing w:before="93"/>
      </w:pPr>
    </w:p>
    <w:p>
      <w:pPr>
        <w:pStyle w:val="7"/>
        <w:spacing w:before="93"/>
      </w:pPr>
    </w:p>
    <w:p>
      <w:pPr>
        <w:pStyle w:val="7"/>
        <w:spacing w:before="93"/>
      </w:pPr>
    </w:p>
    <w:p>
      <w:pPr>
        <w:pStyle w:val="7"/>
        <w:spacing w:before="93"/>
        <w:rPr>
          <w:rFonts w:hint="eastAsia"/>
        </w:rPr>
      </w:pPr>
    </w:p>
    <w:p>
      <w:pPr>
        <w:pStyle w:val="8"/>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jc w:val="center"/>
        <w:outlineLvl w:val="0"/>
        <w:rPr>
          <w:rFonts w:ascii="仿宋" w:hAnsi="仿宋" w:eastAsia="仿宋"/>
        </w:rPr>
      </w:pPr>
      <w:bookmarkStart w:id="55" w:name="_Toc15396618"/>
      <w:r>
        <w:rPr>
          <w:rFonts w:hint="eastAsia" w:ascii="黑体" w:hAnsi="黑体" w:eastAsia="黑体"/>
          <w:sz w:val="44"/>
          <w:szCs w:val="44"/>
        </w:rPr>
        <w:t>第</w:t>
      </w:r>
      <w:r>
        <w:rPr>
          <w:rStyle w:val="29"/>
          <w:rFonts w:hint="eastAsia" w:ascii="黑体" w:hAnsi="黑体" w:eastAsia="黑体"/>
          <w:b w:val="0"/>
        </w:rPr>
        <w:t>五部分 附表</w:t>
      </w:r>
      <w:bookmarkEnd w:id="52"/>
      <w:bookmarkEnd w:id="55"/>
      <w:bookmarkStart w:id="56" w:name="_Toc15396619"/>
    </w:p>
    <w:p>
      <w:pPr>
        <w:pStyle w:val="3"/>
        <w:rPr>
          <w:rFonts w:ascii="仿宋" w:hAnsi="仿宋" w:eastAsia="仿宋"/>
        </w:rPr>
      </w:pPr>
      <w:r>
        <w:rPr>
          <w:rFonts w:hint="eastAsia" w:ascii="仿宋" w:hAnsi="仿宋" w:eastAsia="仿宋"/>
          <w:b w:val="0"/>
        </w:rPr>
        <w:t>一、收</w:t>
      </w:r>
      <w:r>
        <w:rPr>
          <w:rStyle w:val="30"/>
          <w:rFonts w:hint="eastAsia" w:ascii="仿宋" w:hAnsi="仿宋" w:eastAsia="仿宋"/>
          <w:b w:val="0"/>
          <w:bCs w:val="0"/>
        </w:rPr>
        <w:t>入支出决算总表</w:t>
      </w:r>
      <w:bookmarkEnd w:id="56"/>
    </w:p>
    <w:p>
      <w:pPr>
        <w:pStyle w:val="3"/>
        <w:rPr>
          <w:rFonts w:ascii="仿宋" w:hAnsi="仿宋" w:eastAsia="仿宋"/>
        </w:rPr>
      </w:pPr>
      <w:bookmarkStart w:id="57" w:name="_Toc15396620"/>
      <w:r>
        <w:rPr>
          <w:rFonts w:hint="eastAsia" w:ascii="仿宋" w:hAnsi="仿宋" w:eastAsia="仿宋"/>
          <w:b w:val="0"/>
        </w:rPr>
        <w:t>二、收</w:t>
      </w:r>
      <w:r>
        <w:rPr>
          <w:rStyle w:val="30"/>
          <w:rFonts w:hint="eastAsia" w:ascii="仿宋" w:hAnsi="仿宋" w:eastAsia="仿宋"/>
          <w:b w:val="0"/>
          <w:bCs w:val="0"/>
        </w:rPr>
        <w:t>入决算表</w:t>
      </w:r>
      <w:bookmarkEnd w:id="57"/>
    </w:p>
    <w:p>
      <w:pPr>
        <w:pStyle w:val="3"/>
        <w:rPr>
          <w:rFonts w:ascii="仿宋" w:hAnsi="仿宋" w:eastAsia="仿宋"/>
        </w:rPr>
      </w:pPr>
      <w:bookmarkStart w:id="58" w:name="_Toc15396621"/>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58"/>
    </w:p>
    <w:p>
      <w:pPr>
        <w:pStyle w:val="3"/>
        <w:rPr>
          <w:rFonts w:ascii="仿宋" w:hAnsi="仿宋" w:eastAsia="仿宋"/>
          <w:b w:val="0"/>
        </w:rPr>
      </w:pPr>
      <w:bookmarkStart w:id="59" w:name="_Toc15396622"/>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59"/>
    </w:p>
    <w:p>
      <w:pPr>
        <w:pStyle w:val="3"/>
        <w:rPr>
          <w:rStyle w:val="30"/>
          <w:rFonts w:ascii="仿宋" w:hAnsi="仿宋" w:eastAsia="仿宋"/>
          <w:b w:val="0"/>
          <w:bCs w:val="0"/>
        </w:rPr>
      </w:pPr>
      <w:bookmarkStart w:id="60" w:name="_Toc15396623"/>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60"/>
      <w:bookmarkStart w:id="61" w:name="_Toc15396624"/>
    </w:p>
    <w:p>
      <w:pPr>
        <w:pStyle w:val="3"/>
        <w:rPr>
          <w:rFonts w:ascii="仿宋" w:hAnsi="仿宋" w:eastAsia="仿宋"/>
        </w:rPr>
      </w:pPr>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61"/>
    </w:p>
    <w:p>
      <w:pPr>
        <w:pStyle w:val="3"/>
        <w:rPr>
          <w:rFonts w:ascii="仿宋" w:hAnsi="仿宋" w:eastAsia="仿宋"/>
        </w:rPr>
      </w:pPr>
      <w:bookmarkStart w:id="62"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62"/>
    </w:p>
    <w:p>
      <w:pPr>
        <w:pStyle w:val="3"/>
        <w:rPr>
          <w:rFonts w:ascii="仿宋" w:hAnsi="仿宋" w:eastAsia="仿宋"/>
        </w:rPr>
      </w:pPr>
      <w:bookmarkStart w:id="63" w:name="_Toc15396626"/>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63"/>
    </w:p>
    <w:p>
      <w:pPr>
        <w:pStyle w:val="3"/>
        <w:rPr>
          <w:rFonts w:ascii="仿宋" w:hAnsi="仿宋" w:eastAsia="仿宋"/>
        </w:rPr>
      </w:pPr>
      <w:bookmarkStart w:id="64"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64"/>
    </w:p>
    <w:p>
      <w:pPr>
        <w:pStyle w:val="3"/>
        <w:rPr>
          <w:rFonts w:ascii="仿宋" w:hAnsi="仿宋" w:eastAsia="仿宋"/>
        </w:rPr>
      </w:pPr>
      <w:bookmarkStart w:id="65" w:name="_Toc15396628"/>
      <w:r>
        <w:rPr>
          <w:rStyle w:val="30"/>
          <w:rFonts w:hint="eastAsia" w:ascii="仿宋" w:hAnsi="仿宋" w:eastAsia="仿宋"/>
          <w:b w:val="0"/>
          <w:bCs w:val="0"/>
        </w:rPr>
        <w:t>十、</w:t>
      </w:r>
      <w:bookmarkEnd w:id="65"/>
      <w:r>
        <w:rPr>
          <w:rFonts w:hint="eastAsia" w:ascii="仿宋" w:hAnsi="仿宋" w:eastAsia="仿宋"/>
          <w:b w:val="0"/>
        </w:rPr>
        <w:t>政</w:t>
      </w:r>
      <w:r>
        <w:rPr>
          <w:rStyle w:val="30"/>
          <w:rFonts w:hint="eastAsia" w:ascii="仿宋" w:hAnsi="仿宋" w:eastAsia="仿宋"/>
          <w:b w:val="0"/>
          <w:bCs w:val="0"/>
        </w:rPr>
        <w:t>府性基金预算财政拨款收入支出决算表</w:t>
      </w:r>
    </w:p>
    <w:p>
      <w:pPr>
        <w:pStyle w:val="3"/>
        <w:rPr>
          <w:rFonts w:ascii="仿宋" w:hAnsi="仿宋" w:eastAsia="仿宋"/>
        </w:rPr>
      </w:pPr>
      <w:bookmarkStart w:id="66" w:name="_Toc15396629"/>
      <w:r>
        <w:rPr>
          <w:rStyle w:val="30"/>
          <w:rFonts w:hint="eastAsia" w:ascii="仿宋" w:hAnsi="仿宋" w:eastAsia="仿宋"/>
          <w:b w:val="0"/>
          <w:bCs w:val="0"/>
        </w:rPr>
        <w:t>十一、</w:t>
      </w:r>
      <w:bookmarkEnd w:id="66"/>
      <w:r>
        <w:rPr>
          <w:rFonts w:hint="eastAsia" w:ascii="仿宋" w:hAnsi="仿宋" w:eastAsia="仿宋"/>
          <w:b w:val="0"/>
        </w:rPr>
        <w:t>国</w:t>
      </w:r>
      <w:r>
        <w:rPr>
          <w:rStyle w:val="30"/>
          <w:rFonts w:hint="eastAsia" w:ascii="仿宋" w:hAnsi="仿宋" w:eastAsia="仿宋"/>
          <w:b w:val="0"/>
          <w:bCs w:val="0"/>
        </w:rPr>
        <w:t>有资本经营预算财政拨款收入支出决算表</w:t>
      </w:r>
    </w:p>
    <w:p>
      <w:pPr>
        <w:pStyle w:val="3"/>
        <w:rPr>
          <w:rFonts w:ascii="仿宋" w:hAnsi="仿宋" w:eastAsia="仿宋"/>
        </w:rPr>
      </w:pPr>
      <w:bookmarkStart w:id="67" w:name="_Toc15396630"/>
      <w:r>
        <w:rPr>
          <w:rStyle w:val="30"/>
          <w:rFonts w:hint="eastAsia" w:ascii="仿宋" w:hAnsi="仿宋" w:eastAsia="仿宋"/>
          <w:b w:val="0"/>
          <w:bCs w:val="0"/>
        </w:rPr>
        <w:t>十二、</w:t>
      </w:r>
      <w:bookmarkEnd w:id="67"/>
      <w:r>
        <w:rPr>
          <w:rStyle w:val="30"/>
          <w:rFonts w:hint="eastAsia" w:ascii="仿宋" w:hAnsi="仿宋" w:eastAsia="仿宋"/>
          <w:b w:val="0"/>
          <w:bCs w:val="0"/>
        </w:rPr>
        <w:t>国有资本经营预算财政拨款支出决算表</w:t>
      </w:r>
    </w:p>
    <w:p>
      <w:pPr>
        <w:pStyle w:val="3"/>
        <w:rPr>
          <w:rFonts w:eastAsia="仿宋"/>
        </w:rPr>
      </w:pPr>
      <w:bookmarkStart w:id="68" w:name="_Toc15396631"/>
      <w:r>
        <w:rPr>
          <w:rStyle w:val="30"/>
          <w:rFonts w:hint="eastAsia" w:ascii="仿宋" w:hAnsi="仿宋" w:eastAsia="仿宋"/>
          <w:b w:val="0"/>
          <w:bCs w:val="0"/>
        </w:rPr>
        <w:t>十三、</w:t>
      </w:r>
      <w:bookmarkEnd w:id="68"/>
      <w:r>
        <w:rPr>
          <w:rStyle w:val="30"/>
          <w:rFonts w:hint="eastAsia" w:ascii="仿宋" w:hAnsi="仿宋" w:eastAsia="仿宋"/>
          <w:b w:val="0"/>
          <w:bCs w:val="0"/>
        </w:rPr>
        <w:t>财政拨款“三公”经费支出决算表</w:t>
      </w:r>
    </w:p>
    <w:sectPr>
      <w:headerReference r:id="rId8" w:type="defaul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Times New Roman Regular">
    <w:altName w:val="Times New Roman"/>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12"/>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D75A8"/>
    <w:multiLevelType w:val="singleLevel"/>
    <w:tmpl w:val="AE5D75A8"/>
    <w:lvl w:ilvl="0" w:tentative="0">
      <w:start w:val="2"/>
      <w:numFmt w:val="chineseCounting"/>
      <w:suff w:val="nothing"/>
      <w:lvlText w:val="（%1）"/>
      <w:lvlJc w:val="left"/>
      <w:rPr>
        <w:rFonts w:hint="eastAsia"/>
      </w:rPr>
    </w:lvl>
  </w:abstractNum>
  <w:abstractNum w:abstractNumId="1">
    <w:nsid w:val="C7077FDF"/>
    <w:multiLevelType w:val="singleLevel"/>
    <w:tmpl w:val="C7077FDF"/>
    <w:lvl w:ilvl="0" w:tentative="0">
      <w:start w:val="1"/>
      <w:numFmt w:val="decimal"/>
      <w:suff w:val="nothing"/>
      <w:lvlText w:val="（%1）"/>
      <w:lvlJc w:val="left"/>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E2FA047D"/>
    <w:multiLevelType w:val="singleLevel"/>
    <w:tmpl w:val="E2FA047D"/>
    <w:lvl w:ilvl="0" w:tentative="0">
      <w:start w:val="3"/>
      <w:numFmt w:val="chineseCounting"/>
      <w:suff w:val="space"/>
      <w:lvlText w:val="第%1部分"/>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863B403"/>
    <w:multiLevelType w:val="singleLevel"/>
    <w:tmpl w:val="1863B403"/>
    <w:lvl w:ilvl="0" w:tentative="0">
      <w:start w:val="2"/>
      <w:numFmt w:val="chineseCounting"/>
      <w:suff w:val="nothing"/>
      <w:lvlText w:val="（%1）"/>
      <w:lvlJc w:val="left"/>
      <w:rPr>
        <w:rFonts w:hint="eastAsia"/>
      </w:rPr>
    </w:lvl>
  </w:abstractNum>
  <w:abstractNum w:abstractNumId="6">
    <w:nsid w:val="699771E3"/>
    <w:multiLevelType w:val="singleLevel"/>
    <w:tmpl w:val="699771E3"/>
    <w:lvl w:ilvl="0" w:tentative="0">
      <w:start w:val="2"/>
      <w:numFmt w:val="chineseCounting"/>
      <w:suff w:val="nothing"/>
      <w:lvlText w:val="（%1）"/>
      <w:lvlJc w:val="left"/>
      <w:rPr>
        <w:rFonts w:hint="eastAsia"/>
      </w:rPr>
    </w:lvl>
  </w:abstractNum>
  <w:abstractNum w:abstractNumId="7">
    <w:nsid w:val="6AB71B8E"/>
    <w:multiLevelType w:val="singleLevel"/>
    <w:tmpl w:val="6AB71B8E"/>
    <w:lvl w:ilvl="0" w:tentative="0">
      <w:start w:val="2"/>
      <w:numFmt w:val="chineseCounting"/>
      <w:suff w:val="nothing"/>
      <w:lvlText w:val="（%1）"/>
      <w:lvlJc w:val="left"/>
      <w:rPr>
        <w:rFonts w:hint="eastAsia"/>
      </w:rPr>
    </w:lvl>
  </w:abstractNum>
  <w:abstractNum w:abstractNumId="8">
    <w:nsid w:val="71179661"/>
    <w:multiLevelType w:val="singleLevel"/>
    <w:tmpl w:val="71179661"/>
    <w:lvl w:ilvl="0" w:tentative="0">
      <w:start w:val="2"/>
      <w:numFmt w:val="chineseCounting"/>
      <w:suff w:val="nothing"/>
      <w:lvlText w:val="（%1）"/>
      <w:lvlJc w:val="left"/>
      <w:rPr>
        <w:rFonts w:hint="eastAsia"/>
      </w:rPr>
    </w:lvl>
  </w:abstractNum>
  <w:abstractNum w:abstractNumId="9">
    <w:nsid w:val="74FEEEB3"/>
    <w:multiLevelType w:val="singleLevel"/>
    <w:tmpl w:val="74FEEEB3"/>
    <w:lvl w:ilvl="0" w:tentative="0">
      <w:start w:val="2"/>
      <w:numFmt w:val="decimal"/>
      <w:lvlText w:val="%1."/>
      <w:lvlJc w:val="left"/>
      <w:pPr>
        <w:tabs>
          <w:tab w:val="left" w:pos="312"/>
        </w:tabs>
      </w:pPr>
    </w:lvl>
  </w:abstractNum>
  <w:num w:numId="1">
    <w:abstractNumId w:val="4"/>
  </w:num>
  <w:num w:numId="2">
    <w:abstractNumId w:val="2"/>
  </w:num>
  <w:num w:numId="3">
    <w:abstractNumId w:val="3"/>
  </w:num>
  <w:num w:numId="4">
    <w:abstractNumId w:val="7"/>
  </w:num>
  <w:num w:numId="5">
    <w:abstractNumId w:val="6"/>
  </w:num>
  <w:num w:numId="6">
    <w:abstractNumId w:val="8"/>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jc2ODJhYjU3NzIwMzc0NjUxNzFkNGY5ZDZkNz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2497534"/>
    <w:rsid w:val="066E0107"/>
    <w:rsid w:val="07996F6E"/>
    <w:rsid w:val="09EF5765"/>
    <w:rsid w:val="0A2032A3"/>
    <w:rsid w:val="0F087E2F"/>
    <w:rsid w:val="0F98263C"/>
    <w:rsid w:val="101860EC"/>
    <w:rsid w:val="10C055FF"/>
    <w:rsid w:val="118107EC"/>
    <w:rsid w:val="13D50BC4"/>
    <w:rsid w:val="16BB723D"/>
    <w:rsid w:val="1917024C"/>
    <w:rsid w:val="1A5D3725"/>
    <w:rsid w:val="1BE8440E"/>
    <w:rsid w:val="1D155CEE"/>
    <w:rsid w:val="1FF35744"/>
    <w:rsid w:val="20E93F65"/>
    <w:rsid w:val="23860B96"/>
    <w:rsid w:val="240371BF"/>
    <w:rsid w:val="25180974"/>
    <w:rsid w:val="29FD04D3"/>
    <w:rsid w:val="29FE1E73"/>
    <w:rsid w:val="2C8A61B5"/>
    <w:rsid w:val="2DF04E50"/>
    <w:rsid w:val="2F040D46"/>
    <w:rsid w:val="319F7F4E"/>
    <w:rsid w:val="3304709D"/>
    <w:rsid w:val="36AA5135"/>
    <w:rsid w:val="376D39B2"/>
    <w:rsid w:val="37E16F03"/>
    <w:rsid w:val="38D469F0"/>
    <w:rsid w:val="39905187"/>
    <w:rsid w:val="3D5B18EE"/>
    <w:rsid w:val="3D98207C"/>
    <w:rsid w:val="3E78745D"/>
    <w:rsid w:val="44E268DA"/>
    <w:rsid w:val="4A627F82"/>
    <w:rsid w:val="4B0E749A"/>
    <w:rsid w:val="4B4F25DA"/>
    <w:rsid w:val="4B760A5C"/>
    <w:rsid w:val="4BAC2046"/>
    <w:rsid w:val="4BE068DB"/>
    <w:rsid w:val="4D577224"/>
    <w:rsid w:val="4EAB630A"/>
    <w:rsid w:val="4ECE2238"/>
    <w:rsid w:val="5054692F"/>
    <w:rsid w:val="537E6D0A"/>
    <w:rsid w:val="53F0511E"/>
    <w:rsid w:val="559408DF"/>
    <w:rsid w:val="5AF92295"/>
    <w:rsid w:val="5CD71FC4"/>
    <w:rsid w:val="5FB81600"/>
    <w:rsid w:val="65336B29"/>
    <w:rsid w:val="67955879"/>
    <w:rsid w:val="6C4A05C8"/>
    <w:rsid w:val="6E7E3605"/>
    <w:rsid w:val="6F195257"/>
    <w:rsid w:val="6FF5CC65"/>
    <w:rsid w:val="704D3693"/>
    <w:rsid w:val="706305CE"/>
    <w:rsid w:val="70AD723C"/>
    <w:rsid w:val="715C0E4B"/>
    <w:rsid w:val="72734D90"/>
    <w:rsid w:val="73AD73D5"/>
    <w:rsid w:val="73B6EB34"/>
    <w:rsid w:val="744731E5"/>
    <w:rsid w:val="75CE2E64"/>
    <w:rsid w:val="76E3355F"/>
    <w:rsid w:val="778769C8"/>
    <w:rsid w:val="780B665F"/>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4"/>
    <w:next w:val="4"/>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4"/>
    <w:next w:val="4"/>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4">
    <w:name w:val="汇政正文"/>
    <w:basedOn w:val="1"/>
    <w:qFormat/>
    <w:uiPriority w:val="3"/>
    <w:pPr>
      <w:spacing w:line="360" w:lineRule="auto"/>
      <w:ind w:firstLine="200" w:firstLineChars="200"/>
    </w:pPr>
    <w:rPr>
      <w:rFonts w:ascii="仿宋" w:hAnsi="仿宋" w:eastAsia="仿宋" w:cs="Times New Roman"/>
      <w:kern w:val="0"/>
      <w:sz w:val="32"/>
      <w:szCs w:val="28"/>
      <w:lang w:val="zh-CN"/>
    </w:rPr>
  </w:style>
  <w:style w:type="paragraph" w:styleId="6">
    <w:name w:val="annotation text"/>
    <w:basedOn w:val="1"/>
    <w:semiHidden/>
    <w:unhideWhenUsed/>
    <w:qFormat/>
    <w:uiPriority w:val="99"/>
    <w:pPr>
      <w:jc w:val="left"/>
    </w:pPr>
  </w:style>
  <w:style w:type="paragraph" w:styleId="7">
    <w:name w:val="Body Text"/>
    <w:basedOn w:val="1"/>
    <w:next w:val="8"/>
    <w:link w:val="26"/>
    <w:qFormat/>
    <w:uiPriority w:val="99"/>
    <w:pPr>
      <w:spacing w:beforeLines="30"/>
    </w:pPr>
    <w:rPr>
      <w:rFonts w:ascii="仿宋_GB2312" w:eastAsia="仿宋_GB2312"/>
      <w:kern w:val="0"/>
      <w:sz w:val="30"/>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Body Text Indent"/>
    <w:basedOn w:val="1"/>
    <w:qFormat/>
    <w:uiPriority w:val="0"/>
    <w:pPr>
      <w:spacing w:after="120"/>
      <w:ind w:left="200" w:leftChars="200"/>
    </w:pPr>
    <w:rPr>
      <w:rFonts w:ascii="仿宋_GB2312"/>
      <w:szCs w:val="32"/>
    </w:rPr>
  </w:style>
  <w:style w:type="paragraph" w:styleId="10">
    <w:name w:val="toc 3"/>
    <w:basedOn w:val="1"/>
    <w:next w:val="1"/>
    <w:unhideWhenUsed/>
    <w:qFormat/>
    <w:uiPriority w:val="39"/>
    <w:pPr>
      <w:tabs>
        <w:tab w:val="right" w:leader="dot" w:pos="8296"/>
      </w:tabs>
      <w:ind w:left="840" w:leftChars="400"/>
    </w:p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9"/>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7"/>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2"/>
    <w:qFormat/>
    <w:uiPriority w:val="9"/>
    <w:rPr>
      <w:rFonts w:ascii="Times New Roman" w:hAnsi="Times New Roman"/>
      <w:b/>
      <w:bCs/>
      <w:kern w:val="44"/>
      <w:sz w:val="44"/>
      <w:szCs w:val="44"/>
    </w:rPr>
  </w:style>
  <w:style w:type="character" w:customStyle="1" w:styleId="30">
    <w:name w:val="标题 2 字符"/>
    <w:basedOn w:val="17"/>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1"/>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图表目录1"/>
    <w:basedOn w:val="1"/>
    <w:next w:val="1"/>
    <w:qFormat/>
    <w:uiPriority w:val="0"/>
    <w:pPr>
      <w:ind w:left="200" w:leftChars="200" w:hanging="200" w:hanging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image" Target="media/image1.jpeg"/><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22253;&#21306;&#36130;&#21153;\2023&#24180;\2022&#24180;&#37096;&#38376;&#20915;&#31639;&#20844;&#24320;-&#21457;&#21333;&#20301;\&#20048;&#33267;&#21439;&#22269;&#23478;&#20892;&#26449;&#20135;&#19994;&#34701;&#21512;&#21457;&#23637;&#31034;&#33539;&#22253;&#31649;&#29702;&#22996;&#21592;&#20250;2022&#24180;&#37096;&#38376;&#20915;&#31639;&#20844;&#24320;\&#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"2021年"</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工作表.xlsx]Sheet1'!$B$4:$D$4</c:f>
              <c:strCache>
                <c:ptCount val="3"/>
                <c:pt idx="0">
                  <c:v>一般公共预算财政拨款</c:v>
                </c:pt>
                <c:pt idx="1">
                  <c:v>政府性基金预算财政拨款</c:v>
                </c:pt>
                <c:pt idx="2">
                  <c:v>总和</c:v>
                </c:pt>
              </c:strCache>
            </c:strRef>
          </c:cat>
          <c:val>
            <c:numRef>
              <c:f>'[新建 XLSX 工作表.xlsx]Sheet1'!$B$5:$D$5</c:f>
              <c:numCache>
                <c:formatCode>General</c:formatCode>
                <c:ptCount val="3"/>
                <c:pt idx="0">
                  <c:v>342.84</c:v>
                </c:pt>
                <c:pt idx="1">
                  <c:v>29700</c:v>
                </c:pt>
                <c:pt idx="2">
                  <c:v>30042.84</c:v>
                </c:pt>
              </c:numCache>
            </c:numRef>
          </c:val>
        </c:ser>
        <c:ser>
          <c:idx val="1"/>
          <c:order val="1"/>
          <c:tx>
            <c:strRef>
              <c:f>"2022年"</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工作表.xlsx]Sheet1'!$B$4:$D$4</c:f>
              <c:strCache>
                <c:ptCount val="3"/>
                <c:pt idx="0">
                  <c:v>一般公共预算财政拨款</c:v>
                </c:pt>
                <c:pt idx="1">
                  <c:v>政府性基金预算财政拨款</c:v>
                </c:pt>
                <c:pt idx="2">
                  <c:v>总和</c:v>
                </c:pt>
              </c:strCache>
            </c:strRef>
          </c:cat>
          <c:val>
            <c:numRef>
              <c:f>'[新建 XLSX 工作表.xlsx]Sheet1'!$B$6:$D$6</c:f>
              <c:numCache>
                <c:formatCode>General</c:formatCode>
                <c:ptCount val="3"/>
                <c:pt idx="0">
                  <c:v>226.94</c:v>
                </c:pt>
                <c:pt idx="1">
                  <c:v>3000</c:v>
                </c:pt>
                <c:pt idx="2">
                  <c:v>3226.94</c:v>
                </c:pt>
              </c:numCache>
            </c:numRef>
          </c:val>
        </c:ser>
        <c:dLbls>
          <c:showLegendKey val="0"/>
          <c:showVal val="1"/>
          <c:showCatName val="0"/>
          <c:showSerName val="0"/>
          <c:showPercent val="0"/>
          <c:showBubbleSize val="0"/>
        </c:dLbls>
        <c:gapWidth val="246"/>
        <c:overlap val="-28"/>
        <c:axId val="592935326"/>
        <c:axId val="220268226"/>
      </c:barChart>
      <c:catAx>
        <c:axId val="5929353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268226"/>
        <c:crosses val="autoZero"/>
        <c:auto val="1"/>
        <c:lblAlgn val="ctr"/>
        <c:lblOffset val="100"/>
        <c:noMultiLvlLbl val="0"/>
      </c:catAx>
      <c:valAx>
        <c:axId val="22026822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29353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年度支出决算结构图</a:t>
            </a:r>
            <a:endParaRPr lang="en-US" altLang="zh-CN"/>
          </a:p>
        </c:rich>
      </c:tx>
      <c:layout>
        <c:manualLayout>
          <c:xMode val="edge"/>
          <c:yMode val="edge"/>
          <c:x val="0.321710526315789"/>
          <c:y val="0.0381306218224482"/>
        </c:manualLayout>
      </c:layout>
      <c:overlay val="0"/>
      <c:spPr>
        <a:noFill/>
        <a:ln>
          <a:noFill/>
        </a:ln>
        <a:effectLst/>
      </c:spPr>
    </c:title>
    <c:autoTitleDeleted val="0"/>
    <c:plotArea>
      <c:layout>
        <c:manualLayout>
          <c:layoutTarget val="inner"/>
          <c:xMode val="edge"/>
          <c:yMode val="edge"/>
          <c:x val="0.263881578947368"/>
          <c:y val="0.167188111067657"/>
          <c:w val="0.484078947368421"/>
          <c:h val="0.719397731716856"/>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28565624336446"/>
                  <c:y val="0.029048948277448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工作表.xlsx]Sheet1'!$A$48:$B$48</c:f>
              <c:strCache>
                <c:ptCount val="2"/>
                <c:pt idx="0">
                  <c:v>基本支出</c:v>
                </c:pt>
                <c:pt idx="1">
                  <c:v>项目支出</c:v>
                </c:pt>
              </c:strCache>
            </c:strRef>
          </c:cat>
          <c:val>
            <c:numRef>
              <c:f>'[新建 XLSX 工作表.xlsx]Sheet1'!$A$49:$B$49</c:f>
              <c:numCache>
                <c:formatCode>General</c:formatCode>
                <c:ptCount val="2"/>
                <c:pt idx="0">
                  <c:v>226.94</c:v>
                </c:pt>
                <c:pt idx="1">
                  <c:v>3000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60592105263158"/>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财政拨款收、支总计变动情况</a:t>
            </a:r>
          </a:p>
        </c:rich>
      </c:tx>
      <c:layout/>
      <c:overlay val="0"/>
      <c:spPr>
        <a:noFill/>
        <a:ln>
          <a:noFill/>
        </a:ln>
        <a:effectLst/>
      </c:spPr>
    </c:title>
    <c:autoTitleDeleted val="0"/>
    <c:plotArea>
      <c:layout/>
      <c:barChart>
        <c:barDir val="col"/>
        <c:grouping val="clustered"/>
        <c:varyColors val="0"/>
        <c:ser>
          <c:idx val="0"/>
          <c:order val="0"/>
          <c:tx>
            <c:strRef>
              <c:f>"2021年"</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工作表.xlsx]Sheet1'!$B$59:$D$59</c:f>
              <c:strCache>
                <c:ptCount val="3"/>
                <c:pt idx="0">
                  <c:v>一般公共预算财政拨款</c:v>
                </c:pt>
                <c:pt idx="1">
                  <c:v>政府性基金预算财政拨款</c:v>
                </c:pt>
                <c:pt idx="2">
                  <c:v>总计</c:v>
                </c:pt>
              </c:strCache>
            </c:strRef>
          </c:cat>
          <c:val>
            <c:numRef>
              <c:f>'[新建 XLSX 工作表.xlsx]Sheet1'!$B$60:$D$60</c:f>
              <c:numCache>
                <c:formatCode>General</c:formatCode>
                <c:ptCount val="3"/>
                <c:pt idx="0">
                  <c:v>342.84</c:v>
                </c:pt>
                <c:pt idx="1">
                  <c:v>29700</c:v>
                </c:pt>
                <c:pt idx="2">
                  <c:v>30042.84</c:v>
                </c:pt>
              </c:numCache>
            </c:numRef>
          </c:val>
        </c:ser>
        <c:ser>
          <c:idx val="1"/>
          <c:order val="1"/>
          <c:tx>
            <c:strRef>
              <c:f>"2022年"</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工作表.xlsx]Sheet1'!$B$59:$D$59</c:f>
              <c:strCache>
                <c:ptCount val="3"/>
                <c:pt idx="0">
                  <c:v>一般公共预算财政拨款</c:v>
                </c:pt>
                <c:pt idx="1">
                  <c:v>政府性基金预算财政拨款</c:v>
                </c:pt>
                <c:pt idx="2">
                  <c:v>总计</c:v>
                </c:pt>
              </c:strCache>
            </c:strRef>
          </c:cat>
          <c:val>
            <c:numRef>
              <c:f>'[新建 XLSX 工作表.xlsx]Sheet1'!$B$61:$D$61</c:f>
              <c:numCache>
                <c:formatCode>General</c:formatCode>
                <c:ptCount val="3"/>
                <c:pt idx="0">
                  <c:v>226.94</c:v>
                </c:pt>
                <c:pt idx="1">
                  <c:v>3000</c:v>
                </c:pt>
                <c:pt idx="2">
                  <c:v>3226.94</c:v>
                </c:pt>
              </c:numCache>
            </c:numRef>
          </c:val>
        </c:ser>
        <c:dLbls>
          <c:showLegendKey val="0"/>
          <c:showVal val="1"/>
          <c:showCatName val="0"/>
          <c:showSerName val="0"/>
          <c:showPercent val="0"/>
          <c:showBubbleSize val="0"/>
        </c:dLbls>
        <c:gapWidth val="246"/>
        <c:overlap val="-28"/>
        <c:axId val="438395502"/>
        <c:axId val="324318589"/>
      </c:barChart>
      <c:catAx>
        <c:axId val="4383955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4318589"/>
        <c:crosses val="autoZero"/>
        <c:auto val="1"/>
        <c:lblAlgn val="ctr"/>
        <c:lblOffset val="100"/>
        <c:noMultiLvlLbl val="0"/>
      </c:catAx>
      <c:valAx>
        <c:axId val="32431858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839550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manualLayout>
          <c:layoutTarget val="inner"/>
          <c:xMode val="edge"/>
          <c:yMode val="edge"/>
          <c:x val="0.0670386266094421"/>
          <c:y val="0.18130787037037"/>
          <c:w val="0.900184210526316"/>
          <c:h val="0.606342592592593"/>
        </c:manualLayout>
      </c:layout>
      <c:barChart>
        <c:barDir val="col"/>
        <c:grouping val="clustered"/>
        <c:varyColors val="0"/>
        <c:ser>
          <c:idx val="0"/>
          <c:order val="0"/>
          <c:tx>
            <c:strRef>
              <c:f>"2021年"</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'[新建 XLSX 工作表.xlsx]Sheet1'!$B$60</c:f>
              <c:numCache>
                <c:formatCode>General</c:formatCode>
                <c:ptCount val="1"/>
                <c:pt idx="0">
                  <c:v>342.84</c:v>
                </c:pt>
              </c:numCache>
            </c:numRef>
          </c:val>
        </c:ser>
        <c:ser>
          <c:idx val="1"/>
          <c:order val="1"/>
          <c:tx>
            <c:strRef>
              <c:f>"2022年"</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'[新建 XLSX 工作表.xlsx]Sheet1'!$B$61</c:f>
              <c:numCache>
                <c:formatCode>General</c:formatCode>
                <c:ptCount val="1"/>
                <c:pt idx="0">
                  <c:v>226.94</c:v>
                </c:pt>
              </c:numCache>
            </c:numRef>
          </c:val>
        </c:ser>
        <c:dLbls>
          <c:showLegendKey val="0"/>
          <c:showVal val="1"/>
          <c:showCatName val="0"/>
          <c:showSerName val="0"/>
          <c:showPercent val="0"/>
          <c:showBubbleSize val="0"/>
        </c:dLbls>
        <c:gapWidth val="246"/>
        <c:overlap val="-28"/>
        <c:axId val="211089164"/>
        <c:axId val="603607434"/>
      </c:barChart>
      <c:catAx>
        <c:axId val="2110891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607434"/>
        <c:crosses val="autoZero"/>
        <c:auto val="1"/>
        <c:lblAlgn val="ctr"/>
        <c:lblOffset val="100"/>
        <c:noMultiLvlLbl val="0"/>
      </c:catAx>
      <c:valAx>
        <c:axId val="603607434"/>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08916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一般公共预算财政拨款支出决算结构图</a:t>
            </a:r>
          </a:p>
        </c:rich>
      </c:tx>
      <c:layout>
        <c:manualLayout>
          <c:xMode val="edge"/>
          <c:yMode val="edge"/>
          <c:x val="0.213682718490059"/>
          <c:y val="0.0685368980374366"/>
        </c:manualLayout>
      </c:layout>
      <c:overlay val="0"/>
      <c:spPr>
        <a:noFill/>
        <a:ln>
          <a:noFill/>
        </a:ln>
        <a:effectLst/>
      </c:spPr>
    </c:title>
    <c:autoTitleDeleted val="0"/>
    <c:plotArea>
      <c:layout>
        <c:manualLayout>
          <c:layoutTarget val="inner"/>
          <c:xMode val="edge"/>
          <c:yMode val="edge"/>
          <c:x val="0.26594427244582"/>
          <c:y val="0.200423158299673"/>
          <c:w val="0.466130030959752"/>
          <c:h val="0.723985381804193"/>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dLblPos val="in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工作表.xlsx]Sheet1'!$B$88:$E$88</c:f>
              <c:strCache>
                <c:ptCount val="4"/>
                <c:pt idx="0">
                  <c:v>社会保障和就业支出</c:v>
                </c:pt>
                <c:pt idx="1">
                  <c:v>卫生健康支出</c:v>
                </c:pt>
                <c:pt idx="2">
                  <c:v>住房保障支出</c:v>
                </c:pt>
                <c:pt idx="3">
                  <c:v>农林水支出</c:v>
                </c:pt>
              </c:strCache>
            </c:strRef>
          </c:cat>
          <c:val>
            <c:numRef>
              <c:f>'[新建 XLSX 工作表.xlsx]Sheet1'!$B$89:$E$89</c:f>
              <c:numCache>
                <c:formatCode>General</c:formatCode>
                <c:ptCount val="4"/>
                <c:pt idx="0">
                  <c:v>19.23</c:v>
                </c:pt>
                <c:pt idx="1">
                  <c:v>8.21</c:v>
                </c:pt>
                <c:pt idx="2">
                  <c:v>15.94</c:v>
                </c:pt>
                <c:pt idx="3">
                  <c:v>183.56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34808944739061"/>
          <c:y val="0.911746984861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工作表.xlsx]Sheet1'!$B$112:$D$112</c:f>
              <c:strCache>
                <c:ptCount val="3"/>
                <c:pt idx="0">
                  <c:v>因公出国（境）费支出</c:v>
                </c:pt>
                <c:pt idx="1">
                  <c:v>公务用车购置及运行维护费支出</c:v>
                </c:pt>
                <c:pt idx="2">
                  <c:v>公务接待费支出</c:v>
                </c:pt>
              </c:strCache>
            </c:strRef>
          </c:cat>
          <c:val>
            <c:numRef>
              <c:f>'[新建 XLSX 工作表.xlsx]Sheet1'!$B$113:$D$113</c:f>
              <c:numCache>
                <c:formatCode>General</c:formatCode>
                <c:ptCount val="3"/>
                <c:pt idx="0">
                  <c:v>0</c:v>
                </c:pt>
                <c:pt idx="1">
                  <c:v>0</c:v>
                </c:pt>
                <c:pt idx="2">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36</TotalTime>
  <ScaleCrop>false</ScaleCrop>
  <LinksUpToDate>false</LinksUpToDate>
  <CharactersWithSpaces>7955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若冰小晓</cp:lastModifiedBy>
  <cp:lastPrinted>2023-07-31T02:35:00Z</cp:lastPrinted>
  <dcterms:modified xsi:type="dcterms:W3CDTF">2023-11-30T01:39:48Z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0B9230ABC81C42DBB1ECCFFEA74C24E1_13</vt:lpwstr>
  </property>
</Properties>
</file>