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简体"/>
          <w:b/>
          <w:bCs/>
          <w:sz w:val="40"/>
          <w:szCs w:val="40"/>
          <w:lang w:val="en-US" w:eastAsia="zh-CN"/>
        </w:rPr>
      </w:pPr>
      <w:r>
        <w:rPr>
          <w:rFonts w:hint="eastAsia" w:eastAsia="方正小标宋简体"/>
          <w:b/>
          <w:bCs/>
          <w:sz w:val="40"/>
          <w:szCs w:val="40"/>
          <w:lang w:val="en-US" w:eastAsia="zh-CN"/>
        </w:rPr>
        <w:t>乐至县回澜镇龙溪卫生院</w:t>
      </w:r>
    </w:p>
    <w:p>
      <w:pPr>
        <w:spacing w:line="580" w:lineRule="exact"/>
        <w:jc w:val="center"/>
        <w:rPr>
          <w:rFonts w:hint="eastAsia" w:eastAsia="方正小标宋简体"/>
          <w:b/>
          <w:bCs/>
          <w:sz w:val="40"/>
          <w:szCs w:val="40"/>
        </w:rPr>
      </w:pPr>
      <w:r>
        <w:rPr>
          <w:rFonts w:hint="eastAsia" w:eastAsia="方正小标宋简体"/>
          <w:b/>
          <w:bCs/>
          <w:sz w:val="40"/>
          <w:szCs w:val="40"/>
        </w:rPr>
        <w:t>20</w:t>
      </w:r>
      <w:r>
        <w:rPr>
          <w:rFonts w:eastAsia="方正小标宋简体"/>
          <w:b/>
          <w:bCs/>
          <w:sz w:val="40"/>
          <w:szCs w:val="40"/>
        </w:rPr>
        <w:t>2</w:t>
      </w:r>
      <w:r>
        <w:rPr>
          <w:rFonts w:hint="eastAsia" w:eastAsia="方正小标宋简体"/>
          <w:b/>
          <w:bCs/>
          <w:sz w:val="40"/>
          <w:szCs w:val="40"/>
          <w:lang w:val="en-US" w:eastAsia="zh-CN"/>
        </w:rPr>
        <w:t>3</w:t>
      </w:r>
      <w:r>
        <w:rPr>
          <w:rFonts w:hint="eastAsia" w:eastAsia="方正小标宋简体"/>
          <w:b/>
          <w:bCs/>
          <w:sz w:val="40"/>
          <w:szCs w:val="40"/>
        </w:rPr>
        <w:t>年</w:t>
      </w:r>
      <w:r>
        <w:rPr>
          <w:rFonts w:hint="eastAsia" w:eastAsia="方正小标宋简体"/>
          <w:b/>
          <w:bCs/>
          <w:sz w:val="40"/>
          <w:szCs w:val="40"/>
          <w:lang w:val="en-US" w:eastAsia="zh-CN"/>
        </w:rPr>
        <w:t>单位</w:t>
      </w:r>
      <w:r>
        <w:rPr>
          <w:rFonts w:hint="eastAsia" w:eastAsia="方正小标宋简体"/>
          <w:b/>
          <w:bCs/>
          <w:sz w:val="40"/>
          <w:szCs w:val="40"/>
        </w:rPr>
        <w:t>预算编制说明</w:t>
      </w:r>
    </w:p>
    <w:p>
      <w:pPr>
        <w:spacing w:line="640" w:lineRule="exact"/>
        <w:jc w:val="center"/>
        <w:rPr>
          <w:rFonts w:hint="eastAsia" w:ascii="方正小标宋简体" w:eastAsia="方正小标宋简体"/>
          <w:sz w:val="44"/>
          <w:szCs w:val="44"/>
        </w:rPr>
      </w:pPr>
    </w:p>
    <w:p>
      <w:pPr>
        <w:spacing w:line="580" w:lineRule="exact"/>
        <w:ind w:firstLine="640" w:firstLineChars="200"/>
        <w:rPr>
          <w:rFonts w:hint="eastAsia" w:eastAsia="方正黑体简体"/>
          <w:sz w:val="32"/>
          <w:szCs w:val="32"/>
          <w:lang w:val="en-US" w:eastAsia="zh-CN"/>
        </w:rPr>
      </w:pPr>
      <w:r>
        <w:rPr>
          <w:rFonts w:hint="eastAsia" w:eastAsia="方正黑体简体"/>
          <w:sz w:val="32"/>
          <w:szCs w:val="32"/>
          <w:lang w:val="en-US" w:eastAsia="zh-CN"/>
        </w:rPr>
        <w:t>一、单位概况</w:t>
      </w:r>
    </w:p>
    <w:p>
      <w:pPr>
        <w:spacing w:line="580" w:lineRule="exact"/>
        <w:ind w:firstLine="643" w:firstLineChars="200"/>
        <w:rPr>
          <w:rFonts w:hint="default" w:eastAsia="方正楷体简体"/>
          <w:b/>
          <w:sz w:val="32"/>
          <w:szCs w:val="32"/>
          <w:lang w:val="en-US" w:eastAsia="zh-CN"/>
        </w:rPr>
      </w:pPr>
      <w:r>
        <w:rPr>
          <w:rFonts w:hint="eastAsia" w:eastAsia="方正楷体简体"/>
          <w:b/>
          <w:sz w:val="32"/>
          <w:szCs w:val="32"/>
          <w:lang w:eastAsia="zh-CN"/>
        </w:rPr>
        <w:t>（</w:t>
      </w:r>
      <w:r>
        <w:rPr>
          <w:rFonts w:hint="eastAsia" w:eastAsia="方正楷体简体"/>
          <w:b/>
          <w:sz w:val="32"/>
          <w:szCs w:val="32"/>
          <w:lang w:val="en-US" w:eastAsia="zh-CN"/>
        </w:rPr>
        <w:t>一</w:t>
      </w:r>
      <w:r>
        <w:rPr>
          <w:rFonts w:hint="eastAsia" w:eastAsia="方正楷体简体"/>
          <w:b/>
          <w:sz w:val="32"/>
          <w:szCs w:val="32"/>
          <w:lang w:eastAsia="zh-CN"/>
        </w:rPr>
        <w:t>）</w:t>
      </w:r>
      <w:r>
        <w:rPr>
          <w:rFonts w:hint="eastAsia" w:eastAsia="方正楷体简体"/>
          <w:b/>
          <w:sz w:val="32"/>
          <w:szCs w:val="32"/>
          <w:lang w:val="en-US" w:eastAsia="zh-CN"/>
        </w:rPr>
        <w:t>机构设置及人员情况</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乐至县回澜镇龙溪卫生院属于</w:t>
      </w:r>
      <w:r>
        <w:rPr>
          <w:rFonts w:hint="eastAsia" w:ascii="仿宋" w:hAnsi="仿宋" w:eastAsia="仿宋" w:cs="仿宋"/>
          <w:sz w:val="32"/>
          <w:szCs w:val="32"/>
          <w:lang w:val="en-US" w:eastAsia="zh-CN"/>
        </w:rPr>
        <w:t>差额</w:t>
      </w:r>
      <w:r>
        <w:rPr>
          <w:rFonts w:hint="eastAsia" w:ascii="仿宋" w:hAnsi="仿宋" w:eastAsia="仿宋" w:cs="仿宋"/>
          <w:sz w:val="32"/>
          <w:szCs w:val="32"/>
        </w:rPr>
        <w:t>事业单位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无下属机构</w:t>
      </w:r>
      <w:r>
        <w:rPr>
          <w:rFonts w:hint="eastAsia" w:ascii="仿宋" w:hAnsi="仿宋" w:eastAsia="仿宋" w:cs="仿宋"/>
          <w:sz w:val="32"/>
          <w:szCs w:val="32"/>
        </w:rPr>
        <w:t>。</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乐至县回澜镇龙溪卫生院</w:t>
      </w:r>
      <w:r>
        <w:rPr>
          <w:rFonts w:hint="eastAsia" w:ascii="仿宋" w:hAnsi="仿宋" w:eastAsia="仿宋" w:cs="仿宋"/>
          <w:sz w:val="32"/>
          <w:szCs w:val="32"/>
        </w:rPr>
        <w:t>总编制</w:t>
      </w:r>
      <w:r>
        <w:rPr>
          <w:rFonts w:hint="eastAsia" w:ascii="仿宋" w:hAnsi="仿宋" w:eastAsia="仿宋" w:cs="仿宋"/>
          <w:sz w:val="32"/>
          <w:szCs w:val="32"/>
          <w:lang w:val="en-US" w:eastAsia="zh-CN"/>
        </w:rPr>
        <w:t>20</w:t>
      </w:r>
      <w:r>
        <w:rPr>
          <w:rFonts w:hint="eastAsia" w:ascii="仿宋" w:hAnsi="仿宋" w:eastAsia="仿宋" w:cs="仿宋"/>
          <w:sz w:val="32"/>
          <w:szCs w:val="32"/>
        </w:rPr>
        <w:t>名，其中：事业</w:t>
      </w:r>
      <w:r>
        <w:rPr>
          <w:rFonts w:hint="eastAsia" w:ascii="仿宋" w:hAnsi="仿宋" w:eastAsia="仿宋" w:cs="仿宋"/>
          <w:sz w:val="32"/>
          <w:szCs w:val="32"/>
          <w:lang w:eastAsia="zh-CN"/>
        </w:rPr>
        <w:t>专业技术人员</w:t>
      </w:r>
      <w:r>
        <w:rPr>
          <w:rFonts w:hint="eastAsia" w:ascii="仿宋" w:hAnsi="仿宋" w:eastAsia="仿宋" w:cs="仿宋"/>
          <w:sz w:val="32"/>
          <w:szCs w:val="32"/>
        </w:rPr>
        <w:t>编制</w:t>
      </w:r>
      <w:r>
        <w:rPr>
          <w:rFonts w:hint="eastAsia" w:ascii="仿宋" w:hAnsi="仿宋" w:eastAsia="仿宋" w:cs="仿宋"/>
          <w:sz w:val="32"/>
          <w:szCs w:val="32"/>
          <w:lang w:val="en-US" w:eastAsia="zh-CN"/>
        </w:rPr>
        <w:t>17</w:t>
      </w:r>
      <w:r>
        <w:rPr>
          <w:rFonts w:hint="eastAsia" w:ascii="仿宋" w:hAnsi="仿宋" w:eastAsia="仿宋" w:cs="仿宋"/>
          <w:sz w:val="32"/>
          <w:szCs w:val="32"/>
        </w:rPr>
        <w:t>名，</w:t>
      </w:r>
      <w:r>
        <w:rPr>
          <w:rFonts w:hint="eastAsia" w:ascii="仿宋" w:hAnsi="仿宋" w:eastAsia="仿宋" w:cs="仿宋"/>
          <w:sz w:val="32"/>
          <w:szCs w:val="32"/>
          <w:lang w:eastAsia="zh-CN"/>
        </w:rPr>
        <w:t>事业管理编制</w:t>
      </w:r>
      <w:r>
        <w:rPr>
          <w:rFonts w:hint="eastAsia" w:ascii="仿宋" w:hAnsi="仿宋" w:eastAsia="仿宋" w:cs="仿宋"/>
          <w:sz w:val="32"/>
          <w:szCs w:val="32"/>
          <w:lang w:val="en-US" w:eastAsia="zh-CN"/>
        </w:rPr>
        <w:t>2名，工勤编制1名</w:t>
      </w:r>
      <w:r>
        <w:rPr>
          <w:rFonts w:hint="eastAsia" w:ascii="仿宋" w:hAnsi="仿宋" w:eastAsia="仿宋" w:cs="仿宋"/>
          <w:sz w:val="32"/>
          <w:szCs w:val="32"/>
        </w:rPr>
        <w:t>。实有在职人员总数</w:t>
      </w:r>
      <w:r>
        <w:rPr>
          <w:rFonts w:hint="eastAsia" w:ascii="仿宋" w:hAnsi="仿宋" w:eastAsia="仿宋" w:cs="仿宋"/>
          <w:sz w:val="32"/>
          <w:szCs w:val="32"/>
          <w:lang w:val="en-US" w:eastAsia="zh-CN"/>
        </w:rPr>
        <w:t>15</w:t>
      </w:r>
      <w:r>
        <w:rPr>
          <w:rFonts w:hint="eastAsia" w:ascii="仿宋" w:hAnsi="仿宋" w:eastAsia="仿宋" w:cs="仿宋"/>
          <w:sz w:val="32"/>
          <w:szCs w:val="32"/>
        </w:rPr>
        <w:t>人，其中：事业</w:t>
      </w:r>
      <w:r>
        <w:rPr>
          <w:rFonts w:hint="eastAsia" w:ascii="仿宋" w:hAnsi="仿宋" w:eastAsia="仿宋" w:cs="仿宋"/>
          <w:sz w:val="32"/>
          <w:szCs w:val="32"/>
          <w:lang w:eastAsia="zh-CN"/>
        </w:rPr>
        <w:t>专业技术</w:t>
      </w:r>
      <w:r>
        <w:rPr>
          <w:rFonts w:hint="eastAsia" w:ascii="仿宋" w:hAnsi="仿宋" w:eastAsia="仿宋" w:cs="仿宋"/>
          <w:sz w:val="32"/>
          <w:szCs w:val="32"/>
        </w:rPr>
        <w:t>人员</w:t>
      </w:r>
      <w:r>
        <w:rPr>
          <w:rFonts w:hint="eastAsia" w:ascii="仿宋" w:hAnsi="仿宋" w:eastAsia="仿宋" w:cs="仿宋"/>
          <w:sz w:val="32"/>
          <w:szCs w:val="32"/>
          <w:lang w:val="en-US" w:eastAsia="zh-CN"/>
        </w:rPr>
        <w:t>15</w:t>
      </w:r>
      <w:r>
        <w:rPr>
          <w:rFonts w:hint="eastAsia" w:ascii="仿宋" w:hAnsi="仿宋" w:eastAsia="仿宋" w:cs="仿宋"/>
          <w:sz w:val="32"/>
          <w:szCs w:val="32"/>
        </w:rPr>
        <w:t>名，工勤人员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r>
        <w:rPr>
          <w:rFonts w:hint="eastAsia" w:ascii="仿宋" w:hAnsi="仿宋" w:eastAsia="仿宋" w:cs="仿宋"/>
          <w:sz w:val="32"/>
          <w:szCs w:val="32"/>
          <w:lang w:eastAsia="zh-CN"/>
        </w:rPr>
        <w:t>，管理人员</w:t>
      </w:r>
      <w:r>
        <w:rPr>
          <w:rFonts w:hint="eastAsia" w:ascii="仿宋" w:hAnsi="仿宋" w:eastAsia="仿宋" w:cs="仿宋"/>
          <w:sz w:val="32"/>
          <w:szCs w:val="32"/>
          <w:lang w:val="en-US" w:eastAsia="zh-CN"/>
        </w:rPr>
        <w:t>0人</w:t>
      </w:r>
      <w:r>
        <w:rPr>
          <w:rFonts w:hint="eastAsia" w:ascii="仿宋" w:hAnsi="仿宋" w:eastAsia="仿宋" w:cs="仿宋"/>
          <w:sz w:val="32"/>
          <w:szCs w:val="32"/>
        </w:rPr>
        <w:t>;退休人员</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eastAsia="zh-CN"/>
        </w:rPr>
        <w:t>，临聘人员</w:t>
      </w:r>
      <w:r>
        <w:rPr>
          <w:rFonts w:hint="eastAsia" w:ascii="仿宋" w:hAnsi="仿宋" w:eastAsia="仿宋" w:cs="仿宋"/>
          <w:sz w:val="32"/>
          <w:szCs w:val="32"/>
          <w:lang w:val="en-US" w:eastAsia="zh-CN"/>
        </w:rPr>
        <w:t>8人 ，遗属0人。</w:t>
      </w:r>
    </w:p>
    <w:p>
      <w:pPr>
        <w:spacing w:line="58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lang w:val="en-US" w:eastAsia="zh-CN"/>
        </w:rPr>
        <w:t>二</w:t>
      </w:r>
      <w:r>
        <w:rPr>
          <w:rFonts w:eastAsia="方正楷体简体"/>
          <w:b/>
          <w:sz w:val="32"/>
          <w:szCs w:val="32"/>
        </w:rPr>
        <w:t>）职能简介</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、负责本乡镇的卫生工作法律、法规、政策的贯彻,卫生事业发展规划和工作计划的制订,社会公共卫生工作的组织和实施;</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、负责本乡镇的基本医疗服务;</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、负责本乡镇突发公共卫生事件的报告,并依据上级部门要求组织实施处置;</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、负责本乡镇辖区内的卫生信息统计、分析、上报;</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、负责对本乡镇辖区内村级卫生组织和乡村医生的业务指导和培训:</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、负责承动政府卫生行政部</w:t>
      </w:r>
      <w:r>
        <w:rPr>
          <w:rFonts w:hint="eastAsia" w:ascii="仿宋" w:hAnsi="仿宋" w:eastAsia="仿宋" w:cs="仿宋"/>
          <w:sz w:val="32"/>
          <w:szCs w:val="32"/>
          <w:lang w:val="en-US" w:eastAsia="zh-CN"/>
        </w:rPr>
        <w:t>门</w:t>
      </w:r>
      <w:r>
        <w:rPr>
          <w:rFonts w:hint="eastAsia" w:ascii="仿宋" w:hAnsi="仿宋" w:eastAsia="仿宋" w:cs="仿宋"/>
          <w:sz w:val="32"/>
          <w:szCs w:val="32"/>
          <w:lang w:eastAsia="zh-CN"/>
        </w:rPr>
        <w:t>委托的相关业务或事项;负责上级卫生行政部门下达的其他工作。</w:t>
      </w:r>
    </w:p>
    <w:p>
      <w:pPr>
        <w:spacing w:line="580" w:lineRule="exact"/>
        <w:ind w:firstLine="640" w:firstLineChars="200"/>
        <w:rPr>
          <w:rFonts w:hint="eastAsia" w:eastAsia="方正黑体简体"/>
          <w:sz w:val="32"/>
          <w:szCs w:val="32"/>
          <w:lang w:val="en-US" w:eastAsia="zh-CN"/>
        </w:rPr>
      </w:pPr>
      <w:r>
        <w:rPr>
          <w:rFonts w:hint="eastAsia" w:eastAsia="方正黑体简体"/>
          <w:sz w:val="32"/>
          <w:szCs w:val="32"/>
          <w:lang w:val="en-US" w:eastAsia="zh-CN"/>
        </w:rPr>
        <w:t>二、2023年重点工作</w:t>
      </w:r>
    </w:p>
    <w:p>
      <w:pPr>
        <w:pStyle w:val="2"/>
        <w:adjustRightInd w:val="0"/>
        <w:snapToGrid w:val="0"/>
        <w:spacing w:before="72" w:line="590" w:lineRule="atLeas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highlight w:val="none"/>
        </w:rPr>
        <w:t>（一）</w:t>
      </w:r>
      <w:r>
        <w:rPr>
          <w:rFonts w:hint="eastAsia" w:ascii="仿宋" w:hAnsi="仿宋" w:eastAsia="仿宋" w:cs="仿宋"/>
          <w:sz w:val="32"/>
          <w:szCs w:val="32"/>
          <w:highlight w:val="none"/>
          <w:lang w:val="en-US" w:eastAsia="zh-CN"/>
        </w:rPr>
        <w:t>抓好学科建设，促进技术创新，加快科技兴院的步伐。</w:t>
      </w:r>
    </w:p>
    <w:p>
      <w:pPr>
        <w:pStyle w:val="2"/>
        <w:numPr>
          <w:ilvl w:val="0"/>
          <w:numId w:val="1"/>
        </w:numPr>
        <w:adjustRightInd w:val="0"/>
        <w:snapToGrid w:val="0"/>
        <w:spacing w:before="72" w:line="590" w:lineRule="atLeast"/>
        <w:ind w:firstLine="640" w:firstLineChars="200"/>
        <w:rPr>
          <w:rFonts w:hint="eastAsia" w:ascii="仿宋" w:hAnsi="仿宋" w:eastAsia="仿宋" w:cs="仿宋"/>
          <w:sz w:val="32"/>
          <w:highlight w:val="none"/>
        </w:rPr>
      </w:pPr>
      <w:r>
        <w:rPr>
          <w:rFonts w:hint="eastAsia" w:ascii="仿宋" w:hAnsi="仿宋" w:eastAsia="仿宋" w:cs="仿宋"/>
          <w:sz w:val="32"/>
          <w:highlight w:val="none"/>
        </w:rPr>
        <w:t>切实加强业务管理，提高医疗质量</w:t>
      </w:r>
      <w:r>
        <w:rPr>
          <w:rFonts w:hint="eastAsia" w:ascii="仿宋" w:hAnsi="仿宋" w:eastAsia="仿宋" w:cs="仿宋"/>
          <w:sz w:val="32"/>
          <w:highlight w:val="none"/>
          <w:lang w:eastAsia="zh-CN"/>
        </w:rPr>
        <w:t>，</w:t>
      </w:r>
      <w:r>
        <w:rPr>
          <w:rFonts w:hint="eastAsia" w:ascii="仿宋" w:hAnsi="仿宋" w:eastAsia="仿宋" w:cs="仿宋"/>
          <w:sz w:val="32"/>
          <w:highlight w:val="none"/>
        </w:rPr>
        <w:t>加大医疗投入，增加设备，为患者提供良好的医疗服务。</w:t>
      </w:r>
    </w:p>
    <w:p>
      <w:pPr>
        <w:pStyle w:val="2"/>
        <w:numPr>
          <w:ilvl w:val="0"/>
          <w:numId w:val="1"/>
        </w:numPr>
        <w:adjustRightInd w:val="0"/>
        <w:snapToGrid w:val="0"/>
        <w:spacing w:before="72" w:line="590" w:lineRule="atLeast"/>
        <w:ind w:firstLine="640" w:firstLineChars="200"/>
        <w:rPr>
          <w:rFonts w:hint="eastAsia" w:ascii="仿宋" w:hAnsi="仿宋" w:eastAsia="仿宋" w:cs="仿宋"/>
          <w:sz w:val="32"/>
          <w:highlight w:val="none"/>
        </w:rPr>
      </w:pPr>
      <w:r>
        <w:rPr>
          <w:rFonts w:hint="eastAsia" w:ascii="仿宋" w:hAnsi="仿宋" w:eastAsia="仿宋" w:cs="仿宋"/>
          <w:sz w:val="32"/>
          <w:highlight w:val="none"/>
        </w:rPr>
        <w:t>加强基本公共卫生工作</w:t>
      </w:r>
      <w:r>
        <w:rPr>
          <w:rFonts w:hint="eastAsia" w:ascii="仿宋" w:hAnsi="仿宋" w:eastAsia="仿宋" w:cs="仿宋"/>
          <w:sz w:val="32"/>
          <w:highlight w:val="none"/>
          <w:lang w:eastAsia="zh-CN"/>
        </w:rPr>
        <w:t>、</w:t>
      </w:r>
      <w:r>
        <w:rPr>
          <w:rFonts w:hint="eastAsia" w:ascii="仿宋" w:hAnsi="仿宋" w:eastAsia="仿宋" w:cs="仿宋"/>
          <w:sz w:val="32"/>
          <w:highlight w:val="none"/>
        </w:rPr>
        <w:t>加强乡村服务一体化管理</w:t>
      </w:r>
      <w:r>
        <w:rPr>
          <w:rFonts w:hint="eastAsia" w:ascii="仿宋" w:hAnsi="仿宋" w:eastAsia="仿宋" w:cs="仿宋"/>
          <w:sz w:val="32"/>
          <w:highlight w:val="none"/>
          <w:lang w:eastAsia="zh-CN"/>
        </w:rPr>
        <w:t>。</w:t>
      </w:r>
      <w:r>
        <w:rPr>
          <w:rFonts w:hint="eastAsia" w:ascii="仿宋" w:hAnsi="仿宋" w:eastAsia="仿宋" w:cs="仿宋"/>
          <w:sz w:val="32"/>
          <w:highlight w:val="none"/>
        </w:rPr>
        <w:t xml:space="preserve"> </w:t>
      </w:r>
    </w:p>
    <w:p>
      <w:pPr>
        <w:numPr>
          <w:ilvl w:val="0"/>
          <w:numId w:val="1"/>
        </w:numPr>
        <w:ind w:left="0" w:leftChars="0" w:firstLine="640" w:firstLineChars="200"/>
        <w:rPr>
          <w:rFonts w:hint="eastAsia" w:ascii="仿宋" w:hAnsi="仿宋" w:eastAsia="仿宋" w:cs="仿宋"/>
          <w:sz w:val="32"/>
        </w:rPr>
      </w:pPr>
      <w:r>
        <w:rPr>
          <w:rFonts w:hint="eastAsia" w:ascii="仿宋" w:hAnsi="仿宋" w:eastAsia="仿宋" w:cs="仿宋"/>
          <w:sz w:val="32"/>
          <w:highlight w:val="none"/>
        </w:rPr>
        <w:t>加大人才培养力度</w:t>
      </w:r>
      <w:r>
        <w:rPr>
          <w:rFonts w:hint="eastAsia" w:ascii="仿宋" w:hAnsi="仿宋" w:eastAsia="仿宋" w:cs="仿宋"/>
          <w:sz w:val="32"/>
        </w:rPr>
        <w:t>。</w:t>
      </w:r>
    </w:p>
    <w:p>
      <w:pPr>
        <w:spacing w:line="580" w:lineRule="exact"/>
        <w:ind w:firstLine="640" w:firstLineChars="200"/>
        <w:rPr>
          <w:rFonts w:hint="default" w:eastAsia="方正黑体简体"/>
          <w:sz w:val="32"/>
          <w:szCs w:val="32"/>
          <w:lang w:val="en-US" w:eastAsia="zh-CN"/>
        </w:rPr>
      </w:pPr>
      <w:r>
        <w:rPr>
          <w:rFonts w:hint="eastAsia" w:eastAsia="方正黑体简体"/>
          <w:sz w:val="32"/>
          <w:szCs w:val="32"/>
          <w:lang w:val="en-US" w:eastAsia="zh-CN"/>
        </w:rPr>
        <w:t>三、收支预算情况说明</w:t>
      </w:r>
    </w:p>
    <w:p>
      <w:pPr>
        <w:spacing w:line="580" w:lineRule="exact"/>
        <w:ind w:firstLine="643" w:firstLineChars="200"/>
        <w:rPr>
          <w:rFonts w:hint="eastAsia" w:eastAsia="方正楷体简体"/>
          <w:b/>
          <w:sz w:val="32"/>
          <w:szCs w:val="32"/>
        </w:rPr>
      </w:pPr>
      <w:r>
        <w:rPr>
          <w:rFonts w:hint="eastAsia" w:eastAsia="方正楷体简体"/>
          <w:b/>
          <w:sz w:val="32"/>
          <w:szCs w:val="32"/>
        </w:rPr>
        <w:t>（一）收入预算情况</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乐至县回澜镇龙溪卫生院</w:t>
      </w:r>
      <w:r>
        <w:rPr>
          <w:rFonts w:hint="eastAsia" w:ascii="仿宋" w:hAnsi="仿宋" w:eastAsia="仿宋" w:cs="仿宋"/>
          <w:sz w:val="32"/>
          <w:szCs w:val="32"/>
          <w:lang w:val="en-US" w:eastAsia="zh-CN"/>
        </w:rPr>
        <w:t>2023年</w:t>
      </w:r>
      <w:r>
        <w:rPr>
          <w:rFonts w:hint="eastAsia" w:ascii="仿宋" w:hAnsi="仿宋" w:eastAsia="仿宋" w:cs="仿宋"/>
          <w:sz w:val="32"/>
          <w:szCs w:val="32"/>
        </w:rPr>
        <w:t>部门预算收入总数</w:t>
      </w:r>
      <w:r>
        <w:rPr>
          <w:rFonts w:hint="eastAsia" w:ascii="仿宋" w:hAnsi="仿宋" w:eastAsia="仿宋" w:cs="仿宋"/>
          <w:sz w:val="32"/>
          <w:szCs w:val="32"/>
          <w:lang w:val="en-US" w:eastAsia="zh-CN"/>
        </w:rPr>
        <w:t>570.40</w:t>
      </w:r>
      <w:r>
        <w:rPr>
          <w:rFonts w:hint="eastAsia" w:ascii="仿宋" w:hAnsi="仿宋" w:eastAsia="仿宋" w:cs="仿宋"/>
          <w:sz w:val="32"/>
          <w:szCs w:val="32"/>
        </w:rPr>
        <w:t>万元，较</w:t>
      </w:r>
      <w:r>
        <w:rPr>
          <w:rFonts w:hint="eastAsia" w:ascii="仿宋" w:hAnsi="仿宋" w:eastAsia="仿宋" w:cs="仿宋"/>
          <w:sz w:val="32"/>
          <w:szCs w:val="32"/>
          <w:lang w:val="en-US" w:eastAsia="zh-CN"/>
        </w:rPr>
        <w:t xml:space="preserve"> 2022</w:t>
      </w:r>
      <w:r>
        <w:rPr>
          <w:rFonts w:hint="eastAsia" w:ascii="仿宋" w:hAnsi="仿宋" w:eastAsia="仿宋" w:cs="仿宋"/>
          <w:sz w:val="32"/>
          <w:szCs w:val="32"/>
        </w:rPr>
        <w:t>年部门预算收入总数</w:t>
      </w:r>
      <w:r>
        <w:rPr>
          <w:rFonts w:hint="eastAsia" w:ascii="仿宋" w:hAnsi="仿宋" w:eastAsia="仿宋" w:cs="仿宋"/>
          <w:sz w:val="32"/>
          <w:szCs w:val="32"/>
          <w:lang w:val="en-US" w:eastAsia="zh-CN"/>
        </w:rPr>
        <w:t>645.22</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74.8万元，减少11.6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color w:val="auto"/>
          <w:sz w:val="32"/>
          <w:szCs w:val="32"/>
        </w:rPr>
        <w:t>：一般公共预算拨款收入</w:t>
      </w:r>
      <w:r>
        <w:rPr>
          <w:rFonts w:hint="eastAsia" w:ascii="仿宋" w:hAnsi="仿宋" w:eastAsia="仿宋" w:cs="仿宋"/>
          <w:sz w:val="32"/>
          <w:szCs w:val="32"/>
          <w:lang w:val="en-US" w:eastAsia="zh-CN"/>
        </w:rPr>
        <w:t>95.17</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16.68</w:t>
      </w:r>
      <w:r>
        <w:rPr>
          <w:rFonts w:hint="eastAsia" w:ascii="仿宋" w:hAnsi="仿宋" w:eastAsia="仿宋" w:cs="仿宋"/>
          <w:color w:val="auto"/>
          <w:sz w:val="32"/>
          <w:szCs w:val="32"/>
        </w:rPr>
        <w:t>%，事业收入</w:t>
      </w:r>
      <w:r>
        <w:rPr>
          <w:rFonts w:hint="eastAsia" w:ascii="仿宋" w:hAnsi="仿宋" w:eastAsia="仿宋" w:cs="仿宋"/>
          <w:color w:val="auto"/>
          <w:sz w:val="32"/>
          <w:szCs w:val="32"/>
          <w:lang w:val="en-US" w:eastAsia="zh-CN"/>
        </w:rPr>
        <w:t>475.23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83.32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spacing w:line="580" w:lineRule="exact"/>
        <w:ind w:firstLine="643" w:firstLineChars="200"/>
        <w:rPr>
          <w:rFonts w:hint="eastAsia" w:eastAsia="方正楷体简体"/>
          <w:b/>
          <w:sz w:val="32"/>
          <w:szCs w:val="32"/>
        </w:rPr>
      </w:pPr>
      <w:r>
        <w:rPr>
          <w:rFonts w:hint="eastAsia" w:eastAsia="方正楷体简体"/>
          <w:b/>
          <w:sz w:val="32"/>
          <w:szCs w:val="32"/>
        </w:rPr>
        <w:t>（二）支出预算情况</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年部门预算支出总数</w:t>
      </w:r>
      <w:r>
        <w:rPr>
          <w:rFonts w:hint="eastAsia" w:ascii="仿宋" w:hAnsi="仿宋" w:eastAsia="仿宋" w:cs="仿宋"/>
          <w:sz w:val="32"/>
          <w:szCs w:val="32"/>
          <w:lang w:val="en-US" w:eastAsia="zh-CN"/>
        </w:rPr>
        <w:t>570.40</w:t>
      </w:r>
      <w:r>
        <w:rPr>
          <w:rFonts w:hint="eastAsia" w:ascii="仿宋" w:hAnsi="仿宋" w:eastAsia="仿宋" w:cs="仿宋"/>
          <w:sz w:val="32"/>
          <w:szCs w:val="32"/>
          <w:lang w:eastAsia="zh-CN"/>
        </w:rPr>
        <w:t>万元，较2022年部门预算支出总数</w:t>
      </w:r>
      <w:r>
        <w:rPr>
          <w:rFonts w:hint="eastAsia" w:ascii="仿宋" w:hAnsi="仿宋" w:eastAsia="仿宋" w:cs="仿宋"/>
          <w:sz w:val="32"/>
          <w:szCs w:val="32"/>
          <w:lang w:val="en-US" w:eastAsia="zh-CN"/>
        </w:rPr>
        <w:t>645.22</w:t>
      </w:r>
      <w:r>
        <w:rPr>
          <w:rFonts w:hint="eastAsia" w:ascii="仿宋" w:hAnsi="仿宋" w:eastAsia="仿宋" w:cs="仿宋"/>
          <w:sz w:val="32"/>
          <w:szCs w:val="32"/>
          <w:lang w:eastAsia="zh-CN"/>
        </w:rPr>
        <w:t>万元，减少</w:t>
      </w:r>
      <w:r>
        <w:rPr>
          <w:rFonts w:hint="eastAsia" w:ascii="仿宋" w:hAnsi="仿宋" w:eastAsia="仿宋" w:cs="仿宋"/>
          <w:sz w:val="32"/>
          <w:szCs w:val="32"/>
          <w:lang w:val="en-US" w:eastAsia="zh-CN"/>
        </w:rPr>
        <w:t>74.8万元，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11.6</w:t>
      </w:r>
      <w:bookmarkStart w:id="0" w:name="_GoBack"/>
      <w:bookmarkEnd w:id="0"/>
      <w:r>
        <w:rPr>
          <w:rFonts w:hint="eastAsia" w:ascii="仿宋" w:hAnsi="仿宋" w:eastAsia="仿宋" w:cs="仿宋"/>
          <w:sz w:val="32"/>
          <w:szCs w:val="32"/>
          <w:lang w:eastAsia="zh-CN"/>
        </w:rPr>
        <w:t>%。其中：基本支出</w:t>
      </w:r>
      <w:r>
        <w:rPr>
          <w:rFonts w:hint="eastAsia" w:ascii="仿宋" w:hAnsi="仿宋" w:eastAsia="仿宋" w:cs="仿宋"/>
          <w:sz w:val="32"/>
          <w:szCs w:val="32"/>
          <w:lang w:val="en-US" w:eastAsia="zh-CN"/>
        </w:rPr>
        <w:t>530.34</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92.98</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40.07</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7.02</w:t>
      </w:r>
      <w:r>
        <w:rPr>
          <w:rFonts w:hint="eastAsia" w:ascii="仿宋" w:hAnsi="仿宋" w:eastAsia="仿宋" w:cs="仿宋"/>
          <w:sz w:val="32"/>
          <w:szCs w:val="32"/>
          <w:lang w:eastAsia="zh-CN"/>
        </w:rPr>
        <w:t>%。</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（三）</w:t>
      </w:r>
      <w:r>
        <w:rPr>
          <w:rFonts w:hint="eastAsia" w:eastAsia="方正楷体简体"/>
          <w:b/>
          <w:sz w:val="32"/>
          <w:szCs w:val="32"/>
        </w:rPr>
        <w:t>专项资金说明</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2023年单位预算专项支出40.07万元（含上级转移支付资金31.06万元）。其中：</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1.基本公共卫生服务35.61万元，主要用于主要用于本辖区内基本公共卫生服务。</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2.基层基本药物补助4.46万元，主要用于对本院取消药品加成和村卫生室取消药品加成进行专项补助，保证本院医疗卫生服务正常运行。</w:t>
      </w:r>
    </w:p>
    <w:p>
      <w:pPr>
        <w:spacing w:line="580" w:lineRule="exact"/>
        <w:ind w:firstLine="643" w:firstLineChars="200"/>
        <w:rPr>
          <w:rFonts w:hint="eastAsia" w:eastAsia="方正楷体简体"/>
          <w:b/>
          <w:sz w:val="32"/>
          <w:szCs w:val="32"/>
          <w:lang w:val="en-US" w:eastAsia="zh-CN"/>
        </w:rPr>
      </w:pPr>
      <w:r>
        <w:rPr>
          <w:rFonts w:hint="eastAsia" w:eastAsia="方正楷体简体"/>
          <w:b/>
          <w:sz w:val="32"/>
          <w:szCs w:val="32"/>
          <w:lang w:val="en-US" w:eastAsia="zh-CN"/>
        </w:rPr>
        <w:t>（四）“三公”经费财政拨款预算安排情况说明</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乐至县回澜镇龙溪卫生院2023年“三公”经费财政拨款预算数0万元，其中：因公出国（境）经费0万元，公务接待费0万元，公务用车购置及运行维护费0万元。</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1.</w:t>
      </w:r>
      <w:r>
        <w:rPr>
          <w:rFonts w:eastAsia="方正楷体简体"/>
          <w:b/>
          <w:sz w:val="32"/>
          <w:szCs w:val="32"/>
        </w:rPr>
        <w:t>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年持平。</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本年度拟安排出国（境）0人次。</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2.</w:t>
      </w:r>
      <w:r>
        <w:rPr>
          <w:rFonts w:eastAsia="方正楷体简体"/>
          <w:b/>
          <w:sz w:val="32"/>
          <w:szCs w:val="32"/>
        </w:rPr>
        <w:t>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2023年公务接待费无计划。 </w:t>
      </w:r>
    </w:p>
    <w:p>
      <w:pPr>
        <w:spacing w:line="580" w:lineRule="exact"/>
        <w:ind w:firstLine="643" w:firstLineChars="200"/>
        <w:rPr>
          <w:rFonts w:eastAsia="方正楷体简体"/>
          <w:b/>
          <w:sz w:val="32"/>
          <w:szCs w:val="32"/>
        </w:rPr>
      </w:pPr>
      <w:r>
        <w:rPr>
          <w:rFonts w:hint="eastAsia" w:eastAsia="方正楷体简体"/>
          <w:b/>
          <w:sz w:val="32"/>
          <w:szCs w:val="32"/>
          <w:lang w:val="en-US" w:eastAsia="zh-CN"/>
        </w:rPr>
        <w:t>3.</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eastAsia="方正楷体简体"/>
          <w:b/>
          <w:sz w:val="32"/>
          <w:szCs w:val="32"/>
        </w:rPr>
        <w:t>持平</w:t>
      </w:r>
      <w:r>
        <w:rPr>
          <w:rFonts w:hint="eastAsia" w:eastAsia="方正楷体简体"/>
          <w:b/>
          <w:sz w:val="32"/>
          <w:szCs w:val="32"/>
        </w:rPr>
        <w:t>。</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单位现有公务用车0辆，其中：轿车0辆，越野车0辆，多功能乘用车0辆。</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公务用车购置费0万元，较2022年预算持平。</w:t>
      </w:r>
    </w:p>
    <w:p>
      <w:pPr>
        <w:spacing w:line="6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公务用车运行维护费0万元，较2022年预算持平。用于0辆公务用车燃油、维修、保险等方面支出。</w:t>
      </w:r>
    </w:p>
    <w:p>
      <w:pPr>
        <w:spacing w:line="620" w:lineRule="exact"/>
        <w:ind w:firstLine="640" w:firstLineChars="200"/>
        <w:rPr>
          <w:rFonts w:hint="eastAsia" w:ascii="仿宋" w:hAnsi="仿宋" w:eastAsia="仿宋" w:cs="仿宋"/>
          <w:sz w:val="32"/>
          <w:szCs w:val="32"/>
          <w:lang w:val="en-US" w:eastAsia="zh-CN"/>
        </w:rPr>
      </w:pPr>
    </w:p>
    <w:sectPr>
      <w:headerReference r:id="rId3" w:type="default"/>
      <w:pgSz w:w="11906" w:h="16838"/>
      <w:pgMar w:top="1701" w:right="1247" w:bottom="141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9615F40-DB25-47F7-987D-8F0FBA0DA3A5}"/>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7BF5EDFE-6E57-4EDB-8461-84E92928360A}"/>
  </w:font>
  <w:font w:name="方正黑体简体">
    <w:altName w:val="微软雅黑"/>
    <w:panose1 w:val="02010601030101010101"/>
    <w:charset w:val="86"/>
    <w:family w:val="auto"/>
    <w:pitch w:val="default"/>
    <w:sig w:usb0="00000000" w:usb1="00000000" w:usb2="00000000" w:usb3="00000000" w:csb0="00040000" w:csb1="00000000"/>
    <w:embedRegular r:id="rId3" w:fontKey="{2B5606AF-2010-46EB-9AE5-6FBFE2C9F472}"/>
  </w:font>
  <w:font w:name="微软雅黑">
    <w:panose1 w:val="020B0503020204020204"/>
    <w:charset w:val="86"/>
    <w:family w:val="auto"/>
    <w:pitch w:val="default"/>
    <w:sig w:usb0="80000287" w:usb1="280F3C52" w:usb2="00000016" w:usb3="00000000" w:csb0="0004001F" w:csb1="00000000"/>
  </w:font>
  <w:font w:name="方正楷体简体">
    <w:altName w:val="宋体"/>
    <w:panose1 w:val="02010601030101010101"/>
    <w:charset w:val="86"/>
    <w:family w:val="auto"/>
    <w:pitch w:val="default"/>
    <w:sig w:usb0="00000000" w:usb1="00000000" w:usb2="00000000" w:usb3="00000000" w:csb0="00040000" w:csb1="00000000"/>
    <w:embedRegular r:id="rId4" w:fontKey="{240E7999-898A-409E-9DEC-D51F1CFE293E}"/>
  </w:font>
  <w:font w:name="仿宋">
    <w:panose1 w:val="02010609060101010101"/>
    <w:charset w:val="86"/>
    <w:family w:val="auto"/>
    <w:pitch w:val="default"/>
    <w:sig w:usb0="800002BF" w:usb1="38CF7CFA" w:usb2="00000016" w:usb3="00000000" w:csb0="00040001" w:csb1="00000000"/>
    <w:embedRegular r:id="rId5" w:fontKey="{AD26DC90-49CE-43BC-BFC0-AA3AE4C86648}"/>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7A667"/>
    <w:multiLevelType w:val="singleLevel"/>
    <w:tmpl w:val="5857A66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YmQ4MjM4ZGVjMzI5YzQxMjQxMGNiMDIzYjQ1Y2UifQ=="/>
  </w:docVars>
  <w:rsids>
    <w:rsidRoot w:val="5D9925AC"/>
    <w:rsid w:val="02987AB3"/>
    <w:rsid w:val="03FE6222"/>
    <w:rsid w:val="0BEA6F3E"/>
    <w:rsid w:val="12C56763"/>
    <w:rsid w:val="4763765E"/>
    <w:rsid w:val="4CFB433C"/>
    <w:rsid w:val="5D9925AC"/>
    <w:rsid w:val="612B5886"/>
    <w:rsid w:val="62BB6B29"/>
    <w:rsid w:val="67820370"/>
    <w:rsid w:val="6853472A"/>
    <w:rsid w:val="6A4E427B"/>
    <w:rsid w:val="78500E18"/>
    <w:rsid w:val="7C7D7B48"/>
    <w:rsid w:val="7D48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sz w:val="3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1116</Words>
  <Characters>1259</Characters>
  <Lines>0</Lines>
  <Paragraphs>0</Paragraphs>
  <TotalTime>2</TotalTime>
  <ScaleCrop>false</ScaleCrop>
  <LinksUpToDate>false</LinksUpToDate>
  <CharactersWithSpaces>1263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2022-12-07T01:28:00Z</dcterms:created>
  <dc:creator>Brave</dc:creator>
  <cp:lastModifiedBy>周周</cp:lastModifiedBy>
  <cp:lastPrinted>2022-12-07T02:45:00Z</cp:lastPrinted>
  <dcterms:modified xsi:type="dcterms:W3CDTF">2022-12-09T07:14:24Z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4B0FE1363F9C4CF68D1EB94919978F47</vt:lpwstr>
  </property>
</Properties>
</file>