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hint="eastAsia" w:eastAsia="方正小标宋简体"/>
          <w:color w:val="000000"/>
          <w:sz w:val="30"/>
          <w:szCs w:val="30"/>
        </w:rPr>
      </w:pPr>
      <w:bookmarkStart w:id="0" w:name="_Toc15306267"/>
    </w:p>
    <w:p>
      <w:pPr>
        <w:spacing w:line="600" w:lineRule="exact"/>
        <w:jc w:val="center"/>
        <w:outlineLvl w:val="0"/>
        <w:rPr>
          <w:rFonts w:eastAsia="方正小标宋简体"/>
          <w:color w:val="000000"/>
          <w:sz w:val="72"/>
          <w:szCs w:val="72"/>
        </w:rPr>
      </w:pPr>
    </w:p>
    <w:p>
      <w:pPr>
        <w:spacing w:line="600" w:lineRule="exact"/>
        <w:jc w:val="center"/>
        <w:outlineLvl w:val="0"/>
        <w:rPr>
          <w:rFonts w:eastAsia="方正小标宋简体"/>
          <w:color w:val="000000"/>
          <w:sz w:val="72"/>
          <w:szCs w:val="72"/>
        </w:rPr>
      </w:pPr>
    </w:p>
    <w:p>
      <w:pPr>
        <w:spacing w:line="600" w:lineRule="exact"/>
        <w:jc w:val="center"/>
        <w:outlineLvl w:val="0"/>
        <w:rPr>
          <w:rFonts w:eastAsia="方正小标宋简体"/>
          <w:color w:val="000000"/>
          <w:sz w:val="72"/>
          <w:szCs w:val="72"/>
        </w:rPr>
      </w:pPr>
    </w:p>
    <w:p>
      <w:pPr>
        <w:adjustRightInd w:val="0"/>
        <w:snapToGrid w:val="0"/>
        <w:spacing w:line="360" w:lineRule="auto"/>
        <w:jc w:val="center"/>
        <w:outlineLvl w:val="0"/>
        <w:rPr>
          <w:rFonts w:eastAsia="方正小标宋简体"/>
          <w:color w:val="000000"/>
          <w:sz w:val="72"/>
          <w:szCs w:val="72"/>
        </w:rPr>
      </w:pPr>
      <w:bookmarkStart w:id="1" w:name="_Toc15377425"/>
      <w:bookmarkStart w:id="2" w:name="_Toc15396475"/>
      <w:bookmarkStart w:id="3" w:name="_Toc15377193"/>
      <w:bookmarkStart w:id="4" w:name="_Toc15378441"/>
      <w:bookmarkStart w:id="5" w:name="_Toc15396597"/>
      <w:r>
        <w:rPr>
          <w:rFonts w:eastAsia="黑体"/>
          <w:color w:val="000000"/>
          <w:sz w:val="72"/>
          <w:szCs w:val="72"/>
        </w:rPr>
        <w:t>202</w:t>
      </w:r>
      <w:r>
        <w:rPr>
          <w:rFonts w:hint="eastAsia" w:eastAsia="黑体"/>
          <w:color w:val="000000"/>
          <w:sz w:val="72"/>
          <w:szCs w:val="72"/>
        </w:rPr>
        <w:t>1</w:t>
      </w:r>
      <w:r>
        <w:rPr>
          <w:rFonts w:eastAsia="方正小标宋简体"/>
          <w:color w:val="000000"/>
          <w:sz w:val="72"/>
          <w:szCs w:val="72"/>
        </w:rPr>
        <w:t>年度</w:t>
      </w:r>
      <w:bookmarkEnd w:id="1"/>
      <w:bookmarkEnd w:id="2"/>
      <w:bookmarkEnd w:id="3"/>
      <w:bookmarkEnd w:id="4"/>
      <w:bookmarkEnd w:id="5"/>
    </w:p>
    <w:bookmarkEnd w:id="0"/>
    <w:p>
      <w:pPr>
        <w:adjustRightInd w:val="0"/>
        <w:snapToGrid w:val="0"/>
        <w:spacing w:line="360" w:lineRule="auto"/>
        <w:jc w:val="center"/>
        <w:outlineLvl w:val="0"/>
        <w:rPr>
          <w:rFonts w:hint="eastAsia" w:ascii="方正小标宋简体" w:hAnsi="方正小标宋简体" w:eastAsia="方正小标宋简体" w:cs="方正小标宋简体"/>
          <w:sz w:val="72"/>
          <w:szCs w:val="72"/>
        </w:rPr>
      </w:pPr>
      <w:bookmarkStart w:id="6" w:name="_Toc15306268"/>
      <w:r>
        <w:rPr>
          <w:rFonts w:hint="eastAsia" w:ascii="方正小标宋简体" w:hAnsi="方正小标宋简体" w:eastAsia="方正小标宋简体" w:cs="方正小标宋简体"/>
          <w:sz w:val="72"/>
          <w:szCs w:val="72"/>
          <w:lang w:eastAsia="zh-CN"/>
        </w:rPr>
        <w:t>乐至县卫生健康局（</w:t>
      </w:r>
      <w:r>
        <w:rPr>
          <w:rFonts w:hint="eastAsia" w:ascii="方正小标宋简体" w:hAnsi="方正小标宋简体" w:eastAsia="方正小标宋简体" w:cs="方正小标宋简体"/>
          <w:sz w:val="72"/>
          <w:szCs w:val="72"/>
          <w:lang w:val="en-US" w:eastAsia="zh-CN"/>
        </w:rPr>
        <w:t>汇总</w:t>
      </w:r>
      <w:r>
        <w:rPr>
          <w:rFonts w:hint="eastAsia" w:ascii="方正小标宋简体" w:hAnsi="方正小标宋简体" w:eastAsia="方正小标宋简体" w:cs="方正小标宋简体"/>
          <w:sz w:val="72"/>
          <w:szCs w:val="72"/>
          <w:lang w:eastAsia="zh-CN"/>
        </w:rPr>
        <w:t>）</w:t>
      </w:r>
      <w:r>
        <w:rPr>
          <w:rFonts w:hint="eastAsia" w:ascii="方正小标宋简体" w:hAnsi="方正小标宋简体" w:eastAsia="方正小标宋简体" w:cs="方正小标宋简体"/>
          <w:sz w:val="72"/>
          <w:szCs w:val="72"/>
        </w:rPr>
        <w:t>决算</w:t>
      </w:r>
    </w:p>
    <w:bookmarkEnd w:id="6"/>
    <w:p>
      <w:pPr>
        <w:widowControl/>
        <w:jc w:val="center"/>
        <w:rPr>
          <w:rFonts w:eastAsia="黑体"/>
          <w:color w:val="000000"/>
          <w:sz w:val="48"/>
          <w:szCs w:val="48"/>
        </w:rPr>
      </w:pPr>
      <w:r>
        <w:rPr>
          <w:rFonts w:eastAsia="方正小标宋简体"/>
          <w:color w:val="000000"/>
          <w:sz w:val="36"/>
          <w:szCs w:val="36"/>
        </w:rPr>
        <w:br w:type="page"/>
      </w:r>
      <w:r>
        <w:rPr>
          <w:rFonts w:eastAsia="黑体"/>
          <w:color w:val="000000"/>
          <w:sz w:val="48"/>
          <w:szCs w:val="48"/>
        </w:rPr>
        <w:t>目录</w:t>
      </w:r>
    </w:p>
    <w:p>
      <w:pPr>
        <w:widowControl/>
        <w:jc w:val="center"/>
        <w:rPr>
          <w:rFonts w:eastAsia="黑体"/>
          <w:sz w:val="28"/>
          <w:szCs w:val="28"/>
        </w:rPr>
      </w:pPr>
    </w:p>
    <w:p>
      <w:pPr>
        <w:pStyle w:val="9"/>
        <w:rPr>
          <w:rFonts w:ascii="Times New Roman" w:hAnsi="Times New Roman" w:eastAsia="方正仿宋简体"/>
        </w:rPr>
      </w:pPr>
      <w:r>
        <w:rPr>
          <w:rFonts w:ascii="Times New Roman" w:hAnsi="Times New Roman" w:eastAsia="方正仿宋简体"/>
        </w:rPr>
        <w:t>公开时间：202</w:t>
      </w:r>
      <w:r>
        <w:rPr>
          <w:rFonts w:hint="eastAsia" w:ascii="Times New Roman" w:hAnsi="Times New Roman" w:eastAsia="方正仿宋简体"/>
        </w:rPr>
        <w:t>2</w:t>
      </w:r>
      <w:r>
        <w:rPr>
          <w:rFonts w:ascii="Times New Roman" w:hAnsi="Times New Roman" w:eastAsia="方正仿宋简体"/>
        </w:rPr>
        <w:t>年10月21日</w:t>
      </w:r>
    </w:p>
    <w:p>
      <w:pPr>
        <w:rPr>
          <w:rFonts w:eastAsia="方正仿宋简体"/>
        </w:rPr>
      </w:pPr>
    </w:p>
    <w:p>
      <w:pPr>
        <w:pStyle w:val="9"/>
        <w:adjustRightInd w:val="0"/>
        <w:snapToGrid w:val="0"/>
        <w:spacing w:before="0" w:line="440" w:lineRule="exact"/>
        <w:jc w:val="left"/>
        <w:rPr>
          <w:rFonts w:ascii="Times New Roman" w:hAnsi="Times New Roman" w:eastAsia="宋体"/>
          <w:b/>
          <w:sz w:val="24"/>
          <w:szCs w:val="24"/>
        </w:rPr>
      </w:pPr>
      <w:r>
        <w:rPr>
          <w:rFonts w:ascii="Times New Roman" w:hAnsi="Times New Roman" w:eastAsia="宋体"/>
          <w:b/>
          <w:sz w:val="24"/>
          <w:szCs w:val="24"/>
        </w:rPr>
        <w:t>第一部分 部门概况</w:t>
      </w:r>
    </w:p>
    <w:p>
      <w:pPr>
        <w:pStyle w:val="10"/>
        <w:tabs>
          <w:tab w:val="left" w:pos="7206"/>
          <w:tab w:val="clear" w:pos="8296"/>
        </w:tabs>
        <w:adjustRightInd w:val="0"/>
        <w:snapToGrid w:val="0"/>
        <w:spacing w:line="440" w:lineRule="exact"/>
        <w:jc w:val="left"/>
        <w:rPr>
          <w:rFonts w:hint="default" w:eastAsia="宋体"/>
          <w:sz w:val="24"/>
          <w:lang w:val="en-US" w:eastAsia="zh-CN"/>
        </w:rPr>
      </w:pPr>
      <w:r>
        <w:rPr>
          <w:sz w:val="24"/>
        </w:rPr>
        <w:t>一、基本职能及主要工作</w:t>
      </w:r>
      <w:r>
        <w:rPr>
          <w:rFonts w:hint="eastAsia"/>
          <w:sz w:val="24"/>
          <w:lang w:val="en-US" w:eastAsia="zh-CN"/>
        </w:rPr>
        <w:t>.......................................................................3</w:t>
      </w:r>
    </w:p>
    <w:p>
      <w:pPr>
        <w:pStyle w:val="10"/>
        <w:tabs>
          <w:tab w:val="left" w:pos="7297"/>
          <w:tab w:val="clear" w:pos="8296"/>
        </w:tabs>
        <w:adjustRightInd w:val="0"/>
        <w:snapToGrid w:val="0"/>
        <w:spacing w:line="440" w:lineRule="exact"/>
        <w:jc w:val="left"/>
        <w:rPr>
          <w:rFonts w:hint="default" w:eastAsia="宋体"/>
          <w:sz w:val="24"/>
          <w:lang w:val="en-US" w:eastAsia="zh-CN"/>
        </w:rPr>
      </w:pPr>
      <w:r>
        <w:rPr>
          <w:sz w:val="24"/>
        </w:rPr>
        <w:t>二、机构设置</w:t>
      </w:r>
      <w:r>
        <w:rPr>
          <w:rFonts w:hint="eastAsia"/>
          <w:sz w:val="24"/>
          <w:lang w:val="en-US" w:eastAsia="zh-CN"/>
        </w:rPr>
        <w:t>...........................................................................................6</w:t>
      </w:r>
    </w:p>
    <w:p>
      <w:pPr>
        <w:pStyle w:val="9"/>
        <w:adjustRightInd w:val="0"/>
        <w:snapToGrid w:val="0"/>
        <w:spacing w:before="0" w:line="440" w:lineRule="exact"/>
        <w:jc w:val="left"/>
        <w:rPr>
          <w:rFonts w:ascii="Times New Roman" w:hAnsi="Times New Roman" w:eastAsia="宋体"/>
          <w:b/>
          <w:sz w:val="24"/>
          <w:szCs w:val="24"/>
        </w:rPr>
      </w:pPr>
      <w:r>
        <w:rPr>
          <w:rFonts w:ascii="Times New Roman" w:hAnsi="Times New Roman" w:eastAsia="宋体"/>
          <w:b/>
          <w:sz w:val="24"/>
          <w:szCs w:val="24"/>
        </w:rPr>
        <w:t>第二部分 202</w:t>
      </w:r>
      <w:r>
        <w:rPr>
          <w:rFonts w:hint="eastAsia" w:ascii="Times New Roman" w:hAnsi="Times New Roman" w:eastAsia="宋体"/>
          <w:b/>
          <w:sz w:val="24"/>
          <w:szCs w:val="24"/>
        </w:rPr>
        <w:t>1</w:t>
      </w:r>
      <w:r>
        <w:rPr>
          <w:rFonts w:ascii="Times New Roman" w:hAnsi="Times New Roman" w:eastAsia="宋体"/>
          <w:b/>
          <w:sz w:val="24"/>
          <w:szCs w:val="24"/>
        </w:rPr>
        <w:t>年度部门决算情况说明</w:t>
      </w:r>
    </w:p>
    <w:p>
      <w:pPr>
        <w:pStyle w:val="10"/>
        <w:tabs>
          <w:tab w:val="left" w:pos="7357"/>
          <w:tab w:val="clear" w:pos="8296"/>
        </w:tabs>
        <w:adjustRightInd w:val="0"/>
        <w:snapToGrid w:val="0"/>
        <w:spacing w:line="440" w:lineRule="exact"/>
        <w:jc w:val="left"/>
        <w:rPr>
          <w:rFonts w:hint="default" w:eastAsia="宋体"/>
          <w:sz w:val="24"/>
          <w:lang w:val="en-US" w:eastAsia="zh-CN"/>
        </w:rPr>
      </w:pPr>
      <w:r>
        <w:rPr>
          <w:sz w:val="24"/>
        </w:rPr>
        <w:t>一、收入支出决算总体情况说明</w:t>
      </w:r>
      <w:r>
        <w:rPr>
          <w:rFonts w:hint="eastAsia"/>
          <w:sz w:val="24"/>
          <w:lang w:val="en-US" w:eastAsia="zh-CN"/>
        </w:rPr>
        <w:t>...........................................................7</w:t>
      </w:r>
    </w:p>
    <w:p>
      <w:pPr>
        <w:pStyle w:val="10"/>
        <w:tabs>
          <w:tab w:val="left" w:pos="7372"/>
          <w:tab w:val="clear" w:pos="8296"/>
        </w:tabs>
        <w:adjustRightInd w:val="0"/>
        <w:snapToGrid w:val="0"/>
        <w:spacing w:line="440" w:lineRule="exact"/>
        <w:jc w:val="left"/>
        <w:rPr>
          <w:rFonts w:hint="default" w:eastAsia="宋体"/>
          <w:sz w:val="24"/>
          <w:lang w:val="en-US" w:eastAsia="zh-CN"/>
        </w:rPr>
      </w:pPr>
      <w:r>
        <w:rPr>
          <w:sz w:val="24"/>
        </w:rPr>
        <w:t>二、收入决算情况说明</w:t>
      </w:r>
      <w:r>
        <w:rPr>
          <w:rFonts w:hint="eastAsia"/>
          <w:sz w:val="24"/>
          <w:lang w:val="en-US" w:eastAsia="zh-CN"/>
        </w:rPr>
        <w:t>...........................................................................7</w:t>
      </w:r>
    </w:p>
    <w:p>
      <w:pPr>
        <w:pStyle w:val="10"/>
        <w:tabs>
          <w:tab w:val="left" w:pos="7312"/>
          <w:tab w:val="clear" w:pos="8296"/>
        </w:tabs>
        <w:adjustRightInd w:val="0"/>
        <w:snapToGrid w:val="0"/>
        <w:spacing w:line="440" w:lineRule="exact"/>
        <w:jc w:val="left"/>
        <w:rPr>
          <w:rFonts w:hint="default" w:eastAsia="宋体"/>
          <w:sz w:val="24"/>
          <w:lang w:val="en-US" w:eastAsia="zh-CN"/>
        </w:rPr>
      </w:pPr>
      <w:r>
        <w:rPr>
          <w:sz w:val="24"/>
        </w:rPr>
        <w:t>三、支出决算情况说明</w:t>
      </w:r>
      <w:r>
        <w:rPr>
          <w:rFonts w:hint="eastAsia"/>
          <w:sz w:val="24"/>
          <w:lang w:val="en-US" w:eastAsia="zh-CN"/>
        </w:rPr>
        <w:t>...........................................................................7</w:t>
      </w:r>
    </w:p>
    <w:p>
      <w:pPr>
        <w:pStyle w:val="10"/>
        <w:tabs>
          <w:tab w:val="left" w:pos="7237"/>
          <w:tab w:val="clear" w:pos="8296"/>
        </w:tabs>
        <w:adjustRightInd w:val="0"/>
        <w:snapToGrid w:val="0"/>
        <w:spacing w:line="440" w:lineRule="exact"/>
        <w:jc w:val="left"/>
        <w:rPr>
          <w:rFonts w:hint="default" w:eastAsia="宋体"/>
          <w:sz w:val="24"/>
          <w:lang w:val="en-US" w:eastAsia="zh-CN"/>
        </w:rPr>
      </w:pPr>
      <w:r>
        <w:rPr>
          <w:sz w:val="24"/>
        </w:rPr>
        <w:t>四、财政拨款收入支出决算总体情况说明</w:t>
      </w:r>
      <w:r>
        <w:rPr>
          <w:rFonts w:hint="eastAsia"/>
          <w:sz w:val="24"/>
          <w:lang w:val="en-US" w:eastAsia="zh-CN"/>
        </w:rPr>
        <w:t>...........................................8</w:t>
      </w:r>
    </w:p>
    <w:p>
      <w:pPr>
        <w:pStyle w:val="10"/>
        <w:tabs>
          <w:tab w:val="left" w:pos="7222"/>
          <w:tab w:val="clear" w:pos="8296"/>
        </w:tabs>
        <w:adjustRightInd w:val="0"/>
        <w:snapToGrid w:val="0"/>
        <w:spacing w:line="440" w:lineRule="exact"/>
        <w:jc w:val="left"/>
        <w:rPr>
          <w:rFonts w:hint="default" w:eastAsia="宋体"/>
          <w:sz w:val="24"/>
          <w:lang w:val="en-US" w:eastAsia="zh-CN"/>
        </w:rPr>
      </w:pPr>
      <w:r>
        <w:rPr>
          <w:sz w:val="24"/>
        </w:rPr>
        <w:t>五、一般公共预算财政拨款支出决算情况说明</w:t>
      </w:r>
      <w:r>
        <w:rPr>
          <w:rFonts w:hint="eastAsia"/>
          <w:sz w:val="24"/>
          <w:lang w:val="en-US" w:eastAsia="zh-CN"/>
        </w:rPr>
        <w:t>...................................9</w:t>
      </w:r>
    </w:p>
    <w:p>
      <w:pPr>
        <w:pStyle w:val="10"/>
        <w:tabs>
          <w:tab w:val="left" w:pos="7252"/>
          <w:tab w:val="clear" w:pos="8296"/>
        </w:tabs>
        <w:adjustRightInd w:val="0"/>
        <w:snapToGrid w:val="0"/>
        <w:spacing w:line="440" w:lineRule="exact"/>
        <w:jc w:val="left"/>
        <w:rPr>
          <w:rFonts w:hint="default" w:eastAsia="宋体"/>
          <w:sz w:val="24"/>
          <w:lang w:val="en-US" w:eastAsia="zh-CN"/>
        </w:rPr>
      </w:pPr>
      <w:r>
        <w:rPr>
          <w:sz w:val="24"/>
        </w:rPr>
        <w:t>六、一般公共预算财政拨款基本支出决算情况说明</w:t>
      </w:r>
      <w:r>
        <w:rPr>
          <w:rFonts w:hint="eastAsia"/>
          <w:sz w:val="24"/>
          <w:lang w:val="en-US" w:eastAsia="zh-CN"/>
        </w:rPr>
        <w:t>...........................10</w:t>
      </w:r>
    </w:p>
    <w:p>
      <w:pPr>
        <w:pStyle w:val="10"/>
        <w:tabs>
          <w:tab w:val="left" w:pos="7312"/>
          <w:tab w:val="clear" w:pos="8296"/>
        </w:tabs>
        <w:adjustRightInd w:val="0"/>
        <w:snapToGrid w:val="0"/>
        <w:spacing w:line="440" w:lineRule="exact"/>
        <w:jc w:val="left"/>
        <w:rPr>
          <w:rFonts w:hint="default" w:eastAsia="宋体"/>
          <w:sz w:val="24"/>
          <w:lang w:val="en-US" w:eastAsia="zh-CN"/>
        </w:rPr>
      </w:pPr>
      <w:r>
        <w:rPr>
          <w:sz w:val="24"/>
        </w:rPr>
        <w:t>七、“三公”经费财政拨款支出决算情况说明</w:t>
      </w:r>
      <w:r>
        <w:rPr>
          <w:rFonts w:hint="eastAsia"/>
          <w:sz w:val="24"/>
          <w:lang w:val="en-US" w:eastAsia="zh-CN"/>
        </w:rPr>
        <w:t>........................................10</w:t>
      </w:r>
    </w:p>
    <w:p>
      <w:pPr>
        <w:pStyle w:val="10"/>
        <w:tabs>
          <w:tab w:val="left" w:pos="7297"/>
          <w:tab w:val="clear" w:pos="8296"/>
        </w:tabs>
        <w:adjustRightInd w:val="0"/>
        <w:snapToGrid w:val="0"/>
        <w:spacing w:line="440" w:lineRule="exact"/>
        <w:jc w:val="left"/>
        <w:rPr>
          <w:rFonts w:hint="default" w:eastAsia="宋体"/>
          <w:sz w:val="24"/>
          <w:lang w:val="en-US" w:eastAsia="zh-CN"/>
        </w:rPr>
      </w:pPr>
      <w:r>
        <w:rPr>
          <w:sz w:val="24"/>
        </w:rPr>
        <w:t>八、政府性基金预算支出决算情况说明</w:t>
      </w:r>
      <w:r>
        <w:rPr>
          <w:rFonts w:hint="eastAsia"/>
          <w:sz w:val="24"/>
          <w:lang w:val="en-US" w:eastAsia="zh-CN"/>
        </w:rPr>
        <w:t>................................................11</w:t>
      </w:r>
    </w:p>
    <w:p>
      <w:pPr>
        <w:pStyle w:val="10"/>
        <w:tabs>
          <w:tab w:val="left" w:pos="7207"/>
          <w:tab w:val="clear" w:pos="8296"/>
        </w:tabs>
        <w:adjustRightInd w:val="0"/>
        <w:snapToGrid w:val="0"/>
        <w:spacing w:line="440" w:lineRule="exact"/>
        <w:jc w:val="left"/>
        <w:rPr>
          <w:rFonts w:hint="default" w:eastAsia="宋体"/>
          <w:sz w:val="24"/>
          <w:lang w:val="en-US" w:eastAsia="zh-CN"/>
        </w:rPr>
      </w:pPr>
      <w:r>
        <w:rPr>
          <w:sz w:val="24"/>
        </w:rPr>
        <w:t>九、国有资本经营预算支出决算情况说明</w:t>
      </w:r>
      <w:r>
        <w:rPr>
          <w:rFonts w:hint="eastAsia"/>
          <w:sz w:val="24"/>
          <w:lang w:val="en-US" w:eastAsia="zh-CN"/>
        </w:rPr>
        <w:t>............................................11</w:t>
      </w:r>
    </w:p>
    <w:p>
      <w:pPr>
        <w:pStyle w:val="10"/>
        <w:tabs>
          <w:tab w:val="left" w:pos="7192"/>
          <w:tab w:val="clear" w:pos="8296"/>
        </w:tabs>
        <w:adjustRightInd w:val="0"/>
        <w:snapToGrid w:val="0"/>
        <w:spacing w:line="440" w:lineRule="exact"/>
        <w:jc w:val="left"/>
        <w:rPr>
          <w:rFonts w:hint="default" w:eastAsia="宋体"/>
          <w:sz w:val="24"/>
          <w:lang w:val="en-US" w:eastAsia="zh-CN"/>
        </w:rPr>
      </w:pPr>
      <w:r>
        <w:t>十、</w:t>
      </w:r>
      <w:r>
        <w:rPr>
          <w:sz w:val="24"/>
        </w:rPr>
        <w:t>其他重要事项的情况说明</w:t>
      </w:r>
      <w:r>
        <w:rPr>
          <w:rFonts w:hint="eastAsia" w:ascii="Times New Roman" w:hAnsi="Times New Roman" w:eastAsia="宋体"/>
          <w:b/>
          <w:sz w:val="24"/>
          <w:szCs w:val="24"/>
          <w:lang w:val="en-US" w:eastAsia="zh-CN"/>
        </w:rPr>
        <w:t>................................................................</w:t>
      </w:r>
      <w:r>
        <w:rPr>
          <w:rFonts w:hint="eastAsia" w:ascii="Times New Roman" w:hAnsi="Times New Roman"/>
          <w:b/>
          <w:sz w:val="24"/>
          <w:szCs w:val="24"/>
          <w:lang w:val="en-US" w:eastAsia="zh-CN"/>
        </w:rPr>
        <w:t>.</w:t>
      </w:r>
      <w:r>
        <w:rPr>
          <w:rFonts w:hint="eastAsia"/>
          <w:sz w:val="24"/>
          <w:lang w:val="en-US" w:eastAsia="zh-CN"/>
        </w:rPr>
        <w:t>11</w:t>
      </w:r>
    </w:p>
    <w:p>
      <w:pPr>
        <w:pStyle w:val="9"/>
        <w:tabs>
          <w:tab w:val="left" w:pos="7312"/>
          <w:tab w:val="clear" w:pos="8296"/>
        </w:tabs>
        <w:adjustRightInd w:val="0"/>
        <w:snapToGrid w:val="0"/>
        <w:spacing w:before="0" w:line="440" w:lineRule="exact"/>
        <w:jc w:val="left"/>
        <w:rPr>
          <w:rFonts w:hint="default" w:ascii="Times New Roman" w:hAnsi="Times New Roman" w:eastAsia="宋体"/>
          <w:b/>
          <w:sz w:val="24"/>
          <w:szCs w:val="24"/>
          <w:lang w:val="en-US" w:eastAsia="zh-CN"/>
        </w:rPr>
      </w:pPr>
      <w:r>
        <w:rPr>
          <w:rFonts w:ascii="Times New Roman" w:hAnsi="Times New Roman" w:eastAsia="宋体"/>
          <w:b/>
          <w:sz w:val="24"/>
          <w:szCs w:val="24"/>
        </w:rPr>
        <w:t>第三部分 名词解释</w:t>
      </w:r>
      <w:r>
        <w:rPr>
          <w:rFonts w:hint="eastAsia" w:ascii="Times New Roman" w:hAnsi="Times New Roman" w:eastAsia="宋体"/>
          <w:b/>
          <w:sz w:val="24"/>
          <w:szCs w:val="24"/>
          <w:lang w:val="en-US" w:eastAsia="zh-CN"/>
        </w:rPr>
        <w:t>.........................................................................................26</w:t>
      </w:r>
    </w:p>
    <w:p>
      <w:pPr>
        <w:pStyle w:val="9"/>
        <w:tabs>
          <w:tab w:val="left" w:pos="7297"/>
          <w:tab w:val="clear" w:pos="8296"/>
        </w:tabs>
        <w:adjustRightInd w:val="0"/>
        <w:snapToGrid w:val="0"/>
        <w:spacing w:before="0" w:line="440" w:lineRule="exact"/>
        <w:jc w:val="left"/>
        <w:rPr>
          <w:rFonts w:hint="default" w:eastAsia="宋体"/>
          <w:sz w:val="24"/>
          <w:lang w:val="en-US" w:eastAsia="zh-CN"/>
        </w:rPr>
      </w:pPr>
      <w:r>
        <w:rPr>
          <w:rFonts w:ascii="Times New Roman" w:hAnsi="Times New Roman" w:eastAsia="宋体"/>
          <w:b/>
          <w:sz w:val="24"/>
          <w:szCs w:val="24"/>
        </w:rPr>
        <w:t>第四部分 附件</w:t>
      </w:r>
      <w:r>
        <w:rPr>
          <w:rFonts w:hint="eastAsia" w:ascii="Times New Roman" w:hAnsi="Times New Roman" w:eastAsia="宋体"/>
          <w:b/>
          <w:sz w:val="24"/>
          <w:szCs w:val="24"/>
          <w:lang w:val="en-US" w:eastAsia="zh-CN"/>
        </w:rPr>
        <w:t>.................................................................................................25</w:t>
      </w:r>
    </w:p>
    <w:p>
      <w:pPr>
        <w:pStyle w:val="9"/>
        <w:tabs>
          <w:tab w:val="left" w:pos="7222"/>
          <w:tab w:val="clear" w:pos="8296"/>
        </w:tabs>
        <w:adjustRightInd w:val="0"/>
        <w:snapToGrid w:val="0"/>
        <w:spacing w:before="0" w:line="440" w:lineRule="exact"/>
        <w:jc w:val="left"/>
        <w:rPr>
          <w:rFonts w:hint="default" w:ascii="Times New Roman" w:hAnsi="Times New Roman" w:eastAsia="宋体"/>
          <w:b/>
          <w:sz w:val="24"/>
          <w:szCs w:val="24"/>
          <w:lang w:val="en-US" w:eastAsia="zh-CN"/>
        </w:rPr>
      </w:pPr>
      <w:r>
        <w:rPr>
          <w:rFonts w:ascii="Times New Roman" w:hAnsi="Times New Roman" w:eastAsia="宋体"/>
          <w:b/>
          <w:sz w:val="24"/>
          <w:szCs w:val="24"/>
        </w:rPr>
        <w:t>第五部分 附表</w:t>
      </w:r>
      <w:r>
        <w:rPr>
          <w:rFonts w:hint="eastAsia" w:ascii="Times New Roman" w:hAnsi="Times New Roman" w:eastAsia="宋体"/>
          <w:b/>
          <w:sz w:val="24"/>
          <w:szCs w:val="24"/>
          <w:lang w:val="en-US" w:eastAsia="zh-CN"/>
        </w:rPr>
        <w:t>.................................................................................................26</w:t>
      </w:r>
    </w:p>
    <w:p>
      <w:pPr>
        <w:widowControl/>
        <w:spacing w:line="440" w:lineRule="exact"/>
        <w:jc w:val="center"/>
        <w:rPr>
          <w:rStyle w:val="14"/>
          <w:rFonts w:hint="eastAsia" w:eastAsia="黑体"/>
        </w:rPr>
      </w:pPr>
      <w:bookmarkStart w:id="7" w:name="_Toc15377196"/>
      <w:bookmarkStart w:id="8" w:name="_Toc15396599"/>
      <w:r>
        <w:rPr>
          <w:rFonts w:eastAsia="仿宋"/>
          <w:b/>
          <w:sz w:val="24"/>
        </w:rPr>
        <w:br w:type="page"/>
      </w:r>
      <w:r>
        <w:rPr>
          <w:rStyle w:val="14"/>
          <w:rFonts w:hint="eastAsia" w:eastAsia="黑体"/>
          <w:b w:val="0"/>
          <w:bCs w:val="0"/>
        </w:rPr>
        <w:t>第一部分 单位概况</w:t>
      </w:r>
      <w:bookmarkEnd w:id="7"/>
      <w:bookmarkEnd w:id="8"/>
    </w:p>
    <w:p/>
    <w:p>
      <w:pPr>
        <w:pStyle w:val="5"/>
        <w:ind w:firstLine="640" w:firstLineChars="200"/>
        <w:rPr>
          <w:rStyle w:val="15"/>
          <w:rFonts w:ascii="Times New Roman" w:hAnsi="Times New Roman" w:eastAsia="仿宋"/>
          <w:b w:val="0"/>
          <w:bCs w:val="0"/>
        </w:rPr>
      </w:pPr>
      <w:bookmarkStart w:id="9" w:name="_Toc15396600"/>
      <w:bookmarkStart w:id="10" w:name="_Toc15377197"/>
      <w:r>
        <w:rPr>
          <w:rFonts w:ascii="Times New Roman" w:hAnsi="Times New Roman" w:eastAsia="黑体"/>
          <w:b w:val="0"/>
          <w:color w:val="000000"/>
        </w:rPr>
        <w:t>一、基</w:t>
      </w:r>
      <w:r>
        <w:rPr>
          <w:rStyle w:val="15"/>
          <w:rFonts w:ascii="Times New Roman" w:hAnsi="Times New Roman" w:eastAsia="黑体"/>
          <w:b w:val="0"/>
          <w:bCs w:val="0"/>
        </w:rPr>
        <w:t>本职能及主要工作</w:t>
      </w:r>
      <w:bookmarkEnd w:id="9"/>
      <w:bookmarkEnd w:id="10"/>
    </w:p>
    <w:p>
      <w:pPr>
        <w:pStyle w:val="6"/>
        <w:adjustRightInd w:val="0"/>
        <w:snapToGrid w:val="0"/>
        <w:spacing w:before="93" w:line="600" w:lineRule="exact"/>
        <w:ind w:firstLine="672" w:firstLineChars="210"/>
        <w:outlineLvl w:val="2"/>
        <w:rPr>
          <w:rFonts w:ascii="Times New Roman" w:eastAsia="仿宋"/>
          <w:bCs/>
          <w:color w:val="000000"/>
          <w:sz w:val="32"/>
          <w:szCs w:val="32"/>
        </w:rPr>
      </w:pPr>
      <w:bookmarkStart w:id="11" w:name="_Toc15378445"/>
      <w:bookmarkStart w:id="12" w:name="_Toc15377198"/>
      <w:r>
        <w:rPr>
          <w:rFonts w:ascii="Times New Roman" w:eastAsia="仿宋"/>
          <w:bCs/>
          <w:color w:val="000000"/>
          <w:sz w:val="32"/>
          <w:szCs w:val="32"/>
        </w:rPr>
        <w:t>（一）主要职能。</w:t>
      </w:r>
      <w:bookmarkEnd w:id="11"/>
      <w:bookmarkEnd w:id="12"/>
      <w:bookmarkStart w:id="13" w:name="_Toc15377199"/>
      <w:bookmarkStart w:id="14" w:name="_Toc15378446"/>
    </w:p>
    <w:p>
      <w:pPr>
        <w:spacing w:line="58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组织拟订全县卫生健康政策。负责拟订卫生健康事业发展政策规划，组织实施卫生健康标准和技术规范。统筹规划全县卫生健康资源配置。制定并组织实施推进卫生健康基本公共服务均等化、普惠化、便捷化等政策措施。</w:t>
      </w:r>
    </w:p>
    <w:p>
      <w:pPr>
        <w:spacing w:line="58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2</w:t>
      </w:r>
      <w:r>
        <w:rPr>
          <w:rFonts w:hint="eastAsia" w:ascii="仿宋_GB2312" w:hAnsi="仿宋" w:eastAsia="仿宋_GB2312"/>
          <w:sz w:val="32"/>
          <w:szCs w:val="32"/>
          <w:lang w:eastAsia="zh-CN"/>
        </w:rPr>
        <w:t>）牵头推进全县深化医药卫生体制改革。研究提出深化改革重大政策、措施的建议。牵头负责全县分级诊疗、现代医院管理、全民医保、药品供应保障、综合监管5项基本医疗卫生制度建设。制定并组织实施推动卫生健康公共服务提供主体多元化、提供方式多样化的政策措施。</w:t>
      </w:r>
    </w:p>
    <w:p>
      <w:pPr>
        <w:spacing w:line="58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3</w:t>
      </w:r>
      <w:r>
        <w:rPr>
          <w:rFonts w:hint="eastAsia" w:ascii="仿宋_GB2312" w:hAnsi="仿宋" w:eastAsia="仿宋_GB2312"/>
          <w:sz w:val="32"/>
          <w:szCs w:val="32"/>
          <w:lang w:eastAsia="zh-CN"/>
        </w:rPr>
        <w:t>）制定并组织落实全县疾病预防控制规划、免疫规划以及严重危害人民健康的艾滋病等重大传染病、寄生虫病、地方病等公共卫生问题的干预措施。负责全县卫生应急工作，组织和指导全县突发公共卫生事件预防控制和各类突发公共事件的医疗卫生救援。上报法定报告传染病疫情信息、突发公共类卫生事件应急处置信息。依照国家检疫传染病和监测传染病目录，参与开展检疫监测工作。</w:t>
      </w:r>
    </w:p>
    <w:p>
      <w:pPr>
        <w:spacing w:line="58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4</w:t>
      </w:r>
      <w:r>
        <w:rPr>
          <w:rFonts w:hint="eastAsia" w:ascii="仿宋_GB2312" w:hAnsi="仿宋" w:eastAsia="仿宋_GB2312"/>
          <w:sz w:val="32"/>
          <w:szCs w:val="32"/>
          <w:lang w:eastAsia="zh-CN"/>
        </w:rPr>
        <w:t>）贯彻落实国家应对人口老龄化政策措施。负责推进老年健康服务体系建设和医养结合工作。承担县老龄工作委员会日常工作。</w:t>
      </w:r>
    </w:p>
    <w:p>
      <w:pPr>
        <w:spacing w:line="58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5</w:t>
      </w:r>
      <w:r>
        <w:rPr>
          <w:rFonts w:hint="eastAsia" w:ascii="仿宋_GB2312" w:hAnsi="仿宋" w:eastAsia="仿宋_GB2312"/>
          <w:sz w:val="32"/>
          <w:szCs w:val="32"/>
          <w:lang w:eastAsia="zh-CN"/>
        </w:rPr>
        <w:t>）贯彻落实国家药物政策和国家基本药物制度。开展药械使用监测、临床综合评价和短缺药品预警，组织执行国家药典、国家基本药物目录、省增补目录和基本药物使用的政策措施。</w:t>
      </w:r>
    </w:p>
    <w:p>
      <w:pPr>
        <w:spacing w:line="58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6</w:t>
      </w:r>
      <w:r>
        <w:rPr>
          <w:rFonts w:hint="eastAsia" w:ascii="仿宋_GB2312" w:hAnsi="仿宋" w:eastAsia="仿宋_GB2312"/>
          <w:sz w:val="32"/>
          <w:szCs w:val="32"/>
          <w:lang w:eastAsia="zh-CN"/>
        </w:rPr>
        <w:t>）负责职责范围内的职业卫生、放射卫生、学校卫生、环境卫生、公共场所卫生、饮用水卫生等公共卫生的监督管理。负责传染病防治监督，健全卫生健康监管体系。组织实施食品安全风险监测。</w:t>
      </w:r>
    </w:p>
    <w:p>
      <w:pPr>
        <w:spacing w:line="58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7</w:t>
      </w:r>
      <w:r>
        <w:rPr>
          <w:rFonts w:hint="eastAsia" w:ascii="仿宋_GB2312" w:hAnsi="仿宋" w:eastAsia="仿宋_GB2312"/>
          <w:sz w:val="32"/>
          <w:szCs w:val="32"/>
          <w:lang w:eastAsia="zh-CN"/>
        </w:rPr>
        <w:t>）制定全县医疗机构、医疗服务行业管理办法并监督实施，组织实施医疗机构及其医疗服务、医疗技术、医疗质量、医疗安全管理，建立医疗服务评价和监督管理体系。会同有关部门实施卫生健康专业技术人员资格标准。贯彻实施医疗服务规范、标准和卫生健康专业技术人员执业规则、服务规范。负责医疗机构、人员和行为的日常监管。</w:t>
      </w:r>
    </w:p>
    <w:p>
      <w:pPr>
        <w:spacing w:line="58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8</w:t>
      </w:r>
      <w:r>
        <w:rPr>
          <w:rFonts w:hint="eastAsia" w:ascii="仿宋_GB2312" w:hAnsi="仿宋" w:eastAsia="仿宋_GB2312"/>
          <w:sz w:val="32"/>
          <w:szCs w:val="32"/>
          <w:lang w:eastAsia="zh-CN"/>
        </w:rPr>
        <w:t>）负责全县计划生育管理和服务工作。开展人口监测预警，研究提出人口与家庭发展相关政策建议，贯彻执行计划生育政策。</w:t>
      </w:r>
    </w:p>
    <w:p>
      <w:pPr>
        <w:spacing w:line="58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9</w:t>
      </w:r>
      <w:r>
        <w:rPr>
          <w:rFonts w:hint="eastAsia" w:ascii="仿宋_GB2312" w:hAnsi="仿宋" w:eastAsia="仿宋_GB2312"/>
          <w:sz w:val="32"/>
          <w:szCs w:val="32"/>
          <w:lang w:eastAsia="zh-CN"/>
        </w:rPr>
        <w:t>）负责全县卫生健康工作。指导全县医疗卫生、妇幼健康服务体系和卫生队伍建设。推进卫生健康科技创新发展。</w:t>
      </w:r>
    </w:p>
    <w:p>
      <w:pPr>
        <w:spacing w:line="58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10</w:t>
      </w:r>
      <w:r>
        <w:rPr>
          <w:rFonts w:hint="eastAsia" w:ascii="仿宋_GB2312" w:hAnsi="仿宋" w:eastAsia="仿宋_GB2312"/>
          <w:sz w:val="32"/>
          <w:szCs w:val="32"/>
          <w:lang w:eastAsia="zh-CN"/>
        </w:rPr>
        <w:t>）负责县干部保健委员会确定的保健对象的医疗保健工作。负责重要会议与重大活动的医疗卫生保障工作。</w:t>
      </w:r>
    </w:p>
    <w:p>
      <w:pPr>
        <w:spacing w:line="58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11</w:t>
      </w:r>
      <w:r>
        <w:rPr>
          <w:rFonts w:hint="eastAsia" w:ascii="仿宋_GB2312" w:hAnsi="仿宋" w:eastAsia="仿宋_GB2312"/>
          <w:sz w:val="32"/>
          <w:szCs w:val="32"/>
          <w:lang w:eastAsia="zh-CN"/>
        </w:rPr>
        <w:t>）负责拟订全县中医药中长期发展规划，并纳入卫生健康事业发展总体规划和战略目标。承担全县中医医疗、预防、保健、康复及临床用药等的监督管理，指导基层医疗卫生机构中的中医药工作。开展中药资源的保护、开发和合理利用工作。负责中医药人才培养、中医药师承教育，继承和发展中医药文化。</w:t>
      </w:r>
    </w:p>
    <w:p>
      <w:pPr>
        <w:spacing w:line="58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12</w:t>
      </w:r>
      <w:r>
        <w:rPr>
          <w:rFonts w:hint="eastAsia" w:ascii="仿宋_GB2312" w:hAnsi="仿宋" w:eastAsia="仿宋_GB2312"/>
          <w:sz w:val="32"/>
          <w:szCs w:val="32"/>
          <w:lang w:eastAsia="zh-CN"/>
        </w:rPr>
        <w:t>）指导县计划生育协会的业务工作。</w:t>
      </w:r>
    </w:p>
    <w:p>
      <w:pPr>
        <w:spacing w:line="58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13</w:t>
      </w:r>
      <w:r>
        <w:rPr>
          <w:rFonts w:hint="eastAsia" w:ascii="仿宋_GB2312" w:hAnsi="仿宋" w:eastAsia="仿宋_GB2312"/>
          <w:sz w:val="32"/>
          <w:szCs w:val="32"/>
          <w:lang w:eastAsia="zh-CN"/>
        </w:rPr>
        <w:t>）依法依规履行卫生健康行业安全生产监管职责。负责职责范围内的生态环境保护、审批服务等便民化等工作。</w:t>
      </w:r>
    </w:p>
    <w:p>
      <w:pPr>
        <w:spacing w:line="58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14</w:t>
      </w:r>
      <w:r>
        <w:rPr>
          <w:rFonts w:hint="eastAsia" w:ascii="仿宋_GB2312" w:hAnsi="仿宋" w:eastAsia="仿宋_GB2312"/>
          <w:sz w:val="32"/>
          <w:szCs w:val="32"/>
          <w:lang w:eastAsia="zh-CN"/>
        </w:rPr>
        <w:t>）完成县委、县政府交办的其他任务。</w:t>
      </w:r>
    </w:p>
    <w:p>
      <w:pPr>
        <w:spacing w:line="580" w:lineRule="exact"/>
        <w:ind w:firstLine="640" w:firstLineChars="200"/>
        <w:rPr>
          <w:rFonts w:ascii="Times New Roman" w:eastAsia="仿宋"/>
          <w:bCs/>
          <w:color w:val="000000"/>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15</w:t>
      </w:r>
      <w:r>
        <w:rPr>
          <w:rFonts w:hint="eastAsia" w:ascii="仿宋_GB2312" w:hAnsi="仿宋" w:eastAsia="仿宋_GB2312"/>
          <w:sz w:val="32"/>
          <w:szCs w:val="32"/>
          <w:lang w:eastAsia="zh-CN"/>
        </w:rPr>
        <w:t>）职能转变。牢固树立大卫生、大健康理念，推动实施健康中国、健康四川和健康乐至战略，以改革创新为动力，以促健康、转模式、强基层、重保障为着力点，把以治病为中心转变到以人民健康为中心，为人民群众提供全方位全周期卫生健康服务。一是更加注重预防为主和健康促进，提高健康意识，加强爱国卫生运动工作，加强预防控制重大疾病工作，积极应对人口老龄化，健全卫生健康服务体系。二是更加注重卫生健康服务公平性和可及性，推动工作重心下移和资源下沉，推进卫生健康公共资源向基层延伸、向农村覆盖、向生活困难群众倾斜。三是更加注重深化医药卫生体制改革的科学性和持续性，提高服务质量和水平，加快分级诊疗制度建设。加强医疗、医保、医药的联动改革，加大公立医院改革力度。</w:t>
      </w:r>
    </w:p>
    <w:p>
      <w:pPr>
        <w:pStyle w:val="6"/>
        <w:adjustRightInd w:val="0"/>
        <w:snapToGrid w:val="0"/>
        <w:spacing w:before="93" w:line="600" w:lineRule="exact"/>
        <w:ind w:firstLine="672" w:firstLineChars="210"/>
        <w:outlineLvl w:val="2"/>
        <w:rPr>
          <w:rFonts w:ascii="Times New Roman" w:eastAsia="仿宋"/>
          <w:bCs/>
          <w:color w:val="000000"/>
          <w:sz w:val="32"/>
          <w:szCs w:val="32"/>
        </w:rPr>
      </w:pPr>
      <w:r>
        <w:rPr>
          <w:rFonts w:ascii="Times New Roman" w:eastAsia="仿宋"/>
          <w:bCs/>
          <w:color w:val="000000"/>
          <w:sz w:val="32"/>
          <w:szCs w:val="32"/>
        </w:rPr>
        <w:t>（二）202</w:t>
      </w:r>
      <w:r>
        <w:rPr>
          <w:rFonts w:hint="eastAsia" w:ascii="Times New Roman" w:eastAsia="仿宋"/>
          <w:bCs/>
          <w:color w:val="000000"/>
          <w:sz w:val="32"/>
          <w:szCs w:val="32"/>
        </w:rPr>
        <w:t>1</w:t>
      </w:r>
      <w:r>
        <w:rPr>
          <w:rFonts w:ascii="Times New Roman" w:eastAsia="仿宋"/>
          <w:bCs/>
          <w:color w:val="000000"/>
          <w:sz w:val="32"/>
          <w:szCs w:val="32"/>
        </w:rPr>
        <w:t>年重点工作完成情况。</w:t>
      </w:r>
      <w:bookmarkEnd w:id="13"/>
      <w:bookmarkEnd w:id="14"/>
    </w:p>
    <w:p>
      <w:pPr>
        <w:numPr>
          <w:ilvl w:val="0"/>
          <w:numId w:val="0"/>
        </w:numPr>
        <w:snapToGrid w:val="0"/>
        <w:spacing w:line="520" w:lineRule="exact"/>
        <w:ind w:firstLine="640" w:firstLineChars="20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lang w:val="en-US" w:eastAsia="zh-CN"/>
        </w:rPr>
        <w:t>1.</w:t>
      </w:r>
      <w:r>
        <w:rPr>
          <w:rFonts w:hint="eastAsia" w:ascii="仿宋_GB2312" w:hAnsi="仿宋" w:eastAsia="仿宋_GB2312" w:cs="Times New Roman"/>
          <w:sz w:val="32"/>
          <w:szCs w:val="32"/>
          <w:lang w:eastAsia="zh-CN"/>
        </w:rPr>
        <w:t>区域合作取得突破进展。积极抢抓成德眉资协同发展、成渝地区双城经济圈建设等机遇，扎实推进区域合作。</w:t>
      </w:r>
    </w:p>
    <w:p>
      <w:pPr>
        <w:spacing w:line="580" w:lineRule="exact"/>
        <w:ind w:firstLine="640" w:firstLineChars="20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lang w:val="en-US" w:eastAsia="zh-CN"/>
        </w:rPr>
        <w:t>2.</w:t>
      </w:r>
      <w:r>
        <w:rPr>
          <w:rFonts w:hint="eastAsia" w:ascii="仿宋_GB2312" w:hAnsi="仿宋" w:eastAsia="仿宋_GB2312" w:cs="Times New Roman"/>
          <w:sz w:val="32"/>
          <w:szCs w:val="32"/>
          <w:lang w:eastAsia="zh-CN"/>
        </w:rPr>
        <w:t>常态化疫情防控落实有力。继续坚持将“外防输入、内防反弹”作为重要任务，常态化推进疫情防控工作，持续加强监测排查、强化重点人员管控。</w:t>
      </w:r>
    </w:p>
    <w:p>
      <w:pPr>
        <w:spacing w:line="580" w:lineRule="exact"/>
        <w:ind w:firstLine="640" w:firstLineChars="20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lang w:val="en-US" w:eastAsia="zh-CN"/>
        </w:rPr>
        <w:t>3.</w:t>
      </w:r>
      <w:r>
        <w:rPr>
          <w:rFonts w:hint="eastAsia" w:ascii="仿宋_GB2312" w:hAnsi="仿宋" w:eastAsia="仿宋_GB2312" w:cs="Times New Roman"/>
          <w:sz w:val="32"/>
          <w:szCs w:val="32"/>
          <w:lang w:eastAsia="zh-CN"/>
        </w:rPr>
        <w:t>医疗服务能力稳步提升。全面压实医联体和县域医共体建设任务。</w:t>
      </w:r>
    </w:p>
    <w:p>
      <w:pPr>
        <w:spacing w:line="580" w:lineRule="exact"/>
        <w:ind w:firstLine="640" w:firstLineChars="20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lang w:val="en-US" w:eastAsia="zh-CN"/>
        </w:rPr>
        <w:t>4.</w:t>
      </w:r>
      <w:r>
        <w:rPr>
          <w:rFonts w:hint="eastAsia" w:ascii="仿宋_GB2312" w:hAnsi="仿宋" w:eastAsia="仿宋_GB2312" w:cs="Times New Roman"/>
          <w:sz w:val="32"/>
          <w:szCs w:val="32"/>
          <w:lang w:eastAsia="zh-CN"/>
        </w:rPr>
        <w:t>公共卫生工作扎实推进。继续全面实施国家基本公共卫生服务项目。</w:t>
      </w:r>
    </w:p>
    <w:p>
      <w:pPr>
        <w:spacing w:line="580" w:lineRule="exact"/>
        <w:ind w:firstLine="640" w:firstLineChars="20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lang w:eastAsia="zh-CN"/>
        </w:rPr>
        <w:t>妇幼健康保障工作有序推进。截止2021年</w:t>
      </w:r>
      <w:r>
        <w:rPr>
          <w:rFonts w:hint="eastAsia" w:ascii="仿宋_GB2312" w:hAnsi="仿宋" w:eastAsia="仿宋_GB2312" w:cs="Times New Roman"/>
          <w:sz w:val="32"/>
          <w:szCs w:val="32"/>
          <w:lang w:val="en-US" w:eastAsia="zh-CN"/>
        </w:rPr>
        <w:t>9</w:t>
      </w:r>
      <w:r>
        <w:rPr>
          <w:rFonts w:hint="eastAsia" w:ascii="仿宋_GB2312" w:hAnsi="仿宋" w:eastAsia="仿宋_GB2312" w:cs="Times New Roman"/>
          <w:sz w:val="32"/>
          <w:szCs w:val="32"/>
          <w:lang w:eastAsia="zh-CN"/>
        </w:rPr>
        <w:t>月，全县户籍活产数</w:t>
      </w:r>
      <w:r>
        <w:rPr>
          <w:rFonts w:hint="eastAsia" w:ascii="仿宋_GB2312" w:hAnsi="仿宋" w:eastAsia="仿宋_GB2312" w:cs="Times New Roman"/>
          <w:sz w:val="32"/>
          <w:szCs w:val="32"/>
          <w:lang w:val="en-US" w:eastAsia="zh-CN"/>
        </w:rPr>
        <w:t xml:space="preserve"> 2711</w:t>
      </w:r>
      <w:r>
        <w:rPr>
          <w:rFonts w:hint="eastAsia" w:ascii="仿宋_GB2312" w:hAnsi="仿宋" w:eastAsia="仿宋_GB2312" w:cs="Times New Roman"/>
          <w:sz w:val="32"/>
          <w:szCs w:val="32"/>
          <w:lang w:eastAsia="zh-CN"/>
        </w:rPr>
        <w:t>人，住院分娩活产数</w:t>
      </w:r>
      <w:r>
        <w:rPr>
          <w:rFonts w:hint="eastAsia" w:ascii="仿宋_GB2312" w:hAnsi="仿宋" w:eastAsia="仿宋_GB2312" w:cs="Times New Roman"/>
          <w:sz w:val="32"/>
          <w:szCs w:val="32"/>
          <w:lang w:val="en-US" w:eastAsia="zh-CN"/>
        </w:rPr>
        <w:t xml:space="preserve"> 2711</w:t>
      </w:r>
      <w:r>
        <w:rPr>
          <w:rFonts w:hint="eastAsia" w:ascii="仿宋_GB2312" w:hAnsi="仿宋" w:eastAsia="仿宋_GB2312" w:cs="Times New Roman"/>
          <w:sz w:val="32"/>
          <w:szCs w:val="32"/>
          <w:lang w:eastAsia="zh-CN"/>
        </w:rPr>
        <w:t>人，住院分娩率100%，新法接生率100%，户籍孕产妇死亡0人。</w:t>
      </w:r>
    </w:p>
    <w:p>
      <w:pPr>
        <w:spacing w:line="580" w:lineRule="exact"/>
        <w:ind w:firstLine="640" w:firstLineChars="20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lang w:val="en-US" w:eastAsia="zh-CN"/>
        </w:rPr>
        <w:t>6.</w:t>
      </w:r>
      <w:r>
        <w:rPr>
          <w:rFonts w:hint="eastAsia" w:ascii="仿宋_GB2312" w:hAnsi="仿宋" w:eastAsia="仿宋_GB2312" w:cs="Times New Roman"/>
          <w:sz w:val="32"/>
          <w:szCs w:val="32"/>
          <w:lang w:eastAsia="zh-CN"/>
        </w:rPr>
        <w:t>计划生育工作扎实推进。根据现行生育政策，鼓励群众按政策生育。深化计划生育服务管理改革。</w:t>
      </w:r>
    </w:p>
    <w:p>
      <w:pPr>
        <w:spacing w:line="580" w:lineRule="exact"/>
        <w:ind w:firstLine="640" w:firstLineChars="200"/>
        <w:rPr>
          <w:rFonts w:ascii="Times New Roman" w:eastAsia="仿宋"/>
          <w:bCs/>
          <w:color w:val="000000"/>
          <w:sz w:val="32"/>
          <w:szCs w:val="32"/>
        </w:rPr>
      </w:pPr>
      <w:r>
        <w:rPr>
          <w:rFonts w:hint="eastAsia" w:ascii="仿宋_GB2312" w:hAnsi="仿宋" w:eastAsia="仿宋_GB2312" w:cs="Times New Roman"/>
          <w:sz w:val="32"/>
          <w:szCs w:val="32"/>
          <w:lang w:val="en-US" w:eastAsia="zh-CN"/>
        </w:rPr>
        <w:t>7.</w:t>
      </w:r>
      <w:r>
        <w:rPr>
          <w:rFonts w:hint="eastAsia" w:ascii="仿宋_GB2312" w:hAnsi="仿宋" w:eastAsia="仿宋_GB2312" w:cs="Times New Roman"/>
          <w:sz w:val="32"/>
          <w:szCs w:val="32"/>
          <w:lang w:eastAsia="zh-CN"/>
        </w:rPr>
        <w:t>卫生服务能力全面提升。卫健项目有序推进，县第二人民医院建设项目、县疾病预防控制中心业务用房改扩建及能力提升建设项目、县第三人民医院建设项目、县中医医院老年病大楼建设项目、县中医医院提升传染病检测和救治能力建设项目等6个在建项目加快推进。</w:t>
      </w:r>
    </w:p>
    <w:p>
      <w:pPr>
        <w:pStyle w:val="5"/>
        <w:ind w:firstLine="640" w:firstLineChars="200"/>
        <w:rPr>
          <w:rStyle w:val="15"/>
          <w:rFonts w:ascii="Times New Roman" w:hAnsi="Times New Roman"/>
          <w:b w:val="0"/>
          <w:bCs w:val="0"/>
        </w:rPr>
      </w:pPr>
      <w:bookmarkStart w:id="15" w:name="_Toc15396601"/>
      <w:bookmarkStart w:id="16" w:name="_Toc15377200"/>
      <w:r>
        <w:rPr>
          <w:rFonts w:ascii="Times New Roman" w:hAnsi="Times New Roman" w:eastAsia="黑体"/>
          <w:b w:val="0"/>
          <w:color w:val="000000"/>
        </w:rPr>
        <w:t>二、机</w:t>
      </w:r>
      <w:r>
        <w:rPr>
          <w:rStyle w:val="15"/>
          <w:rFonts w:ascii="Times New Roman" w:hAnsi="Times New Roman" w:eastAsia="黑体"/>
          <w:b w:val="0"/>
          <w:bCs w:val="0"/>
        </w:rPr>
        <w:t>构设置</w:t>
      </w:r>
      <w:bookmarkEnd w:id="15"/>
      <w:bookmarkEnd w:id="16"/>
    </w:p>
    <w:p>
      <w:pPr>
        <w:ind w:firstLine="800" w:firstLineChars="250"/>
      </w:pPr>
      <w:r>
        <w:rPr>
          <w:rFonts w:hint="eastAsia" w:eastAsia="仿宋"/>
          <w:sz w:val="32"/>
          <w:szCs w:val="32"/>
          <w:lang w:eastAsia="zh-CN"/>
        </w:rPr>
        <w:t>乐至县卫生健康系统总计</w:t>
      </w:r>
      <w:r>
        <w:rPr>
          <w:rFonts w:hint="eastAsia" w:eastAsia="仿宋"/>
          <w:sz w:val="32"/>
          <w:szCs w:val="32"/>
          <w:lang w:val="en-US" w:eastAsia="zh-CN"/>
        </w:rPr>
        <w:t>36个机构，其中：乐至县卫生健康局、2个公立医院、5个卫生健康机构（非医疗）以及28个基层医疗机构。此决算分析报告数据包含乐至县卫生健康局、2个公立医院以及28个基层医疗机构。</w:t>
      </w:r>
    </w:p>
    <w:p>
      <w:pPr>
        <w:pStyle w:val="4"/>
        <w:ind w:right="440"/>
        <w:jc w:val="right"/>
        <w:rPr>
          <w:rStyle w:val="14"/>
          <w:rFonts w:eastAsia="黑体"/>
          <w:b w:val="0"/>
          <w:bCs w:val="0"/>
        </w:rPr>
      </w:pPr>
      <w:bookmarkStart w:id="17" w:name="_Toc15396602"/>
      <w:bookmarkStart w:id="18" w:name="_Toc15377204"/>
      <w:r>
        <w:rPr>
          <w:rFonts w:eastAsia="黑体"/>
          <w:b w:val="0"/>
          <w:color w:val="000000"/>
        </w:rPr>
        <w:t>第二部分</w:t>
      </w:r>
      <w:r>
        <w:rPr>
          <w:rFonts w:eastAsia="黑体"/>
          <w:color w:val="000000"/>
        </w:rPr>
        <w:t xml:space="preserve"> </w:t>
      </w:r>
      <w:r>
        <w:rPr>
          <w:rStyle w:val="14"/>
          <w:rFonts w:eastAsia="黑体"/>
          <w:b w:val="0"/>
          <w:bCs w:val="0"/>
        </w:rPr>
        <w:t>202</w:t>
      </w:r>
      <w:r>
        <w:rPr>
          <w:rStyle w:val="14"/>
          <w:rFonts w:hint="eastAsia" w:eastAsia="黑体"/>
          <w:b w:val="0"/>
          <w:bCs w:val="0"/>
        </w:rPr>
        <w:t>1</w:t>
      </w:r>
      <w:r>
        <w:rPr>
          <w:rStyle w:val="14"/>
          <w:rFonts w:eastAsia="黑体"/>
          <w:b w:val="0"/>
          <w:bCs w:val="0"/>
        </w:rPr>
        <w:t>年度</w:t>
      </w:r>
      <w:r>
        <w:rPr>
          <w:rStyle w:val="14"/>
          <w:rFonts w:hint="eastAsia" w:eastAsia="黑体"/>
          <w:b w:val="0"/>
          <w:bCs w:val="0"/>
        </w:rPr>
        <w:t>单位</w:t>
      </w:r>
      <w:r>
        <w:rPr>
          <w:rStyle w:val="14"/>
          <w:rFonts w:eastAsia="黑体"/>
          <w:b w:val="0"/>
          <w:bCs w:val="0"/>
        </w:rPr>
        <w:t>决算情况说明</w:t>
      </w:r>
      <w:bookmarkEnd w:id="17"/>
      <w:bookmarkEnd w:id="18"/>
    </w:p>
    <w:p/>
    <w:p>
      <w:pPr>
        <w:pStyle w:val="16"/>
        <w:numPr>
          <w:ilvl w:val="0"/>
          <w:numId w:val="1"/>
        </w:numPr>
        <w:spacing w:line="600" w:lineRule="exact"/>
        <w:ind w:firstLineChars="0"/>
        <w:outlineLvl w:val="1"/>
        <w:rPr>
          <w:rStyle w:val="15"/>
          <w:rFonts w:ascii="Times New Roman" w:hAnsi="Times New Roman" w:eastAsia="黑体"/>
          <w:b w:val="0"/>
        </w:rPr>
      </w:pPr>
      <w:bookmarkStart w:id="19" w:name="_Toc15396603"/>
      <w:bookmarkStart w:id="20" w:name="_Toc15377205"/>
      <w:r>
        <w:rPr>
          <w:rFonts w:eastAsia="黑体"/>
          <w:color w:val="000000"/>
          <w:sz w:val="32"/>
          <w:szCs w:val="32"/>
        </w:rPr>
        <w:t>收</w:t>
      </w:r>
      <w:r>
        <w:rPr>
          <w:rStyle w:val="15"/>
          <w:rFonts w:ascii="Times New Roman" w:hAnsi="Times New Roman" w:eastAsia="黑体"/>
          <w:b w:val="0"/>
        </w:rPr>
        <w:t>入支出决算总体情况说明</w:t>
      </w:r>
      <w:bookmarkEnd w:id="19"/>
      <w:bookmarkEnd w:id="20"/>
    </w:p>
    <w:p>
      <w:pPr>
        <w:spacing w:line="600" w:lineRule="exact"/>
        <w:ind w:firstLine="640" w:firstLineChars="200"/>
        <w:rPr>
          <w:rFonts w:hint="eastAsia" w:ascii="Times New Roman" w:hAnsi="Times New Roman" w:eastAsia="仿宋" w:cs="Times New Roman"/>
          <w:color w:val="000000"/>
          <w:sz w:val="32"/>
          <w:szCs w:val="32"/>
        </w:rPr>
      </w:pPr>
      <w:r>
        <w:rPr>
          <w:rFonts w:hint="eastAsia" w:ascii="Times New Roman" w:hAnsi="Times New Roman" w:eastAsia="仿宋" w:cs="Times New Roman"/>
          <w:color w:val="000000"/>
          <w:sz w:val="32"/>
          <w:szCs w:val="32"/>
        </w:rPr>
        <w:t>20</w:t>
      </w:r>
      <w:r>
        <w:rPr>
          <w:rFonts w:hint="eastAsia" w:ascii="Times New Roman" w:hAnsi="Times New Roman" w:eastAsia="仿宋" w:cs="Times New Roman"/>
          <w:color w:val="000000"/>
          <w:sz w:val="32"/>
          <w:szCs w:val="32"/>
          <w:lang w:val="en-US" w:eastAsia="zh-CN"/>
        </w:rPr>
        <w:t>21</w:t>
      </w:r>
      <w:r>
        <w:rPr>
          <w:rFonts w:hint="eastAsia" w:ascii="Times New Roman" w:hAnsi="Times New Roman" w:eastAsia="仿宋" w:cs="Times New Roman"/>
          <w:color w:val="000000"/>
          <w:sz w:val="32"/>
          <w:szCs w:val="32"/>
        </w:rPr>
        <w:t>年收入总计</w:t>
      </w:r>
      <w:r>
        <w:rPr>
          <w:rFonts w:hint="eastAsia" w:ascii="Times New Roman" w:hAnsi="Times New Roman" w:eastAsia="仿宋" w:cs="Times New Roman"/>
          <w:color w:val="000000"/>
          <w:sz w:val="32"/>
          <w:szCs w:val="32"/>
          <w:lang w:val="en-US" w:eastAsia="zh-CN"/>
        </w:rPr>
        <w:t>91272.48万</w:t>
      </w:r>
      <w:r>
        <w:rPr>
          <w:rFonts w:hint="eastAsia" w:ascii="Times New Roman" w:hAnsi="Times New Roman" w:eastAsia="仿宋" w:cs="Times New Roman"/>
          <w:color w:val="000000"/>
          <w:sz w:val="32"/>
          <w:szCs w:val="32"/>
        </w:rPr>
        <w:t>元，其中：财政拨款收入</w:t>
      </w:r>
      <w:r>
        <w:rPr>
          <w:rFonts w:hint="eastAsia" w:ascii="Times New Roman" w:hAnsi="Times New Roman" w:eastAsia="仿宋" w:cs="Times New Roman"/>
          <w:color w:val="000000"/>
          <w:sz w:val="32"/>
          <w:szCs w:val="32"/>
          <w:lang w:val="en-US" w:eastAsia="zh-CN"/>
        </w:rPr>
        <w:t>10676.27万</w:t>
      </w:r>
      <w:r>
        <w:rPr>
          <w:rFonts w:hint="eastAsia" w:ascii="Times New Roman" w:hAnsi="Times New Roman" w:eastAsia="仿宋" w:cs="Times New Roman"/>
          <w:color w:val="000000"/>
          <w:sz w:val="32"/>
          <w:szCs w:val="32"/>
        </w:rPr>
        <w:t>元，</w:t>
      </w:r>
      <w:r>
        <w:rPr>
          <w:rFonts w:hint="eastAsia" w:ascii="Times New Roman" w:hAnsi="Times New Roman" w:eastAsia="仿宋" w:cs="Times New Roman"/>
          <w:color w:val="000000"/>
          <w:sz w:val="32"/>
          <w:szCs w:val="32"/>
          <w:lang w:eastAsia="zh-CN"/>
        </w:rPr>
        <w:t>政府性基金财政拨款收入</w:t>
      </w:r>
      <w:r>
        <w:rPr>
          <w:rFonts w:hint="eastAsia" w:ascii="Times New Roman" w:hAnsi="Times New Roman" w:eastAsia="仿宋" w:cs="Times New Roman"/>
          <w:color w:val="000000"/>
          <w:sz w:val="32"/>
          <w:szCs w:val="32"/>
          <w:lang w:val="en-US" w:eastAsia="zh-CN"/>
        </w:rPr>
        <w:t>0万元，</w:t>
      </w:r>
      <w:r>
        <w:rPr>
          <w:rFonts w:hint="eastAsia" w:ascii="Times New Roman" w:hAnsi="Times New Roman" w:eastAsia="仿宋" w:cs="Times New Roman"/>
          <w:color w:val="000000"/>
          <w:sz w:val="32"/>
          <w:szCs w:val="32"/>
        </w:rPr>
        <w:t>事业收入</w:t>
      </w:r>
      <w:r>
        <w:rPr>
          <w:rFonts w:hint="eastAsia" w:ascii="Times New Roman" w:hAnsi="Times New Roman" w:eastAsia="仿宋" w:cs="Times New Roman"/>
          <w:color w:val="000000"/>
          <w:sz w:val="32"/>
          <w:szCs w:val="32"/>
          <w:lang w:val="en-US" w:eastAsia="zh-CN"/>
        </w:rPr>
        <w:t>80596.21万</w:t>
      </w:r>
      <w:r>
        <w:rPr>
          <w:rFonts w:hint="eastAsia" w:ascii="Times New Roman" w:hAnsi="Times New Roman" w:eastAsia="仿宋" w:cs="Times New Roman"/>
          <w:color w:val="000000"/>
          <w:sz w:val="32"/>
          <w:szCs w:val="32"/>
        </w:rPr>
        <w:t>元。20</w:t>
      </w:r>
      <w:r>
        <w:rPr>
          <w:rFonts w:hint="eastAsia" w:ascii="Times New Roman" w:hAnsi="Times New Roman" w:eastAsia="仿宋" w:cs="Times New Roman"/>
          <w:color w:val="000000"/>
          <w:sz w:val="32"/>
          <w:szCs w:val="32"/>
          <w:lang w:val="en-US" w:eastAsia="zh-CN"/>
        </w:rPr>
        <w:t>20</w:t>
      </w:r>
      <w:r>
        <w:rPr>
          <w:rFonts w:hint="eastAsia" w:ascii="Times New Roman" w:hAnsi="Times New Roman" w:eastAsia="仿宋" w:cs="Times New Roman"/>
          <w:color w:val="000000"/>
          <w:sz w:val="32"/>
          <w:szCs w:val="32"/>
        </w:rPr>
        <w:t>年收入总计</w:t>
      </w:r>
      <w:r>
        <w:rPr>
          <w:rFonts w:hint="eastAsia" w:ascii="Times New Roman" w:hAnsi="Times New Roman" w:eastAsia="仿宋" w:cs="Times New Roman"/>
          <w:color w:val="000000"/>
          <w:sz w:val="32"/>
          <w:szCs w:val="32"/>
          <w:lang w:val="en-US" w:eastAsia="zh-CN"/>
        </w:rPr>
        <w:t>119651.99</w:t>
      </w:r>
      <w:r>
        <w:rPr>
          <w:rFonts w:hint="eastAsia" w:ascii="Times New Roman" w:hAnsi="Times New Roman" w:eastAsia="仿宋" w:cs="Times New Roman"/>
          <w:color w:val="000000"/>
          <w:sz w:val="32"/>
          <w:szCs w:val="32"/>
        </w:rPr>
        <w:t>元，比上年</w:t>
      </w:r>
      <w:r>
        <w:rPr>
          <w:rFonts w:hint="eastAsia" w:ascii="Times New Roman" w:hAnsi="Times New Roman" w:eastAsia="仿宋" w:cs="Times New Roman"/>
          <w:color w:val="000000"/>
          <w:sz w:val="32"/>
          <w:szCs w:val="32"/>
          <w:lang w:eastAsia="zh-CN"/>
        </w:rPr>
        <w:t>减少</w:t>
      </w:r>
      <w:r>
        <w:rPr>
          <w:rFonts w:hint="eastAsia" w:ascii="Times New Roman" w:hAnsi="Times New Roman" w:eastAsia="仿宋" w:cs="Times New Roman"/>
          <w:color w:val="000000"/>
          <w:sz w:val="32"/>
          <w:szCs w:val="32"/>
          <w:lang w:val="en-US" w:eastAsia="zh-CN"/>
        </w:rPr>
        <w:t>28379.51万</w:t>
      </w:r>
      <w:r>
        <w:rPr>
          <w:rFonts w:hint="eastAsia" w:ascii="Times New Roman" w:hAnsi="Times New Roman" w:eastAsia="仿宋" w:cs="Times New Roman"/>
          <w:color w:val="000000"/>
          <w:sz w:val="32"/>
          <w:szCs w:val="32"/>
        </w:rPr>
        <w:t>元</w:t>
      </w:r>
      <w:r>
        <w:rPr>
          <w:rFonts w:hint="eastAsia" w:ascii="Times New Roman" w:hAnsi="Times New Roman" w:eastAsia="仿宋" w:cs="Times New Roman"/>
          <w:color w:val="000000"/>
          <w:sz w:val="32"/>
          <w:szCs w:val="32"/>
          <w:lang w:eastAsia="zh-CN"/>
        </w:rPr>
        <w:t>；</w:t>
      </w:r>
      <w:r>
        <w:rPr>
          <w:rFonts w:hint="eastAsia" w:ascii="Times New Roman" w:hAnsi="Times New Roman" w:eastAsia="仿宋" w:cs="Times New Roman"/>
          <w:color w:val="000000"/>
          <w:sz w:val="32"/>
          <w:szCs w:val="32"/>
          <w:lang w:val="en-US" w:eastAsia="zh-CN"/>
        </w:rPr>
        <w:t>2021年</w:t>
      </w:r>
      <w:r>
        <w:rPr>
          <w:rFonts w:hint="eastAsia" w:ascii="Times New Roman" w:hAnsi="Times New Roman" w:eastAsia="仿宋" w:cs="Times New Roman"/>
          <w:color w:val="000000"/>
          <w:sz w:val="32"/>
          <w:szCs w:val="32"/>
        </w:rPr>
        <w:t>支出总计</w:t>
      </w:r>
      <w:r>
        <w:rPr>
          <w:rFonts w:hint="eastAsia" w:ascii="Times New Roman" w:hAnsi="Times New Roman" w:eastAsia="仿宋" w:cs="Times New Roman"/>
          <w:color w:val="000000"/>
          <w:sz w:val="32"/>
          <w:szCs w:val="32"/>
          <w:lang w:val="en-US" w:eastAsia="zh-CN"/>
        </w:rPr>
        <w:t>91431.82万</w:t>
      </w:r>
      <w:r>
        <w:rPr>
          <w:rFonts w:hint="eastAsia" w:ascii="Times New Roman" w:hAnsi="Times New Roman" w:eastAsia="仿宋" w:cs="Times New Roman"/>
          <w:color w:val="000000"/>
          <w:sz w:val="32"/>
          <w:szCs w:val="32"/>
        </w:rPr>
        <w:t>元，其中：财政拨款</w:t>
      </w:r>
      <w:r>
        <w:rPr>
          <w:rFonts w:hint="eastAsia" w:ascii="Times New Roman" w:hAnsi="Times New Roman" w:eastAsia="仿宋" w:cs="Times New Roman"/>
          <w:color w:val="000000"/>
          <w:sz w:val="32"/>
          <w:szCs w:val="32"/>
          <w:lang w:eastAsia="zh-CN"/>
        </w:rPr>
        <w:t>支出</w:t>
      </w:r>
      <w:r>
        <w:rPr>
          <w:rFonts w:hint="eastAsia" w:ascii="Times New Roman" w:hAnsi="Times New Roman" w:eastAsia="仿宋" w:cs="Times New Roman"/>
          <w:color w:val="000000"/>
          <w:sz w:val="32"/>
          <w:szCs w:val="32"/>
          <w:lang w:val="en-US" w:eastAsia="zh-CN"/>
        </w:rPr>
        <w:t>10627.63万</w:t>
      </w:r>
      <w:r>
        <w:rPr>
          <w:rFonts w:hint="eastAsia" w:ascii="Times New Roman" w:hAnsi="Times New Roman" w:eastAsia="仿宋" w:cs="Times New Roman"/>
          <w:color w:val="000000"/>
          <w:sz w:val="32"/>
          <w:szCs w:val="32"/>
        </w:rPr>
        <w:t>元，</w:t>
      </w:r>
      <w:r>
        <w:rPr>
          <w:rFonts w:hint="eastAsia" w:ascii="Times New Roman" w:hAnsi="Times New Roman" w:eastAsia="仿宋" w:cs="Times New Roman"/>
          <w:color w:val="000000"/>
          <w:sz w:val="32"/>
          <w:szCs w:val="32"/>
          <w:lang w:eastAsia="zh-CN"/>
        </w:rPr>
        <w:t>政府性基金财政拨款支出</w:t>
      </w:r>
      <w:r>
        <w:rPr>
          <w:rFonts w:hint="eastAsia" w:ascii="Times New Roman" w:hAnsi="Times New Roman" w:eastAsia="仿宋" w:cs="Times New Roman"/>
          <w:color w:val="000000"/>
          <w:sz w:val="32"/>
          <w:szCs w:val="32"/>
          <w:lang w:val="en-US" w:eastAsia="zh-CN"/>
        </w:rPr>
        <w:t>0万元，</w:t>
      </w:r>
      <w:r>
        <w:rPr>
          <w:rFonts w:hint="eastAsia" w:ascii="Times New Roman" w:hAnsi="Times New Roman" w:eastAsia="仿宋" w:cs="Times New Roman"/>
          <w:color w:val="000000"/>
          <w:sz w:val="32"/>
          <w:szCs w:val="32"/>
        </w:rPr>
        <w:t>事业</w:t>
      </w:r>
      <w:r>
        <w:rPr>
          <w:rFonts w:hint="eastAsia" w:ascii="Times New Roman" w:hAnsi="Times New Roman" w:eastAsia="仿宋" w:cs="Times New Roman"/>
          <w:color w:val="000000"/>
          <w:sz w:val="32"/>
          <w:szCs w:val="32"/>
          <w:lang w:eastAsia="zh-CN"/>
        </w:rPr>
        <w:t>支出</w:t>
      </w:r>
      <w:r>
        <w:rPr>
          <w:rFonts w:hint="eastAsia" w:ascii="Times New Roman" w:hAnsi="Times New Roman" w:eastAsia="仿宋" w:cs="Times New Roman"/>
          <w:color w:val="000000"/>
          <w:sz w:val="32"/>
          <w:szCs w:val="32"/>
          <w:lang w:val="en-US" w:eastAsia="zh-CN"/>
        </w:rPr>
        <w:t>80804.19万</w:t>
      </w:r>
      <w:r>
        <w:rPr>
          <w:rFonts w:hint="eastAsia" w:ascii="Times New Roman" w:hAnsi="Times New Roman" w:eastAsia="仿宋" w:cs="Times New Roman"/>
          <w:color w:val="000000"/>
          <w:sz w:val="32"/>
          <w:szCs w:val="32"/>
        </w:rPr>
        <w:t>元。</w:t>
      </w:r>
      <w:r>
        <w:rPr>
          <w:rFonts w:hint="eastAsia" w:ascii="Times New Roman" w:hAnsi="Times New Roman" w:eastAsia="仿宋" w:cs="Times New Roman"/>
          <w:color w:val="000000"/>
          <w:sz w:val="32"/>
          <w:szCs w:val="32"/>
          <w:lang w:val="en-US" w:eastAsia="zh-CN"/>
        </w:rPr>
        <w:t>2020年</w:t>
      </w:r>
      <w:r>
        <w:rPr>
          <w:rFonts w:hint="eastAsia" w:ascii="Times New Roman" w:hAnsi="Times New Roman" w:eastAsia="仿宋" w:cs="Times New Roman"/>
          <w:color w:val="000000"/>
          <w:sz w:val="32"/>
          <w:szCs w:val="32"/>
        </w:rPr>
        <w:t>支出总计</w:t>
      </w:r>
      <w:r>
        <w:rPr>
          <w:rFonts w:hint="eastAsia" w:ascii="Times New Roman" w:hAnsi="Times New Roman" w:eastAsia="仿宋" w:cs="Times New Roman"/>
          <w:color w:val="000000"/>
          <w:sz w:val="32"/>
          <w:szCs w:val="32"/>
          <w:lang w:val="en-US" w:eastAsia="zh-CN"/>
        </w:rPr>
        <w:t>114474.58万</w:t>
      </w:r>
      <w:r>
        <w:rPr>
          <w:rFonts w:hint="eastAsia" w:ascii="Times New Roman" w:hAnsi="Times New Roman" w:eastAsia="仿宋" w:cs="Times New Roman"/>
          <w:color w:val="000000"/>
          <w:sz w:val="32"/>
          <w:szCs w:val="32"/>
        </w:rPr>
        <w:t>元，比上年</w:t>
      </w:r>
      <w:r>
        <w:rPr>
          <w:rFonts w:hint="eastAsia" w:ascii="Times New Roman" w:hAnsi="Times New Roman" w:eastAsia="仿宋" w:cs="Times New Roman"/>
          <w:color w:val="000000"/>
          <w:sz w:val="32"/>
          <w:szCs w:val="32"/>
          <w:lang w:eastAsia="zh-CN"/>
        </w:rPr>
        <w:t>减少</w:t>
      </w:r>
      <w:r>
        <w:rPr>
          <w:rFonts w:hint="eastAsia" w:ascii="Times New Roman" w:hAnsi="Times New Roman" w:eastAsia="仿宋" w:cs="Times New Roman"/>
          <w:color w:val="000000"/>
          <w:sz w:val="32"/>
          <w:szCs w:val="32"/>
          <w:lang w:val="en-US" w:eastAsia="zh-CN"/>
        </w:rPr>
        <w:t>23042.76万</w:t>
      </w:r>
      <w:r>
        <w:rPr>
          <w:rFonts w:hint="eastAsia" w:ascii="Times New Roman" w:hAnsi="Times New Roman" w:eastAsia="仿宋" w:cs="Times New Roman"/>
          <w:color w:val="000000"/>
          <w:sz w:val="32"/>
          <w:szCs w:val="32"/>
        </w:rPr>
        <w:t>元</w:t>
      </w:r>
      <w:r>
        <w:rPr>
          <w:rFonts w:hint="eastAsia" w:ascii="Times New Roman" w:hAnsi="Times New Roman" w:eastAsia="仿宋" w:cs="Times New Roman"/>
          <w:color w:val="000000"/>
          <w:sz w:val="32"/>
          <w:szCs w:val="32"/>
          <w:lang w:eastAsia="zh-CN"/>
        </w:rPr>
        <w:t>，收入与支出的</w:t>
      </w:r>
      <w:r>
        <w:rPr>
          <w:rFonts w:hint="eastAsia" w:ascii="Times New Roman" w:hAnsi="Times New Roman" w:eastAsia="仿宋" w:cs="Times New Roman"/>
          <w:color w:val="000000"/>
          <w:sz w:val="32"/>
          <w:szCs w:val="32"/>
        </w:rPr>
        <w:t>主要变动原因是</w:t>
      </w:r>
      <w:r>
        <w:rPr>
          <w:rFonts w:hint="eastAsia" w:ascii="Times New Roman" w:hAnsi="Times New Roman" w:eastAsia="仿宋" w:cs="Times New Roman"/>
          <w:color w:val="000000"/>
          <w:sz w:val="32"/>
          <w:szCs w:val="32"/>
          <w:lang w:eastAsia="zh-CN"/>
        </w:rPr>
        <w:t>局机关</w:t>
      </w:r>
      <w:r>
        <w:rPr>
          <w:rFonts w:hint="eastAsia" w:eastAsia="仿宋"/>
          <w:color w:val="000000"/>
          <w:sz w:val="32"/>
          <w:szCs w:val="32"/>
          <w:lang w:val="en-US" w:eastAsia="zh-CN"/>
        </w:rPr>
        <w:t>2021年比上年减少了抗疫特别国债资金收支以及政府债券资金</w:t>
      </w:r>
      <w:r>
        <w:rPr>
          <w:rFonts w:eastAsia="仿宋"/>
          <w:color w:val="000000"/>
          <w:sz w:val="32"/>
          <w:szCs w:val="32"/>
        </w:rPr>
        <w:t>。</w:t>
      </w:r>
    </w:p>
    <w:p>
      <w:pPr>
        <w:pStyle w:val="16"/>
        <w:numPr>
          <w:ilvl w:val="0"/>
          <w:numId w:val="1"/>
        </w:numPr>
        <w:spacing w:line="600" w:lineRule="exact"/>
        <w:ind w:firstLineChars="0"/>
        <w:outlineLvl w:val="1"/>
        <w:rPr>
          <w:rStyle w:val="15"/>
          <w:rFonts w:ascii="Times New Roman" w:hAnsi="Times New Roman" w:eastAsia="黑体"/>
          <w:b w:val="0"/>
        </w:rPr>
      </w:pPr>
      <w:bookmarkStart w:id="21" w:name="_Toc15396604"/>
      <w:bookmarkStart w:id="22" w:name="_Toc15377206"/>
      <w:r>
        <w:rPr>
          <w:rFonts w:eastAsia="黑体"/>
          <w:color w:val="000000"/>
          <w:sz w:val="32"/>
          <w:szCs w:val="32"/>
        </w:rPr>
        <w:t>收</w:t>
      </w:r>
      <w:r>
        <w:rPr>
          <w:rStyle w:val="15"/>
          <w:rFonts w:ascii="Times New Roman" w:hAnsi="Times New Roman" w:eastAsia="黑体"/>
          <w:b w:val="0"/>
        </w:rPr>
        <w:t>入决算情况说明</w:t>
      </w:r>
      <w:bookmarkEnd w:id="21"/>
      <w:bookmarkEnd w:id="22"/>
    </w:p>
    <w:p>
      <w:pPr>
        <w:spacing w:line="600" w:lineRule="exact"/>
        <w:ind w:firstLine="420" w:firstLineChars="200"/>
        <w:outlineLvl w:val="1"/>
        <w:rPr>
          <w:rFonts w:eastAsia="仿宋"/>
          <w:i/>
          <w:color w:val="000000"/>
          <w:sz w:val="32"/>
          <w:szCs w:val="32"/>
          <w:highlight w:val="none"/>
        </w:rPr>
      </w:pPr>
      <w:r>
        <w:rPr>
          <w:rFonts w:hint="eastAsia" w:eastAsia="宋体"/>
          <w:lang w:eastAsia="zh-CN"/>
        </w:rPr>
        <w:drawing>
          <wp:anchor distT="0" distB="0" distL="114300" distR="114300" simplePos="0" relativeHeight="251659264" behindDoc="0" locked="0" layoutInCell="1" allowOverlap="1">
            <wp:simplePos x="0" y="0"/>
            <wp:positionH relativeFrom="column">
              <wp:posOffset>2098675</wp:posOffset>
            </wp:positionH>
            <wp:positionV relativeFrom="paragraph">
              <wp:posOffset>497840</wp:posOffset>
            </wp:positionV>
            <wp:extent cx="3209290" cy="2167890"/>
            <wp:effectExtent l="5080" t="4445" r="5080" b="18415"/>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anchor>
        </w:drawing>
      </w:r>
      <w:r>
        <w:rPr>
          <w:rFonts w:hint="eastAsia" w:eastAsia="仿宋"/>
          <w:color w:val="000000"/>
          <w:sz w:val="32"/>
          <w:szCs w:val="32"/>
        </w:rPr>
        <w:t>2021年</w:t>
      </w:r>
      <w:r>
        <w:rPr>
          <w:rFonts w:eastAsia="仿宋"/>
          <w:color w:val="000000"/>
          <w:sz w:val="32"/>
          <w:szCs w:val="32"/>
        </w:rPr>
        <w:t>本年收入合计</w:t>
      </w:r>
      <w:r>
        <w:rPr>
          <w:rFonts w:hint="eastAsia" w:ascii="Times New Roman" w:hAnsi="Times New Roman" w:eastAsia="仿宋" w:cs="Times New Roman"/>
          <w:color w:val="000000"/>
          <w:sz w:val="32"/>
          <w:szCs w:val="32"/>
          <w:lang w:val="en-US" w:eastAsia="zh-CN"/>
        </w:rPr>
        <w:t>91272.48</w:t>
      </w:r>
      <w:r>
        <w:rPr>
          <w:rFonts w:eastAsia="仿宋"/>
          <w:color w:val="000000"/>
          <w:sz w:val="32"/>
          <w:szCs w:val="32"/>
        </w:rPr>
        <w:t>万元，其中：一般公共预算财政拨款收入</w:t>
      </w:r>
      <w:r>
        <w:rPr>
          <w:rFonts w:hint="eastAsia" w:ascii="Times New Roman" w:hAnsi="Times New Roman" w:eastAsia="仿宋" w:cs="Times New Roman"/>
          <w:color w:val="000000"/>
          <w:sz w:val="32"/>
          <w:szCs w:val="32"/>
          <w:lang w:val="en-US" w:eastAsia="zh-CN"/>
        </w:rPr>
        <w:t>10676.27</w:t>
      </w:r>
      <w:r>
        <w:rPr>
          <w:rFonts w:eastAsia="仿宋"/>
          <w:color w:val="000000"/>
          <w:sz w:val="32"/>
          <w:szCs w:val="32"/>
        </w:rPr>
        <w:t>万元，占</w:t>
      </w:r>
      <w:r>
        <w:rPr>
          <w:rFonts w:hint="eastAsia" w:eastAsia="仿宋"/>
          <w:color w:val="000000"/>
          <w:sz w:val="32"/>
          <w:szCs w:val="32"/>
          <w:lang w:val="en-US" w:eastAsia="zh-CN"/>
        </w:rPr>
        <w:t>12</w:t>
      </w:r>
      <w:r>
        <w:rPr>
          <w:rFonts w:eastAsia="仿宋"/>
          <w:color w:val="000000"/>
          <w:sz w:val="32"/>
          <w:szCs w:val="32"/>
        </w:rPr>
        <w:t>%</w:t>
      </w:r>
      <w:r>
        <w:rPr>
          <w:rFonts w:hint="eastAsia" w:eastAsia="仿宋"/>
          <w:color w:val="000000"/>
          <w:sz w:val="32"/>
          <w:szCs w:val="32"/>
          <w:lang w:eastAsia="zh-CN"/>
        </w:rPr>
        <w:t>；事业</w:t>
      </w:r>
      <w:r>
        <w:rPr>
          <w:rFonts w:eastAsia="仿宋"/>
          <w:color w:val="000000"/>
          <w:sz w:val="32"/>
          <w:szCs w:val="32"/>
        </w:rPr>
        <w:t>收入</w:t>
      </w:r>
      <w:r>
        <w:rPr>
          <w:rFonts w:hint="eastAsia" w:ascii="Times New Roman" w:hAnsi="Times New Roman" w:eastAsia="仿宋" w:cs="Times New Roman"/>
          <w:color w:val="000000"/>
          <w:sz w:val="32"/>
          <w:szCs w:val="32"/>
          <w:lang w:val="en-US" w:eastAsia="zh-CN"/>
        </w:rPr>
        <w:t>80596.21</w:t>
      </w:r>
      <w:r>
        <w:rPr>
          <w:rFonts w:eastAsia="仿宋"/>
          <w:color w:val="000000"/>
          <w:sz w:val="32"/>
          <w:szCs w:val="32"/>
        </w:rPr>
        <w:t>万元，占</w:t>
      </w:r>
      <w:r>
        <w:rPr>
          <w:rFonts w:hint="eastAsia" w:eastAsia="仿宋"/>
          <w:color w:val="000000"/>
          <w:sz w:val="32"/>
          <w:szCs w:val="32"/>
          <w:lang w:val="en-US" w:eastAsia="zh-CN"/>
        </w:rPr>
        <w:t>88</w:t>
      </w:r>
      <w:r>
        <w:rPr>
          <w:rFonts w:eastAsia="仿宋"/>
          <w:color w:val="000000"/>
          <w:sz w:val="32"/>
          <w:szCs w:val="32"/>
        </w:rPr>
        <w:t>%。</w:t>
      </w:r>
    </w:p>
    <w:p>
      <w:pPr>
        <w:rPr>
          <w:rFonts w:hint="eastAsia" w:eastAsia="宋体"/>
          <w:lang w:eastAsia="zh-CN"/>
        </w:rPr>
      </w:pPr>
    </w:p>
    <w:p>
      <w:pPr>
        <w:pStyle w:val="2"/>
        <w:rPr>
          <w:rFonts w:hint="eastAsia" w:eastAsia="宋体"/>
          <w:lang w:eastAsia="zh-CN"/>
        </w:rPr>
      </w:pPr>
    </w:p>
    <w:p>
      <w:pPr>
        <w:pStyle w:val="2"/>
        <w:rPr>
          <w:rFonts w:hint="eastAsia" w:eastAsia="宋体"/>
          <w:lang w:eastAsia="zh-CN"/>
        </w:rPr>
      </w:pPr>
    </w:p>
    <w:p>
      <w:pPr>
        <w:pStyle w:val="16"/>
        <w:numPr>
          <w:ilvl w:val="0"/>
          <w:numId w:val="1"/>
        </w:numPr>
        <w:spacing w:line="600" w:lineRule="exact"/>
        <w:ind w:firstLineChars="0"/>
        <w:outlineLvl w:val="1"/>
        <w:rPr>
          <w:rStyle w:val="15"/>
          <w:rFonts w:ascii="Times New Roman" w:hAnsi="Times New Roman" w:eastAsia="黑体"/>
          <w:b w:val="0"/>
        </w:rPr>
      </w:pPr>
      <w:bookmarkStart w:id="23" w:name="_Toc15377207"/>
      <w:bookmarkStart w:id="24" w:name="_Toc15396605"/>
      <w:r>
        <w:rPr>
          <w:rFonts w:eastAsia="黑体"/>
          <w:color w:val="000000"/>
          <w:sz w:val="32"/>
          <w:szCs w:val="32"/>
        </w:rPr>
        <w:t>支</w:t>
      </w:r>
      <w:r>
        <w:rPr>
          <w:rStyle w:val="15"/>
          <w:rFonts w:ascii="Times New Roman" w:hAnsi="Times New Roman" w:eastAsia="黑体"/>
          <w:b w:val="0"/>
        </w:rPr>
        <w:t>出决算情况说明</w:t>
      </w:r>
      <w:bookmarkEnd w:id="23"/>
      <w:bookmarkEnd w:id="24"/>
    </w:p>
    <w:p>
      <w:pPr>
        <w:spacing w:line="600" w:lineRule="exact"/>
        <w:ind w:firstLine="640" w:firstLineChars="200"/>
        <w:outlineLvl w:val="1"/>
        <w:rPr>
          <w:rFonts w:eastAsia="仿宋"/>
          <w:i/>
          <w:color w:val="000000"/>
          <w:sz w:val="32"/>
          <w:szCs w:val="32"/>
          <w:highlight w:val="yellow"/>
        </w:rPr>
      </w:pPr>
      <w:r>
        <w:rPr>
          <w:rFonts w:hint="eastAsia" w:eastAsia="仿宋"/>
          <w:color w:val="000000"/>
          <w:sz w:val="32"/>
          <w:szCs w:val="32"/>
        </w:rPr>
        <w:t>2021年</w:t>
      </w:r>
      <w:r>
        <w:rPr>
          <w:rFonts w:eastAsia="仿宋"/>
          <w:color w:val="000000"/>
          <w:sz w:val="32"/>
          <w:szCs w:val="32"/>
        </w:rPr>
        <w:t>本年支出合计</w:t>
      </w:r>
      <w:r>
        <w:rPr>
          <w:rFonts w:hint="eastAsia" w:ascii="Times New Roman" w:hAnsi="Times New Roman" w:eastAsia="仿宋" w:cs="Times New Roman"/>
          <w:color w:val="000000"/>
          <w:sz w:val="32"/>
          <w:szCs w:val="32"/>
          <w:lang w:val="en-US" w:eastAsia="zh-CN"/>
        </w:rPr>
        <w:t>91431.82</w:t>
      </w:r>
      <w:r>
        <w:rPr>
          <w:rFonts w:eastAsia="仿宋"/>
          <w:color w:val="000000"/>
          <w:sz w:val="32"/>
          <w:szCs w:val="32"/>
        </w:rPr>
        <w:t>万元，其中：一般公共预算财政拨款</w:t>
      </w:r>
      <w:r>
        <w:rPr>
          <w:rFonts w:hint="eastAsia" w:eastAsia="仿宋"/>
          <w:color w:val="000000"/>
          <w:sz w:val="32"/>
          <w:szCs w:val="32"/>
          <w:lang w:eastAsia="zh-CN"/>
        </w:rPr>
        <w:t>支出</w:t>
      </w:r>
      <w:r>
        <w:rPr>
          <w:rFonts w:hint="eastAsia" w:eastAsia="仿宋"/>
          <w:color w:val="000000"/>
          <w:sz w:val="32"/>
          <w:szCs w:val="32"/>
          <w:lang w:val="en-US" w:eastAsia="zh-CN"/>
        </w:rPr>
        <w:t>10627.63万</w:t>
      </w:r>
      <w:r>
        <w:rPr>
          <w:rFonts w:hint="eastAsia" w:eastAsia="仿宋"/>
          <w:color w:val="000000"/>
          <w:sz w:val="32"/>
          <w:szCs w:val="32"/>
        </w:rPr>
        <w:t>元，</w:t>
      </w:r>
      <w:r>
        <w:rPr>
          <w:rFonts w:hint="eastAsia" w:eastAsia="仿宋"/>
          <w:color w:val="000000"/>
          <w:sz w:val="32"/>
          <w:szCs w:val="32"/>
          <w:lang w:eastAsia="zh-CN"/>
        </w:rPr>
        <w:t>占</w:t>
      </w:r>
      <w:r>
        <w:rPr>
          <w:rFonts w:hint="eastAsia" w:eastAsia="仿宋"/>
          <w:color w:val="000000"/>
          <w:sz w:val="32"/>
          <w:szCs w:val="32"/>
          <w:lang w:val="en-US" w:eastAsia="zh-CN"/>
        </w:rPr>
        <w:t>12%；</w:t>
      </w:r>
      <w:r>
        <w:rPr>
          <w:rFonts w:hint="eastAsia" w:eastAsia="仿宋"/>
          <w:color w:val="000000"/>
          <w:sz w:val="32"/>
          <w:szCs w:val="32"/>
        </w:rPr>
        <w:t>事业</w:t>
      </w:r>
      <w:r>
        <w:rPr>
          <w:rFonts w:hint="eastAsia" w:eastAsia="仿宋"/>
          <w:color w:val="000000"/>
          <w:sz w:val="32"/>
          <w:szCs w:val="32"/>
          <w:lang w:eastAsia="zh-CN"/>
        </w:rPr>
        <w:t>支出</w:t>
      </w:r>
      <w:r>
        <w:rPr>
          <w:rFonts w:hint="eastAsia" w:eastAsia="仿宋"/>
          <w:color w:val="000000"/>
          <w:sz w:val="32"/>
          <w:szCs w:val="32"/>
          <w:lang w:val="en-US" w:eastAsia="zh-CN"/>
        </w:rPr>
        <w:t>80804.19万</w:t>
      </w:r>
      <w:r>
        <w:rPr>
          <w:rFonts w:hint="eastAsia" w:eastAsia="仿宋"/>
          <w:color w:val="000000"/>
          <w:sz w:val="32"/>
          <w:szCs w:val="32"/>
        </w:rPr>
        <w:t>元</w:t>
      </w:r>
      <w:r>
        <w:rPr>
          <w:rFonts w:hint="eastAsia" w:eastAsia="仿宋"/>
          <w:color w:val="000000"/>
          <w:sz w:val="32"/>
          <w:szCs w:val="32"/>
          <w:lang w:eastAsia="zh-CN"/>
        </w:rPr>
        <w:t>，占</w:t>
      </w:r>
      <w:r>
        <w:rPr>
          <w:rFonts w:hint="eastAsia" w:eastAsia="仿宋"/>
          <w:color w:val="000000"/>
          <w:sz w:val="32"/>
          <w:szCs w:val="32"/>
          <w:lang w:val="en-US" w:eastAsia="zh-CN"/>
        </w:rPr>
        <w:t>88%</w:t>
      </w:r>
      <w:r>
        <w:rPr>
          <w:rFonts w:hint="eastAsia" w:eastAsia="仿宋"/>
          <w:color w:val="000000"/>
          <w:sz w:val="32"/>
          <w:szCs w:val="32"/>
        </w:rPr>
        <w:t>。</w:t>
      </w:r>
    </w:p>
    <w:p>
      <w:pPr>
        <w:pStyle w:val="2"/>
        <w:ind w:left="0" w:leftChars="0" w:firstLine="0" w:firstLineChars="0"/>
        <w:rPr>
          <w:rFonts w:hint="eastAsia" w:eastAsia="宋体"/>
          <w:lang w:eastAsia="zh-CN"/>
        </w:rPr>
      </w:pPr>
      <w:r>
        <w:rPr>
          <w:rFonts w:hint="eastAsia" w:eastAsia="宋体"/>
          <w:lang w:eastAsia="zh-CN"/>
        </w:rPr>
        <w:drawing>
          <wp:anchor distT="0" distB="0" distL="114300" distR="114300" simplePos="0" relativeHeight="251660288" behindDoc="0" locked="0" layoutInCell="1" allowOverlap="1">
            <wp:simplePos x="0" y="0"/>
            <wp:positionH relativeFrom="column">
              <wp:posOffset>1042035</wp:posOffset>
            </wp:positionH>
            <wp:positionV relativeFrom="paragraph">
              <wp:posOffset>63500</wp:posOffset>
            </wp:positionV>
            <wp:extent cx="3620135" cy="2690495"/>
            <wp:effectExtent l="4445" t="4445" r="13970" b="10160"/>
            <wp:wrapSquare wrapText="bothSides"/>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p>
    <w:p>
      <w:pPr>
        <w:pStyle w:val="2"/>
        <w:ind w:left="0" w:leftChars="0" w:firstLine="0" w:firstLineChars="0"/>
        <w:rPr>
          <w:rFonts w:hint="eastAsia" w:eastAsia="宋体"/>
          <w:lang w:eastAsia="zh-CN"/>
        </w:rPr>
      </w:pPr>
    </w:p>
    <w:p>
      <w:pPr>
        <w:pStyle w:val="2"/>
        <w:ind w:left="0" w:leftChars="0" w:firstLine="0" w:firstLineChars="0"/>
        <w:rPr>
          <w:rFonts w:hint="eastAsia" w:eastAsia="宋体"/>
          <w:lang w:eastAsia="zh-CN"/>
        </w:rPr>
      </w:pPr>
    </w:p>
    <w:p>
      <w:pPr>
        <w:pStyle w:val="2"/>
        <w:ind w:left="0" w:leftChars="0" w:firstLine="0" w:firstLineChars="0"/>
        <w:rPr>
          <w:rFonts w:hint="eastAsia" w:eastAsia="宋体"/>
          <w:lang w:eastAsia="zh-CN"/>
        </w:rPr>
      </w:pPr>
    </w:p>
    <w:p>
      <w:pPr>
        <w:pStyle w:val="2"/>
        <w:ind w:left="0" w:leftChars="0" w:firstLine="0" w:firstLineChars="0"/>
        <w:rPr>
          <w:rFonts w:hint="eastAsia" w:eastAsia="宋体"/>
          <w:lang w:eastAsia="zh-CN"/>
        </w:rPr>
      </w:pPr>
    </w:p>
    <w:p>
      <w:pPr>
        <w:pStyle w:val="2"/>
        <w:ind w:left="0" w:leftChars="0" w:firstLine="0" w:firstLineChars="0"/>
        <w:rPr>
          <w:rFonts w:hint="eastAsia" w:eastAsia="宋体"/>
          <w:lang w:eastAsia="zh-CN"/>
        </w:rPr>
      </w:pPr>
    </w:p>
    <w:p>
      <w:pPr>
        <w:spacing w:line="600" w:lineRule="exact"/>
        <w:ind w:firstLine="640" w:firstLineChars="200"/>
        <w:outlineLvl w:val="1"/>
        <w:rPr>
          <w:rStyle w:val="15"/>
          <w:rFonts w:ascii="Times New Roman" w:hAnsi="Times New Roman" w:eastAsia="黑体"/>
          <w:b w:val="0"/>
        </w:rPr>
      </w:pPr>
      <w:r>
        <w:rPr>
          <w:rFonts w:hint="eastAsia" w:eastAsia="黑体"/>
          <w:color w:val="000000"/>
          <w:sz w:val="32"/>
          <w:szCs w:val="32"/>
          <w:lang w:eastAsia="zh-CN"/>
        </w:rPr>
        <w:t>四、</w:t>
      </w:r>
      <w:r>
        <w:rPr>
          <w:rFonts w:eastAsia="黑体"/>
          <w:color w:val="000000"/>
          <w:sz w:val="32"/>
          <w:szCs w:val="32"/>
        </w:rPr>
        <w:t>财</w:t>
      </w:r>
      <w:r>
        <w:rPr>
          <w:rStyle w:val="15"/>
          <w:rFonts w:ascii="Times New Roman" w:hAnsi="Times New Roman" w:eastAsia="黑体"/>
          <w:b w:val="0"/>
        </w:rPr>
        <w:t>政拨款收入支出决算总体情况说明</w:t>
      </w:r>
    </w:p>
    <w:p>
      <w:pPr>
        <w:pStyle w:val="2"/>
        <w:ind w:left="0" w:leftChars="0" w:firstLine="640" w:firstLineChars="200"/>
        <w:rPr>
          <w:rFonts w:hint="default" w:ascii="Times New Roman" w:hAnsi="Times New Roman" w:eastAsia="仿宋" w:cs="Times New Roman"/>
          <w:color w:val="000000"/>
          <w:kern w:val="2"/>
          <w:sz w:val="32"/>
          <w:szCs w:val="32"/>
          <w:lang w:val="en-US" w:eastAsia="zh-CN" w:bidi="ar-SA"/>
        </w:rPr>
      </w:pPr>
      <w:r>
        <w:rPr>
          <w:rFonts w:hint="eastAsia" w:ascii="Times New Roman" w:hAnsi="Times New Roman" w:eastAsia="仿宋" w:cs="Times New Roman"/>
          <w:color w:val="000000"/>
          <w:kern w:val="2"/>
          <w:sz w:val="32"/>
          <w:szCs w:val="32"/>
          <w:lang w:val="en-US" w:eastAsia="zh-CN" w:bidi="ar-SA"/>
        </w:rPr>
        <w:t>2021年财政拨款收入</w:t>
      </w:r>
      <w:r>
        <w:rPr>
          <w:rFonts w:hint="eastAsia" w:ascii="Times New Roman" w:hAnsi="Times New Roman" w:eastAsia="仿宋" w:cs="Times New Roman"/>
          <w:color w:val="000000"/>
          <w:sz w:val="32"/>
          <w:szCs w:val="32"/>
          <w:lang w:val="en-US" w:eastAsia="zh-CN"/>
        </w:rPr>
        <w:t>10676.27</w:t>
      </w:r>
      <w:r>
        <w:rPr>
          <w:rFonts w:hint="eastAsia" w:ascii="Times New Roman" w:hAnsi="Times New Roman" w:eastAsia="仿宋" w:cs="Times New Roman"/>
          <w:color w:val="000000"/>
          <w:kern w:val="2"/>
          <w:sz w:val="32"/>
          <w:szCs w:val="32"/>
          <w:lang w:val="en-US" w:eastAsia="zh-CN" w:bidi="ar-SA"/>
        </w:rPr>
        <w:t>万元，2020年财政拨款收入22890.78万元，比上年减少12214.51万元。2021年财政拨款支出</w:t>
      </w:r>
      <w:r>
        <w:rPr>
          <w:rFonts w:hint="eastAsia" w:eastAsia="仿宋"/>
          <w:color w:val="000000"/>
          <w:sz w:val="32"/>
          <w:szCs w:val="32"/>
          <w:lang w:val="en-US" w:eastAsia="zh-CN"/>
        </w:rPr>
        <w:t>10627.63</w:t>
      </w:r>
      <w:r>
        <w:rPr>
          <w:rFonts w:hint="eastAsia" w:ascii="Times New Roman" w:hAnsi="Times New Roman" w:eastAsia="仿宋" w:cs="Times New Roman"/>
          <w:color w:val="000000"/>
          <w:kern w:val="2"/>
          <w:sz w:val="32"/>
          <w:szCs w:val="32"/>
          <w:lang w:val="en-US" w:eastAsia="zh-CN" w:bidi="ar-SA"/>
        </w:rPr>
        <w:t>万元，2020年度财政拨款支出23299.86万元，比上年减少12672.23万元。收支增加幅度过大主要因为：1.局机关2020年度新增了2020年专项债券资金、新冠疫情防控特别国债补助、艾滋病专项资金、疫苗冷链能力建设等专项工作经费收支；2.基层医疗机构人员经费拨款未及时下达。</w:t>
      </w:r>
    </w:p>
    <w:p>
      <w:pPr>
        <w:pStyle w:val="2"/>
        <w:ind w:left="0" w:leftChars="0" w:firstLine="0" w:firstLineChars="0"/>
        <w:rPr>
          <w:rFonts w:hint="eastAsia" w:eastAsia="宋体"/>
          <w:lang w:eastAsia="zh-CN"/>
        </w:rPr>
      </w:pPr>
      <w:r>
        <w:rPr>
          <w:rFonts w:hint="eastAsia" w:eastAsia="宋体"/>
          <w:lang w:eastAsia="zh-CN"/>
        </w:rPr>
        <w:drawing>
          <wp:inline distT="0" distB="0" distL="114300" distR="114300">
            <wp:extent cx="5080000" cy="3810000"/>
            <wp:effectExtent l="4445" t="4445" r="2095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3" w:firstLineChars="200"/>
        <w:outlineLvl w:val="1"/>
        <w:rPr>
          <w:rStyle w:val="17"/>
          <w:rFonts w:ascii="黑体" w:hAnsi="黑体" w:eastAsia="黑体"/>
          <w:b w:val="0"/>
        </w:rPr>
      </w:pPr>
      <w:r>
        <w:rPr>
          <w:rFonts w:hint="eastAsia" w:ascii="黑体" w:hAnsi="黑体" w:eastAsia="黑体"/>
          <w:b/>
          <w:color w:val="000000"/>
          <w:sz w:val="32"/>
          <w:szCs w:val="32"/>
          <w:lang w:eastAsia="zh-CN"/>
        </w:rPr>
        <w:t>五、</w:t>
      </w:r>
      <w:r>
        <w:rPr>
          <w:rFonts w:hint="eastAsia" w:ascii="黑体" w:hAnsi="黑体" w:eastAsia="黑体"/>
          <w:b/>
          <w:color w:val="000000"/>
          <w:sz w:val="32"/>
          <w:szCs w:val="32"/>
        </w:rPr>
        <w:t>一</w:t>
      </w:r>
      <w:r>
        <w:rPr>
          <w:rStyle w:val="17"/>
          <w:rFonts w:hint="eastAsia" w:ascii="黑体" w:hAnsi="黑体" w:eastAsia="黑体"/>
          <w:b w:val="0"/>
        </w:rPr>
        <w:t>般公共预算财政拨款支出决算情况说明</w:t>
      </w:r>
    </w:p>
    <w:p>
      <w:pPr>
        <w:pStyle w:val="2"/>
        <w:ind w:left="0" w:leftChars="0" w:firstLine="640" w:firstLineChars="200"/>
        <w:rPr>
          <w:rFonts w:hint="eastAsia" w:ascii="Times New Roman" w:hAnsi="Times New Roman" w:eastAsia="仿宋" w:cs="Times New Roman"/>
          <w:color w:val="000000"/>
          <w:kern w:val="2"/>
          <w:sz w:val="32"/>
          <w:szCs w:val="32"/>
          <w:lang w:val="en-US" w:eastAsia="zh-CN" w:bidi="ar-SA"/>
        </w:rPr>
      </w:pPr>
      <w:r>
        <w:rPr>
          <w:rFonts w:hint="eastAsia" w:eastAsia="宋体"/>
          <w:lang w:eastAsia="zh-CN"/>
        </w:rPr>
        <w:drawing>
          <wp:anchor distT="0" distB="0" distL="114300" distR="114300" simplePos="0" relativeHeight="251661312" behindDoc="0" locked="0" layoutInCell="1" allowOverlap="1">
            <wp:simplePos x="0" y="0"/>
            <wp:positionH relativeFrom="column">
              <wp:posOffset>2242820</wp:posOffset>
            </wp:positionH>
            <wp:positionV relativeFrom="paragraph">
              <wp:posOffset>123825</wp:posOffset>
            </wp:positionV>
            <wp:extent cx="3119120" cy="3707130"/>
            <wp:effectExtent l="4445" t="4445" r="19685" b="22225"/>
            <wp:wrapSquare wrapText="bothSides"/>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_GB2312" w:hAnsi="仿宋_GB2312" w:eastAsia="仿宋_GB2312" w:cs="仿宋_GB2312"/>
          <w:color w:val="000000"/>
          <w:sz w:val="32"/>
          <w:szCs w:val="32"/>
        </w:rPr>
        <w:t>20</w:t>
      </w:r>
      <w:r>
        <w:rPr>
          <w:rFonts w:hint="eastAsia" w:ascii="仿宋_GB2312" w:hAnsi="仿宋_GB2312" w:eastAsia="仿宋_GB2312" w:cs="仿宋_GB2312"/>
          <w:color w:val="000000"/>
          <w:sz w:val="32"/>
          <w:szCs w:val="32"/>
          <w:lang w:val="en-US" w:eastAsia="zh-CN"/>
        </w:rPr>
        <w:t>21</w:t>
      </w:r>
      <w:r>
        <w:rPr>
          <w:rFonts w:hint="eastAsia" w:ascii="仿宋_GB2312" w:hAnsi="仿宋_GB2312" w:eastAsia="仿宋_GB2312" w:cs="仿宋_GB2312"/>
          <w:color w:val="000000"/>
          <w:sz w:val="32"/>
          <w:szCs w:val="32"/>
        </w:rPr>
        <w:t>年一般公共预算财政拨款支出</w:t>
      </w:r>
      <w:r>
        <w:rPr>
          <w:rFonts w:hint="eastAsia" w:eastAsia="仿宋"/>
          <w:color w:val="000000"/>
          <w:sz w:val="32"/>
          <w:szCs w:val="32"/>
          <w:lang w:val="en-US" w:eastAsia="zh-CN"/>
        </w:rPr>
        <w:t>10627.63</w:t>
      </w:r>
      <w:r>
        <w:rPr>
          <w:rFonts w:hint="eastAsia" w:ascii="仿宋_GB2312" w:hAnsi="仿宋_GB2312" w:eastAsia="仿宋_GB2312" w:cs="仿宋_GB2312"/>
          <w:color w:val="000000"/>
          <w:sz w:val="32"/>
          <w:szCs w:val="32"/>
        </w:rPr>
        <w:t>万元，占本年支出合计的</w:t>
      </w:r>
      <w:r>
        <w:rPr>
          <w:rFonts w:hint="eastAsia" w:ascii="仿宋_GB2312" w:hAnsi="仿宋_GB2312" w:eastAsia="仿宋_GB2312" w:cs="仿宋_GB2312"/>
          <w:color w:val="000000"/>
          <w:sz w:val="32"/>
          <w:szCs w:val="32"/>
          <w:lang w:val="en-US" w:eastAsia="zh-CN"/>
        </w:rPr>
        <w:t>11</w:t>
      </w:r>
      <w:r>
        <w:rPr>
          <w:rFonts w:hint="eastAsia" w:ascii="仿宋_GB2312" w:hAnsi="仿宋_GB2312" w:eastAsia="仿宋_GB2312" w:cs="仿宋_GB2312"/>
          <w:color w:val="000000"/>
          <w:sz w:val="32"/>
          <w:szCs w:val="32"/>
        </w:rPr>
        <w:t>%。与20</w:t>
      </w:r>
      <w:r>
        <w:rPr>
          <w:rFonts w:hint="eastAsia" w:ascii="仿宋_GB2312" w:hAnsi="仿宋_GB2312" w:eastAsia="仿宋_GB2312" w:cs="仿宋_GB2312"/>
          <w:color w:val="000000"/>
          <w:sz w:val="32"/>
          <w:szCs w:val="32"/>
          <w:lang w:val="en-US" w:eastAsia="zh-CN"/>
        </w:rPr>
        <w:t>20</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sz w:val="32"/>
          <w:szCs w:val="32"/>
          <w:lang w:val="en-US" w:eastAsia="zh-CN"/>
        </w:rPr>
        <w:t>14480.73</w:t>
      </w:r>
      <w:r>
        <w:rPr>
          <w:rFonts w:hint="eastAsia" w:ascii="仿宋_GB2312" w:hAnsi="仿宋_GB2312" w:eastAsia="仿宋_GB2312" w:cs="仿宋_GB2312"/>
          <w:color w:val="000000"/>
          <w:sz w:val="32"/>
          <w:szCs w:val="32"/>
        </w:rPr>
        <w:t>万元相比，一般公共预算财政拨款</w:t>
      </w:r>
      <w:r>
        <w:rPr>
          <w:rFonts w:hint="eastAsia" w:ascii="仿宋_GB2312" w:hAnsi="仿宋_GB2312" w:eastAsia="仿宋_GB2312" w:cs="仿宋_GB2312"/>
          <w:color w:val="000000"/>
          <w:sz w:val="32"/>
          <w:szCs w:val="32"/>
          <w:lang w:eastAsia="zh-CN"/>
        </w:rPr>
        <w:t>减少</w:t>
      </w:r>
      <w:r>
        <w:rPr>
          <w:rFonts w:hint="eastAsia" w:ascii="仿宋_GB2312" w:hAnsi="仿宋_GB2312" w:eastAsia="仿宋_GB2312" w:cs="仿宋_GB2312"/>
          <w:color w:val="000000"/>
          <w:sz w:val="32"/>
          <w:szCs w:val="32"/>
          <w:lang w:val="en-US" w:eastAsia="zh-CN"/>
        </w:rPr>
        <w:t>3853.1</w:t>
      </w:r>
      <w:r>
        <w:rPr>
          <w:rFonts w:hint="eastAsia" w:ascii="仿宋_GB2312" w:hAnsi="仿宋_GB2312" w:eastAsia="仿宋_GB2312" w:cs="仿宋_GB2312"/>
          <w:color w:val="000000"/>
          <w:sz w:val="32"/>
          <w:szCs w:val="32"/>
        </w:rPr>
        <w:t>万元。主要变动原因</w:t>
      </w:r>
      <w:r>
        <w:rPr>
          <w:rFonts w:hint="eastAsia" w:ascii="仿宋_GB2312" w:hAnsi="仿宋_GB2312" w:eastAsia="仿宋_GB2312" w:cs="仿宋_GB2312"/>
          <w:color w:val="000000"/>
          <w:sz w:val="32"/>
          <w:szCs w:val="32"/>
          <w:lang w:eastAsia="zh-CN"/>
        </w:rPr>
        <w:t>是：</w:t>
      </w:r>
      <w:r>
        <w:rPr>
          <w:rFonts w:hint="eastAsia" w:ascii="Times New Roman" w:hAnsi="Times New Roman" w:eastAsia="仿宋" w:cs="Times New Roman"/>
          <w:color w:val="000000"/>
          <w:kern w:val="2"/>
          <w:sz w:val="32"/>
          <w:szCs w:val="32"/>
          <w:lang w:val="en-US" w:eastAsia="zh-CN" w:bidi="ar-SA"/>
        </w:rPr>
        <w:t>1.局机关2020年度新增了2020年专项债券资金、新冠疫情防控特别国债补助、艾滋病专项资金、疫苗冷链能力建设等专项工作经费收支；2.基层医疗机构人员经费拨款未及时下达。</w:t>
      </w:r>
    </w:p>
    <w:p>
      <w:pPr>
        <w:tabs>
          <w:tab w:val="right" w:pos="8306"/>
        </w:tabs>
        <w:spacing w:line="600" w:lineRule="exact"/>
        <w:ind w:firstLine="643" w:firstLineChars="200"/>
        <w:outlineLvl w:val="1"/>
        <w:rPr>
          <w:rStyle w:val="17"/>
        </w:rPr>
      </w:pPr>
      <w:r>
        <w:rPr>
          <w:rFonts w:hint="eastAsia" w:ascii="黑体" w:hAnsi="黑体" w:eastAsia="黑体"/>
          <w:b/>
          <w:color w:val="000000"/>
          <w:sz w:val="32"/>
          <w:szCs w:val="32"/>
          <w:lang w:eastAsia="zh-CN"/>
        </w:rPr>
        <w:t>六、</w:t>
      </w:r>
      <w:r>
        <w:rPr>
          <w:rFonts w:hint="eastAsia" w:ascii="黑体" w:hAnsi="黑体" w:eastAsia="黑体"/>
          <w:b/>
          <w:color w:val="000000"/>
          <w:sz w:val="32"/>
          <w:szCs w:val="32"/>
        </w:rPr>
        <w:t>一</w:t>
      </w:r>
      <w:r>
        <w:rPr>
          <w:rStyle w:val="17"/>
          <w:rFonts w:hint="eastAsia" w:ascii="黑体" w:hAnsi="黑体" w:eastAsia="黑体"/>
          <w:b w:val="0"/>
        </w:rPr>
        <w:t>般公共预算财政拨款基本支出决算情况说明</w:t>
      </w:r>
      <w:r>
        <w:rPr>
          <w:rStyle w:val="17"/>
          <w:rFonts w:ascii="黑体" w:hAnsi="黑体" w:eastAsia="黑体"/>
          <w:b w:val="0"/>
        </w:rPr>
        <w:tab/>
      </w:r>
    </w:p>
    <w:p>
      <w:pPr>
        <w:pStyle w:val="2"/>
        <w:ind w:left="0" w:leftChars="0" w:firstLine="640" w:firstLineChars="200"/>
        <w:rPr>
          <w:rFonts w:hint="eastAsia" w:ascii="仿宋" w:hAnsi="仿宋" w:eastAsia="仿宋"/>
          <w:color w:val="000000"/>
          <w:sz w:val="32"/>
          <w:szCs w:val="32"/>
        </w:rPr>
      </w:pPr>
      <w:r>
        <w:rPr>
          <w:rFonts w:ascii="仿宋" w:hAnsi="仿宋" w:eastAsia="仿宋"/>
          <w:color w:val="000000"/>
          <w:sz w:val="32"/>
          <w:szCs w:val="32"/>
        </w:rPr>
        <w:t>20</w:t>
      </w:r>
      <w:r>
        <w:rPr>
          <w:rFonts w:hint="eastAsia" w:ascii="仿宋" w:hAnsi="仿宋" w:eastAsia="仿宋"/>
          <w:color w:val="000000"/>
          <w:sz w:val="32"/>
          <w:szCs w:val="32"/>
          <w:lang w:val="en-US" w:eastAsia="zh-CN"/>
        </w:rPr>
        <w:t>21</w:t>
      </w:r>
      <w:r>
        <w:rPr>
          <w:rFonts w:hint="eastAsia" w:ascii="仿宋" w:hAnsi="仿宋" w:eastAsia="仿宋"/>
          <w:color w:val="000000"/>
          <w:sz w:val="32"/>
          <w:szCs w:val="32"/>
        </w:rPr>
        <w:t>年一般公共预算财政拨款基本支出</w:t>
      </w:r>
      <w:r>
        <w:rPr>
          <w:rFonts w:hint="eastAsia" w:ascii="仿宋_GB2312" w:hAnsi="仿宋" w:eastAsia="仿宋_GB2312"/>
          <w:sz w:val="32"/>
          <w:szCs w:val="32"/>
          <w:lang w:val="en-US" w:eastAsia="zh-CN"/>
        </w:rPr>
        <w:t>4119.61</w:t>
      </w:r>
      <w:r>
        <w:rPr>
          <w:rFonts w:hint="eastAsia" w:ascii="仿宋" w:hAnsi="仿宋" w:eastAsia="仿宋"/>
          <w:color w:val="000000"/>
          <w:sz w:val="32"/>
          <w:szCs w:val="32"/>
        </w:rPr>
        <w:t>万元，主要包括：基本工资、津贴补贴、奖金、绩效工资、机关事业单位基本养老保险缴费、职业年金缴费、其他社会保障缴费、其他工资福利支出、离休费、退休费、抚恤金、生活补助、医疗费补助、奖励金、住房公积金、其他对个人和家庭的补助支出</w:t>
      </w:r>
      <w:r>
        <w:rPr>
          <w:rFonts w:hint="eastAsia" w:ascii="仿宋" w:hAnsi="仿宋" w:eastAsia="仿宋"/>
          <w:color w:val="000000"/>
          <w:sz w:val="32"/>
          <w:szCs w:val="32"/>
          <w:lang w:eastAsia="zh-CN"/>
        </w:rPr>
        <w:t>、</w:t>
      </w:r>
      <w:r>
        <w:rPr>
          <w:rFonts w:hint="eastAsia" w:ascii="仿宋" w:hAnsi="仿宋" w:eastAsia="仿宋"/>
          <w:color w:val="000000"/>
          <w:sz w:val="32"/>
          <w:szCs w:val="32"/>
        </w:rPr>
        <w:t>办公费、印刷费等。</w:t>
      </w:r>
    </w:p>
    <w:p>
      <w:pPr>
        <w:spacing w:line="600" w:lineRule="exact"/>
        <w:ind w:firstLine="640"/>
        <w:outlineLvl w:val="1"/>
        <w:rPr>
          <w:rStyle w:val="15"/>
          <w:rFonts w:ascii="Times New Roman" w:hAnsi="Times New Roman" w:eastAsia="黑体"/>
          <w:b w:val="0"/>
        </w:rPr>
      </w:pPr>
      <w:bookmarkStart w:id="25" w:name="_Toc15377215"/>
      <w:bookmarkStart w:id="26" w:name="_Toc15396609"/>
      <w:r>
        <w:rPr>
          <w:rFonts w:eastAsia="黑体"/>
          <w:color w:val="000000"/>
          <w:sz w:val="32"/>
          <w:szCs w:val="32"/>
        </w:rPr>
        <w:t>七、</w:t>
      </w:r>
      <w:r>
        <w:rPr>
          <w:rStyle w:val="15"/>
          <w:rFonts w:ascii="Times New Roman" w:hAnsi="Times New Roman" w:eastAsia="黑体"/>
        </w:rPr>
        <w:t>“</w:t>
      </w:r>
      <w:r>
        <w:rPr>
          <w:rStyle w:val="15"/>
          <w:rFonts w:ascii="Times New Roman" w:hAnsi="Times New Roman" w:eastAsia="黑体"/>
          <w:b w:val="0"/>
        </w:rPr>
        <w:t>三公”经费财政拨款支出决算情况说明</w:t>
      </w:r>
      <w:bookmarkEnd w:id="25"/>
      <w:bookmarkEnd w:id="26"/>
    </w:p>
    <w:p>
      <w:pPr>
        <w:spacing w:line="600" w:lineRule="exact"/>
        <w:ind w:firstLine="640"/>
        <w:outlineLvl w:val="2"/>
        <w:rPr>
          <w:rFonts w:eastAsia="仿宋"/>
          <w:b/>
          <w:color w:val="000000"/>
          <w:sz w:val="32"/>
          <w:szCs w:val="32"/>
        </w:rPr>
      </w:pPr>
      <w:bookmarkStart w:id="27" w:name="_Toc15377216"/>
      <w:r>
        <w:rPr>
          <w:rFonts w:eastAsia="仿宋"/>
          <w:b/>
          <w:color w:val="000000"/>
          <w:sz w:val="32"/>
          <w:szCs w:val="32"/>
        </w:rPr>
        <w:t>（一）“三公”经费财政拨款支出决算总体情况说明</w:t>
      </w:r>
      <w:bookmarkEnd w:id="27"/>
    </w:p>
    <w:p>
      <w:pPr>
        <w:spacing w:line="600" w:lineRule="exact"/>
        <w:ind w:firstLine="640"/>
        <w:rPr>
          <w:rFonts w:eastAsia="仿宋"/>
          <w:color w:val="000000"/>
          <w:sz w:val="32"/>
          <w:szCs w:val="32"/>
        </w:rPr>
      </w:pPr>
      <w:r>
        <w:rPr>
          <w:rFonts w:hint="eastAsia" w:eastAsia="仿宋"/>
          <w:color w:val="000000"/>
          <w:sz w:val="32"/>
          <w:szCs w:val="32"/>
          <w:lang w:eastAsia="zh-CN"/>
        </w:rPr>
        <w:t>乐至县人民医院、乐至县中医医院及</w:t>
      </w:r>
      <w:r>
        <w:rPr>
          <w:rFonts w:hint="eastAsia" w:eastAsia="仿宋"/>
          <w:color w:val="000000"/>
          <w:sz w:val="32"/>
          <w:szCs w:val="32"/>
          <w:lang w:val="en-US" w:eastAsia="zh-CN"/>
        </w:rPr>
        <w:t>28个基层医疗机构未预算财政拨款“三公”经费，局机关“三公”经费情况为：</w:t>
      </w:r>
      <w:r>
        <w:rPr>
          <w:rFonts w:hint="eastAsia" w:eastAsia="仿宋"/>
          <w:color w:val="000000"/>
          <w:sz w:val="32"/>
          <w:szCs w:val="32"/>
        </w:rPr>
        <w:t>2021年</w:t>
      </w:r>
      <w:r>
        <w:rPr>
          <w:rFonts w:eastAsia="仿宋"/>
          <w:color w:val="000000"/>
          <w:sz w:val="32"/>
          <w:szCs w:val="32"/>
        </w:rPr>
        <w:t>“三公”经费财政拨款支出决算为</w:t>
      </w:r>
      <w:r>
        <w:rPr>
          <w:rFonts w:hint="eastAsia" w:eastAsia="仿宋"/>
          <w:color w:val="000000"/>
          <w:sz w:val="32"/>
          <w:szCs w:val="32"/>
          <w:lang w:val="en-US" w:eastAsia="zh-CN"/>
        </w:rPr>
        <w:t>2.41</w:t>
      </w:r>
      <w:r>
        <w:rPr>
          <w:rFonts w:eastAsia="仿宋"/>
          <w:color w:val="000000"/>
          <w:sz w:val="32"/>
          <w:szCs w:val="32"/>
        </w:rPr>
        <w:t>万元，完成预算</w:t>
      </w:r>
      <w:r>
        <w:rPr>
          <w:rFonts w:hint="eastAsia" w:eastAsia="仿宋"/>
          <w:color w:val="000000"/>
          <w:sz w:val="32"/>
          <w:szCs w:val="32"/>
          <w:lang w:val="en-US" w:eastAsia="zh-CN"/>
        </w:rPr>
        <w:t>19.75</w:t>
      </w:r>
      <w:r>
        <w:rPr>
          <w:rFonts w:eastAsia="仿宋"/>
          <w:color w:val="000000"/>
          <w:sz w:val="32"/>
          <w:szCs w:val="32"/>
        </w:rPr>
        <w:t>%，决算数小于预算数（或与预算数持平）的主要原因是</w:t>
      </w:r>
      <w:r>
        <w:rPr>
          <w:rFonts w:hint="eastAsia" w:eastAsia="仿宋"/>
          <w:color w:val="000000"/>
          <w:sz w:val="32"/>
          <w:szCs w:val="32"/>
          <w:lang w:eastAsia="zh-CN"/>
        </w:rPr>
        <w:t>节约开支，合理开支“三公”经费支出</w:t>
      </w:r>
      <w:r>
        <w:rPr>
          <w:rFonts w:eastAsia="仿宋"/>
          <w:color w:val="000000"/>
          <w:sz w:val="32"/>
          <w:szCs w:val="32"/>
        </w:rPr>
        <w:t>。</w:t>
      </w:r>
    </w:p>
    <w:p>
      <w:pPr>
        <w:spacing w:line="600" w:lineRule="exact"/>
        <w:ind w:firstLine="640"/>
        <w:outlineLvl w:val="2"/>
        <w:rPr>
          <w:rFonts w:eastAsia="仿宋"/>
          <w:b/>
          <w:color w:val="000000"/>
          <w:sz w:val="32"/>
          <w:szCs w:val="32"/>
        </w:rPr>
      </w:pPr>
      <w:bookmarkStart w:id="28" w:name="_Toc15377217"/>
      <w:r>
        <w:rPr>
          <w:rFonts w:eastAsia="仿宋"/>
          <w:b/>
          <w:color w:val="000000"/>
          <w:sz w:val="32"/>
          <w:szCs w:val="32"/>
        </w:rPr>
        <w:t>（二）“三公”经费财政拨款支出决算具体情况说明</w:t>
      </w:r>
      <w:bookmarkEnd w:id="28"/>
    </w:p>
    <w:p>
      <w:pPr>
        <w:pStyle w:val="2"/>
        <w:ind w:left="0" w:leftChars="0" w:firstLine="640" w:firstLineChars="200"/>
        <w:rPr>
          <w:rFonts w:eastAsia="仿宋"/>
          <w:color w:val="000000"/>
          <w:sz w:val="32"/>
          <w:szCs w:val="32"/>
        </w:rPr>
      </w:pPr>
      <w:r>
        <w:rPr>
          <w:rFonts w:hint="eastAsia" w:eastAsia="仿宋"/>
          <w:color w:val="000000"/>
          <w:sz w:val="32"/>
          <w:szCs w:val="32"/>
          <w:lang w:eastAsia="zh-CN"/>
        </w:rPr>
        <w:t>乐至县人民医院、乐至县中医医院及</w:t>
      </w:r>
      <w:r>
        <w:rPr>
          <w:rFonts w:hint="eastAsia" w:eastAsia="仿宋"/>
          <w:color w:val="000000"/>
          <w:sz w:val="32"/>
          <w:szCs w:val="32"/>
          <w:lang w:val="en-US" w:eastAsia="zh-CN"/>
        </w:rPr>
        <w:t>28个基层医疗机构未预算财政拨款“三公”经费，局机关“三公”经费情况为：</w:t>
      </w:r>
      <w:r>
        <w:rPr>
          <w:rFonts w:hint="eastAsia" w:eastAsia="仿宋"/>
          <w:color w:val="000000"/>
          <w:sz w:val="32"/>
          <w:szCs w:val="32"/>
        </w:rPr>
        <w:t>2021年</w:t>
      </w:r>
      <w:r>
        <w:rPr>
          <w:rFonts w:eastAsia="仿宋"/>
          <w:color w:val="000000"/>
          <w:sz w:val="32"/>
          <w:szCs w:val="32"/>
        </w:rPr>
        <w:t>“三公”经费财政拨款支出决算中，因公出国（境）费支出决算</w:t>
      </w:r>
      <w:r>
        <w:rPr>
          <w:rFonts w:hint="eastAsia" w:eastAsia="仿宋"/>
          <w:color w:val="000000"/>
          <w:sz w:val="32"/>
          <w:szCs w:val="32"/>
          <w:lang w:val="en-US" w:eastAsia="zh-CN"/>
        </w:rPr>
        <w:t>0</w:t>
      </w:r>
      <w:r>
        <w:rPr>
          <w:rFonts w:eastAsia="仿宋"/>
          <w:color w:val="000000"/>
          <w:sz w:val="32"/>
          <w:szCs w:val="32"/>
        </w:rPr>
        <w:t>万元，占</w:t>
      </w:r>
      <w:r>
        <w:rPr>
          <w:rFonts w:hint="eastAsia" w:eastAsia="仿宋"/>
          <w:color w:val="000000"/>
          <w:sz w:val="32"/>
          <w:szCs w:val="32"/>
          <w:lang w:val="en-US" w:eastAsia="zh-CN"/>
        </w:rPr>
        <w:t>0</w:t>
      </w:r>
      <w:r>
        <w:rPr>
          <w:rFonts w:eastAsia="仿宋"/>
          <w:color w:val="000000"/>
          <w:sz w:val="32"/>
          <w:szCs w:val="32"/>
        </w:rPr>
        <w:t>%；公务用车购置及运行维护费支出决算</w:t>
      </w:r>
      <w:r>
        <w:rPr>
          <w:rFonts w:hint="eastAsia" w:eastAsia="仿宋"/>
          <w:color w:val="000000"/>
          <w:sz w:val="32"/>
          <w:szCs w:val="32"/>
          <w:lang w:val="en-US" w:eastAsia="zh-CN"/>
        </w:rPr>
        <w:t>1.88</w:t>
      </w:r>
      <w:r>
        <w:rPr>
          <w:rFonts w:eastAsia="仿宋"/>
          <w:color w:val="000000"/>
          <w:sz w:val="32"/>
          <w:szCs w:val="32"/>
        </w:rPr>
        <w:t>万元，占</w:t>
      </w:r>
      <w:r>
        <w:rPr>
          <w:rFonts w:hint="eastAsia" w:eastAsia="仿宋"/>
          <w:color w:val="000000"/>
          <w:sz w:val="32"/>
          <w:szCs w:val="32"/>
          <w:lang w:val="en-US" w:eastAsia="zh-CN"/>
        </w:rPr>
        <w:t>78</w:t>
      </w:r>
      <w:r>
        <w:rPr>
          <w:rFonts w:eastAsia="仿宋"/>
          <w:color w:val="000000"/>
          <w:sz w:val="32"/>
          <w:szCs w:val="32"/>
        </w:rPr>
        <w:t>%；公务接待费支出决算</w:t>
      </w:r>
      <w:r>
        <w:rPr>
          <w:rFonts w:hint="eastAsia" w:eastAsia="仿宋"/>
          <w:color w:val="000000"/>
          <w:sz w:val="32"/>
          <w:szCs w:val="32"/>
          <w:lang w:val="en-US" w:eastAsia="zh-CN"/>
        </w:rPr>
        <w:t>0.53</w:t>
      </w:r>
      <w:r>
        <w:rPr>
          <w:rFonts w:eastAsia="仿宋"/>
          <w:color w:val="000000"/>
          <w:sz w:val="32"/>
          <w:szCs w:val="32"/>
        </w:rPr>
        <w:t>万元，占</w:t>
      </w:r>
      <w:r>
        <w:rPr>
          <w:rFonts w:hint="eastAsia" w:eastAsia="仿宋"/>
          <w:color w:val="000000"/>
          <w:sz w:val="32"/>
          <w:szCs w:val="32"/>
          <w:lang w:val="en-US" w:eastAsia="zh-CN"/>
        </w:rPr>
        <w:t>22</w:t>
      </w:r>
      <w:r>
        <w:rPr>
          <w:rFonts w:eastAsia="仿宋"/>
          <w:color w:val="000000"/>
          <w:sz w:val="32"/>
          <w:szCs w:val="32"/>
        </w:rPr>
        <w:t>%。具体情况如下：</w:t>
      </w:r>
    </w:p>
    <w:p>
      <w:pPr>
        <w:spacing w:line="600" w:lineRule="exact"/>
        <w:ind w:firstLine="640"/>
        <w:rPr>
          <w:rFonts w:hint="eastAsia" w:eastAsia="仿宋_GB2312"/>
          <w:i/>
          <w:color w:val="000000"/>
          <w:sz w:val="32"/>
          <w:szCs w:val="32"/>
          <w:lang w:eastAsia="zh-CN"/>
        </w:rPr>
      </w:pPr>
      <w:r>
        <w:rPr>
          <w:rFonts w:eastAsia="仿宋_GB2312"/>
          <w:b/>
          <w:color w:val="000000"/>
          <w:sz w:val="32"/>
          <w:szCs w:val="32"/>
        </w:rPr>
        <w:t>1.因公出国（境）经费支出</w:t>
      </w:r>
      <w:r>
        <w:rPr>
          <w:rFonts w:hint="eastAsia" w:eastAsia="仿宋_GB2312"/>
          <w:color w:val="000000"/>
          <w:sz w:val="32"/>
          <w:szCs w:val="32"/>
          <w:lang w:val="en-US" w:eastAsia="zh-CN"/>
        </w:rPr>
        <w:t>0</w:t>
      </w:r>
      <w:r>
        <w:rPr>
          <w:rFonts w:eastAsia="仿宋_GB2312"/>
          <w:color w:val="000000"/>
          <w:sz w:val="32"/>
          <w:szCs w:val="32"/>
        </w:rPr>
        <w:t>万元</w:t>
      </w:r>
      <w:r>
        <w:rPr>
          <w:rFonts w:hint="eastAsia" w:eastAsia="仿宋_GB2312"/>
          <w:color w:val="000000"/>
          <w:sz w:val="32"/>
          <w:szCs w:val="32"/>
          <w:lang w:eastAsia="zh-CN"/>
        </w:rPr>
        <w:t>。</w:t>
      </w:r>
    </w:p>
    <w:p>
      <w:pPr>
        <w:spacing w:line="600" w:lineRule="exact"/>
        <w:ind w:firstLine="640"/>
        <w:rPr>
          <w:rFonts w:eastAsia="仿宋_GB2312"/>
          <w:color w:val="000000"/>
          <w:sz w:val="32"/>
          <w:szCs w:val="32"/>
        </w:rPr>
      </w:pPr>
      <w:r>
        <w:rPr>
          <w:rFonts w:eastAsia="仿宋_GB2312"/>
          <w:b/>
          <w:color w:val="000000"/>
          <w:sz w:val="32"/>
          <w:szCs w:val="32"/>
        </w:rPr>
        <w:t>2.公务用车购置及运行维护费支出</w:t>
      </w:r>
      <w:r>
        <w:rPr>
          <w:rFonts w:hint="eastAsia" w:eastAsia="仿宋_GB2312"/>
          <w:color w:val="000000"/>
          <w:sz w:val="32"/>
          <w:szCs w:val="32"/>
          <w:lang w:val="en-US" w:eastAsia="zh-CN"/>
        </w:rPr>
        <w:t>1.88</w:t>
      </w:r>
      <w:r>
        <w:rPr>
          <w:rFonts w:eastAsia="仿宋_GB2312"/>
          <w:color w:val="000000"/>
          <w:sz w:val="32"/>
          <w:szCs w:val="32"/>
        </w:rPr>
        <w:t>万元,</w:t>
      </w:r>
      <w:r>
        <w:rPr>
          <w:rStyle w:val="13"/>
          <w:rFonts w:eastAsia="仿宋"/>
          <w:b w:val="0"/>
          <w:bCs/>
          <w:color w:val="000000"/>
          <w:sz w:val="32"/>
          <w:szCs w:val="32"/>
        </w:rPr>
        <w:t>完成预算</w:t>
      </w:r>
      <w:r>
        <w:rPr>
          <w:rStyle w:val="13"/>
          <w:rFonts w:hint="eastAsia" w:eastAsia="仿宋"/>
          <w:b w:val="0"/>
          <w:bCs/>
          <w:color w:val="000000"/>
          <w:sz w:val="32"/>
          <w:szCs w:val="32"/>
          <w:lang w:val="en-US" w:eastAsia="zh-CN"/>
        </w:rPr>
        <w:t>38</w:t>
      </w:r>
      <w:r>
        <w:rPr>
          <w:rStyle w:val="13"/>
          <w:rFonts w:eastAsia="仿宋"/>
          <w:b w:val="0"/>
          <w:bCs/>
          <w:color w:val="000000"/>
          <w:sz w:val="32"/>
          <w:szCs w:val="32"/>
        </w:rPr>
        <w:t>%。</w:t>
      </w:r>
      <w:r>
        <w:rPr>
          <w:rFonts w:eastAsia="仿宋_GB2312"/>
          <w:color w:val="000000"/>
          <w:sz w:val="32"/>
          <w:szCs w:val="32"/>
        </w:rPr>
        <w:t>公务用车购置及运行维护费支出决算比</w:t>
      </w:r>
      <w:r>
        <w:rPr>
          <w:rFonts w:hint="eastAsia" w:eastAsia="仿宋_GB2312"/>
          <w:color w:val="000000"/>
          <w:sz w:val="32"/>
          <w:szCs w:val="32"/>
        </w:rPr>
        <w:t>2020年</w:t>
      </w:r>
      <w:r>
        <w:rPr>
          <w:rFonts w:eastAsia="仿宋_GB2312"/>
          <w:color w:val="000000"/>
          <w:sz w:val="32"/>
          <w:szCs w:val="32"/>
        </w:rPr>
        <w:t>减少</w:t>
      </w:r>
      <w:r>
        <w:rPr>
          <w:rFonts w:hint="eastAsia" w:eastAsia="仿宋_GB2312"/>
          <w:color w:val="000000"/>
          <w:sz w:val="32"/>
          <w:szCs w:val="32"/>
          <w:lang w:val="en-US" w:eastAsia="zh-CN"/>
        </w:rPr>
        <w:t>0.08</w:t>
      </w:r>
      <w:r>
        <w:rPr>
          <w:rFonts w:eastAsia="仿宋_GB2312"/>
          <w:color w:val="000000"/>
          <w:sz w:val="32"/>
          <w:szCs w:val="32"/>
        </w:rPr>
        <w:t>万元，下降</w:t>
      </w:r>
      <w:r>
        <w:rPr>
          <w:rFonts w:hint="eastAsia" w:eastAsia="仿宋_GB2312"/>
          <w:color w:val="000000"/>
          <w:sz w:val="32"/>
          <w:szCs w:val="32"/>
          <w:lang w:val="en-US" w:eastAsia="zh-CN"/>
        </w:rPr>
        <w:t>4</w:t>
      </w:r>
      <w:r>
        <w:rPr>
          <w:rFonts w:eastAsia="仿宋_GB2312"/>
          <w:color w:val="000000"/>
          <w:sz w:val="32"/>
          <w:szCs w:val="32"/>
        </w:rPr>
        <w:t>%。主要原因是</w:t>
      </w:r>
      <w:r>
        <w:rPr>
          <w:rFonts w:hint="eastAsia" w:eastAsia="仿宋_GB2312"/>
          <w:color w:val="000000"/>
          <w:sz w:val="32"/>
          <w:szCs w:val="32"/>
          <w:lang w:eastAsia="zh-CN"/>
        </w:rPr>
        <w:t>严格控制经费开支</w:t>
      </w:r>
      <w:r>
        <w:rPr>
          <w:rFonts w:eastAsia="仿宋_GB2312"/>
          <w:color w:val="000000"/>
          <w:sz w:val="32"/>
          <w:szCs w:val="32"/>
        </w:rPr>
        <w:t>。</w:t>
      </w:r>
    </w:p>
    <w:p>
      <w:pPr>
        <w:spacing w:line="600" w:lineRule="exact"/>
        <w:ind w:firstLine="640" w:firstLineChars="200"/>
        <w:rPr>
          <w:rFonts w:eastAsia="仿宋"/>
          <w:color w:val="000000"/>
          <w:sz w:val="32"/>
          <w:szCs w:val="32"/>
        </w:rPr>
      </w:pPr>
      <w:r>
        <w:rPr>
          <w:rFonts w:hint="eastAsia" w:ascii="仿宋_GB2312" w:eastAsia="仿宋_GB2312"/>
          <w:color w:val="000000"/>
          <w:sz w:val="32"/>
          <w:szCs w:val="32"/>
        </w:rPr>
        <w:t>其中：</w:t>
      </w:r>
      <w:r>
        <w:rPr>
          <w:rFonts w:hint="eastAsia" w:ascii="仿宋_GB2312" w:eastAsia="仿宋_GB2312"/>
          <w:b/>
          <w:color w:val="000000"/>
          <w:sz w:val="32"/>
          <w:szCs w:val="32"/>
        </w:rPr>
        <w:t>公务用车购置支出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spacing w:line="600" w:lineRule="exact"/>
        <w:ind w:firstLine="640"/>
        <w:rPr>
          <w:rFonts w:eastAsia="仿宋_GB2312"/>
          <w:color w:val="000000"/>
          <w:sz w:val="32"/>
          <w:szCs w:val="32"/>
        </w:rPr>
      </w:pPr>
      <w:r>
        <w:rPr>
          <w:rFonts w:eastAsia="仿宋_GB2312"/>
          <w:b/>
          <w:color w:val="000000"/>
          <w:sz w:val="32"/>
          <w:szCs w:val="32"/>
        </w:rPr>
        <w:t>公务用车运行维护费支出</w:t>
      </w:r>
      <w:r>
        <w:rPr>
          <w:rFonts w:hint="eastAsia" w:eastAsia="仿宋_GB2312"/>
          <w:color w:val="000000"/>
          <w:sz w:val="32"/>
          <w:szCs w:val="32"/>
          <w:lang w:val="en-US" w:eastAsia="zh-CN"/>
        </w:rPr>
        <w:t>1.88</w:t>
      </w:r>
      <w:r>
        <w:rPr>
          <w:rFonts w:eastAsia="仿宋_GB2312"/>
          <w:color w:val="000000"/>
          <w:sz w:val="32"/>
          <w:szCs w:val="32"/>
        </w:rPr>
        <w:t>万元。主要用于</w:t>
      </w:r>
      <w:r>
        <w:rPr>
          <w:rFonts w:hint="eastAsia" w:eastAsia="仿宋_GB2312"/>
          <w:color w:val="000000"/>
          <w:sz w:val="32"/>
          <w:szCs w:val="32"/>
          <w:lang w:eastAsia="zh-CN"/>
        </w:rPr>
        <w:t>卫健局疫情防控工作</w:t>
      </w:r>
      <w:r>
        <w:rPr>
          <w:rFonts w:eastAsia="仿宋_GB2312"/>
          <w:color w:val="000000"/>
          <w:sz w:val="32"/>
          <w:szCs w:val="32"/>
        </w:rPr>
        <w:t>等所需的公务用车燃料费、维修费、过路过桥费、保险费等支出。</w:t>
      </w:r>
    </w:p>
    <w:p>
      <w:pPr>
        <w:spacing w:line="600" w:lineRule="exact"/>
        <w:ind w:firstLine="640"/>
        <w:rPr>
          <w:rFonts w:eastAsia="仿宋_GB2312"/>
          <w:color w:val="000000"/>
          <w:sz w:val="32"/>
          <w:szCs w:val="32"/>
        </w:rPr>
      </w:pPr>
      <w:r>
        <w:rPr>
          <w:rFonts w:eastAsia="仿宋_GB2312"/>
          <w:b/>
          <w:color w:val="000000"/>
          <w:sz w:val="32"/>
          <w:szCs w:val="32"/>
        </w:rPr>
        <w:t>3.公务接待费支出</w:t>
      </w:r>
      <w:r>
        <w:rPr>
          <w:rFonts w:hint="eastAsia" w:eastAsia="仿宋_GB2312"/>
          <w:color w:val="000000"/>
          <w:sz w:val="32"/>
          <w:szCs w:val="32"/>
          <w:lang w:val="en-US" w:eastAsia="zh-CN"/>
        </w:rPr>
        <w:t>0.53</w:t>
      </w:r>
      <w:r>
        <w:rPr>
          <w:rFonts w:eastAsia="仿宋_GB2312"/>
          <w:color w:val="000000"/>
          <w:sz w:val="32"/>
          <w:szCs w:val="32"/>
        </w:rPr>
        <w:t>万元，</w:t>
      </w:r>
      <w:r>
        <w:rPr>
          <w:rStyle w:val="13"/>
          <w:rFonts w:eastAsia="仿宋"/>
          <w:b w:val="0"/>
          <w:bCs/>
          <w:color w:val="000000"/>
          <w:sz w:val="32"/>
          <w:szCs w:val="32"/>
        </w:rPr>
        <w:t>完成预算</w:t>
      </w:r>
      <w:r>
        <w:rPr>
          <w:rStyle w:val="13"/>
          <w:rFonts w:hint="eastAsia" w:eastAsia="仿宋"/>
          <w:b w:val="0"/>
          <w:bCs/>
          <w:color w:val="000000"/>
          <w:sz w:val="32"/>
          <w:szCs w:val="32"/>
          <w:lang w:val="en-US" w:eastAsia="zh-CN"/>
        </w:rPr>
        <w:t>7.5</w:t>
      </w:r>
      <w:r>
        <w:rPr>
          <w:rStyle w:val="13"/>
          <w:rFonts w:eastAsia="仿宋"/>
          <w:b w:val="0"/>
          <w:bCs/>
          <w:color w:val="000000"/>
          <w:sz w:val="32"/>
          <w:szCs w:val="32"/>
        </w:rPr>
        <w:t>%。</w:t>
      </w:r>
      <w:r>
        <w:rPr>
          <w:rFonts w:eastAsia="仿宋_GB2312"/>
          <w:color w:val="000000"/>
          <w:sz w:val="32"/>
          <w:szCs w:val="32"/>
        </w:rPr>
        <w:t>公务接待费支出决算比</w:t>
      </w:r>
      <w:r>
        <w:rPr>
          <w:rFonts w:hint="eastAsia" w:eastAsia="仿宋_GB2312"/>
          <w:color w:val="000000"/>
          <w:sz w:val="32"/>
          <w:szCs w:val="32"/>
        </w:rPr>
        <w:t>2020年</w:t>
      </w:r>
      <w:r>
        <w:rPr>
          <w:rFonts w:eastAsia="仿宋_GB2312"/>
          <w:color w:val="000000"/>
          <w:sz w:val="32"/>
          <w:szCs w:val="32"/>
        </w:rPr>
        <w:t>减少</w:t>
      </w:r>
      <w:r>
        <w:rPr>
          <w:rFonts w:hint="eastAsia" w:eastAsia="仿宋_GB2312"/>
          <w:color w:val="000000"/>
          <w:sz w:val="32"/>
          <w:szCs w:val="32"/>
          <w:lang w:val="en-US" w:eastAsia="zh-CN"/>
        </w:rPr>
        <w:t>1.66</w:t>
      </w:r>
      <w:r>
        <w:rPr>
          <w:rFonts w:eastAsia="仿宋_GB2312"/>
          <w:color w:val="000000"/>
          <w:sz w:val="32"/>
          <w:szCs w:val="32"/>
        </w:rPr>
        <w:t>万元，下降</w:t>
      </w:r>
      <w:r>
        <w:rPr>
          <w:rFonts w:hint="eastAsia" w:eastAsia="仿宋_GB2312"/>
          <w:color w:val="000000"/>
          <w:sz w:val="32"/>
          <w:szCs w:val="32"/>
          <w:lang w:val="en-US" w:eastAsia="zh-CN"/>
        </w:rPr>
        <w:t>75</w:t>
      </w:r>
      <w:r>
        <w:rPr>
          <w:rFonts w:eastAsia="仿宋_GB2312"/>
          <w:color w:val="000000"/>
          <w:sz w:val="32"/>
          <w:szCs w:val="32"/>
        </w:rPr>
        <w:t>%。主要原因是</w:t>
      </w:r>
      <w:r>
        <w:rPr>
          <w:rFonts w:hint="eastAsia" w:eastAsia="仿宋_GB2312"/>
          <w:color w:val="000000"/>
          <w:sz w:val="32"/>
          <w:szCs w:val="32"/>
          <w:lang w:eastAsia="zh-CN"/>
        </w:rPr>
        <w:t>严格控制经费开支</w:t>
      </w:r>
      <w:r>
        <w:rPr>
          <w:rFonts w:eastAsia="仿宋_GB2312"/>
          <w:color w:val="000000"/>
          <w:sz w:val="32"/>
          <w:szCs w:val="32"/>
        </w:rPr>
        <w:t>。其中：</w:t>
      </w:r>
    </w:p>
    <w:p>
      <w:pPr>
        <w:spacing w:line="600" w:lineRule="exact"/>
        <w:ind w:firstLine="640"/>
        <w:rPr>
          <w:rFonts w:eastAsia="仿宋_GB2312"/>
          <w:color w:val="000000"/>
          <w:sz w:val="32"/>
          <w:szCs w:val="32"/>
        </w:rPr>
      </w:pPr>
      <w:r>
        <w:rPr>
          <w:rFonts w:eastAsia="仿宋"/>
          <w:b/>
          <w:color w:val="000000"/>
          <w:sz w:val="32"/>
          <w:szCs w:val="32"/>
        </w:rPr>
        <w:t>国内公务接待支出</w:t>
      </w:r>
      <w:r>
        <w:rPr>
          <w:rFonts w:hint="eastAsia" w:eastAsia="仿宋"/>
          <w:color w:val="000000"/>
          <w:sz w:val="32"/>
          <w:szCs w:val="32"/>
          <w:lang w:val="en-US" w:eastAsia="zh-CN"/>
        </w:rPr>
        <w:t>0.53</w:t>
      </w:r>
      <w:r>
        <w:rPr>
          <w:rFonts w:eastAsia="仿宋_GB2312"/>
          <w:color w:val="000000"/>
          <w:sz w:val="32"/>
          <w:szCs w:val="32"/>
        </w:rPr>
        <w:t>万元，主要用于</w:t>
      </w:r>
      <w:r>
        <w:rPr>
          <w:rFonts w:hint="eastAsia" w:ascii="仿宋_GB2312" w:eastAsia="仿宋_GB2312"/>
          <w:color w:val="000000"/>
          <w:sz w:val="32"/>
          <w:szCs w:val="32"/>
        </w:rPr>
        <w:t>主要用于</w:t>
      </w:r>
      <w:r>
        <w:rPr>
          <w:rFonts w:hint="eastAsia" w:ascii="仿宋_GB2312" w:eastAsia="仿宋_GB2312"/>
          <w:color w:val="000000"/>
          <w:sz w:val="32"/>
          <w:szCs w:val="32"/>
          <w:lang w:eastAsia="zh-CN"/>
        </w:rPr>
        <w:t>上级行政主管部门和兄弟县区卫健局或医疗机构到本单位</w:t>
      </w:r>
      <w:r>
        <w:rPr>
          <w:rFonts w:hint="eastAsia" w:ascii="仿宋_GB2312" w:eastAsia="仿宋_GB2312"/>
          <w:color w:val="000000"/>
          <w:sz w:val="32"/>
          <w:szCs w:val="32"/>
        </w:rPr>
        <w:t>执行公务、开展业务活动开支的</w:t>
      </w:r>
      <w:r>
        <w:rPr>
          <w:rFonts w:hint="eastAsia" w:ascii="仿宋_GB2312" w:eastAsia="仿宋_GB2312"/>
          <w:color w:val="000000"/>
          <w:sz w:val="32"/>
          <w:szCs w:val="32"/>
          <w:lang w:eastAsia="zh-CN"/>
        </w:rPr>
        <w:t>相关接待费用支出</w:t>
      </w:r>
      <w:r>
        <w:rPr>
          <w:rFonts w:hint="eastAsia" w:ascii="仿宋_GB2312" w:eastAsia="仿宋_GB2312"/>
          <w:color w:val="000000"/>
          <w:sz w:val="32"/>
          <w:szCs w:val="32"/>
        </w:rPr>
        <w:t>。</w:t>
      </w:r>
      <w:r>
        <w:rPr>
          <w:rFonts w:eastAsia="仿宋_GB2312"/>
          <w:color w:val="000000"/>
          <w:sz w:val="32"/>
          <w:szCs w:val="32"/>
        </w:rPr>
        <w:t>国内公务接待</w:t>
      </w:r>
      <w:r>
        <w:rPr>
          <w:rFonts w:hint="eastAsia" w:eastAsia="仿宋_GB2312"/>
          <w:color w:val="000000"/>
          <w:sz w:val="32"/>
          <w:szCs w:val="32"/>
          <w:lang w:val="en-US" w:eastAsia="zh-CN"/>
        </w:rPr>
        <w:t>18</w:t>
      </w:r>
      <w:r>
        <w:rPr>
          <w:rFonts w:eastAsia="仿宋_GB2312"/>
          <w:color w:val="000000"/>
          <w:sz w:val="32"/>
          <w:szCs w:val="32"/>
        </w:rPr>
        <w:t>批次，</w:t>
      </w:r>
      <w:r>
        <w:rPr>
          <w:rFonts w:hint="eastAsia" w:eastAsia="仿宋_GB2312"/>
          <w:color w:val="000000"/>
          <w:sz w:val="32"/>
          <w:szCs w:val="32"/>
          <w:lang w:val="en-US" w:eastAsia="zh-CN"/>
        </w:rPr>
        <w:t>130</w:t>
      </w:r>
      <w:r>
        <w:rPr>
          <w:rFonts w:eastAsia="仿宋_GB2312"/>
          <w:color w:val="000000"/>
          <w:sz w:val="32"/>
          <w:szCs w:val="32"/>
        </w:rPr>
        <w:t>人次，共计支出</w:t>
      </w:r>
      <w:r>
        <w:rPr>
          <w:rFonts w:hint="eastAsia" w:eastAsia="仿宋_GB2312"/>
          <w:color w:val="000000"/>
          <w:sz w:val="32"/>
          <w:szCs w:val="32"/>
          <w:lang w:val="en-US" w:eastAsia="zh-CN"/>
        </w:rPr>
        <w:t>0.53</w:t>
      </w:r>
      <w:r>
        <w:rPr>
          <w:rFonts w:eastAsia="仿宋_GB2312"/>
          <w:color w:val="000000"/>
          <w:sz w:val="32"/>
          <w:szCs w:val="32"/>
        </w:rPr>
        <w:t>万元</w:t>
      </w:r>
      <w:r>
        <w:rPr>
          <w:rFonts w:eastAsia="仿宋"/>
          <w:color w:val="000000"/>
          <w:sz w:val="32"/>
          <w:szCs w:val="32"/>
        </w:rPr>
        <w:t>。</w:t>
      </w:r>
    </w:p>
    <w:p>
      <w:pPr>
        <w:spacing w:line="600" w:lineRule="exact"/>
        <w:ind w:firstLine="640"/>
        <w:outlineLvl w:val="1"/>
        <w:rPr>
          <w:rFonts w:hint="eastAsia" w:eastAsia="仿宋"/>
          <w:color w:val="000000"/>
          <w:sz w:val="32"/>
          <w:szCs w:val="32"/>
          <w:lang w:val="en-US" w:eastAsia="zh-CN"/>
        </w:rPr>
      </w:pPr>
      <w:r>
        <w:rPr>
          <w:rFonts w:eastAsia="仿宋"/>
          <w:b/>
          <w:color w:val="000000"/>
          <w:sz w:val="32"/>
          <w:szCs w:val="32"/>
        </w:rPr>
        <w:t>外事接待支出</w:t>
      </w:r>
      <w:r>
        <w:rPr>
          <w:rFonts w:hint="eastAsia" w:eastAsia="仿宋"/>
          <w:color w:val="000000"/>
          <w:sz w:val="32"/>
          <w:szCs w:val="32"/>
          <w:lang w:val="en-US" w:eastAsia="zh-CN"/>
        </w:rPr>
        <w:t>0</w:t>
      </w:r>
      <w:r>
        <w:rPr>
          <w:rFonts w:eastAsia="仿宋_GB2312"/>
          <w:color w:val="000000"/>
          <w:sz w:val="32"/>
          <w:szCs w:val="32"/>
        </w:rPr>
        <w:t>万元</w:t>
      </w:r>
      <w:r>
        <w:rPr>
          <w:rFonts w:hint="eastAsia" w:eastAsia="仿宋_GB2312"/>
          <w:color w:val="000000"/>
          <w:sz w:val="32"/>
          <w:szCs w:val="32"/>
          <w:lang w:eastAsia="zh-CN"/>
        </w:rPr>
        <w:t>。</w:t>
      </w:r>
      <w:bookmarkStart w:id="55" w:name="_GoBack"/>
      <w:bookmarkEnd w:id="55"/>
    </w:p>
    <w:p>
      <w:pPr>
        <w:spacing w:line="600" w:lineRule="exact"/>
        <w:ind w:firstLine="640"/>
        <w:outlineLvl w:val="1"/>
        <w:rPr>
          <w:rStyle w:val="15"/>
          <w:rFonts w:ascii="Times New Roman" w:hAnsi="Times New Roman" w:eastAsia="黑体"/>
        </w:rPr>
      </w:pPr>
      <w:bookmarkStart w:id="29" w:name="_Toc15396610"/>
      <w:bookmarkStart w:id="30" w:name="_Toc15377218"/>
      <w:r>
        <w:rPr>
          <w:rFonts w:eastAsia="黑体"/>
          <w:color w:val="000000"/>
          <w:sz w:val="32"/>
          <w:szCs w:val="32"/>
        </w:rPr>
        <w:t>八、</w:t>
      </w:r>
      <w:r>
        <w:rPr>
          <w:rStyle w:val="15"/>
          <w:rFonts w:ascii="Times New Roman" w:hAnsi="Times New Roman" w:eastAsia="黑体"/>
          <w:b w:val="0"/>
        </w:rPr>
        <w:t>政府性基金预算支出决算情况说明</w:t>
      </w:r>
      <w:bookmarkEnd w:id="29"/>
      <w:bookmarkEnd w:id="30"/>
    </w:p>
    <w:p>
      <w:pPr>
        <w:spacing w:line="600" w:lineRule="exact"/>
        <w:ind w:firstLine="640"/>
        <w:rPr>
          <w:rFonts w:eastAsia="仿宋_GB2312"/>
          <w:color w:val="000000"/>
          <w:sz w:val="32"/>
          <w:szCs w:val="32"/>
        </w:rPr>
      </w:pPr>
      <w:r>
        <w:rPr>
          <w:rFonts w:hint="eastAsia" w:eastAsia="仿宋_GB2312"/>
          <w:color w:val="000000"/>
          <w:sz w:val="32"/>
          <w:szCs w:val="32"/>
        </w:rPr>
        <w:t>2021年</w:t>
      </w:r>
      <w:r>
        <w:rPr>
          <w:rFonts w:eastAsia="仿宋_GB2312"/>
          <w:color w:val="000000"/>
          <w:sz w:val="32"/>
          <w:szCs w:val="32"/>
        </w:rPr>
        <w:t>政府性基金预算拨款支出</w:t>
      </w:r>
      <w:r>
        <w:rPr>
          <w:rFonts w:hint="eastAsia" w:eastAsia="仿宋_GB2312"/>
          <w:color w:val="000000"/>
          <w:sz w:val="32"/>
          <w:szCs w:val="32"/>
          <w:lang w:val="en-US" w:eastAsia="zh-CN"/>
        </w:rPr>
        <w:t>0</w:t>
      </w:r>
      <w:r>
        <w:rPr>
          <w:rFonts w:eastAsia="仿宋_GB2312"/>
          <w:color w:val="000000"/>
          <w:sz w:val="32"/>
          <w:szCs w:val="32"/>
        </w:rPr>
        <w:t>万元。</w:t>
      </w:r>
    </w:p>
    <w:p>
      <w:pPr>
        <w:numPr>
          <w:ilvl w:val="0"/>
          <w:numId w:val="2"/>
        </w:numPr>
        <w:spacing w:line="600" w:lineRule="exact"/>
        <w:ind w:firstLine="640"/>
        <w:outlineLvl w:val="1"/>
        <w:rPr>
          <w:rStyle w:val="15"/>
          <w:rFonts w:ascii="Times New Roman" w:hAnsi="Times New Roman" w:eastAsia="黑体"/>
          <w:b w:val="0"/>
        </w:rPr>
      </w:pPr>
      <w:bookmarkStart w:id="31" w:name="_Toc15396611"/>
      <w:bookmarkStart w:id="32" w:name="_Toc15377219"/>
      <w:r>
        <w:rPr>
          <w:rStyle w:val="15"/>
          <w:rFonts w:ascii="Times New Roman" w:hAnsi="Times New Roman" w:eastAsia="黑体"/>
          <w:b w:val="0"/>
        </w:rPr>
        <w:t>国有资本经营预算支出决算情况说明</w:t>
      </w:r>
      <w:bookmarkEnd w:id="31"/>
      <w:bookmarkEnd w:id="32"/>
    </w:p>
    <w:p>
      <w:pPr>
        <w:spacing w:line="600" w:lineRule="exact"/>
        <w:ind w:firstLine="640"/>
        <w:rPr>
          <w:rFonts w:eastAsia="仿宋_GB2312"/>
          <w:color w:val="000000"/>
          <w:sz w:val="32"/>
          <w:szCs w:val="32"/>
        </w:rPr>
      </w:pPr>
      <w:r>
        <w:rPr>
          <w:rFonts w:hint="eastAsia" w:eastAsia="仿宋_GB2312"/>
          <w:color w:val="000000"/>
          <w:sz w:val="32"/>
          <w:szCs w:val="32"/>
        </w:rPr>
        <w:t>2021年</w:t>
      </w:r>
      <w:r>
        <w:rPr>
          <w:rFonts w:eastAsia="仿宋_GB2312"/>
          <w:color w:val="000000"/>
          <w:sz w:val="32"/>
          <w:szCs w:val="32"/>
        </w:rPr>
        <w:t>国有资本经营预算拨款支出</w:t>
      </w:r>
      <w:r>
        <w:rPr>
          <w:rFonts w:hint="eastAsia" w:eastAsia="仿宋_GB2312"/>
          <w:color w:val="000000"/>
          <w:sz w:val="32"/>
          <w:szCs w:val="32"/>
          <w:lang w:val="en-US" w:eastAsia="zh-CN"/>
        </w:rPr>
        <w:t>0</w:t>
      </w:r>
      <w:r>
        <w:rPr>
          <w:rFonts w:eastAsia="仿宋_GB2312"/>
          <w:color w:val="000000"/>
          <w:sz w:val="32"/>
          <w:szCs w:val="32"/>
        </w:rPr>
        <w:t>万元。</w:t>
      </w:r>
    </w:p>
    <w:p>
      <w:pPr>
        <w:spacing w:line="600" w:lineRule="exact"/>
        <w:ind w:firstLine="800" w:firstLineChars="250"/>
        <w:outlineLvl w:val="1"/>
        <w:rPr>
          <w:rStyle w:val="15"/>
          <w:rFonts w:ascii="Times New Roman" w:hAnsi="Times New Roman" w:eastAsia="黑体"/>
        </w:rPr>
      </w:pPr>
      <w:bookmarkStart w:id="33" w:name="_Toc15396612"/>
      <w:bookmarkStart w:id="34" w:name="_Toc15377221"/>
      <w:r>
        <w:rPr>
          <w:rFonts w:eastAsia="黑体"/>
          <w:color w:val="000000"/>
          <w:sz w:val="32"/>
          <w:szCs w:val="32"/>
        </w:rPr>
        <w:t>十</w:t>
      </w:r>
      <w:r>
        <w:rPr>
          <w:rStyle w:val="15"/>
          <w:rFonts w:ascii="Times New Roman" w:hAnsi="Times New Roman" w:eastAsia="黑体"/>
        </w:rPr>
        <w:t>、</w:t>
      </w:r>
      <w:r>
        <w:rPr>
          <w:rStyle w:val="15"/>
          <w:rFonts w:ascii="Times New Roman" w:hAnsi="Times New Roman" w:eastAsia="黑体"/>
          <w:b w:val="0"/>
        </w:rPr>
        <w:t>其他重要事项的情况说明</w:t>
      </w:r>
      <w:bookmarkEnd w:id="33"/>
      <w:bookmarkEnd w:id="34"/>
    </w:p>
    <w:p>
      <w:pPr>
        <w:spacing w:line="600" w:lineRule="exact"/>
        <w:ind w:firstLine="643" w:firstLineChars="200"/>
        <w:outlineLvl w:val="2"/>
        <w:rPr>
          <w:rFonts w:eastAsia="仿宋"/>
          <w:color w:val="000000"/>
          <w:sz w:val="32"/>
          <w:szCs w:val="32"/>
        </w:rPr>
      </w:pPr>
      <w:bookmarkStart w:id="35" w:name="_Toc15377222"/>
      <w:r>
        <w:rPr>
          <w:rFonts w:eastAsia="仿宋"/>
          <w:b/>
          <w:color w:val="000000"/>
          <w:sz w:val="32"/>
          <w:szCs w:val="32"/>
        </w:rPr>
        <w:t>（一）机关运行经费支出情况</w:t>
      </w:r>
      <w:bookmarkEnd w:id="35"/>
    </w:p>
    <w:p>
      <w:pPr>
        <w:spacing w:line="600" w:lineRule="exact"/>
        <w:ind w:firstLine="640" w:firstLineChars="200"/>
        <w:rPr>
          <w:rFonts w:eastAsia="仿宋"/>
          <w:i/>
          <w:color w:val="000000"/>
          <w:sz w:val="32"/>
          <w:szCs w:val="32"/>
        </w:rPr>
      </w:pPr>
      <w:r>
        <w:rPr>
          <w:rFonts w:hint="eastAsia" w:eastAsia="仿宋_GB2312"/>
          <w:color w:val="000000"/>
          <w:sz w:val="32"/>
          <w:szCs w:val="32"/>
        </w:rPr>
        <w:t>2021年</w:t>
      </w:r>
      <w:r>
        <w:rPr>
          <w:rFonts w:eastAsia="仿宋_GB2312"/>
          <w:color w:val="000000"/>
          <w:sz w:val="32"/>
          <w:szCs w:val="32"/>
        </w:rPr>
        <w:t>，</w:t>
      </w:r>
      <w:r>
        <w:rPr>
          <w:rFonts w:hint="eastAsia" w:eastAsia="仿宋_GB2312"/>
          <w:color w:val="000000"/>
          <w:sz w:val="32"/>
          <w:szCs w:val="32"/>
          <w:lang w:eastAsia="zh-CN"/>
        </w:rPr>
        <w:t>乐至县卫生健康局</w:t>
      </w:r>
      <w:r>
        <w:rPr>
          <w:rFonts w:eastAsia="仿宋_GB2312"/>
          <w:color w:val="000000"/>
          <w:sz w:val="32"/>
          <w:szCs w:val="32"/>
        </w:rPr>
        <w:t>机关运行经费支出</w:t>
      </w:r>
      <w:r>
        <w:rPr>
          <w:rFonts w:hint="eastAsia" w:eastAsia="仿宋_GB2312"/>
          <w:color w:val="000000"/>
          <w:sz w:val="32"/>
          <w:szCs w:val="32"/>
          <w:lang w:val="en-US" w:eastAsia="zh-CN"/>
        </w:rPr>
        <w:t>84.21</w:t>
      </w:r>
      <w:r>
        <w:rPr>
          <w:rFonts w:eastAsia="仿宋_GB2312"/>
          <w:color w:val="000000"/>
          <w:sz w:val="32"/>
          <w:szCs w:val="32"/>
        </w:rPr>
        <w:t>万元，比</w:t>
      </w:r>
      <w:r>
        <w:rPr>
          <w:rFonts w:hint="eastAsia" w:eastAsia="仿宋_GB2312"/>
          <w:color w:val="000000"/>
          <w:sz w:val="32"/>
          <w:szCs w:val="32"/>
        </w:rPr>
        <w:t>2020年</w:t>
      </w:r>
      <w:r>
        <w:rPr>
          <w:rFonts w:eastAsia="仿宋_GB2312"/>
          <w:color w:val="000000"/>
          <w:sz w:val="32"/>
          <w:szCs w:val="32"/>
        </w:rPr>
        <w:t>减少</w:t>
      </w:r>
      <w:r>
        <w:rPr>
          <w:rFonts w:hint="eastAsia" w:eastAsia="仿宋_GB2312"/>
          <w:color w:val="000000"/>
          <w:sz w:val="32"/>
          <w:szCs w:val="32"/>
          <w:lang w:val="en-US" w:eastAsia="zh-CN"/>
        </w:rPr>
        <w:t>7.54</w:t>
      </w:r>
      <w:r>
        <w:rPr>
          <w:rFonts w:eastAsia="仿宋_GB2312"/>
          <w:color w:val="000000"/>
          <w:sz w:val="32"/>
          <w:szCs w:val="32"/>
        </w:rPr>
        <w:t>万元，下降</w:t>
      </w:r>
      <w:r>
        <w:rPr>
          <w:rFonts w:hint="eastAsia" w:eastAsia="仿宋_GB2312"/>
          <w:color w:val="000000"/>
          <w:sz w:val="32"/>
          <w:szCs w:val="32"/>
          <w:lang w:val="en-US" w:eastAsia="zh-CN"/>
        </w:rPr>
        <w:t>8</w:t>
      </w:r>
      <w:r>
        <w:rPr>
          <w:rFonts w:eastAsia="仿宋_GB2312"/>
          <w:color w:val="000000"/>
          <w:sz w:val="32"/>
          <w:szCs w:val="32"/>
        </w:rPr>
        <w:t>%。主要原因是</w:t>
      </w:r>
      <w:r>
        <w:rPr>
          <w:rFonts w:hint="eastAsia" w:eastAsia="仿宋_GB2312"/>
          <w:color w:val="000000"/>
          <w:sz w:val="32"/>
          <w:szCs w:val="32"/>
          <w:lang w:eastAsia="zh-CN"/>
        </w:rPr>
        <w:t>严格控制相关经费开支。</w:t>
      </w:r>
      <w:bookmarkStart w:id="36" w:name="_Toc15377223"/>
    </w:p>
    <w:p>
      <w:pPr>
        <w:autoSpaceDE w:val="0"/>
        <w:autoSpaceDN w:val="0"/>
        <w:adjustRightInd w:val="0"/>
        <w:spacing w:line="600" w:lineRule="exact"/>
        <w:ind w:firstLine="643" w:firstLineChars="200"/>
        <w:jc w:val="left"/>
        <w:outlineLvl w:val="2"/>
        <w:rPr>
          <w:rFonts w:eastAsia="仿宋"/>
          <w:b/>
          <w:color w:val="000000"/>
          <w:sz w:val="32"/>
          <w:szCs w:val="32"/>
        </w:rPr>
      </w:pPr>
      <w:r>
        <w:rPr>
          <w:rFonts w:eastAsia="仿宋"/>
          <w:b/>
          <w:color w:val="000000"/>
          <w:sz w:val="32"/>
          <w:szCs w:val="32"/>
        </w:rPr>
        <w:t>（二）政府采购支出情况</w:t>
      </w:r>
      <w:bookmarkEnd w:id="36"/>
    </w:p>
    <w:p>
      <w:p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rPr>
        <w:t>2021年</w:t>
      </w:r>
      <w:r>
        <w:rPr>
          <w:rFonts w:eastAsia="仿宋_GB2312"/>
          <w:color w:val="000000"/>
          <w:sz w:val="32"/>
          <w:szCs w:val="32"/>
        </w:rPr>
        <w:t>，</w:t>
      </w:r>
      <w:r>
        <w:rPr>
          <w:rFonts w:hint="eastAsia" w:eastAsia="仿宋_GB2312"/>
          <w:color w:val="000000"/>
          <w:sz w:val="32"/>
          <w:szCs w:val="32"/>
          <w:lang w:eastAsia="zh-CN"/>
        </w:rPr>
        <w:t>乐至县卫生健康局</w:t>
      </w:r>
      <w:r>
        <w:rPr>
          <w:rFonts w:eastAsia="仿宋_GB2312"/>
          <w:color w:val="000000"/>
          <w:sz w:val="32"/>
          <w:szCs w:val="32"/>
        </w:rPr>
        <w:t>政府采购支出总额</w:t>
      </w:r>
      <w:r>
        <w:rPr>
          <w:rFonts w:hint="eastAsia" w:eastAsia="仿宋_GB2312"/>
          <w:color w:val="000000"/>
          <w:sz w:val="32"/>
          <w:szCs w:val="32"/>
          <w:lang w:val="en-US" w:eastAsia="zh-CN"/>
        </w:rPr>
        <w:t>0</w:t>
      </w:r>
      <w:r>
        <w:rPr>
          <w:rFonts w:eastAsia="仿宋_GB2312"/>
          <w:color w:val="000000"/>
          <w:sz w:val="32"/>
          <w:szCs w:val="32"/>
        </w:rPr>
        <w:t>万元</w:t>
      </w:r>
      <w:bookmarkStart w:id="37" w:name="_Toc15377224"/>
      <w:r>
        <w:rPr>
          <w:rFonts w:hint="eastAsia" w:eastAsia="仿宋_GB2312"/>
          <w:color w:val="000000"/>
          <w:sz w:val="32"/>
          <w:szCs w:val="32"/>
          <w:lang w:eastAsia="zh-CN"/>
        </w:rPr>
        <w:t>。</w:t>
      </w:r>
    </w:p>
    <w:p>
      <w:pPr>
        <w:autoSpaceDE w:val="0"/>
        <w:autoSpaceDN w:val="0"/>
        <w:adjustRightInd w:val="0"/>
        <w:spacing w:line="600" w:lineRule="exact"/>
        <w:ind w:firstLine="643" w:firstLineChars="200"/>
        <w:jc w:val="left"/>
        <w:outlineLvl w:val="2"/>
        <w:rPr>
          <w:rFonts w:eastAsia="仿宋"/>
          <w:b/>
          <w:color w:val="000000"/>
          <w:sz w:val="32"/>
          <w:szCs w:val="32"/>
        </w:rPr>
      </w:pPr>
      <w:r>
        <w:rPr>
          <w:rFonts w:eastAsia="仿宋"/>
          <w:b/>
          <w:color w:val="000000"/>
          <w:sz w:val="32"/>
          <w:szCs w:val="32"/>
        </w:rPr>
        <w:t>（三）国有资产占有使用情况</w:t>
      </w:r>
      <w:bookmarkEnd w:id="37"/>
    </w:p>
    <w:p>
      <w:pPr>
        <w:autoSpaceDE w:val="0"/>
        <w:autoSpaceDN w:val="0"/>
        <w:adjustRightInd w:val="0"/>
        <w:spacing w:line="600" w:lineRule="exact"/>
        <w:ind w:firstLine="640" w:firstLineChars="200"/>
        <w:jc w:val="left"/>
        <w:rPr>
          <w:rFonts w:eastAsia="仿宋_GB2312"/>
          <w:color w:val="000000"/>
          <w:sz w:val="32"/>
          <w:szCs w:val="32"/>
        </w:rPr>
      </w:pPr>
      <w:r>
        <w:rPr>
          <w:rFonts w:eastAsia="仿宋_GB2312"/>
          <w:color w:val="000000"/>
          <w:sz w:val="32"/>
          <w:szCs w:val="32"/>
        </w:rPr>
        <w:t>截至</w:t>
      </w:r>
      <w:r>
        <w:rPr>
          <w:rFonts w:hint="eastAsia" w:eastAsia="仿宋_GB2312"/>
          <w:color w:val="000000"/>
          <w:sz w:val="32"/>
          <w:szCs w:val="32"/>
        </w:rPr>
        <w:t>2021年</w:t>
      </w:r>
      <w:r>
        <w:rPr>
          <w:rFonts w:eastAsia="仿宋_GB2312"/>
          <w:color w:val="000000"/>
          <w:sz w:val="32"/>
          <w:szCs w:val="32"/>
        </w:rPr>
        <w:t>12月31日，</w:t>
      </w:r>
      <w:r>
        <w:rPr>
          <w:rFonts w:hint="eastAsia" w:eastAsia="仿宋_GB2312"/>
          <w:color w:val="000000"/>
          <w:sz w:val="32"/>
          <w:szCs w:val="32"/>
          <w:lang w:eastAsia="zh-CN"/>
        </w:rPr>
        <w:t>乐至县卫生健康局</w:t>
      </w:r>
      <w:r>
        <w:rPr>
          <w:rFonts w:eastAsia="仿宋_GB2312"/>
          <w:color w:val="000000"/>
          <w:sz w:val="32"/>
          <w:szCs w:val="32"/>
        </w:rPr>
        <w:t>共有车辆</w:t>
      </w:r>
      <w:r>
        <w:rPr>
          <w:rFonts w:hint="eastAsia" w:eastAsia="仿宋_GB2312"/>
          <w:color w:val="000000"/>
          <w:sz w:val="32"/>
          <w:szCs w:val="32"/>
          <w:lang w:val="en-US" w:eastAsia="zh-CN"/>
        </w:rPr>
        <w:t>1</w:t>
      </w:r>
      <w:r>
        <w:rPr>
          <w:rFonts w:eastAsia="仿宋_GB2312"/>
          <w:color w:val="000000"/>
          <w:sz w:val="32"/>
          <w:szCs w:val="32"/>
        </w:rPr>
        <w:t>辆，其中：应急保障用车</w:t>
      </w:r>
      <w:r>
        <w:rPr>
          <w:rFonts w:hint="eastAsia" w:eastAsia="仿宋_GB2312"/>
          <w:color w:val="000000"/>
          <w:sz w:val="32"/>
          <w:szCs w:val="32"/>
          <w:lang w:val="en-US" w:eastAsia="zh-CN"/>
        </w:rPr>
        <w:t>1</w:t>
      </w:r>
      <w:r>
        <w:rPr>
          <w:rFonts w:eastAsia="仿宋_GB2312"/>
          <w:color w:val="000000"/>
          <w:sz w:val="32"/>
          <w:szCs w:val="32"/>
        </w:rPr>
        <w:t>辆。单价50万元以上通用设备</w:t>
      </w:r>
      <w:r>
        <w:rPr>
          <w:rFonts w:hint="eastAsia" w:eastAsia="仿宋_GB2312"/>
          <w:color w:val="000000"/>
          <w:sz w:val="32"/>
          <w:szCs w:val="32"/>
          <w:lang w:val="en-US" w:eastAsia="zh-CN"/>
        </w:rPr>
        <w:t>0</w:t>
      </w:r>
      <w:r>
        <w:rPr>
          <w:rFonts w:eastAsia="仿宋_GB2312"/>
          <w:color w:val="000000"/>
          <w:sz w:val="32"/>
          <w:szCs w:val="32"/>
        </w:rPr>
        <w:t>台（套），单价100万元以上专用设备</w:t>
      </w:r>
      <w:r>
        <w:rPr>
          <w:rFonts w:hint="eastAsia" w:eastAsia="仿宋_GB2312"/>
          <w:color w:val="000000"/>
          <w:sz w:val="32"/>
          <w:szCs w:val="32"/>
          <w:lang w:val="en-US" w:eastAsia="zh-CN"/>
        </w:rPr>
        <w:t>0</w:t>
      </w:r>
      <w:r>
        <w:rPr>
          <w:rFonts w:eastAsia="仿宋_GB2312"/>
          <w:color w:val="000000"/>
          <w:sz w:val="32"/>
          <w:szCs w:val="32"/>
        </w:rPr>
        <w:t>台（套）。</w:t>
      </w:r>
    </w:p>
    <w:p>
      <w:pPr>
        <w:autoSpaceDE w:val="0"/>
        <w:autoSpaceDN w:val="0"/>
        <w:adjustRightInd w:val="0"/>
        <w:spacing w:line="600" w:lineRule="exact"/>
        <w:ind w:firstLine="643" w:firstLineChars="200"/>
        <w:jc w:val="left"/>
        <w:rPr>
          <w:rFonts w:eastAsia="仿宋"/>
          <w:b/>
          <w:color w:val="000000"/>
          <w:sz w:val="32"/>
          <w:szCs w:val="32"/>
        </w:rPr>
      </w:pPr>
      <w:r>
        <w:rPr>
          <w:rFonts w:eastAsia="仿宋"/>
          <w:b/>
          <w:color w:val="000000"/>
          <w:sz w:val="32"/>
          <w:szCs w:val="32"/>
        </w:rPr>
        <w:t>（四）预算绩效管理情况。</w:t>
      </w:r>
    </w:p>
    <w:p>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根据预算绩效管理要求，本单位在</w:t>
      </w:r>
      <w:r>
        <w:rPr>
          <w:rFonts w:hint="eastAsia" w:ascii="仿宋_GB2312" w:hAnsi="仿宋_GB2312" w:eastAsia="仿宋_GB2312" w:cs="仿宋_GB2312"/>
          <w:sz w:val="32"/>
          <w:szCs w:val="32"/>
          <w:lang w:val="en-US" w:eastAsia="zh-CN"/>
        </w:rPr>
        <w:t>2021年</w:t>
      </w:r>
      <w:r>
        <w:rPr>
          <w:rFonts w:hint="eastAsia" w:ascii="仿宋_GB2312" w:hAnsi="仿宋_GB2312" w:eastAsia="仿宋_GB2312" w:cs="仿宋_GB2312"/>
          <w:sz w:val="32"/>
          <w:szCs w:val="32"/>
        </w:rPr>
        <w:t>年初预算编制阶段，组织对</w:t>
      </w:r>
      <w:r>
        <w:rPr>
          <w:rFonts w:hint="eastAsia" w:ascii="仿宋_GB2312" w:hAnsi="仿宋_GB2312" w:eastAsia="仿宋_GB2312" w:cs="仿宋_GB2312"/>
          <w:sz w:val="32"/>
          <w:szCs w:val="32"/>
          <w:lang w:val="en-US" w:eastAsia="zh-CN"/>
        </w:rPr>
        <w:t>15个</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工作进行预算，</w:t>
      </w:r>
      <w:r>
        <w:rPr>
          <w:rFonts w:hint="eastAsia" w:ascii="仿宋_GB2312" w:hAnsi="仿宋_GB2312" w:eastAsia="仿宋_GB2312" w:cs="仿宋_GB2312"/>
          <w:sz w:val="32"/>
          <w:szCs w:val="32"/>
        </w:rPr>
        <w:t>编制了绩效目标，预算执行过程中，</w:t>
      </w:r>
      <w:r>
        <w:rPr>
          <w:rFonts w:hint="eastAsia" w:ascii="仿宋_GB2312" w:hAnsi="仿宋_GB2312" w:eastAsia="仿宋_GB2312" w:cs="仿宋_GB2312"/>
          <w:sz w:val="32"/>
          <w:szCs w:val="32"/>
          <w:lang w:eastAsia="zh-CN"/>
        </w:rPr>
        <w:t>对这</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个项目开展绩效监控</w:t>
      </w:r>
      <w:r>
        <w:rPr>
          <w:rFonts w:hint="eastAsia" w:ascii="仿宋_GB2312" w:hAnsi="仿宋_GB2312" w:eastAsia="仿宋_GB2312" w:cs="仿宋_GB2312"/>
          <w:sz w:val="32"/>
          <w:szCs w:val="32"/>
          <w:lang w:eastAsia="zh-CN"/>
        </w:rPr>
        <w:t>。</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年终执行完毕后，本部门在</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rPr>
        <w:t>年度部门决算中反映“</w:t>
      </w:r>
      <w:r>
        <w:rPr>
          <w:rFonts w:hint="eastAsia" w:ascii="仿宋_GB2312" w:hAnsi="仿宋_GB2312" w:eastAsia="仿宋_GB2312" w:cs="仿宋_GB2312"/>
          <w:sz w:val="32"/>
          <w:szCs w:val="32"/>
          <w:lang w:eastAsia="zh-CN"/>
        </w:rPr>
        <w:t>基本公共卫生服务专项工作</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、“艾滋病防治工作</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“计划生育便民服务管理”</w:t>
      </w:r>
      <w:r>
        <w:rPr>
          <w:rFonts w:hint="eastAsia" w:ascii="仿宋_GB2312" w:hAnsi="仿宋_GB2312" w:eastAsia="仿宋_GB2312" w:cs="仿宋_GB2312"/>
          <w:sz w:val="32"/>
          <w:szCs w:val="32"/>
          <w:lang w:eastAsia="zh-CN"/>
        </w:rPr>
        <w:t>、“计生专项工作经费”、“医药卫生体制综合改革和”</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个项目绩效目标实际完成情况。</w:t>
      </w:r>
    </w:p>
    <w:p>
      <w:pPr>
        <w:keepNext w:val="0"/>
        <w:keepLines w:val="0"/>
        <w:pageBreakBefore w:val="0"/>
        <w:widowControl w:val="0"/>
        <w:numPr>
          <w:ilvl w:val="0"/>
          <w:numId w:val="3"/>
        </w:numPr>
        <w:tabs>
          <w:tab w:val="left" w:pos="445"/>
          <w:tab w:val="left" w:pos="497"/>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基本公共卫生服务专项工作</w:t>
      </w:r>
      <w:r>
        <w:rPr>
          <w:rFonts w:hint="eastAsia" w:ascii="仿宋_GB2312" w:hAnsi="仿宋_GB2312" w:eastAsia="仿宋_GB2312" w:cs="仿宋_GB2312"/>
          <w:sz w:val="32"/>
          <w:szCs w:val="32"/>
        </w:rPr>
        <w:t>项目绩效目标完成情况综述。项目全年预算数</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严格按照《国家基本公共卫生服务规范（第三版）》及国家、省、市有关文件精神要求，在上级主管部门的关心和业务指导下，全面、扎实、有序推进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12类国家基本公共卫生服务项目工作。</w:t>
      </w:r>
    </w:p>
    <w:p>
      <w:pPr>
        <w:numPr>
          <w:ilvl w:val="0"/>
          <w:numId w:val="0"/>
        </w:numPr>
        <w:autoSpaceDE w:val="0"/>
        <w:autoSpaceDN w:val="0"/>
        <w:adjustRightInd w:val="0"/>
        <w:spacing w:line="600" w:lineRule="exact"/>
        <w:ind w:firstLine="640" w:firstLineChars="200"/>
        <w:jc w:val="left"/>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）艾滋病防治工作</w:t>
      </w:r>
      <w:r>
        <w:rPr>
          <w:rFonts w:hint="eastAsia" w:ascii="仿宋_GB2312" w:hAnsi="仿宋_GB2312" w:eastAsia="仿宋_GB2312" w:cs="仿宋_GB2312"/>
          <w:color w:val="auto"/>
          <w:sz w:val="32"/>
          <w:szCs w:val="32"/>
        </w:rPr>
        <w:t>项目绩效目标完成情况综述。项目全年预算数</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rPr>
        <w:t>万元，执行数为</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rPr>
        <w:t>万元，完成预算的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全面落实《中华人民共和国传染病防治法》、《艾滋病防治条例》，进一步完善“政府组织领导，部门各负其责，全社会共同参与”的防治机制。坚持“预防在先、依法防控；防治结合、科学防控；党政主导、群防群控”的原则。强化综合治理、分类指导，突出重点、攻坚克难，全面推进艾滋病防治工作，保障人民群众身体健康，促进经济社会和谐稳定发展。最大限度减少艾滋病新发感染，持续减少注射吸毒传播、输血传播和母婴传播，有效控制性传播，最大限度发现感染者和病人，进一步降低病死率，逐步提高感染者和病人生存质量，不断减少社会歧视，将我县艾滋病疫情继续控制在低流行水平</w:t>
      </w:r>
      <w:r>
        <w:rPr>
          <w:rFonts w:hint="eastAsia" w:ascii="仿宋_GB2312" w:hAnsi="仿宋_GB2312" w:eastAsia="仿宋_GB2312" w:cs="仿宋_GB2312"/>
          <w:color w:val="auto"/>
          <w:sz w:val="32"/>
          <w:szCs w:val="32"/>
          <w:lang w:eastAsia="zh-CN"/>
        </w:rPr>
        <w:t>。</w:t>
      </w:r>
    </w:p>
    <w:p>
      <w:pPr>
        <w:numPr>
          <w:ilvl w:val="0"/>
          <w:numId w:val="0"/>
        </w:numPr>
        <w:autoSpaceDE w:val="0"/>
        <w:autoSpaceDN w:val="0"/>
        <w:adjustRightInd w:val="0"/>
        <w:spacing w:line="600" w:lineRule="exact"/>
        <w:ind w:firstLine="640" w:firstLineChars="200"/>
        <w:jc w:val="left"/>
        <w:outlineLvl w:val="2"/>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计划生育便民服务管理</w:t>
      </w:r>
      <w:r>
        <w:rPr>
          <w:rFonts w:hint="eastAsia" w:ascii="仿宋_GB2312" w:hAnsi="仿宋_GB2312" w:eastAsia="仿宋_GB2312" w:cs="仿宋_GB2312"/>
          <w:sz w:val="32"/>
          <w:szCs w:val="32"/>
        </w:rPr>
        <w:t>项目全年预算数</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3.51</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35</w:t>
      </w:r>
      <w:r>
        <w:rPr>
          <w:rFonts w:hint="eastAsia" w:ascii="仿宋_GB2312" w:hAnsi="仿宋_GB2312" w:eastAsia="仿宋_GB2312" w:cs="仿宋_GB2312"/>
          <w:sz w:val="32"/>
          <w:szCs w:val="32"/>
        </w:rPr>
        <w:t>%。通过项目实施，指导乡镇（街道）计生职能工作机构开展生育登记及特殊情形再生育审批，提高生育登记覆盖率和登记质量</w:t>
      </w:r>
      <w:r>
        <w:rPr>
          <w:rFonts w:hint="eastAsia" w:ascii="仿宋_GB2312" w:hAnsi="仿宋_GB2312" w:eastAsia="仿宋_GB2312" w:cs="仿宋_GB2312"/>
          <w:sz w:val="32"/>
          <w:szCs w:val="32"/>
          <w:lang w:eastAsia="zh-CN"/>
        </w:rPr>
        <w:t>。</w:t>
      </w:r>
    </w:p>
    <w:p>
      <w:pPr>
        <w:numPr>
          <w:ilvl w:val="0"/>
          <w:numId w:val="0"/>
        </w:numPr>
        <w:autoSpaceDE w:val="0"/>
        <w:autoSpaceDN w:val="0"/>
        <w:adjustRightInd w:val="0"/>
        <w:spacing w:line="600" w:lineRule="exact"/>
        <w:ind w:firstLine="640" w:firstLineChars="200"/>
        <w:jc w:val="left"/>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计生专项</w:t>
      </w:r>
      <w:r>
        <w:rPr>
          <w:rFonts w:hint="eastAsia" w:ascii="仿宋_GB2312" w:hAnsi="仿宋_GB2312" w:eastAsia="仿宋_GB2312" w:cs="仿宋_GB2312"/>
          <w:sz w:val="32"/>
          <w:szCs w:val="32"/>
        </w:rPr>
        <w:t>项目绩效目标完成情况综述。项目全年预算数</w:t>
      </w:r>
      <w:r>
        <w:rPr>
          <w:rFonts w:hint="eastAsia" w:ascii="仿宋_GB2312" w:hAnsi="仿宋_GB2312" w:eastAsia="仿宋_GB2312" w:cs="仿宋_GB2312"/>
          <w:sz w:val="32"/>
          <w:szCs w:val="32"/>
          <w:lang w:val="en-US" w:eastAsia="zh-CN"/>
        </w:rPr>
        <w:t>37</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13.73</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37.11</w:t>
      </w:r>
      <w:r>
        <w:rPr>
          <w:rFonts w:hint="eastAsia" w:ascii="仿宋_GB2312" w:hAnsi="仿宋_GB2312" w:eastAsia="仿宋_GB2312" w:cs="仿宋_GB2312"/>
          <w:sz w:val="32"/>
          <w:szCs w:val="32"/>
        </w:rPr>
        <w:t>%。通过集中宣传、窗口申报、年审、乡村联合调查、县级复审抽查、档案管理，全县共计奖扶对象30545人，特扶对象1880，确保了计划生育家庭奖励扶助对象资格确认无误。</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）医药卫生体制综合改革</w:t>
      </w:r>
      <w:r>
        <w:rPr>
          <w:rFonts w:hint="eastAsia" w:ascii="仿宋_GB2312" w:hAnsi="仿宋_GB2312" w:eastAsia="仿宋_GB2312" w:cs="仿宋_GB2312"/>
          <w:sz w:val="32"/>
          <w:szCs w:val="32"/>
        </w:rPr>
        <w:t>项目全年预算数</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2.22</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27.75</w:t>
      </w:r>
      <w:r>
        <w:rPr>
          <w:rFonts w:hint="eastAsia" w:ascii="仿宋_GB2312" w:hAnsi="仿宋_GB2312" w:eastAsia="仿宋_GB2312" w:cs="仿宋_GB2312"/>
          <w:sz w:val="32"/>
          <w:szCs w:val="32"/>
        </w:rPr>
        <w:t>%。通过项目实施，</w:t>
      </w:r>
      <w:r>
        <w:rPr>
          <w:rFonts w:hint="eastAsia" w:ascii="仿宋_GB2312" w:hAnsi="仿宋_GB2312" w:eastAsia="仿宋_GB2312" w:cs="仿宋_GB2312"/>
          <w:sz w:val="32"/>
          <w:szCs w:val="32"/>
          <w:lang w:eastAsia="zh-CN"/>
        </w:rPr>
        <w:t>按照《乐至县深化医药卫生体制综合改革试点方案》有序推进8个方面的重点改革任务，使我县医药卫生体制更趋完善，群众“看病难、看病贵”问题进一步改善，健康获得感进一步提升。</w:t>
      </w:r>
    </w:p>
    <w:p>
      <w:pPr>
        <w:numPr>
          <w:ilvl w:val="0"/>
          <w:numId w:val="0"/>
        </w:numPr>
        <w:autoSpaceDE w:val="0"/>
        <w:autoSpaceDN w:val="0"/>
        <w:adjustRightInd w:val="0"/>
        <w:spacing w:line="600" w:lineRule="exact"/>
        <w:ind w:firstLine="480" w:firstLineChars="200"/>
        <w:jc w:val="left"/>
        <w:outlineLvl w:val="2"/>
        <w:rPr>
          <w:rFonts w:hint="default" w:ascii="宋体" w:hAnsi="宋体" w:cs="宋体"/>
          <w:color w:val="000000"/>
          <w:sz w:val="24"/>
          <w:lang w:val="en-US" w:eastAsia="zh-CN"/>
        </w:rPr>
      </w:pPr>
    </w:p>
    <w:tbl>
      <w:tblPr>
        <w:tblStyle w:val="11"/>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788"/>
        <w:gridCol w:w="969"/>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noWrap w:val="0"/>
            <w:tcMar>
              <w:top w:w="15" w:type="dxa"/>
              <w:left w:w="15" w:type="dxa"/>
              <w:right w:w="15" w:type="dxa"/>
            </w:tcMar>
            <w:vAlign w:val="center"/>
          </w:tcPr>
          <w:p>
            <w:pPr>
              <w:widowControl/>
              <w:jc w:val="center"/>
              <w:textAlignment w:val="center"/>
              <w:rPr>
                <w:rFonts w:hint="eastAsia" w:ascii="宋体" w:hAnsi="宋体" w:eastAsia="宋体" w:cs="宋体"/>
                <w:b/>
                <w:bCs/>
                <w:color w:val="000000"/>
                <w:kern w:val="0"/>
                <w:sz w:val="36"/>
                <w:szCs w:val="36"/>
                <w:lang w:eastAsia="zh-CN"/>
              </w:rPr>
            </w:pPr>
            <w:r>
              <w:rPr>
                <w:rFonts w:hint="eastAsia" w:ascii="宋体" w:hAnsi="宋体" w:cs="宋体"/>
                <w:b/>
                <w:bCs/>
                <w:color w:val="000000"/>
                <w:kern w:val="0"/>
                <w:sz w:val="36"/>
                <w:szCs w:val="36"/>
              </w:rPr>
              <w:t>项目绩效目标完成情况表</w:t>
            </w:r>
          </w:p>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rPr>
              <w:t>(20</w:t>
            </w:r>
            <w:r>
              <w:rPr>
                <w:rFonts w:hint="eastAsia" w:ascii="宋体" w:hAnsi="宋体" w:cs="宋体"/>
                <w:color w:val="000000"/>
                <w:kern w:val="0"/>
                <w:sz w:val="36"/>
                <w:szCs w:val="36"/>
                <w:lang w:val="en-US" w:eastAsia="zh-CN"/>
              </w:rPr>
              <w:t>21</w:t>
            </w:r>
            <w:r>
              <w:rPr>
                <w:rFonts w:hint="eastAsia" w:ascii="宋体" w:hAnsi="宋体" w:cs="宋体"/>
                <w:color w:val="000000"/>
                <w:kern w:val="0"/>
                <w:sz w:val="36"/>
                <w:szCs w:val="36"/>
              </w:rPr>
              <w:t xml:space="preserve"> 年度)</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eastAsia="zh-CN"/>
              </w:rPr>
              <w:t>基本公共卫生服务专项工作</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乐至县卫生健康局</w:t>
            </w:r>
          </w:p>
        </w:tc>
      </w:tr>
      <w:tr>
        <w:tblPrEx>
          <w:tblCellMar>
            <w:top w:w="0" w:type="dxa"/>
            <w:left w:w="0" w:type="dxa"/>
            <w:bottom w:w="0" w:type="dxa"/>
            <w:right w:w="0" w:type="dxa"/>
          </w:tblCellMar>
        </w:tblPrEx>
        <w:trPr>
          <w:trHeight w:val="276" w:hRule="atLeast"/>
          <w:jc w:val="center"/>
        </w:trPr>
        <w:tc>
          <w:tcPr>
            <w:tcW w:w="78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199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val="en-US" w:eastAsia="zh-CN"/>
              </w:rPr>
              <w:t>1</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val="en-US" w:eastAsia="zh-CN"/>
              </w:rPr>
              <w:t>1</w:t>
            </w:r>
          </w:p>
        </w:tc>
      </w:tr>
      <w:tr>
        <w:tblPrEx>
          <w:tblCellMar>
            <w:top w:w="0" w:type="dxa"/>
            <w:left w:w="0" w:type="dxa"/>
            <w:bottom w:w="0" w:type="dxa"/>
            <w:right w:w="0" w:type="dxa"/>
          </w:tblCellMar>
        </w:tblPrEx>
        <w:trPr>
          <w:trHeight w:val="276"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hAnsi="宋体" w:cs="宋体"/>
                <w:color w:val="000000"/>
                <w:sz w:val="24"/>
              </w:rPr>
            </w:pPr>
          </w:p>
        </w:tc>
        <w:tc>
          <w:tcPr>
            <w:tcW w:w="199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val="en-US" w:eastAsia="zh-CN"/>
              </w:rPr>
              <w:t>1</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 xml:space="preserve">1 </w:t>
            </w:r>
          </w:p>
        </w:tc>
      </w:tr>
      <w:tr>
        <w:tblPrEx>
          <w:tblCellMar>
            <w:top w:w="0" w:type="dxa"/>
            <w:left w:w="0" w:type="dxa"/>
            <w:bottom w:w="0" w:type="dxa"/>
            <w:right w:w="0" w:type="dxa"/>
          </w:tblCellMar>
        </w:tblPrEx>
        <w:trPr>
          <w:trHeight w:val="1511"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hAnsi="宋体" w:cs="宋体"/>
                <w:color w:val="000000"/>
                <w:sz w:val="24"/>
              </w:rPr>
            </w:pPr>
          </w:p>
        </w:tc>
        <w:tc>
          <w:tcPr>
            <w:tcW w:w="199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78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386"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hAnsi="宋体" w:cs="宋体"/>
                <w:color w:val="000000"/>
                <w:sz w:val="24"/>
              </w:rPr>
            </w:pPr>
          </w:p>
        </w:tc>
        <w:tc>
          <w:tcPr>
            <w:tcW w:w="4386"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eastAsia="宋体"/>
                <w:color w:val="auto"/>
                <w:kern w:val="0"/>
                <w:sz w:val="21"/>
                <w:szCs w:val="21"/>
                <w:highlight w:val="none"/>
              </w:rPr>
              <w:t>促进基本公共卫生服务逐步均等化的重要内容，是当前深化医药卫生体制改革的重要工作。我县针对当前城乡居民存在的主要健康问题，以儿童、孕产妇、老年人、慢性疾病患者为重点人群，面向全体居民免费提供的最基本的公共卫生服务，提高城乡居民的幸福感和获得感</w:t>
            </w:r>
            <w:r>
              <w:rPr>
                <w:rFonts w:hint="eastAsia"/>
                <w:color w:val="auto"/>
                <w:kern w:val="0"/>
                <w:sz w:val="21"/>
                <w:szCs w:val="21"/>
                <w:highlight w:val="none"/>
                <w:lang w:eastAsia="zh-CN"/>
              </w:rPr>
              <w:t>。</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eastAsia="宋体"/>
                <w:color w:val="auto"/>
                <w:kern w:val="0"/>
                <w:sz w:val="21"/>
                <w:szCs w:val="21"/>
                <w:highlight w:val="none"/>
              </w:rPr>
              <w:t>促进基本公共卫生服务逐步均等化的重要内容，是当前深化医药卫生体制改革的重要工作。我县针对当前城乡居民存在的主要健康问题，以儿童、孕产妇、老年人、慢性疾病患者为重点人群，面向全体居民免费提供的最基本的公共卫生服务，提高城乡居民的幸福感和获得感</w:t>
            </w:r>
            <w:r>
              <w:rPr>
                <w:rFonts w:hint="eastAsia"/>
                <w:color w:val="auto"/>
                <w:kern w:val="0"/>
                <w:sz w:val="21"/>
                <w:szCs w:val="21"/>
                <w:highlight w:val="none"/>
                <w:lang w:eastAsia="zh-CN"/>
              </w:rPr>
              <w:t>。</w:t>
            </w:r>
          </w:p>
        </w:tc>
      </w:tr>
      <w:tr>
        <w:tblPrEx>
          <w:tblCellMar>
            <w:top w:w="0" w:type="dxa"/>
            <w:left w:w="0" w:type="dxa"/>
            <w:bottom w:w="0" w:type="dxa"/>
            <w:right w:w="0" w:type="dxa"/>
          </w:tblCellMar>
        </w:tblPrEx>
        <w:trPr>
          <w:trHeight w:val="1042" w:hRule="atLeast"/>
          <w:jc w:val="center"/>
        </w:trPr>
        <w:tc>
          <w:tcPr>
            <w:tcW w:w="788"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eastAsia="宋体"/>
                <w:color w:val="auto"/>
                <w:kern w:val="0"/>
                <w:sz w:val="21"/>
                <w:szCs w:val="21"/>
                <w:highlight w:val="none"/>
              </w:rPr>
              <w:t>每年年中与年终进行基本公共卫生服务督导考核</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宋体" w:hAnsi="宋体" w:eastAsia="宋体" w:cs="宋体"/>
                <w:i w:val="0"/>
                <w:color w:val="000000"/>
                <w:kern w:val="2"/>
                <w:sz w:val="20"/>
                <w:szCs w:val="20"/>
                <w:u w:val="none"/>
                <w:lang w:val="en-US" w:eastAsia="zh-CN" w:bidi="ar-SA"/>
              </w:rPr>
            </w:pPr>
            <w:r>
              <w:rPr>
                <w:rFonts w:hint="eastAsia" w:eastAsia="宋体"/>
                <w:color w:val="auto"/>
                <w:kern w:val="0"/>
                <w:sz w:val="21"/>
                <w:szCs w:val="21"/>
                <w:highlight w:val="none"/>
              </w:rPr>
              <w:t>≧2次</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eastAsia="宋体"/>
                <w:color w:val="auto"/>
                <w:kern w:val="0"/>
                <w:sz w:val="21"/>
                <w:szCs w:val="21"/>
                <w:highlight w:val="none"/>
              </w:rPr>
              <w:t>≧2次</w:t>
            </w:r>
          </w:p>
        </w:tc>
      </w:tr>
      <w:tr>
        <w:tblPrEx>
          <w:tblCellMar>
            <w:top w:w="0" w:type="dxa"/>
            <w:left w:w="0" w:type="dxa"/>
            <w:bottom w:w="0" w:type="dxa"/>
            <w:right w:w="0" w:type="dxa"/>
          </w:tblCellMar>
        </w:tblPrEx>
        <w:trPr>
          <w:trHeight w:val="953"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儿童健康系统管理率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≧85%</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85%</w:t>
            </w:r>
          </w:p>
        </w:tc>
      </w:tr>
      <w:tr>
        <w:tblPrEx>
          <w:tblCellMar>
            <w:top w:w="0" w:type="dxa"/>
            <w:left w:w="0" w:type="dxa"/>
            <w:bottom w:w="0" w:type="dxa"/>
            <w:right w:w="0" w:type="dxa"/>
          </w:tblCellMar>
        </w:tblPrEx>
        <w:trPr>
          <w:trHeight w:val="953"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孕产妇系统管理率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≧85%</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85%</w:t>
            </w:r>
          </w:p>
        </w:tc>
      </w:tr>
      <w:tr>
        <w:tblPrEx>
          <w:tblCellMar>
            <w:top w:w="0" w:type="dxa"/>
            <w:left w:w="0" w:type="dxa"/>
            <w:bottom w:w="0" w:type="dxa"/>
            <w:right w:w="0" w:type="dxa"/>
          </w:tblCellMar>
        </w:tblPrEx>
        <w:trPr>
          <w:trHeight w:val="953"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质</w:t>
            </w:r>
            <w:r>
              <w:rPr>
                <w:rFonts w:hint="eastAsia" w:ascii="宋体" w:hAnsi="宋体" w:cs="宋体"/>
                <w:color w:val="000000"/>
                <w:sz w:val="24"/>
              </w:rPr>
              <w:t>量指</w:t>
            </w:r>
            <w:r>
              <w:rPr>
                <w:rFonts w:hint="eastAsia" w:ascii="宋体" w:hAnsi="宋体" w:cs="宋体"/>
                <w:color w:val="000000"/>
                <w:sz w:val="24"/>
                <w:lang w:eastAsia="zh-CN"/>
              </w:rPr>
              <w:t>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居民基本卫生防病知识知晓率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≧80%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80%</w:t>
            </w:r>
          </w:p>
        </w:tc>
      </w:tr>
      <w:tr>
        <w:tblPrEx>
          <w:tblCellMar>
            <w:top w:w="0" w:type="dxa"/>
            <w:left w:w="0" w:type="dxa"/>
            <w:bottom w:w="0" w:type="dxa"/>
            <w:right w:w="0" w:type="dxa"/>
          </w:tblCellMar>
        </w:tblPrEx>
        <w:trPr>
          <w:trHeight w:val="1297"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eastAsia="zh-CN"/>
              </w:rPr>
              <w:t>质</w:t>
            </w:r>
            <w:r>
              <w:rPr>
                <w:rFonts w:hint="eastAsia" w:ascii="宋体" w:hAnsi="宋体" w:cs="宋体"/>
                <w:color w:val="000000"/>
                <w:sz w:val="24"/>
              </w:rPr>
              <w:t>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lang w:val="en-US" w:eastAsia="zh-CN"/>
              </w:rPr>
              <w:t>居民基本卫生防病知识形成率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≧60%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60%</w:t>
            </w:r>
          </w:p>
        </w:tc>
      </w:tr>
      <w:tr>
        <w:tblPrEx>
          <w:tblCellMar>
            <w:top w:w="0" w:type="dxa"/>
            <w:left w:w="0" w:type="dxa"/>
            <w:bottom w:w="0" w:type="dxa"/>
            <w:right w:w="0" w:type="dxa"/>
          </w:tblCellMar>
        </w:tblPrEx>
        <w:trPr>
          <w:trHeight w:val="1297"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lang w:eastAsia="zh-CN"/>
              </w:rPr>
              <w:t>质</w:t>
            </w:r>
            <w:r>
              <w:rPr>
                <w:rFonts w:hint="eastAsia" w:ascii="宋体" w:hAnsi="宋体" w:cs="宋体"/>
                <w:color w:val="000000"/>
                <w:sz w:val="24"/>
              </w:rPr>
              <w:t>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慢性病病人管理率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≧35%</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35%</w:t>
            </w:r>
          </w:p>
        </w:tc>
      </w:tr>
      <w:tr>
        <w:tblPrEx>
          <w:tblCellMar>
            <w:top w:w="0" w:type="dxa"/>
            <w:left w:w="0" w:type="dxa"/>
            <w:bottom w:w="0" w:type="dxa"/>
            <w:right w:w="0" w:type="dxa"/>
          </w:tblCellMar>
        </w:tblPrEx>
        <w:trPr>
          <w:trHeight w:val="1297"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lang w:eastAsia="zh-CN"/>
              </w:rPr>
              <w:t>质</w:t>
            </w:r>
            <w:r>
              <w:rPr>
                <w:rFonts w:hint="eastAsia" w:ascii="宋体" w:hAnsi="宋体" w:cs="宋体"/>
                <w:color w:val="000000"/>
                <w:sz w:val="24"/>
              </w:rPr>
              <w:t>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健康档案合格率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90%</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eastAsia="zh-CN"/>
              </w:rPr>
              <w:t>成本</w:t>
            </w:r>
            <w:r>
              <w:rPr>
                <w:rFonts w:hint="eastAsia" w:ascii="宋体" w:hAns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费用不超过</w:t>
            </w:r>
            <w:r>
              <w:rPr>
                <w:rFonts w:hint="eastAsia" w:ascii="Times New Roman" w:hAnsi="Times New Roman" w:eastAsia="宋体" w:cs="Times New Roman"/>
                <w:color w:val="auto"/>
                <w:kern w:val="0"/>
                <w:sz w:val="21"/>
                <w:szCs w:val="21"/>
                <w:highlight w:val="none"/>
                <w:lang w:val="en-US" w:eastAsia="zh-CN"/>
              </w:rPr>
              <w:t>1</w:t>
            </w:r>
            <w:r>
              <w:rPr>
                <w:rFonts w:hint="eastAsia" w:ascii="Times New Roman" w:hAnsi="Times New Roman" w:eastAsia="宋体" w:cs="Times New Roman"/>
                <w:color w:val="auto"/>
                <w:kern w:val="0"/>
                <w:sz w:val="21"/>
                <w:szCs w:val="21"/>
                <w:highlight w:val="none"/>
              </w:rPr>
              <w:t>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w:t>
            </w:r>
            <w:r>
              <w:rPr>
                <w:rFonts w:hint="eastAsia" w:ascii="Times New Roman" w:hAnsi="Times New Roman" w:eastAsia="宋体" w:cs="Times New Roman"/>
                <w:color w:val="auto"/>
                <w:kern w:val="0"/>
                <w:sz w:val="21"/>
                <w:szCs w:val="21"/>
                <w:highlight w:val="none"/>
                <w:lang w:val="en-US" w:eastAsia="zh-CN"/>
              </w:rPr>
              <w:t>1</w:t>
            </w:r>
            <w:r>
              <w:rPr>
                <w:rFonts w:hint="eastAsia" w:ascii="Times New Roman" w:hAnsi="Times New Roman" w:eastAsia="宋体" w:cs="Times New Roman"/>
                <w:color w:val="auto"/>
                <w:kern w:val="0"/>
                <w:sz w:val="21"/>
                <w:szCs w:val="21"/>
                <w:highlight w:val="none"/>
              </w:rPr>
              <w:t>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lang w:val="en-US" w:eastAsia="zh-CN"/>
              </w:rPr>
              <w:t>1</w:t>
            </w:r>
            <w:r>
              <w:rPr>
                <w:rFonts w:hint="eastAsia" w:ascii="Times New Roman" w:hAnsi="Times New Roman" w:eastAsia="宋体" w:cs="Times New Roman"/>
                <w:color w:val="auto"/>
                <w:kern w:val="0"/>
                <w:sz w:val="21"/>
                <w:szCs w:val="21"/>
                <w:highlight w:val="none"/>
              </w:rPr>
              <w:t>万</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社会效益</w:t>
            </w:r>
          </w:p>
          <w:p>
            <w:pPr>
              <w:widowControl/>
              <w:jc w:val="center"/>
              <w:textAlignment w:val="center"/>
              <w:rPr>
                <w:rFonts w:ascii="宋体" w:hAnsi="宋体" w:cs="宋体"/>
                <w:color w:val="000000"/>
                <w:sz w:val="24"/>
              </w:rPr>
            </w:pPr>
            <w:r>
              <w:rPr>
                <w:rFonts w:hint="eastAsia" w:ascii="宋体" w:hAns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加强我县的整体公共卫生水平，提升全县民众对卫健系统的工作支持和满意度，使卫生和健康事业长足发展，人民有幸福感</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Times New Roman" w:hAnsi="Times New Roman" w:eastAsia="宋体" w:cs="Times New Roman"/>
                <w:color w:val="auto"/>
                <w:kern w:val="0"/>
                <w:sz w:val="21"/>
                <w:szCs w:val="21"/>
                <w:highlight w:val="none"/>
                <w:lang w:eastAsia="zh-CN"/>
              </w:rPr>
            </w:pPr>
            <w:r>
              <w:rPr>
                <w:rFonts w:hint="eastAsia" w:ascii="Times New Roman" w:hAnsi="Times New Roman" w:eastAsia="宋体" w:cs="Times New Roman"/>
                <w:color w:val="auto"/>
                <w:kern w:val="0"/>
                <w:sz w:val="21"/>
                <w:szCs w:val="21"/>
                <w:highlight w:val="none"/>
                <w:lang w:eastAsia="zh-CN"/>
              </w:rPr>
              <w:t>中长期</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Times New Roman" w:hAnsi="Times New Roman" w:eastAsia="宋体" w:cs="Times New Roman"/>
                <w:color w:val="auto"/>
                <w:kern w:val="0"/>
                <w:sz w:val="21"/>
                <w:szCs w:val="21"/>
                <w:highlight w:val="none"/>
                <w:lang w:eastAsia="zh-CN"/>
              </w:rPr>
            </w:pPr>
            <w:r>
              <w:rPr>
                <w:rFonts w:hint="eastAsia" w:ascii="Times New Roman" w:hAnsi="Times New Roman" w:eastAsia="宋体" w:cs="Times New Roman"/>
                <w:color w:val="auto"/>
                <w:kern w:val="0"/>
                <w:sz w:val="21"/>
                <w:szCs w:val="21"/>
                <w:highlight w:val="none"/>
                <w:lang w:eastAsia="zh-CN"/>
              </w:rPr>
              <w:t>中长期</w:t>
            </w:r>
          </w:p>
        </w:tc>
      </w:tr>
      <w:tr>
        <w:tblPrEx>
          <w:tblCellMar>
            <w:top w:w="0" w:type="dxa"/>
            <w:left w:w="0" w:type="dxa"/>
            <w:bottom w:w="0" w:type="dxa"/>
            <w:right w:w="0" w:type="dxa"/>
          </w:tblCellMar>
        </w:tblPrEx>
        <w:trPr>
          <w:trHeight w:val="1050" w:hRule="atLeast"/>
          <w:jc w:val="center"/>
        </w:trPr>
        <w:tc>
          <w:tcPr>
            <w:tcW w:w="788"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服务对象</w:t>
            </w:r>
          </w:p>
          <w:p>
            <w:pPr>
              <w:widowControl/>
              <w:jc w:val="center"/>
              <w:textAlignment w:val="center"/>
              <w:rPr>
                <w:rFonts w:ascii="宋体" w:hAnsi="宋体" w:cs="宋体"/>
                <w:color w:val="000000"/>
                <w:sz w:val="24"/>
              </w:rPr>
            </w:pPr>
            <w:r>
              <w:rPr>
                <w:rFonts w:hint="eastAsia" w:ascii="宋体" w:hAns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城乡居民满意度调查</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≥95%</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840" w:firstLineChars="400"/>
              <w:jc w:val="left"/>
              <w:textAlignment w:val="center"/>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≥95%</w:t>
            </w:r>
          </w:p>
        </w:tc>
      </w:tr>
      <w:tr>
        <w:tblPrEx>
          <w:tblCellMar>
            <w:top w:w="0" w:type="dxa"/>
            <w:left w:w="0" w:type="dxa"/>
            <w:bottom w:w="0" w:type="dxa"/>
            <w:right w:w="0" w:type="dxa"/>
          </w:tblCellMar>
        </w:tblPrEx>
        <w:trPr>
          <w:trHeight w:val="1050" w:hRule="atLeast"/>
          <w:jc w:val="center"/>
        </w:trPr>
        <w:tc>
          <w:tcPr>
            <w:tcW w:w="788" w:type="dxa"/>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eastAsia="宋体"/>
                <w:color w:val="auto"/>
                <w:kern w:val="0"/>
                <w:sz w:val="21"/>
                <w:szCs w:val="21"/>
                <w:highlight w:val="none"/>
              </w:rPr>
            </w:pP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宋体" w:hAnsi="宋体" w:cs="宋体"/>
                <w:color w:val="000000"/>
                <w:sz w:val="24"/>
              </w:rPr>
            </w:pP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noWrap w:val="0"/>
            <w:tcMar>
              <w:top w:w="15" w:type="dxa"/>
              <w:left w:w="15" w:type="dxa"/>
              <w:right w:w="15" w:type="dxa"/>
            </w:tcMar>
            <w:vAlign w:val="center"/>
          </w:tcPr>
          <w:p>
            <w:pPr>
              <w:widowControl/>
              <w:jc w:val="both"/>
              <w:textAlignment w:val="center"/>
              <w:rPr>
                <w:rFonts w:hint="eastAsia" w:ascii="宋体" w:hAnsi="宋体" w:cs="宋体"/>
                <w:b/>
                <w:bCs/>
                <w:color w:val="000000"/>
                <w:kern w:val="0"/>
                <w:sz w:val="36"/>
                <w:szCs w:val="36"/>
              </w:rPr>
            </w:pPr>
          </w:p>
          <w:p>
            <w:pPr>
              <w:widowControl/>
              <w:jc w:val="both"/>
              <w:textAlignment w:val="center"/>
              <w:rPr>
                <w:rFonts w:hint="eastAsia" w:ascii="宋体" w:hAnsi="宋体" w:cs="宋体"/>
                <w:b/>
                <w:bCs/>
                <w:color w:val="000000"/>
                <w:kern w:val="0"/>
                <w:sz w:val="36"/>
                <w:szCs w:val="36"/>
              </w:rPr>
            </w:pPr>
          </w:p>
          <w:p>
            <w:pPr>
              <w:widowControl/>
              <w:jc w:val="center"/>
              <w:textAlignment w:val="center"/>
              <w:rPr>
                <w:rFonts w:hint="eastAsia" w:ascii="宋体" w:hAnsi="宋体" w:eastAsia="宋体" w:cs="宋体"/>
                <w:b/>
                <w:bCs/>
                <w:color w:val="000000"/>
                <w:kern w:val="0"/>
                <w:sz w:val="36"/>
                <w:szCs w:val="36"/>
                <w:lang w:eastAsia="zh-CN"/>
              </w:rPr>
            </w:pPr>
            <w:r>
              <w:rPr>
                <w:rFonts w:hint="eastAsia" w:ascii="宋体" w:hAnsi="宋体" w:cs="宋体"/>
                <w:b/>
                <w:bCs/>
                <w:color w:val="000000"/>
                <w:kern w:val="0"/>
                <w:sz w:val="36"/>
                <w:szCs w:val="36"/>
              </w:rPr>
              <w:t>项目绩效目标完成情况表</w:t>
            </w:r>
          </w:p>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rPr>
              <w:t>(20</w:t>
            </w:r>
            <w:r>
              <w:rPr>
                <w:rFonts w:hint="eastAsia" w:ascii="宋体" w:hAnsi="宋体" w:cs="宋体"/>
                <w:color w:val="000000"/>
                <w:kern w:val="0"/>
                <w:sz w:val="36"/>
                <w:szCs w:val="36"/>
                <w:lang w:val="en-US" w:eastAsia="zh-CN"/>
              </w:rPr>
              <w:t>21</w:t>
            </w:r>
            <w:r>
              <w:rPr>
                <w:rFonts w:hint="eastAsia" w:ascii="宋体" w:hAnsi="宋体" w:cs="宋体"/>
                <w:color w:val="000000"/>
                <w:kern w:val="0"/>
                <w:sz w:val="36"/>
                <w:szCs w:val="36"/>
              </w:rPr>
              <w:t>年度)</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eastAsia="zh-CN"/>
              </w:rPr>
              <w:t>艾滋病防治工作项目</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乐至县卫生健康局</w:t>
            </w:r>
          </w:p>
        </w:tc>
      </w:tr>
      <w:tr>
        <w:tblPrEx>
          <w:tblCellMar>
            <w:top w:w="0" w:type="dxa"/>
            <w:left w:w="0" w:type="dxa"/>
            <w:bottom w:w="0" w:type="dxa"/>
            <w:right w:w="0" w:type="dxa"/>
          </w:tblCellMar>
        </w:tblPrEx>
        <w:trPr>
          <w:trHeight w:val="276" w:hRule="atLeast"/>
          <w:jc w:val="center"/>
        </w:trPr>
        <w:tc>
          <w:tcPr>
            <w:tcW w:w="78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199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50</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50</w:t>
            </w:r>
          </w:p>
        </w:tc>
      </w:tr>
      <w:tr>
        <w:tblPrEx>
          <w:tblCellMar>
            <w:top w:w="0" w:type="dxa"/>
            <w:left w:w="0" w:type="dxa"/>
            <w:bottom w:w="0" w:type="dxa"/>
            <w:right w:w="0" w:type="dxa"/>
          </w:tblCellMar>
        </w:tblPrEx>
        <w:trPr>
          <w:trHeight w:val="276"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hAnsi="宋体" w:cs="宋体"/>
                <w:color w:val="000000"/>
                <w:sz w:val="24"/>
              </w:rPr>
            </w:pPr>
          </w:p>
        </w:tc>
        <w:tc>
          <w:tcPr>
            <w:tcW w:w="199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50</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50</w:t>
            </w:r>
          </w:p>
        </w:tc>
      </w:tr>
      <w:tr>
        <w:tblPrEx>
          <w:tblCellMar>
            <w:top w:w="0" w:type="dxa"/>
            <w:left w:w="0" w:type="dxa"/>
            <w:bottom w:w="0" w:type="dxa"/>
            <w:right w:w="0" w:type="dxa"/>
          </w:tblCellMar>
        </w:tblPrEx>
        <w:trPr>
          <w:trHeight w:val="90"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hAnsi="宋体" w:cs="宋体"/>
                <w:color w:val="000000"/>
                <w:sz w:val="24"/>
              </w:rPr>
            </w:pPr>
          </w:p>
        </w:tc>
        <w:tc>
          <w:tcPr>
            <w:tcW w:w="199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78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386"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hAnsi="宋体" w:cs="宋体"/>
                <w:color w:val="000000"/>
                <w:sz w:val="24"/>
              </w:rPr>
            </w:pPr>
          </w:p>
        </w:tc>
        <w:tc>
          <w:tcPr>
            <w:tcW w:w="4386"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color w:val="000000"/>
                <w:kern w:val="0"/>
                <w:szCs w:val="21"/>
              </w:rPr>
              <w:t>强化综合治理、分类指导，突出重点、攻坚克难，全面推进艾滋病防治工作，保障人民群众身体健康，促进经济社会和谐稳定发展。最大限度减少艾滋病新发感染，持续减少注射吸毒传播、输血传播和母婴传播，有效控制性传播，最大限度发现感染者和病人，进一步降低病死率，逐步提高感染者和病人生存质量，不断减少社会歧视，将我县艾滋病疫情继续控制在低流行水平。</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color w:val="000000"/>
                <w:kern w:val="0"/>
                <w:szCs w:val="21"/>
              </w:rPr>
              <w:t>强化综合治理、分类指导，突出重点、攻坚克难，全面推进艾滋病防治工作，保障人民群众身体健康，促进经济社会和谐稳定发展。最大限度减少艾滋病新发感染，持续减少注射吸毒传播、输血传播和母婴传播，有效控制性传播，最大限度发现感染者和病人，进一步降低病死率，逐步提高感染者和病人生存质量，不断减少社会歧视，将我县艾滋病疫情继续控制在低流行水平。</w:t>
            </w:r>
          </w:p>
        </w:tc>
      </w:tr>
      <w:tr>
        <w:tblPrEx>
          <w:tblCellMar>
            <w:top w:w="0" w:type="dxa"/>
            <w:left w:w="0" w:type="dxa"/>
            <w:bottom w:w="0" w:type="dxa"/>
            <w:right w:w="0" w:type="dxa"/>
          </w:tblCellMar>
        </w:tblPrEx>
        <w:trPr>
          <w:trHeight w:val="1042" w:hRule="atLeast"/>
          <w:jc w:val="center"/>
        </w:trPr>
        <w:tc>
          <w:tcPr>
            <w:tcW w:w="788"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开展艾滋病防治公益宣传</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每月一次</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每天2次电视台公益宣传</w:t>
            </w:r>
          </w:p>
        </w:tc>
      </w:tr>
      <w:tr>
        <w:tblPrEx>
          <w:tblCellMar>
            <w:top w:w="0" w:type="dxa"/>
            <w:left w:w="0" w:type="dxa"/>
            <w:bottom w:w="0" w:type="dxa"/>
            <w:right w:w="0" w:type="dxa"/>
          </w:tblCellMar>
        </w:tblPrEx>
        <w:trPr>
          <w:trHeight w:val="953"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按照全县人口落实每人1元的防治经费</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≧87万人</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≧87万人</w:t>
            </w:r>
          </w:p>
        </w:tc>
      </w:tr>
      <w:tr>
        <w:tblPrEx>
          <w:tblCellMar>
            <w:top w:w="0" w:type="dxa"/>
            <w:left w:w="0" w:type="dxa"/>
            <w:bottom w:w="0" w:type="dxa"/>
            <w:right w:w="0" w:type="dxa"/>
          </w:tblCellMar>
        </w:tblPrEx>
        <w:trPr>
          <w:trHeight w:val="953"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执法人员检查公共场所安全套摆放率是否达100%，无偿提供率达95%以上</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每年2次</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每年2次</w:t>
            </w:r>
          </w:p>
        </w:tc>
      </w:tr>
      <w:tr>
        <w:tblPrEx>
          <w:tblCellMar>
            <w:top w:w="0" w:type="dxa"/>
            <w:left w:w="0" w:type="dxa"/>
            <w:bottom w:w="0" w:type="dxa"/>
            <w:right w:w="0" w:type="dxa"/>
          </w:tblCellMar>
        </w:tblPrEx>
        <w:trPr>
          <w:trHeight w:val="1297"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eastAsia="zh-CN"/>
              </w:rPr>
              <w:t>质</w:t>
            </w:r>
            <w:r>
              <w:rPr>
                <w:rFonts w:hint="eastAsia" w:ascii="宋体" w:hAnsi="宋体" w:cs="宋体"/>
                <w:color w:val="000000"/>
                <w:sz w:val="24"/>
              </w:rPr>
              <w:t>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每年对本地居民进行艾滋病初筛检查占总人口比例</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≧30%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30</w:t>
            </w:r>
            <w:r>
              <w:rPr>
                <w:rFonts w:hint="eastAsia" w:ascii="宋体" w:hAnsi="宋体" w:cs="宋体"/>
                <w:color w:val="000000"/>
                <w:kern w:val="0"/>
                <w:sz w:val="24"/>
              </w:rPr>
              <w:t>%</w:t>
            </w:r>
          </w:p>
        </w:tc>
      </w:tr>
      <w:tr>
        <w:tblPrEx>
          <w:tblCellMar>
            <w:top w:w="0" w:type="dxa"/>
            <w:left w:w="0" w:type="dxa"/>
            <w:bottom w:w="0" w:type="dxa"/>
            <w:right w:w="0" w:type="dxa"/>
          </w:tblCellMar>
        </w:tblPrEx>
        <w:trPr>
          <w:trHeight w:val="1297"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lang w:eastAsia="zh-CN"/>
              </w:rPr>
              <w:t>质</w:t>
            </w:r>
            <w:r>
              <w:rPr>
                <w:rFonts w:hint="eastAsia" w:ascii="宋体" w:hAnsi="宋体" w:cs="宋体"/>
                <w:color w:val="000000"/>
                <w:sz w:val="24"/>
              </w:rPr>
              <w:t>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夫妻一方感染艾滋病家庭的配偶传播率下降到</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≦1%</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0%</w:t>
            </w:r>
          </w:p>
        </w:tc>
      </w:tr>
      <w:tr>
        <w:tblPrEx>
          <w:tblCellMar>
            <w:top w:w="0" w:type="dxa"/>
            <w:left w:w="0" w:type="dxa"/>
            <w:bottom w:w="0" w:type="dxa"/>
            <w:right w:w="0" w:type="dxa"/>
          </w:tblCellMar>
        </w:tblPrEx>
        <w:trPr>
          <w:trHeight w:val="1297"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lang w:eastAsia="zh-CN"/>
              </w:rPr>
              <w:t>质</w:t>
            </w:r>
            <w:r>
              <w:rPr>
                <w:rFonts w:hint="eastAsia" w:ascii="宋体" w:hAnsi="宋体" w:cs="宋体"/>
                <w:color w:val="000000"/>
                <w:sz w:val="24"/>
              </w:rPr>
              <w:t>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符合治疗条件的感染者和病人接受抗病毒治疗覆盖率达</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94.46%</w:t>
            </w:r>
          </w:p>
        </w:tc>
      </w:tr>
      <w:tr>
        <w:tblPrEx>
          <w:tblCellMar>
            <w:top w:w="0" w:type="dxa"/>
            <w:left w:w="0" w:type="dxa"/>
            <w:bottom w:w="0" w:type="dxa"/>
            <w:right w:w="0" w:type="dxa"/>
          </w:tblCellMar>
        </w:tblPrEx>
        <w:trPr>
          <w:trHeight w:val="1297"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lang w:eastAsia="zh-CN"/>
              </w:rPr>
              <w:t>质</w:t>
            </w:r>
            <w:r>
              <w:rPr>
                <w:rFonts w:hint="eastAsia" w:ascii="宋体" w:hAnsi="宋体" w:cs="宋体"/>
                <w:color w:val="000000"/>
                <w:sz w:val="24"/>
              </w:rPr>
              <w:t>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接受抗病毒治疗的感染者和病人治疗成功率达</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93.83%</w:t>
            </w:r>
          </w:p>
        </w:tc>
      </w:tr>
      <w:tr>
        <w:tblPrEx>
          <w:tblCellMar>
            <w:top w:w="0" w:type="dxa"/>
            <w:left w:w="0" w:type="dxa"/>
            <w:bottom w:w="0" w:type="dxa"/>
            <w:right w:w="0" w:type="dxa"/>
          </w:tblCellMar>
        </w:tblPrEx>
        <w:trPr>
          <w:trHeight w:val="1297"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lang w:eastAsia="zh-CN"/>
              </w:rPr>
              <w:t>质</w:t>
            </w:r>
            <w:r>
              <w:rPr>
                <w:rFonts w:hint="eastAsia" w:ascii="宋体" w:hAnsi="宋体" w:cs="宋体"/>
                <w:color w:val="000000"/>
                <w:sz w:val="24"/>
              </w:rPr>
              <w:t>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艾滋病母婴传播率下降到</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≦4%</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0%</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eastAsia="zh-CN"/>
              </w:rPr>
              <w:t>成本</w:t>
            </w:r>
            <w:r>
              <w:rPr>
                <w:rFonts w:hint="eastAsia" w:ascii="宋体" w:hAns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费用不超过</w:t>
            </w:r>
            <w:r>
              <w:rPr>
                <w:rFonts w:hint="eastAsia" w:ascii="宋体" w:hAnsi="宋体" w:cs="宋体"/>
                <w:color w:val="000000"/>
                <w:kern w:val="0"/>
                <w:sz w:val="24"/>
                <w:lang w:val="en-US" w:eastAsia="zh-CN"/>
              </w:rPr>
              <w:t>50</w:t>
            </w:r>
            <w:r>
              <w:rPr>
                <w:rFonts w:hint="eastAsia" w:ascii="宋体" w:hAnsi="宋体" w:cs="宋体"/>
                <w:color w:val="000000"/>
                <w:kern w:val="0"/>
                <w:sz w:val="24"/>
              </w:rPr>
              <w:t>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w:t>
            </w:r>
            <w:r>
              <w:rPr>
                <w:rFonts w:hint="eastAsia" w:ascii="宋体" w:hAnsi="宋体" w:cs="宋体"/>
                <w:color w:val="000000"/>
                <w:kern w:val="0"/>
                <w:sz w:val="24"/>
                <w:lang w:val="en-US" w:eastAsia="zh-CN"/>
              </w:rPr>
              <w:t>50</w:t>
            </w:r>
            <w:r>
              <w:rPr>
                <w:rFonts w:hint="eastAsia" w:ascii="宋体" w:hAnsi="宋体" w:cs="宋体"/>
                <w:color w:val="000000"/>
                <w:kern w:val="0"/>
                <w:sz w:val="24"/>
              </w:rPr>
              <w:t>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50万</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社会效益</w:t>
            </w:r>
            <w:r>
              <w:rPr>
                <w:rFonts w:hint="eastAsia" w:ascii="宋体" w:hAnsi="宋体" w:cs="宋体"/>
                <w:color w:val="000000"/>
                <w:kern w:val="0"/>
                <w:sz w:val="24"/>
                <w:lang w:val="en-US" w:eastAsia="zh-CN"/>
              </w:rPr>
              <w:br w:type="textWrapping"/>
            </w:r>
            <w:r>
              <w:rPr>
                <w:rFonts w:hint="eastAsia" w:ascii="宋体" w:hAnsi="宋体" w:cs="宋体"/>
                <w:color w:val="000000"/>
                <w:kern w:val="0"/>
                <w:sz w:val="24"/>
                <w:lang w:val="en-US" w:eastAsia="zh-CN"/>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 xml:space="preserve">切实提高综合干预实效性，有效控制性传播和注射吸毒传播,对公安部门抓获的卖淫嫖娼及吸毒人员检测率达 </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=100%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100%</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可持续影响</w:t>
            </w:r>
            <w:r>
              <w:rPr>
                <w:rFonts w:hint="eastAsia" w:ascii="宋体" w:hAnsi="宋体" w:cs="宋体"/>
                <w:color w:val="000000"/>
                <w:kern w:val="0"/>
                <w:sz w:val="24"/>
                <w:lang w:val="en-US" w:eastAsia="zh-CN"/>
              </w:rPr>
              <w:br w:type="textWrapping"/>
            </w:r>
            <w:r>
              <w:rPr>
                <w:rFonts w:hint="eastAsia" w:ascii="宋体" w:hAnsi="宋体" w:cs="宋体"/>
                <w:color w:val="000000"/>
                <w:kern w:val="0"/>
                <w:sz w:val="24"/>
                <w:lang w:val="en-US" w:eastAsia="zh-CN"/>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全县各类人群健康素养水平整体提升，患病人数在稳固不增长的环境下，呈下降趋势，</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eastAsia="zh-CN"/>
              </w:rPr>
            </w:pPr>
            <w:r>
              <w:rPr>
                <w:rFonts w:hint="eastAsia" w:ascii="宋体" w:hAnsi="宋体" w:cs="宋体"/>
                <w:color w:val="000000"/>
                <w:kern w:val="0"/>
                <w:sz w:val="24"/>
                <w:lang w:eastAsia="zh-CN"/>
              </w:rPr>
              <w:t>中长期</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eastAsia="zh-CN"/>
              </w:rPr>
            </w:pPr>
            <w:r>
              <w:rPr>
                <w:rFonts w:hint="eastAsia" w:ascii="宋体" w:hAnsi="宋体" w:cs="宋体"/>
                <w:color w:val="000000"/>
                <w:kern w:val="0"/>
                <w:sz w:val="24"/>
                <w:lang w:eastAsia="zh-CN"/>
              </w:rPr>
              <w:t>中长期</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经济效益</w:t>
            </w:r>
            <w:r>
              <w:rPr>
                <w:rFonts w:hint="eastAsia" w:ascii="宋体" w:hAnsi="宋体" w:cs="宋体"/>
                <w:color w:val="000000"/>
                <w:kern w:val="0"/>
                <w:sz w:val="24"/>
                <w:lang w:val="en-US" w:eastAsia="zh-CN"/>
              </w:rPr>
              <w:br w:type="textWrapping"/>
            </w:r>
            <w:r>
              <w:rPr>
                <w:rFonts w:hint="eastAsia" w:ascii="宋体" w:hAnsi="宋体" w:cs="宋体"/>
                <w:color w:val="000000"/>
                <w:kern w:val="0"/>
                <w:sz w:val="24"/>
                <w:lang w:val="en-US" w:eastAsia="zh-CN"/>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 xml:space="preserve"> 持续对艾滋患者和隐患人群进行健康跟进，早发现、早预防、早治疗，减少艾滋病人群的医疗负担</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中长期</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eastAsia="zh-CN"/>
              </w:rPr>
            </w:pPr>
            <w:r>
              <w:rPr>
                <w:rFonts w:hint="eastAsia" w:ascii="宋体" w:hAnsi="宋体" w:cs="宋体"/>
                <w:color w:val="000000"/>
                <w:kern w:val="0"/>
                <w:sz w:val="24"/>
              </w:rPr>
              <w:t>扩大检测面，对艾滋患者早发现、早预防、早治疗，免费提供抗病毒药物</w:t>
            </w:r>
          </w:p>
        </w:tc>
      </w:tr>
      <w:tr>
        <w:tblPrEx>
          <w:tblCellMar>
            <w:top w:w="0" w:type="dxa"/>
            <w:left w:w="0" w:type="dxa"/>
            <w:bottom w:w="0" w:type="dxa"/>
            <w:right w:w="0" w:type="dxa"/>
          </w:tblCellMar>
        </w:tblPrEx>
        <w:trPr>
          <w:trHeight w:val="1050" w:hRule="atLeast"/>
          <w:jc w:val="center"/>
        </w:trPr>
        <w:tc>
          <w:tcPr>
            <w:tcW w:w="788"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服务对象</w:t>
            </w:r>
          </w:p>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城乡居民满意度调查</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w:t>
            </w:r>
            <w:r>
              <w:rPr>
                <w:rFonts w:hint="eastAsia" w:ascii="宋体" w:hAnsi="宋体" w:cs="宋体"/>
                <w:color w:val="000000"/>
                <w:kern w:val="0"/>
                <w:sz w:val="24"/>
                <w:lang w:val="en-US" w:eastAsia="zh-CN"/>
              </w:rPr>
              <w:t>8</w:t>
            </w:r>
            <w:r>
              <w:rPr>
                <w:rFonts w:hint="eastAsia" w:ascii="宋体" w:hAnsi="宋体" w:cs="宋体"/>
                <w:color w:val="000000"/>
                <w:kern w:val="0"/>
                <w:sz w:val="24"/>
              </w:rPr>
              <w:t>5%</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90%</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noWrap w:val="0"/>
            <w:tcMar>
              <w:top w:w="15" w:type="dxa"/>
              <w:left w:w="15" w:type="dxa"/>
              <w:right w:w="15" w:type="dxa"/>
            </w:tcMar>
            <w:vAlign w:val="center"/>
          </w:tcPr>
          <w:p>
            <w:pPr>
              <w:widowControl/>
              <w:jc w:val="center"/>
              <w:textAlignment w:val="center"/>
              <w:rPr>
                <w:rFonts w:hint="eastAsia" w:ascii="宋体" w:hAnsi="宋体" w:cs="宋体"/>
                <w:b/>
                <w:bCs/>
                <w:color w:val="000000"/>
                <w:kern w:val="0"/>
                <w:sz w:val="36"/>
                <w:szCs w:val="36"/>
              </w:rPr>
            </w:pPr>
          </w:p>
          <w:p>
            <w:pPr>
              <w:widowControl/>
              <w:jc w:val="center"/>
              <w:textAlignment w:val="center"/>
              <w:rPr>
                <w:rFonts w:hint="eastAsia" w:ascii="宋体" w:hAnsi="宋体" w:eastAsia="宋体" w:cs="宋体"/>
                <w:b/>
                <w:bCs/>
                <w:color w:val="000000"/>
                <w:kern w:val="0"/>
                <w:sz w:val="36"/>
                <w:szCs w:val="36"/>
                <w:lang w:eastAsia="zh-CN"/>
              </w:rPr>
            </w:pPr>
            <w:r>
              <w:rPr>
                <w:rFonts w:hint="eastAsia" w:ascii="宋体" w:hAnsi="宋体" w:cs="宋体"/>
                <w:b/>
                <w:bCs/>
                <w:color w:val="000000"/>
                <w:kern w:val="0"/>
                <w:sz w:val="36"/>
                <w:szCs w:val="36"/>
              </w:rPr>
              <w:t>项目绩效目标完成情况表</w:t>
            </w:r>
          </w:p>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rPr>
              <w:t>(20</w:t>
            </w:r>
            <w:r>
              <w:rPr>
                <w:rFonts w:hint="eastAsia" w:ascii="宋体" w:hAnsi="宋体" w:cs="宋体"/>
                <w:color w:val="000000"/>
                <w:kern w:val="0"/>
                <w:sz w:val="36"/>
                <w:szCs w:val="36"/>
                <w:lang w:val="en-US" w:eastAsia="zh-CN"/>
              </w:rPr>
              <w:t>21</w:t>
            </w:r>
            <w:r>
              <w:rPr>
                <w:rFonts w:hint="eastAsia" w:ascii="宋体" w:hAnsi="宋体" w:cs="宋体"/>
                <w:color w:val="000000"/>
                <w:kern w:val="0"/>
                <w:sz w:val="36"/>
                <w:szCs w:val="36"/>
              </w:rPr>
              <w:t>年度)</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rPr>
              <w:t>计划生育</w:t>
            </w:r>
            <w:r>
              <w:rPr>
                <w:rFonts w:hint="eastAsia" w:ascii="宋体" w:hAnsi="宋体" w:cs="宋体"/>
                <w:color w:val="000000"/>
                <w:sz w:val="24"/>
                <w:lang w:eastAsia="zh-CN"/>
              </w:rPr>
              <w:t>便民服务管理</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乐至县卫生健康局</w:t>
            </w:r>
          </w:p>
        </w:tc>
      </w:tr>
      <w:tr>
        <w:tblPrEx>
          <w:tblCellMar>
            <w:top w:w="0" w:type="dxa"/>
            <w:left w:w="0" w:type="dxa"/>
            <w:bottom w:w="0" w:type="dxa"/>
            <w:right w:w="0" w:type="dxa"/>
          </w:tblCellMar>
        </w:tblPrEx>
        <w:trPr>
          <w:trHeight w:val="276" w:hRule="atLeast"/>
          <w:jc w:val="center"/>
        </w:trPr>
        <w:tc>
          <w:tcPr>
            <w:tcW w:w="78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199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10</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3.51</w:t>
            </w:r>
          </w:p>
        </w:tc>
      </w:tr>
      <w:tr>
        <w:tblPrEx>
          <w:tblCellMar>
            <w:top w:w="0" w:type="dxa"/>
            <w:left w:w="0" w:type="dxa"/>
            <w:bottom w:w="0" w:type="dxa"/>
            <w:right w:w="0" w:type="dxa"/>
          </w:tblCellMar>
        </w:tblPrEx>
        <w:trPr>
          <w:trHeight w:val="276"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hAnsi="宋体" w:cs="宋体"/>
                <w:color w:val="000000"/>
                <w:sz w:val="24"/>
              </w:rPr>
            </w:pPr>
          </w:p>
        </w:tc>
        <w:tc>
          <w:tcPr>
            <w:tcW w:w="199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10</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3.51</w:t>
            </w:r>
          </w:p>
        </w:tc>
      </w:tr>
      <w:tr>
        <w:tblPrEx>
          <w:tblCellMar>
            <w:top w:w="0" w:type="dxa"/>
            <w:left w:w="0" w:type="dxa"/>
            <w:bottom w:w="0" w:type="dxa"/>
            <w:right w:w="0" w:type="dxa"/>
          </w:tblCellMar>
        </w:tblPrEx>
        <w:trPr>
          <w:trHeight w:val="927"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hAnsi="宋体" w:cs="宋体"/>
                <w:color w:val="000000"/>
                <w:sz w:val="24"/>
              </w:rPr>
            </w:pPr>
          </w:p>
        </w:tc>
        <w:tc>
          <w:tcPr>
            <w:tcW w:w="199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78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386"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hAnsi="宋体" w:cs="宋体"/>
                <w:color w:val="000000"/>
                <w:sz w:val="24"/>
              </w:rPr>
            </w:pPr>
          </w:p>
        </w:tc>
        <w:tc>
          <w:tcPr>
            <w:tcW w:w="4386"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color w:val="000000"/>
                <w:kern w:val="0"/>
                <w:szCs w:val="21"/>
              </w:rPr>
              <w:t>实施计划生育便民服务管理，生育登记、特殊情形再生育审批实现“零跑腿”服务。</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color w:val="000000"/>
                <w:kern w:val="0"/>
                <w:szCs w:val="21"/>
              </w:rPr>
              <w:t>实施计划生育便民服务管理，生育登记、特殊情形再生育审批实现“零跑腿”服务。</w:t>
            </w:r>
          </w:p>
        </w:tc>
      </w:tr>
      <w:tr>
        <w:tblPrEx>
          <w:tblCellMar>
            <w:top w:w="0" w:type="dxa"/>
            <w:left w:w="0" w:type="dxa"/>
            <w:bottom w:w="0" w:type="dxa"/>
            <w:right w:w="0" w:type="dxa"/>
          </w:tblCellMar>
        </w:tblPrEx>
        <w:trPr>
          <w:trHeight w:val="1042" w:hRule="atLeast"/>
          <w:jc w:val="center"/>
        </w:trPr>
        <w:tc>
          <w:tcPr>
            <w:tcW w:w="788"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生育登记、特殊情况再生育审批</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≥5000人</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4000人</w:t>
            </w:r>
          </w:p>
        </w:tc>
      </w:tr>
      <w:tr>
        <w:tblPrEx>
          <w:tblCellMar>
            <w:top w:w="0" w:type="dxa"/>
            <w:left w:w="0" w:type="dxa"/>
            <w:bottom w:w="0" w:type="dxa"/>
            <w:right w:w="0" w:type="dxa"/>
          </w:tblCellMar>
        </w:tblPrEx>
        <w:trPr>
          <w:trHeight w:val="1297"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eastAsia="zh-CN"/>
              </w:rPr>
              <w:t>质</w:t>
            </w:r>
            <w:r>
              <w:rPr>
                <w:rFonts w:hint="eastAsia" w:ascii="宋体" w:hAnsi="宋体" w:cs="宋体"/>
                <w:color w:val="000000"/>
                <w:sz w:val="24"/>
              </w:rPr>
              <w:t>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登记率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90%</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eastAsia="zh-CN"/>
              </w:rPr>
              <w:t>成本</w:t>
            </w:r>
            <w:r>
              <w:rPr>
                <w:rFonts w:hint="eastAsia" w:ascii="宋体" w:hAns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费用不超过</w:t>
            </w:r>
            <w:r>
              <w:rPr>
                <w:rFonts w:hint="eastAsia" w:ascii="宋体" w:hAnsi="宋体" w:cs="宋体"/>
                <w:color w:val="000000"/>
                <w:kern w:val="0"/>
                <w:sz w:val="24"/>
                <w:lang w:val="en-US" w:eastAsia="zh-CN"/>
              </w:rPr>
              <w:t>10</w:t>
            </w:r>
            <w:r>
              <w:rPr>
                <w:rFonts w:hint="eastAsia" w:ascii="宋体" w:hAnsi="宋体" w:cs="宋体"/>
                <w:color w:val="000000"/>
                <w:kern w:val="0"/>
                <w:sz w:val="24"/>
              </w:rPr>
              <w:t>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w:t>
            </w:r>
            <w:r>
              <w:rPr>
                <w:rFonts w:hint="eastAsia" w:ascii="宋体" w:hAnsi="宋体" w:cs="宋体"/>
                <w:color w:val="000000"/>
                <w:kern w:val="0"/>
                <w:sz w:val="24"/>
                <w:lang w:val="en-US" w:eastAsia="zh-CN"/>
              </w:rPr>
              <w:t>10</w:t>
            </w:r>
            <w:r>
              <w:rPr>
                <w:rFonts w:hint="eastAsia" w:ascii="宋体" w:hAnsi="宋体" w:cs="宋体"/>
                <w:color w:val="000000"/>
                <w:kern w:val="0"/>
                <w:sz w:val="24"/>
              </w:rPr>
              <w:t>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3.51万</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经济效益</w:t>
            </w:r>
          </w:p>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便民服务能力</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提高</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eastAsia="zh-CN"/>
              </w:rPr>
              <w:t>继续保持</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auto"/>
                <w:kern w:val="0"/>
                <w:sz w:val="21"/>
                <w:szCs w:val="21"/>
                <w:lang w:val="en-US" w:eastAsia="zh-CN" w:bidi="ar-SA"/>
              </w:rPr>
            </w:pPr>
            <w:r>
              <w:rPr>
                <w:rFonts w:hint="eastAsia" w:ascii="宋体" w:hAnsi="宋体" w:eastAsia="宋体" w:cs="宋体"/>
                <w:i w:val="0"/>
                <w:iCs w:val="0"/>
                <w:color w:val="auto"/>
                <w:kern w:val="0"/>
                <w:sz w:val="20"/>
                <w:szCs w:val="20"/>
                <w:u w:val="none"/>
                <w:lang w:val="en-US" w:eastAsia="zh-CN" w:bidi="ar"/>
              </w:rPr>
              <w:t>社会效益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生育登记、特殊情况再生育审批</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实行网上登记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eastAsia="zh-CN"/>
              </w:rPr>
              <w:t>已实行</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auto"/>
                <w:kern w:val="0"/>
                <w:sz w:val="21"/>
                <w:szCs w:val="21"/>
                <w:lang w:val="en-US" w:eastAsia="zh-CN" w:bidi="ar-SA"/>
              </w:rPr>
            </w:pPr>
            <w:r>
              <w:rPr>
                <w:rFonts w:hint="eastAsia" w:ascii="宋体" w:hAnsi="宋体" w:eastAsia="宋体" w:cs="宋体"/>
                <w:i w:val="0"/>
                <w:iCs w:val="0"/>
                <w:color w:val="auto"/>
                <w:kern w:val="0"/>
                <w:sz w:val="20"/>
                <w:szCs w:val="20"/>
                <w:u w:val="none"/>
                <w:lang w:val="en-US" w:eastAsia="zh-CN" w:bidi="ar"/>
              </w:rPr>
              <w:t>可持续影响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计划生育管理过渡到计划生育服务</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加快</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加快</w:t>
            </w:r>
          </w:p>
        </w:tc>
      </w:tr>
      <w:tr>
        <w:tblPrEx>
          <w:tblCellMar>
            <w:top w:w="0" w:type="dxa"/>
            <w:left w:w="0" w:type="dxa"/>
            <w:bottom w:w="0" w:type="dxa"/>
            <w:right w:w="0" w:type="dxa"/>
          </w:tblCellMar>
        </w:tblPrEx>
        <w:trPr>
          <w:trHeight w:val="1050" w:hRule="atLeast"/>
          <w:jc w:val="center"/>
        </w:trPr>
        <w:tc>
          <w:tcPr>
            <w:tcW w:w="788"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sz w:val="24"/>
              </w:rPr>
              <w:t>服务对象</w:t>
            </w:r>
          </w:p>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服务对象</w:t>
            </w:r>
            <w:r>
              <w:rPr>
                <w:rFonts w:hint="eastAsia" w:ascii="宋体" w:hAnsi="宋体" w:cs="宋体"/>
                <w:color w:val="000000"/>
                <w:kern w:val="0"/>
                <w:sz w:val="24"/>
              </w:rPr>
              <w:t>满意度</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≥9</w:t>
            </w:r>
            <w:r>
              <w:rPr>
                <w:rFonts w:hint="eastAsia" w:ascii="宋体" w:hAnsi="宋体" w:cs="宋体"/>
                <w:color w:val="000000"/>
                <w:kern w:val="0"/>
                <w:sz w:val="24"/>
                <w:lang w:val="en-US" w:eastAsia="zh-CN"/>
              </w:rPr>
              <w:t>0</w:t>
            </w:r>
            <w:r>
              <w:rPr>
                <w:rFonts w:hint="eastAsia"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9</w:t>
            </w:r>
            <w:r>
              <w:rPr>
                <w:rFonts w:hint="eastAsia" w:ascii="宋体" w:hAnsi="宋体" w:cs="宋体"/>
                <w:color w:val="000000"/>
                <w:kern w:val="0"/>
                <w:sz w:val="24"/>
                <w:lang w:val="en-US" w:eastAsia="zh-CN"/>
              </w:rPr>
              <w:t>0</w:t>
            </w:r>
            <w:r>
              <w:rPr>
                <w:rFonts w:hint="eastAsia" w:ascii="宋体" w:hAnsi="宋体" w:cs="宋体"/>
                <w:color w:val="000000"/>
                <w:kern w:val="0"/>
                <w:sz w:val="24"/>
              </w:rPr>
              <w:t>%</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noWrap w:val="0"/>
            <w:tcMar>
              <w:top w:w="15" w:type="dxa"/>
              <w:left w:w="15" w:type="dxa"/>
              <w:right w:w="15" w:type="dxa"/>
            </w:tcMar>
            <w:vAlign w:val="center"/>
          </w:tcPr>
          <w:p>
            <w:pPr>
              <w:widowControl/>
              <w:jc w:val="center"/>
              <w:textAlignment w:val="center"/>
              <w:rPr>
                <w:rFonts w:hint="eastAsia" w:ascii="宋体" w:hAnsi="宋体" w:cs="宋体"/>
                <w:b/>
                <w:bCs/>
                <w:color w:val="000000"/>
                <w:kern w:val="0"/>
                <w:sz w:val="36"/>
                <w:szCs w:val="36"/>
              </w:rPr>
            </w:pPr>
          </w:p>
          <w:p>
            <w:pPr>
              <w:widowControl/>
              <w:jc w:val="center"/>
              <w:textAlignment w:val="center"/>
              <w:rPr>
                <w:rFonts w:hint="eastAsia" w:ascii="宋体" w:hAnsi="宋体" w:eastAsia="宋体" w:cs="宋体"/>
                <w:b/>
                <w:bCs/>
                <w:color w:val="000000"/>
                <w:kern w:val="0"/>
                <w:sz w:val="36"/>
                <w:szCs w:val="36"/>
                <w:lang w:eastAsia="zh-CN"/>
              </w:rPr>
            </w:pPr>
            <w:r>
              <w:rPr>
                <w:rFonts w:hint="eastAsia" w:ascii="宋体" w:hAnsi="宋体" w:cs="宋体"/>
                <w:b/>
                <w:bCs/>
                <w:color w:val="000000"/>
                <w:kern w:val="0"/>
                <w:sz w:val="36"/>
                <w:szCs w:val="36"/>
              </w:rPr>
              <w:t>项目绩效目标完成情况表</w:t>
            </w:r>
          </w:p>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rPr>
              <w:t>(20</w:t>
            </w:r>
            <w:r>
              <w:rPr>
                <w:rFonts w:hint="eastAsia" w:ascii="宋体" w:hAnsi="宋体" w:cs="宋体"/>
                <w:color w:val="000000"/>
                <w:kern w:val="0"/>
                <w:sz w:val="36"/>
                <w:szCs w:val="36"/>
                <w:lang w:val="en-US" w:eastAsia="zh-CN"/>
              </w:rPr>
              <w:t>21</w:t>
            </w:r>
            <w:r>
              <w:rPr>
                <w:rFonts w:hint="eastAsia" w:ascii="宋体" w:hAnsi="宋体" w:cs="宋体"/>
                <w:color w:val="000000"/>
                <w:kern w:val="0"/>
                <w:sz w:val="36"/>
                <w:szCs w:val="36"/>
              </w:rPr>
              <w:t>年度)</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eastAsia="zh-CN"/>
              </w:rPr>
              <w:t>计生专项工作经费</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乐至县卫生健康局</w:t>
            </w:r>
          </w:p>
        </w:tc>
      </w:tr>
      <w:tr>
        <w:tblPrEx>
          <w:tblCellMar>
            <w:top w:w="0" w:type="dxa"/>
            <w:left w:w="0" w:type="dxa"/>
            <w:bottom w:w="0" w:type="dxa"/>
            <w:right w:w="0" w:type="dxa"/>
          </w:tblCellMar>
        </w:tblPrEx>
        <w:trPr>
          <w:trHeight w:val="276" w:hRule="atLeast"/>
          <w:jc w:val="center"/>
        </w:trPr>
        <w:tc>
          <w:tcPr>
            <w:tcW w:w="78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199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37</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13.73</w:t>
            </w:r>
          </w:p>
        </w:tc>
      </w:tr>
      <w:tr>
        <w:tblPrEx>
          <w:tblCellMar>
            <w:top w:w="0" w:type="dxa"/>
            <w:left w:w="0" w:type="dxa"/>
            <w:bottom w:w="0" w:type="dxa"/>
            <w:right w:w="0" w:type="dxa"/>
          </w:tblCellMar>
        </w:tblPrEx>
        <w:trPr>
          <w:trHeight w:val="276"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hAnsi="宋体" w:cs="宋体"/>
                <w:color w:val="000000"/>
                <w:sz w:val="24"/>
              </w:rPr>
            </w:pPr>
          </w:p>
        </w:tc>
        <w:tc>
          <w:tcPr>
            <w:tcW w:w="199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37</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13.73</w:t>
            </w:r>
          </w:p>
        </w:tc>
      </w:tr>
      <w:tr>
        <w:tblPrEx>
          <w:tblCellMar>
            <w:top w:w="0" w:type="dxa"/>
            <w:left w:w="0" w:type="dxa"/>
            <w:bottom w:w="0" w:type="dxa"/>
            <w:right w:w="0" w:type="dxa"/>
          </w:tblCellMar>
        </w:tblPrEx>
        <w:trPr>
          <w:trHeight w:val="1511"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hAnsi="宋体" w:cs="宋体"/>
                <w:color w:val="000000"/>
                <w:sz w:val="24"/>
              </w:rPr>
            </w:pPr>
          </w:p>
        </w:tc>
        <w:tc>
          <w:tcPr>
            <w:tcW w:w="199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78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386"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hAnsi="宋体" w:cs="宋体"/>
                <w:color w:val="000000"/>
                <w:sz w:val="24"/>
              </w:rPr>
            </w:pPr>
          </w:p>
        </w:tc>
        <w:tc>
          <w:tcPr>
            <w:tcW w:w="4386"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color w:val="000000"/>
                <w:kern w:val="0"/>
                <w:szCs w:val="21"/>
              </w:rPr>
              <w:t>通过集中宣传、窗口申报、年审、乡村联合调查、县级复审抽查、档案管理，确保计划生育家庭奖励扶助对象资格确认无误。</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color w:val="000000"/>
                <w:kern w:val="0"/>
                <w:szCs w:val="21"/>
              </w:rPr>
              <w:t>通过集中宣传、窗口申报、年审、乡村联合调查、县级复审抽查、档案管理，确保计划生育家庭奖励扶助对象资格确认无误。</w:t>
            </w:r>
          </w:p>
        </w:tc>
      </w:tr>
      <w:tr>
        <w:tblPrEx>
          <w:tblCellMar>
            <w:top w:w="0" w:type="dxa"/>
            <w:left w:w="0" w:type="dxa"/>
            <w:bottom w:w="0" w:type="dxa"/>
            <w:right w:w="0" w:type="dxa"/>
          </w:tblCellMar>
        </w:tblPrEx>
        <w:trPr>
          <w:trHeight w:val="1042" w:hRule="atLeast"/>
          <w:jc w:val="center"/>
        </w:trPr>
        <w:tc>
          <w:tcPr>
            <w:tcW w:w="788"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县级抽查新增对象</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≥10%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10%　</w:t>
            </w:r>
          </w:p>
        </w:tc>
      </w:tr>
      <w:tr>
        <w:tblPrEx>
          <w:tblCellMar>
            <w:top w:w="0" w:type="dxa"/>
            <w:left w:w="0" w:type="dxa"/>
            <w:bottom w:w="0" w:type="dxa"/>
            <w:right w:w="0" w:type="dxa"/>
          </w:tblCellMar>
        </w:tblPrEx>
        <w:trPr>
          <w:trHeight w:val="953"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县级抽查往年对象</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eastAsia="zh-CN"/>
              </w:rPr>
            </w:pPr>
            <w:r>
              <w:rPr>
                <w:rFonts w:hint="eastAsia" w:ascii="宋体" w:hAnsi="宋体" w:cs="宋体"/>
                <w:color w:val="000000"/>
                <w:kern w:val="0"/>
                <w:sz w:val="24"/>
                <w:lang w:val="en-US" w:eastAsia="zh-CN"/>
              </w:rPr>
              <w:t>≥5%</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eastAsia="zh-CN"/>
              </w:rPr>
            </w:pPr>
            <w:r>
              <w:rPr>
                <w:rFonts w:hint="eastAsia" w:ascii="宋体" w:hAnsi="宋体" w:cs="宋体"/>
                <w:color w:val="000000"/>
                <w:kern w:val="0"/>
                <w:sz w:val="24"/>
                <w:lang w:val="en-US" w:eastAsia="zh-CN"/>
              </w:rPr>
              <w:t>6</w:t>
            </w:r>
            <w:r>
              <w:rPr>
                <w:rFonts w:hint="eastAsia" w:ascii="宋体" w:hAnsi="宋体" w:cs="宋体"/>
                <w:color w:val="000000"/>
                <w:kern w:val="0"/>
                <w:sz w:val="24"/>
              </w:rPr>
              <w:t>%</w:t>
            </w:r>
          </w:p>
        </w:tc>
      </w:tr>
      <w:tr>
        <w:tblPrEx>
          <w:tblCellMar>
            <w:top w:w="0" w:type="dxa"/>
            <w:left w:w="0" w:type="dxa"/>
            <w:bottom w:w="0" w:type="dxa"/>
            <w:right w:w="0" w:type="dxa"/>
          </w:tblCellMar>
        </w:tblPrEx>
        <w:trPr>
          <w:trHeight w:val="953"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计划生育奖特扶宣传</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eastAsia="zh-CN"/>
              </w:rPr>
            </w:pPr>
            <w:r>
              <w:rPr>
                <w:rFonts w:hint="eastAsia" w:ascii="宋体" w:hAnsi="宋体" w:cs="宋体"/>
                <w:color w:val="000000"/>
                <w:kern w:val="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eastAsia="zh-CN"/>
              </w:rPr>
            </w:pPr>
            <w:r>
              <w:rPr>
                <w:rFonts w:hint="eastAsia" w:ascii="宋体" w:hAnsi="宋体" w:cs="宋体"/>
                <w:color w:val="000000"/>
                <w:kern w:val="0"/>
                <w:sz w:val="24"/>
              </w:rPr>
              <w:t>90%</w:t>
            </w:r>
          </w:p>
        </w:tc>
      </w:tr>
      <w:tr>
        <w:tblPrEx>
          <w:tblCellMar>
            <w:top w:w="0" w:type="dxa"/>
            <w:left w:w="0" w:type="dxa"/>
            <w:bottom w:w="0" w:type="dxa"/>
            <w:right w:w="0" w:type="dxa"/>
          </w:tblCellMar>
        </w:tblPrEx>
        <w:trPr>
          <w:trHeight w:val="1297"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eastAsia="zh-CN"/>
              </w:rPr>
              <w:t>质</w:t>
            </w:r>
            <w:r>
              <w:rPr>
                <w:rFonts w:hint="eastAsia" w:ascii="宋体" w:hAnsi="宋体" w:cs="宋体"/>
                <w:color w:val="000000"/>
                <w:sz w:val="24"/>
              </w:rPr>
              <w:t>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新增对象资格确认</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零误差</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　零误差</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sz w:val="24"/>
                <w:lang w:eastAsia="zh-CN"/>
              </w:rPr>
              <w:t>成本</w:t>
            </w:r>
            <w:r>
              <w:rPr>
                <w:rFonts w:hint="eastAsia" w:ascii="宋体" w:hAnsi="宋体" w:cs="宋体"/>
                <w:color w:val="000000"/>
                <w:sz w:val="24"/>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费用不超过</w:t>
            </w:r>
            <w:r>
              <w:rPr>
                <w:rFonts w:hint="eastAsia" w:ascii="宋体" w:hAnsi="宋体" w:cs="宋体"/>
                <w:color w:val="000000"/>
                <w:kern w:val="0"/>
                <w:sz w:val="24"/>
                <w:lang w:val="en-US" w:eastAsia="zh-CN"/>
              </w:rPr>
              <w:t>37</w:t>
            </w:r>
            <w:r>
              <w:rPr>
                <w:rFonts w:hint="eastAsia" w:ascii="宋体" w:hAnsi="宋体" w:cs="宋体"/>
                <w:color w:val="000000"/>
                <w:kern w:val="0"/>
                <w:sz w:val="24"/>
              </w:rPr>
              <w:t>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w:t>
            </w:r>
            <w:r>
              <w:rPr>
                <w:rFonts w:hint="eastAsia" w:ascii="宋体" w:hAnsi="宋体" w:cs="宋体"/>
                <w:color w:val="000000"/>
                <w:kern w:val="0"/>
                <w:sz w:val="24"/>
                <w:lang w:val="en-US" w:eastAsia="zh-CN"/>
              </w:rPr>
              <w:t>37</w:t>
            </w:r>
            <w:r>
              <w:rPr>
                <w:rFonts w:hint="eastAsia" w:ascii="宋体" w:hAnsi="宋体" w:cs="宋体"/>
                <w:color w:val="000000"/>
                <w:kern w:val="0"/>
                <w:sz w:val="24"/>
              </w:rPr>
              <w:t>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13.73</w:t>
            </w:r>
            <w:r>
              <w:rPr>
                <w:rFonts w:hint="eastAsia" w:ascii="宋体" w:hAnsi="宋体" w:cs="宋体"/>
                <w:color w:val="000000"/>
                <w:kern w:val="0"/>
                <w:sz w:val="24"/>
              </w:rPr>
              <w:t>万</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经济效益</w:t>
            </w:r>
            <w:r>
              <w:rPr>
                <w:rFonts w:hint="eastAsia" w:ascii="宋体" w:hAnsi="宋体" w:cs="宋体"/>
                <w:color w:val="000000"/>
                <w:kern w:val="0"/>
                <w:sz w:val="24"/>
                <w:lang w:val="en-US" w:eastAsia="zh-CN"/>
              </w:rPr>
              <w:br w:type="textWrapping"/>
            </w:r>
            <w:r>
              <w:rPr>
                <w:rFonts w:hint="eastAsia" w:ascii="宋体" w:hAnsi="宋体" w:cs="宋体"/>
                <w:color w:val="000000"/>
                <w:kern w:val="0"/>
                <w:sz w:val="24"/>
                <w:lang w:val="en-US" w:eastAsia="zh-CN"/>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计划生育奖特扶家庭领取扶助金</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100%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100%　</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社会效益</w:t>
            </w:r>
            <w:r>
              <w:rPr>
                <w:rFonts w:hint="eastAsia" w:ascii="宋体" w:hAnsi="宋体" w:cs="宋体"/>
                <w:color w:val="000000"/>
                <w:kern w:val="0"/>
                <w:sz w:val="24"/>
                <w:lang w:val="en-US" w:eastAsia="zh-CN"/>
              </w:rPr>
              <w:br w:type="textWrapping"/>
            </w:r>
            <w:r>
              <w:rPr>
                <w:rFonts w:hint="eastAsia" w:ascii="宋体" w:hAnsi="宋体" w:cs="宋体"/>
                <w:color w:val="000000"/>
                <w:kern w:val="0"/>
                <w:sz w:val="24"/>
                <w:lang w:val="en-US" w:eastAsia="zh-CN"/>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全县计生家庭奖励扶助对象收益增加</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≥3万人</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32425</w:t>
            </w:r>
            <w:r>
              <w:rPr>
                <w:rFonts w:hint="eastAsia" w:ascii="宋体" w:hAnsi="宋体" w:cs="宋体"/>
                <w:color w:val="000000"/>
                <w:kern w:val="0"/>
                <w:sz w:val="24"/>
                <w:lang w:eastAsia="zh-CN"/>
              </w:rPr>
              <w:t>人</w:t>
            </w:r>
            <w:r>
              <w:rPr>
                <w:rFonts w:hint="eastAsia" w:ascii="宋体" w:hAnsi="宋体" w:cs="宋体"/>
                <w:color w:val="000000"/>
                <w:kern w:val="0"/>
                <w:sz w:val="24"/>
              </w:rPr>
              <w:t>　</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可持续影响</w:t>
            </w:r>
            <w:r>
              <w:rPr>
                <w:rFonts w:hint="eastAsia" w:ascii="宋体" w:hAnsi="宋体" w:cs="宋体"/>
                <w:color w:val="000000"/>
                <w:kern w:val="0"/>
                <w:sz w:val="24"/>
                <w:lang w:val="en-US" w:eastAsia="zh-CN"/>
              </w:rPr>
              <w:br w:type="textWrapping"/>
            </w:r>
            <w:r>
              <w:rPr>
                <w:rFonts w:hint="eastAsia" w:ascii="宋体" w:hAnsi="宋体" w:cs="宋体"/>
                <w:color w:val="000000"/>
                <w:kern w:val="0"/>
                <w:sz w:val="24"/>
                <w:lang w:val="en-US" w:eastAsia="zh-CN"/>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计生扶助对象生活质量</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提高</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提高</w:t>
            </w:r>
          </w:p>
        </w:tc>
      </w:tr>
      <w:tr>
        <w:tblPrEx>
          <w:tblCellMar>
            <w:top w:w="0" w:type="dxa"/>
            <w:left w:w="0" w:type="dxa"/>
            <w:bottom w:w="0" w:type="dxa"/>
            <w:right w:w="0" w:type="dxa"/>
          </w:tblCellMar>
        </w:tblPrEx>
        <w:trPr>
          <w:trHeight w:val="1050" w:hRule="atLeast"/>
          <w:jc w:val="center"/>
        </w:trPr>
        <w:tc>
          <w:tcPr>
            <w:tcW w:w="788"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服务对象</w:t>
            </w:r>
          </w:p>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满意度指标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计生扶助对象满意度</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≥95%</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≥95%　</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noWrap w:val="0"/>
            <w:tcMar>
              <w:top w:w="15" w:type="dxa"/>
              <w:left w:w="15" w:type="dxa"/>
              <w:right w:w="15" w:type="dxa"/>
            </w:tcMar>
            <w:vAlign w:val="center"/>
          </w:tcPr>
          <w:p>
            <w:pPr>
              <w:widowControl/>
              <w:jc w:val="center"/>
              <w:textAlignment w:val="center"/>
              <w:rPr>
                <w:rFonts w:hint="eastAsia" w:ascii="宋体" w:hAnsi="宋体" w:cs="宋体"/>
                <w:b/>
                <w:bCs/>
                <w:color w:val="000000"/>
                <w:kern w:val="0"/>
                <w:sz w:val="36"/>
                <w:szCs w:val="36"/>
              </w:rPr>
            </w:pPr>
          </w:p>
          <w:p>
            <w:pPr>
              <w:widowControl/>
              <w:jc w:val="center"/>
              <w:textAlignment w:val="center"/>
              <w:rPr>
                <w:rFonts w:hint="eastAsia" w:ascii="宋体" w:hAnsi="宋体" w:cs="宋体"/>
                <w:b/>
                <w:bCs/>
                <w:color w:val="000000"/>
                <w:kern w:val="0"/>
                <w:sz w:val="36"/>
                <w:szCs w:val="36"/>
              </w:rPr>
            </w:pPr>
          </w:p>
          <w:p>
            <w:pPr>
              <w:widowControl/>
              <w:jc w:val="center"/>
              <w:textAlignment w:val="center"/>
              <w:rPr>
                <w:rFonts w:hint="eastAsia" w:ascii="宋体" w:hAnsi="宋体" w:cs="宋体"/>
                <w:b/>
                <w:bCs/>
                <w:color w:val="000000"/>
                <w:kern w:val="0"/>
                <w:sz w:val="36"/>
                <w:szCs w:val="36"/>
              </w:rPr>
            </w:pPr>
          </w:p>
          <w:p>
            <w:pPr>
              <w:widowControl/>
              <w:jc w:val="center"/>
              <w:textAlignment w:val="center"/>
              <w:rPr>
                <w:rFonts w:hint="eastAsia" w:ascii="宋体" w:hAnsi="宋体" w:cs="宋体"/>
                <w:b/>
                <w:bCs/>
                <w:color w:val="000000"/>
                <w:kern w:val="0"/>
                <w:sz w:val="36"/>
                <w:szCs w:val="36"/>
              </w:rPr>
            </w:pPr>
          </w:p>
          <w:p>
            <w:pPr>
              <w:widowControl/>
              <w:jc w:val="center"/>
              <w:textAlignment w:val="center"/>
              <w:rPr>
                <w:rFonts w:hint="eastAsia" w:ascii="宋体" w:hAnsi="宋体" w:cs="宋体"/>
                <w:b/>
                <w:bCs/>
                <w:color w:val="000000"/>
                <w:kern w:val="0"/>
                <w:sz w:val="36"/>
                <w:szCs w:val="36"/>
              </w:rPr>
            </w:pPr>
          </w:p>
          <w:p>
            <w:pPr>
              <w:widowControl/>
              <w:jc w:val="center"/>
              <w:textAlignment w:val="center"/>
              <w:rPr>
                <w:rFonts w:hint="eastAsia" w:ascii="宋体" w:hAnsi="宋体" w:eastAsia="宋体" w:cs="宋体"/>
                <w:b/>
                <w:bCs/>
                <w:color w:val="000000"/>
                <w:kern w:val="0"/>
                <w:sz w:val="36"/>
                <w:szCs w:val="36"/>
                <w:lang w:eastAsia="zh-CN"/>
              </w:rPr>
            </w:pPr>
            <w:r>
              <w:rPr>
                <w:rFonts w:hint="eastAsia" w:ascii="宋体" w:hAnsi="宋体" w:cs="宋体"/>
                <w:b/>
                <w:bCs/>
                <w:color w:val="000000"/>
                <w:kern w:val="0"/>
                <w:sz w:val="36"/>
                <w:szCs w:val="36"/>
              </w:rPr>
              <w:t>项目绩效目标完成情况表</w:t>
            </w:r>
          </w:p>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rPr>
              <w:t>(20</w:t>
            </w:r>
            <w:r>
              <w:rPr>
                <w:rFonts w:hint="eastAsia" w:ascii="宋体" w:hAnsi="宋体" w:cs="宋体"/>
                <w:color w:val="000000"/>
                <w:kern w:val="0"/>
                <w:sz w:val="36"/>
                <w:szCs w:val="36"/>
                <w:lang w:val="en-US" w:eastAsia="zh-CN"/>
              </w:rPr>
              <w:t>21</w:t>
            </w:r>
            <w:r>
              <w:rPr>
                <w:rFonts w:hint="eastAsia" w:ascii="宋体" w:hAnsi="宋体" w:cs="宋体"/>
                <w:color w:val="000000"/>
                <w:kern w:val="0"/>
                <w:sz w:val="36"/>
                <w:szCs w:val="36"/>
              </w:rPr>
              <w:t>年度)</w:t>
            </w:r>
          </w:p>
        </w:tc>
      </w:tr>
      <w:tr>
        <w:tblPrEx>
          <w:tblCellMar>
            <w:top w:w="0" w:type="dxa"/>
            <w:left w:w="0" w:type="dxa"/>
            <w:bottom w:w="0" w:type="dxa"/>
            <w:right w:w="0" w:type="dxa"/>
          </w:tblCellMar>
        </w:tblPrEx>
        <w:trPr>
          <w:trHeight w:val="404"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4"/>
                <w:lang w:eastAsia="zh-CN"/>
              </w:rPr>
            </w:pPr>
            <w:r>
              <w:rPr>
                <w:rFonts w:hint="eastAsia" w:ascii="宋体" w:hAnsi="宋体" w:cs="宋体"/>
                <w:color w:val="000000"/>
                <w:sz w:val="24"/>
                <w:lang w:eastAsia="zh-CN"/>
              </w:rPr>
              <w:t>项目名称</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ind w:firstLine="720" w:firstLineChars="300"/>
              <w:jc w:val="center"/>
              <w:textAlignment w:val="center"/>
              <w:rPr>
                <w:rFonts w:hint="eastAsia" w:ascii="宋体" w:hAnsi="宋体" w:cs="宋体"/>
                <w:color w:val="000000"/>
                <w:sz w:val="24"/>
                <w:lang w:eastAsia="zh-CN"/>
              </w:rPr>
            </w:pPr>
            <w:r>
              <w:rPr>
                <w:rFonts w:hint="eastAsia" w:ascii="宋体" w:hAnsi="宋体" w:cs="宋体"/>
                <w:color w:val="000000"/>
                <w:sz w:val="24"/>
                <w:lang w:eastAsia="zh-CN"/>
              </w:rPr>
              <w:t>医药卫生体制综合改革</w:t>
            </w:r>
          </w:p>
          <w:p>
            <w:pPr>
              <w:widowControl/>
              <w:jc w:val="center"/>
              <w:textAlignment w:val="center"/>
              <w:rPr>
                <w:rFonts w:hint="eastAsia" w:ascii="宋体" w:hAnsi="宋体" w:cs="宋体"/>
                <w:color w:val="000000"/>
                <w:sz w:val="24"/>
                <w:lang w:eastAsia="zh-CN"/>
              </w:rPr>
            </w:pP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乐至县卫生健康局</w:t>
            </w:r>
          </w:p>
        </w:tc>
      </w:tr>
      <w:tr>
        <w:tblPrEx>
          <w:tblCellMar>
            <w:top w:w="0" w:type="dxa"/>
            <w:left w:w="0" w:type="dxa"/>
            <w:bottom w:w="0" w:type="dxa"/>
            <w:right w:w="0" w:type="dxa"/>
          </w:tblCellMar>
        </w:tblPrEx>
        <w:trPr>
          <w:trHeight w:val="276" w:hRule="atLeast"/>
          <w:jc w:val="center"/>
        </w:trPr>
        <w:tc>
          <w:tcPr>
            <w:tcW w:w="78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199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8</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2.22</w:t>
            </w:r>
          </w:p>
        </w:tc>
      </w:tr>
      <w:tr>
        <w:tblPrEx>
          <w:tblCellMar>
            <w:top w:w="0" w:type="dxa"/>
            <w:left w:w="0" w:type="dxa"/>
            <w:bottom w:w="0" w:type="dxa"/>
            <w:right w:w="0" w:type="dxa"/>
          </w:tblCellMar>
        </w:tblPrEx>
        <w:trPr>
          <w:trHeight w:val="276"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hAnsi="宋体" w:cs="宋体"/>
                <w:color w:val="000000"/>
                <w:sz w:val="24"/>
              </w:rPr>
            </w:pPr>
          </w:p>
        </w:tc>
        <w:tc>
          <w:tcPr>
            <w:tcW w:w="199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8</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2.22</w:t>
            </w:r>
          </w:p>
        </w:tc>
      </w:tr>
      <w:tr>
        <w:tblPrEx>
          <w:tblCellMar>
            <w:top w:w="0" w:type="dxa"/>
            <w:left w:w="0" w:type="dxa"/>
            <w:bottom w:w="0" w:type="dxa"/>
            <w:right w:w="0" w:type="dxa"/>
          </w:tblCellMar>
        </w:tblPrEx>
        <w:trPr>
          <w:trHeight w:val="1511"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hAnsi="宋体" w:cs="宋体"/>
                <w:color w:val="000000"/>
                <w:sz w:val="24"/>
              </w:rPr>
            </w:pPr>
          </w:p>
        </w:tc>
        <w:tc>
          <w:tcPr>
            <w:tcW w:w="199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78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386"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088"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hAnsi="宋体" w:cs="宋体"/>
                <w:color w:val="000000"/>
                <w:sz w:val="24"/>
              </w:rPr>
            </w:pPr>
          </w:p>
        </w:tc>
        <w:tc>
          <w:tcPr>
            <w:tcW w:w="4386"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 xml:space="preserve"> </w:t>
            </w:r>
            <w:r>
              <w:rPr>
                <w:color w:val="000000"/>
                <w:kern w:val="0"/>
                <w:szCs w:val="21"/>
              </w:rPr>
              <w:t xml:space="preserve"> </w:t>
            </w:r>
            <w:r>
              <w:rPr>
                <w:rFonts w:hint="eastAsia"/>
                <w:color w:val="000000"/>
                <w:kern w:val="0"/>
                <w:szCs w:val="21"/>
              </w:rPr>
              <w:t>促进我县医改各项工作顺利开展，较好完成全年医改工作任务，使我县医药卫生体制更趋完善，群众“看病难</w:t>
            </w:r>
            <w:r>
              <w:rPr>
                <w:color w:val="000000"/>
                <w:kern w:val="0"/>
                <w:szCs w:val="21"/>
              </w:rPr>
              <w:t xml:space="preserve"> </w:t>
            </w:r>
            <w:r>
              <w:rPr>
                <w:rFonts w:hint="eastAsia"/>
                <w:color w:val="000000"/>
                <w:kern w:val="0"/>
                <w:szCs w:val="21"/>
              </w:rPr>
              <w:t>看病贵”问题进一步改善，健康获得感进一步提升。</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 xml:space="preserve"> </w:t>
            </w:r>
            <w:r>
              <w:rPr>
                <w:color w:val="000000"/>
                <w:kern w:val="0"/>
                <w:szCs w:val="21"/>
              </w:rPr>
              <w:t xml:space="preserve"> </w:t>
            </w:r>
            <w:r>
              <w:rPr>
                <w:rFonts w:hint="eastAsia"/>
                <w:color w:val="000000"/>
                <w:kern w:val="0"/>
                <w:szCs w:val="21"/>
              </w:rPr>
              <w:t>促进我县医改各项工作顺利开展，较好完成全年医改工作任务，使我县医药卫生体制更趋完善，群众“看病难</w:t>
            </w:r>
            <w:r>
              <w:rPr>
                <w:color w:val="000000"/>
                <w:kern w:val="0"/>
                <w:szCs w:val="21"/>
              </w:rPr>
              <w:t xml:space="preserve"> </w:t>
            </w:r>
            <w:r>
              <w:rPr>
                <w:rFonts w:hint="eastAsia"/>
                <w:color w:val="000000"/>
                <w:kern w:val="0"/>
                <w:szCs w:val="21"/>
              </w:rPr>
              <w:t>看病贵”问题进一步改善，健康获得感进一步提升</w:t>
            </w:r>
            <w:r>
              <w:rPr>
                <w:rFonts w:hint="eastAsia" w:ascii="宋体" w:hAnsi="宋体" w:cs="宋体"/>
                <w:color w:val="000000"/>
                <w:sz w:val="24"/>
              </w:rPr>
              <w:t>。</w:t>
            </w:r>
          </w:p>
        </w:tc>
      </w:tr>
      <w:tr>
        <w:tblPrEx>
          <w:tblCellMar>
            <w:top w:w="0" w:type="dxa"/>
            <w:left w:w="0" w:type="dxa"/>
            <w:bottom w:w="0" w:type="dxa"/>
            <w:right w:w="0" w:type="dxa"/>
          </w:tblCellMar>
        </w:tblPrEx>
        <w:trPr>
          <w:trHeight w:val="1042" w:hRule="atLeast"/>
          <w:jc w:val="center"/>
        </w:trPr>
        <w:tc>
          <w:tcPr>
            <w:tcW w:w="788"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数量指标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按照《乐至县深化医药卫生体制综合改革试点方案》有序推进8个方面的重点改革任务</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以市下医改绩效目标为参照，完成率达90%。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　90%</w:t>
            </w:r>
          </w:p>
        </w:tc>
      </w:tr>
      <w:tr>
        <w:tblPrEx>
          <w:tblCellMar>
            <w:top w:w="0" w:type="dxa"/>
            <w:left w:w="0" w:type="dxa"/>
            <w:bottom w:w="0" w:type="dxa"/>
            <w:right w:w="0" w:type="dxa"/>
          </w:tblCellMar>
        </w:tblPrEx>
        <w:trPr>
          <w:trHeight w:val="1297"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eastAsia="zh-CN"/>
              </w:rPr>
              <w:t>质</w:t>
            </w:r>
            <w:r>
              <w:rPr>
                <w:rFonts w:hint="eastAsia" w:ascii="宋体" w:hAnsi="宋体" w:cs="宋体"/>
                <w:color w:val="000000"/>
                <w:kern w:val="0"/>
                <w:sz w:val="24"/>
              </w:rPr>
              <w:t>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县域内医疗机构疾病救治能力提升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县域内就诊率较2020年提升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eastAsia="zh-CN"/>
              </w:rPr>
              <w:t>中长期</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eastAsia="zh-CN"/>
              </w:rPr>
              <w:t>成本</w:t>
            </w:r>
            <w:r>
              <w:rPr>
                <w:rFonts w:hint="eastAsia" w:ascii="宋体" w:hAnsi="宋体" w:cs="宋体"/>
                <w:color w:val="000000"/>
                <w:kern w:val="0"/>
                <w:sz w:val="24"/>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费用不超过</w:t>
            </w:r>
            <w:r>
              <w:rPr>
                <w:rFonts w:hint="eastAsia" w:ascii="宋体" w:hAnsi="宋体" w:cs="宋体"/>
                <w:color w:val="000000"/>
                <w:kern w:val="0"/>
                <w:sz w:val="24"/>
                <w:lang w:val="en-US" w:eastAsia="zh-CN"/>
              </w:rPr>
              <w:t>8</w:t>
            </w:r>
            <w:r>
              <w:rPr>
                <w:rFonts w:hint="eastAsia" w:ascii="宋体" w:hAnsi="宋体" w:cs="宋体"/>
                <w:color w:val="000000"/>
                <w:kern w:val="0"/>
                <w:sz w:val="24"/>
              </w:rPr>
              <w:t>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w:t>
            </w:r>
            <w:r>
              <w:rPr>
                <w:rFonts w:hint="eastAsia" w:ascii="宋体" w:hAnsi="宋体" w:cs="宋体"/>
                <w:color w:val="000000"/>
                <w:kern w:val="0"/>
                <w:sz w:val="24"/>
                <w:lang w:val="en-US" w:eastAsia="zh-CN"/>
              </w:rPr>
              <w:t>8</w:t>
            </w:r>
            <w:r>
              <w:rPr>
                <w:rFonts w:hint="eastAsia" w:ascii="宋体" w:hAnsi="宋体" w:cs="宋体"/>
                <w:color w:val="000000"/>
                <w:kern w:val="0"/>
                <w:sz w:val="24"/>
              </w:rPr>
              <w:t>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2.22</w:t>
            </w:r>
            <w:r>
              <w:rPr>
                <w:rFonts w:hint="eastAsia" w:ascii="宋体" w:hAnsi="宋体" w:cs="宋体"/>
                <w:color w:val="000000"/>
                <w:kern w:val="0"/>
                <w:sz w:val="24"/>
              </w:rPr>
              <w:t>万</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经济效益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医疗费用不合理增长控制有力</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eastAsia="zh-CN"/>
              </w:rPr>
              <w:t>高中低</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eastAsia="zh-CN"/>
              </w:rPr>
              <w:t>中长期</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购买医疗责任险、完善绩效工资分配制度等</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医务人员工作积极性提高</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全县所有公立医疗机构均购买了医疗责任险，绩效工资分配制度逐步完善。</w:t>
            </w:r>
          </w:p>
        </w:tc>
      </w:tr>
      <w:tr>
        <w:tblPrEx>
          <w:tblCellMar>
            <w:top w:w="0" w:type="dxa"/>
            <w:left w:w="0" w:type="dxa"/>
            <w:bottom w:w="0" w:type="dxa"/>
            <w:right w:w="0" w:type="dxa"/>
          </w:tblCellMar>
        </w:tblPrEx>
        <w:trPr>
          <w:trHeight w:val="1042" w:hRule="atLeast"/>
          <w:jc w:val="center"/>
        </w:trPr>
        <w:tc>
          <w:tcPr>
            <w:tcW w:w="788"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可持续影响</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医药卫生体制综合改革不断深化</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医药卫生体制更趋完善，群众“看病难 看病贵”问题进一步改善，健康获得感进一步提升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县中医医院与成都中医药大学附属医院医联体建设取得突破进展，目前已于2021年10月经县委常委会审议通过，正在与成都中医药大学附属医院四川中医医院商讨合作细节。</w:t>
            </w:r>
          </w:p>
        </w:tc>
      </w:tr>
      <w:tr>
        <w:tblPrEx>
          <w:tblCellMar>
            <w:top w:w="0" w:type="dxa"/>
            <w:left w:w="0" w:type="dxa"/>
            <w:bottom w:w="0" w:type="dxa"/>
            <w:right w:w="0" w:type="dxa"/>
          </w:tblCellMar>
        </w:tblPrEx>
        <w:trPr>
          <w:trHeight w:val="1050" w:hRule="atLeast"/>
          <w:jc w:val="center"/>
        </w:trPr>
        <w:tc>
          <w:tcPr>
            <w:tcW w:w="788"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p>
        </w:tc>
        <w:tc>
          <w:tcPr>
            <w:tcW w:w="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服务对象</w:t>
            </w:r>
          </w:p>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满意度指标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rPr>
              <w:t>患者满意度提升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≥80%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80</w:t>
            </w:r>
            <w:r>
              <w:rPr>
                <w:rFonts w:hint="eastAsia" w:ascii="宋体" w:hAnsi="宋体" w:cs="宋体"/>
                <w:color w:val="000000"/>
                <w:kern w:val="0"/>
                <w:sz w:val="24"/>
              </w:rPr>
              <w:t>%　</w:t>
            </w:r>
          </w:p>
        </w:tc>
      </w:tr>
    </w:tbl>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pStyle w:val="6"/>
        <w:spacing w:before="93"/>
        <w:rPr>
          <w:i/>
          <w:sz w:val="32"/>
          <w:szCs w:val="32"/>
          <w:highlight w:val="yellow"/>
        </w:rPr>
      </w:pPr>
    </w:p>
    <w:p>
      <w:pPr>
        <w:numPr>
          <w:ilvl w:val="0"/>
          <w:numId w:val="4"/>
        </w:numPr>
        <w:spacing w:line="600" w:lineRule="exact"/>
        <w:jc w:val="center"/>
        <w:outlineLvl w:val="0"/>
        <w:rPr>
          <w:rStyle w:val="14"/>
          <w:rFonts w:eastAsia="黑体"/>
          <w:b w:val="0"/>
        </w:rPr>
      </w:pPr>
      <w:bookmarkStart w:id="38" w:name="_Toc15377225"/>
      <w:bookmarkStart w:id="39" w:name="_Toc15396613"/>
      <w:r>
        <w:rPr>
          <w:rFonts w:eastAsia="黑体"/>
          <w:color w:val="000000"/>
          <w:sz w:val="44"/>
          <w:szCs w:val="44"/>
        </w:rPr>
        <w:t>名</w:t>
      </w:r>
      <w:r>
        <w:rPr>
          <w:rStyle w:val="14"/>
          <w:rFonts w:eastAsia="黑体"/>
          <w:b w:val="0"/>
        </w:rPr>
        <w:t>词解释</w:t>
      </w:r>
      <w:bookmarkEnd w:id="38"/>
      <w:bookmarkEnd w:id="39"/>
    </w:p>
    <w:p>
      <w:pPr>
        <w:pStyle w:val="6"/>
        <w:spacing w:before="93"/>
      </w:pPr>
    </w:p>
    <w:p>
      <w:pPr>
        <w:pStyle w:val="18"/>
        <w:spacing w:line="560" w:lineRule="exact"/>
        <w:ind w:firstLine="640" w:firstLineChars="200"/>
        <w:rPr>
          <w:rFonts w:ascii="仿宋_GB2312" w:eastAsia="仿宋_GB2312"/>
          <w:sz w:val="32"/>
          <w:szCs w:val="32"/>
        </w:rPr>
      </w:pPr>
      <w:bookmarkStart w:id="40" w:name="_Toc15377226"/>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18"/>
        <w:spacing w:line="560" w:lineRule="exact"/>
        <w:ind w:firstLine="640" w:firstLineChars="200"/>
        <w:rPr>
          <w:rFonts w:hint="eastAsia"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r>
        <w:rPr>
          <w:rFonts w:ascii="仿宋_GB2312" w:eastAsia="仿宋_GB2312"/>
          <w:sz w:val="32"/>
          <w:szCs w:val="32"/>
        </w:rPr>
        <w:t xml:space="preserve"> </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18"/>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9</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10</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11</w:t>
      </w:r>
      <w:r>
        <w:rPr>
          <w:rFonts w:ascii="仿宋_GB2312" w:eastAsia="仿宋_GB2312"/>
          <w:color w:val="000000"/>
          <w:sz w:val="32"/>
          <w:szCs w:val="32"/>
        </w:rPr>
        <w:t>.</w:t>
      </w:r>
      <w:r>
        <w:rPr>
          <w:rFonts w:hint="eastAsia" w:ascii="仿宋_GB2312" w:eastAsia="仿宋_GB2312"/>
          <w:color w:val="000000"/>
          <w:sz w:val="32"/>
          <w:szCs w:val="32"/>
        </w:rPr>
        <w:t>经营支出：指事业单位在专业业务活动及其辅助活动之外开展非独立核算经营活动发生的支出。</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12</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8"/>
        <w:spacing w:line="560" w:lineRule="exact"/>
        <w:ind w:firstLine="640" w:firstLineChars="200"/>
        <w:rPr>
          <w:rFonts w:ascii="仿宋_GB2312" w:eastAsia="仿宋_GB2312" w:cs="黑体"/>
          <w:sz w:val="32"/>
          <w:szCs w:val="32"/>
        </w:rPr>
      </w:pP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14"/>
          <w:rFonts w:hint="eastAsia" w:ascii="黑体" w:hAnsi="黑体" w:eastAsia="黑体"/>
          <w:b w:val="0"/>
        </w:rPr>
      </w:pPr>
      <w:r>
        <w:rPr>
          <w:b/>
          <w:color w:val="000000"/>
          <w:sz w:val="44"/>
          <w:szCs w:val="44"/>
        </w:rPr>
        <w:br w:type="page"/>
      </w:r>
      <w:bookmarkStart w:id="41" w:name="_Toc15396614"/>
      <w:r>
        <w:rPr>
          <w:rFonts w:hint="eastAsia" w:ascii="黑体" w:hAnsi="黑体" w:eastAsia="黑体"/>
          <w:sz w:val="44"/>
          <w:szCs w:val="44"/>
        </w:rPr>
        <w:t>第</w:t>
      </w:r>
      <w:r>
        <w:rPr>
          <w:rStyle w:val="14"/>
          <w:rFonts w:hint="eastAsia" w:ascii="黑体" w:hAnsi="黑体" w:eastAsia="黑体"/>
          <w:b w:val="0"/>
        </w:rPr>
        <w:t>四部分 附件</w:t>
      </w:r>
      <w:bookmarkEnd w:id="41"/>
    </w:p>
    <w:p>
      <w:pPr>
        <w:widowControl/>
        <w:adjustRightInd w:val="0"/>
        <w:snapToGrid w:val="0"/>
        <w:spacing w:line="580" w:lineRule="exact"/>
        <w:contextualSpacing/>
        <w:jc w:val="left"/>
        <w:rPr>
          <w:rFonts w:hint="eastAsia" w:ascii="仿宋_GB2312" w:hAnsi="宋体" w:eastAsia="仿宋_GB2312" w:cs="宋体"/>
          <w:kern w:val="0"/>
          <w:sz w:val="32"/>
          <w:szCs w:val="32"/>
          <w:shd w:val="clear" w:color="auto" w:fill="FFFFFF"/>
          <w:lang w:val="zh-CN"/>
        </w:rPr>
      </w:pPr>
    </w:p>
    <w:p>
      <w:pPr>
        <w:spacing w:line="580" w:lineRule="exact"/>
        <w:ind w:firstLine="640"/>
        <w:rPr>
          <w:rFonts w:ascii="仿宋_GB2312" w:hAnsi="宋体" w:eastAsia="仿宋_GB2312" w:cs="宋体"/>
          <w:i/>
          <w:iCs/>
          <w:kern w:val="0"/>
          <w:sz w:val="32"/>
          <w:szCs w:val="32"/>
          <w:shd w:val="clear" w:color="auto" w:fill="FFFFFF"/>
        </w:rPr>
      </w:pPr>
    </w:p>
    <w:p>
      <w:pPr>
        <w:pStyle w:val="6"/>
        <w:spacing w:before="93"/>
        <w:rPr>
          <w:rFonts w:hint="eastAsia" w:eastAsia="仿宋_GB2312"/>
          <w:lang w:eastAsia="zh-CN"/>
        </w:rPr>
      </w:pPr>
      <w:r>
        <w:rPr>
          <w:rFonts w:hint="eastAsia"/>
          <w:lang w:eastAsia="zh-CN"/>
        </w:rPr>
        <w:t>无</w:t>
      </w: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pPr>
    </w:p>
    <w:p>
      <w:pPr>
        <w:pStyle w:val="6"/>
        <w:spacing w:before="93"/>
        <w:rPr>
          <w:rFonts w:hint="eastAsia"/>
        </w:rPr>
      </w:pPr>
    </w:p>
    <w:p>
      <w:pPr>
        <w:pStyle w:val="6"/>
        <w:spacing w:before="93"/>
        <w:rPr>
          <w:rFonts w:hint="eastAsia"/>
        </w:rPr>
      </w:pPr>
    </w:p>
    <w:p>
      <w:pPr>
        <w:spacing w:line="580" w:lineRule="exact"/>
        <w:ind w:firstLine="640"/>
        <w:rPr>
          <w:rFonts w:eastAsia="仿宋_GB2312"/>
          <w:sz w:val="32"/>
          <w:szCs w:val="32"/>
        </w:rPr>
      </w:pPr>
    </w:p>
    <w:bookmarkEnd w:id="40"/>
    <w:p>
      <w:pPr>
        <w:spacing w:line="600" w:lineRule="exact"/>
        <w:jc w:val="center"/>
        <w:outlineLvl w:val="0"/>
        <w:rPr>
          <w:rStyle w:val="14"/>
          <w:rFonts w:eastAsia="黑体"/>
          <w:b w:val="0"/>
        </w:rPr>
      </w:pPr>
      <w:bookmarkStart w:id="42" w:name="_Toc15396618"/>
      <w:r>
        <w:rPr>
          <w:rFonts w:eastAsia="黑体"/>
          <w:color w:val="000000"/>
          <w:sz w:val="44"/>
          <w:szCs w:val="44"/>
        </w:rPr>
        <w:t>第</w:t>
      </w:r>
      <w:r>
        <w:rPr>
          <w:rStyle w:val="14"/>
          <w:rFonts w:eastAsia="黑体"/>
          <w:b w:val="0"/>
        </w:rPr>
        <w:t>五部分 附表</w:t>
      </w:r>
      <w:bookmarkEnd w:id="42"/>
    </w:p>
    <w:p>
      <w:pPr>
        <w:pStyle w:val="5"/>
        <w:rPr>
          <w:rFonts w:ascii="仿宋" w:hAnsi="仿宋" w:eastAsia="仿宋"/>
        </w:rPr>
      </w:pPr>
      <w:r>
        <w:rPr>
          <w:rFonts w:hint="eastAsia" w:ascii="仿宋" w:hAnsi="仿宋" w:eastAsia="仿宋"/>
          <w:b w:val="0"/>
        </w:rPr>
        <w:t>一、收</w:t>
      </w:r>
      <w:r>
        <w:rPr>
          <w:rStyle w:val="15"/>
          <w:rFonts w:hint="eastAsia" w:ascii="仿宋" w:hAnsi="仿宋" w:eastAsia="仿宋"/>
          <w:b w:val="0"/>
          <w:bCs w:val="0"/>
        </w:rPr>
        <w:t>入支出决算总表</w:t>
      </w:r>
    </w:p>
    <w:p>
      <w:pPr>
        <w:pStyle w:val="5"/>
        <w:rPr>
          <w:rFonts w:ascii="仿宋" w:hAnsi="仿宋" w:eastAsia="仿宋"/>
        </w:rPr>
      </w:pPr>
      <w:bookmarkStart w:id="43" w:name="_Toc15396620"/>
      <w:r>
        <w:rPr>
          <w:rFonts w:hint="eastAsia" w:ascii="仿宋" w:hAnsi="仿宋" w:eastAsia="仿宋"/>
          <w:b w:val="0"/>
        </w:rPr>
        <w:t>二、收</w:t>
      </w:r>
      <w:r>
        <w:rPr>
          <w:rStyle w:val="15"/>
          <w:rFonts w:hint="eastAsia" w:ascii="仿宋" w:hAnsi="仿宋" w:eastAsia="仿宋"/>
          <w:b w:val="0"/>
          <w:bCs w:val="0"/>
        </w:rPr>
        <w:t>入决算表</w:t>
      </w:r>
      <w:bookmarkEnd w:id="43"/>
    </w:p>
    <w:p>
      <w:pPr>
        <w:pStyle w:val="5"/>
        <w:rPr>
          <w:rFonts w:ascii="仿宋" w:hAnsi="仿宋" w:eastAsia="仿宋"/>
        </w:rPr>
      </w:pPr>
      <w:bookmarkStart w:id="44" w:name="_Toc15396621"/>
      <w:r>
        <w:rPr>
          <w:rStyle w:val="15"/>
          <w:rFonts w:hint="eastAsia" w:ascii="仿宋" w:hAnsi="仿宋" w:eastAsia="仿宋"/>
          <w:b w:val="0"/>
          <w:bCs w:val="0"/>
        </w:rPr>
        <w:t>三、</w:t>
      </w:r>
      <w:r>
        <w:rPr>
          <w:rFonts w:hint="eastAsia" w:ascii="仿宋" w:hAnsi="仿宋" w:eastAsia="仿宋"/>
          <w:b w:val="0"/>
        </w:rPr>
        <w:t>支</w:t>
      </w:r>
      <w:r>
        <w:rPr>
          <w:rStyle w:val="15"/>
          <w:rFonts w:hint="eastAsia" w:ascii="仿宋" w:hAnsi="仿宋" w:eastAsia="仿宋"/>
          <w:b w:val="0"/>
          <w:bCs w:val="0"/>
        </w:rPr>
        <w:t>出决算表</w:t>
      </w:r>
      <w:bookmarkEnd w:id="44"/>
    </w:p>
    <w:p>
      <w:pPr>
        <w:pStyle w:val="5"/>
        <w:rPr>
          <w:rFonts w:ascii="仿宋" w:hAnsi="仿宋" w:eastAsia="仿宋"/>
          <w:b w:val="0"/>
        </w:rPr>
      </w:pPr>
      <w:bookmarkStart w:id="45" w:name="_Toc15396622"/>
      <w:r>
        <w:rPr>
          <w:rStyle w:val="15"/>
          <w:rFonts w:hint="eastAsia" w:ascii="仿宋" w:hAnsi="仿宋" w:eastAsia="仿宋"/>
          <w:b w:val="0"/>
          <w:bCs w:val="0"/>
        </w:rPr>
        <w:t>四、</w:t>
      </w:r>
      <w:r>
        <w:rPr>
          <w:rFonts w:hint="eastAsia" w:ascii="仿宋" w:hAnsi="仿宋" w:eastAsia="仿宋"/>
          <w:b w:val="0"/>
        </w:rPr>
        <w:t>财</w:t>
      </w:r>
      <w:r>
        <w:rPr>
          <w:rStyle w:val="15"/>
          <w:rFonts w:hint="eastAsia" w:ascii="仿宋" w:hAnsi="仿宋" w:eastAsia="仿宋"/>
          <w:b w:val="0"/>
          <w:bCs w:val="0"/>
        </w:rPr>
        <w:t>政拨款收入支出决算总表</w:t>
      </w:r>
      <w:bookmarkEnd w:id="45"/>
    </w:p>
    <w:p>
      <w:pPr>
        <w:pStyle w:val="5"/>
        <w:rPr>
          <w:rStyle w:val="15"/>
          <w:rFonts w:ascii="仿宋" w:hAnsi="仿宋" w:eastAsia="仿宋"/>
          <w:b w:val="0"/>
          <w:bCs w:val="0"/>
        </w:rPr>
      </w:pPr>
      <w:bookmarkStart w:id="46" w:name="_Toc15396623"/>
      <w:r>
        <w:rPr>
          <w:rStyle w:val="15"/>
          <w:rFonts w:hint="eastAsia" w:ascii="仿宋" w:hAnsi="仿宋" w:eastAsia="仿宋"/>
          <w:b w:val="0"/>
          <w:bCs w:val="0"/>
        </w:rPr>
        <w:t>五、</w:t>
      </w:r>
      <w:r>
        <w:rPr>
          <w:rFonts w:hint="eastAsia" w:ascii="仿宋" w:hAnsi="仿宋" w:eastAsia="仿宋"/>
          <w:b w:val="0"/>
        </w:rPr>
        <w:t>财</w:t>
      </w:r>
      <w:r>
        <w:rPr>
          <w:rStyle w:val="15"/>
          <w:rFonts w:hint="eastAsia" w:ascii="仿宋" w:hAnsi="仿宋" w:eastAsia="仿宋"/>
          <w:b w:val="0"/>
          <w:bCs w:val="0"/>
        </w:rPr>
        <w:t>政拨款支出决算明细表</w:t>
      </w:r>
      <w:bookmarkEnd w:id="46"/>
      <w:bookmarkStart w:id="47" w:name="_Toc15396624"/>
    </w:p>
    <w:p>
      <w:pPr>
        <w:pStyle w:val="5"/>
        <w:rPr>
          <w:rFonts w:ascii="仿宋" w:hAnsi="仿宋" w:eastAsia="仿宋"/>
        </w:rPr>
      </w:pPr>
      <w:r>
        <w:rPr>
          <w:rStyle w:val="15"/>
          <w:rFonts w:hint="eastAsia" w:ascii="仿宋" w:hAnsi="仿宋" w:eastAsia="仿宋"/>
          <w:b w:val="0"/>
          <w:bCs w:val="0"/>
        </w:rPr>
        <w:t>六、</w:t>
      </w:r>
      <w:r>
        <w:rPr>
          <w:rFonts w:hint="eastAsia" w:ascii="仿宋" w:hAnsi="仿宋" w:eastAsia="仿宋"/>
          <w:b w:val="0"/>
        </w:rPr>
        <w:t>一</w:t>
      </w:r>
      <w:r>
        <w:rPr>
          <w:rStyle w:val="15"/>
          <w:rFonts w:hint="eastAsia" w:ascii="仿宋" w:hAnsi="仿宋" w:eastAsia="仿宋"/>
          <w:b w:val="0"/>
          <w:bCs w:val="0"/>
        </w:rPr>
        <w:t>般公共预算财政拨款支出决算表</w:t>
      </w:r>
      <w:bookmarkEnd w:id="47"/>
    </w:p>
    <w:p>
      <w:pPr>
        <w:pStyle w:val="5"/>
        <w:rPr>
          <w:rFonts w:ascii="仿宋" w:hAnsi="仿宋" w:eastAsia="仿宋"/>
        </w:rPr>
      </w:pPr>
      <w:bookmarkStart w:id="48" w:name="_Toc15396625"/>
      <w:r>
        <w:rPr>
          <w:rStyle w:val="15"/>
          <w:rFonts w:hint="eastAsia" w:ascii="仿宋" w:hAnsi="仿宋" w:eastAsia="仿宋"/>
          <w:b w:val="0"/>
          <w:bCs w:val="0"/>
        </w:rPr>
        <w:t>七、</w:t>
      </w:r>
      <w:r>
        <w:rPr>
          <w:rFonts w:hint="eastAsia" w:ascii="仿宋" w:hAnsi="仿宋" w:eastAsia="仿宋"/>
          <w:b w:val="0"/>
        </w:rPr>
        <w:t>一</w:t>
      </w:r>
      <w:r>
        <w:rPr>
          <w:rStyle w:val="15"/>
          <w:rFonts w:hint="eastAsia" w:ascii="仿宋" w:hAnsi="仿宋" w:eastAsia="仿宋"/>
          <w:b w:val="0"/>
          <w:bCs w:val="0"/>
        </w:rPr>
        <w:t>般公共预算财政拨款支出决算明细表</w:t>
      </w:r>
      <w:bookmarkEnd w:id="48"/>
    </w:p>
    <w:p>
      <w:pPr>
        <w:pStyle w:val="5"/>
        <w:rPr>
          <w:rFonts w:ascii="仿宋" w:hAnsi="仿宋" w:eastAsia="仿宋"/>
        </w:rPr>
      </w:pPr>
      <w:bookmarkStart w:id="49" w:name="_Toc15396626"/>
      <w:r>
        <w:rPr>
          <w:rStyle w:val="15"/>
          <w:rFonts w:hint="eastAsia" w:ascii="仿宋" w:hAnsi="仿宋" w:eastAsia="仿宋"/>
          <w:b w:val="0"/>
          <w:bCs w:val="0"/>
        </w:rPr>
        <w:t>八、</w:t>
      </w:r>
      <w:r>
        <w:rPr>
          <w:rFonts w:hint="eastAsia" w:ascii="仿宋" w:hAnsi="仿宋" w:eastAsia="仿宋"/>
          <w:b w:val="0"/>
        </w:rPr>
        <w:t>一</w:t>
      </w:r>
      <w:r>
        <w:rPr>
          <w:rStyle w:val="15"/>
          <w:rFonts w:hint="eastAsia" w:ascii="仿宋" w:hAnsi="仿宋" w:eastAsia="仿宋"/>
          <w:b w:val="0"/>
          <w:bCs w:val="0"/>
        </w:rPr>
        <w:t>般公共预算财政拨款基本支出决算表</w:t>
      </w:r>
      <w:bookmarkEnd w:id="49"/>
    </w:p>
    <w:p>
      <w:pPr>
        <w:pStyle w:val="5"/>
        <w:rPr>
          <w:rFonts w:ascii="仿宋" w:hAnsi="仿宋" w:eastAsia="仿宋"/>
        </w:rPr>
      </w:pPr>
      <w:bookmarkStart w:id="50" w:name="_Toc15396627"/>
      <w:r>
        <w:rPr>
          <w:rStyle w:val="15"/>
          <w:rFonts w:hint="eastAsia" w:ascii="仿宋" w:hAnsi="仿宋" w:eastAsia="仿宋"/>
          <w:b w:val="0"/>
          <w:bCs w:val="0"/>
        </w:rPr>
        <w:t>九、</w:t>
      </w:r>
      <w:r>
        <w:rPr>
          <w:rFonts w:hint="eastAsia" w:ascii="仿宋" w:hAnsi="仿宋" w:eastAsia="仿宋"/>
          <w:b w:val="0"/>
        </w:rPr>
        <w:t>一</w:t>
      </w:r>
      <w:r>
        <w:rPr>
          <w:rStyle w:val="15"/>
          <w:rFonts w:hint="eastAsia" w:ascii="仿宋" w:hAnsi="仿宋" w:eastAsia="仿宋"/>
          <w:b w:val="0"/>
          <w:bCs w:val="0"/>
        </w:rPr>
        <w:t>般公共预算财政拨款项目支出决算表</w:t>
      </w:r>
      <w:bookmarkEnd w:id="50"/>
    </w:p>
    <w:p>
      <w:pPr>
        <w:pStyle w:val="5"/>
        <w:rPr>
          <w:rFonts w:ascii="仿宋" w:hAnsi="仿宋" w:eastAsia="仿宋"/>
        </w:rPr>
      </w:pPr>
      <w:bookmarkStart w:id="51" w:name="_Toc15396628"/>
      <w:r>
        <w:rPr>
          <w:rStyle w:val="15"/>
          <w:rFonts w:hint="eastAsia" w:ascii="仿宋" w:hAnsi="仿宋" w:eastAsia="仿宋"/>
          <w:b w:val="0"/>
          <w:bCs w:val="0"/>
        </w:rPr>
        <w:t>十、</w:t>
      </w:r>
      <w:r>
        <w:rPr>
          <w:rFonts w:hint="eastAsia" w:ascii="仿宋" w:hAnsi="仿宋" w:eastAsia="仿宋"/>
          <w:b w:val="0"/>
        </w:rPr>
        <w:t>一</w:t>
      </w:r>
      <w:r>
        <w:rPr>
          <w:rStyle w:val="15"/>
          <w:rFonts w:hint="eastAsia" w:ascii="仿宋" w:hAnsi="仿宋" w:eastAsia="仿宋"/>
          <w:b w:val="0"/>
          <w:bCs w:val="0"/>
        </w:rPr>
        <w:t>般公共预算财政拨款“三公”经费支出决算表</w:t>
      </w:r>
      <w:bookmarkEnd w:id="51"/>
    </w:p>
    <w:p>
      <w:pPr>
        <w:pStyle w:val="5"/>
        <w:rPr>
          <w:rFonts w:ascii="仿宋" w:hAnsi="仿宋" w:eastAsia="仿宋"/>
        </w:rPr>
      </w:pPr>
      <w:bookmarkStart w:id="52" w:name="_Toc15396629"/>
      <w:r>
        <w:rPr>
          <w:rStyle w:val="15"/>
          <w:rFonts w:hint="eastAsia" w:ascii="仿宋" w:hAnsi="仿宋" w:eastAsia="仿宋"/>
          <w:b w:val="0"/>
          <w:bCs w:val="0"/>
        </w:rPr>
        <w:t>十一、</w:t>
      </w:r>
      <w:r>
        <w:rPr>
          <w:rFonts w:hint="eastAsia" w:ascii="仿宋" w:hAnsi="仿宋" w:eastAsia="仿宋"/>
          <w:b w:val="0"/>
        </w:rPr>
        <w:t>政</w:t>
      </w:r>
      <w:r>
        <w:rPr>
          <w:rStyle w:val="15"/>
          <w:rFonts w:hint="eastAsia" w:ascii="仿宋" w:hAnsi="仿宋" w:eastAsia="仿宋"/>
          <w:b w:val="0"/>
          <w:bCs w:val="0"/>
        </w:rPr>
        <w:t>府性基金预算财政拨款收入支出决算表</w:t>
      </w:r>
      <w:bookmarkEnd w:id="52"/>
    </w:p>
    <w:p>
      <w:pPr>
        <w:pStyle w:val="5"/>
        <w:rPr>
          <w:rFonts w:ascii="仿宋" w:hAnsi="仿宋" w:eastAsia="仿宋"/>
        </w:rPr>
      </w:pPr>
      <w:bookmarkStart w:id="53" w:name="_Toc15396630"/>
      <w:r>
        <w:rPr>
          <w:rStyle w:val="15"/>
          <w:rFonts w:hint="eastAsia" w:ascii="仿宋" w:hAnsi="仿宋" w:eastAsia="仿宋"/>
          <w:b w:val="0"/>
          <w:bCs w:val="0"/>
        </w:rPr>
        <w:t>十二、</w:t>
      </w:r>
      <w:r>
        <w:rPr>
          <w:rFonts w:hint="eastAsia" w:ascii="仿宋" w:hAnsi="仿宋" w:eastAsia="仿宋"/>
          <w:b w:val="0"/>
        </w:rPr>
        <w:t>政</w:t>
      </w:r>
      <w:r>
        <w:rPr>
          <w:rStyle w:val="15"/>
          <w:rFonts w:hint="eastAsia" w:ascii="仿宋" w:hAnsi="仿宋" w:eastAsia="仿宋"/>
          <w:b w:val="0"/>
          <w:bCs w:val="0"/>
        </w:rPr>
        <w:t>府性基金预算财政拨款“三公”经费支出决算表</w:t>
      </w:r>
      <w:bookmarkEnd w:id="53"/>
    </w:p>
    <w:p>
      <w:pPr>
        <w:pStyle w:val="5"/>
        <w:rPr>
          <w:rStyle w:val="15"/>
          <w:rFonts w:hint="eastAsia" w:ascii="仿宋" w:hAnsi="仿宋" w:eastAsia="仿宋"/>
          <w:b w:val="0"/>
          <w:bCs w:val="0"/>
        </w:rPr>
      </w:pPr>
      <w:bookmarkStart w:id="54" w:name="_Toc15396631"/>
      <w:r>
        <w:rPr>
          <w:rStyle w:val="15"/>
          <w:rFonts w:hint="eastAsia" w:ascii="仿宋" w:hAnsi="仿宋" w:eastAsia="仿宋"/>
          <w:b w:val="0"/>
          <w:bCs w:val="0"/>
        </w:rPr>
        <w:t>十三、</w:t>
      </w:r>
      <w:r>
        <w:rPr>
          <w:rFonts w:hint="eastAsia" w:ascii="仿宋" w:hAnsi="仿宋" w:eastAsia="仿宋"/>
          <w:b w:val="0"/>
        </w:rPr>
        <w:t>国</w:t>
      </w:r>
      <w:r>
        <w:rPr>
          <w:rStyle w:val="15"/>
          <w:rFonts w:hint="eastAsia" w:ascii="仿宋" w:hAnsi="仿宋" w:eastAsia="仿宋"/>
          <w:b w:val="0"/>
          <w:bCs w:val="0"/>
        </w:rPr>
        <w:t>有资本经营预算财政拨款收入支出决算表</w:t>
      </w:r>
      <w:bookmarkEnd w:id="54"/>
    </w:p>
    <w:p>
      <w:pPr>
        <w:pStyle w:val="5"/>
        <w:rPr>
          <w:rStyle w:val="14"/>
          <w:rFonts w:eastAsia="黑体"/>
          <w:b/>
          <w:bCs w:val="0"/>
        </w:rPr>
      </w:pPr>
      <w:r>
        <w:rPr>
          <w:rStyle w:val="15"/>
          <w:rFonts w:hint="eastAsia" w:ascii="仿宋" w:hAnsi="仿宋" w:eastAsia="仿宋"/>
          <w:b w:val="0"/>
          <w:bCs w:val="0"/>
        </w:rPr>
        <w:t>十四</w:t>
      </w:r>
      <w:r>
        <w:rPr>
          <w:rStyle w:val="15"/>
          <w:rFonts w:hint="eastAsia" w:ascii="仿宋" w:hAnsi="仿宋" w:eastAsia="仿宋"/>
          <w:b/>
          <w:bCs/>
        </w:rPr>
        <w:t>、国有资本经营预算财政拨款支出决算表</w:t>
      </w:r>
    </w:p>
    <w:p>
      <w:pPr>
        <w:pStyle w:val="2"/>
        <w:ind w:left="0" w:leftChars="0" w:firstLine="0" w:firstLineChars="0"/>
        <w:rPr>
          <w:rFonts w:hint="eastAsia" w:eastAsia="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5623C"/>
    <w:multiLevelType w:val="singleLevel"/>
    <w:tmpl w:val="8425623C"/>
    <w:lvl w:ilvl="0" w:tentative="0">
      <w:start w:val="3"/>
      <w:numFmt w:val="chineseCounting"/>
      <w:suff w:val="space"/>
      <w:lvlText w:val="第%1部分"/>
      <w:lvlJc w:val="left"/>
      <w:rPr>
        <w:rFonts w:hint="eastAsia"/>
      </w:rPr>
    </w:lvl>
  </w:abstractNum>
  <w:abstractNum w:abstractNumId="1">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3">
    <w:nsid w:val="77D4DF93"/>
    <w:multiLevelType w:val="singleLevel"/>
    <w:tmpl w:val="77D4DF93"/>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911929"/>
    <w:rsid w:val="08911929"/>
    <w:rsid w:val="63C26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7"/>
    <w:qFormat/>
    <w:uiPriority w:val="9"/>
    <w:pPr>
      <w:keepNext/>
      <w:keepLines/>
      <w:spacing w:before="260" w:after="260" w:line="416" w:lineRule="auto"/>
      <w:outlineLvl w:val="1"/>
    </w:pPr>
    <w:rPr>
      <w:rFonts w:ascii="Cambria" w:hAnsi="Cambria"/>
      <w:b/>
      <w:bCs/>
      <w:sz w:val="32"/>
      <w:szCs w:val="32"/>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Times New Roman" w:hAnsi="Times New Roman" w:eastAsia="仿宋_GB2312" w:cs="Times New Roman"/>
      <w:sz w:val="32"/>
      <w:szCs w:val="22"/>
    </w:rPr>
  </w:style>
  <w:style w:type="paragraph" w:styleId="3">
    <w:name w:val="Body Text Indent"/>
    <w:basedOn w:val="1"/>
    <w:qFormat/>
    <w:uiPriority w:val="0"/>
    <w:pPr>
      <w:spacing w:after="120"/>
      <w:ind w:left="420" w:leftChars="200"/>
    </w:pPr>
  </w:style>
  <w:style w:type="paragraph" w:styleId="6">
    <w:name w:val="Body Text"/>
    <w:basedOn w:val="1"/>
    <w:qFormat/>
    <w:uiPriority w:val="99"/>
    <w:pPr>
      <w:spacing w:beforeLines="30"/>
    </w:pPr>
    <w:rPr>
      <w:rFonts w:ascii="仿宋_GB2312" w:eastAsia="仿宋_GB2312"/>
      <w:kern w:val="0"/>
      <w:sz w:val="24"/>
      <w:szCs w:val="20"/>
    </w:rPr>
  </w:style>
  <w:style w:type="paragraph" w:styleId="7">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8">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9">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0">
    <w:name w:val="toc 2"/>
    <w:basedOn w:val="1"/>
    <w:next w:val="1"/>
    <w:unhideWhenUsed/>
    <w:qFormat/>
    <w:uiPriority w:val="39"/>
    <w:pPr>
      <w:tabs>
        <w:tab w:val="right" w:leader="dot" w:pos="8296"/>
      </w:tabs>
      <w:ind w:left="420" w:leftChars="200"/>
    </w:pPr>
  </w:style>
  <w:style w:type="character" w:styleId="13">
    <w:name w:val="Strong"/>
    <w:qFormat/>
    <w:uiPriority w:val="99"/>
    <w:rPr>
      <w:rFonts w:cs="Times New Roman"/>
      <w:b/>
    </w:rPr>
  </w:style>
  <w:style w:type="character" w:customStyle="1" w:styleId="14">
    <w:name w:val="标题 1 字符"/>
    <w:link w:val="4"/>
    <w:qFormat/>
    <w:locked/>
    <w:uiPriority w:val="9"/>
    <w:rPr>
      <w:b/>
      <w:bCs/>
      <w:kern w:val="44"/>
      <w:sz w:val="44"/>
      <w:szCs w:val="44"/>
    </w:rPr>
  </w:style>
  <w:style w:type="character" w:customStyle="1" w:styleId="15">
    <w:name w:val="标题 2 字符"/>
    <w:link w:val="5"/>
    <w:qFormat/>
    <w:locked/>
    <w:uiPriority w:val="9"/>
    <w:rPr>
      <w:rFonts w:ascii="Cambria" w:hAnsi="Cambria"/>
      <w:b/>
      <w:bCs/>
      <w:sz w:val="32"/>
      <w:szCs w:val="32"/>
    </w:rPr>
  </w:style>
  <w:style w:type="paragraph" w:customStyle="1" w:styleId="16">
    <w:name w:val="List Paragraph"/>
    <w:basedOn w:val="1"/>
    <w:qFormat/>
    <w:uiPriority w:val="34"/>
    <w:pPr>
      <w:ind w:firstLine="420" w:firstLineChars="200"/>
    </w:pPr>
  </w:style>
  <w:style w:type="character" w:customStyle="1" w:styleId="17">
    <w:name w:val="标题 2 Char"/>
    <w:basedOn w:val="12"/>
    <w:link w:val="5"/>
    <w:qFormat/>
    <w:uiPriority w:val="9"/>
    <w:rPr>
      <w:rFonts w:asciiTheme="majorHAnsi" w:hAnsiTheme="majorHAnsi" w:eastAsiaTheme="majorEastAsia" w:cstheme="majorBidi"/>
      <w:b/>
      <w:bCs/>
      <w:kern w:val="2"/>
      <w:sz w:val="32"/>
      <w:szCs w:val="32"/>
    </w:rPr>
  </w:style>
  <w:style w:type="paragraph" w:customStyle="1" w:styleId="18">
    <w:name w:val="Default"/>
    <w:qFormat/>
    <w:uiPriority w:val="99"/>
    <w:pPr>
      <w:widowControl w:val="0"/>
      <w:autoSpaceDE w:val="0"/>
      <w:autoSpaceDN w:val="0"/>
      <w:adjustRightInd w:val="0"/>
    </w:pPr>
    <w:rPr>
      <w:rFonts w:ascii="仿宋" w:hAnsi="Times New Roman"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290119307679382"/>
          <c:y val="0.182471597495942"/>
          <c:w val="0.483616198958158"/>
          <c:h val="0.667284952469279"/>
        </c:manualLayout>
      </c:layout>
      <c:pieChart>
        <c:varyColors val="1"/>
        <c:ser>
          <c:idx val="0"/>
          <c:order val="0"/>
          <c:tx>
            <c:strRef>
              <c:f>Sheet1!$B$1</c:f>
              <c:strCache>
                <c:ptCount val="1"/>
                <c:pt idx="0">
                  <c:v>收入分析图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一般公共预算财政拨款收入</c:v>
                </c:pt>
                <c:pt idx="1">
                  <c:v>事业收入</c:v>
                </c:pt>
              </c:strCache>
            </c:strRef>
          </c:cat>
          <c:val>
            <c:numRef>
              <c:f>Sheet1!$B$2:$B$3</c:f>
              <c:numCache>
                <c:formatCode>General</c:formatCode>
                <c:ptCount val="2"/>
                <c:pt idx="0">
                  <c:v>10676.27</c:v>
                </c:pt>
                <c:pt idx="1">
                  <c:v>80596.21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支出分析图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一般公共预算财政拨款支出</c:v>
                </c:pt>
                <c:pt idx="1">
                  <c:v>事业支出</c:v>
                </c:pt>
              </c:strCache>
            </c:strRef>
          </c:cat>
          <c:val>
            <c:numRef>
              <c:f>Sheet1!$B$2:$B$3</c:f>
              <c:numCache>
                <c:formatCode>General</c:formatCode>
                <c:ptCount val="2"/>
                <c:pt idx="0">
                  <c:v>10627.63</c:v>
                </c:pt>
                <c:pt idx="1">
                  <c:v>80804.19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财政拨款收支分析图</a:t>
            </a:r>
          </a:p>
        </c:rich>
      </c:tx>
      <c:layout>
        <c:manualLayout>
          <c:xMode val="edge"/>
          <c:yMode val="edge"/>
          <c:x val="0.335375"/>
          <c:y val="0.0241666666666667"/>
        </c:manualLayout>
      </c:layout>
      <c:overlay val="0"/>
      <c:spPr>
        <a:noFill/>
        <a:ln>
          <a:noFill/>
        </a:ln>
        <a:effectLst/>
      </c:spPr>
    </c:title>
    <c:autoTitleDeleted val="0"/>
    <c:plotArea>
      <c:layout>
        <c:manualLayout>
          <c:layoutTarget val="inner"/>
          <c:xMode val="edge"/>
          <c:yMode val="edge"/>
          <c:x val="0.0462"/>
          <c:y val="0.127"/>
          <c:w val="0.927925"/>
          <c:h val="0.716566666666667"/>
        </c:manualLayout>
      </c:layout>
      <c:barChart>
        <c:barDir val="col"/>
        <c:grouping val="clustered"/>
        <c:varyColors val="0"/>
        <c:ser>
          <c:idx val="0"/>
          <c:order val="0"/>
          <c:tx>
            <c:strRef>
              <c:f>Sheet1!$B$1</c:f>
              <c:strCache>
                <c:ptCount val="1"/>
                <c:pt idx="0">
                  <c:v>财政拨款收入</c:v>
                </c:pt>
              </c:strCache>
            </c:strRef>
          </c:tx>
          <c:spPr>
            <a:solidFill>
              <a:schemeClr val="accent1"/>
            </a:solidFill>
            <a:ln>
              <a:noFill/>
            </a:ln>
            <a:effectLst/>
          </c:spPr>
          <c:invertIfNegative val="0"/>
          <c:dLbls>
            <c:delete val="1"/>
          </c:dLbls>
          <c:cat>
            <c:strRef>
              <c:f>Sheet1!$A$2:$A$3</c:f>
              <c:strCache>
                <c:ptCount val="2"/>
                <c:pt idx="0">
                  <c:v>2021年</c:v>
                </c:pt>
                <c:pt idx="1">
                  <c:v>2020年</c:v>
                </c:pt>
              </c:strCache>
            </c:strRef>
          </c:cat>
          <c:val>
            <c:numRef>
              <c:f>Sheet1!$B$2:$B$3</c:f>
              <c:numCache>
                <c:formatCode>General</c:formatCode>
                <c:ptCount val="2"/>
                <c:pt idx="0">
                  <c:v>10676.27</c:v>
                </c:pt>
                <c:pt idx="1">
                  <c:v>22890.78</c:v>
                </c:pt>
              </c:numCache>
            </c:numRef>
          </c:val>
        </c:ser>
        <c:ser>
          <c:idx val="1"/>
          <c:order val="1"/>
          <c:tx>
            <c:strRef>
              <c:f>Sheet1!$C$1</c:f>
              <c:strCache>
                <c:ptCount val="1"/>
                <c:pt idx="0">
                  <c:v>财政拨款支出</c:v>
                </c:pt>
              </c:strCache>
            </c:strRef>
          </c:tx>
          <c:spPr>
            <a:solidFill>
              <a:schemeClr val="accent2"/>
            </a:solidFill>
            <a:ln>
              <a:noFill/>
            </a:ln>
            <a:effectLst/>
          </c:spPr>
          <c:invertIfNegative val="0"/>
          <c:dLbls>
            <c:delete val="1"/>
          </c:dLbls>
          <c:cat>
            <c:strRef>
              <c:f>Sheet1!$A$2:$A$3</c:f>
              <c:strCache>
                <c:ptCount val="2"/>
                <c:pt idx="0">
                  <c:v>2021年</c:v>
                </c:pt>
                <c:pt idx="1">
                  <c:v>2020年</c:v>
                </c:pt>
              </c:strCache>
            </c:strRef>
          </c:cat>
          <c:val>
            <c:numRef>
              <c:f>Sheet1!$C$2:$C$3</c:f>
              <c:numCache>
                <c:formatCode>General</c:formatCode>
                <c:ptCount val="2"/>
                <c:pt idx="0">
                  <c:v>10627.63</c:v>
                </c:pt>
                <c:pt idx="1">
                  <c:v>23299.86</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2021年</c:v>
                </c:pt>
                <c:pt idx="1">
                  <c:v>2020年</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19"/>
        <c:overlap val="-27"/>
        <c:axId val="38762759"/>
        <c:axId val="996488053"/>
      </c:barChart>
      <c:catAx>
        <c:axId val="3876275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96488053"/>
        <c:crosses val="autoZero"/>
        <c:auto val="1"/>
        <c:lblAlgn val="ctr"/>
        <c:lblOffset val="100"/>
        <c:noMultiLvlLbl val="0"/>
      </c:catAx>
      <c:valAx>
        <c:axId val="99648805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8762759"/>
        <c:crosses val="autoZero"/>
        <c:crossBetween val="between"/>
      </c:valAx>
      <c:spPr>
        <a:noFill/>
        <a:ln>
          <a:noFill/>
        </a:ln>
        <a:effectLst/>
      </c:spPr>
    </c:plotArea>
    <c:legend>
      <c:legendPos val="b"/>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Sheet1!$B$1</c:f>
              <c:strCache>
                <c:ptCount val="1"/>
                <c:pt idx="0">
                  <c:v>财政拨款支出</c:v>
                </c:pt>
              </c:strCache>
            </c:strRef>
          </c:tx>
          <c:spPr>
            <a:solidFill>
              <a:schemeClr val="accent1"/>
            </a:solidFill>
            <a:ln>
              <a:noFill/>
            </a:ln>
            <a:effectLst/>
          </c:spPr>
          <c:invertIfNegative val="0"/>
          <c:dLbls>
            <c:delete val="1"/>
          </c:dLbls>
          <c:cat>
            <c:strRef>
              <c:f>Sheet1!$A$2:$A$3</c:f>
              <c:strCache>
                <c:ptCount val="2"/>
                <c:pt idx="0">
                  <c:v>2021年</c:v>
                </c:pt>
                <c:pt idx="1">
                  <c:v>2020年</c:v>
                </c:pt>
              </c:strCache>
            </c:strRef>
          </c:cat>
          <c:val>
            <c:numRef>
              <c:f>Sheet1!$B$2:$B$3</c:f>
              <c:numCache>
                <c:formatCode>General</c:formatCode>
                <c:ptCount val="2"/>
                <c:pt idx="0">
                  <c:v>10627.63</c:v>
                </c:pt>
                <c:pt idx="1">
                  <c:v>14480.73</c:v>
                </c:pt>
              </c:numCache>
            </c:numRef>
          </c:val>
        </c:ser>
        <c:dLbls>
          <c:showLegendKey val="0"/>
          <c:showVal val="0"/>
          <c:showCatName val="0"/>
          <c:showSerName val="0"/>
          <c:showPercent val="0"/>
          <c:showBubbleSize val="0"/>
        </c:dLbls>
        <c:gapWidth val="219"/>
        <c:overlap val="-27"/>
        <c:axId val="164418320"/>
        <c:axId val="939532898"/>
      </c:barChart>
      <c:catAx>
        <c:axId val="16441832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39532898"/>
        <c:crosses val="autoZero"/>
        <c:auto val="1"/>
        <c:lblAlgn val="ctr"/>
        <c:lblOffset val="100"/>
        <c:noMultiLvlLbl val="0"/>
      </c:catAx>
      <c:valAx>
        <c:axId val="93953289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6441832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2023-03-29T09:36:00Z</dcterms:created>
  <dc:creator>sss</dc:creator>
  <cp:lastModifiedBy>周周</cp:lastModifiedBy>
  <dcterms:modified xsi:type="dcterms:W3CDTF">2023-09-13T02:28:50Z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FCB66E27C92641C1A324598C4657CF67</vt:lpwstr>
  </property>
</Properties>
</file>